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71" w:rsidRDefault="000B4F71" w:rsidP="000B4F71">
      <w:pPr>
        <w:jc w:val="both"/>
        <w:rPr>
          <w:rFonts w:ascii="Arial" w:hAnsi="Arial" w:cs="Arial"/>
          <w:sz w:val="22"/>
          <w:szCs w:val="22"/>
          <w:lang w:eastAsia="en-US"/>
        </w:rPr>
      </w:pPr>
      <w:bookmarkStart w:id="0" w:name="_GoBack"/>
      <w:bookmarkEnd w:id="0"/>
    </w:p>
    <w:p w:rsidR="00CE10C4" w:rsidRPr="005A2ED8" w:rsidRDefault="00896F4E" w:rsidP="0043017B">
      <w:pPr>
        <w:pStyle w:val="Title"/>
        <w:ind w:left="720" w:hanging="720"/>
        <w:rPr>
          <w:rFonts w:asciiTheme="minorHAnsi" w:hAnsiTheme="minorHAnsi"/>
          <w:sz w:val="36"/>
          <w:szCs w:val="36"/>
        </w:rPr>
      </w:pPr>
      <w:r w:rsidRPr="005A2ED8">
        <w:rPr>
          <w:rFonts w:asciiTheme="minorHAnsi" w:hAnsiTheme="minorHAnsi"/>
          <w:sz w:val="36"/>
          <w:szCs w:val="36"/>
        </w:rPr>
        <w:t>7</w:t>
      </w:r>
      <w:r w:rsidR="0004240E" w:rsidRPr="005A2ED8">
        <w:rPr>
          <w:rFonts w:asciiTheme="minorHAnsi" w:hAnsiTheme="minorHAnsi"/>
          <w:sz w:val="36"/>
          <w:szCs w:val="36"/>
        </w:rPr>
        <w:t>.</w:t>
      </w:r>
      <w:r w:rsidRPr="005A2ED8">
        <w:rPr>
          <w:rFonts w:asciiTheme="minorHAnsi" w:hAnsiTheme="minorHAnsi"/>
          <w:sz w:val="36"/>
          <w:szCs w:val="36"/>
        </w:rPr>
        <w:t>13</w:t>
      </w:r>
      <w:r w:rsidR="007C0F57" w:rsidRPr="005A2ED8">
        <w:rPr>
          <w:rFonts w:asciiTheme="minorHAnsi" w:hAnsiTheme="minorHAnsi"/>
          <w:sz w:val="36"/>
          <w:szCs w:val="36"/>
        </w:rPr>
        <w:tab/>
      </w:r>
      <w:r w:rsidRPr="005A2ED8">
        <w:rPr>
          <w:rFonts w:asciiTheme="minorHAnsi" w:hAnsiTheme="minorHAnsi"/>
          <w:sz w:val="36"/>
          <w:szCs w:val="36"/>
        </w:rPr>
        <w:t>TRIFLURIDINE with TIPIRACIL</w:t>
      </w:r>
      <w:r w:rsidR="008A50F1" w:rsidRPr="005A2ED8">
        <w:rPr>
          <w:rFonts w:asciiTheme="minorHAnsi" w:hAnsiTheme="minorHAnsi"/>
          <w:sz w:val="36"/>
          <w:szCs w:val="36"/>
        </w:rPr>
        <w:t xml:space="preserve"> </w:t>
      </w:r>
      <w:r w:rsidR="008A50F1" w:rsidRPr="005A2ED8">
        <w:rPr>
          <w:rFonts w:asciiTheme="minorHAnsi" w:hAnsiTheme="minorHAnsi"/>
          <w:sz w:val="36"/>
          <w:szCs w:val="36"/>
        </w:rPr>
        <w:br/>
      </w:r>
      <w:r w:rsidRPr="005A2ED8">
        <w:rPr>
          <w:rFonts w:asciiTheme="minorHAnsi" w:hAnsiTheme="minorHAnsi"/>
          <w:sz w:val="36"/>
          <w:szCs w:val="36"/>
        </w:rPr>
        <w:t>tablet</w:t>
      </w:r>
      <w:r w:rsidR="0004240E" w:rsidRPr="005A2ED8">
        <w:rPr>
          <w:rFonts w:asciiTheme="minorHAnsi" w:hAnsiTheme="minorHAnsi"/>
          <w:sz w:val="36"/>
          <w:szCs w:val="36"/>
        </w:rPr>
        <w:t>,</w:t>
      </w:r>
      <w:r w:rsidRPr="005A2ED8">
        <w:rPr>
          <w:rFonts w:asciiTheme="minorHAnsi" w:hAnsiTheme="minorHAnsi"/>
          <w:sz w:val="36"/>
          <w:szCs w:val="36"/>
        </w:rPr>
        <w:t xml:space="preserve"> 15 mg trifluridine with 6.14 mg tipiracil, 20 mg trifluridine with 8.19 mg tipiracil,</w:t>
      </w:r>
      <w:r w:rsidR="008A50F1" w:rsidRPr="005A2ED8">
        <w:rPr>
          <w:rFonts w:asciiTheme="minorHAnsi" w:hAnsiTheme="minorHAnsi"/>
          <w:sz w:val="36"/>
          <w:szCs w:val="36"/>
        </w:rPr>
        <w:t xml:space="preserve"> </w:t>
      </w:r>
      <w:r w:rsidR="008A50F1" w:rsidRPr="005A2ED8">
        <w:rPr>
          <w:rFonts w:asciiTheme="minorHAnsi" w:hAnsiTheme="minorHAnsi"/>
          <w:sz w:val="36"/>
          <w:szCs w:val="36"/>
        </w:rPr>
        <w:br/>
      </w:r>
      <w:r w:rsidRPr="005A2ED8">
        <w:rPr>
          <w:rFonts w:asciiTheme="minorHAnsi" w:hAnsiTheme="minorHAnsi"/>
          <w:sz w:val="36"/>
          <w:szCs w:val="36"/>
        </w:rPr>
        <w:t>LONSURF</w:t>
      </w:r>
      <w:r w:rsidR="0004240E" w:rsidRPr="005A2ED8">
        <w:rPr>
          <w:rFonts w:asciiTheme="minorHAnsi" w:hAnsiTheme="minorHAnsi"/>
          <w:sz w:val="36"/>
          <w:szCs w:val="36"/>
          <w:vertAlign w:val="superscript"/>
        </w:rPr>
        <w:t>®</w:t>
      </w:r>
      <w:r w:rsidR="00EF44A0" w:rsidRPr="005A2ED8">
        <w:rPr>
          <w:rFonts w:asciiTheme="minorHAnsi" w:hAnsiTheme="minorHAnsi"/>
          <w:sz w:val="36"/>
          <w:szCs w:val="36"/>
        </w:rPr>
        <w:t xml:space="preserve">, </w:t>
      </w:r>
      <w:r w:rsidRPr="005A2ED8">
        <w:rPr>
          <w:rFonts w:asciiTheme="minorHAnsi" w:hAnsiTheme="minorHAnsi"/>
          <w:sz w:val="36"/>
          <w:szCs w:val="36"/>
        </w:rPr>
        <w:t>Servier Laboratories (Australia) Pty Ltd</w:t>
      </w:r>
    </w:p>
    <w:p w:rsidR="00C27B58" w:rsidRPr="00F36CCB" w:rsidRDefault="00C27B58" w:rsidP="00C27B58">
      <w:pPr>
        <w:pStyle w:val="NoSpacing"/>
        <w:rPr>
          <w:rFonts w:asciiTheme="minorHAnsi" w:hAnsiTheme="minorHAnsi"/>
        </w:rPr>
      </w:pPr>
    </w:p>
    <w:p w:rsidR="00E15627" w:rsidRPr="00F36CCB" w:rsidRDefault="00CE10C4" w:rsidP="00E15627">
      <w:pPr>
        <w:pStyle w:val="PBACHeading1"/>
      </w:pPr>
      <w:r w:rsidRPr="00F36CCB">
        <w:t xml:space="preserve">Purpose of </w:t>
      </w:r>
      <w:r w:rsidR="0004240E" w:rsidRPr="00F36CCB">
        <w:t>Application</w:t>
      </w:r>
    </w:p>
    <w:p w:rsidR="008A50F1" w:rsidRPr="00F36CCB" w:rsidRDefault="008A50F1" w:rsidP="00E15627">
      <w:pPr>
        <w:rPr>
          <w:rFonts w:asciiTheme="minorHAnsi" w:hAnsiTheme="minorHAnsi"/>
        </w:rPr>
      </w:pPr>
    </w:p>
    <w:p w:rsidR="00F9629A" w:rsidRPr="00F97689" w:rsidRDefault="00896F4E" w:rsidP="00C27B58">
      <w:pPr>
        <w:pStyle w:val="ListParagraph"/>
        <w:numPr>
          <w:ilvl w:val="1"/>
          <w:numId w:val="5"/>
        </w:numPr>
        <w:rPr>
          <w:szCs w:val="22"/>
        </w:rPr>
      </w:pPr>
      <w:r>
        <w:rPr>
          <w:szCs w:val="22"/>
        </w:rPr>
        <w:t xml:space="preserve">The minor submission sought an Authority Required (STREAMLINED) listing for trifluridine with tipiracil (thereafter referred to as trifluridine/tipiracil) for the treatment of patients with metastatic colorectal cancer (mCRC) who have been previously treated with, or are not considered candidates for, available therapies including fluoropyrimidine, oxaliplatin and irinotecan-based chemotherapy, anti-VEGF therapy and anti-EGFR therapy. </w:t>
      </w:r>
    </w:p>
    <w:p w:rsidR="00EF44A0" w:rsidRDefault="00EF44A0" w:rsidP="00C27B58">
      <w:pPr>
        <w:pStyle w:val="NoSpacing"/>
        <w:rPr>
          <w:rFonts w:asciiTheme="minorHAnsi" w:hAnsiTheme="minorHAnsi"/>
        </w:rPr>
      </w:pPr>
    </w:p>
    <w:p w:rsidR="00A210E0" w:rsidRPr="00F36CCB" w:rsidRDefault="00A210E0" w:rsidP="00C27B58">
      <w:pPr>
        <w:pStyle w:val="NoSpacing"/>
        <w:rPr>
          <w:rFonts w:asciiTheme="minorHAnsi" w:hAnsiTheme="minorHAnsi"/>
        </w:rPr>
      </w:pPr>
    </w:p>
    <w:p w:rsidR="00962223" w:rsidRPr="00F36CCB" w:rsidRDefault="006A12A5" w:rsidP="008A50F1">
      <w:pPr>
        <w:pStyle w:val="PBACHeading1"/>
      </w:pPr>
      <w:r w:rsidRPr="00F36CCB">
        <w:t>Requested listing</w:t>
      </w:r>
    </w:p>
    <w:p w:rsidR="006A12A5" w:rsidRPr="00F36CCB" w:rsidRDefault="006A12A5" w:rsidP="00882085">
      <w:pPr>
        <w:jc w:val="both"/>
        <w:rPr>
          <w:rFonts w:asciiTheme="minorHAnsi" w:hAnsiTheme="minorHAnsi"/>
          <w:b/>
          <w:sz w:val="22"/>
          <w:szCs w:val="22"/>
        </w:rPr>
      </w:pPr>
    </w:p>
    <w:p w:rsidR="00C953C5" w:rsidRPr="00FB46A0" w:rsidRDefault="00EF44A0" w:rsidP="00C953C5">
      <w:pPr>
        <w:pStyle w:val="ListParagraph"/>
        <w:numPr>
          <w:ilvl w:val="1"/>
          <w:numId w:val="5"/>
        </w:numPr>
        <w:rPr>
          <w:szCs w:val="22"/>
        </w:rPr>
      </w:pPr>
      <w:r w:rsidRPr="00F36CCB">
        <w:rPr>
          <w:szCs w:val="22"/>
        </w:rPr>
        <w:t xml:space="preserve">The submission </w:t>
      </w:r>
      <w:r w:rsidR="00FF2801" w:rsidRPr="00F36CCB">
        <w:rPr>
          <w:szCs w:val="22"/>
        </w:rPr>
        <w:t>requested</w:t>
      </w:r>
      <w:r w:rsidRPr="00F36CCB">
        <w:rPr>
          <w:szCs w:val="22"/>
        </w:rPr>
        <w:t xml:space="preserve"> the following listing</w:t>
      </w:r>
      <w:r w:rsidR="00826F6D" w:rsidRPr="00F36CCB">
        <w:rPr>
          <w:szCs w:val="22"/>
        </w:rPr>
        <w:t>:</w:t>
      </w:r>
      <w:r w:rsidRPr="00F36CCB">
        <w:rPr>
          <w:szCs w:val="22"/>
        </w:rPr>
        <w:t xml:space="preserve"> </w:t>
      </w:r>
    </w:p>
    <w:p w:rsidR="00826F6D" w:rsidRPr="00F36CCB" w:rsidRDefault="00826F6D" w:rsidP="00C27B58">
      <w:pPr>
        <w:pStyle w:val="NoSpacing"/>
        <w:rPr>
          <w:rFonts w:asciiTheme="minorHAnsi" w:hAnsiTheme="minorHAnsi"/>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0E203F" w:rsidRDefault="000E203F" w:rsidP="000E203F">
            <w:pPr>
              <w:keepNext/>
              <w:ind w:left="-108"/>
              <w:jc w:val="both"/>
              <w:rPr>
                <w:rFonts w:ascii="Arial Narrow" w:hAnsi="Arial Narrow" w:cs="Arial"/>
                <w:smallCaps/>
                <w:sz w:val="20"/>
                <w:szCs w:val="20"/>
              </w:rPr>
            </w:pPr>
            <w:r w:rsidRPr="00003EDD">
              <w:rPr>
                <w:rFonts w:ascii="Arial Narrow" w:hAnsi="Arial Narrow" w:cs="Arial"/>
                <w:smallCaps/>
                <w:sz w:val="20"/>
                <w:szCs w:val="20"/>
              </w:rPr>
              <w:t>TRIFLURIDINE + TIPIRACIL</w:t>
            </w:r>
          </w:p>
          <w:p w:rsidR="000E203F" w:rsidRPr="00003EDD" w:rsidRDefault="000E203F" w:rsidP="000E203F">
            <w:pPr>
              <w:keepNext/>
              <w:ind w:left="-108"/>
              <w:jc w:val="both"/>
              <w:rPr>
                <w:rFonts w:ascii="Arial Narrow" w:hAnsi="Arial Narrow" w:cs="Arial"/>
                <w:sz w:val="20"/>
                <w:szCs w:val="20"/>
              </w:rPr>
            </w:pPr>
            <w:r w:rsidRPr="00003EDD">
              <w:rPr>
                <w:rFonts w:ascii="Arial Narrow" w:hAnsi="Arial Narrow" w:cs="Arial"/>
                <w:sz w:val="20"/>
                <w:szCs w:val="20"/>
              </w:rPr>
              <w:t>Trifluridine 15 mg + tipiracil 6.14 mg tablet, 20</w:t>
            </w:r>
          </w:p>
          <w:p w:rsidR="00826F6D" w:rsidRPr="00260CE3" w:rsidRDefault="000E203F" w:rsidP="00C27B58">
            <w:pPr>
              <w:keepNext/>
              <w:ind w:left="-108"/>
              <w:jc w:val="both"/>
              <w:rPr>
                <w:rFonts w:ascii="Arial Narrow" w:hAnsi="Arial Narrow" w:cs="Arial"/>
                <w:sz w:val="20"/>
                <w:szCs w:val="20"/>
              </w:rPr>
            </w:pPr>
            <w:r w:rsidRPr="00003EDD">
              <w:rPr>
                <w:rFonts w:ascii="Arial Narrow" w:hAnsi="Arial Narrow" w:cs="Arial"/>
                <w:sz w:val="20"/>
                <w:szCs w:val="20"/>
              </w:rPr>
              <w:t>Trifluridine 20 mg + tipiracil 8.19 mg tablet, 20</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Default="000E203F" w:rsidP="00C27B58">
            <w:pPr>
              <w:keepNext/>
              <w:ind w:left="-108"/>
              <w:jc w:val="both"/>
              <w:rPr>
                <w:rFonts w:ascii="Arial Narrow" w:hAnsi="Arial Narrow" w:cs="Arial"/>
                <w:sz w:val="20"/>
                <w:szCs w:val="20"/>
              </w:rPr>
            </w:pPr>
            <w:r>
              <w:rPr>
                <w:rFonts w:ascii="Arial Narrow" w:hAnsi="Arial Narrow" w:cs="Arial"/>
                <w:sz w:val="20"/>
                <w:szCs w:val="20"/>
              </w:rPr>
              <w:t>3</w:t>
            </w:r>
          </w:p>
          <w:p w:rsidR="000E203F" w:rsidRDefault="000E203F" w:rsidP="00C27B58">
            <w:pPr>
              <w:keepNext/>
              <w:ind w:left="-108"/>
              <w:jc w:val="both"/>
              <w:rPr>
                <w:rFonts w:ascii="Arial Narrow" w:hAnsi="Arial Narrow" w:cs="Arial"/>
                <w:sz w:val="20"/>
                <w:szCs w:val="20"/>
              </w:rPr>
            </w:pPr>
          </w:p>
          <w:p w:rsidR="000E203F" w:rsidRPr="00260CE3" w:rsidRDefault="000E203F" w:rsidP="00C27B58">
            <w:pPr>
              <w:keepNext/>
              <w:ind w:left="-108"/>
              <w:jc w:val="both"/>
              <w:rPr>
                <w:rFonts w:ascii="Arial Narrow" w:hAnsi="Arial Narrow" w:cs="Arial"/>
                <w:sz w:val="20"/>
                <w:szCs w:val="20"/>
              </w:rPr>
            </w:pPr>
            <w:r>
              <w:rPr>
                <w:rFonts w:ascii="Arial Narrow" w:hAnsi="Arial Narrow" w:cs="Arial"/>
                <w:sz w:val="20"/>
                <w:szCs w:val="20"/>
              </w:rPr>
              <w:t>4</w:t>
            </w:r>
          </w:p>
        </w:tc>
        <w:tc>
          <w:tcPr>
            <w:tcW w:w="709" w:type="dxa"/>
          </w:tcPr>
          <w:p w:rsidR="00826F6D" w:rsidRPr="00260CE3" w:rsidRDefault="00826F6D" w:rsidP="00C27B58">
            <w:pPr>
              <w:keepNext/>
              <w:ind w:left="-108"/>
              <w:jc w:val="both"/>
              <w:rPr>
                <w:rFonts w:ascii="Arial Narrow" w:hAnsi="Arial Narrow" w:cs="Arial"/>
                <w:sz w:val="20"/>
                <w:szCs w:val="20"/>
              </w:rPr>
            </w:pPr>
          </w:p>
          <w:p w:rsidR="000E203F" w:rsidRDefault="00C953C5" w:rsidP="00C27B58">
            <w:pPr>
              <w:keepNext/>
              <w:ind w:left="-108"/>
              <w:jc w:val="both"/>
              <w:rPr>
                <w:rFonts w:ascii="Arial Narrow" w:hAnsi="Arial Narrow" w:cs="Arial"/>
                <w:sz w:val="20"/>
                <w:szCs w:val="20"/>
              </w:rPr>
            </w:pPr>
            <w:r>
              <w:rPr>
                <w:rFonts w:ascii="Arial Narrow" w:hAnsi="Arial Narrow" w:cs="Arial"/>
                <w:sz w:val="20"/>
                <w:szCs w:val="20"/>
              </w:rPr>
              <w:t>0</w:t>
            </w:r>
          </w:p>
          <w:p w:rsidR="000E203F" w:rsidRDefault="000E203F" w:rsidP="00C27B58">
            <w:pPr>
              <w:keepNext/>
              <w:ind w:left="-108"/>
              <w:jc w:val="both"/>
              <w:rPr>
                <w:rFonts w:ascii="Arial Narrow" w:hAnsi="Arial Narrow" w:cs="Arial"/>
                <w:sz w:val="20"/>
                <w:szCs w:val="20"/>
              </w:rPr>
            </w:pPr>
          </w:p>
          <w:p w:rsidR="00826F6D" w:rsidRPr="00260CE3" w:rsidRDefault="00C953C5" w:rsidP="00C27B58">
            <w:pPr>
              <w:keepNext/>
              <w:ind w:left="-108"/>
              <w:jc w:val="both"/>
              <w:rPr>
                <w:rFonts w:ascii="Arial Narrow" w:hAnsi="Arial Narrow" w:cs="Arial"/>
                <w:sz w:val="20"/>
                <w:szCs w:val="20"/>
              </w:rPr>
            </w:pPr>
            <w:r>
              <w:rPr>
                <w:rFonts w:ascii="Arial Narrow" w:hAnsi="Arial Narrow" w:cs="Arial"/>
                <w:sz w:val="20"/>
                <w:szCs w:val="20"/>
              </w:rPr>
              <w:t>0</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Default="00826F6D" w:rsidP="00C27B58">
            <w:pPr>
              <w:keepNext/>
              <w:ind w:left="-108"/>
              <w:jc w:val="both"/>
              <w:rPr>
                <w:rFonts w:ascii="Arial Narrow" w:hAnsi="Arial Narrow" w:cs="Arial"/>
                <w:sz w:val="20"/>
                <w:szCs w:val="20"/>
              </w:rPr>
            </w:pPr>
            <w:r w:rsidRPr="00260CE3">
              <w:rPr>
                <w:rFonts w:ascii="Arial Narrow" w:hAnsi="Arial Narrow" w:cs="Arial"/>
                <w:sz w:val="20"/>
                <w:szCs w:val="20"/>
              </w:rPr>
              <w:t>$</w:t>
            </w:r>
            <w:r w:rsidR="005719AD">
              <w:rPr>
                <w:rFonts w:ascii="Arial Narrow" w:hAnsi="Arial Narrow" w:cs="Arial"/>
                <w:noProof/>
                <w:color w:val="000000"/>
                <w:sz w:val="20"/>
                <w:szCs w:val="20"/>
                <w:highlight w:val="black"/>
              </w:rPr>
              <w:t>''''''''''''''''''''''</w:t>
            </w:r>
            <w:r w:rsidR="006801F8">
              <w:rPr>
                <w:rFonts w:ascii="Arial Narrow" w:hAnsi="Arial Narrow" w:cs="Arial"/>
                <w:sz w:val="20"/>
                <w:szCs w:val="20"/>
              </w:rPr>
              <w:t xml:space="preserve"> </w:t>
            </w:r>
            <w:r w:rsidR="000E203F">
              <w:rPr>
                <w:rFonts w:ascii="Arial Narrow" w:hAnsi="Arial Narrow" w:cs="Arial"/>
                <w:sz w:val="20"/>
                <w:szCs w:val="20"/>
                <w:vertAlign w:val="superscript"/>
              </w:rPr>
              <w:t>a</w:t>
            </w:r>
          </w:p>
          <w:p w:rsidR="000E203F" w:rsidRDefault="000E203F" w:rsidP="00C27B58">
            <w:pPr>
              <w:keepNext/>
              <w:ind w:left="-108"/>
              <w:jc w:val="both"/>
              <w:rPr>
                <w:rFonts w:ascii="Arial Narrow" w:hAnsi="Arial Narrow" w:cs="Arial"/>
                <w:sz w:val="20"/>
                <w:szCs w:val="20"/>
              </w:rPr>
            </w:pPr>
          </w:p>
          <w:p w:rsidR="000E203F" w:rsidRPr="00260CE3" w:rsidRDefault="000E203F" w:rsidP="00C27B58">
            <w:pPr>
              <w:keepNext/>
              <w:ind w:left="-108"/>
              <w:jc w:val="both"/>
              <w:rPr>
                <w:rFonts w:ascii="Arial Narrow" w:hAnsi="Arial Narrow" w:cs="Arial"/>
                <w:sz w:val="20"/>
                <w:szCs w:val="20"/>
              </w:rPr>
            </w:pPr>
            <w:r>
              <w:rPr>
                <w:rFonts w:ascii="Arial Narrow" w:hAnsi="Arial Narrow" w:cs="Arial"/>
                <w:sz w:val="20"/>
                <w:szCs w:val="20"/>
              </w:rPr>
              <w:t>$</w:t>
            </w:r>
            <w:r w:rsidR="005719AD">
              <w:rPr>
                <w:rFonts w:ascii="Arial Narrow" w:hAnsi="Arial Narrow" w:cs="Arial"/>
                <w:noProof/>
                <w:color w:val="000000"/>
                <w:sz w:val="20"/>
                <w:szCs w:val="20"/>
                <w:highlight w:val="black"/>
              </w:rPr>
              <w:t>''''''''''''''''''''''</w:t>
            </w:r>
            <w:r>
              <w:rPr>
                <w:rFonts w:ascii="Arial Narrow" w:hAnsi="Arial Narrow" w:cs="Arial"/>
                <w:sz w:val="20"/>
                <w:szCs w:val="20"/>
                <w:vertAlign w:val="superscript"/>
              </w:rPr>
              <w:t xml:space="preserve"> b </w:t>
            </w:r>
          </w:p>
        </w:tc>
        <w:tc>
          <w:tcPr>
            <w:tcW w:w="1275" w:type="dxa"/>
          </w:tcPr>
          <w:p w:rsidR="00C27B58" w:rsidRDefault="00C27B58" w:rsidP="00C27B58">
            <w:pPr>
              <w:keepNext/>
              <w:jc w:val="both"/>
              <w:rPr>
                <w:rFonts w:ascii="Arial Narrow" w:hAnsi="Arial Narrow" w:cs="Arial"/>
                <w:sz w:val="20"/>
                <w:szCs w:val="20"/>
              </w:rPr>
            </w:pPr>
          </w:p>
          <w:p w:rsidR="00826F6D" w:rsidRPr="00260CE3" w:rsidRDefault="000E203F" w:rsidP="000E203F">
            <w:pPr>
              <w:keepNext/>
              <w:jc w:val="both"/>
              <w:rPr>
                <w:rFonts w:ascii="Arial Narrow" w:hAnsi="Arial Narrow" w:cs="Arial"/>
                <w:sz w:val="20"/>
                <w:szCs w:val="20"/>
              </w:rPr>
            </w:pPr>
            <w:r>
              <w:rPr>
                <w:rFonts w:ascii="Arial Narrow" w:hAnsi="Arial Narrow" w:cs="Arial"/>
                <w:sz w:val="20"/>
                <w:szCs w:val="20"/>
              </w:rPr>
              <w:t>LONSURF</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0E203F" w:rsidP="000E203F">
            <w:pPr>
              <w:keepNext/>
              <w:jc w:val="both"/>
              <w:rPr>
                <w:rFonts w:ascii="Arial Narrow" w:hAnsi="Arial Narrow" w:cs="Arial"/>
                <w:sz w:val="20"/>
                <w:szCs w:val="20"/>
              </w:rPr>
            </w:pPr>
            <w:r>
              <w:rPr>
                <w:rFonts w:ascii="Arial Narrow" w:hAnsi="Arial Narrow" w:cs="Arial"/>
                <w:sz w:val="20"/>
                <w:szCs w:val="20"/>
              </w:rPr>
              <w:t>Servier Laboratories</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026DDD">
              <w:rPr>
                <w:rFonts w:ascii="Arial Narrow" w:hAnsi="Arial Narrow" w:cs="Arial"/>
                <w:sz w:val="20"/>
                <w:szCs w:val="20"/>
              </w:rPr>
              <w:fldChar w:fldCharType="begin">
                <w:ffData>
                  <w:name w:val=""/>
                  <w:enabled/>
                  <w:calcOnExit w:val="0"/>
                  <w:checkBox>
                    <w:sizeAuto/>
                    <w:default w:val="1"/>
                  </w:checkBox>
                </w:ffData>
              </w:fldChar>
            </w:r>
            <w:r w:rsidR="00026DDD">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00026DDD">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026DDD" w:rsidRDefault="00826F6D" w:rsidP="00026DDD">
            <w:pPr>
              <w:pStyle w:val="ListParagraph"/>
              <w:numPr>
                <w:ilvl w:val="0"/>
                <w:numId w:val="15"/>
              </w:numPr>
              <w:rPr>
                <w:rFonts w:ascii="Arial Narrow" w:hAnsi="Arial Narrow"/>
                <w:sz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26DDD" w:rsidP="00C27B58">
            <w:pPr>
              <w:rPr>
                <w:rFonts w:ascii="Arial Narrow" w:hAnsi="Arial Narrow" w:cs="Arial"/>
                <w:sz w:val="20"/>
                <w:szCs w:val="20"/>
              </w:rPr>
            </w:pPr>
            <w:r>
              <w:rPr>
                <w:rFonts w:ascii="Arial Narrow" w:hAnsi="Arial Narrow" w:cs="Arial"/>
                <w:sz w:val="20"/>
                <w:szCs w:val="20"/>
              </w:rPr>
              <w:t>Metastatic</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26DDD" w:rsidP="00C27B58">
            <w:pPr>
              <w:rPr>
                <w:rFonts w:ascii="Arial Narrow" w:hAnsi="Arial Narrow" w:cs="Arial"/>
                <w:sz w:val="20"/>
                <w:szCs w:val="20"/>
              </w:rPr>
            </w:pPr>
            <w:r>
              <w:rPr>
                <w:rFonts w:ascii="Arial Narrow" w:hAnsi="Arial Narrow" w:cs="Arial"/>
                <w:sz w:val="20"/>
                <w:szCs w:val="20"/>
              </w:rPr>
              <w:t>Metastatic colorectal cancer</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26DDD" w:rsidP="00C27B58">
            <w:pPr>
              <w:rPr>
                <w:rFonts w:ascii="Arial Narrow" w:hAnsi="Arial Narrow" w:cs="Arial"/>
                <w:sz w:val="20"/>
                <w:szCs w:val="20"/>
              </w:rPr>
            </w:pPr>
            <w:r>
              <w:rPr>
                <w:rFonts w:ascii="Arial Narrow" w:hAnsi="Arial Narrow" w:cs="Arial"/>
                <w:sz w:val="20"/>
                <w:szCs w:val="20"/>
              </w:rPr>
              <w:t xml:space="preserve">Metastatic colorectal cancer </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4E57AF">
            <w:pPr>
              <w:jc w:val="both"/>
              <w:rPr>
                <w:rFonts w:ascii="Arial Narrow" w:hAnsi="Arial Narrow" w:cs="Arial"/>
                <w:i/>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26DDD" w:rsidP="00C27B58">
            <w:pPr>
              <w:rPr>
                <w:rFonts w:ascii="Arial Narrow" w:hAnsi="Arial Narrow" w:cs="Arial"/>
                <w:sz w:val="20"/>
                <w:szCs w:val="20"/>
              </w:rPr>
            </w:pPr>
            <w:r>
              <w:rPr>
                <w:rFonts w:ascii="Arial Narrow" w:hAnsi="Arial Narrow" w:cs="Arial"/>
                <w:sz w:val="20"/>
                <w:szCs w:val="20"/>
              </w:rPr>
              <w:t xml:space="preserve">Initial treatment </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026DDD"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w:instrText>
            </w:r>
            <w:bookmarkStart w:id="1" w:name="Check5"/>
            <w:r>
              <w:rPr>
                <w:rFonts w:ascii="Arial Narrow" w:hAnsi="Arial Narrow" w:cs="Arial"/>
                <w:sz w:val="20"/>
                <w:szCs w:val="20"/>
              </w:rPr>
              <w:instrText xml:space="preserve">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C27B58">
            <w:pPr>
              <w:jc w:val="both"/>
              <w:rPr>
                <w:rFonts w:ascii="Arial Narrow" w:hAnsi="Arial Narrow" w:cs="Arial"/>
                <w:i/>
                <w:sz w:val="20"/>
                <w:szCs w:val="20"/>
              </w:rPr>
            </w:pPr>
          </w:p>
          <w:p w:rsidR="00826F6D" w:rsidRPr="00260CE3" w:rsidRDefault="00826F6D" w:rsidP="00026DDD">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026DDD" w:rsidRPr="00026DDD" w:rsidRDefault="00026DDD" w:rsidP="00026DDD">
            <w:pPr>
              <w:rPr>
                <w:rFonts w:ascii="Arial Narrow" w:hAnsi="Arial Narrow" w:cs="Arial"/>
                <w:sz w:val="20"/>
                <w:szCs w:val="20"/>
                <w:lang w:eastAsia="en-US" w:bidi="en-US"/>
              </w:rPr>
            </w:pPr>
            <w:r w:rsidRPr="00026DDD">
              <w:rPr>
                <w:rFonts w:ascii="Arial Narrow" w:hAnsi="Arial Narrow" w:cs="Arial"/>
                <w:sz w:val="20"/>
                <w:szCs w:val="20"/>
                <w:lang w:eastAsia="en-US" w:bidi="en-US"/>
              </w:rPr>
              <w:t>Patient must have a WHO performance status of 1 or less,</w:t>
            </w:r>
          </w:p>
          <w:p w:rsidR="00026DDD" w:rsidRPr="00026DDD" w:rsidRDefault="00026DDD" w:rsidP="00026DDD">
            <w:pPr>
              <w:rPr>
                <w:rFonts w:ascii="Arial Narrow" w:hAnsi="Arial Narrow" w:cs="Arial"/>
                <w:sz w:val="20"/>
                <w:szCs w:val="20"/>
                <w:lang w:eastAsia="en-US" w:bidi="en-US"/>
              </w:rPr>
            </w:pPr>
          </w:p>
          <w:p w:rsidR="00026DDD" w:rsidRPr="00026DDD" w:rsidRDefault="00026DDD" w:rsidP="00026DDD">
            <w:pPr>
              <w:rPr>
                <w:rFonts w:ascii="Arial Narrow" w:hAnsi="Arial Narrow" w:cs="Arial"/>
                <w:sz w:val="20"/>
                <w:szCs w:val="20"/>
                <w:lang w:eastAsia="en-US" w:bidi="en-US"/>
              </w:rPr>
            </w:pPr>
            <w:r w:rsidRPr="00026DDD">
              <w:rPr>
                <w:rFonts w:ascii="Arial Narrow" w:hAnsi="Arial Narrow" w:cs="Arial"/>
                <w:sz w:val="20"/>
                <w:szCs w:val="20"/>
                <w:lang w:eastAsia="en-US" w:bidi="en-US"/>
              </w:rPr>
              <w:t>AND</w:t>
            </w:r>
          </w:p>
          <w:p w:rsidR="00026DDD" w:rsidRPr="00026DDD" w:rsidRDefault="00026DDD" w:rsidP="00026DDD">
            <w:pPr>
              <w:jc w:val="both"/>
              <w:rPr>
                <w:rFonts w:ascii="Arial Narrow" w:hAnsi="Arial Narrow" w:cs="Arial"/>
                <w:snapToGrid w:val="0"/>
                <w:sz w:val="20"/>
                <w:szCs w:val="20"/>
                <w:lang w:eastAsia="en-US" w:bidi="en-US"/>
              </w:rPr>
            </w:pPr>
          </w:p>
          <w:p w:rsidR="00026DDD" w:rsidRPr="00026DDD" w:rsidRDefault="00026DDD" w:rsidP="00026DDD">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Patient must have previously received treatment with fluoropyrimidine, oxaliplatin, irinotecan-based chemotherapies, an anti-VEGF agent and an anti-EGFR agent, OR</w:t>
            </w:r>
          </w:p>
          <w:p w:rsidR="00026DDD" w:rsidRPr="00026DDD" w:rsidRDefault="00026DDD" w:rsidP="00026DDD">
            <w:pPr>
              <w:jc w:val="both"/>
              <w:rPr>
                <w:rFonts w:ascii="Arial Narrow" w:hAnsi="Arial Narrow" w:cs="Arial"/>
                <w:snapToGrid w:val="0"/>
                <w:sz w:val="20"/>
                <w:szCs w:val="20"/>
                <w:lang w:eastAsia="en-US" w:bidi="en-US"/>
              </w:rPr>
            </w:pPr>
          </w:p>
          <w:p w:rsidR="00826F6D" w:rsidRPr="00260CE3" w:rsidRDefault="00026DDD" w:rsidP="004E57AF">
            <w:pPr>
              <w:rPr>
                <w:rFonts w:ascii="Arial Narrow" w:hAnsi="Arial Narrow" w:cs="Arial"/>
                <w:sz w:val="20"/>
                <w:szCs w:val="20"/>
              </w:rPr>
            </w:pPr>
            <w:r w:rsidRPr="00026DDD">
              <w:rPr>
                <w:rFonts w:ascii="Arial Narrow" w:hAnsi="Arial Narrow" w:cs="Arial"/>
                <w:snapToGrid w:val="0"/>
                <w:sz w:val="20"/>
                <w:szCs w:val="20"/>
                <w:lang w:eastAsia="en-US" w:bidi="en-US"/>
              </w:rPr>
              <w:t>Patient must not be a candidate for treatment with fluoropyrimidine, oxaliplatin, and irinotecan-based chemotherapies, anti-VEGF agents and anti-EGFR agents.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C27B58">
            <w:pPr>
              <w:jc w:val="both"/>
              <w:rPr>
                <w:rFonts w:ascii="Arial Narrow" w:hAnsi="Arial Narrow" w:cs="Arial"/>
                <w:i/>
                <w:sz w:val="20"/>
                <w:szCs w:val="20"/>
              </w:rPr>
            </w:pPr>
          </w:p>
          <w:p w:rsidR="00826F6D" w:rsidRPr="00260CE3" w:rsidRDefault="00826F6D" w:rsidP="00C27B5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026DDD" w:rsidRPr="00026DDD" w:rsidRDefault="00026DDD" w:rsidP="00026DDD">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The prescribed dose is not permitted to be increased once it has been reduced.</w:t>
            </w:r>
          </w:p>
          <w:p w:rsidR="00026DDD" w:rsidRPr="00026DDD" w:rsidRDefault="00026DDD" w:rsidP="00026DDD">
            <w:pPr>
              <w:jc w:val="both"/>
              <w:rPr>
                <w:rFonts w:ascii="Arial Narrow" w:hAnsi="Arial Narrow" w:cs="Arial"/>
                <w:snapToGrid w:val="0"/>
                <w:sz w:val="20"/>
                <w:szCs w:val="20"/>
                <w:lang w:eastAsia="en-US" w:bidi="en-US"/>
              </w:rPr>
            </w:pPr>
          </w:p>
          <w:p w:rsidR="00026DDD" w:rsidRPr="00026DDD" w:rsidRDefault="00026DDD" w:rsidP="00026DDD">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 xml:space="preserve">No increase in maximum quantity or number of units may be authorised. </w:t>
            </w:r>
          </w:p>
          <w:p w:rsidR="00026DDD" w:rsidRPr="00026DDD" w:rsidRDefault="00026DDD" w:rsidP="00026DDD">
            <w:pPr>
              <w:jc w:val="both"/>
              <w:rPr>
                <w:rFonts w:ascii="Arial Narrow" w:hAnsi="Arial Narrow" w:cs="Arial"/>
                <w:snapToGrid w:val="0"/>
                <w:sz w:val="20"/>
                <w:szCs w:val="20"/>
                <w:lang w:eastAsia="en-US" w:bidi="en-US"/>
              </w:rPr>
            </w:pPr>
          </w:p>
          <w:p w:rsidR="00826F6D" w:rsidRPr="00260CE3" w:rsidRDefault="00026DDD" w:rsidP="00026DDD">
            <w:pPr>
              <w:rPr>
                <w:rFonts w:ascii="Arial Narrow" w:hAnsi="Arial Narrow" w:cs="Arial"/>
                <w:sz w:val="20"/>
                <w:szCs w:val="20"/>
              </w:rPr>
            </w:pPr>
            <w:r w:rsidRPr="00026DDD">
              <w:rPr>
                <w:rFonts w:ascii="Arial Narrow" w:hAnsi="Arial Narrow" w:cs="Arial"/>
                <w:snapToGrid w:val="0"/>
                <w:sz w:val="20"/>
                <w:szCs w:val="20"/>
                <w:lang w:eastAsia="en-US" w:bidi="en-US"/>
              </w:rPr>
              <w:t>No increase in the maximum number of repeats may be authorised.</w:t>
            </w:r>
          </w:p>
        </w:tc>
      </w:tr>
    </w:tbl>
    <w:p w:rsidR="00826F6D" w:rsidRDefault="00826F6D" w:rsidP="00826F6D">
      <w:pPr>
        <w:pStyle w:val="ListParagraph"/>
        <w:rPr>
          <w:szCs w:val="22"/>
        </w:rPr>
      </w:pPr>
    </w:p>
    <w:tbl>
      <w:tblPr>
        <w:tblW w:w="8363" w:type="dxa"/>
        <w:tblInd w:w="817" w:type="dxa"/>
        <w:tblLayout w:type="fixed"/>
        <w:tblLook w:val="0000" w:firstRow="0" w:lastRow="0" w:firstColumn="0" w:lastColumn="0" w:noHBand="0" w:noVBand="0"/>
      </w:tblPr>
      <w:tblGrid>
        <w:gridCol w:w="1985"/>
        <w:gridCol w:w="6378"/>
      </w:tblGrid>
      <w:tr w:rsidR="00026DDD" w:rsidRPr="00260CE3" w:rsidTr="00AB68FD">
        <w:trPr>
          <w:cantSplit/>
          <w:trHeight w:val="360"/>
        </w:trPr>
        <w:tc>
          <w:tcPr>
            <w:tcW w:w="1985"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jc w:val="both"/>
              <w:rPr>
                <w:rFonts w:ascii="Arial Narrow" w:hAnsi="Arial Narrow" w:cs="Arial"/>
                <w:b/>
                <w:sz w:val="20"/>
                <w:szCs w:val="20"/>
              </w:rPr>
            </w:pPr>
            <w:r w:rsidRPr="00260CE3">
              <w:rPr>
                <w:rFonts w:ascii="Arial Narrow" w:hAnsi="Arial Narrow" w:cs="Arial"/>
                <w:b/>
                <w:sz w:val="20"/>
                <w:szCs w:val="20"/>
              </w:rPr>
              <w:t xml:space="preserve">Category / </w:t>
            </w:r>
          </w:p>
          <w:p w:rsidR="00026DDD" w:rsidRPr="00260CE3" w:rsidRDefault="00026DDD" w:rsidP="00AB68FD">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rPr>
                <w:rFonts w:ascii="Arial Narrow" w:hAnsi="Arial Narrow" w:cs="Arial"/>
                <w:sz w:val="20"/>
                <w:szCs w:val="20"/>
              </w:rPr>
            </w:pPr>
            <w:r w:rsidRPr="00260CE3">
              <w:rPr>
                <w:rFonts w:ascii="Arial Narrow" w:hAnsi="Arial Narrow" w:cs="Arial"/>
                <w:sz w:val="20"/>
                <w:szCs w:val="20"/>
              </w:rPr>
              <w:t>GENERAL – General Schedule (Code GE)</w:t>
            </w:r>
          </w:p>
          <w:p w:rsidR="00026DDD" w:rsidRPr="00260CE3" w:rsidRDefault="00026DDD" w:rsidP="00AB68FD">
            <w:pPr>
              <w:rPr>
                <w:rFonts w:ascii="Arial Narrow" w:hAnsi="Arial Narrow" w:cs="Arial"/>
                <w:sz w:val="20"/>
                <w:szCs w:val="20"/>
              </w:rPr>
            </w:pPr>
          </w:p>
        </w:tc>
      </w:tr>
      <w:tr w:rsidR="00026DDD" w:rsidRPr="00260CE3" w:rsidTr="00AB68FD">
        <w:trPr>
          <w:cantSplit/>
          <w:trHeight w:val="360"/>
        </w:trPr>
        <w:tc>
          <w:tcPr>
            <w:tcW w:w="1985"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26DDD" w:rsidRPr="00260CE3" w:rsidRDefault="00026DDD" w:rsidP="00AB68FD">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26DDD" w:rsidRPr="00026DDD" w:rsidTr="00AB68FD">
        <w:trPr>
          <w:cantSplit/>
          <w:trHeight w:val="360"/>
        </w:trPr>
        <w:tc>
          <w:tcPr>
            <w:tcW w:w="1985"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tcBorders>
              <w:top w:val="single" w:sz="4" w:space="0" w:color="auto"/>
              <w:left w:val="single" w:sz="4" w:space="0" w:color="auto"/>
              <w:bottom w:val="single" w:sz="4" w:space="0" w:color="auto"/>
              <w:right w:val="single" w:sz="4" w:space="0" w:color="auto"/>
            </w:tcBorders>
          </w:tcPr>
          <w:p w:rsidR="00026DDD" w:rsidRPr="00026DDD" w:rsidRDefault="00026DDD" w:rsidP="00AB68FD">
            <w:pPr>
              <w:pStyle w:val="ListParagraph"/>
              <w:numPr>
                <w:ilvl w:val="0"/>
                <w:numId w:val="15"/>
              </w:numPr>
              <w:rPr>
                <w:rFonts w:ascii="Arial Narrow" w:hAnsi="Arial Narrow"/>
                <w:sz w:val="20"/>
              </w:rPr>
            </w:pPr>
          </w:p>
        </w:tc>
      </w:tr>
      <w:tr w:rsidR="00026DDD" w:rsidRPr="00260CE3" w:rsidTr="00AB68FD">
        <w:trPr>
          <w:cantSplit/>
          <w:trHeight w:val="360"/>
        </w:trPr>
        <w:tc>
          <w:tcPr>
            <w:tcW w:w="1985"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rPr>
                <w:rFonts w:ascii="Arial Narrow" w:hAnsi="Arial Narrow" w:cs="Arial"/>
                <w:sz w:val="20"/>
                <w:szCs w:val="20"/>
              </w:rPr>
            </w:pPr>
            <w:r>
              <w:rPr>
                <w:rFonts w:ascii="Arial Narrow" w:hAnsi="Arial Narrow" w:cs="Arial"/>
                <w:sz w:val="20"/>
                <w:szCs w:val="20"/>
              </w:rPr>
              <w:t>Metastatic</w:t>
            </w:r>
          </w:p>
        </w:tc>
      </w:tr>
      <w:tr w:rsidR="00026DDD" w:rsidRPr="00260CE3" w:rsidTr="00AB68FD">
        <w:trPr>
          <w:cantSplit/>
          <w:trHeight w:val="360"/>
        </w:trPr>
        <w:tc>
          <w:tcPr>
            <w:tcW w:w="1985"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rPr>
                <w:rFonts w:ascii="Arial Narrow" w:hAnsi="Arial Narrow" w:cs="Arial"/>
                <w:sz w:val="20"/>
                <w:szCs w:val="20"/>
              </w:rPr>
            </w:pPr>
            <w:r>
              <w:rPr>
                <w:rFonts w:ascii="Arial Narrow" w:hAnsi="Arial Narrow" w:cs="Arial"/>
                <w:sz w:val="20"/>
                <w:szCs w:val="20"/>
              </w:rPr>
              <w:t>Metastatic colorectal cancer</w:t>
            </w:r>
          </w:p>
        </w:tc>
      </w:tr>
      <w:tr w:rsidR="00026DDD" w:rsidRPr="00260CE3" w:rsidTr="00AB68FD">
        <w:trPr>
          <w:cantSplit/>
          <w:trHeight w:val="360"/>
        </w:trPr>
        <w:tc>
          <w:tcPr>
            <w:tcW w:w="1985"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rPr>
                <w:rFonts w:ascii="Arial Narrow" w:hAnsi="Arial Narrow" w:cs="Arial"/>
                <w:sz w:val="20"/>
                <w:szCs w:val="20"/>
              </w:rPr>
            </w:pPr>
            <w:r>
              <w:rPr>
                <w:rFonts w:ascii="Arial Narrow" w:hAnsi="Arial Narrow" w:cs="Arial"/>
                <w:sz w:val="20"/>
                <w:szCs w:val="20"/>
              </w:rPr>
              <w:t xml:space="preserve">Metastatic colorectal cancer </w:t>
            </w:r>
          </w:p>
        </w:tc>
      </w:tr>
      <w:tr w:rsidR="00026DDD" w:rsidRPr="00260CE3" w:rsidTr="00AB68FD">
        <w:trPr>
          <w:cantSplit/>
          <w:trHeight w:val="360"/>
        </w:trPr>
        <w:tc>
          <w:tcPr>
            <w:tcW w:w="1985" w:type="dxa"/>
            <w:tcBorders>
              <w:top w:val="single" w:sz="4" w:space="0" w:color="auto"/>
              <w:left w:val="single" w:sz="4" w:space="0" w:color="auto"/>
              <w:bottom w:val="single" w:sz="4" w:space="0" w:color="auto"/>
              <w:right w:val="single" w:sz="4" w:space="0" w:color="auto"/>
            </w:tcBorders>
          </w:tcPr>
          <w:p w:rsidR="00026DDD" w:rsidRPr="00260CE3" w:rsidRDefault="00026DDD" w:rsidP="004E57AF">
            <w:pPr>
              <w:jc w:val="both"/>
              <w:rPr>
                <w:rFonts w:ascii="Arial Narrow" w:hAnsi="Arial Narrow" w:cs="Arial"/>
                <w:i/>
                <w:sz w:val="20"/>
                <w:szCs w:val="20"/>
              </w:rPr>
            </w:pPr>
            <w:r w:rsidRPr="00260CE3">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rPr>
                <w:rFonts w:ascii="Arial Narrow" w:hAnsi="Arial Narrow" w:cs="Arial"/>
                <w:sz w:val="20"/>
                <w:szCs w:val="20"/>
              </w:rPr>
            </w:pPr>
            <w:r>
              <w:rPr>
                <w:rFonts w:ascii="Arial Narrow" w:hAnsi="Arial Narrow" w:cs="Arial"/>
                <w:sz w:val="20"/>
                <w:szCs w:val="20"/>
              </w:rPr>
              <w:t xml:space="preserve">Continuing treatment </w:t>
            </w:r>
          </w:p>
        </w:tc>
      </w:tr>
      <w:tr w:rsidR="00026DDD" w:rsidRPr="00260CE3" w:rsidTr="00AB68FD">
        <w:trPr>
          <w:cantSplit/>
          <w:trHeight w:val="360"/>
        </w:trPr>
        <w:tc>
          <w:tcPr>
            <w:tcW w:w="1985"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026DDD" w:rsidRPr="00260CE3" w:rsidRDefault="00026DDD" w:rsidP="00AB68FD">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026DDD" w:rsidRPr="00106BCF" w:rsidRDefault="00026DDD" w:rsidP="00AB68FD">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026DDD" w:rsidRPr="00106BCF" w:rsidRDefault="00026DDD" w:rsidP="00AB68F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026DDD" w:rsidRPr="00106BCF" w:rsidRDefault="00026DDD" w:rsidP="00AB68FD">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026DDD" w:rsidRPr="00106BCF" w:rsidRDefault="00026DDD" w:rsidP="00AB68F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026DDD" w:rsidRPr="00106BCF" w:rsidRDefault="00026DDD" w:rsidP="00AB68FD">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026DDD" w:rsidRPr="00260CE3" w:rsidRDefault="00026DDD" w:rsidP="00AB68FD">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719AD">
              <w:rPr>
                <w:rFonts w:ascii="Arial Narrow" w:hAnsi="Arial Narrow" w:cs="Arial"/>
                <w:sz w:val="20"/>
                <w:szCs w:val="20"/>
              </w:rPr>
            </w:r>
            <w:r w:rsidR="005719AD">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026DDD" w:rsidRPr="00260CE3" w:rsidTr="00AB68FD">
        <w:trPr>
          <w:cantSplit/>
          <w:trHeight w:val="360"/>
        </w:trPr>
        <w:tc>
          <w:tcPr>
            <w:tcW w:w="1985"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jc w:val="both"/>
              <w:rPr>
                <w:rFonts w:ascii="Arial Narrow" w:hAnsi="Arial Narrow" w:cs="Arial"/>
                <w:b/>
                <w:sz w:val="20"/>
                <w:szCs w:val="20"/>
              </w:rPr>
            </w:pPr>
            <w:r w:rsidRPr="00260CE3">
              <w:rPr>
                <w:rFonts w:ascii="Arial Narrow" w:hAnsi="Arial Narrow" w:cs="Arial"/>
                <w:b/>
                <w:sz w:val="20"/>
                <w:szCs w:val="20"/>
              </w:rPr>
              <w:t>Clinical criteria:</w:t>
            </w:r>
          </w:p>
          <w:p w:rsidR="00026DDD" w:rsidRPr="00260CE3" w:rsidRDefault="00026DDD" w:rsidP="00AB68FD">
            <w:pPr>
              <w:jc w:val="both"/>
              <w:rPr>
                <w:rFonts w:ascii="Arial Narrow" w:hAnsi="Arial Narrow" w:cs="Arial"/>
                <w:i/>
                <w:sz w:val="20"/>
                <w:szCs w:val="20"/>
              </w:rPr>
            </w:pPr>
          </w:p>
          <w:p w:rsidR="00026DDD" w:rsidRPr="00260CE3" w:rsidRDefault="00026DDD" w:rsidP="00AB68FD">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026DDD" w:rsidRPr="00026DDD" w:rsidRDefault="00026DDD" w:rsidP="00026DDD">
            <w:pPr>
              <w:rPr>
                <w:rFonts w:ascii="Arial Narrow" w:hAnsi="Arial Narrow" w:cs="Arial"/>
                <w:sz w:val="20"/>
                <w:szCs w:val="20"/>
                <w:lang w:eastAsia="en-US" w:bidi="en-US"/>
              </w:rPr>
            </w:pPr>
            <w:r w:rsidRPr="00026DDD">
              <w:rPr>
                <w:rFonts w:ascii="Arial Narrow" w:hAnsi="Arial Narrow" w:cs="Arial"/>
                <w:sz w:val="20"/>
                <w:szCs w:val="20"/>
                <w:lang w:eastAsia="en-US" w:bidi="en-US"/>
              </w:rPr>
              <w:t>Patient must have previously been issued with an authority prescription for this drug for this condition,</w:t>
            </w:r>
          </w:p>
          <w:p w:rsidR="00026DDD" w:rsidRPr="00026DDD" w:rsidRDefault="00026DDD" w:rsidP="00026DDD">
            <w:pPr>
              <w:rPr>
                <w:rFonts w:ascii="Arial Narrow" w:hAnsi="Arial Narrow" w:cs="Arial"/>
                <w:sz w:val="20"/>
                <w:szCs w:val="20"/>
                <w:lang w:eastAsia="en-US" w:bidi="en-US"/>
              </w:rPr>
            </w:pPr>
          </w:p>
          <w:p w:rsidR="00026DDD" w:rsidRPr="00026DDD" w:rsidRDefault="00026DDD" w:rsidP="00026DDD">
            <w:pPr>
              <w:rPr>
                <w:rFonts w:ascii="Arial Narrow" w:hAnsi="Arial Narrow" w:cs="Arial"/>
                <w:sz w:val="20"/>
                <w:szCs w:val="20"/>
                <w:lang w:eastAsia="en-US" w:bidi="en-US"/>
              </w:rPr>
            </w:pPr>
            <w:r w:rsidRPr="00026DDD">
              <w:rPr>
                <w:rFonts w:ascii="Arial Narrow" w:hAnsi="Arial Narrow" w:cs="Arial"/>
                <w:sz w:val="20"/>
                <w:szCs w:val="20"/>
                <w:lang w:eastAsia="en-US" w:bidi="en-US"/>
              </w:rPr>
              <w:t>AND</w:t>
            </w:r>
          </w:p>
          <w:p w:rsidR="00026DDD" w:rsidRPr="00026DDD" w:rsidRDefault="00026DDD" w:rsidP="00026DDD">
            <w:pPr>
              <w:rPr>
                <w:rFonts w:ascii="Arial Narrow" w:hAnsi="Arial Narrow" w:cs="Arial"/>
                <w:sz w:val="20"/>
                <w:szCs w:val="20"/>
                <w:lang w:eastAsia="en-US" w:bidi="en-US"/>
              </w:rPr>
            </w:pPr>
          </w:p>
          <w:p w:rsidR="00026DDD" w:rsidRPr="00026DDD" w:rsidRDefault="00026DDD" w:rsidP="00026DDD">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Patient must not have progressive disease while on this drug,</w:t>
            </w:r>
          </w:p>
          <w:p w:rsidR="00026DDD" w:rsidRPr="00026DDD" w:rsidRDefault="00026DDD" w:rsidP="00026DDD">
            <w:pPr>
              <w:jc w:val="both"/>
              <w:rPr>
                <w:rFonts w:ascii="Arial Narrow" w:hAnsi="Arial Narrow" w:cs="Arial"/>
                <w:snapToGrid w:val="0"/>
                <w:sz w:val="20"/>
                <w:szCs w:val="20"/>
                <w:lang w:eastAsia="en-US" w:bidi="en-US"/>
              </w:rPr>
            </w:pPr>
          </w:p>
          <w:p w:rsidR="00026DDD" w:rsidRPr="00026DDD" w:rsidRDefault="00026DDD" w:rsidP="00026DDD">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AND</w:t>
            </w:r>
          </w:p>
          <w:p w:rsidR="00026DDD" w:rsidRPr="00026DDD" w:rsidRDefault="00026DDD" w:rsidP="00026DDD">
            <w:pPr>
              <w:jc w:val="both"/>
              <w:rPr>
                <w:rFonts w:ascii="Arial Narrow" w:hAnsi="Arial Narrow" w:cs="Arial"/>
                <w:snapToGrid w:val="0"/>
                <w:sz w:val="20"/>
                <w:szCs w:val="20"/>
                <w:lang w:eastAsia="en-US" w:bidi="en-US"/>
              </w:rPr>
            </w:pPr>
          </w:p>
          <w:p w:rsidR="00026DDD" w:rsidRPr="00260CE3" w:rsidRDefault="00026DDD" w:rsidP="004E57AF">
            <w:pPr>
              <w:rPr>
                <w:rFonts w:ascii="Arial Narrow" w:hAnsi="Arial Narrow" w:cs="Arial"/>
                <w:sz w:val="20"/>
                <w:szCs w:val="20"/>
              </w:rPr>
            </w:pPr>
            <w:r w:rsidRPr="00026DDD">
              <w:rPr>
                <w:rFonts w:ascii="Arial Narrow" w:hAnsi="Arial Narrow" w:cs="Arial"/>
                <w:snapToGrid w:val="0"/>
                <w:sz w:val="20"/>
                <w:szCs w:val="20"/>
                <w:lang w:eastAsia="en-US" w:bidi="en-US"/>
              </w:rPr>
              <w:t xml:space="preserve">The treatment must be the sole PBS-subsidised therapy for this condition. </w:t>
            </w:r>
            <w:r>
              <w:rPr>
                <w:rFonts w:ascii="Arial Narrow" w:hAnsi="Arial Narrow" w:cs="Arial"/>
                <w:snapToGrid w:val="0"/>
                <w:sz w:val="20"/>
                <w:szCs w:val="20"/>
                <w:lang w:eastAsia="en-US" w:bidi="en-US"/>
              </w:rPr>
              <w:t xml:space="preserve">  </w:t>
            </w:r>
          </w:p>
        </w:tc>
      </w:tr>
      <w:tr w:rsidR="00026DDD" w:rsidRPr="00260CE3" w:rsidTr="00AB68FD">
        <w:trPr>
          <w:cantSplit/>
          <w:trHeight w:val="360"/>
        </w:trPr>
        <w:tc>
          <w:tcPr>
            <w:tcW w:w="1985"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jc w:val="both"/>
              <w:rPr>
                <w:rFonts w:ascii="Arial Narrow" w:hAnsi="Arial Narrow" w:cs="Arial"/>
                <w:b/>
                <w:sz w:val="20"/>
                <w:szCs w:val="20"/>
              </w:rPr>
            </w:pPr>
            <w:r>
              <w:rPr>
                <w:rFonts w:ascii="Arial Narrow" w:hAnsi="Arial Narrow" w:cs="Arial"/>
                <w:b/>
                <w:sz w:val="20"/>
                <w:szCs w:val="20"/>
              </w:rPr>
              <w:t>Prescriber Instructions</w:t>
            </w:r>
          </w:p>
        </w:tc>
        <w:tc>
          <w:tcPr>
            <w:tcW w:w="6378"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rPr>
                <w:rFonts w:ascii="Arial Narrow" w:hAnsi="Arial Narrow" w:cs="Arial"/>
                <w:sz w:val="20"/>
                <w:szCs w:val="20"/>
              </w:rPr>
            </w:pPr>
            <w:r w:rsidRPr="00026DDD">
              <w:rPr>
                <w:rFonts w:ascii="Arial Narrow" w:hAnsi="Arial Narrow" w:cs="Arial"/>
                <w:sz w:val="20"/>
                <w:szCs w:val="20"/>
                <w:lang w:eastAsia="en-US" w:bidi="en-US"/>
              </w:rPr>
              <w:t>A patient who has progressive disease when treated with this drug is no longer eligible for PBS-subsidised treatment with this drug.</w:t>
            </w:r>
          </w:p>
        </w:tc>
      </w:tr>
      <w:tr w:rsidR="00026DDD" w:rsidRPr="00260CE3" w:rsidTr="00AB68FD">
        <w:trPr>
          <w:cantSplit/>
          <w:trHeight w:val="360"/>
        </w:trPr>
        <w:tc>
          <w:tcPr>
            <w:tcW w:w="1985" w:type="dxa"/>
            <w:tcBorders>
              <w:top w:val="single" w:sz="4" w:space="0" w:color="auto"/>
              <w:left w:val="single" w:sz="4" w:space="0" w:color="auto"/>
              <w:bottom w:val="single" w:sz="4" w:space="0" w:color="auto"/>
              <w:right w:val="single" w:sz="4" w:space="0" w:color="auto"/>
            </w:tcBorders>
          </w:tcPr>
          <w:p w:rsidR="00026DDD" w:rsidRPr="00260CE3" w:rsidRDefault="00026DDD" w:rsidP="00AB68FD">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026DDD" w:rsidRPr="00260CE3" w:rsidRDefault="00026DDD" w:rsidP="00AB68FD">
            <w:pPr>
              <w:jc w:val="both"/>
              <w:rPr>
                <w:rFonts w:ascii="Arial Narrow" w:hAnsi="Arial Narrow" w:cs="Arial"/>
                <w:i/>
                <w:sz w:val="20"/>
                <w:szCs w:val="20"/>
              </w:rPr>
            </w:pPr>
          </w:p>
          <w:p w:rsidR="00026DDD" w:rsidRPr="00260CE3" w:rsidRDefault="00026DDD" w:rsidP="00AB68FD">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026DDD" w:rsidRPr="00026DDD" w:rsidRDefault="00026DDD" w:rsidP="00AB68FD">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The prescribed dose is not permitted to be increased once it has been reduced.</w:t>
            </w:r>
          </w:p>
          <w:p w:rsidR="00026DDD" w:rsidRPr="00026DDD" w:rsidRDefault="00026DDD" w:rsidP="00AB68FD">
            <w:pPr>
              <w:jc w:val="both"/>
              <w:rPr>
                <w:rFonts w:ascii="Arial Narrow" w:hAnsi="Arial Narrow" w:cs="Arial"/>
                <w:snapToGrid w:val="0"/>
                <w:sz w:val="20"/>
                <w:szCs w:val="20"/>
                <w:lang w:eastAsia="en-US" w:bidi="en-US"/>
              </w:rPr>
            </w:pPr>
          </w:p>
          <w:p w:rsidR="00026DDD" w:rsidRPr="00026DDD" w:rsidRDefault="00026DDD" w:rsidP="00AB68FD">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 xml:space="preserve">No increase in maximum quantity or number of units may be authorised. </w:t>
            </w:r>
          </w:p>
          <w:p w:rsidR="00026DDD" w:rsidRPr="00026DDD" w:rsidRDefault="00026DDD" w:rsidP="00AB68FD">
            <w:pPr>
              <w:jc w:val="both"/>
              <w:rPr>
                <w:rFonts w:ascii="Arial Narrow" w:hAnsi="Arial Narrow" w:cs="Arial"/>
                <w:snapToGrid w:val="0"/>
                <w:sz w:val="20"/>
                <w:szCs w:val="20"/>
                <w:lang w:eastAsia="en-US" w:bidi="en-US"/>
              </w:rPr>
            </w:pPr>
          </w:p>
          <w:p w:rsidR="00026DDD" w:rsidRPr="00260CE3" w:rsidRDefault="00026DDD" w:rsidP="00AB68FD">
            <w:pPr>
              <w:rPr>
                <w:rFonts w:ascii="Arial Narrow" w:hAnsi="Arial Narrow" w:cs="Arial"/>
                <w:sz w:val="20"/>
                <w:szCs w:val="20"/>
              </w:rPr>
            </w:pPr>
            <w:r w:rsidRPr="00026DDD">
              <w:rPr>
                <w:rFonts w:ascii="Arial Narrow" w:hAnsi="Arial Narrow" w:cs="Arial"/>
                <w:snapToGrid w:val="0"/>
                <w:sz w:val="20"/>
                <w:szCs w:val="20"/>
                <w:lang w:eastAsia="en-US" w:bidi="en-US"/>
              </w:rPr>
              <w:t>No increase in the maximum number of repeats may be authorised.</w:t>
            </w:r>
          </w:p>
        </w:tc>
      </w:tr>
    </w:tbl>
    <w:p w:rsidR="00026DDD" w:rsidRPr="006931A5" w:rsidRDefault="00026DDD" w:rsidP="00026DDD">
      <w:pPr>
        <w:pStyle w:val="ListParagraph"/>
        <w:rPr>
          <w:rFonts w:ascii="Arial Narrow" w:hAnsi="Arial Narrow"/>
          <w:sz w:val="20"/>
        </w:rPr>
      </w:pPr>
      <w:r w:rsidRPr="006931A5">
        <w:rPr>
          <w:rFonts w:ascii="Arial Narrow" w:hAnsi="Arial Narrow"/>
          <w:sz w:val="20"/>
          <w:vertAlign w:val="superscript"/>
        </w:rPr>
        <w:t xml:space="preserve">a </w:t>
      </w:r>
      <w:r w:rsidRPr="006931A5">
        <w:rPr>
          <w:rFonts w:ascii="Arial Narrow" w:hAnsi="Arial Narrow"/>
          <w:sz w:val="20"/>
        </w:rPr>
        <w:t xml:space="preserve">Effective price = </w:t>
      </w:r>
      <w:r w:rsidRPr="00E96172">
        <w:rPr>
          <w:rFonts w:ascii="Arial Narrow" w:hAnsi="Arial Narrow"/>
          <w:sz w:val="20"/>
        </w:rPr>
        <w:t>$</w:t>
      </w:r>
      <w:r w:rsidR="005719AD">
        <w:rPr>
          <w:rFonts w:ascii="Arial Narrow" w:hAnsi="Arial Narrow"/>
          <w:noProof/>
          <w:color w:val="000000"/>
          <w:sz w:val="20"/>
          <w:highlight w:val="black"/>
        </w:rPr>
        <w:t>'''''''''''''''''''</w:t>
      </w:r>
      <w:r w:rsidR="00727DAC">
        <w:rPr>
          <w:rFonts w:ascii="Arial Narrow" w:hAnsi="Arial Narrow"/>
          <w:sz w:val="20"/>
        </w:rPr>
        <w:t xml:space="preserve"> (including </w:t>
      </w:r>
      <w:r w:rsidR="005719AD">
        <w:rPr>
          <w:rFonts w:ascii="Arial Narrow" w:hAnsi="Arial Narrow"/>
          <w:noProof/>
          <w:color w:val="000000"/>
          <w:sz w:val="20"/>
          <w:highlight w:val="black"/>
        </w:rPr>
        <w:t>'''''''''''</w:t>
      </w:r>
      <w:r>
        <w:rPr>
          <w:rFonts w:ascii="Arial Narrow" w:hAnsi="Arial Narrow"/>
          <w:sz w:val="20"/>
        </w:rPr>
        <w:t>% rebate)</w:t>
      </w:r>
    </w:p>
    <w:p w:rsidR="00026DDD" w:rsidRDefault="00026DDD" w:rsidP="00026DDD">
      <w:pPr>
        <w:pStyle w:val="ListParagraph"/>
        <w:rPr>
          <w:rFonts w:ascii="Arial Narrow" w:hAnsi="Arial Narrow"/>
          <w:sz w:val="20"/>
        </w:rPr>
      </w:pPr>
      <w:r w:rsidRPr="006931A5">
        <w:rPr>
          <w:rFonts w:ascii="Arial Narrow" w:hAnsi="Arial Narrow"/>
          <w:sz w:val="20"/>
          <w:vertAlign w:val="superscript"/>
        </w:rPr>
        <w:t>b</w:t>
      </w:r>
      <w:r w:rsidRPr="006931A5">
        <w:rPr>
          <w:rFonts w:ascii="Arial Narrow" w:hAnsi="Arial Narrow"/>
          <w:sz w:val="20"/>
        </w:rPr>
        <w:t xml:space="preserve"> Effective price = </w:t>
      </w:r>
      <w:r w:rsidRPr="00E96172">
        <w:rPr>
          <w:rFonts w:ascii="Arial Narrow" w:hAnsi="Arial Narrow"/>
          <w:sz w:val="20"/>
        </w:rPr>
        <w:t>$</w:t>
      </w:r>
      <w:r w:rsidR="005719AD">
        <w:rPr>
          <w:rFonts w:ascii="Arial Narrow" w:hAnsi="Arial Narrow"/>
          <w:noProof/>
          <w:color w:val="000000"/>
          <w:sz w:val="20"/>
          <w:highlight w:val="black"/>
        </w:rPr>
        <w:t>'''''''''''''''''''''''</w:t>
      </w:r>
      <w:r w:rsidR="00727DAC">
        <w:rPr>
          <w:rFonts w:ascii="Arial Narrow" w:hAnsi="Arial Narrow"/>
          <w:sz w:val="20"/>
        </w:rPr>
        <w:t xml:space="preserve"> (including </w:t>
      </w:r>
      <w:r w:rsidR="005719AD">
        <w:rPr>
          <w:rFonts w:ascii="Arial Narrow" w:hAnsi="Arial Narrow"/>
          <w:noProof/>
          <w:color w:val="000000"/>
          <w:sz w:val="20"/>
          <w:highlight w:val="black"/>
        </w:rPr>
        <w:t>''''''''''</w:t>
      </w:r>
      <w:r>
        <w:rPr>
          <w:rFonts w:ascii="Arial Narrow" w:hAnsi="Arial Narrow"/>
          <w:sz w:val="20"/>
        </w:rPr>
        <w:t>% rebate)</w:t>
      </w:r>
    </w:p>
    <w:p w:rsidR="000656AD" w:rsidRPr="006931A5" w:rsidRDefault="000656AD" w:rsidP="00026DDD">
      <w:pPr>
        <w:pStyle w:val="ListParagraph"/>
        <w:rPr>
          <w:rFonts w:ascii="Arial Narrow" w:hAnsi="Arial Narrow"/>
          <w:sz w:val="20"/>
        </w:rPr>
      </w:pPr>
    </w:p>
    <w:p w:rsidR="00AC193C" w:rsidRPr="00D25AEF" w:rsidRDefault="000656AD" w:rsidP="00F97689">
      <w:pPr>
        <w:pStyle w:val="ListParagraph"/>
        <w:numPr>
          <w:ilvl w:val="1"/>
          <w:numId w:val="23"/>
        </w:numPr>
        <w:rPr>
          <w:szCs w:val="22"/>
        </w:rPr>
      </w:pPr>
      <w:r>
        <w:rPr>
          <w:szCs w:val="22"/>
        </w:rPr>
        <w:t>In contrast to the March 2017 resubmission</w:t>
      </w:r>
      <w:r w:rsidR="00FB46A0">
        <w:rPr>
          <w:szCs w:val="22"/>
        </w:rPr>
        <w:t>, the minor submission</w:t>
      </w:r>
      <w:r>
        <w:rPr>
          <w:szCs w:val="22"/>
        </w:rPr>
        <w:t xml:space="preserve"> (p4) requested that the listing for trifluridine/tipiracil not permit prescribing of any repeats to allow the dosage and timing of the next cycle to be tailored to individual patients and prevent continued use in patients with disease progression.</w:t>
      </w:r>
    </w:p>
    <w:p w:rsidR="00BB7EC3" w:rsidRDefault="00BB7EC3" w:rsidP="00882085">
      <w:pPr>
        <w:jc w:val="both"/>
        <w:rPr>
          <w:rFonts w:asciiTheme="minorHAnsi" w:hAnsiTheme="minorHAnsi"/>
          <w:b/>
          <w:sz w:val="22"/>
          <w:szCs w:val="22"/>
        </w:rPr>
      </w:pPr>
    </w:p>
    <w:p w:rsidR="008740E9" w:rsidRDefault="008740E9" w:rsidP="00882085">
      <w:pPr>
        <w:jc w:val="both"/>
        <w:rPr>
          <w:rFonts w:asciiTheme="minorHAnsi" w:hAnsiTheme="minorHAnsi"/>
          <w:b/>
          <w:sz w:val="22"/>
          <w:szCs w:val="22"/>
        </w:rPr>
      </w:pPr>
      <w:r w:rsidRPr="00917E8C">
        <w:rPr>
          <w:rFonts w:asciiTheme="minorHAnsi" w:hAnsiTheme="minorHAnsi"/>
          <w:i/>
        </w:rPr>
        <w:t xml:space="preserve">For more detail on PBAC’s view, see section </w:t>
      </w:r>
      <w:r w:rsidR="003B1BF3" w:rsidRPr="00917E8C">
        <w:rPr>
          <w:rFonts w:asciiTheme="minorHAnsi" w:hAnsiTheme="minorHAnsi"/>
          <w:i/>
        </w:rPr>
        <w:t>5</w:t>
      </w:r>
      <w:r w:rsidRPr="00917E8C">
        <w:rPr>
          <w:rFonts w:asciiTheme="minorHAnsi" w:hAnsiTheme="minorHAnsi"/>
          <w:i/>
        </w:rPr>
        <w:t xml:space="preserve"> “PBAC outcome.”</w:t>
      </w:r>
    </w:p>
    <w:p w:rsidR="008740E9" w:rsidRPr="00F36CCB" w:rsidRDefault="008740E9" w:rsidP="00882085">
      <w:pPr>
        <w:jc w:val="both"/>
        <w:rPr>
          <w:rFonts w:asciiTheme="minorHAnsi" w:hAnsiTheme="minorHAnsi"/>
          <w:b/>
          <w:sz w:val="22"/>
          <w:szCs w:val="22"/>
        </w:rPr>
      </w:pPr>
    </w:p>
    <w:p w:rsidR="00CE10C4" w:rsidRPr="00F36CCB" w:rsidRDefault="00CE10C4" w:rsidP="008A50F1">
      <w:pPr>
        <w:pStyle w:val="PBACHeading1"/>
      </w:pPr>
      <w:r w:rsidRPr="00F36CCB">
        <w:t>Background</w:t>
      </w:r>
    </w:p>
    <w:p w:rsidR="00C603D4" w:rsidRPr="00F36CCB" w:rsidRDefault="00C603D4" w:rsidP="00C603D4">
      <w:pPr>
        <w:pStyle w:val="ListParagraph"/>
        <w:rPr>
          <w:i/>
          <w:szCs w:val="22"/>
        </w:rPr>
      </w:pPr>
    </w:p>
    <w:p w:rsidR="00F22032" w:rsidRDefault="00F22032" w:rsidP="00F22032">
      <w:pPr>
        <w:pStyle w:val="ListParagraph"/>
        <w:numPr>
          <w:ilvl w:val="1"/>
          <w:numId w:val="5"/>
        </w:numPr>
        <w:rPr>
          <w:szCs w:val="22"/>
        </w:rPr>
      </w:pPr>
      <w:r w:rsidRPr="00F22032">
        <w:rPr>
          <w:szCs w:val="22"/>
        </w:rPr>
        <w:t xml:space="preserve">A major submission for trifluridine/tipiracil was previously considered by the PBAC at the November 2016 meeting. The major submission was made under the TGA/PBAC parallel process. The TGA clinical evaluator’s first round report was received prior to the November 2016 PBAC meeting. </w:t>
      </w:r>
    </w:p>
    <w:p w:rsidR="00F22032" w:rsidRDefault="00F22032" w:rsidP="00F22032">
      <w:pPr>
        <w:pStyle w:val="ListParagraph"/>
        <w:rPr>
          <w:szCs w:val="22"/>
        </w:rPr>
      </w:pPr>
    </w:p>
    <w:p w:rsidR="00F22032" w:rsidRDefault="00F22032" w:rsidP="00F22032">
      <w:pPr>
        <w:pStyle w:val="ListParagraph"/>
        <w:numPr>
          <w:ilvl w:val="1"/>
          <w:numId w:val="5"/>
        </w:numPr>
        <w:rPr>
          <w:szCs w:val="22"/>
        </w:rPr>
      </w:pPr>
      <w:r w:rsidRPr="00F22032">
        <w:rPr>
          <w:szCs w:val="22"/>
        </w:rPr>
        <w:t>At the November 2016 meeting, trifluridine/tipiracil was not recommended for listing on the basis of a modest clinical benefit, high and uncertain incremental cost-effectiveness ratio, and concern that the extent of benefit as observed in the clinical trial would not be realised in clinical practice (</w:t>
      </w:r>
      <w:r w:rsidR="00455024" w:rsidRPr="00F22032">
        <w:rPr>
          <w:szCs w:val="22"/>
        </w:rPr>
        <w:t>November 2016</w:t>
      </w:r>
      <w:r w:rsidR="00455024">
        <w:rPr>
          <w:szCs w:val="22"/>
        </w:rPr>
        <w:t xml:space="preserve"> Public Summary Document (PSD) </w:t>
      </w:r>
      <w:r w:rsidRPr="00F22032">
        <w:rPr>
          <w:szCs w:val="22"/>
        </w:rPr>
        <w:t>paragraph 7.1).</w:t>
      </w:r>
    </w:p>
    <w:p w:rsidR="007A5313" w:rsidRPr="007A5313" w:rsidRDefault="007A5313" w:rsidP="007A5313">
      <w:pPr>
        <w:pStyle w:val="ListParagraph"/>
        <w:rPr>
          <w:szCs w:val="22"/>
        </w:rPr>
      </w:pPr>
    </w:p>
    <w:p w:rsidR="007A5313" w:rsidRDefault="008879F0" w:rsidP="00F22032">
      <w:pPr>
        <w:pStyle w:val="ListParagraph"/>
        <w:numPr>
          <w:ilvl w:val="1"/>
          <w:numId w:val="5"/>
        </w:numPr>
        <w:rPr>
          <w:szCs w:val="22"/>
        </w:rPr>
      </w:pPr>
      <w:r>
        <w:rPr>
          <w:szCs w:val="22"/>
        </w:rPr>
        <w:t>Trifluridine/tipiracil was again considered at the March 2017 PBAC meeting where it was not recommended for listing</w:t>
      </w:r>
      <w:r w:rsidR="0008540E">
        <w:rPr>
          <w:szCs w:val="22"/>
        </w:rPr>
        <w:t xml:space="preserve">. While the PBAC noted </w:t>
      </w:r>
      <w:r w:rsidR="00E35A6D">
        <w:rPr>
          <w:szCs w:val="22"/>
        </w:rPr>
        <w:t>the revised lower</w:t>
      </w:r>
      <w:r w:rsidR="0008540E">
        <w:rPr>
          <w:szCs w:val="22"/>
        </w:rPr>
        <w:t xml:space="preserve"> incremental-cost effectiveness ratio (ICER)</w:t>
      </w:r>
      <w:r w:rsidR="00E35A6D">
        <w:rPr>
          <w:szCs w:val="22"/>
        </w:rPr>
        <w:t xml:space="preserve"> presented</w:t>
      </w:r>
      <w:r w:rsidR="0008540E">
        <w:rPr>
          <w:szCs w:val="22"/>
        </w:rPr>
        <w:t xml:space="preserve">, it considered that the ICER remained high and uncertain </w:t>
      </w:r>
      <w:r w:rsidR="00E35A6D">
        <w:rPr>
          <w:szCs w:val="22"/>
        </w:rPr>
        <w:t>as</w:t>
      </w:r>
      <w:r w:rsidR="0008540E">
        <w:rPr>
          <w:szCs w:val="22"/>
        </w:rPr>
        <w:t xml:space="preserve"> concerns regarding the modest benefits observed in clinical practice</w:t>
      </w:r>
      <w:r w:rsidR="00E35A6D">
        <w:rPr>
          <w:szCs w:val="22"/>
        </w:rPr>
        <w:t xml:space="preserve"> remained (</w:t>
      </w:r>
      <w:r w:rsidR="00455024">
        <w:rPr>
          <w:szCs w:val="22"/>
        </w:rPr>
        <w:t xml:space="preserve">March 2017 PSD, </w:t>
      </w:r>
      <w:r w:rsidR="00E35A6D">
        <w:rPr>
          <w:szCs w:val="22"/>
        </w:rPr>
        <w:t>paragraph 5.1)</w:t>
      </w:r>
      <w:r w:rsidR="0008540E">
        <w:rPr>
          <w:szCs w:val="22"/>
        </w:rPr>
        <w:t xml:space="preserve">. </w:t>
      </w:r>
      <w:r w:rsidR="00E35A6D">
        <w:rPr>
          <w:szCs w:val="22"/>
        </w:rPr>
        <w:t>Further, the PBA</w:t>
      </w:r>
      <w:r w:rsidR="004E57AF">
        <w:rPr>
          <w:szCs w:val="22"/>
        </w:rPr>
        <w:t>C</w:t>
      </w:r>
      <w:r w:rsidR="00E35A6D">
        <w:rPr>
          <w:szCs w:val="22"/>
        </w:rPr>
        <w:t xml:space="preserve"> considered that the proposed rebates of </w:t>
      </w:r>
      <w:r w:rsidR="005719AD">
        <w:rPr>
          <w:noProof/>
          <w:color w:val="000000"/>
          <w:szCs w:val="22"/>
          <w:highlight w:val="black"/>
        </w:rPr>
        <w:t>'''''</w:t>
      </w:r>
      <w:r w:rsidR="00E35A6D">
        <w:rPr>
          <w:szCs w:val="22"/>
        </w:rPr>
        <w:t xml:space="preserve">% and </w:t>
      </w:r>
      <w:r w:rsidR="005719AD">
        <w:rPr>
          <w:noProof/>
          <w:color w:val="000000"/>
          <w:szCs w:val="22"/>
          <w:highlight w:val="black"/>
        </w:rPr>
        <w:t>'''''</w:t>
      </w:r>
      <w:r w:rsidR="00E35A6D">
        <w:rPr>
          <w:szCs w:val="22"/>
        </w:rPr>
        <w:t>% for utilisation over the financial caps were insufficient to address the significant financial impact to the PBS (</w:t>
      </w:r>
      <w:r w:rsidR="00455024">
        <w:rPr>
          <w:szCs w:val="22"/>
        </w:rPr>
        <w:t xml:space="preserve">March 2017 PSD, </w:t>
      </w:r>
      <w:r w:rsidR="00E35A6D">
        <w:rPr>
          <w:szCs w:val="22"/>
        </w:rPr>
        <w:t xml:space="preserve">paragraph 5.8).  </w:t>
      </w:r>
    </w:p>
    <w:p w:rsidR="008879F0" w:rsidRPr="008879F0" w:rsidRDefault="008879F0" w:rsidP="008879F0">
      <w:pPr>
        <w:pStyle w:val="ListParagraph"/>
        <w:rPr>
          <w:szCs w:val="22"/>
        </w:rPr>
      </w:pPr>
    </w:p>
    <w:p w:rsidR="008879F0" w:rsidRPr="008879F0" w:rsidRDefault="008879F0" w:rsidP="008879F0">
      <w:pPr>
        <w:pStyle w:val="ListParagraph"/>
        <w:numPr>
          <w:ilvl w:val="1"/>
          <w:numId w:val="5"/>
        </w:numPr>
        <w:rPr>
          <w:szCs w:val="22"/>
        </w:rPr>
      </w:pPr>
      <w:r w:rsidRPr="008879F0">
        <w:rPr>
          <w:szCs w:val="22"/>
        </w:rPr>
        <w:t>A summary of the</w:t>
      </w:r>
      <w:r>
        <w:rPr>
          <w:szCs w:val="22"/>
        </w:rPr>
        <w:t xml:space="preserve"> November 2016 major submission, </w:t>
      </w:r>
      <w:r w:rsidRPr="008879F0">
        <w:rPr>
          <w:szCs w:val="22"/>
        </w:rPr>
        <w:t>March 2017 minor resubmission</w:t>
      </w:r>
      <w:r>
        <w:rPr>
          <w:szCs w:val="22"/>
        </w:rPr>
        <w:t xml:space="preserve"> and July 2017 minor resubmission</w:t>
      </w:r>
      <w:r w:rsidRPr="008879F0">
        <w:rPr>
          <w:szCs w:val="22"/>
        </w:rPr>
        <w:t xml:space="preserve"> is presented in Table 1.  </w:t>
      </w:r>
    </w:p>
    <w:p w:rsidR="008879F0" w:rsidRPr="00F22032" w:rsidRDefault="008879F0" w:rsidP="008879F0">
      <w:pPr>
        <w:pStyle w:val="ListParagraph"/>
        <w:rPr>
          <w:szCs w:val="22"/>
        </w:rPr>
      </w:pPr>
    </w:p>
    <w:p w:rsidR="00D25AEF" w:rsidRDefault="00D25AEF" w:rsidP="008879F0">
      <w:pPr>
        <w:rPr>
          <w:rFonts w:ascii="Arial Narrow" w:hAnsi="Arial Narrow" w:cs="Arial"/>
          <w:b/>
          <w:sz w:val="20"/>
          <w:szCs w:val="22"/>
        </w:rPr>
      </w:pPr>
      <w:r>
        <w:rPr>
          <w:rFonts w:ascii="Arial Narrow" w:hAnsi="Arial Narrow" w:cs="Arial"/>
          <w:b/>
          <w:sz w:val="20"/>
          <w:szCs w:val="22"/>
        </w:rPr>
        <w:br w:type="page"/>
      </w:r>
    </w:p>
    <w:p w:rsidR="00EC4FE2" w:rsidRDefault="00EC4FE2" w:rsidP="00EC4FE2">
      <w:pPr>
        <w:pStyle w:val="Caption"/>
      </w:pPr>
      <w:r>
        <w:t xml:space="preserve">Table </w:t>
      </w:r>
      <w:r>
        <w:rPr>
          <w:noProof/>
        </w:rPr>
        <w:t>1</w:t>
      </w:r>
      <w:r w:rsidRPr="00371831">
        <w:t>: Summary of November 2016 major submission, March 2017 minor resubmission, and July 2017 minor resubmission</w:t>
      </w:r>
    </w:p>
    <w:tbl>
      <w:tblPr>
        <w:tblStyle w:val="TableGrid"/>
        <w:tblW w:w="0" w:type="auto"/>
        <w:tblLook w:val="04A0" w:firstRow="1" w:lastRow="0" w:firstColumn="1" w:lastColumn="0" w:noHBand="0" w:noVBand="1"/>
        <w:tblCaption w:val="Summary of November 2016 major submission, March 2017 minor resubmission, and July 2017 minor resubmission"/>
      </w:tblPr>
      <w:tblGrid>
        <w:gridCol w:w="1333"/>
        <w:gridCol w:w="3233"/>
        <w:gridCol w:w="2590"/>
        <w:gridCol w:w="2086"/>
      </w:tblGrid>
      <w:tr w:rsidR="008879F0" w:rsidRPr="008879F0" w:rsidTr="00EC4FE2">
        <w:trPr>
          <w:trHeight w:val="454"/>
          <w:tblHeader/>
        </w:trPr>
        <w:tc>
          <w:tcPr>
            <w:tcW w:w="0" w:type="auto"/>
          </w:tcPr>
          <w:p w:rsidR="008879F0" w:rsidRPr="008879F0" w:rsidRDefault="008879F0" w:rsidP="008879F0">
            <w:pPr>
              <w:jc w:val="center"/>
              <w:rPr>
                <w:rFonts w:ascii="Arial Narrow" w:hAnsi="Arial Narrow"/>
                <w:b/>
                <w:sz w:val="20"/>
                <w:szCs w:val="20"/>
                <w:lang w:eastAsia="en-US"/>
              </w:rPr>
            </w:pPr>
          </w:p>
        </w:tc>
        <w:tc>
          <w:tcPr>
            <w:tcW w:w="0" w:type="auto"/>
          </w:tcPr>
          <w:p w:rsidR="008879F0" w:rsidRPr="008879F0" w:rsidRDefault="008879F0" w:rsidP="008879F0">
            <w:pPr>
              <w:jc w:val="center"/>
              <w:rPr>
                <w:rFonts w:ascii="Arial Narrow" w:hAnsi="Arial Narrow"/>
                <w:b/>
                <w:sz w:val="20"/>
                <w:szCs w:val="20"/>
                <w:lang w:eastAsia="en-US"/>
              </w:rPr>
            </w:pPr>
            <w:r w:rsidRPr="008879F0">
              <w:rPr>
                <w:rFonts w:ascii="Arial Narrow" w:hAnsi="Arial Narrow"/>
                <w:b/>
                <w:sz w:val="20"/>
                <w:szCs w:val="20"/>
                <w:lang w:eastAsia="en-US"/>
              </w:rPr>
              <w:t xml:space="preserve">November 2016 major submission </w:t>
            </w:r>
          </w:p>
        </w:tc>
        <w:tc>
          <w:tcPr>
            <w:tcW w:w="0" w:type="auto"/>
            <w:vAlign w:val="center"/>
          </w:tcPr>
          <w:p w:rsidR="008879F0" w:rsidRPr="008879F0" w:rsidRDefault="008879F0" w:rsidP="008879F0">
            <w:pPr>
              <w:jc w:val="center"/>
              <w:rPr>
                <w:rFonts w:ascii="Arial Narrow" w:hAnsi="Arial Narrow"/>
                <w:b/>
                <w:sz w:val="20"/>
                <w:szCs w:val="20"/>
                <w:lang w:eastAsia="en-US"/>
              </w:rPr>
            </w:pPr>
            <w:r w:rsidRPr="008879F0">
              <w:rPr>
                <w:rFonts w:ascii="Arial Narrow" w:hAnsi="Arial Narrow"/>
                <w:b/>
                <w:sz w:val="20"/>
                <w:szCs w:val="20"/>
                <w:lang w:eastAsia="en-US"/>
              </w:rPr>
              <w:t>March 2017 minor resubmission</w:t>
            </w:r>
          </w:p>
        </w:tc>
        <w:tc>
          <w:tcPr>
            <w:tcW w:w="0" w:type="auto"/>
          </w:tcPr>
          <w:p w:rsidR="008879F0" w:rsidRPr="008879F0" w:rsidRDefault="008879F0" w:rsidP="008879F0">
            <w:pPr>
              <w:jc w:val="center"/>
              <w:rPr>
                <w:rFonts w:ascii="Arial Narrow" w:hAnsi="Arial Narrow"/>
                <w:b/>
                <w:sz w:val="20"/>
                <w:szCs w:val="20"/>
                <w:lang w:eastAsia="en-US"/>
              </w:rPr>
            </w:pPr>
            <w:r w:rsidRPr="008879F0">
              <w:rPr>
                <w:rFonts w:ascii="Arial Narrow" w:hAnsi="Arial Narrow"/>
                <w:b/>
                <w:sz w:val="20"/>
                <w:szCs w:val="20"/>
                <w:lang w:eastAsia="en-US"/>
              </w:rPr>
              <w:t xml:space="preserve">July 2017 minor resubmission </w:t>
            </w:r>
          </w:p>
        </w:tc>
      </w:tr>
      <w:tr w:rsidR="008879F0" w:rsidRPr="008879F0" w:rsidTr="00EC4FE2">
        <w:trPr>
          <w:trHeight w:val="418"/>
        </w:trPr>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 xml:space="preserve">Requested PBS listing </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Authority Required (STREAMLINED) listing for the treatment of patients with mCRC who have been treated with/not considered candidates for available therapies.</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Requested either an Authority Required or Authority Required (STREAMLINED) listing</w:t>
            </w:r>
          </w:p>
          <w:p w:rsidR="008879F0" w:rsidRPr="008879F0" w:rsidRDefault="008879F0" w:rsidP="008879F0">
            <w:pPr>
              <w:rPr>
                <w:rFonts w:ascii="Arial Narrow" w:hAnsi="Arial Narrow"/>
                <w:sz w:val="20"/>
                <w:szCs w:val="20"/>
                <w:lang w:eastAsia="en-US"/>
              </w:rPr>
            </w:pPr>
          </w:p>
          <w:p w:rsidR="008879F0" w:rsidRPr="008879F0" w:rsidRDefault="008879F0" w:rsidP="008879F0">
            <w:pPr>
              <w:rPr>
                <w:rFonts w:ascii="Arial Narrow" w:hAnsi="Arial Narrow"/>
                <w:sz w:val="20"/>
                <w:szCs w:val="20"/>
                <w:lang w:eastAsia="en-US"/>
              </w:rPr>
            </w:pPr>
            <w:r w:rsidRPr="008879F0">
              <w:rPr>
                <w:rFonts w:ascii="Arial Narrow" w:hAnsi="Arial Narrow"/>
                <w:b/>
                <w:sz w:val="20"/>
                <w:szCs w:val="20"/>
                <w:lang w:eastAsia="en-US"/>
              </w:rPr>
              <w:t xml:space="preserve">PBAC Comment: </w:t>
            </w:r>
            <w:r w:rsidRPr="008879F0">
              <w:rPr>
                <w:rFonts w:ascii="Arial Narrow" w:hAnsi="Arial Narrow"/>
                <w:sz w:val="20"/>
                <w:szCs w:val="20"/>
                <w:lang w:eastAsia="en-US"/>
              </w:rPr>
              <w:t xml:space="preserve">(paragraph 2.2) The PBAC considered the risk of leakage to indications other than mCRC to be small </w:t>
            </w:r>
            <w:r w:rsidR="005D651C" w:rsidRPr="008879F0">
              <w:rPr>
                <w:rFonts w:ascii="Arial Narrow" w:hAnsi="Arial Narrow"/>
                <w:sz w:val="20"/>
                <w:szCs w:val="20"/>
                <w:lang w:eastAsia="en-US"/>
              </w:rPr>
              <w:t>and that</w:t>
            </w:r>
            <w:r w:rsidRPr="008879F0">
              <w:rPr>
                <w:rFonts w:ascii="Arial Narrow" w:hAnsi="Arial Narrow"/>
                <w:sz w:val="20"/>
                <w:szCs w:val="20"/>
                <w:lang w:eastAsia="en-US"/>
              </w:rPr>
              <w:t xml:space="preserve"> a STREAMLINED authority may be acceptable.</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 xml:space="preserve">Authority Required (STREAMLINED) listing for the treatment of patients with mCRC who have been treated with/not considered candidates for available therapies. </w:t>
            </w:r>
          </w:p>
        </w:tc>
      </w:tr>
      <w:tr w:rsidR="008879F0" w:rsidRPr="008879F0" w:rsidTr="00EC4FE2">
        <w:trPr>
          <w:trHeight w:val="354"/>
        </w:trPr>
        <w:tc>
          <w:tcPr>
            <w:tcW w:w="0" w:type="auto"/>
            <w:vMerge w:val="restart"/>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Requested effective DPMQs</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Trifluridine 15 mg + tipiracil 6.14 mg tablet, 20: $</w:t>
            </w:r>
            <w:r w:rsidR="005719AD">
              <w:rPr>
                <w:rFonts w:ascii="Arial Narrow" w:hAnsi="Arial Narrow"/>
                <w:noProof/>
                <w:color w:val="000000"/>
                <w:sz w:val="20"/>
                <w:szCs w:val="20"/>
                <w:highlight w:val="black"/>
                <w:lang w:eastAsia="en-US"/>
              </w:rPr>
              <w:t>''''''''''''''''''''''</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w:t>
            </w:r>
            <w:r w:rsidR="005719AD">
              <w:rPr>
                <w:rFonts w:ascii="Arial Narrow" w:hAnsi="Arial Narrow"/>
                <w:noProof/>
                <w:color w:val="000000"/>
                <w:sz w:val="20"/>
                <w:szCs w:val="20"/>
                <w:highlight w:val="black"/>
                <w:lang w:eastAsia="en-US"/>
              </w:rPr>
              <w:t>'''''''''''''''''''''</w:t>
            </w:r>
          </w:p>
          <w:p w:rsidR="008879F0" w:rsidRPr="008879F0" w:rsidRDefault="008879F0" w:rsidP="008879F0">
            <w:pPr>
              <w:rPr>
                <w:rFonts w:ascii="Arial Narrow" w:hAnsi="Arial Narrow"/>
                <w:sz w:val="20"/>
                <w:szCs w:val="20"/>
                <w:lang w:eastAsia="en-US"/>
              </w:rPr>
            </w:pP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w:t>
            </w:r>
            <w:r w:rsidR="005719AD">
              <w:rPr>
                <w:rFonts w:ascii="Arial Narrow" w:hAnsi="Arial Narrow"/>
                <w:noProof/>
                <w:color w:val="000000"/>
                <w:sz w:val="20"/>
                <w:szCs w:val="20"/>
                <w:highlight w:val="black"/>
                <w:lang w:eastAsia="en-US"/>
              </w:rPr>
              <w:t>'''''''''''''''''''''</w:t>
            </w:r>
          </w:p>
          <w:p w:rsidR="008879F0" w:rsidRPr="008879F0" w:rsidRDefault="008879F0" w:rsidP="008879F0">
            <w:pPr>
              <w:contextualSpacing/>
              <w:rPr>
                <w:rFonts w:ascii="Arial Narrow" w:hAnsi="Arial Narrow"/>
                <w:sz w:val="20"/>
                <w:szCs w:val="20"/>
                <w:lang w:eastAsia="en-US"/>
              </w:rPr>
            </w:pPr>
          </w:p>
        </w:tc>
      </w:tr>
      <w:tr w:rsidR="008879F0" w:rsidRPr="008879F0" w:rsidTr="00EC4FE2">
        <w:trPr>
          <w:trHeight w:val="353"/>
        </w:trPr>
        <w:tc>
          <w:tcPr>
            <w:tcW w:w="0" w:type="auto"/>
            <w:vMerge/>
          </w:tcPr>
          <w:p w:rsidR="008879F0" w:rsidRPr="008879F0" w:rsidRDefault="008879F0" w:rsidP="008879F0">
            <w:pPr>
              <w:rPr>
                <w:rFonts w:ascii="Arial Narrow" w:hAnsi="Arial Narrow"/>
                <w:sz w:val="20"/>
                <w:szCs w:val="20"/>
                <w:lang w:eastAsia="en-US"/>
              </w:rPr>
            </w:pPr>
          </w:p>
        </w:tc>
        <w:tc>
          <w:tcPr>
            <w:tcW w:w="0" w:type="auto"/>
          </w:tcPr>
          <w:p w:rsidR="008879F0" w:rsidRPr="008879F0" w:rsidRDefault="008879F0" w:rsidP="008879F0">
            <w:pPr>
              <w:contextualSpacing/>
              <w:rPr>
                <w:rFonts w:ascii="Arial Narrow" w:hAnsi="Arial Narrow" w:cs="Arial Narrow"/>
                <w:sz w:val="20"/>
                <w:lang w:eastAsia="en-US"/>
              </w:rPr>
            </w:pPr>
            <w:r w:rsidRPr="008879F0">
              <w:rPr>
                <w:rFonts w:ascii="Arial Narrow" w:hAnsi="Arial Narrow" w:cs="Arial Narrow"/>
                <w:sz w:val="20"/>
                <w:lang w:eastAsia="en-US"/>
              </w:rPr>
              <w:t>Trifluridine 20 mg + tipiracil 8.19 mg tablet, 20: $</w:t>
            </w:r>
            <w:r w:rsidR="005719AD">
              <w:rPr>
                <w:rFonts w:ascii="Arial Narrow" w:hAnsi="Arial Narrow" w:cs="Arial Narrow"/>
                <w:noProof/>
                <w:color w:val="000000"/>
                <w:sz w:val="20"/>
                <w:highlight w:val="black"/>
                <w:lang w:eastAsia="en-US"/>
              </w:rPr>
              <w:t>'''''''''''''''''''''</w:t>
            </w:r>
          </w:p>
        </w:tc>
        <w:tc>
          <w:tcPr>
            <w:tcW w:w="0" w:type="auto"/>
          </w:tcPr>
          <w:p w:rsidR="008879F0" w:rsidRPr="008879F0" w:rsidRDefault="008879F0" w:rsidP="008879F0">
            <w:pPr>
              <w:contextualSpacing/>
              <w:rPr>
                <w:rFonts w:ascii="Arial Narrow" w:hAnsi="Arial Narrow" w:cs="Arial Narrow"/>
                <w:sz w:val="20"/>
                <w:lang w:eastAsia="en-US"/>
              </w:rPr>
            </w:pPr>
            <w:r w:rsidRPr="008879F0">
              <w:rPr>
                <w:rFonts w:ascii="Arial Narrow" w:hAnsi="Arial Narrow" w:cs="Arial Narrow"/>
                <w:sz w:val="20"/>
                <w:lang w:eastAsia="en-US"/>
              </w:rPr>
              <w:t>$</w:t>
            </w:r>
            <w:r w:rsidR="005719AD">
              <w:rPr>
                <w:rFonts w:ascii="Arial Narrow" w:hAnsi="Arial Narrow" w:cs="Arial Narrow"/>
                <w:noProof/>
                <w:color w:val="000000"/>
                <w:sz w:val="20"/>
                <w:highlight w:val="black"/>
                <w:lang w:eastAsia="en-US"/>
              </w:rPr>
              <w:t>'''''''''''''''''''</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w:t>
            </w:r>
            <w:r w:rsidR="005719AD">
              <w:rPr>
                <w:rFonts w:ascii="Arial Narrow" w:hAnsi="Arial Narrow"/>
                <w:noProof/>
                <w:color w:val="000000"/>
                <w:sz w:val="20"/>
                <w:szCs w:val="20"/>
                <w:highlight w:val="black"/>
                <w:lang w:eastAsia="en-US"/>
              </w:rPr>
              <w:t>''''''''''''''''''''''</w:t>
            </w:r>
          </w:p>
        </w:tc>
      </w:tr>
      <w:tr w:rsidR="008879F0" w:rsidRPr="008879F0" w:rsidTr="00EC4FE2">
        <w:trPr>
          <w:trHeight w:val="353"/>
        </w:trPr>
        <w:tc>
          <w:tcPr>
            <w:tcW w:w="0" w:type="auto"/>
            <w:vMerge/>
          </w:tcPr>
          <w:p w:rsidR="008879F0" w:rsidRPr="008879F0" w:rsidRDefault="008879F0" w:rsidP="008879F0">
            <w:pPr>
              <w:rPr>
                <w:rFonts w:ascii="Arial Narrow" w:hAnsi="Arial Narrow"/>
                <w:sz w:val="20"/>
                <w:szCs w:val="20"/>
                <w:lang w:eastAsia="en-US"/>
              </w:rPr>
            </w:pP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cs="Arial Narrow"/>
                <w:sz w:val="20"/>
                <w:lang w:eastAsia="en-US"/>
              </w:rPr>
              <w:t xml:space="preserve">*Prices include </w:t>
            </w:r>
            <w:r w:rsidR="005719AD">
              <w:rPr>
                <w:rFonts w:ascii="Arial Narrow" w:hAnsi="Arial Narrow" w:cs="Arial Narrow"/>
                <w:noProof/>
                <w:color w:val="000000"/>
                <w:sz w:val="20"/>
                <w:highlight w:val="black"/>
                <w:lang w:eastAsia="en-US"/>
              </w:rPr>
              <w:t>''''''''''</w:t>
            </w:r>
            <w:r w:rsidRPr="008879F0">
              <w:rPr>
                <w:rFonts w:ascii="Arial Narrow" w:hAnsi="Arial Narrow" w:cs="Arial Narrow"/>
                <w:sz w:val="20"/>
                <w:lang w:eastAsia="en-US"/>
              </w:rPr>
              <w:t>% rebate</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cs="Arial Narrow"/>
                <w:sz w:val="20"/>
                <w:lang w:eastAsia="en-US"/>
              </w:rPr>
              <w:t xml:space="preserve">*Prices include </w:t>
            </w:r>
            <w:r w:rsidR="005719AD">
              <w:rPr>
                <w:rFonts w:ascii="Arial Narrow" w:hAnsi="Arial Narrow" w:cs="Arial Narrow"/>
                <w:noProof/>
                <w:color w:val="000000"/>
                <w:sz w:val="20"/>
                <w:highlight w:val="black"/>
                <w:lang w:eastAsia="en-US"/>
              </w:rPr>
              <w:t>'''''''''''</w:t>
            </w:r>
            <w:r w:rsidRPr="008879F0">
              <w:rPr>
                <w:rFonts w:ascii="Arial Narrow" w:hAnsi="Arial Narrow" w:cs="Arial Narrow"/>
                <w:sz w:val="20"/>
                <w:lang w:eastAsia="en-US"/>
              </w:rPr>
              <w:t>% rebate</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 xml:space="preserve">*Prices include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 rebate</w:t>
            </w:r>
          </w:p>
        </w:tc>
      </w:tr>
      <w:tr w:rsidR="008879F0" w:rsidRPr="008879F0" w:rsidTr="00EC4FE2">
        <w:trPr>
          <w:trHeight w:val="418"/>
        </w:trPr>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Main comparator</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Best supportive care</w:t>
            </w:r>
          </w:p>
          <w:p w:rsidR="008879F0" w:rsidRPr="008879F0" w:rsidRDefault="008879F0" w:rsidP="008879F0">
            <w:pPr>
              <w:rPr>
                <w:rFonts w:ascii="Arial Narrow" w:hAnsi="Arial Narrow"/>
                <w:b/>
                <w:sz w:val="20"/>
                <w:szCs w:val="20"/>
                <w:lang w:eastAsia="en-US"/>
              </w:rPr>
            </w:pPr>
          </w:p>
          <w:p w:rsidR="008879F0" w:rsidRPr="008879F0" w:rsidRDefault="008879F0" w:rsidP="008879F0">
            <w:pPr>
              <w:rPr>
                <w:rFonts w:ascii="Arial Narrow" w:hAnsi="Arial Narrow"/>
                <w:sz w:val="20"/>
                <w:szCs w:val="20"/>
                <w:lang w:eastAsia="en-US"/>
              </w:rPr>
            </w:pPr>
            <w:r w:rsidRPr="008879F0">
              <w:rPr>
                <w:rFonts w:ascii="Arial Narrow" w:hAnsi="Arial Narrow"/>
                <w:b/>
                <w:sz w:val="20"/>
                <w:szCs w:val="20"/>
                <w:lang w:eastAsia="en-US"/>
              </w:rPr>
              <w:t xml:space="preserve">PBAC Comment: </w:t>
            </w:r>
            <w:r w:rsidRPr="008879F0">
              <w:rPr>
                <w:rFonts w:ascii="Arial Narrow" w:hAnsi="Arial Narrow"/>
                <w:sz w:val="20"/>
                <w:szCs w:val="20"/>
                <w:lang w:eastAsia="en-US"/>
              </w:rPr>
              <w:t>(paragraph 7.4) The PBAC considered best supportive care to be the appropriate comparator.</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 xml:space="preserve">No change </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No change</w:t>
            </w:r>
          </w:p>
        </w:tc>
      </w:tr>
      <w:tr w:rsidR="008879F0" w:rsidRPr="008879F0" w:rsidTr="00EC4FE2">
        <w:trPr>
          <w:trHeight w:val="418"/>
        </w:trPr>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 xml:space="preserve">Clinical evidence </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Primary trial: RECOURSE (n=800), head to head, randomised double blind trial (used in economic model)</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Supportive trial: J003 trial (n=169), considered supportive because of Asian ethnicity of recruited patients (not used in economic model as required ECOG data not reported)</w:t>
            </w:r>
          </w:p>
          <w:p w:rsidR="008879F0" w:rsidRPr="008879F0" w:rsidRDefault="008879F0" w:rsidP="008879F0">
            <w:pPr>
              <w:rPr>
                <w:rFonts w:ascii="Arial Narrow" w:hAnsi="Arial Narrow"/>
                <w:sz w:val="20"/>
                <w:szCs w:val="20"/>
                <w:lang w:eastAsia="en-US"/>
              </w:rPr>
            </w:pPr>
          </w:p>
          <w:p w:rsidR="008879F0" w:rsidRPr="008879F0" w:rsidRDefault="008879F0" w:rsidP="008879F0">
            <w:pPr>
              <w:rPr>
                <w:rFonts w:ascii="Arial Narrow" w:hAnsi="Arial Narrow"/>
                <w:sz w:val="20"/>
                <w:szCs w:val="20"/>
                <w:lang w:eastAsia="en-US"/>
              </w:rPr>
            </w:pPr>
            <w:r w:rsidRPr="008879F0">
              <w:rPr>
                <w:rFonts w:ascii="Arial Narrow" w:hAnsi="Arial Narrow"/>
                <w:b/>
                <w:sz w:val="20"/>
                <w:szCs w:val="20"/>
                <w:lang w:eastAsia="en-US"/>
              </w:rPr>
              <w:t xml:space="preserve">PBAC Comment: </w:t>
            </w:r>
            <w:r w:rsidRPr="008879F0">
              <w:rPr>
                <w:rFonts w:ascii="Arial Narrow" w:hAnsi="Arial Narrow"/>
                <w:sz w:val="20"/>
                <w:szCs w:val="20"/>
                <w:lang w:eastAsia="en-US"/>
              </w:rPr>
              <w:t xml:space="preserve">(paragraph 7.5) the results of the J003 trial were similar to those for the RECOURSE trial. </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Pooled analysis of RECOURSE and J003 trials used in economic model as revised model based on PFS which was reported in both trials</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No change from March 2017</w:t>
            </w:r>
          </w:p>
        </w:tc>
      </w:tr>
      <w:tr w:rsidR="008879F0" w:rsidRPr="008879F0" w:rsidTr="00EC4FE2">
        <w:trPr>
          <w:trHeight w:val="142"/>
        </w:trPr>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Key effectiveness data</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RECOURSE trial</w:t>
            </w:r>
          </w:p>
          <w:p w:rsidR="008879F0" w:rsidRPr="008879F0" w:rsidRDefault="008879F0" w:rsidP="008879F0">
            <w:pPr>
              <w:rPr>
                <w:rFonts w:ascii="Arial Narrow" w:hAnsi="Arial Narrow"/>
                <w:sz w:val="20"/>
                <w:szCs w:val="20"/>
                <w:lang w:eastAsia="en-US"/>
              </w:rPr>
            </w:pP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u w:val="single"/>
                <w:lang w:eastAsia="en-US"/>
              </w:rPr>
              <w:t>Mean overall survival, months</w:t>
            </w:r>
            <w:r w:rsidRPr="008879F0">
              <w:rPr>
                <w:rFonts w:ascii="Arial Narrow" w:hAnsi="Arial Narrow"/>
                <w:sz w:val="20"/>
                <w:szCs w:val="20"/>
                <w:lang w:eastAsia="en-US"/>
              </w:rPr>
              <w:t xml:space="preserve"> (95% CI)</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trifluridine/tipiracil: 9.7 (9.2, 10.3); placebo: 7.2 (6.6, 7.9)</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difference: 2.5 months</w:t>
            </w:r>
          </w:p>
          <w:p w:rsidR="008879F0" w:rsidRPr="008879F0" w:rsidRDefault="008879F0" w:rsidP="008879F0">
            <w:pPr>
              <w:rPr>
                <w:rFonts w:ascii="Arial Narrow" w:hAnsi="Arial Narrow"/>
                <w:sz w:val="20"/>
                <w:szCs w:val="20"/>
                <w:lang w:eastAsia="en-US"/>
              </w:rPr>
            </w:pPr>
          </w:p>
          <w:p w:rsidR="008879F0" w:rsidRPr="008879F0" w:rsidRDefault="008879F0" w:rsidP="008879F0">
            <w:pPr>
              <w:rPr>
                <w:rFonts w:ascii="Arial Narrow" w:hAnsi="Arial Narrow"/>
                <w:sz w:val="20"/>
                <w:szCs w:val="20"/>
                <w:u w:val="single"/>
                <w:lang w:eastAsia="en-US"/>
              </w:rPr>
            </w:pPr>
            <w:r w:rsidRPr="008879F0">
              <w:rPr>
                <w:rFonts w:ascii="Arial Narrow" w:hAnsi="Arial Narrow"/>
                <w:sz w:val="20"/>
                <w:szCs w:val="20"/>
                <w:u w:val="single"/>
                <w:lang w:eastAsia="en-US"/>
              </w:rPr>
              <w:t>Mean time to deterioration of ECOG-PS to ≥2, months (95% CI)</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trifluridine/tipiracil: 6.5 (6.1, 6.9), placebo: 4.8 (4.3, 5.3)</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difference: 1.7 months</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Pooled RECOURSE and J003 trials</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u w:val="single"/>
                <w:lang w:eastAsia="en-US"/>
              </w:rPr>
              <w:t>Mean overall survival, months</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 xml:space="preserve">trifluridine/tipiracil: 10.0, placebo: 7.4, difference: 2.6 </w:t>
            </w:r>
          </w:p>
          <w:p w:rsidR="008879F0" w:rsidRPr="008879F0" w:rsidRDefault="008879F0" w:rsidP="008879F0">
            <w:pPr>
              <w:rPr>
                <w:rFonts w:ascii="Arial Narrow" w:hAnsi="Arial Narrow"/>
                <w:sz w:val="20"/>
                <w:szCs w:val="20"/>
                <w:lang w:eastAsia="en-US"/>
              </w:rPr>
            </w:pPr>
          </w:p>
          <w:p w:rsidR="008879F0" w:rsidRPr="008879F0" w:rsidRDefault="008879F0" w:rsidP="008879F0">
            <w:pPr>
              <w:rPr>
                <w:rFonts w:ascii="Arial Narrow" w:hAnsi="Arial Narrow"/>
                <w:sz w:val="20"/>
                <w:szCs w:val="20"/>
                <w:u w:val="single"/>
                <w:lang w:eastAsia="en-US"/>
              </w:rPr>
            </w:pPr>
            <w:r w:rsidRPr="008879F0">
              <w:rPr>
                <w:rFonts w:ascii="Arial Narrow" w:hAnsi="Arial Narrow"/>
                <w:sz w:val="20"/>
                <w:szCs w:val="20"/>
                <w:u w:val="single"/>
                <w:lang w:eastAsia="en-US"/>
              </w:rPr>
              <w:t>Mean progression-free survival, months</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trifluridine/tipiracil: 3.7, placebo: 1.9, difference: 1.8 months</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No change from March 2017</w:t>
            </w:r>
          </w:p>
        </w:tc>
      </w:tr>
      <w:tr w:rsidR="008879F0" w:rsidRPr="008879F0" w:rsidTr="00EC4FE2">
        <w:trPr>
          <w:trHeight w:val="418"/>
        </w:trPr>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 xml:space="preserve">Clinical claim </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Superior in terms of efficacy and inferior in terms of safety to best supportive care (placebo).</w:t>
            </w:r>
          </w:p>
          <w:p w:rsidR="008879F0" w:rsidRPr="008879F0" w:rsidRDefault="008879F0" w:rsidP="008879F0">
            <w:pPr>
              <w:rPr>
                <w:rFonts w:ascii="Arial Narrow" w:hAnsi="Arial Narrow"/>
                <w:sz w:val="20"/>
                <w:szCs w:val="20"/>
                <w:lang w:eastAsia="en-US"/>
              </w:rPr>
            </w:pPr>
          </w:p>
          <w:p w:rsidR="008879F0" w:rsidRPr="008879F0" w:rsidRDefault="008879F0" w:rsidP="008879F0">
            <w:pPr>
              <w:rPr>
                <w:rFonts w:ascii="Arial Narrow" w:hAnsi="Arial Narrow"/>
                <w:sz w:val="20"/>
                <w:szCs w:val="20"/>
                <w:lang w:eastAsia="en-US"/>
              </w:rPr>
            </w:pPr>
            <w:r w:rsidRPr="008879F0">
              <w:rPr>
                <w:rFonts w:ascii="Arial Narrow" w:hAnsi="Arial Narrow"/>
                <w:b/>
                <w:sz w:val="20"/>
                <w:szCs w:val="20"/>
                <w:lang w:eastAsia="en-US"/>
              </w:rPr>
              <w:t>PBAC Comment:</w:t>
            </w:r>
            <w:r w:rsidRPr="008879F0">
              <w:rPr>
                <w:rFonts w:ascii="Arial Narrow" w:hAnsi="Arial Narrow"/>
                <w:sz w:val="20"/>
                <w:szCs w:val="20"/>
                <w:lang w:eastAsia="en-US"/>
              </w:rPr>
              <w:t xml:space="preserve"> (paragraphs 7.5, 7.6 and 7.8) </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u w:val="single"/>
                <w:lang w:eastAsia="en-US"/>
              </w:rPr>
              <w:t>Efficacy</w:t>
            </w:r>
            <w:r w:rsidRPr="008879F0">
              <w:rPr>
                <w:rFonts w:ascii="Arial Narrow" w:hAnsi="Arial Narrow"/>
                <w:sz w:val="20"/>
                <w:szCs w:val="20"/>
                <w:lang w:eastAsia="en-US"/>
              </w:rPr>
              <w:t xml:space="preserve">: claim of superior efficacy adequately supported by the data, although the magnitude of the benefit was modest and may not be realised in clinical practice. </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u w:val="single"/>
                <w:lang w:eastAsia="en-US"/>
              </w:rPr>
              <w:t xml:space="preserve">Safety: </w:t>
            </w:r>
            <w:r w:rsidRPr="008879F0">
              <w:rPr>
                <w:rFonts w:ascii="Arial Narrow" w:hAnsi="Arial Narrow"/>
                <w:sz w:val="20"/>
                <w:szCs w:val="20"/>
                <w:lang w:eastAsia="en-US"/>
              </w:rPr>
              <w:t>claim of inferior safety was reasonable. The toxicity associated with trifluridine/tipiracil was predictable, with myelosupression being the key adverse event.</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 xml:space="preserve">No change </w:t>
            </w:r>
          </w:p>
          <w:p w:rsidR="008879F0" w:rsidRPr="008879F0" w:rsidRDefault="008879F0" w:rsidP="008879F0">
            <w:pPr>
              <w:rPr>
                <w:rFonts w:ascii="Arial Narrow" w:hAnsi="Arial Narrow"/>
                <w:sz w:val="20"/>
                <w:szCs w:val="20"/>
                <w:lang w:eastAsia="en-US"/>
              </w:rPr>
            </w:pPr>
          </w:p>
          <w:p w:rsidR="008879F0" w:rsidRPr="008879F0" w:rsidRDefault="008879F0" w:rsidP="008879F0">
            <w:pPr>
              <w:rPr>
                <w:rFonts w:ascii="Arial Narrow" w:hAnsi="Arial Narrow"/>
                <w:sz w:val="20"/>
                <w:szCs w:val="20"/>
                <w:lang w:eastAsia="en-US"/>
              </w:rPr>
            </w:pPr>
            <w:r w:rsidRPr="008879F0">
              <w:rPr>
                <w:rFonts w:ascii="Arial Narrow" w:hAnsi="Arial Narrow"/>
                <w:b/>
                <w:sz w:val="20"/>
                <w:szCs w:val="20"/>
                <w:lang w:eastAsia="en-US"/>
              </w:rPr>
              <w:t xml:space="preserve">PBAC Comment: </w:t>
            </w:r>
            <w:r w:rsidRPr="008879F0">
              <w:rPr>
                <w:rFonts w:ascii="Arial Narrow" w:hAnsi="Arial Narrow"/>
                <w:sz w:val="20"/>
                <w:szCs w:val="20"/>
                <w:lang w:eastAsia="en-US"/>
              </w:rPr>
              <w:t>(paragraph 5.5) The PBAC considered the magnitude of the benefit to be modest. The PBAC reiterated its previous concern that the magnitude of benefit observed in the trials may not be realised in clinical practice.</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No change</w:t>
            </w:r>
          </w:p>
        </w:tc>
      </w:tr>
      <w:tr w:rsidR="008879F0" w:rsidRPr="008879F0" w:rsidTr="00EC4FE2">
        <w:trPr>
          <w:trHeight w:val="224"/>
        </w:trPr>
        <w:tc>
          <w:tcPr>
            <w:tcW w:w="0" w:type="auto"/>
          </w:tcPr>
          <w:p w:rsidR="008879F0" w:rsidRPr="008879F0" w:rsidDel="00D52D5B" w:rsidRDefault="008879F0" w:rsidP="008879F0">
            <w:pPr>
              <w:rPr>
                <w:rFonts w:ascii="Arial Narrow" w:hAnsi="Arial Narrow"/>
                <w:sz w:val="20"/>
                <w:szCs w:val="20"/>
                <w:lang w:eastAsia="en-US"/>
              </w:rPr>
            </w:pPr>
            <w:r w:rsidRPr="008879F0">
              <w:rPr>
                <w:rFonts w:ascii="Arial Narrow" w:hAnsi="Arial Narrow"/>
                <w:sz w:val="20"/>
                <w:szCs w:val="20"/>
                <w:lang w:eastAsia="en-US"/>
              </w:rPr>
              <w:t>Economic evaluation, model structure</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Trial based analysis (no extrapolation) using data from RECOURSE with OS partitioned based on ECOG PS.</w:t>
            </w:r>
          </w:p>
          <w:p w:rsidR="008879F0" w:rsidRPr="008879F0" w:rsidRDefault="008879F0" w:rsidP="008879F0">
            <w:pPr>
              <w:contextualSpacing/>
              <w:rPr>
                <w:rFonts w:ascii="Arial Narrow" w:hAnsi="Arial Narrow"/>
                <w:sz w:val="20"/>
                <w:szCs w:val="20"/>
                <w:lang w:eastAsia="en-US"/>
              </w:rPr>
            </w:pP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Utility values: ECOG 0,1 = 0.81, ECOG 2,3 = 0.70 (based on transformation of ECOG-PS scores, data not specific to mCRC)</w:t>
            </w:r>
          </w:p>
          <w:p w:rsidR="008879F0" w:rsidRPr="008879F0" w:rsidRDefault="008879F0" w:rsidP="008879F0">
            <w:pPr>
              <w:contextualSpacing/>
              <w:rPr>
                <w:rFonts w:ascii="Arial Narrow" w:hAnsi="Arial Narrow"/>
                <w:sz w:val="20"/>
                <w:szCs w:val="20"/>
                <w:lang w:eastAsia="en-US"/>
              </w:rPr>
            </w:pPr>
          </w:p>
          <w:p w:rsidR="008879F0" w:rsidRPr="008879F0" w:rsidRDefault="008879F0" w:rsidP="008879F0">
            <w:pPr>
              <w:contextualSpacing/>
              <w:rPr>
                <w:rFonts w:ascii="Arial Narrow" w:hAnsi="Arial Narrow"/>
                <w:sz w:val="20"/>
                <w:szCs w:val="20"/>
                <w:lang w:eastAsia="en-US"/>
              </w:rPr>
            </w:pPr>
            <w:r w:rsidRPr="008879F0">
              <w:rPr>
                <w:rFonts w:ascii="Arial Narrow" w:hAnsi="Arial Narrow"/>
                <w:b/>
                <w:sz w:val="20"/>
                <w:szCs w:val="20"/>
                <w:lang w:eastAsia="en-US"/>
              </w:rPr>
              <w:t>PBAC Comment:</w:t>
            </w:r>
            <w:r w:rsidRPr="008879F0">
              <w:rPr>
                <w:rFonts w:ascii="Arial Narrow" w:hAnsi="Arial Narrow"/>
                <w:sz w:val="20"/>
                <w:szCs w:val="20"/>
                <w:lang w:eastAsia="en-US"/>
              </w:rPr>
              <w:t xml:space="preserve"> (paragraph 7.9) a model which defined health states based on progression would be more informative, in part because such a model could be populated using utility values specific for mCRC patients.</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Trial based analysis (no extrapolation) using data from RECOURSE and J003 with OS partitioned based on PFS.</w:t>
            </w:r>
          </w:p>
          <w:p w:rsidR="008879F0" w:rsidRPr="008879F0" w:rsidRDefault="008879F0" w:rsidP="008879F0">
            <w:pPr>
              <w:contextualSpacing/>
              <w:rPr>
                <w:rFonts w:ascii="Arial Narrow" w:hAnsi="Arial Narrow"/>
                <w:sz w:val="20"/>
                <w:szCs w:val="20"/>
                <w:lang w:eastAsia="en-US"/>
              </w:rPr>
            </w:pP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Utility values: pre-progression = 0.75, post-progression = 0.59. Based on regorafenib mCRC trial with a 2.5% increase (from 0.73 to 0.75) to the pre-progression value to account for better safety profile of trifluridine/ tipiracil compared to regorafenib.</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No change from March 2017</w:t>
            </w:r>
          </w:p>
        </w:tc>
      </w:tr>
      <w:tr w:rsidR="008879F0" w:rsidRPr="008879F0" w:rsidTr="00EC4FE2">
        <w:trPr>
          <w:trHeight w:val="678"/>
        </w:trPr>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Economic evaluation, results</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Incremental costs: $</w:t>
            </w:r>
            <w:r w:rsidR="005719AD">
              <w:rPr>
                <w:rFonts w:ascii="Arial Narrow" w:hAnsi="Arial Narrow"/>
                <w:noProof/>
                <w:color w:val="000000"/>
                <w:sz w:val="20"/>
                <w:szCs w:val="20"/>
                <w:highlight w:val="black"/>
                <w:lang w:eastAsia="en-US"/>
              </w:rPr>
              <w:t>''''''''''''''''''</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Incremental time with ECOG of 0 or 1: 0.14 years</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Incremental life years: 0.21</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Incremental QALYs: 0.16</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 xml:space="preserve">ICER: </w:t>
            </w:r>
          </w:p>
          <w:p w:rsidR="008879F0" w:rsidRPr="008879F0" w:rsidRDefault="00455024" w:rsidP="00455024">
            <w:pPr>
              <w:numPr>
                <w:ilvl w:val="0"/>
                <w:numId w:val="16"/>
              </w:numPr>
              <w:contextualSpacing/>
              <w:rPr>
                <w:rFonts w:ascii="Arial Narrow" w:hAnsi="Arial Narrow"/>
                <w:sz w:val="20"/>
                <w:szCs w:val="20"/>
                <w:lang w:eastAsia="en-US"/>
              </w:rPr>
            </w:pPr>
            <w:r>
              <w:rPr>
                <w:rFonts w:ascii="Arial Narrow" w:hAnsi="Arial Narrow"/>
                <w:sz w:val="20"/>
                <w:szCs w:val="20"/>
                <w:lang w:eastAsia="en-US"/>
              </w:rPr>
              <w:t>$45,000</w:t>
            </w:r>
            <w:r w:rsidR="00D25AEF">
              <w:rPr>
                <w:rFonts w:ascii="Arial Narrow" w:hAnsi="Arial Narrow"/>
                <w:sz w:val="20"/>
                <w:szCs w:val="20"/>
                <w:lang w:eastAsia="en-US"/>
              </w:rPr>
              <w:t xml:space="preserve"> </w:t>
            </w:r>
            <w:r>
              <w:rPr>
                <w:rFonts w:ascii="Arial Narrow" w:hAnsi="Arial Narrow"/>
                <w:sz w:val="20"/>
                <w:szCs w:val="20"/>
                <w:lang w:eastAsia="en-US"/>
              </w:rPr>
              <w:t>– $75,000</w:t>
            </w:r>
            <w:r w:rsidR="00EF6085">
              <w:rPr>
                <w:rFonts w:ascii="Arial Narrow" w:hAnsi="Arial Narrow"/>
                <w:sz w:val="20"/>
                <w:szCs w:val="20"/>
                <w:lang w:eastAsia="en-US"/>
              </w:rPr>
              <w:t xml:space="preserve"> </w:t>
            </w:r>
            <w:r w:rsidR="008879F0" w:rsidRPr="008879F0">
              <w:rPr>
                <w:rFonts w:ascii="Arial Narrow" w:hAnsi="Arial Narrow"/>
                <w:sz w:val="20"/>
                <w:szCs w:val="20"/>
                <w:lang w:eastAsia="en-US"/>
              </w:rPr>
              <w:t>per LY gained</w:t>
            </w:r>
          </w:p>
          <w:p w:rsidR="008879F0" w:rsidRPr="008879F0" w:rsidRDefault="00455024" w:rsidP="00EF6085">
            <w:pPr>
              <w:numPr>
                <w:ilvl w:val="0"/>
                <w:numId w:val="16"/>
              </w:numPr>
              <w:contextualSpacing/>
              <w:rPr>
                <w:rFonts w:ascii="Arial Narrow" w:hAnsi="Arial Narrow"/>
                <w:sz w:val="20"/>
                <w:szCs w:val="20"/>
                <w:lang w:eastAsia="en-US"/>
              </w:rPr>
            </w:pPr>
            <w:r w:rsidRPr="00455024">
              <w:rPr>
                <w:rFonts w:ascii="Arial Narrow" w:hAnsi="Arial Narrow"/>
                <w:sz w:val="20"/>
                <w:szCs w:val="20"/>
                <w:lang w:eastAsia="en-US"/>
              </w:rPr>
              <w:t>$75,000</w:t>
            </w:r>
            <w:r w:rsidR="00EF6085">
              <w:rPr>
                <w:rFonts w:ascii="Arial Narrow" w:hAnsi="Arial Narrow"/>
                <w:sz w:val="20"/>
                <w:szCs w:val="20"/>
                <w:lang w:eastAsia="en-US"/>
              </w:rPr>
              <w:t xml:space="preserve"> </w:t>
            </w:r>
            <w:r w:rsidRPr="00455024">
              <w:rPr>
                <w:rFonts w:ascii="Arial Narrow" w:hAnsi="Arial Narrow"/>
                <w:sz w:val="20"/>
                <w:szCs w:val="20"/>
                <w:lang w:eastAsia="en-US"/>
              </w:rPr>
              <w:t>– $105,000/QALY</w:t>
            </w:r>
            <w:r w:rsidR="00D25AEF">
              <w:rPr>
                <w:rFonts w:ascii="Arial Narrow" w:hAnsi="Arial Narrow"/>
                <w:sz w:val="20"/>
                <w:szCs w:val="20"/>
                <w:lang w:eastAsia="en-US"/>
              </w:rPr>
              <w:t xml:space="preserve"> </w:t>
            </w:r>
            <w:r w:rsidR="008879F0" w:rsidRPr="008879F0">
              <w:rPr>
                <w:rFonts w:ascii="Arial Narrow" w:hAnsi="Arial Narrow"/>
                <w:sz w:val="20"/>
                <w:szCs w:val="20"/>
                <w:lang w:eastAsia="en-US"/>
              </w:rPr>
              <w:t>gained</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Incremental costs: $</w:t>
            </w:r>
            <w:r w:rsidR="005719AD">
              <w:rPr>
                <w:rFonts w:ascii="Arial Narrow" w:hAnsi="Arial Narrow"/>
                <w:noProof/>
                <w:color w:val="000000"/>
                <w:sz w:val="20"/>
                <w:szCs w:val="20"/>
                <w:highlight w:val="black"/>
                <w:lang w:eastAsia="en-US"/>
              </w:rPr>
              <w:t>'''''''''''''</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Incremental PFS: 0.15 years</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Incremental life years: 0.22</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Incremental QALYs: 0.15</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 xml:space="preserve">ICER: </w:t>
            </w:r>
          </w:p>
          <w:p w:rsidR="008879F0" w:rsidRPr="008879F0" w:rsidRDefault="00455024" w:rsidP="00CD5408">
            <w:pPr>
              <w:numPr>
                <w:ilvl w:val="0"/>
                <w:numId w:val="16"/>
              </w:numPr>
              <w:ind w:left="271"/>
              <w:contextualSpacing/>
              <w:rPr>
                <w:rFonts w:ascii="Arial Narrow" w:hAnsi="Arial Narrow"/>
                <w:sz w:val="20"/>
                <w:szCs w:val="20"/>
                <w:lang w:eastAsia="en-US"/>
              </w:rPr>
            </w:pPr>
            <w:r>
              <w:rPr>
                <w:rFonts w:ascii="Arial Narrow" w:hAnsi="Arial Narrow"/>
                <w:sz w:val="20"/>
                <w:szCs w:val="20"/>
                <w:lang w:eastAsia="en-US"/>
              </w:rPr>
              <w:t>$15,000- $45,000</w:t>
            </w:r>
            <w:r w:rsidR="008879F0" w:rsidRPr="008879F0">
              <w:rPr>
                <w:rFonts w:ascii="Arial Narrow" w:hAnsi="Arial Narrow"/>
                <w:sz w:val="20"/>
                <w:szCs w:val="20"/>
                <w:lang w:eastAsia="en-US"/>
              </w:rPr>
              <w:t>per LY gained</w:t>
            </w:r>
          </w:p>
          <w:p w:rsidR="008879F0" w:rsidRPr="008879F0" w:rsidRDefault="00455024" w:rsidP="00CD5408">
            <w:pPr>
              <w:numPr>
                <w:ilvl w:val="0"/>
                <w:numId w:val="16"/>
              </w:numPr>
              <w:ind w:left="271"/>
              <w:contextualSpacing/>
              <w:rPr>
                <w:rFonts w:ascii="Arial Narrow" w:hAnsi="Arial Narrow"/>
                <w:sz w:val="20"/>
                <w:szCs w:val="20"/>
                <w:lang w:eastAsia="en-US"/>
              </w:rPr>
            </w:pPr>
            <w:r w:rsidRPr="00455024">
              <w:rPr>
                <w:rFonts w:ascii="Arial Narrow" w:hAnsi="Arial Narrow"/>
                <w:sz w:val="20"/>
                <w:szCs w:val="20"/>
                <w:lang w:eastAsia="en-US"/>
              </w:rPr>
              <w:t>$45,000 – $75,000/QALY</w:t>
            </w:r>
            <w:r w:rsidR="00CD5408">
              <w:rPr>
                <w:rFonts w:ascii="Arial Narrow" w:hAnsi="Arial Narrow"/>
                <w:sz w:val="20"/>
                <w:szCs w:val="20"/>
                <w:lang w:eastAsia="en-US"/>
              </w:rPr>
              <w:t xml:space="preserve"> </w:t>
            </w:r>
            <w:r w:rsidR="008879F0" w:rsidRPr="008879F0">
              <w:rPr>
                <w:rFonts w:ascii="Arial Narrow" w:hAnsi="Arial Narrow"/>
                <w:sz w:val="20"/>
                <w:szCs w:val="20"/>
                <w:lang w:eastAsia="en-US"/>
              </w:rPr>
              <w:t>gained (</w:t>
            </w:r>
            <w:r w:rsidR="00CD5408" w:rsidRPr="00CD5408">
              <w:rPr>
                <w:rFonts w:ascii="Arial Narrow" w:hAnsi="Arial Narrow"/>
                <w:sz w:val="20"/>
                <w:szCs w:val="20"/>
                <w:lang w:eastAsia="en-US"/>
              </w:rPr>
              <w:t>$45,000</w:t>
            </w:r>
            <w:r w:rsidR="00CD5408">
              <w:rPr>
                <w:rFonts w:ascii="Arial Narrow" w:hAnsi="Arial Narrow"/>
                <w:sz w:val="20"/>
                <w:szCs w:val="20"/>
                <w:lang w:eastAsia="en-US"/>
              </w:rPr>
              <w:t xml:space="preserve">– $75,000 </w:t>
            </w:r>
            <w:r w:rsidR="008879F0" w:rsidRPr="008879F0">
              <w:rPr>
                <w:rFonts w:ascii="Arial Narrow" w:hAnsi="Arial Narrow"/>
                <w:sz w:val="20"/>
                <w:szCs w:val="20"/>
                <w:lang w:eastAsia="en-US"/>
              </w:rPr>
              <w:t>using unadjusted utility value of 0.73 for progression-free).</w:t>
            </w:r>
          </w:p>
          <w:p w:rsidR="008879F0" w:rsidRPr="008879F0" w:rsidRDefault="008879F0" w:rsidP="008879F0">
            <w:pPr>
              <w:ind w:left="360"/>
              <w:contextualSpacing/>
              <w:rPr>
                <w:rFonts w:ascii="Arial Narrow" w:hAnsi="Arial Narrow"/>
                <w:sz w:val="20"/>
                <w:szCs w:val="20"/>
                <w:lang w:eastAsia="en-US"/>
              </w:rPr>
            </w:pPr>
          </w:p>
          <w:p w:rsidR="008879F0" w:rsidRPr="008879F0" w:rsidRDefault="008879F0" w:rsidP="008879F0">
            <w:pPr>
              <w:rPr>
                <w:rFonts w:ascii="Arial Narrow" w:hAnsi="Arial Narrow"/>
                <w:sz w:val="20"/>
                <w:szCs w:val="20"/>
                <w:lang w:eastAsia="en-US"/>
              </w:rPr>
            </w:pPr>
            <w:r w:rsidRPr="008879F0">
              <w:rPr>
                <w:rFonts w:ascii="Arial Narrow" w:hAnsi="Arial Narrow"/>
                <w:b/>
                <w:sz w:val="20"/>
                <w:szCs w:val="20"/>
                <w:lang w:eastAsia="en-US"/>
              </w:rPr>
              <w:t xml:space="preserve">PBAC Comment: </w:t>
            </w:r>
            <w:r w:rsidRPr="008879F0">
              <w:rPr>
                <w:rFonts w:ascii="Arial Narrow" w:hAnsi="Arial Narrow"/>
                <w:sz w:val="20"/>
                <w:szCs w:val="20"/>
                <w:lang w:eastAsia="en-US"/>
              </w:rPr>
              <w:t>(paragraph 5.7)</w:t>
            </w:r>
          </w:p>
          <w:p w:rsidR="008879F0" w:rsidRPr="008879F0" w:rsidRDefault="008879F0" w:rsidP="00EF6085">
            <w:pPr>
              <w:rPr>
                <w:rFonts w:ascii="Arial Narrow" w:hAnsi="Arial Narrow"/>
                <w:sz w:val="20"/>
                <w:szCs w:val="20"/>
                <w:lang w:eastAsia="en-US"/>
              </w:rPr>
            </w:pPr>
            <w:r w:rsidRPr="008879F0">
              <w:rPr>
                <w:rFonts w:ascii="Arial Narrow" w:hAnsi="Arial Narrow"/>
                <w:sz w:val="20"/>
                <w:szCs w:val="20"/>
                <w:lang w:eastAsia="en-US"/>
              </w:rPr>
              <w:t xml:space="preserve">The PBAC considered the base case ICER of </w:t>
            </w:r>
            <w:r w:rsidR="00CD5408" w:rsidRPr="00CD5408">
              <w:rPr>
                <w:rFonts w:ascii="Arial Narrow" w:hAnsi="Arial Narrow"/>
                <w:sz w:val="20"/>
                <w:szCs w:val="20"/>
                <w:lang w:eastAsia="en-US"/>
              </w:rPr>
              <w:t>$45,000</w:t>
            </w:r>
            <w:r w:rsidR="00EF6085">
              <w:rPr>
                <w:rFonts w:ascii="Arial Narrow" w:hAnsi="Arial Narrow"/>
                <w:sz w:val="20"/>
                <w:szCs w:val="20"/>
                <w:lang w:eastAsia="en-US"/>
              </w:rPr>
              <w:t xml:space="preserve"> </w:t>
            </w:r>
            <w:r w:rsidR="00CD5408" w:rsidRPr="00CD5408">
              <w:rPr>
                <w:rFonts w:ascii="Arial Narrow" w:hAnsi="Arial Narrow"/>
                <w:sz w:val="20"/>
                <w:szCs w:val="20"/>
                <w:lang w:eastAsia="en-US"/>
              </w:rPr>
              <w:t>– $75,000/QALY</w:t>
            </w:r>
            <w:r w:rsidR="00CD5408">
              <w:rPr>
                <w:rFonts w:ascii="Arial Narrow" w:hAnsi="Arial Narrow"/>
                <w:sz w:val="20"/>
                <w:szCs w:val="20"/>
                <w:lang w:eastAsia="en-US"/>
              </w:rPr>
              <w:t xml:space="preserve"> </w:t>
            </w:r>
            <w:r w:rsidRPr="008879F0">
              <w:rPr>
                <w:rFonts w:ascii="Arial Narrow" w:hAnsi="Arial Narrow"/>
                <w:sz w:val="20"/>
                <w:szCs w:val="20"/>
                <w:lang w:eastAsia="en-US"/>
              </w:rPr>
              <w:t>gained presented in the resubmission to be unacceptably high and uncertain given concerns over the likely modest benefits observed in clinical practice.</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Incremental costs: $</w:t>
            </w:r>
            <w:r w:rsidR="005719AD">
              <w:rPr>
                <w:rFonts w:ascii="Arial Narrow" w:hAnsi="Arial Narrow"/>
                <w:noProof/>
                <w:color w:val="000000"/>
                <w:sz w:val="20"/>
                <w:szCs w:val="20"/>
                <w:highlight w:val="black"/>
                <w:lang w:eastAsia="en-US"/>
              </w:rPr>
              <w:t>'''''''''''''</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Incremental PFS: no change</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Incremental life years: no change</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 xml:space="preserve">Incremental QALYs: no change </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ICER:</w:t>
            </w:r>
          </w:p>
          <w:p w:rsidR="008879F0" w:rsidRPr="00282E38" w:rsidRDefault="00CD5408" w:rsidP="00CD5408">
            <w:pPr>
              <w:numPr>
                <w:ilvl w:val="0"/>
                <w:numId w:val="18"/>
              </w:numPr>
              <w:contextualSpacing/>
              <w:rPr>
                <w:rFonts w:ascii="Arial Narrow" w:hAnsi="Arial Narrow"/>
                <w:sz w:val="20"/>
                <w:szCs w:val="20"/>
                <w:lang w:eastAsia="en-US"/>
              </w:rPr>
            </w:pPr>
            <w:r w:rsidRPr="00CD5408">
              <w:rPr>
                <w:rFonts w:ascii="Arial Narrow" w:hAnsi="Arial Narrow"/>
                <w:sz w:val="20"/>
                <w:szCs w:val="20"/>
                <w:lang w:eastAsia="en-US"/>
              </w:rPr>
              <w:t>$15,000</w:t>
            </w:r>
            <w:r w:rsidR="00EF6085">
              <w:rPr>
                <w:rFonts w:ascii="Arial Narrow" w:hAnsi="Arial Narrow"/>
                <w:sz w:val="20"/>
                <w:szCs w:val="20"/>
                <w:lang w:eastAsia="en-US"/>
              </w:rPr>
              <w:t xml:space="preserve"> </w:t>
            </w:r>
            <w:r w:rsidRPr="00CD5408">
              <w:rPr>
                <w:rFonts w:ascii="Arial Narrow" w:hAnsi="Arial Narrow"/>
                <w:sz w:val="20"/>
                <w:szCs w:val="20"/>
                <w:lang w:eastAsia="en-US"/>
              </w:rPr>
              <w:t>- $45,000</w:t>
            </w:r>
            <w:r>
              <w:rPr>
                <w:rFonts w:ascii="Arial Narrow" w:hAnsi="Arial Narrow"/>
                <w:sz w:val="20"/>
                <w:szCs w:val="20"/>
                <w:lang w:eastAsia="en-US"/>
              </w:rPr>
              <w:t xml:space="preserve"> </w:t>
            </w:r>
            <w:r w:rsidR="008879F0" w:rsidRPr="00282E38">
              <w:rPr>
                <w:rFonts w:ascii="Arial Narrow" w:hAnsi="Arial Narrow"/>
                <w:sz w:val="20"/>
                <w:szCs w:val="20"/>
                <w:lang w:eastAsia="en-US"/>
              </w:rPr>
              <w:t xml:space="preserve">per LY gained </w:t>
            </w:r>
          </w:p>
          <w:p w:rsidR="008879F0" w:rsidRPr="00282E38" w:rsidRDefault="00CD5408" w:rsidP="00CD5408">
            <w:pPr>
              <w:numPr>
                <w:ilvl w:val="0"/>
                <w:numId w:val="17"/>
              </w:numPr>
              <w:contextualSpacing/>
              <w:rPr>
                <w:rFonts w:ascii="Arial Narrow" w:hAnsi="Arial Narrow"/>
                <w:sz w:val="20"/>
                <w:szCs w:val="20"/>
                <w:lang w:eastAsia="en-US"/>
              </w:rPr>
            </w:pPr>
            <w:r w:rsidRPr="00CD5408">
              <w:rPr>
                <w:rFonts w:ascii="Arial Narrow" w:hAnsi="Arial Narrow"/>
                <w:sz w:val="20"/>
                <w:szCs w:val="20"/>
                <w:lang w:eastAsia="en-US"/>
              </w:rPr>
              <w:t>$45,000</w:t>
            </w:r>
            <w:r w:rsidR="00EF6085">
              <w:rPr>
                <w:rFonts w:ascii="Arial Narrow" w:hAnsi="Arial Narrow"/>
                <w:sz w:val="20"/>
                <w:szCs w:val="20"/>
                <w:lang w:eastAsia="en-US"/>
              </w:rPr>
              <w:t xml:space="preserve"> </w:t>
            </w:r>
            <w:r w:rsidRPr="00CD5408">
              <w:rPr>
                <w:rFonts w:ascii="Arial Narrow" w:hAnsi="Arial Narrow"/>
                <w:sz w:val="20"/>
                <w:szCs w:val="20"/>
                <w:lang w:eastAsia="en-US"/>
              </w:rPr>
              <w:t xml:space="preserve">– $75,000/QALY </w:t>
            </w:r>
            <w:r w:rsidR="008879F0" w:rsidRPr="00282E38">
              <w:rPr>
                <w:rFonts w:ascii="Arial Narrow" w:hAnsi="Arial Narrow"/>
                <w:sz w:val="20"/>
                <w:szCs w:val="20"/>
                <w:lang w:eastAsia="en-US"/>
              </w:rPr>
              <w:t>gained(using unadjusted utility value of 0.73 for progression-free)</w:t>
            </w:r>
          </w:p>
          <w:p w:rsidR="008879F0" w:rsidRPr="008879F0" w:rsidRDefault="008879F0" w:rsidP="008879F0">
            <w:pPr>
              <w:ind w:left="720"/>
              <w:contextualSpacing/>
              <w:rPr>
                <w:rFonts w:ascii="Arial Narrow" w:hAnsi="Arial Narrow"/>
                <w:sz w:val="20"/>
                <w:szCs w:val="20"/>
                <w:lang w:eastAsia="en-US"/>
              </w:rPr>
            </w:pPr>
          </w:p>
        </w:tc>
      </w:tr>
      <w:tr w:rsidR="008879F0" w:rsidRPr="008879F0" w:rsidTr="00EC4FE2">
        <w:trPr>
          <w:trHeight w:val="678"/>
        </w:trPr>
        <w:tc>
          <w:tcPr>
            <w:tcW w:w="0" w:type="auto"/>
          </w:tcPr>
          <w:p w:rsidR="008879F0" w:rsidRPr="008879F0" w:rsidDel="00D52D5B" w:rsidRDefault="008879F0" w:rsidP="008879F0">
            <w:pPr>
              <w:rPr>
                <w:rFonts w:ascii="Arial Narrow" w:hAnsi="Arial Narrow"/>
                <w:sz w:val="20"/>
                <w:szCs w:val="20"/>
                <w:lang w:eastAsia="en-US"/>
              </w:rPr>
            </w:pPr>
            <w:r w:rsidRPr="008879F0">
              <w:rPr>
                <w:rFonts w:ascii="Arial Narrow" w:hAnsi="Arial Narrow"/>
                <w:sz w:val="20"/>
                <w:szCs w:val="20"/>
                <w:lang w:eastAsia="en-US"/>
              </w:rPr>
              <w:t>Number of patients and estimated net cost to PBS</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 xml:space="preserve">Patient numbers: Year 1: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 xml:space="preserve">, Year 5: </w:t>
            </w:r>
            <w:r w:rsidR="005719AD">
              <w:rPr>
                <w:rFonts w:ascii="Arial Narrow" w:hAnsi="Arial Narrow"/>
                <w:noProof/>
                <w:color w:val="000000"/>
                <w:sz w:val="20"/>
                <w:szCs w:val="20"/>
                <w:highlight w:val="black"/>
                <w:lang w:eastAsia="en-US"/>
              </w:rPr>
              <w:t>''''''''''''''</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 xml:space="preserve">Net PBS cost: Year 1: </w:t>
            </w:r>
            <w:r w:rsidR="00E32B09">
              <w:rPr>
                <w:rFonts w:ascii="Arial Narrow" w:hAnsi="Arial Narrow"/>
                <w:sz w:val="20"/>
                <w:szCs w:val="20"/>
                <w:lang w:eastAsia="en-US"/>
              </w:rPr>
              <w:t xml:space="preserve">$20 – $30 million </w:t>
            </w:r>
            <w:r w:rsidRPr="008879F0">
              <w:rPr>
                <w:rFonts w:ascii="Arial Narrow" w:hAnsi="Arial Narrow"/>
                <w:sz w:val="20"/>
                <w:szCs w:val="20"/>
                <w:lang w:eastAsia="en-US"/>
              </w:rPr>
              <w:t>, Year 5</w:t>
            </w:r>
            <w:r w:rsidR="00E32B09">
              <w:rPr>
                <w:rFonts w:ascii="Arial Narrow" w:hAnsi="Arial Narrow"/>
                <w:sz w:val="20"/>
                <w:szCs w:val="20"/>
                <w:lang w:eastAsia="en-US"/>
              </w:rPr>
              <w:t xml:space="preserve">: $30 – $60 million </w:t>
            </w:r>
          </w:p>
          <w:p w:rsidR="008879F0" w:rsidRPr="008879F0" w:rsidRDefault="008879F0" w:rsidP="008879F0">
            <w:pPr>
              <w:contextualSpacing/>
              <w:rPr>
                <w:rFonts w:ascii="Arial Narrow" w:hAnsi="Arial Narrow"/>
                <w:b/>
                <w:sz w:val="20"/>
                <w:szCs w:val="20"/>
                <w:lang w:eastAsia="en-US"/>
              </w:rPr>
            </w:pPr>
          </w:p>
          <w:p w:rsidR="008879F0" w:rsidRPr="008879F0" w:rsidRDefault="008879F0" w:rsidP="008879F0">
            <w:pPr>
              <w:contextualSpacing/>
              <w:rPr>
                <w:rFonts w:ascii="Arial Narrow" w:hAnsi="Arial Narrow"/>
                <w:sz w:val="20"/>
                <w:szCs w:val="20"/>
                <w:lang w:eastAsia="en-US"/>
              </w:rPr>
            </w:pPr>
            <w:r w:rsidRPr="008879F0">
              <w:rPr>
                <w:rFonts w:ascii="Arial Narrow" w:hAnsi="Arial Narrow"/>
                <w:b/>
                <w:sz w:val="20"/>
                <w:szCs w:val="20"/>
                <w:lang w:eastAsia="en-US"/>
              </w:rPr>
              <w:t xml:space="preserve">PBAC Comment: </w:t>
            </w:r>
            <w:r w:rsidRPr="008879F0">
              <w:rPr>
                <w:rFonts w:ascii="Arial Narrow" w:hAnsi="Arial Narrow"/>
                <w:sz w:val="20"/>
                <w:szCs w:val="20"/>
                <w:lang w:eastAsia="en-US"/>
              </w:rPr>
              <w:t>(paragraph 7.12) number of patients to be treated and the associated financial impact is likely to have been overestimated. In particular the uptake of trifluridine/tipiracil was considered to have been overestimated as to be suitable for treatment patients are required to be fit and healthy with a good performance status despite having received a number of previous treatments for their mCRC.</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Revised financial estimates not presented in the pre-PBAC response. The sponsor maintained that the utilisation estimates in the Nov 16 submission were reasonable.</w:t>
            </w:r>
          </w:p>
          <w:p w:rsidR="008879F0" w:rsidRPr="008879F0" w:rsidRDefault="008879F0" w:rsidP="008879F0">
            <w:pPr>
              <w:rPr>
                <w:rFonts w:ascii="Arial Narrow" w:hAnsi="Arial Narrow"/>
                <w:sz w:val="20"/>
                <w:szCs w:val="20"/>
                <w:lang w:eastAsia="en-US"/>
              </w:rPr>
            </w:pPr>
          </w:p>
          <w:p w:rsidR="00E32B09" w:rsidRPr="00E32B09" w:rsidRDefault="008879F0" w:rsidP="00E32B09">
            <w:pPr>
              <w:rPr>
                <w:rFonts w:ascii="Arial Narrow" w:hAnsi="Arial Narrow"/>
                <w:sz w:val="20"/>
                <w:szCs w:val="20"/>
                <w:lang w:eastAsia="en-US"/>
              </w:rPr>
            </w:pPr>
            <w:r w:rsidRPr="008879F0">
              <w:rPr>
                <w:rFonts w:ascii="Arial Narrow" w:hAnsi="Arial Narrow"/>
                <w:b/>
                <w:sz w:val="20"/>
                <w:szCs w:val="20"/>
                <w:lang w:eastAsia="en-US"/>
              </w:rPr>
              <w:t xml:space="preserve">PBAC Comment: </w:t>
            </w:r>
            <w:r w:rsidRPr="008879F0">
              <w:rPr>
                <w:rFonts w:ascii="Arial Narrow" w:hAnsi="Arial Narrow"/>
                <w:sz w:val="20"/>
                <w:szCs w:val="20"/>
                <w:lang w:eastAsia="en-US"/>
              </w:rPr>
              <w:t xml:space="preserve">(paragraph 5.8) The PBAC considered the estimated financial impact of </w:t>
            </w:r>
            <w:r w:rsidR="00E32B09">
              <w:rPr>
                <w:rFonts w:ascii="Arial Narrow" w:hAnsi="Arial Narrow"/>
                <w:sz w:val="20"/>
                <w:szCs w:val="20"/>
                <w:lang w:eastAsia="en-US"/>
              </w:rPr>
              <w:t xml:space="preserve">more than $100 million </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over 6 years to be significant. The PBAC noted that no changes to the utilisation estimates were presented in the minor resubmission compared with the original submission. The PBAC considered utilisation likely to be overestimated given the modest efficacy observed.</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Uptake rate reduced from 30% of patients treated in the first-line setting for mCRC to 24% in the first year of listing and from 36% to 28% in subsequent years</w:t>
            </w:r>
          </w:p>
          <w:p w:rsidR="008879F0" w:rsidRPr="008879F0" w:rsidRDefault="008879F0" w:rsidP="008879F0">
            <w:pPr>
              <w:contextualSpacing/>
              <w:rPr>
                <w:rFonts w:ascii="Arial Narrow" w:hAnsi="Arial Narrow"/>
                <w:sz w:val="20"/>
                <w:szCs w:val="20"/>
                <w:lang w:eastAsia="en-US"/>
              </w:rPr>
            </w:pP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 xml:space="preserve">Patient numbers: Year 1: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 xml:space="preserve"> Year 5: </w:t>
            </w:r>
            <w:r w:rsidR="005719AD">
              <w:rPr>
                <w:rFonts w:ascii="Arial Narrow" w:hAnsi="Arial Narrow"/>
                <w:noProof/>
                <w:color w:val="000000"/>
                <w:sz w:val="20"/>
                <w:szCs w:val="20"/>
                <w:highlight w:val="black"/>
                <w:lang w:eastAsia="en-US"/>
              </w:rPr>
              <w:t>'''''''''''''</w:t>
            </w:r>
          </w:p>
          <w:p w:rsidR="00620F6B"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 xml:space="preserve">Net PBS cost: </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 xml:space="preserve">Year 1: </w:t>
            </w:r>
            <w:r w:rsidR="00620F6B" w:rsidRPr="00620F6B">
              <w:rPr>
                <w:rFonts w:ascii="Arial Narrow" w:hAnsi="Arial Narrow"/>
                <w:sz w:val="20"/>
                <w:szCs w:val="20"/>
                <w:lang w:eastAsia="en-US"/>
              </w:rPr>
              <w:t>$10 – $20 million</w:t>
            </w:r>
            <w:r w:rsidRPr="008879F0">
              <w:rPr>
                <w:rFonts w:ascii="Arial Narrow" w:hAnsi="Arial Narrow"/>
                <w:sz w:val="20"/>
                <w:szCs w:val="20"/>
                <w:lang w:eastAsia="en-US"/>
              </w:rPr>
              <w:t xml:space="preserve">, Year 5: </w:t>
            </w:r>
            <w:r w:rsidR="00620F6B" w:rsidRPr="00620F6B">
              <w:rPr>
                <w:rFonts w:ascii="Arial Narrow" w:hAnsi="Arial Narrow"/>
                <w:sz w:val="20"/>
                <w:szCs w:val="20"/>
                <w:lang w:eastAsia="en-US"/>
              </w:rPr>
              <w:t>$10 – $20 million</w:t>
            </w:r>
            <w:r w:rsidR="00620F6B">
              <w:rPr>
                <w:rFonts w:ascii="Arial Narrow" w:hAnsi="Arial Narrow"/>
                <w:sz w:val="20"/>
                <w:szCs w:val="20"/>
                <w:lang w:eastAsia="en-US"/>
              </w:rPr>
              <w:t>.</w:t>
            </w:r>
          </w:p>
        </w:tc>
      </w:tr>
      <w:tr w:rsidR="008879F0" w:rsidRPr="008879F0" w:rsidTr="00EC4FE2">
        <w:trPr>
          <w:trHeight w:val="678"/>
        </w:trPr>
        <w:tc>
          <w:tcPr>
            <w:tcW w:w="0" w:type="auto"/>
          </w:tcPr>
          <w:p w:rsidR="008879F0" w:rsidRPr="008879F0" w:rsidRDefault="008879F0" w:rsidP="008879F0">
            <w:pPr>
              <w:rPr>
                <w:rFonts w:ascii="Arial Narrow" w:hAnsi="Arial Narrow"/>
                <w:sz w:val="20"/>
                <w:szCs w:val="20"/>
                <w:highlight w:val="yellow"/>
                <w:lang w:eastAsia="en-US"/>
              </w:rPr>
            </w:pPr>
            <w:r w:rsidRPr="008879F0">
              <w:rPr>
                <w:rFonts w:ascii="Arial Narrow" w:hAnsi="Arial Narrow"/>
                <w:sz w:val="20"/>
                <w:szCs w:val="20"/>
                <w:lang w:eastAsia="en-US"/>
              </w:rPr>
              <w:t>Risk share</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Acknowledged but no details.</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 xml:space="preserve">A further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 xml:space="preserve">% rebate (total of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 xml:space="preserve">%) for any actual expenditure that exceeds the annual subsidisation caps by up to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 xml:space="preserve">%. An additional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 xml:space="preserve">% rebate (total of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 xml:space="preserve">%) for any actual expenditure that exceeds the annual subsidisation caps by more than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w:t>
            </w:r>
          </w:p>
          <w:p w:rsidR="008879F0" w:rsidRPr="008879F0" w:rsidRDefault="008879F0" w:rsidP="008879F0">
            <w:pPr>
              <w:contextualSpacing/>
              <w:rPr>
                <w:rFonts w:ascii="Arial Narrow" w:hAnsi="Arial Narrow"/>
                <w:sz w:val="20"/>
                <w:szCs w:val="20"/>
                <w:lang w:eastAsia="en-US"/>
              </w:rPr>
            </w:pPr>
          </w:p>
          <w:p w:rsidR="008879F0" w:rsidRPr="008879F0" w:rsidRDefault="008879F0" w:rsidP="008879F0">
            <w:pPr>
              <w:contextualSpacing/>
              <w:rPr>
                <w:rFonts w:ascii="Arial Narrow" w:hAnsi="Arial Narrow"/>
                <w:sz w:val="20"/>
                <w:szCs w:val="20"/>
                <w:lang w:eastAsia="en-US"/>
              </w:rPr>
            </w:pPr>
            <w:r w:rsidRPr="008879F0">
              <w:rPr>
                <w:rFonts w:ascii="Arial Narrow" w:hAnsi="Arial Narrow"/>
                <w:b/>
                <w:sz w:val="20"/>
                <w:szCs w:val="20"/>
                <w:lang w:eastAsia="en-US"/>
              </w:rPr>
              <w:t xml:space="preserve">PBAC Comment: </w:t>
            </w:r>
            <w:r w:rsidRPr="008879F0">
              <w:rPr>
                <w:rFonts w:ascii="Arial Narrow" w:hAnsi="Arial Narrow"/>
                <w:sz w:val="20"/>
                <w:szCs w:val="20"/>
                <w:lang w:eastAsia="en-US"/>
              </w:rPr>
              <w:t xml:space="preserve">(paragraph 5.8) Although the PBAC considered the financial caps were unlikely to be reached, the proposed rebates of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 xml:space="preserve">% and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 were considered to be insufficient.</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 xml:space="preserve">A </w:t>
            </w:r>
            <w:r w:rsidR="005719AD">
              <w:rPr>
                <w:rFonts w:ascii="Arial Narrow" w:hAnsi="Arial Narrow"/>
                <w:noProof/>
                <w:color w:val="000000"/>
                <w:sz w:val="20"/>
                <w:szCs w:val="20"/>
                <w:highlight w:val="black"/>
                <w:lang w:eastAsia="en-US"/>
              </w:rPr>
              <w:t>'''''''''</w:t>
            </w:r>
            <w:r w:rsidRPr="008879F0">
              <w:rPr>
                <w:rFonts w:ascii="Arial Narrow" w:hAnsi="Arial Narrow"/>
                <w:sz w:val="20"/>
                <w:szCs w:val="20"/>
                <w:lang w:eastAsia="en-US"/>
              </w:rPr>
              <w:t xml:space="preserve">% rebate for any actual expenditure that exceeds the annual subsidisation caps. </w:t>
            </w:r>
          </w:p>
        </w:tc>
      </w:tr>
      <w:tr w:rsidR="008879F0" w:rsidRPr="008879F0" w:rsidTr="00EC4FE2">
        <w:trPr>
          <w:trHeight w:val="678"/>
        </w:trPr>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Advice for resubmission</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b/>
                <w:sz w:val="20"/>
                <w:szCs w:val="20"/>
                <w:lang w:eastAsia="en-US"/>
              </w:rPr>
              <w:t xml:space="preserve">PBAC Comment: </w:t>
            </w:r>
            <w:r w:rsidRPr="008879F0">
              <w:rPr>
                <w:rFonts w:ascii="Arial Narrow" w:hAnsi="Arial Narrow"/>
                <w:sz w:val="20"/>
                <w:szCs w:val="20"/>
                <w:lang w:eastAsia="en-US"/>
              </w:rPr>
              <w:t xml:space="preserve">(paragraph 7.13) any resubmission should include an economic model with health states based on progression, and the utility values from the regorafenib mCRC trial should be applied to these health states. The PBAC considered that the base case ICER for this scenario should not exceed </w:t>
            </w:r>
            <w:r w:rsidR="00EF6085">
              <w:rPr>
                <w:rFonts w:ascii="Arial Narrow" w:hAnsi="Arial Narrow"/>
                <w:sz w:val="20"/>
                <w:szCs w:val="20"/>
                <w:lang w:eastAsia="en-US"/>
              </w:rPr>
              <w:t>$45,000</w:t>
            </w:r>
            <w:r w:rsidR="008B03D9" w:rsidRPr="008B03D9">
              <w:rPr>
                <w:rFonts w:ascii="Arial Narrow" w:hAnsi="Arial Narrow"/>
                <w:sz w:val="20"/>
                <w:szCs w:val="20"/>
                <w:lang w:eastAsia="en-US"/>
              </w:rPr>
              <w:t xml:space="preserve"> – $75,000/QALY</w:t>
            </w:r>
            <w:r w:rsidR="00EF6085">
              <w:rPr>
                <w:rFonts w:ascii="Arial Narrow" w:hAnsi="Arial Narrow"/>
                <w:sz w:val="20"/>
                <w:szCs w:val="20"/>
                <w:lang w:eastAsia="en-US"/>
              </w:rPr>
              <w:t xml:space="preserve"> </w:t>
            </w:r>
            <w:r w:rsidRPr="008879F0">
              <w:rPr>
                <w:rFonts w:ascii="Arial Narrow" w:hAnsi="Arial Narrow"/>
                <w:sz w:val="20"/>
                <w:szCs w:val="20"/>
                <w:lang w:eastAsia="en-US"/>
              </w:rPr>
              <w:t>gained. The PBAC stated the resubmission would need to be in the form of a major submission if substantive changes are made to the model evaluated as part of the current submission.</w:t>
            </w:r>
          </w:p>
        </w:tc>
        <w:tc>
          <w:tcPr>
            <w:tcW w:w="0" w:type="auto"/>
          </w:tcPr>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Revised model is as requested.</w:t>
            </w:r>
          </w:p>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 xml:space="preserve">ICER </w:t>
            </w:r>
            <w:r w:rsidR="00EF6085">
              <w:rPr>
                <w:rFonts w:ascii="Arial Narrow" w:hAnsi="Arial Narrow"/>
                <w:sz w:val="20"/>
                <w:szCs w:val="20"/>
                <w:lang w:eastAsia="en-US"/>
              </w:rPr>
              <w:t>$45,000</w:t>
            </w:r>
            <w:r w:rsidR="00A70509" w:rsidRPr="00A70509">
              <w:rPr>
                <w:rFonts w:ascii="Arial Narrow" w:hAnsi="Arial Narrow"/>
                <w:sz w:val="20"/>
                <w:szCs w:val="20"/>
                <w:lang w:eastAsia="en-US"/>
              </w:rPr>
              <w:t xml:space="preserve"> – $75,000/QALY</w:t>
            </w:r>
            <w:r w:rsidR="00EE64FD">
              <w:rPr>
                <w:rFonts w:ascii="Arial Narrow" w:hAnsi="Arial Narrow"/>
                <w:sz w:val="20"/>
                <w:szCs w:val="20"/>
                <w:lang w:eastAsia="en-US"/>
              </w:rPr>
              <w:t xml:space="preserve"> </w:t>
            </w:r>
            <w:r w:rsidRPr="008879F0">
              <w:rPr>
                <w:rFonts w:ascii="Arial Narrow" w:hAnsi="Arial Narrow"/>
                <w:sz w:val="20"/>
                <w:szCs w:val="20"/>
                <w:lang w:eastAsia="en-US"/>
              </w:rPr>
              <w:t>gained. Submission considers ICER to be conservative.</w:t>
            </w:r>
          </w:p>
          <w:p w:rsidR="008879F0" w:rsidRPr="008879F0" w:rsidRDefault="008879F0" w:rsidP="008879F0">
            <w:pPr>
              <w:contextualSpacing/>
              <w:rPr>
                <w:rFonts w:ascii="Arial Narrow" w:hAnsi="Arial Narrow"/>
                <w:sz w:val="20"/>
                <w:szCs w:val="20"/>
                <w:lang w:eastAsia="en-US"/>
              </w:rPr>
            </w:pPr>
            <w:r w:rsidRPr="008879F0">
              <w:rPr>
                <w:rFonts w:ascii="Arial Narrow" w:hAnsi="Arial Narrow"/>
                <w:sz w:val="20"/>
                <w:szCs w:val="20"/>
                <w:lang w:eastAsia="en-US"/>
              </w:rPr>
              <w:t>Model changes are not substantive.</w:t>
            </w:r>
          </w:p>
          <w:p w:rsidR="008879F0" w:rsidRPr="008879F0" w:rsidRDefault="008879F0" w:rsidP="008879F0">
            <w:pPr>
              <w:rPr>
                <w:rFonts w:ascii="Arial Narrow" w:hAnsi="Arial Narrow"/>
                <w:sz w:val="20"/>
                <w:szCs w:val="20"/>
                <w:lang w:eastAsia="en-US"/>
              </w:rPr>
            </w:pPr>
          </w:p>
          <w:p w:rsidR="008879F0" w:rsidRPr="008879F0" w:rsidRDefault="008879F0" w:rsidP="008879F0">
            <w:pPr>
              <w:rPr>
                <w:rFonts w:ascii="Arial Narrow" w:hAnsi="Arial Narrow"/>
                <w:sz w:val="20"/>
                <w:szCs w:val="20"/>
                <w:lang w:eastAsia="en-US"/>
              </w:rPr>
            </w:pPr>
            <w:r w:rsidRPr="008879F0">
              <w:rPr>
                <w:rFonts w:ascii="Arial Narrow" w:hAnsi="Arial Narrow"/>
                <w:b/>
                <w:sz w:val="20"/>
                <w:szCs w:val="20"/>
                <w:lang w:eastAsia="en-US"/>
              </w:rPr>
              <w:t xml:space="preserve">PBAC Comment: </w:t>
            </w:r>
            <w:r w:rsidRPr="008879F0">
              <w:rPr>
                <w:rFonts w:ascii="Arial Narrow" w:hAnsi="Arial Narrow"/>
                <w:sz w:val="20"/>
                <w:szCs w:val="20"/>
                <w:lang w:eastAsia="en-US"/>
              </w:rPr>
              <w:t xml:space="preserve">(paragraph 5.9) any resubmission should be made subsequent to TGA approval, the benefit likely to be realised in clinical practice should be considered, and any risk share arrangement should more adequately contain the financial risk to the Commonwealth.  </w:t>
            </w:r>
          </w:p>
        </w:tc>
        <w:tc>
          <w:tcPr>
            <w:tcW w:w="0" w:type="auto"/>
          </w:tcPr>
          <w:p w:rsidR="008879F0" w:rsidRPr="008879F0" w:rsidRDefault="008879F0" w:rsidP="008879F0">
            <w:pPr>
              <w:rPr>
                <w:rFonts w:ascii="Arial Narrow" w:hAnsi="Arial Narrow"/>
                <w:sz w:val="20"/>
                <w:szCs w:val="20"/>
                <w:lang w:eastAsia="en-US"/>
              </w:rPr>
            </w:pPr>
            <w:r w:rsidRPr="008879F0">
              <w:rPr>
                <w:rFonts w:ascii="Arial Narrow" w:hAnsi="Arial Narrow"/>
                <w:sz w:val="20"/>
                <w:szCs w:val="20"/>
                <w:lang w:eastAsia="en-US"/>
              </w:rPr>
              <w:t xml:space="preserve"> </w:t>
            </w:r>
          </w:p>
        </w:tc>
      </w:tr>
    </w:tbl>
    <w:p w:rsidR="008A1956" w:rsidRPr="00F97689" w:rsidRDefault="008879F0" w:rsidP="00882085">
      <w:pPr>
        <w:jc w:val="both"/>
        <w:rPr>
          <w:rFonts w:ascii="Arial Narrow" w:hAnsi="Arial Narrow"/>
          <w:sz w:val="18"/>
          <w:szCs w:val="22"/>
        </w:rPr>
      </w:pPr>
      <w:r w:rsidRPr="00F97689">
        <w:rPr>
          <w:rFonts w:ascii="Arial Narrow" w:hAnsi="Arial Narrow"/>
          <w:sz w:val="18"/>
          <w:szCs w:val="22"/>
        </w:rPr>
        <w:t>Abbreviations: CI = confidence interval; ECOG PS = Eastern Cooperative Oncology Group Performance Status; ICER = incremental cost-effectiveness ratio; LY = life year; mCRC = metastatic colorectal cancer; OS = overall survival; PFS = progression free survival; QALY = quality adjusted life year</w:t>
      </w:r>
    </w:p>
    <w:p w:rsidR="008879F0" w:rsidRPr="00F97689" w:rsidRDefault="008879F0" w:rsidP="00882085">
      <w:pPr>
        <w:jc w:val="both"/>
        <w:rPr>
          <w:rFonts w:ascii="Arial Narrow" w:hAnsi="Arial Narrow"/>
          <w:sz w:val="18"/>
          <w:szCs w:val="22"/>
        </w:rPr>
      </w:pPr>
      <w:r w:rsidRPr="00F97689">
        <w:rPr>
          <w:rFonts w:ascii="Arial Narrow" w:hAnsi="Arial Narrow"/>
          <w:sz w:val="18"/>
          <w:szCs w:val="22"/>
        </w:rPr>
        <w:t xml:space="preserve">Source: compiled from the November 2016 PBAC Minutes, March 2017 PBAC Minutes and July 2017 minor submission. </w:t>
      </w:r>
    </w:p>
    <w:p w:rsidR="00DF26A7" w:rsidRPr="00F36CCB" w:rsidRDefault="00DF26A7" w:rsidP="00476245">
      <w:pPr>
        <w:jc w:val="both"/>
        <w:rPr>
          <w:rFonts w:asciiTheme="minorHAnsi" w:hAnsiTheme="minorHAnsi"/>
          <w:sz w:val="22"/>
          <w:szCs w:val="22"/>
        </w:rPr>
      </w:pPr>
    </w:p>
    <w:p w:rsidR="008A1956" w:rsidRDefault="008740E9" w:rsidP="00476245">
      <w:pPr>
        <w:jc w:val="both"/>
        <w:rPr>
          <w:rFonts w:asciiTheme="minorHAnsi" w:hAnsiTheme="minorHAnsi"/>
          <w:i/>
        </w:rPr>
      </w:pPr>
      <w:r w:rsidRPr="00917E8C">
        <w:rPr>
          <w:rFonts w:asciiTheme="minorHAnsi" w:hAnsiTheme="minorHAnsi"/>
          <w:i/>
        </w:rPr>
        <w:t xml:space="preserve">For more detail on PBAC’s view, see section </w:t>
      </w:r>
      <w:r w:rsidR="003B1BF3" w:rsidRPr="00917E8C">
        <w:rPr>
          <w:rFonts w:asciiTheme="minorHAnsi" w:hAnsiTheme="minorHAnsi"/>
          <w:i/>
        </w:rPr>
        <w:t>5</w:t>
      </w:r>
      <w:r w:rsidRPr="00917E8C">
        <w:rPr>
          <w:rFonts w:asciiTheme="minorHAnsi" w:hAnsiTheme="minorHAnsi"/>
          <w:i/>
        </w:rPr>
        <w:t xml:space="preserve"> “PBAC outcome.”</w:t>
      </w:r>
    </w:p>
    <w:p w:rsidR="008740E9" w:rsidRPr="00F36CCB" w:rsidRDefault="008740E9" w:rsidP="00476245">
      <w:pPr>
        <w:jc w:val="both"/>
        <w:rPr>
          <w:rFonts w:asciiTheme="minorHAnsi" w:hAnsiTheme="minorHAnsi"/>
          <w:sz w:val="22"/>
          <w:szCs w:val="22"/>
        </w:rPr>
      </w:pPr>
    </w:p>
    <w:p w:rsidR="000B558D" w:rsidRDefault="008D7A41" w:rsidP="008A50F1">
      <w:pPr>
        <w:pStyle w:val="PBACHeading1"/>
      </w:pPr>
      <w:r w:rsidRPr="00F36CCB">
        <w:t>C</w:t>
      </w:r>
      <w:r w:rsidR="00D84934" w:rsidRPr="00F36CCB">
        <w:t>onsideration of the evidence</w:t>
      </w:r>
    </w:p>
    <w:p w:rsidR="008740E9" w:rsidRPr="00F36CCB" w:rsidRDefault="008740E9" w:rsidP="008740E9"/>
    <w:p w:rsidR="008740E9" w:rsidRDefault="008740E9" w:rsidP="008740E9">
      <w:pPr>
        <w:pStyle w:val="Heading2"/>
        <w:rPr>
          <w:rFonts w:asciiTheme="minorHAnsi" w:hAnsiTheme="minorHAnsi"/>
        </w:rPr>
      </w:pPr>
      <w:r>
        <w:rPr>
          <w:rFonts w:asciiTheme="minorHAnsi" w:hAnsiTheme="minorHAnsi"/>
        </w:rPr>
        <w:t xml:space="preserve">Sponsor hearing </w:t>
      </w:r>
    </w:p>
    <w:p w:rsidR="008740E9" w:rsidRPr="008740E9" w:rsidRDefault="008740E9" w:rsidP="008740E9"/>
    <w:p w:rsidR="008740E9" w:rsidRPr="008740E9" w:rsidRDefault="008740E9" w:rsidP="008740E9">
      <w:pPr>
        <w:pStyle w:val="ListParagraph"/>
        <w:numPr>
          <w:ilvl w:val="1"/>
          <w:numId w:val="5"/>
        </w:numPr>
      </w:pPr>
      <w:r>
        <w:rPr>
          <w:szCs w:val="22"/>
        </w:rPr>
        <w:t>There was no hearing for this item as it was a minor submission.</w:t>
      </w:r>
    </w:p>
    <w:p w:rsidR="008740E9" w:rsidRDefault="008740E9" w:rsidP="00CE76C9"/>
    <w:p w:rsidR="008740E9" w:rsidRDefault="008740E9" w:rsidP="008740E9">
      <w:pPr>
        <w:pStyle w:val="Heading2"/>
        <w:rPr>
          <w:rFonts w:asciiTheme="minorHAnsi" w:hAnsiTheme="minorHAnsi"/>
        </w:rPr>
      </w:pPr>
      <w:r>
        <w:rPr>
          <w:rFonts w:asciiTheme="minorHAnsi" w:hAnsiTheme="minorHAnsi"/>
        </w:rPr>
        <w:t>Consumer comments</w:t>
      </w:r>
    </w:p>
    <w:p w:rsidR="008740E9" w:rsidRPr="008740E9" w:rsidRDefault="008740E9" w:rsidP="008740E9"/>
    <w:p w:rsidR="008740E9" w:rsidRPr="008740E9" w:rsidRDefault="00D05EAC" w:rsidP="00D05EAC">
      <w:pPr>
        <w:pStyle w:val="ListParagraph"/>
        <w:numPr>
          <w:ilvl w:val="1"/>
          <w:numId w:val="5"/>
        </w:numPr>
      </w:pPr>
      <w:r w:rsidRPr="00D05EAC">
        <w:rPr>
          <w:szCs w:val="22"/>
        </w:rPr>
        <w:t xml:space="preserve">The Medical Oncology Group of Australia (MOGA) </w:t>
      </w:r>
      <w:r>
        <w:rPr>
          <w:szCs w:val="22"/>
        </w:rPr>
        <w:t xml:space="preserve">reiterated its previous </w:t>
      </w:r>
      <w:r w:rsidRPr="00D05EAC">
        <w:rPr>
          <w:szCs w:val="22"/>
        </w:rPr>
        <w:t>support for the trifluridine/tipiracil submission. It was noted that the indication for this item represents an area of unmet need after failure of standard prior therapies and trifluridine/tipiracil has a proven survival benefit in a phase 3 trial. The PBAC noted that the MOGA presented the European Society for Medical Oncology Magnitude of Clinical Benefit Scale (ESMO-MCBS) for trifluridine/tipiracil, which was limited to 2 (out of a maximum of 5, where 5 and 4 represent the grades with substantial improvement) , based on a comparison with placebo.</w:t>
      </w:r>
    </w:p>
    <w:p w:rsidR="00BB7EC3" w:rsidRPr="00F36CCB" w:rsidRDefault="00BB7EC3" w:rsidP="00F9629A">
      <w:pPr>
        <w:jc w:val="both"/>
        <w:rPr>
          <w:rFonts w:asciiTheme="minorHAnsi" w:hAnsiTheme="minorHAnsi"/>
          <w:sz w:val="22"/>
          <w:szCs w:val="22"/>
        </w:rPr>
      </w:pPr>
    </w:p>
    <w:p w:rsidR="00D84934" w:rsidRPr="00F36CCB" w:rsidRDefault="00D84934" w:rsidP="00B1059E">
      <w:pPr>
        <w:pStyle w:val="Heading2"/>
        <w:rPr>
          <w:rFonts w:asciiTheme="minorHAnsi" w:hAnsiTheme="minorHAnsi"/>
        </w:rPr>
      </w:pPr>
      <w:r w:rsidRPr="00F36CCB">
        <w:rPr>
          <w:rFonts w:asciiTheme="minorHAnsi" w:hAnsiTheme="minorHAnsi"/>
        </w:rPr>
        <w:t>Clinical trials</w:t>
      </w:r>
    </w:p>
    <w:p w:rsidR="00D84934" w:rsidRPr="00F36CCB" w:rsidRDefault="00D84934" w:rsidP="00F9629A">
      <w:pPr>
        <w:jc w:val="both"/>
        <w:rPr>
          <w:rFonts w:asciiTheme="minorHAnsi" w:hAnsiTheme="minorHAnsi"/>
          <w:sz w:val="22"/>
          <w:szCs w:val="22"/>
        </w:rPr>
      </w:pPr>
    </w:p>
    <w:p w:rsidR="0076420C" w:rsidRPr="00F36CCB" w:rsidRDefault="0076420C" w:rsidP="008A50F1">
      <w:pPr>
        <w:pStyle w:val="ListParagraph"/>
        <w:numPr>
          <w:ilvl w:val="1"/>
          <w:numId w:val="5"/>
        </w:numPr>
        <w:rPr>
          <w:szCs w:val="22"/>
        </w:rPr>
      </w:pPr>
      <w:r w:rsidRPr="00F36CCB">
        <w:rPr>
          <w:szCs w:val="22"/>
        </w:rPr>
        <w:t xml:space="preserve">As a minor submission, no clinical trials </w:t>
      </w:r>
      <w:r w:rsidR="00FF2801" w:rsidRPr="00F36CCB">
        <w:rPr>
          <w:szCs w:val="22"/>
        </w:rPr>
        <w:t>were</w:t>
      </w:r>
      <w:r w:rsidRPr="00F36CCB">
        <w:rPr>
          <w:szCs w:val="22"/>
        </w:rPr>
        <w:t xml:space="preserve"> presented in the </w:t>
      </w:r>
      <w:r w:rsidR="005D651C">
        <w:rPr>
          <w:szCs w:val="22"/>
        </w:rPr>
        <w:t>re</w:t>
      </w:r>
      <w:r w:rsidRPr="00F36CCB">
        <w:rPr>
          <w:szCs w:val="22"/>
        </w:rPr>
        <w:t>submission.</w:t>
      </w:r>
    </w:p>
    <w:p w:rsidR="00BB7EC3" w:rsidRPr="00F36CCB" w:rsidRDefault="00BB7EC3" w:rsidP="009B0F67">
      <w:pPr>
        <w:jc w:val="both"/>
        <w:rPr>
          <w:rFonts w:asciiTheme="minorHAnsi" w:hAnsiTheme="minorHAnsi"/>
          <w:sz w:val="22"/>
          <w:szCs w:val="22"/>
        </w:rPr>
      </w:pPr>
    </w:p>
    <w:p w:rsidR="005A3173" w:rsidRPr="00F36CCB" w:rsidRDefault="005A3173" w:rsidP="00B1059E">
      <w:pPr>
        <w:pStyle w:val="Heading2"/>
        <w:rPr>
          <w:rFonts w:asciiTheme="minorHAnsi" w:hAnsiTheme="minorHAnsi"/>
        </w:rPr>
      </w:pPr>
      <w:r w:rsidRPr="00F36CCB">
        <w:rPr>
          <w:rFonts w:asciiTheme="minorHAnsi" w:hAnsiTheme="minorHAnsi"/>
        </w:rPr>
        <w:t>Economic analysis</w:t>
      </w:r>
    </w:p>
    <w:p w:rsidR="005A3173" w:rsidRPr="00F36CCB" w:rsidRDefault="005A3173" w:rsidP="00D84934">
      <w:pPr>
        <w:pStyle w:val="NoSpacing"/>
        <w:rPr>
          <w:rFonts w:asciiTheme="minorHAnsi" w:hAnsiTheme="minorHAnsi"/>
        </w:rPr>
      </w:pPr>
    </w:p>
    <w:p w:rsidR="00196307" w:rsidRDefault="00EE670C" w:rsidP="008A50F1">
      <w:pPr>
        <w:pStyle w:val="ListParagraph"/>
        <w:numPr>
          <w:ilvl w:val="1"/>
          <w:numId w:val="5"/>
        </w:numPr>
        <w:rPr>
          <w:szCs w:val="22"/>
        </w:rPr>
      </w:pPr>
      <w:r>
        <w:rPr>
          <w:szCs w:val="22"/>
        </w:rPr>
        <w:t>As per the March 2017 resubmission, the minor resubmission presented a trial-based economic evaluation. There were no structural changes to the economic model presented in the March 2017 resubmission.</w:t>
      </w:r>
    </w:p>
    <w:p w:rsidR="00EE670C" w:rsidRDefault="00EE670C" w:rsidP="00EE670C">
      <w:pPr>
        <w:pStyle w:val="ListParagraph"/>
        <w:rPr>
          <w:szCs w:val="22"/>
        </w:rPr>
      </w:pPr>
    </w:p>
    <w:p w:rsidR="00EE670C" w:rsidRDefault="00EE670C" w:rsidP="008A50F1">
      <w:pPr>
        <w:pStyle w:val="ListParagraph"/>
        <w:numPr>
          <w:ilvl w:val="1"/>
          <w:numId w:val="5"/>
        </w:numPr>
        <w:rPr>
          <w:szCs w:val="22"/>
        </w:rPr>
      </w:pPr>
      <w:r>
        <w:rPr>
          <w:szCs w:val="22"/>
        </w:rPr>
        <w:t>Th</w:t>
      </w:r>
      <w:r w:rsidR="000656AD">
        <w:rPr>
          <w:szCs w:val="22"/>
        </w:rPr>
        <w:t>is</w:t>
      </w:r>
      <w:r>
        <w:rPr>
          <w:szCs w:val="22"/>
        </w:rPr>
        <w:t xml:space="preserve"> minor resubmission made the following revisions to the economic evaluation presented in the March 2017 minor resubmission:</w:t>
      </w:r>
    </w:p>
    <w:p w:rsidR="00EE670C" w:rsidRDefault="00EE670C" w:rsidP="00EE670C">
      <w:pPr>
        <w:pStyle w:val="ListParagraph"/>
        <w:numPr>
          <w:ilvl w:val="0"/>
          <w:numId w:val="17"/>
        </w:numPr>
        <w:rPr>
          <w:szCs w:val="22"/>
        </w:rPr>
      </w:pPr>
      <w:r>
        <w:rPr>
          <w:szCs w:val="22"/>
        </w:rPr>
        <w:t xml:space="preserve">Increased the proposed rebate on the dispensed price for maximum quantity to </w:t>
      </w:r>
      <w:r w:rsidR="005719AD">
        <w:rPr>
          <w:noProof/>
          <w:color w:val="000000"/>
          <w:szCs w:val="22"/>
          <w:highlight w:val="black"/>
        </w:rPr>
        <w:t>'''''''''</w:t>
      </w:r>
      <w:r>
        <w:rPr>
          <w:szCs w:val="22"/>
        </w:rPr>
        <w:t xml:space="preserve">% from </w:t>
      </w:r>
      <w:r w:rsidR="005719AD">
        <w:rPr>
          <w:noProof/>
          <w:color w:val="000000"/>
          <w:szCs w:val="22"/>
          <w:highlight w:val="black"/>
        </w:rPr>
        <w:t>''''''''</w:t>
      </w:r>
      <w:r>
        <w:rPr>
          <w:szCs w:val="22"/>
        </w:rPr>
        <w:t>%</w:t>
      </w:r>
      <w:r w:rsidR="00D33C92">
        <w:rPr>
          <w:szCs w:val="22"/>
        </w:rPr>
        <w:t>.</w:t>
      </w:r>
    </w:p>
    <w:p w:rsidR="00D33C92" w:rsidRDefault="00D33C92" w:rsidP="00EE670C">
      <w:pPr>
        <w:pStyle w:val="ListParagraph"/>
        <w:numPr>
          <w:ilvl w:val="0"/>
          <w:numId w:val="17"/>
        </w:numPr>
        <w:rPr>
          <w:szCs w:val="22"/>
        </w:rPr>
      </w:pPr>
      <w:r>
        <w:rPr>
          <w:szCs w:val="22"/>
        </w:rPr>
        <w:t>Correct</w:t>
      </w:r>
      <w:r w:rsidR="000656AD">
        <w:rPr>
          <w:szCs w:val="22"/>
        </w:rPr>
        <w:t>ed</w:t>
      </w:r>
      <w:r>
        <w:rPr>
          <w:szCs w:val="22"/>
        </w:rPr>
        <w:t xml:space="preserve"> the wholesaler margin (</w:t>
      </w:r>
      <w:r w:rsidRPr="00D25AEF">
        <w:rPr>
          <w:szCs w:val="22"/>
        </w:rPr>
        <w:t>7.52</w:t>
      </w:r>
      <w:r>
        <w:rPr>
          <w:szCs w:val="22"/>
        </w:rPr>
        <w:t>% of the ex-manufacturer price up to $</w:t>
      </w:r>
      <w:r w:rsidRPr="00D25AEF">
        <w:rPr>
          <w:szCs w:val="22"/>
        </w:rPr>
        <w:t>69.94</w:t>
      </w:r>
      <w:r>
        <w:rPr>
          <w:szCs w:val="22"/>
        </w:rPr>
        <w:t>)</w:t>
      </w:r>
      <w:r w:rsidR="000656AD">
        <w:rPr>
          <w:szCs w:val="22"/>
        </w:rPr>
        <w:t xml:space="preserve"> so that it was</w:t>
      </w:r>
      <w:r>
        <w:rPr>
          <w:szCs w:val="22"/>
        </w:rPr>
        <w:t xml:space="preserve"> to be calculated for the maximum quantity instead of per pack. </w:t>
      </w:r>
      <w:r w:rsidR="00EE4316">
        <w:rPr>
          <w:szCs w:val="22"/>
        </w:rPr>
        <w:t xml:space="preserve">The updated dispensing fee of $7.02 </w:t>
      </w:r>
      <w:r w:rsidR="000656AD">
        <w:rPr>
          <w:szCs w:val="22"/>
        </w:rPr>
        <w:t xml:space="preserve">was also </w:t>
      </w:r>
      <w:r w:rsidR="00EE4316">
        <w:rPr>
          <w:szCs w:val="22"/>
        </w:rPr>
        <w:t xml:space="preserve">applied. </w:t>
      </w:r>
    </w:p>
    <w:p w:rsidR="00EE4316" w:rsidRPr="00EE670C" w:rsidRDefault="00EE4316" w:rsidP="00EE4316">
      <w:pPr>
        <w:pStyle w:val="ListParagraph"/>
        <w:ind w:left="1212"/>
        <w:rPr>
          <w:szCs w:val="22"/>
        </w:rPr>
      </w:pPr>
    </w:p>
    <w:p w:rsidR="00EE4316" w:rsidRDefault="00EE4316" w:rsidP="00EE4316">
      <w:pPr>
        <w:pStyle w:val="ListParagraph"/>
        <w:numPr>
          <w:ilvl w:val="1"/>
          <w:numId w:val="5"/>
        </w:numPr>
        <w:rPr>
          <w:szCs w:val="22"/>
        </w:rPr>
      </w:pPr>
      <w:r>
        <w:rPr>
          <w:szCs w:val="22"/>
        </w:rPr>
        <w:t>A summary of the outcomes of the revised economic analysis are presented in Table 2 below.</w:t>
      </w:r>
    </w:p>
    <w:p w:rsidR="001D1326" w:rsidRPr="00917E8C" w:rsidRDefault="001D1326" w:rsidP="001D1326">
      <w:pPr>
        <w:pStyle w:val="ListParagraph"/>
        <w:rPr>
          <w:szCs w:val="22"/>
        </w:rPr>
      </w:pPr>
    </w:p>
    <w:p w:rsidR="00EC4FE2" w:rsidRDefault="00EC4FE2" w:rsidP="00EC4FE2">
      <w:pPr>
        <w:pStyle w:val="Caption"/>
        <w:keepNext/>
      </w:pPr>
      <w:r>
        <w:t xml:space="preserve">Table </w:t>
      </w:r>
      <w:r>
        <w:rPr>
          <w:noProof/>
        </w:rPr>
        <w:t>2</w:t>
      </w:r>
      <w:r w:rsidRPr="009633DF">
        <w:t>: Results of the economic analysis</w:t>
      </w:r>
    </w:p>
    <w:tbl>
      <w:tblPr>
        <w:tblStyle w:val="TableGrid"/>
        <w:tblW w:w="5000" w:type="pct"/>
        <w:tblCellMar>
          <w:top w:w="28" w:type="dxa"/>
          <w:left w:w="28" w:type="dxa"/>
          <w:bottom w:w="28" w:type="dxa"/>
          <w:right w:w="28" w:type="dxa"/>
        </w:tblCellMar>
        <w:tblLook w:val="04A0" w:firstRow="1" w:lastRow="0" w:firstColumn="1" w:lastColumn="0" w:noHBand="0" w:noVBand="1"/>
        <w:tblCaption w:val="Results of the economic analysis"/>
      </w:tblPr>
      <w:tblGrid>
        <w:gridCol w:w="2931"/>
        <w:gridCol w:w="2160"/>
        <w:gridCol w:w="2007"/>
        <w:gridCol w:w="1984"/>
      </w:tblGrid>
      <w:tr w:rsidR="00EE4316" w:rsidRPr="007B28E7" w:rsidTr="00EC4FE2">
        <w:trPr>
          <w:trHeight w:val="186"/>
          <w:tblHeader/>
        </w:trPr>
        <w:tc>
          <w:tcPr>
            <w:tcW w:w="1614" w:type="pct"/>
            <w:shd w:val="clear" w:color="auto" w:fill="FFFFFF" w:themeFill="background1"/>
          </w:tcPr>
          <w:p w:rsidR="00EE4316" w:rsidRPr="007B28E7" w:rsidRDefault="00EE4316" w:rsidP="00AB68FD">
            <w:pPr>
              <w:pStyle w:val="TableText0"/>
              <w:spacing w:line="240" w:lineRule="auto"/>
              <w:contextualSpacing/>
              <w:rPr>
                <w:b/>
                <w:sz w:val="20"/>
                <w:szCs w:val="20"/>
              </w:rPr>
            </w:pPr>
          </w:p>
        </w:tc>
        <w:tc>
          <w:tcPr>
            <w:tcW w:w="1189" w:type="pct"/>
            <w:shd w:val="clear" w:color="auto" w:fill="FFFFFF" w:themeFill="background1"/>
            <w:vAlign w:val="center"/>
          </w:tcPr>
          <w:p w:rsidR="00EE4316" w:rsidRPr="007B28E7" w:rsidRDefault="00EE4316" w:rsidP="00AB68FD">
            <w:pPr>
              <w:pStyle w:val="TableText0"/>
              <w:spacing w:line="240" w:lineRule="auto"/>
              <w:contextualSpacing/>
              <w:jc w:val="center"/>
              <w:rPr>
                <w:b/>
                <w:sz w:val="20"/>
                <w:szCs w:val="20"/>
              </w:rPr>
            </w:pPr>
            <w:r w:rsidRPr="007B28E7">
              <w:rPr>
                <w:b/>
                <w:sz w:val="20"/>
                <w:szCs w:val="20"/>
              </w:rPr>
              <w:t>Trifluridine/tipiracil arm</w:t>
            </w:r>
          </w:p>
        </w:tc>
        <w:tc>
          <w:tcPr>
            <w:tcW w:w="1105" w:type="pct"/>
            <w:shd w:val="clear" w:color="auto" w:fill="FFFFFF" w:themeFill="background1"/>
            <w:vAlign w:val="center"/>
          </w:tcPr>
          <w:p w:rsidR="00EE4316" w:rsidRPr="007B28E7" w:rsidRDefault="00EE4316" w:rsidP="00AB68FD">
            <w:pPr>
              <w:pStyle w:val="TableText0"/>
              <w:spacing w:line="240" w:lineRule="auto"/>
              <w:contextualSpacing/>
              <w:jc w:val="center"/>
              <w:rPr>
                <w:b/>
                <w:sz w:val="20"/>
                <w:szCs w:val="20"/>
              </w:rPr>
            </w:pPr>
            <w:r w:rsidRPr="007B28E7">
              <w:rPr>
                <w:b/>
                <w:sz w:val="20"/>
                <w:szCs w:val="20"/>
              </w:rPr>
              <w:t>Placebo arm</w:t>
            </w:r>
          </w:p>
        </w:tc>
        <w:tc>
          <w:tcPr>
            <w:tcW w:w="1092" w:type="pct"/>
            <w:shd w:val="clear" w:color="auto" w:fill="FFFFFF" w:themeFill="background1"/>
            <w:vAlign w:val="center"/>
          </w:tcPr>
          <w:p w:rsidR="00EE4316" w:rsidRPr="007B28E7" w:rsidRDefault="00EE4316" w:rsidP="00AB68FD">
            <w:pPr>
              <w:pStyle w:val="TableText0"/>
              <w:spacing w:line="240" w:lineRule="auto"/>
              <w:contextualSpacing/>
              <w:jc w:val="center"/>
              <w:rPr>
                <w:b/>
                <w:sz w:val="20"/>
                <w:szCs w:val="20"/>
              </w:rPr>
            </w:pPr>
            <w:r w:rsidRPr="007B28E7">
              <w:rPr>
                <w:b/>
                <w:sz w:val="20"/>
                <w:szCs w:val="20"/>
              </w:rPr>
              <w:t>Increment</w:t>
            </w:r>
          </w:p>
        </w:tc>
      </w:tr>
      <w:tr w:rsidR="00EE4316" w:rsidRPr="007B28E7" w:rsidTr="00EC4FE2">
        <w:trPr>
          <w:trHeight w:val="48"/>
        </w:trPr>
        <w:tc>
          <w:tcPr>
            <w:tcW w:w="1614" w:type="pct"/>
            <w:vAlign w:val="bottom"/>
          </w:tcPr>
          <w:p w:rsidR="00EE4316" w:rsidRPr="007B28E7" w:rsidRDefault="00EE4316" w:rsidP="00AB68FD">
            <w:pPr>
              <w:pStyle w:val="TableText0"/>
              <w:spacing w:line="240" w:lineRule="auto"/>
              <w:contextualSpacing/>
              <w:rPr>
                <w:b/>
                <w:sz w:val="20"/>
                <w:szCs w:val="20"/>
              </w:rPr>
            </w:pPr>
            <w:r w:rsidRPr="007B28E7">
              <w:rPr>
                <w:b/>
                <w:sz w:val="20"/>
                <w:szCs w:val="20"/>
              </w:rPr>
              <w:t>Costs</w:t>
            </w:r>
          </w:p>
        </w:tc>
        <w:tc>
          <w:tcPr>
            <w:tcW w:w="1189" w:type="pct"/>
            <w:vAlign w:val="center"/>
          </w:tcPr>
          <w:p w:rsidR="00EE4316" w:rsidRPr="007B28E7" w:rsidRDefault="00EE4316" w:rsidP="00AB68FD">
            <w:pPr>
              <w:pStyle w:val="TableText0"/>
              <w:spacing w:line="240" w:lineRule="auto"/>
              <w:contextualSpacing/>
              <w:jc w:val="center"/>
              <w:rPr>
                <w:sz w:val="20"/>
                <w:szCs w:val="20"/>
              </w:rPr>
            </w:pPr>
          </w:p>
        </w:tc>
        <w:tc>
          <w:tcPr>
            <w:tcW w:w="1105" w:type="pct"/>
            <w:vAlign w:val="center"/>
          </w:tcPr>
          <w:p w:rsidR="00EE4316" w:rsidRPr="007B28E7" w:rsidRDefault="00EE4316" w:rsidP="00AB68FD">
            <w:pPr>
              <w:pStyle w:val="TableText0"/>
              <w:spacing w:line="240" w:lineRule="auto"/>
              <w:contextualSpacing/>
              <w:jc w:val="center"/>
              <w:rPr>
                <w:sz w:val="20"/>
                <w:szCs w:val="20"/>
              </w:rPr>
            </w:pPr>
          </w:p>
        </w:tc>
        <w:tc>
          <w:tcPr>
            <w:tcW w:w="1092" w:type="pct"/>
            <w:vAlign w:val="center"/>
          </w:tcPr>
          <w:p w:rsidR="00EE4316" w:rsidRPr="007B28E7" w:rsidRDefault="00EE4316" w:rsidP="00AB68FD">
            <w:pPr>
              <w:pStyle w:val="TableText0"/>
              <w:spacing w:line="240" w:lineRule="auto"/>
              <w:contextualSpacing/>
              <w:jc w:val="center"/>
              <w:rPr>
                <w:sz w:val="20"/>
                <w:szCs w:val="20"/>
              </w:rPr>
            </w:pPr>
          </w:p>
        </w:tc>
      </w:tr>
      <w:tr w:rsidR="00EE4316" w:rsidRPr="007B28E7" w:rsidTr="00EC4FE2">
        <w:trPr>
          <w:trHeight w:val="166"/>
        </w:trPr>
        <w:tc>
          <w:tcPr>
            <w:tcW w:w="1614" w:type="pct"/>
          </w:tcPr>
          <w:p w:rsidR="00EE4316" w:rsidRPr="007B28E7" w:rsidRDefault="00EE4316" w:rsidP="00AB68FD">
            <w:pPr>
              <w:pStyle w:val="TableText0"/>
              <w:spacing w:line="240" w:lineRule="auto"/>
              <w:contextualSpacing/>
              <w:rPr>
                <w:sz w:val="20"/>
                <w:szCs w:val="20"/>
              </w:rPr>
            </w:pPr>
            <w:r w:rsidRPr="007B28E7">
              <w:rPr>
                <w:sz w:val="20"/>
                <w:szCs w:val="20"/>
              </w:rPr>
              <w:t>Average total drug costs</w:t>
            </w:r>
          </w:p>
        </w:tc>
        <w:tc>
          <w:tcPr>
            <w:tcW w:w="1189" w:type="pct"/>
            <w:vAlign w:val="center"/>
          </w:tcPr>
          <w:p w:rsidR="00EE4316" w:rsidRPr="007B28E7" w:rsidRDefault="00EE4316" w:rsidP="00EE4316">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c>
          <w:tcPr>
            <w:tcW w:w="1105"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$0.00</w:t>
            </w:r>
          </w:p>
        </w:tc>
        <w:tc>
          <w:tcPr>
            <w:tcW w:w="1092" w:type="pct"/>
            <w:vAlign w:val="center"/>
          </w:tcPr>
          <w:p w:rsidR="00EE4316" w:rsidRPr="007B28E7" w:rsidRDefault="00EE4316" w:rsidP="00EE4316">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r>
      <w:tr w:rsidR="00EE4316" w:rsidRPr="007B28E7" w:rsidTr="00EC4FE2">
        <w:trPr>
          <w:trHeight w:val="32"/>
        </w:trPr>
        <w:tc>
          <w:tcPr>
            <w:tcW w:w="1614" w:type="pct"/>
          </w:tcPr>
          <w:p w:rsidR="00EE4316" w:rsidRPr="007B28E7" w:rsidRDefault="00EE4316" w:rsidP="00AB68FD">
            <w:pPr>
              <w:pStyle w:val="TableText0"/>
              <w:spacing w:line="240" w:lineRule="auto"/>
              <w:contextualSpacing/>
              <w:rPr>
                <w:sz w:val="20"/>
                <w:szCs w:val="20"/>
              </w:rPr>
            </w:pPr>
            <w:r w:rsidRPr="007B28E7">
              <w:rPr>
                <w:sz w:val="20"/>
                <w:szCs w:val="20"/>
              </w:rPr>
              <w:t>Average cost per patient to manage AEs</w:t>
            </w:r>
          </w:p>
        </w:tc>
        <w:tc>
          <w:tcPr>
            <w:tcW w:w="1189"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c>
          <w:tcPr>
            <w:tcW w:w="1105"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$0.00</w:t>
            </w:r>
          </w:p>
        </w:tc>
        <w:tc>
          <w:tcPr>
            <w:tcW w:w="1092"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r>
      <w:tr w:rsidR="00EE4316" w:rsidRPr="007B28E7" w:rsidTr="00EC4FE2">
        <w:trPr>
          <w:trHeight w:val="145"/>
        </w:trPr>
        <w:tc>
          <w:tcPr>
            <w:tcW w:w="1614" w:type="pct"/>
          </w:tcPr>
          <w:p w:rsidR="00EE4316" w:rsidRPr="007B28E7" w:rsidRDefault="00EE4316" w:rsidP="00AB68FD">
            <w:pPr>
              <w:pStyle w:val="TableText0"/>
              <w:spacing w:line="240" w:lineRule="auto"/>
              <w:contextualSpacing/>
              <w:rPr>
                <w:sz w:val="20"/>
                <w:szCs w:val="20"/>
              </w:rPr>
            </w:pPr>
            <w:r w:rsidRPr="007B28E7">
              <w:rPr>
                <w:sz w:val="20"/>
                <w:szCs w:val="20"/>
              </w:rPr>
              <w:t>Clinician visits</w:t>
            </w:r>
          </w:p>
        </w:tc>
        <w:tc>
          <w:tcPr>
            <w:tcW w:w="1189"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c>
          <w:tcPr>
            <w:tcW w:w="1105"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c>
          <w:tcPr>
            <w:tcW w:w="1092"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r>
      <w:tr w:rsidR="00EE4316" w:rsidRPr="007B28E7" w:rsidTr="00EC4FE2">
        <w:trPr>
          <w:trHeight w:val="135"/>
        </w:trPr>
        <w:tc>
          <w:tcPr>
            <w:tcW w:w="1614" w:type="pct"/>
          </w:tcPr>
          <w:p w:rsidR="00EE4316" w:rsidRPr="007B28E7" w:rsidRDefault="00EE4316" w:rsidP="00AB68FD">
            <w:pPr>
              <w:pStyle w:val="TableText0"/>
              <w:spacing w:line="240" w:lineRule="auto"/>
              <w:contextualSpacing/>
              <w:rPr>
                <w:sz w:val="20"/>
                <w:szCs w:val="20"/>
              </w:rPr>
            </w:pPr>
            <w:r w:rsidRPr="007B28E7">
              <w:rPr>
                <w:sz w:val="20"/>
                <w:szCs w:val="20"/>
              </w:rPr>
              <w:t>Monitoring costs</w:t>
            </w:r>
          </w:p>
        </w:tc>
        <w:tc>
          <w:tcPr>
            <w:tcW w:w="1189"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c>
          <w:tcPr>
            <w:tcW w:w="1105"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$0.00</w:t>
            </w:r>
          </w:p>
        </w:tc>
        <w:tc>
          <w:tcPr>
            <w:tcW w:w="1092"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r>
      <w:tr w:rsidR="00EE4316" w:rsidRPr="007B28E7" w:rsidTr="00EC4FE2">
        <w:trPr>
          <w:trHeight w:val="125"/>
        </w:trPr>
        <w:tc>
          <w:tcPr>
            <w:tcW w:w="1614" w:type="pct"/>
            <w:tcBorders>
              <w:bottom w:val="double" w:sz="4" w:space="0" w:color="auto"/>
            </w:tcBorders>
            <w:vAlign w:val="bottom"/>
          </w:tcPr>
          <w:p w:rsidR="00EE4316" w:rsidRPr="007B28E7" w:rsidRDefault="00EE4316" w:rsidP="00AB68FD">
            <w:pPr>
              <w:pStyle w:val="TableText0"/>
              <w:spacing w:line="240" w:lineRule="auto"/>
              <w:contextualSpacing/>
              <w:rPr>
                <w:b/>
                <w:sz w:val="20"/>
                <w:szCs w:val="20"/>
              </w:rPr>
            </w:pPr>
            <w:r w:rsidRPr="007B28E7">
              <w:rPr>
                <w:b/>
                <w:sz w:val="20"/>
                <w:szCs w:val="20"/>
              </w:rPr>
              <w:t>Total costs</w:t>
            </w:r>
          </w:p>
        </w:tc>
        <w:tc>
          <w:tcPr>
            <w:tcW w:w="1189" w:type="pct"/>
            <w:tcBorders>
              <w:bottom w:val="double" w:sz="4" w:space="0" w:color="auto"/>
            </w:tcBorders>
            <w:vAlign w:val="center"/>
          </w:tcPr>
          <w:p w:rsidR="00EE4316" w:rsidRPr="007B28E7" w:rsidRDefault="00EE4316" w:rsidP="00EE4316">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c>
          <w:tcPr>
            <w:tcW w:w="1105" w:type="pct"/>
            <w:tcBorders>
              <w:bottom w:val="double" w:sz="4" w:space="0" w:color="auto"/>
            </w:tcBorders>
            <w:vAlign w:val="center"/>
          </w:tcPr>
          <w:p w:rsidR="00EE4316" w:rsidRPr="007B28E7" w:rsidRDefault="00EE4316" w:rsidP="00EE4316">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c>
          <w:tcPr>
            <w:tcW w:w="1092" w:type="pct"/>
            <w:tcBorders>
              <w:bottom w:val="double" w:sz="4" w:space="0" w:color="auto"/>
            </w:tcBorders>
            <w:vAlign w:val="center"/>
          </w:tcPr>
          <w:p w:rsidR="00EE4316" w:rsidRPr="007B28E7" w:rsidRDefault="00EE4316" w:rsidP="00EE4316">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r>
      <w:tr w:rsidR="00EE4316" w:rsidRPr="007B28E7" w:rsidTr="00EC4FE2">
        <w:trPr>
          <w:trHeight w:val="95"/>
        </w:trPr>
        <w:tc>
          <w:tcPr>
            <w:tcW w:w="1614" w:type="pct"/>
            <w:tcBorders>
              <w:top w:val="double" w:sz="4" w:space="0" w:color="auto"/>
            </w:tcBorders>
            <w:vAlign w:val="bottom"/>
          </w:tcPr>
          <w:p w:rsidR="00EE4316" w:rsidRPr="007B28E7" w:rsidRDefault="00EE4316" w:rsidP="00AB68FD">
            <w:pPr>
              <w:pStyle w:val="TableText0"/>
              <w:spacing w:line="240" w:lineRule="auto"/>
              <w:contextualSpacing/>
              <w:rPr>
                <w:b/>
                <w:sz w:val="20"/>
                <w:szCs w:val="20"/>
              </w:rPr>
            </w:pPr>
            <w:r w:rsidRPr="007B28E7">
              <w:rPr>
                <w:b/>
                <w:sz w:val="20"/>
                <w:szCs w:val="20"/>
              </w:rPr>
              <w:t>Outcomes</w:t>
            </w:r>
          </w:p>
        </w:tc>
        <w:tc>
          <w:tcPr>
            <w:tcW w:w="1189" w:type="pct"/>
            <w:tcBorders>
              <w:top w:val="double" w:sz="4" w:space="0" w:color="auto"/>
            </w:tcBorders>
            <w:vAlign w:val="center"/>
          </w:tcPr>
          <w:p w:rsidR="00EE4316" w:rsidRPr="007B28E7" w:rsidRDefault="00EE4316" w:rsidP="00AB68FD">
            <w:pPr>
              <w:pStyle w:val="TableText0"/>
              <w:spacing w:line="240" w:lineRule="auto"/>
              <w:contextualSpacing/>
              <w:jc w:val="center"/>
              <w:rPr>
                <w:sz w:val="20"/>
                <w:szCs w:val="20"/>
              </w:rPr>
            </w:pPr>
          </w:p>
        </w:tc>
        <w:tc>
          <w:tcPr>
            <w:tcW w:w="1105" w:type="pct"/>
            <w:tcBorders>
              <w:top w:val="double" w:sz="4" w:space="0" w:color="auto"/>
            </w:tcBorders>
            <w:vAlign w:val="center"/>
          </w:tcPr>
          <w:p w:rsidR="00EE4316" w:rsidRPr="007B28E7" w:rsidRDefault="00EE4316" w:rsidP="00AB68FD">
            <w:pPr>
              <w:pStyle w:val="TableText0"/>
              <w:spacing w:line="240" w:lineRule="auto"/>
              <w:contextualSpacing/>
              <w:jc w:val="center"/>
              <w:rPr>
                <w:sz w:val="20"/>
                <w:szCs w:val="20"/>
              </w:rPr>
            </w:pPr>
          </w:p>
        </w:tc>
        <w:tc>
          <w:tcPr>
            <w:tcW w:w="1092" w:type="pct"/>
            <w:tcBorders>
              <w:top w:val="double" w:sz="4" w:space="0" w:color="auto"/>
            </w:tcBorders>
            <w:vAlign w:val="center"/>
          </w:tcPr>
          <w:p w:rsidR="00EE4316" w:rsidRPr="007B28E7" w:rsidRDefault="00EE4316" w:rsidP="00AB68FD">
            <w:pPr>
              <w:pStyle w:val="TableText0"/>
              <w:spacing w:line="240" w:lineRule="auto"/>
              <w:contextualSpacing/>
              <w:jc w:val="center"/>
              <w:rPr>
                <w:sz w:val="20"/>
                <w:szCs w:val="20"/>
              </w:rPr>
            </w:pPr>
          </w:p>
        </w:tc>
      </w:tr>
      <w:tr w:rsidR="00EE4316" w:rsidRPr="007B28E7" w:rsidTr="00EC4FE2">
        <w:trPr>
          <w:trHeight w:val="78"/>
        </w:trPr>
        <w:tc>
          <w:tcPr>
            <w:tcW w:w="1614" w:type="pct"/>
            <w:vAlign w:val="bottom"/>
          </w:tcPr>
          <w:p w:rsidR="00EE4316" w:rsidRPr="007B28E7" w:rsidRDefault="00EE4316" w:rsidP="00AB68FD">
            <w:pPr>
              <w:pStyle w:val="TableText0"/>
              <w:spacing w:line="240" w:lineRule="auto"/>
              <w:contextualSpacing/>
              <w:rPr>
                <w:sz w:val="20"/>
                <w:szCs w:val="20"/>
              </w:rPr>
            </w:pPr>
            <w:r w:rsidRPr="007B28E7">
              <w:rPr>
                <w:sz w:val="20"/>
                <w:szCs w:val="20"/>
              </w:rPr>
              <w:t>Mean OS (in months)</w:t>
            </w:r>
          </w:p>
        </w:tc>
        <w:tc>
          <w:tcPr>
            <w:tcW w:w="1189"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10.0</w:t>
            </w:r>
          </w:p>
        </w:tc>
        <w:tc>
          <w:tcPr>
            <w:tcW w:w="1105"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7.4</w:t>
            </w:r>
          </w:p>
        </w:tc>
        <w:tc>
          <w:tcPr>
            <w:tcW w:w="1092"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2.6</w:t>
            </w:r>
          </w:p>
        </w:tc>
      </w:tr>
      <w:tr w:rsidR="00EE4316" w:rsidRPr="007B28E7" w:rsidTr="00EC4FE2">
        <w:trPr>
          <w:trHeight w:val="67"/>
        </w:trPr>
        <w:tc>
          <w:tcPr>
            <w:tcW w:w="1614" w:type="pct"/>
            <w:vAlign w:val="bottom"/>
          </w:tcPr>
          <w:p w:rsidR="00EE4316" w:rsidRPr="007B28E7" w:rsidRDefault="00EE4316" w:rsidP="00AB68FD">
            <w:pPr>
              <w:pStyle w:val="TableText0"/>
              <w:spacing w:line="240" w:lineRule="auto"/>
              <w:contextualSpacing/>
              <w:rPr>
                <w:sz w:val="20"/>
                <w:szCs w:val="20"/>
              </w:rPr>
            </w:pPr>
            <w:r w:rsidRPr="007B28E7">
              <w:rPr>
                <w:sz w:val="20"/>
                <w:szCs w:val="20"/>
              </w:rPr>
              <w:t>Mean OS (in years)</w:t>
            </w:r>
          </w:p>
        </w:tc>
        <w:tc>
          <w:tcPr>
            <w:tcW w:w="1189"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0.84</w:t>
            </w:r>
          </w:p>
        </w:tc>
        <w:tc>
          <w:tcPr>
            <w:tcW w:w="1105"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0.62</w:t>
            </w:r>
          </w:p>
        </w:tc>
        <w:tc>
          <w:tcPr>
            <w:tcW w:w="1092"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0.22</w:t>
            </w:r>
          </w:p>
        </w:tc>
      </w:tr>
      <w:tr w:rsidR="00EE4316" w:rsidRPr="007B28E7" w:rsidTr="00EC4FE2">
        <w:trPr>
          <w:trHeight w:val="200"/>
        </w:trPr>
        <w:tc>
          <w:tcPr>
            <w:tcW w:w="1614" w:type="pct"/>
            <w:tcBorders>
              <w:bottom w:val="double" w:sz="4" w:space="0" w:color="auto"/>
            </w:tcBorders>
            <w:vAlign w:val="bottom"/>
          </w:tcPr>
          <w:p w:rsidR="00EE4316" w:rsidRPr="007B28E7" w:rsidRDefault="00EE4316" w:rsidP="00AB68FD">
            <w:pPr>
              <w:pStyle w:val="TableText0"/>
              <w:spacing w:line="240" w:lineRule="auto"/>
              <w:contextualSpacing/>
              <w:rPr>
                <w:sz w:val="20"/>
                <w:szCs w:val="20"/>
              </w:rPr>
            </w:pPr>
            <w:r w:rsidRPr="007B28E7">
              <w:rPr>
                <w:sz w:val="20"/>
                <w:szCs w:val="20"/>
              </w:rPr>
              <w:t>Mean QALYs</w:t>
            </w:r>
          </w:p>
        </w:tc>
        <w:tc>
          <w:tcPr>
            <w:tcW w:w="1189" w:type="pct"/>
            <w:tcBorders>
              <w:bottom w:val="double" w:sz="4" w:space="0" w:color="auto"/>
            </w:tcBorders>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0.54</w:t>
            </w:r>
          </w:p>
        </w:tc>
        <w:tc>
          <w:tcPr>
            <w:tcW w:w="1105" w:type="pct"/>
            <w:tcBorders>
              <w:bottom w:val="double" w:sz="4" w:space="0" w:color="auto"/>
            </w:tcBorders>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0.39</w:t>
            </w:r>
          </w:p>
        </w:tc>
        <w:tc>
          <w:tcPr>
            <w:tcW w:w="1092" w:type="pct"/>
            <w:tcBorders>
              <w:bottom w:val="double" w:sz="4" w:space="0" w:color="auto"/>
            </w:tcBorders>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0.15</w:t>
            </w:r>
          </w:p>
        </w:tc>
      </w:tr>
      <w:tr w:rsidR="00EE4316" w:rsidRPr="007B28E7" w:rsidTr="00EC4FE2">
        <w:trPr>
          <w:trHeight w:val="227"/>
        </w:trPr>
        <w:tc>
          <w:tcPr>
            <w:tcW w:w="3908" w:type="pct"/>
            <w:gridSpan w:val="3"/>
            <w:tcBorders>
              <w:top w:val="double" w:sz="4" w:space="0" w:color="auto"/>
            </w:tcBorders>
            <w:vAlign w:val="center"/>
          </w:tcPr>
          <w:p w:rsidR="00EE4316" w:rsidRPr="007B28E7" w:rsidRDefault="00EE4316" w:rsidP="00AB68FD">
            <w:pPr>
              <w:pStyle w:val="TableText0"/>
              <w:spacing w:line="240" w:lineRule="auto"/>
              <w:contextualSpacing/>
              <w:jc w:val="right"/>
              <w:rPr>
                <w:sz w:val="20"/>
                <w:szCs w:val="20"/>
              </w:rPr>
            </w:pPr>
            <w:r w:rsidRPr="007B28E7">
              <w:rPr>
                <w:sz w:val="20"/>
                <w:szCs w:val="20"/>
              </w:rPr>
              <w:t>Incremental cost of trifluridine/tipiracil vs placebo per LY gained:</w:t>
            </w:r>
          </w:p>
        </w:tc>
        <w:tc>
          <w:tcPr>
            <w:tcW w:w="1092" w:type="pct"/>
            <w:tcBorders>
              <w:top w:val="double" w:sz="4" w:space="0" w:color="auto"/>
            </w:tcBorders>
            <w:vAlign w:val="center"/>
          </w:tcPr>
          <w:p w:rsidR="00EE4316" w:rsidRPr="007B28E7" w:rsidRDefault="006156CE" w:rsidP="00AB68FD">
            <w:pPr>
              <w:pStyle w:val="TableText0"/>
              <w:spacing w:line="240" w:lineRule="auto"/>
              <w:contextualSpacing/>
              <w:jc w:val="center"/>
              <w:rPr>
                <w:sz w:val="20"/>
                <w:szCs w:val="20"/>
              </w:rPr>
            </w:pPr>
            <w:r>
              <w:rPr>
                <w:sz w:val="20"/>
                <w:szCs w:val="20"/>
              </w:rPr>
              <w:t>$</w:t>
            </w:r>
            <w:r w:rsidR="005719AD">
              <w:rPr>
                <w:noProof/>
                <w:color w:val="000000"/>
                <w:sz w:val="20"/>
                <w:szCs w:val="20"/>
                <w:highlight w:val="black"/>
              </w:rPr>
              <w:t>'''''''''''''''''</w:t>
            </w:r>
          </w:p>
        </w:tc>
      </w:tr>
      <w:tr w:rsidR="00EE4316" w:rsidRPr="007B28E7" w:rsidTr="00EC4FE2">
        <w:trPr>
          <w:trHeight w:val="227"/>
        </w:trPr>
        <w:tc>
          <w:tcPr>
            <w:tcW w:w="3908" w:type="pct"/>
            <w:gridSpan w:val="3"/>
            <w:vAlign w:val="center"/>
          </w:tcPr>
          <w:p w:rsidR="00EE4316" w:rsidRPr="007B28E7" w:rsidRDefault="00EE4316" w:rsidP="00AB68FD">
            <w:pPr>
              <w:pStyle w:val="TableText0"/>
              <w:spacing w:line="240" w:lineRule="auto"/>
              <w:contextualSpacing/>
              <w:jc w:val="right"/>
              <w:rPr>
                <w:sz w:val="20"/>
                <w:szCs w:val="20"/>
              </w:rPr>
            </w:pPr>
            <w:r w:rsidRPr="007B28E7">
              <w:rPr>
                <w:sz w:val="20"/>
                <w:szCs w:val="20"/>
              </w:rPr>
              <w:t>Incremental cost of trifluridine/tipiracil vs placebo per QALY gained:</w:t>
            </w:r>
          </w:p>
        </w:tc>
        <w:tc>
          <w:tcPr>
            <w:tcW w:w="1092" w:type="pct"/>
            <w:vAlign w:val="center"/>
          </w:tcPr>
          <w:p w:rsidR="00EE4316" w:rsidRPr="007B28E7" w:rsidRDefault="00EE4316" w:rsidP="00AB68FD">
            <w:pPr>
              <w:pStyle w:val="TableText0"/>
              <w:spacing w:line="240" w:lineRule="auto"/>
              <w:contextualSpacing/>
              <w:jc w:val="center"/>
              <w:rPr>
                <w:sz w:val="20"/>
                <w:szCs w:val="20"/>
              </w:rPr>
            </w:pPr>
            <w:r w:rsidRPr="007B28E7">
              <w:rPr>
                <w:sz w:val="20"/>
                <w:szCs w:val="20"/>
              </w:rPr>
              <w:t>$</w:t>
            </w:r>
            <w:r w:rsidR="005719AD">
              <w:rPr>
                <w:noProof/>
                <w:color w:val="000000"/>
                <w:sz w:val="20"/>
                <w:szCs w:val="20"/>
                <w:highlight w:val="black"/>
              </w:rPr>
              <w:t>''''''''''''''''</w:t>
            </w:r>
          </w:p>
        </w:tc>
      </w:tr>
    </w:tbl>
    <w:p w:rsidR="00EE4316" w:rsidRPr="0023111F" w:rsidRDefault="00EE4316" w:rsidP="00EE4316">
      <w:pPr>
        <w:pStyle w:val="TableFooter"/>
        <w:widowControl/>
        <w:ind w:firstLine="720"/>
        <w:rPr>
          <w:szCs w:val="18"/>
        </w:rPr>
      </w:pPr>
      <w:r w:rsidRPr="0023111F">
        <w:rPr>
          <w:szCs w:val="18"/>
        </w:rPr>
        <w:t>Abbreviations: AE = adverse event; OS = overall survival; PFS = progression free survival; QALY = quality adjusted life year</w:t>
      </w:r>
    </w:p>
    <w:p w:rsidR="00EE4316" w:rsidRPr="0023111F" w:rsidRDefault="006156CE" w:rsidP="00EE4316">
      <w:pPr>
        <w:ind w:firstLine="720"/>
        <w:jc w:val="both"/>
        <w:rPr>
          <w:rFonts w:ascii="Arial Narrow" w:hAnsi="Arial Narrow"/>
          <w:sz w:val="18"/>
          <w:szCs w:val="18"/>
        </w:rPr>
      </w:pPr>
      <w:r>
        <w:rPr>
          <w:rFonts w:ascii="Arial Narrow" w:hAnsi="Arial Narrow"/>
          <w:sz w:val="18"/>
          <w:szCs w:val="18"/>
        </w:rPr>
        <w:t>Source: Table 2, page 13</w:t>
      </w:r>
      <w:r w:rsidR="00EE4316" w:rsidRPr="0023111F">
        <w:rPr>
          <w:rFonts w:ascii="Arial Narrow" w:hAnsi="Arial Narrow"/>
          <w:sz w:val="18"/>
          <w:szCs w:val="18"/>
        </w:rPr>
        <w:t xml:space="preserve"> of the minor </w:t>
      </w:r>
      <w:r>
        <w:rPr>
          <w:rFonts w:ascii="Arial Narrow" w:hAnsi="Arial Narrow"/>
          <w:sz w:val="18"/>
          <w:szCs w:val="18"/>
        </w:rPr>
        <w:t>re</w:t>
      </w:r>
      <w:r w:rsidR="00EE4316" w:rsidRPr="0023111F">
        <w:rPr>
          <w:rFonts w:ascii="Arial Narrow" w:hAnsi="Arial Narrow"/>
          <w:sz w:val="18"/>
          <w:szCs w:val="18"/>
        </w:rPr>
        <w:t>submission</w:t>
      </w:r>
      <w:r w:rsidR="00E54E6E">
        <w:rPr>
          <w:rFonts w:ascii="Arial Narrow" w:hAnsi="Arial Narrow"/>
          <w:sz w:val="18"/>
          <w:szCs w:val="18"/>
        </w:rPr>
        <w:t>.</w:t>
      </w:r>
    </w:p>
    <w:p w:rsidR="00EE4316" w:rsidRPr="00827F0E" w:rsidRDefault="00EE4316" w:rsidP="00EE4316">
      <w:pPr>
        <w:pStyle w:val="ListParagraph"/>
        <w:rPr>
          <w:szCs w:val="22"/>
        </w:rPr>
      </w:pPr>
    </w:p>
    <w:p w:rsidR="006156CE" w:rsidRDefault="006156CE" w:rsidP="006156CE">
      <w:pPr>
        <w:pStyle w:val="ListParagraph"/>
        <w:numPr>
          <w:ilvl w:val="1"/>
          <w:numId w:val="5"/>
        </w:numPr>
        <w:rPr>
          <w:szCs w:val="22"/>
        </w:rPr>
      </w:pPr>
      <w:r>
        <w:rPr>
          <w:szCs w:val="22"/>
        </w:rPr>
        <w:t xml:space="preserve">The revised economic analysis, which incorporates the proposed </w:t>
      </w:r>
      <w:r w:rsidR="005719AD">
        <w:rPr>
          <w:noProof/>
          <w:color w:val="000000"/>
          <w:szCs w:val="22"/>
          <w:highlight w:val="black"/>
        </w:rPr>
        <w:t>''''''''</w:t>
      </w:r>
      <w:r>
        <w:rPr>
          <w:szCs w:val="22"/>
        </w:rPr>
        <w:t xml:space="preserve">% rebate, resulted in a base case ICER of </w:t>
      </w:r>
      <w:r w:rsidR="003434A0">
        <w:rPr>
          <w:szCs w:val="22"/>
        </w:rPr>
        <w:t xml:space="preserve">$45,000 - $75,000/QALY </w:t>
      </w:r>
      <w:r>
        <w:rPr>
          <w:szCs w:val="22"/>
        </w:rPr>
        <w:t>gained.</w:t>
      </w:r>
    </w:p>
    <w:p w:rsidR="006156CE" w:rsidRDefault="006156CE" w:rsidP="006156CE">
      <w:pPr>
        <w:pStyle w:val="ListParagraph"/>
        <w:rPr>
          <w:szCs w:val="22"/>
        </w:rPr>
      </w:pPr>
    </w:p>
    <w:p w:rsidR="006156CE" w:rsidRDefault="003C0389" w:rsidP="003434A0">
      <w:pPr>
        <w:pStyle w:val="ListParagraph"/>
        <w:numPr>
          <w:ilvl w:val="1"/>
          <w:numId w:val="5"/>
        </w:numPr>
        <w:rPr>
          <w:szCs w:val="22"/>
        </w:rPr>
      </w:pPr>
      <w:r>
        <w:rPr>
          <w:szCs w:val="22"/>
        </w:rPr>
        <w:t>The revised economic analysis applied the same adjusted utility value for the progression free health state (0.73) as per the March 2017 minor resubmission. When the unadjusted utility value for the progression free health state from the CORRECT (regorafenib) tria</w:t>
      </w:r>
      <w:r w:rsidR="00C66EFE">
        <w:rPr>
          <w:szCs w:val="22"/>
        </w:rPr>
        <w:t>l was applied in the model (0.73</w:t>
      </w:r>
      <w:r>
        <w:rPr>
          <w:szCs w:val="22"/>
        </w:rPr>
        <w:t xml:space="preserve">), the ICER increased to </w:t>
      </w:r>
      <w:r w:rsidR="003434A0">
        <w:rPr>
          <w:szCs w:val="22"/>
        </w:rPr>
        <w:t>$45,000 - $75,000</w:t>
      </w:r>
      <w:r>
        <w:rPr>
          <w:szCs w:val="22"/>
        </w:rPr>
        <w:t xml:space="preserve">. </w:t>
      </w:r>
    </w:p>
    <w:p w:rsidR="005963BB" w:rsidRDefault="005963BB" w:rsidP="00C00DA7">
      <w:pPr>
        <w:jc w:val="both"/>
        <w:rPr>
          <w:rFonts w:asciiTheme="minorHAnsi" w:hAnsiTheme="minorHAnsi"/>
          <w:sz w:val="22"/>
          <w:szCs w:val="22"/>
        </w:rPr>
      </w:pPr>
    </w:p>
    <w:p w:rsidR="001D1326" w:rsidRPr="00F36CCB" w:rsidRDefault="001D1326" w:rsidP="00C00DA7">
      <w:pPr>
        <w:jc w:val="both"/>
        <w:rPr>
          <w:rFonts w:asciiTheme="minorHAnsi" w:hAnsiTheme="minorHAnsi"/>
          <w:sz w:val="22"/>
          <w:szCs w:val="22"/>
        </w:rPr>
      </w:pPr>
    </w:p>
    <w:p w:rsidR="00A55FEE" w:rsidRPr="001D1326" w:rsidRDefault="00A55FEE" w:rsidP="001D1326">
      <w:pPr>
        <w:pStyle w:val="Heading2"/>
      </w:pPr>
      <w:r w:rsidRPr="001D1326">
        <w:t>Drug cost/patient/course: $</w:t>
      </w:r>
      <w:r w:rsidR="005719AD">
        <w:rPr>
          <w:noProof/>
          <w:color w:val="000000"/>
          <w:highlight w:val="black"/>
        </w:rPr>
        <w:t>'''''''''''''''</w:t>
      </w:r>
      <w:r w:rsidR="00E97282" w:rsidRPr="001D1326">
        <w:t xml:space="preserve"> </w:t>
      </w:r>
    </w:p>
    <w:p w:rsidR="00A55FEE" w:rsidRPr="00F36CCB" w:rsidRDefault="00A55FEE" w:rsidP="00A55FEE">
      <w:pPr>
        <w:ind w:left="720" w:hanging="720"/>
        <w:jc w:val="both"/>
        <w:rPr>
          <w:rFonts w:asciiTheme="minorHAnsi" w:hAnsiTheme="minorHAnsi"/>
          <w:b/>
          <w:i/>
          <w:sz w:val="22"/>
          <w:szCs w:val="22"/>
        </w:rPr>
      </w:pPr>
    </w:p>
    <w:p w:rsidR="002545F2" w:rsidRPr="00BD2EC6" w:rsidRDefault="00BE2658" w:rsidP="00FB46A0">
      <w:pPr>
        <w:pStyle w:val="ListParagraph"/>
        <w:numPr>
          <w:ilvl w:val="1"/>
          <w:numId w:val="5"/>
        </w:numPr>
        <w:rPr>
          <w:szCs w:val="22"/>
        </w:rPr>
      </w:pPr>
      <w:r w:rsidRPr="00BD2EC6">
        <w:rPr>
          <w:szCs w:val="22"/>
        </w:rPr>
        <w:t xml:space="preserve">The </w:t>
      </w:r>
      <w:r w:rsidR="00686280" w:rsidRPr="00BD2EC6">
        <w:rPr>
          <w:szCs w:val="22"/>
        </w:rPr>
        <w:t xml:space="preserve">submission stated (p13) that the </w:t>
      </w:r>
      <w:r w:rsidRPr="00BD2EC6">
        <w:rPr>
          <w:szCs w:val="22"/>
        </w:rPr>
        <w:t>average effective dis</w:t>
      </w:r>
      <w:r w:rsidRPr="00B15A21">
        <w:rPr>
          <w:szCs w:val="22"/>
        </w:rPr>
        <w:t>pensed cost per patient per cycle (one month) is $</w:t>
      </w:r>
      <w:r w:rsidR="005719AD">
        <w:rPr>
          <w:noProof/>
          <w:color w:val="000000"/>
          <w:szCs w:val="22"/>
          <w:highlight w:val="black"/>
        </w:rPr>
        <w:t>'''''''''''''''</w:t>
      </w:r>
      <w:r w:rsidR="00686280" w:rsidRPr="00B15A21">
        <w:rPr>
          <w:szCs w:val="22"/>
        </w:rPr>
        <w:t>,</w:t>
      </w:r>
      <w:r w:rsidRPr="00193CDB">
        <w:rPr>
          <w:szCs w:val="22"/>
        </w:rPr>
        <w:t xml:space="preserve"> </w:t>
      </w:r>
      <w:r w:rsidR="00686280" w:rsidRPr="00193CDB">
        <w:rPr>
          <w:szCs w:val="22"/>
        </w:rPr>
        <w:t xml:space="preserve">estimated </w:t>
      </w:r>
      <w:r w:rsidRPr="00193CDB">
        <w:rPr>
          <w:szCs w:val="22"/>
        </w:rPr>
        <w:t>based on an avera</w:t>
      </w:r>
      <w:r w:rsidR="00686280" w:rsidRPr="00193CDB">
        <w:rPr>
          <w:szCs w:val="22"/>
        </w:rPr>
        <w:t>ge dose of 60 mg, and</w:t>
      </w:r>
      <w:r w:rsidRPr="00193CDB">
        <w:rPr>
          <w:szCs w:val="22"/>
        </w:rPr>
        <w:t xml:space="preserve"> the effective dispensed price for </w:t>
      </w:r>
      <w:r w:rsidRPr="00A60787">
        <w:rPr>
          <w:szCs w:val="22"/>
        </w:rPr>
        <w:t>3</w:t>
      </w:r>
      <w:r w:rsidRPr="00193CDB">
        <w:rPr>
          <w:szCs w:val="22"/>
        </w:rPr>
        <w:t xml:space="preserve"> packs of </w:t>
      </w:r>
      <w:r w:rsidRPr="00A60787">
        <w:rPr>
          <w:szCs w:val="22"/>
        </w:rPr>
        <w:t>20</w:t>
      </w:r>
      <w:r w:rsidRPr="00193CDB">
        <w:rPr>
          <w:szCs w:val="22"/>
        </w:rPr>
        <w:t xml:space="preserve"> tablets of the 20 mg strength. </w:t>
      </w:r>
      <w:r w:rsidR="00686280" w:rsidRPr="00282E38">
        <w:rPr>
          <w:szCs w:val="22"/>
        </w:rPr>
        <w:t xml:space="preserve">However, the submission’s excel workbook showed that the </w:t>
      </w:r>
      <w:r w:rsidR="005D4376" w:rsidRPr="00BD2EC6">
        <w:rPr>
          <w:szCs w:val="22"/>
        </w:rPr>
        <w:t xml:space="preserve">average </w:t>
      </w:r>
      <w:r w:rsidR="00686280" w:rsidRPr="00BD2EC6">
        <w:rPr>
          <w:szCs w:val="22"/>
        </w:rPr>
        <w:t xml:space="preserve">effective dispensed price </w:t>
      </w:r>
      <w:r w:rsidR="005D4376" w:rsidRPr="00BD2EC6">
        <w:rPr>
          <w:szCs w:val="22"/>
        </w:rPr>
        <w:t>per patient per cycle</w:t>
      </w:r>
      <w:r w:rsidR="00686280" w:rsidRPr="00BD2EC6">
        <w:rPr>
          <w:szCs w:val="22"/>
        </w:rPr>
        <w:t xml:space="preserve"> to be </w:t>
      </w:r>
      <w:r w:rsidR="00E97282" w:rsidRPr="00BD2EC6">
        <w:rPr>
          <w:szCs w:val="22"/>
        </w:rPr>
        <w:t>$</w:t>
      </w:r>
      <w:r w:rsidR="005719AD">
        <w:rPr>
          <w:noProof/>
          <w:color w:val="000000"/>
          <w:szCs w:val="22"/>
          <w:highlight w:val="black"/>
        </w:rPr>
        <w:t>'''''''''''''''''</w:t>
      </w:r>
      <w:r w:rsidR="00E97282" w:rsidRPr="00BD2EC6">
        <w:rPr>
          <w:szCs w:val="22"/>
        </w:rPr>
        <w:t xml:space="preserve"> </w:t>
      </w:r>
      <w:r w:rsidR="00686280" w:rsidRPr="00B15A21">
        <w:rPr>
          <w:szCs w:val="22"/>
        </w:rPr>
        <w:t>The submission stated that based on a per cycle cost of $</w:t>
      </w:r>
      <w:r w:rsidR="005719AD">
        <w:rPr>
          <w:noProof/>
          <w:color w:val="000000"/>
          <w:szCs w:val="22"/>
          <w:highlight w:val="black"/>
        </w:rPr>
        <w:t>''''''''''''''''</w:t>
      </w:r>
      <w:r w:rsidR="00686280" w:rsidRPr="00B15A21">
        <w:rPr>
          <w:szCs w:val="22"/>
        </w:rPr>
        <w:t xml:space="preserve"> and an </w:t>
      </w:r>
      <w:r w:rsidR="00686280" w:rsidRPr="00282E38">
        <w:rPr>
          <w:szCs w:val="22"/>
        </w:rPr>
        <w:t xml:space="preserve">average </w:t>
      </w:r>
      <w:r w:rsidRPr="00A60787">
        <w:rPr>
          <w:szCs w:val="22"/>
        </w:rPr>
        <w:t>3.42</w:t>
      </w:r>
      <w:r w:rsidRPr="00BD2EC6">
        <w:rPr>
          <w:szCs w:val="22"/>
        </w:rPr>
        <w:t xml:space="preserve"> cycles of treatment </w:t>
      </w:r>
      <w:r w:rsidR="00686280" w:rsidRPr="00BD2EC6">
        <w:rPr>
          <w:szCs w:val="22"/>
        </w:rPr>
        <w:t xml:space="preserve">per patient, the </w:t>
      </w:r>
      <w:r w:rsidRPr="00BD2EC6">
        <w:rPr>
          <w:szCs w:val="22"/>
        </w:rPr>
        <w:t>total effe</w:t>
      </w:r>
      <w:r w:rsidR="00686280" w:rsidRPr="00BD2EC6">
        <w:rPr>
          <w:szCs w:val="22"/>
        </w:rPr>
        <w:t>ctive dispensed cost would be</w:t>
      </w:r>
      <w:r w:rsidRPr="00BD2EC6">
        <w:rPr>
          <w:szCs w:val="22"/>
        </w:rPr>
        <w:t xml:space="preserve"> $</w:t>
      </w:r>
      <w:r w:rsidR="005719AD">
        <w:rPr>
          <w:noProof/>
          <w:color w:val="000000"/>
          <w:szCs w:val="22"/>
          <w:highlight w:val="black"/>
        </w:rPr>
        <w:t>'''''''''''''''''</w:t>
      </w:r>
      <w:r w:rsidRPr="00BD2EC6">
        <w:rPr>
          <w:szCs w:val="22"/>
        </w:rPr>
        <w:t xml:space="preserve">. </w:t>
      </w:r>
    </w:p>
    <w:p w:rsidR="00A55FEE" w:rsidRDefault="002545F2" w:rsidP="008A50F1">
      <w:pPr>
        <w:pStyle w:val="ListParagraph"/>
        <w:numPr>
          <w:ilvl w:val="1"/>
          <w:numId w:val="5"/>
        </w:numPr>
        <w:rPr>
          <w:szCs w:val="22"/>
        </w:rPr>
      </w:pPr>
      <w:r w:rsidRPr="00996DDE">
        <w:rPr>
          <w:szCs w:val="22"/>
        </w:rPr>
        <w:t xml:space="preserve">The Secretariat noted </w:t>
      </w:r>
      <w:r w:rsidR="008731F1" w:rsidRPr="00996DDE">
        <w:rPr>
          <w:szCs w:val="22"/>
        </w:rPr>
        <w:t>the drug cost per patient per course in the March 2017 minutes was lower ($</w:t>
      </w:r>
      <w:r w:rsidR="005719AD">
        <w:rPr>
          <w:noProof/>
          <w:color w:val="000000"/>
          <w:szCs w:val="22"/>
          <w:highlight w:val="black"/>
        </w:rPr>
        <w:t>''''''''''</w:t>
      </w:r>
      <w:r w:rsidR="008731F1" w:rsidRPr="00996DDE">
        <w:rPr>
          <w:szCs w:val="22"/>
        </w:rPr>
        <w:t>), however this was based on 3 rather than 3.42 cycle of treatment (i.e $</w:t>
      </w:r>
      <w:r w:rsidR="005719AD">
        <w:rPr>
          <w:noProof/>
          <w:color w:val="000000"/>
          <w:szCs w:val="22"/>
          <w:highlight w:val="black"/>
        </w:rPr>
        <w:t>'''''''''''</w:t>
      </w:r>
      <w:r w:rsidR="008731F1" w:rsidRPr="00996DDE">
        <w:rPr>
          <w:szCs w:val="22"/>
        </w:rPr>
        <w:t xml:space="preserve"> x 3).</w:t>
      </w:r>
      <w:r w:rsidR="008617BF" w:rsidRPr="00996DDE">
        <w:rPr>
          <w:szCs w:val="22"/>
        </w:rPr>
        <w:t xml:space="preserve"> (</w:t>
      </w:r>
      <w:r w:rsidR="003434A0" w:rsidRPr="00996DDE">
        <w:rPr>
          <w:szCs w:val="22"/>
        </w:rPr>
        <w:t xml:space="preserve">March 2017 </w:t>
      </w:r>
      <w:r w:rsidR="003434A0">
        <w:rPr>
          <w:szCs w:val="22"/>
        </w:rPr>
        <w:t xml:space="preserve">PSD </w:t>
      </w:r>
      <w:r w:rsidR="008617BF" w:rsidRPr="00996DDE">
        <w:rPr>
          <w:szCs w:val="22"/>
        </w:rPr>
        <w:t xml:space="preserve">paragraph </w:t>
      </w:r>
      <w:r w:rsidR="00EF6085" w:rsidRPr="00996DDE">
        <w:rPr>
          <w:szCs w:val="22"/>
        </w:rPr>
        <w:t>4.17)</w:t>
      </w:r>
      <w:r w:rsidR="008617BF" w:rsidRPr="00996DDE">
        <w:rPr>
          <w:szCs w:val="22"/>
        </w:rPr>
        <w:t xml:space="preserve">.   </w:t>
      </w:r>
    </w:p>
    <w:p w:rsidR="006F5A7F" w:rsidRPr="006F5A7F" w:rsidRDefault="006F5A7F" w:rsidP="006F5A7F">
      <w:pPr>
        <w:pStyle w:val="ListParagraph"/>
        <w:rPr>
          <w:szCs w:val="22"/>
        </w:rPr>
      </w:pPr>
    </w:p>
    <w:p w:rsidR="006F5A7F" w:rsidRPr="00996DDE" w:rsidRDefault="006F5A7F" w:rsidP="008A50F1">
      <w:pPr>
        <w:pStyle w:val="ListParagraph"/>
        <w:numPr>
          <w:ilvl w:val="1"/>
          <w:numId w:val="5"/>
        </w:numPr>
        <w:rPr>
          <w:szCs w:val="22"/>
        </w:rPr>
      </w:pPr>
      <w:r>
        <w:rPr>
          <w:szCs w:val="22"/>
        </w:rPr>
        <w:t>The Pre-Sub-Committee Response (PSCR)(p2) argued that the cost per patient per course of $</w:t>
      </w:r>
      <w:r w:rsidR="005719AD">
        <w:rPr>
          <w:noProof/>
          <w:color w:val="000000"/>
          <w:szCs w:val="22"/>
          <w:highlight w:val="black"/>
        </w:rPr>
        <w:t>''''''''''''''''''</w:t>
      </w:r>
      <w:r>
        <w:rPr>
          <w:szCs w:val="22"/>
        </w:rPr>
        <w:t xml:space="preserve"> </w:t>
      </w:r>
      <w:r w:rsidR="007151F3">
        <w:rPr>
          <w:szCs w:val="22"/>
        </w:rPr>
        <w:t xml:space="preserve">(calculated by averaging the total drug costs per course per patient) </w:t>
      </w:r>
      <w:r w:rsidR="00D116E9">
        <w:rPr>
          <w:szCs w:val="22"/>
        </w:rPr>
        <w:t xml:space="preserve">was correctly </w:t>
      </w:r>
      <w:r w:rsidR="007151F3">
        <w:rPr>
          <w:szCs w:val="22"/>
        </w:rPr>
        <w:t>calculated in</w:t>
      </w:r>
      <w:r w:rsidR="00D116E9">
        <w:rPr>
          <w:szCs w:val="22"/>
        </w:rPr>
        <w:t xml:space="preserve"> the submission. </w:t>
      </w:r>
      <w:r w:rsidR="007151F3">
        <w:rPr>
          <w:szCs w:val="22"/>
        </w:rPr>
        <w:t xml:space="preserve">The PSCR </w:t>
      </w:r>
      <w:r w:rsidR="000265AF">
        <w:rPr>
          <w:szCs w:val="22"/>
        </w:rPr>
        <w:t>did not address the discrepancy between the average effective dispensed price per patient per cycle in the submission ($</w:t>
      </w:r>
      <w:r w:rsidR="005719AD">
        <w:rPr>
          <w:noProof/>
          <w:color w:val="000000"/>
          <w:szCs w:val="22"/>
          <w:highlight w:val="black"/>
        </w:rPr>
        <w:t>'''''''''''''''''</w:t>
      </w:r>
      <w:r w:rsidR="000265AF">
        <w:rPr>
          <w:szCs w:val="22"/>
        </w:rPr>
        <w:t xml:space="preserve">) and the </w:t>
      </w:r>
      <w:r w:rsidR="00B07785">
        <w:rPr>
          <w:szCs w:val="22"/>
        </w:rPr>
        <w:t>submission’s</w:t>
      </w:r>
      <w:r w:rsidR="000265AF">
        <w:rPr>
          <w:szCs w:val="22"/>
        </w:rPr>
        <w:t xml:space="preserve"> excel workbook ($</w:t>
      </w:r>
      <w:r w:rsidR="005719AD">
        <w:rPr>
          <w:noProof/>
          <w:color w:val="000000"/>
          <w:szCs w:val="22"/>
          <w:highlight w:val="black"/>
        </w:rPr>
        <w:t>'''''''''''''''</w:t>
      </w:r>
      <w:r w:rsidR="000265AF">
        <w:rPr>
          <w:szCs w:val="22"/>
        </w:rPr>
        <w:t>).</w:t>
      </w:r>
    </w:p>
    <w:p w:rsidR="00A55FEE" w:rsidRPr="00F36CCB" w:rsidRDefault="00A55FEE" w:rsidP="00A55FEE">
      <w:pPr>
        <w:ind w:left="720" w:hanging="720"/>
        <w:jc w:val="both"/>
        <w:rPr>
          <w:rFonts w:asciiTheme="minorHAnsi" w:hAnsiTheme="minorHAnsi"/>
          <w:b/>
          <w:i/>
          <w:sz w:val="22"/>
          <w:szCs w:val="22"/>
        </w:rPr>
      </w:pPr>
    </w:p>
    <w:p w:rsidR="005A3173" w:rsidRPr="00F36CCB" w:rsidRDefault="005A3173" w:rsidP="00B1059E">
      <w:pPr>
        <w:pStyle w:val="Heading2"/>
        <w:rPr>
          <w:rFonts w:asciiTheme="minorHAnsi" w:hAnsiTheme="minorHAnsi"/>
        </w:rPr>
      </w:pPr>
      <w:r w:rsidRPr="00F36CCB">
        <w:rPr>
          <w:rFonts w:asciiTheme="minorHAnsi" w:hAnsiTheme="minorHAnsi"/>
        </w:rPr>
        <w:t>Estimated PBS usage &amp; financial implications</w:t>
      </w:r>
    </w:p>
    <w:p w:rsidR="005A3173" w:rsidRPr="00F36CCB" w:rsidRDefault="005A3173" w:rsidP="00882085">
      <w:pPr>
        <w:ind w:left="720" w:hanging="720"/>
        <w:jc w:val="both"/>
        <w:rPr>
          <w:rFonts w:asciiTheme="minorHAnsi" w:hAnsiTheme="minorHAnsi"/>
          <w:b/>
          <w:i/>
          <w:sz w:val="22"/>
          <w:szCs w:val="22"/>
        </w:rPr>
      </w:pPr>
    </w:p>
    <w:p w:rsidR="00B5719A" w:rsidRDefault="00AB68FD" w:rsidP="001936F9">
      <w:pPr>
        <w:pStyle w:val="ListParagraph"/>
        <w:numPr>
          <w:ilvl w:val="1"/>
          <w:numId w:val="5"/>
        </w:numPr>
        <w:rPr>
          <w:szCs w:val="22"/>
        </w:rPr>
      </w:pPr>
      <w:r>
        <w:rPr>
          <w:szCs w:val="22"/>
        </w:rPr>
        <w:t>At its November 2016 meeting, the PBAC considered that the submission’s estimate of the number of patients to be treated was likely to have been overestimated. In particular, the uptake of trifluridine/tipiracil (</w:t>
      </w:r>
      <w:r w:rsidR="005719AD">
        <w:rPr>
          <w:noProof/>
          <w:color w:val="000000"/>
          <w:szCs w:val="22"/>
          <w:highlight w:val="black"/>
        </w:rPr>
        <w:t>'''''</w:t>
      </w:r>
      <w:r>
        <w:rPr>
          <w:szCs w:val="22"/>
        </w:rPr>
        <w:t xml:space="preserve">% </w:t>
      </w:r>
      <w:r w:rsidR="00EA26C1">
        <w:rPr>
          <w:szCs w:val="22"/>
        </w:rPr>
        <w:t xml:space="preserve">in Year 1 in patients who have received first and second line treatments for mCRC, followed by </w:t>
      </w:r>
      <w:r w:rsidR="005719AD">
        <w:rPr>
          <w:noProof/>
          <w:color w:val="000000"/>
          <w:szCs w:val="22"/>
          <w:highlight w:val="black"/>
        </w:rPr>
        <w:t>'''''</w:t>
      </w:r>
      <w:r w:rsidR="00EA26C1">
        <w:rPr>
          <w:szCs w:val="22"/>
        </w:rPr>
        <w:t>% each year thereafter) was considered to have been overestimated, as to be suitable for treatment, patients are required to be fit and healthy with a good performance status despite</w:t>
      </w:r>
      <w:r w:rsidR="00EA26C1" w:rsidRPr="00EA26C1">
        <w:t xml:space="preserve"> </w:t>
      </w:r>
      <w:r w:rsidR="00EA26C1" w:rsidRPr="00EA26C1">
        <w:rPr>
          <w:szCs w:val="22"/>
        </w:rPr>
        <w:t>having received a number of previous treatments for their mCRC (</w:t>
      </w:r>
      <w:r w:rsidR="003434A0" w:rsidRPr="00EA26C1">
        <w:rPr>
          <w:szCs w:val="22"/>
        </w:rPr>
        <w:t xml:space="preserve">November 2016 </w:t>
      </w:r>
      <w:r w:rsidR="003434A0">
        <w:rPr>
          <w:szCs w:val="22"/>
        </w:rPr>
        <w:t xml:space="preserve">PSD, </w:t>
      </w:r>
      <w:r w:rsidR="00EA26C1" w:rsidRPr="00EA26C1">
        <w:rPr>
          <w:szCs w:val="22"/>
        </w:rPr>
        <w:t>paragraph 7.12).</w:t>
      </w:r>
      <w:r w:rsidR="00EA26C1">
        <w:rPr>
          <w:szCs w:val="22"/>
        </w:rPr>
        <w:t xml:space="preserve"> The March 2017 minor resubmission made no changes to the estimates of utilisation. </w:t>
      </w:r>
      <w:r w:rsidR="00476E22" w:rsidRPr="001936F9">
        <w:rPr>
          <w:szCs w:val="22"/>
        </w:rPr>
        <w:t>The</w:t>
      </w:r>
      <w:r w:rsidR="00B85F2F">
        <w:rPr>
          <w:szCs w:val="22"/>
        </w:rPr>
        <w:t xml:space="preserve"> current</w:t>
      </w:r>
      <w:r w:rsidR="00476E22" w:rsidRPr="001936F9">
        <w:rPr>
          <w:szCs w:val="22"/>
        </w:rPr>
        <w:t xml:space="preserve"> minor resubmission revised the uptake rate for trifluridine/tipiracil from </w:t>
      </w:r>
      <w:r w:rsidR="005719AD">
        <w:rPr>
          <w:noProof/>
          <w:color w:val="000000"/>
          <w:szCs w:val="22"/>
          <w:highlight w:val="black"/>
        </w:rPr>
        <w:t>'''''</w:t>
      </w:r>
      <w:r w:rsidR="00476E22" w:rsidRPr="001936F9">
        <w:rPr>
          <w:szCs w:val="22"/>
        </w:rPr>
        <w:t xml:space="preserve">% to </w:t>
      </w:r>
      <w:r w:rsidR="005719AD">
        <w:rPr>
          <w:noProof/>
          <w:color w:val="000000"/>
          <w:szCs w:val="22"/>
          <w:highlight w:val="black"/>
        </w:rPr>
        <w:t>'''''</w:t>
      </w:r>
      <w:r w:rsidR="00476E22" w:rsidRPr="001936F9">
        <w:rPr>
          <w:szCs w:val="22"/>
        </w:rPr>
        <w:t xml:space="preserve">% in Year 1 and from </w:t>
      </w:r>
      <w:r w:rsidR="005719AD">
        <w:rPr>
          <w:noProof/>
          <w:color w:val="000000"/>
          <w:szCs w:val="22"/>
          <w:highlight w:val="black"/>
        </w:rPr>
        <w:t>''''''</w:t>
      </w:r>
      <w:r w:rsidR="00476E22" w:rsidRPr="001936F9">
        <w:rPr>
          <w:szCs w:val="22"/>
        </w:rPr>
        <w:t xml:space="preserve">% to </w:t>
      </w:r>
      <w:r w:rsidR="005719AD">
        <w:rPr>
          <w:noProof/>
          <w:color w:val="000000"/>
          <w:szCs w:val="22"/>
          <w:highlight w:val="black"/>
        </w:rPr>
        <w:t>'''''</w:t>
      </w:r>
      <w:r w:rsidR="00476E22" w:rsidRPr="001936F9">
        <w:rPr>
          <w:szCs w:val="22"/>
        </w:rPr>
        <w:t>% in subsequent years.</w:t>
      </w:r>
      <w:r w:rsidR="00A760C8">
        <w:rPr>
          <w:szCs w:val="22"/>
        </w:rPr>
        <w:t xml:space="preserve"> The submission’s revised estimated PBS usage and financial implications are shown below in Table 3 below. </w:t>
      </w:r>
      <w:r w:rsidR="00476E22" w:rsidRPr="001936F9">
        <w:rPr>
          <w:szCs w:val="22"/>
        </w:rPr>
        <w:t xml:space="preserve">  </w:t>
      </w:r>
    </w:p>
    <w:p w:rsidR="00B5719A" w:rsidRDefault="00B5719A" w:rsidP="00B5719A">
      <w:pPr>
        <w:pStyle w:val="ListParagraph"/>
        <w:rPr>
          <w:szCs w:val="22"/>
        </w:rPr>
      </w:pPr>
    </w:p>
    <w:p w:rsidR="001D1326" w:rsidRDefault="001D1326" w:rsidP="00B5719A">
      <w:pPr>
        <w:pStyle w:val="ListParagraph"/>
        <w:rPr>
          <w:szCs w:val="22"/>
        </w:rPr>
      </w:pPr>
    </w:p>
    <w:p w:rsidR="001D1326" w:rsidRDefault="001D1326" w:rsidP="00B5719A">
      <w:pPr>
        <w:pStyle w:val="ListParagraph"/>
        <w:rPr>
          <w:szCs w:val="22"/>
        </w:rPr>
      </w:pPr>
    </w:p>
    <w:p w:rsidR="00EC4FE2" w:rsidRDefault="00EC4FE2" w:rsidP="00B5719A">
      <w:pPr>
        <w:pStyle w:val="ListParagraph"/>
        <w:rPr>
          <w:szCs w:val="22"/>
        </w:rPr>
      </w:pPr>
    </w:p>
    <w:p w:rsidR="00EC4FE2" w:rsidRDefault="00EC4FE2" w:rsidP="00B5719A">
      <w:pPr>
        <w:pStyle w:val="ListParagraph"/>
        <w:rPr>
          <w:szCs w:val="22"/>
        </w:rPr>
      </w:pPr>
    </w:p>
    <w:p w:rsidR="00EC4FE2" w:rsidRDefault="00EC4FE2" w:rsidP="00B5719A">
      <w:pPr>
        <w:pStyle w:val="ListParagraph"/>
        <w:rPr>
          <w:szCs w:val="22"/>
        </w:rPr>
      </w:pPr>
    </w:p>
    <w:p w:rsidR="00EC4FE2" w:rsidRDefault="00EC4FE2" w:rsidP="00EC4FE2">
      <w:pPr>
        <w:pStyle w:val="Caption"/>
        <w:keepNext/>
      </w:pPr>
      <w:r>
        <w:t xml:space="preserve">Table </w:t>
      </w:r>
      <w:r>
        <w:rPr>
          <w:noProof/>
        </w:rPr>
        <w:t>3</w:t>
      </w:r>
      <w:r w:rsidRPr="00FA548F">
        <w:t>: Estimated use and financial implications</w:t>
      </w:r>
    </w:p>
    <w:tbl>
      <w:tblPr>
        <w:tblStyle w:val="TableGrid"/>
        <w:tblW w:w="0" w:type="auto"/>
        <w:tblLayout w:type="fixed"/>
        <w:tblCellMar>
          <w:left w:w="28" w:type="dxa"/>
          <w:right w:w="28" w:type="dxa"/>
        </w:tblCellMar>
        <w:tblLook w:val="04A0" w:firstRow="1" w:lastRow="0" w:firstColumn="1" w:lastColumn="0" w:noHBand="0" w:noVBand="1"/>
        <w:tblCaption w:val="Estimated use and financial implications"/>
      </w:tblPr>
      <w:tblGrid>
        <w:gridCol w:w="3075"/>
        <w:gridCol w:w="1002"/>
        <w:gridCol w:w="1001"/>
        <w:gridCol w:w="1001"/>
        <w:gridCol w:w="1001"/>
        <w:gridCol w:w="1001"/>
        <w:gridCol w:w="1001"/>
      </w:tblGrid>
      <w:tr w:rsidR="00CB6F5A" w:rsidRPr="00CA1EA0" w:rsidTr="00FB46A0">
        <w:trPr>
          <w:tblHeader/>
        </w:trPr>
        <w:tc>
          <w:tcPr>
            <w:tcW w:w="3075" w:type="dxa"/>
            <w:shd w:val="clear" w:color="auto" w:fill="D9D9D9" w:themeFill="background1" w:themeFillShade="D9"/>
          </w:tcPr>
          <w:p w:rsidR="00CB6F5A" w:rsidRPr="00F37B2C" w:rsidRDefault="00CB6F5A" w:rsidP="000656AD">
            <w:pPr>
              <w:pStyle w:val="TableText0"/>
              <w:rPr>
                <w:b/>
              </w:rPr>
            </w:pPr>
          </w:p>
        </w:tc>
        <w:tc>
          <w:tcPr>
            <w:tcW w:w="1002" w:type="dxa"/>
            <w:shd w:val="clear" w:color="auto" w:fill="D9D9D9" w:themeFill="background1" w:themeFillShade="D9"/>
            <w:vAlign w:val="center"/>
          </w:tcPr>
          <w:p w:rsidR="00CB6F5A" w:rsidRPr="00CA1EA0" w:rsidRDefault="00CB6F5A" w:rsidP="000656AD">
            <w:pPr>
              <w:pStyle w:val="TableText0"/>
              <w:jc w:val="center"/>
              <w:rPr>
                <w:b/>
                <w:sz w:val="20"/>
              </w:rPr>
            </w:pPr>
            <w:r w:rsidRPr="00CA1EA0">
              <w:rPr>
                <w:b/>
                <w:sz w:val="20"/>
              </w:rPr>
              <w:t>Year 1</w:t>
            </w:r>
          </w:p>
        </w:tc>
        <w:tc>
          <w:tcPr>
            <w:tcW w:w="1001" w:type="dxa"/>
            <w:shd w:val="clear" w:color="auto" w:fill="D9D9D9" w:themeFill="background1" w:themeFillShade="D9"/>
            <w:vAlign w:val="center"/>
          </w:tcPr>
          <w:p w:rsidR="00CB6F5A" w:rsidRPr="00CA1EA0" w:rsidRDefault="00CB6F5A" w:rsidP="000656AD">
            <w:pPr>
              <w:pStyle w:val="TableText0"/>
              <w:jc w:val="center"/>
              <w:rPr>
                <w:b/>
                <w:sz w:val="20"/>
              </w:rPr>
            </w:pPr>
            <w:r w:rsidRPr="00CA1EA0">
              <w:rPr>
                <w:b/>
                <w:sz w:val="20"/>
              </w:rPr>
              <w:t>Year 2</w:t>
            </w:r>
          </w:p>
        </w:tc>
        <w:tc>
          <w:tcPr>
            <w:tcW w:w="1001" w:type="dxa"/>
            <w:shd w:val="clear" w:color="auto" w:fill="D9D9D9" w:themeFill="background1" w:themeFillShade="D9"/>
            <w:vAlign w:val="center"/>
          </w:tcPr>
          <w:p w:rsidR="00CB6F5A" w:rsidRPr="00CA1EA0" w:rsidRDefault="00CB6F5A" w:rsidP="000656AD">
            <w:pPr>
              <w:pStyle w:val="TableText0"/>
              <w:jc w:val="center"/>
              <w:rPr>
                <w:b/>
                <w:sz w:val="20"/>
              </w:rPr>
            </w:pPr>
            <w:r w:rsidRPr="00CA1EA0">
              <w:rPr>
                <w:b/>
                <w:sz w:val="20"/>
              </w:rPr>
              <w:t>Year 3</w:t>
            </w:r>
          </w:p>
        </w:tc>
        <w:tc>
          <w:tcPr>
            <w:tcW w:w="1001" w:type="dxa"/>
            <w:shd w:val="clear" w:color="auto" w:fill="D9D9D9" w:themeFill="background1" w:themeFillShade="D9"/>
            <w:vAlign w:val="center"/>
          </w:tcPr>
          <w:p w:rsidR="00CB6F5A" w:rsidRPr="00CA1EA0" w:rsidRDefault="00CB6F5A" w:rsidP="000656AD">
            <w:pPr>
              <w:pStyle w:val="TableText0"/>
              <w:jc w:val="center"/>
              <w:rPr>
                <w:b/>
                <w:sz w:val="20"/>
              </w:rPr>
            </w:pPr>
            <w:r w:rsidRPr="00CA1EA0">
              <w:rPr>
                <w:b/>
                <w:sz w:val="20"/>
              </w:rPr>
              <w:t>Year 4</w:t>
            </w:r>
          </w:p>
        </w:tc>
        <w:tc>
          <w:tcPr>
            <w:tcW w:w="1001" w:type="dxa"/>
            <w:shd w:val="clear" w:color="auto" w:fill="D9D9D9" w:themeFill="background1" w:themeFillShade="D9"/>
            <w:vAlign w:val="center"/>
          </w:tcPr>
          <w:p w:rsidR="00CB6F5A" w:rsidRPr="00CA1EA0" w:rsidRDefault="00CB6F5A" w:rsidP="000656AD">
            <w:pPr>
              <w:pStyle w:val="TableText0"/>
              <w:jc w:val="center"/>
              <w:rPr>
                <w:b/>
                <w:sz w:val="20"/>
              </w:rPr>
            </w:pPr>
            <w:r w:rsidRPr="00CA1EA0">
              <w:rPr>
                <w:b/>
                <w:sz w:val="20"/>
              </w:rPr>
              <w:t>Year 5</w:t>
            </w:r>
          </w:p>
        </w:tc>
        <w:tc>
          <w:tcPr>
            <w:tcW w:w="1001" w:type="dxa"/>
            <w:shd w:val="clear" w:color="auto" w:fill="D9D9D9" w:themeFill="background1" w:themeFillShade="D9"/>
            <w:vAlign w:val="center"/>
          </w:tcPr>
          <w:p w:rsidR="00CB6F5A" w:rsidRPr="00CA1EA0" w:rsidRDefault="00CB6F5A" w:rsidP="000656AD">
            <w:pPr>
              <w:pStyle w:val="TableText0"/>
              <w:jc w:val="center"/>
              <w:rPr>
                <w:b/>
                <w:sz w:val="20"/>
              </w:rPr>
            </w:pPr>
            <w:r w:rsidRPr="00CA1EA0">
              <w:rPr>
                <w:b/>
                <w:sz w:val="20"/>
              </w:rPr>
              <w:t>Year 6</w:t>
            </w:r>
          </w:p>
        </w:tc>
      </w:tr>
      <w:tr w:rsidR="00CB6F5A" w:rsidRPr="00923514" w:rsidTr="00FB46A0">
        <w:tc>
          <w:tcPr>
            <w:tcW w:w="3075" w:type="dxa"/>
          </w:tcPr>
          <w:p w:rsidR="00CB6F5A" w:rsidRPr="00CA1EA0" w:rsidRDefault="00CB6F5A" w:rsidP="00CB6F5A">
            <w:pPr>
              <w:pStyle w:val="TableText0"/>
              <w:rPr>
                <w:sz w:val="20"/>
                <w:szCs w:val="20"/>
              </w:rPr>
            </w:pPr>
            <w:r w:rsidRPr="00CA1EA0">
              <w:rPr>
                <w:sz w:val="20"/>
                <w:szCs w:val="20"/>
              </w:rPr>
              <w:t>Likely number of patients in each year</w:t>
            </w:r>
          </w:p>
        </w:tc>
        <w:tc>
          <w:tcPr>
            <w:tcW w:w="1002"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r>
      <w:tr w:rsidR="00CB6F5A" w:rsidRPr="00923514"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Number of patients receiving 15 mg x 20 x 1 pack per cycle</w:t>
            </w:r>
          </w:p>
        </w:tc>
        <w:tc>
          <w:tcPr>
            <w:tcW w:w="1002"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r>
      <w:tr w:rsidR="00CB6F5A" w:rsidRPr="00923514"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Number of patients receiving 15 mg x 20 x 2 packs per cycle</w:t>
            </w:r>
          </w:p>
        </w:tc>
        <w:tc>
          <w:tcPr>
            <w:tcW w:w="1002"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r>
      <w:tr w:rsidR="00CB6F5A" w:rsidRPr="00923514"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Number of patients receiving 15 mg x 20 x 3 packs per cycle</w:t>
            </w:r>
          </w:p>
        </w:tc>
        <w:tc>
          <w:tcPr>
            <w:tcW w:w="1002"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r>
      <w:tr w:rsidR="00CB6F5A" w:rsidRPr="00923514"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Number of patients receiving 20 mg x 20 x 1 pack per cycle</w:t>
            </w:r>
          </w:p>
        </w:tc>
        <w:tc>
          <w:tcPr>
            <w:tcW w:w="1002"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r>
      <w:tr w:rsidR="00CB6F5A" w:rsidRPr="00923514"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Number of patients receiving 20 mg x 20 x 2 packs per cycle</w:t>
            </w:r>
          </w:p>
        </w:tc>
        <w:tc>
          <w:tcPr>
            <w:tcW w:w="1002"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r>
      <w:tr w:rsidR="00CB6F5A" w:rsidRPr="00923514"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Number of patients receiving 20 mg x 20 x 3 packs per cycle</w:t>
            </w:r>
          </w:p>
        </w:tc>
        <w:tc>
          <w:tcPr>
            <w:tcW w:w="1002"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r>
      <w:tr w:rsidR="00CB6F5A" w:rsidRPr="00923514"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Number of patients receiving 20 mg x 20 x 4 packs per cycle</w:t>
            </w:r>
          </w:p>
        </w:tc>
        <w:tc>
          <w:tcPr>
            <w:tcW w:w="1002"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c>
          <w:tcPr>
            <w:tcW w:w="1001" w:type="dxa"/>
            <w:vAlign w:val="center"/>
          </w:tcPr>
          <w:p w:rsidR="00CB6F5A" w:rsidRPr="005719AD" w:rsidRDefault="005719AD" w:rsidP="000656AD">
            <w:pPr>
              <w:autoSpaceDE w:val="0"/>
              <w:autoSpaceDN w:val="0"/>
              <w:adjustRightInd w:val="0"/>
              <w:jc w:val="center"/>
              <w:rPr>
                <w:rFonts w:ascii="Arial Narrow" w:hAnsi="Arial Narrow"/>
                <w:sz w:val="20"/>
                <w:highlight w:val="black"/>
              </w:rPr>
            </w:pPr>
            <w:r>
              <w:rPr>
                <w:rFonts w:ascii="Arial Narrow" w:hAnsi="Arial Narrow"/>
                <w:noProof/>
                <w:color w:val="000000"/>
                <w:sz w:val="20"/>
                <w:highlight w:val="black"/>
              </w:rPr>
              <w:t>''''''</w:t>
            </w:r>
          </w:p>
        </w:tc>
      </w:tr>
      <w:tr w:rsidR="00CB6F5A" w:rsidRPr="00CA1EA0"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Average number of cycles of treatment per patient</w:t>
            </w:r>
          </w:p>
        </w:tc>
        <w:tc>
          <w:tcPr>
            <w:tcW w:w="6007" w:type="dxa"/>
            <w:gridSpan w:val="6"/>
            <w:vAlign w:val="center"/>
          </w:tcPr>
          <w:p w:rsidR="00CB6F5A" w:rsidRPr="00CA1EA0" w:rsidRDefault="00CB6F5A" w:rsidP="000656AD">
            <w:pPr>
              <w:autoSpaceDE w:val="0"/>
              <w:autoSpaceDN w:val="0"/>
              <w:adjustRightInd w:val="0"/>
              <w:jc w:val="center"/>
              <w:rPr>
                <w:rFonts w:ascii="Arial Narrow" w:hAnsi="Arial Narrow" w:cs="Arial Narrow"/>
                <w:color w:val="000000"/>
                <w:sz w:val="20"/>
                <w:szCs w:val="20"/>
              </w:rPr>
            </w:pPr>
            <w:r w:rsidRPr="00CA1EA0">
              <w:rPr>
                <w:rFonts w:ascii="Arial Narrow" w:hAnsi="Arial Narrow" w:cs="Arial Narrow"/>
                <w:color w:val="000000"/>
                <w:sz w:val="20"/>
                <w:szCs w:val="20"/>
              </w:rPr>
              <w:t>3.42</w:t>
            </w:r>
          </w:p>
        </w:tc>
      </w:tr>
      <w:tr w:rsidR="00CB6F5A" w:rsidRPr="00923514" w:rsidTr="00FB46A0">
        <w:trPr>
          <w:trHeight w:val="319"/>
        </w:trPr>
        <w:tc>
          <w:tcPr>
            <w:tcW w:w="3075" w:type="dxa"/>
          </w:tcPr>
          <w:p w:rsidR="00CB6F5A" w:rsidRPr="00CA1EA0" w:rsidRDefault="00CB6F5A" w:rsidP="00E54E6E">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 xml:space="preserve">Total dispensed cost </w:t>
            </w:r>
          </w:p>
        </w:tc>
        <w:tc>
          <w:tcPr>
            <w:tcW w:w="1002" w:type="dxa"/>
          </w:tcPr>
          <w:p w:rsidR="00CB6F5A" w:rsidRPr="00923514" w:rsidRDefault="00CB6F5A" w:rsidP="000656AD">
            <w:pPr>
              <w:autoSpaceDE w:val="0"/>
              <w:autoSpaceDN w:val="0"/>
              <w:adjustRightInd w:val="0"/>
              <w:jc w:val="center"/>
              <w:rPr>
                <w:rFonts w:ascii="Arial Narrow" w:hAnsi="Arial Narrow"/>
                <w:sz w:val="20"/>
              </w:rPr>
            </w:pPr>
            <w:r w:rsidRPr="00923514">
              <w:rPr>
                <w:rFonts w:ascii="Arial Narrow" w:hAnsi="Arial Narrow"/>
                <w:sz w:val="20"/>
              </w:rPr>
              <w:t>$</w:t>
            </w:r>
            <w:r w:rsidR="005719AD">
              <w:rPr>
                <w:rFonts w:ascii="Arial Narrow" w:hAnsi="Arial Narrow"/>
                <w:noProof/>
                <w:color w:val="000000"/>
                <w:sz w:val="20"/>
                <w:highlight w:val="black"/>
              </w:rPr>
              <w:t>'''''''''''''''''''''''''''</w:t>
            </w:r>
          </w:p>
        </w:tc>
        <w:tc>
          <w:tcPr>
            <w:tcW w:w="1001" w:type="dxa"/>
          </w:tcPr>
          <w:p w:rsidR="00CB6F5A" w:rsidRPr="00923514" w:rsidRDefault="00CB6F5A" w:rsidP="000656AD">
            <w:pPr>
              <w:autoSpaceDE w:val="0"/>
              <w:autoSpaceDN w:val="0"/>
              <w:adjustRightInd w:val="0"/>
              <w:jc w:val="center"/>
              <w:rPr>
                <w:rFonts w:ascii="Arial Narrow" w:hAnsi="Arial Narrow"/>
                <w:sz w:val="20"/>
              </w:rPr>
            </w:pPr>
            <w:r w:rsidRPr="00923514">
              <w:rPr>
                <w:rFonts w:ascii="Arial Narrow" w:hAnsi="Arial Narrow"/>
                <w:sz w:val="20"/>
              </w:rPr>
              <w:t>$</w:t>
            </w:r>
            <w:r w:rsidR="005719AD">
              <w:rPr>
                <w:rFonts w:ascii="Arial Narrow" w:hAnsi="Arial Narrow"/>
                <w:noProof/>
                <w:color w:val="000000"/>
                <w:sz w:val="20"/>
                <w:highlight w:val="black"/>
              </w:rPr>
              <w:t>'''''''''''''''''''''''''</w:t>
            </w:r>
          </w:p>
        </w:tc>
        <w:tc>
          <w:tcPr>
            <w:tcW w:w="1001" w:type="dxa"/>
          </w:tcPr>
          <w:p w:rsidR="00CB6F5A" w:rsidRPr="00923514" w:rsidRDefault="00CB6F5A" w:rsidP="000656AD">
            <w:pPr>
              <w:autoSpaceDE w:val="0"/>
              <w:autoSpaceDN w:val="0"/>
              <w:adjustRightInd w:val="0"/>
              <w:jc w:val="center"/>
              <w:rPr>
                <w:rFonts w:ascii="Arial Narrow" w:hAnsi="Arial Narrow"/>
                <w:sz w:val="20"/>
              </w:rPr>
            </w:pPr>
            <w:r w:rsidRPr="00923514">
              <w:rPr>
                <w:rFonts w:ascii="Arial Narrow" w:hAnsi="Arial Narrow"/>
                <w:sz w:val="20"/>
              </w:rPr>
              <w:t>$</w:t>
            </w:r>
            <w:r w:rsidR="005719AD">
              <w:rPr>
                <w:rFonts w:ascii="Arial Narrow" w:hAnsi="Arial Narrow"/>
                <w:noProof/>
                <w:color w:val="000000"/>
                <w:sz w:val="20"/>
                <w:highlight w:val="black"/>
              </w:rPr>
              <w:t>'''''''''''''''''''''''''''''</w:t>
            </w:r>
          </w:p>
        </w:tc>
        <w:tc>
          <w:tcPr>
            <w:tcW w:w="1001" w:type="dxa"/>
          </w:tcPr>
          <w:p w:rsidR="00CB6F5A" w:rsidRPr="00923514" w:rsidRDefault="00CB6F5A" w:rsidP="000656AD">
            <w:pPr>
              <w:autoSpaceDE w:val="0"/>
              <w:autoSpaceDN w:val="0"/>
              <w:adjustRightInd w:val="0"/>
              <w:jc w:val="center"/>
              <w:rPr>
                <w:rFonts w:ascii="Arial Narrow" w:hAnsi="Arial Narrow"/>
                <w:sz w:val="20"/>
              </w:rPr>
            </w:pPr>
            <w:r w:rsidRPr="00923514">
              <w:rPr>
                <w:rFonts w:ascii="Arial Narrow" w:hAnsi="Arial Narrow"/>
                <w:sz w:val="20"/>
              </w:rPr>
              <w:t>$</w:t>
            </w:r>
            <w:r w:rsidR="005719AD">
              <w:rPr>
                <w:rFonts w:ascii="Arial Narrow" w:hAnsi="Arial Narrow"/>
                <w:noProof/>
                <w:color w:val="000000"/>
                <w:sz w:val="20"/>
                <w:highlight w:val="black"/>
              </w:rPr>
              <w:t>''''''''''''''''''''''''</w:t>
            </w:r>
          </w:p>
        </w:tc>
        <w:tc>
          <w:tcPr>
            <w:tcW w:w="1001" w:type="dxa"/>
          </w:tcPr>
          <w:p w:rsidR="00CB6F5A" w:rsidRPr="00923514" w:rsidRDefault="00CB6F5A" w:rsidP="000656AD">
            <w:pPr>
              <w:autoSpaceDE w:val="0"/>
              <w:autoSpaceDN w:val="0"/>
              <w:adjustRightInd w:val="0"/>
              <w:jc w:val="center"/>
              <w:rPr>
                <w:rFonts w:ascii="Arial Narrow" w:hAnsi="Arial Narrow"/>
                <w:sz w:val="20"/>
              </w:rPr>
            </w:pPr>
            <w:r w:rsidRPr="00923514">
              <w:rPr>
                <w:rFonts w:ascii="Arial Narrow" w:hAnsi="Arial Narrow"/>
                <w:sz w:val="20"/>
              </w:rPr>
              <w:t>$</w:t>
            </w:r>
            <w:r w:rsidR="005719AD">
              <w:rPr>
                <w:rFonts w:ascii="Arial Narrow" w:hAnsi="Arial Narrow"/>
                <w:noProof/>
                <w:color w:val="000000"/>
                <w:sz w:val="20"/>
                <w:highlight w:val="black"/>
              </w:rPr>
              <w:t>''''''''''''''''''''''''''''</w:t>
            </w:r>
          </w:p>
        </w:tc>
        <w:tc>
          <w:tcPr>
            <w:tcW w:w="1001" w:type="dxa"/>
          </w:tcPr>
          <w:p w:rsidR="00CB6F5A" w:rsidRPr="00923514" w:rsidRDefault="00CB6F5A" w:rsidP="000656AD">
            <w:pPr>
              <w:autoSpaceDE w:val="0"/>
              <w:autoSpaceDN w:val="0"/>
              <w:adjustRightInd w:val="0"/>
              <w:jc w:val="center"/>
              <w:rPr>
                <w:rFonts w:ascii="Arial Narrow" w:hAnsi="Arial Narrow"/>
                <w:sz w:val="20"/>
              </w:rPr>
            </w:pPr>
            <w:r w:rsidRPr="00923514">
              <w:rPr>
                <w:rFonts w:ascii="Arial Narrow" w:hAnsi="Arial Narrow"/>
                <w:sz w:val="20"/>
              </w:rPr>
              <w:t>$</w:t>
            </w:r>
            <w:r w:rsidR="005719AD">
              <w:rPr>
                <w:rFonts w:ascii="Arial Narrow" w:hAnsi="Arial Narrow"/>
                <w:noProof/>
                <w:color w:val="000000"/>
                <w:sz w:val="20"/>
                <w:highlight w:val="black"/>
              </w:rPr>
              <w:t>'''''''''''''''''''''''''''''</w:t>
            </w:r>
          </w:p>
        </w:tc>
      </w:tr>
      <w:tr w:rsidR="00CB6F5A" w:rsidRPr="00923514"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Total rebates paid</w:t>
            </w:r>
          </w:p>
        </w:tc>
        <w:tc>
          <w:tcPr>
            <w:tcW w:w="1002" w:type="dxa"/>
            <w:vAlign w:val="center"/>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vAlign w:val="center"/>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vAlign w:val="center"/>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vAlign w:val="center"/>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vAlign w:val="center"/>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vAlign w:val="center"/>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r>
      <w:tr w:rsidR="00CB6F5A" w:rsidRPr="00923514"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General patient co-payments</w:t>
            </w:r>
          </w:p>
        </w:tc>
        <w:tc>
          <w:tcPr>
            <w:tcW w:w="1002"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r>
      <w:tr w:rsidR="00CB6F5A" w:rsidRPr="00923514"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color w:val="000000"/>
                <w:sz w:val="20"/>
                <w:szCs w:val="20"/>
              </w:rPr>
            </w:pPr>
            <w:r w:rsidRPr="00CA1EA0">
              <w:rPr>
                <w:rFonts w:ascii="Arial Narrow" w:hAnsi="Arial Narrow" w:cs="Arial Narrow"/>
                <w:color w:val="000000"/>
                <w:sz w:val="20"/>
                <w:szCs w:val="20"/>
              </w:rPr>
              <w:t>Concessional patient co-payments</w:t>
            </w:r>
          </w:p>
        </w:tc>
        <w:tc>
          <w:tcPr>
            <w:tcW w:w="1002"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c>
          <w:tcPr>
            <w:tcW w:w="1001" w:type="dxa"/>
          </w:tcPr>
          <w:p w:rsidR="00CB6F5A" w:rsidRPr="00FB46A0" w:rsidRDefault="00CB6F5A" w:rsidP="000656AD">
            <w:pPr>
              <w:autoSpaceDE w:val="0"/>
              <w:autoSpaceDN w:val="0"/>
              <w:adjustRightInd w:val="0"/>
              <w:jc w:val="center"/>
              <w:rPr>
                <w:rFonts w:ascii="Arial Narrow" w:hAnsi="Arial Narrow"/>
                <w:color w:val="000000" w:themeColor="text1"/>
                <w:sz w:val="20"/>
              </w:rPr>
            </w:pPr>
            <w:r w:rsidRPr="00FB46A0">
              <w:rPr>
                <w:rFonts w:ascii="Arial Narrow" w:hAnsi="Arial Narrow"/>
                <w:color w:val="000000" w:themeColor="text1"/>
                <w:sz w:val="20"/>
              </w:rPr>
              <w:t>-$</w:t>
            </w:r>
            <w:r w:rsidR="005719AD">
              <w:rPr>
                <w:rFonts w:ascii="Arial Narrow" w:hAnsi="Arial Narrow"/>
                <w:noProof/>
                <w:color w:val="000000"/>
                <w:sz w:val="20"/>
                <w:highlight w:val="black"/>
              </w:rPr>
              <w:t>''''''''''''''''''</w:t>
            </w:r>
          </w:p>
        </w:tc>
      </w:tr>
      <w:tr w:rsidR="00CB6F5A" w:rsidRPr="00923514" w:rsidTr="00FB46A0">
        <w:trPr>
          <w:trHeight w:val="319"/>
        </w:trPr>
        <w:tc>
          <w:tcPr>
            <w:tcW w:w="3075" w:type="dxa"/>
          </w:tcPr>
          <w:p w:rsidR="00CB6F5A" w:rsidRPr="00CA1EA0" w:rsidRDefault="00CB6F5A" w:rsidP="000656AD">
            <w:pPr>
              <w:autoSpaceDE w:val="0"/>
              <w:autoSpaceDN w:val="0"/>
              <w:adjustRightInd w:val="0"/>
              <w:rPr>
                <w:rFonts w:ascii="Arial Narrow" w:hAnsi="Arial Narrow" w:cs="Arial Narrow"/>
                <w:b/>
                <w:bCs/>
                <w:color w:val="000000"/>
                <w:sz w:val="20"/>
                <w:szCs w:val="20"/>
              </w:rPr>
            </w:pPr>
            <w:r w:rsidRPr="00CA1EA0">
              <w:rPr>
                <w:rFonts w:ascii="Arial Narrow" w:hAnsi="Arial Narrow" w:cs="Arial Narrow"/>
                <w:b/>
                <w:bCs/>
                <w:color w:val="000000"/>
                <w:sz w:val="20"/>
                <w:szCs w:val="20"/>
              </w:rPr>
              <w:t>Net financial implications for PBS budget</w:t>
            </w:r>
          </w:p>
        </w:tc>
        <w:tc>
          <w:tcPr>
            <w:tcW w:w="1002" w:type="dxa"/>
            <w:vAlign w:val="center"/>
          </w:tcPr>
          <w:p w:rsidR="00CB6F5A" w:rsidRPr="00923514" w:rsidRDefault="00CB6F5A" w:rsidP="000656AD">
            <w:pPr>
              <w:autoSpaceDE w:val="0"/>
              <w:autoSpaceDN w:val="0"/>
              <w:adjustRightInd w:val="0"/>
              <w:jc w:val="center"/>
              <w:rPr>
                <w:rFonts w:ascii="Arial Narrow" w:hAnsi="Arial Narrow"/>
                <w:b/>
                <w:sz w:val="20"/>
              </w:rPr>
            </w:pPr>
            <w:r w:rsidRPr="00923514">
              <w:rPr>
                <w:rFonts w:ascii="Arial Narrow" w:hAnsi="Arial Narrow"/>
                <w:b/>
                <w:sz w:val="20"/>
              </w:rPr>
              <w:t>$</w:t>
            </w:r>
            <w:r w:rsidR="005719AD">
              <w:rPr>
                <w:rFonts w:ascii="Arial Narrow" w:hAnsi="Arial Narrow"/>
                <w:b/>
                <w:noProof/>
                <w:color w:val="000000"/>
                <w:sz w:val="20"/>
                <w:highlight w:val="black"/>
              </w:rPr>
              <w:t>'''''''''''''''''''''''</w:t>
            </w:r>
          </w:p>
        </w:tc>
        <w:tc>
          <w:tcPr>
            <w:tcW w:w="1001" w:type="dxa"/>
            <w:vAlign w:val="center"/>
          </w:tcPr>
          <w:p w:rsidR="00CB6F5A" w:rsidRPr="00923514" w:rsidRDefault="00CB6F5A" w:rsidP="000656AD">
            <w:pPr>
              <w:autoSpaceDE w:val="0"/>
              <w:autoSpaceDN w:val="0"/>
              <w:adjustRightInd w:val="0"/>
              <w:jc w:val="center"/>
              <w:rPr>
                <w:rFonts w:ascii="Arial Narrow" w:hAnsi="Arial Narrow"/>
                <w:b/>
                <w:sz w:val="20"/>
              </w:rPr>
            </w:pPr>
            <w:r w:rsidRPr="00923514">
              <w:rPr>
                <w:rFonts w:ascii="Arial Narrow" w:hAnsi="Arial Narrow"/>
                <w:b/>
                <w:sz w:val="20"/>
              </w:rPr>
              <w:t>$</w:t>
            </w:r>
            <w:r w:rsidR="005719AD">
              <w:rPr>
                <w:rFonts w:ascii="Arial Narrow" w:hAnsi="Arial Narrow"/>
                <w:b/>
                <w:noProof/>
                <w:color w:val="000000"/>
                <w:sz w:val="20"/>
                <w:highlight w:val="black"/>
              </w:rPr>
              <w:t>'''''''''''''''''''''''</w:t>
            </w:r>
          </w:p>
        </w:tc>
        <w:tc>
          <w:tcPr>
            <w:tcW w:w="1001" w:type="dxa"/>
            <w:vAlign w:val="center"/>
          </w:tcPr>
          <w:p w:rsidR="00CB6F5A" w:rsidRPr="00923514" w:rsidRDefault="00CB6F5A" w:rsidP="000656AD">
            <w:pPr>
              <w:autoSpaceDE w:val="0"/>
              <w:autoSpaceDN w:val="0"/>
              <w:adjustRightInd w:val="0"/>
              <w:jc w:val="center"/>
              <w:rPr>
                <w:rFonts w:ascii="Arial Narrow" w:hAnsi="Arial Narrow"/>
                <w:b/>
                <w:sz w:val="20"/>
              </w:rPr>
            </w:pPr>
            <w:r w:rsidRPr="00923514">
              <w:rPr>
                <w:rFonts w:ascii="Arial Narrow" w:hAnsi="Arial Narrow"/>
                <w:b/>
                <w:sz w:val="20"/>
              </w:rPr>
              <w:t>$</w:t>
            </w:r>
            <w:r w:rsidR="005719AD">
              <w:rPr>
                <w:rFonts w:ascii="Arial Narrow" w:hAnsi="Arial Narrow"/>
                <w:b/>
                <w:noProof/>
                <w:color w:val="000000"/>
                <w:sz w:val="20"/>
                <w:highlight w:val="black"/>
              </w:rPr>
              <w:t>''''''''''''''''''''''</w:t>
            </w:r>
          </w:p>
        </w:tc>
        <w:tc>
          <w:tcPr>
            <w:tcW w:w="1001" w:type="dxa"/>
            <w:vAlign w:val="center"/>
          </w:tcPr>
          <w:p w:rsidR="00CB6F5A" w:rsidRPr="00923514" w:rsidRDefault="00CB6F5A" w:rsidP="000656AD">
            <w:pPr>
              <w:autoSpaceDE w:val="0"/>
              <w:autoSpaceDN w:val="0"/>
              <w:adjustRightInd w:val="0"/>
              <w:jc w:val="center"/>
              <w:rPr>
                <w:rFonts w:ascii="Arial Narrow" w:hAnsi="Arial Narrow"/>
                <w:b/>
                <w:sz w:val="20"/>
              </w:rPr>
            </w:pPr>
            <w:r w:rsidRPr="00923514">
              <w:rPr>
                <w:rFonts w:ascii="Arial Narrow" w:hAnsi="Arial Narrow"/>
                <w:b/>
                <w:sz w:val="20"/>
              </w:rPr>
              <w:t>$</w:t>
            </w:r>
            <w:r w:rsidR="005719AD">
              <w:rPr>
                <w:rFonts w:ascii="Arial Narrow" w:hAnsi="Arial Narrow"/>
                <w:b/>
                <w:noProof/>
                <w:color w:val="000000"/>
                <w:sz w:val="20"/>
                <w:highlight w:val="black"/>
              </w:rPr>
              <w:t>''''''''''''''''''''</w:t>
            </w:r>
          </w:p>
        </w:tc>
        <w:tc>
          <w:tcPr>
            <w:tcW w:w="1001" w:type="dxa"/>
            <w:vAlign w:val="center"/>
          </w:tcPr>
          <w:p w:rsidR="00CB6F5A" w:rsidRPr="00923514" w:rsidRDefault="00CB6F5A" w:rsidP="000656AD">
            <w:pPr>
              <w:autoSpaceDE w:val="0"/>
              <w:autoSpaceDN w:val="0"/>
              <w:adjustRightInd w:val="0"/>
              <w:jc w:val="center"/>
              <w:rPr>
                <w:rFonts w:ascii="Arial Narrow" w:hAnsi="Arial Narrow"/>
                <w:b/>
                <w:sz w:val="20"/>
              </w:rPr>
            </w:pPr>
            <w:r w:rsidRPr="00923514">
              <w:rPr>
                <w:rFonts w:ascii="Arial Narrow" w:hAnsi="Arial Narrow"/>
                <w:b/>
                <w:sz w:val="20"/>
              </w:rPr>
              <w:t>$</w:t>
            </w:r>
            <w:r w:rsidR="005719AD">
              <w:rPr>
                <w:rFonts w:ascii="Arial Narrow" w:hAnsi="Arial Narrow"/>
                <w:b/>
                <w:noProof/>
                <w:color w:val="000000"/>
                <w:sz w:val="20"/>
                <w:highlight w:val="black"/>
              </w:rPr>
              <w:t>'''''''''''''''''''''</w:t>
            </w:r>
          </w:p>
        </w:tc>
        <w:tc>
          <w:tcPr>
            <w:tcW w:w="1001" w:type="dxa"/>
            <w:vAlign w:val="center"/>
          </w:tcPr>
          <w:p w:rsidR="00CB6F5A" w:rsidRPr="00923514" w:rsidRDefault="00CB6F5A" w:rsidP="000656AD">
            <w:pPr>
              <w:autoSpaceDE w:val="0"/>
              <w:autoSpaceDN w:val="0"/>
              <w:adjustRightInd w:val="0"/>
              <w:jc w:val="center"/>
              <w:rPr>
                <w:rFonts w:ascii="Arial Narrow" w:hAnsi="Arial Narrow"/>
                <w:b/>
                <w:sz w:val="20"/>
              </w:rPr>
            </w:pPr>
            <w:r w:rsidRPr="00923514">
              <w:rPr>
                <w:rFonts w:ascii="Arial Narrow" w:hAnsi="Arial Narrow"/>
                <w:b/>
                <w:sz w:val="20"/>
              </w:rPr>
              <w:t>$</w:t>
            </w:r>
            <w:r w:rsidR="005719AD">
              <w:rPr>
                <w:rFonts w:ascii="Arial Narrow" w:hAnsi="Arial Narrow"/>
                <w:b/>
                <w:noProof/>
                <w:color w:val="000000"/>
                <w:sz w:val="20"/>
                <w:highlight w:val="black"/>
              </w:rPr>
              <w:t>''''''''''''''''''''</w:t>
            </w:r>
          </w:p>
        </w:tc>
      </w:tr>
    </w:tbl>
    <w:p w:rsidR="00A760C8" w:rsidRPr="00FB46A0" w:rsidRDefault="00E54E6E" w:rsidP="00FB46A0">
      <w:pPr>
        <w:rPr>
          <w:rFonts w:ascii="Arial Narrow" w:hAnsi="Arial Narrow"/>
          <w:sz w:val="18"/>
          <w:szCs w:val="22"/>
        </w:rPr>
      </w:pPr>
      <w:r w:rsidRPr="00FB46A0">
        <w:rPr>
          <w:rFonts w:ascii="Arial Narrow" w:hAnsi="Arial Narrow"/>
          <w:sz w:val="18"/>
          <w:szCs w:val="22"/>
        </w:rPr>
        <w:t>Source: Table 3, page 14 of the minor resubmission.</w:t>
      </w:r>
    </w:p>
    <w:p w:rsidR="00E54E6E" w:rsidRDefault="00E54E6E" w:rsidP="00B5719A">
      <w:pPr>
        <w:pStyle w:val="ListParagraph"/>
        <w:rPr>
          <w:rFonts w:ascii="Arial Narrow" w:hAnsi="Arial Narrow"/>
          <w:szCs w:val="22"/>
        </w:rPr>
      </w:pPr>
    </w:p>
    <w:p w:rsidR="00A870EA" w:rsidRPr="00DE1CF3" w:rsidRDefault="00A870EA" w:rsidP="00B5719A">
      <w:pPr>
        <w:pStyle w:val="ListParagraph"/>
        <w:rPr>
          <w:szCs w:val="22"/>
        </w:rPr>
      </w:pPr>
      <w:r w:rsidRPr="00DE1CF3">
        <w:rPr>
          <w:szCs w:val="22"/>
        </w:rPr>
        <w:t>The redacted table shows that at year 6, the estimated number of patients was less than 10,000 and the net cost to the PBS would be $10 – $20 million.</w:t>
      </w:r>
    </w:p>
    <w:p w:rsidR="00A870EA" w:rsidRPr="00E54E6E" w:rsidRDefault="00A870EA" w:rsidP="00B5719A">
      <w:pPr>
        <w:pStyle w:val="ListParagraph"/>
        <w:rPr>
          <w:rFonts w:ascii="Arial Narrow" w:hAnsi="Arial Narrow"/>
          <w:szCs w:val="22"/>
        </w:rPr>
      </w:pPr>
    </w:p>
    <w:p w:rsidR="00472A97" w:rsidRPr="001936F9" w:rsidRDefault="001936F9" w:rsidP="001936F9">
      <w:pPr>
        <w:pStyle w:val="ListParagraph"/>
        <w:numPr>
          <w:ilvl w:val="1"/>
          <w:numId w:val="5"/>
        </w:numPr>
        <w:rPr>
          <w:szCs w:val="22"/>
        </w:rPr>
      </w:pPr>
      <w:r>
        <w:rPr>
          <w:szCs w:val="22"/>
        </w:rPr>
        <w:t xml:space="preserve">The </w:t>
      </w:r>
      <w:r w:rsidR="00B5719A">
        <w:rPr>
          <w:szCs w:val="22"/>
        </w:rPr>
        <w:t>estimated PBS usage and financial implications presented</w:t>
      </w:r>
      <w:r>
        <w:rPr>
          <w:szCs w:val="22"/>
        </w:rPr>
        <w:t xml:space="preserve"> in the minor </w:t>
      </w:r>
      <w:r w:rsidR="00BD2EC6">
        <w:rPr>
          <w:szCs w:val="22"/>
        </w:rPr>
        <w:t>re</w:t>
      </w:r>
      <w:r>
        <w:rPr>
          <w:szCs w:val="22"/>
        </w:rPr>
        <w:t xml:space="preserve">submission have not been evaluated. </w:t>
      </w:r>
    </w:p>
    <w:p w:rsidR="005A4FE9" w:rsidRDefault="005A4FE9" w:rsidP="00EA26C1">
      <w:pPr>
        <w:ind w:left="720"/>
        <w:rPr>
          <w:rFonts w:asciiTheme="minorHAnsi" w:hAnsiTheme="minorHAnsi"/>
          <w:sz w:val="22"/>
          <w:szCs w:val="22"/>
        </w:rPr>
      </w:pPr>
    </w:p>
    <w:p w:rsidR="001D1326" w:rsidRPr="00BC1DFE" w:rsidRDefault="005A4FE9" w:rsidP="00472A97">
      <w:pPr>
        <w:pStyle w:val="ListParagraph"/>
        <w:numPr>
          <w:ilvl w:val="1"/>
          <w:numId w:val="5"/>
        </w:numPr>
        <w:rPr>
          <w:szCs w:val="22"/>
        </w:rPr>
      </w:pPr>
      <w:r w:rsidRPr="00BC1DFE">
        <w:rPr>
          <w:szCs w:val="22"/>
        </w:rPr>
        <w:t>At its October 2016 meeting, the ESC was uncertain of whether a decline in the first-line mCRC population from mid-2013 to 2015 presented in the November 2016 major submission was the result of the submission’s method or if it was a real trend in PBS use (</w:t>
      </w:r>
      <w:r w:rsidR="00BC1DFE" w:rsidRPr="00BC1DFE">
        <w:rPr>
          <w:szCs w:val="22"/>
        </w:rPr>
        <w:t xml:space="preserve">November 2016 PSD, </w:t>
      </w:r>
      <w:r w:rsidRPr="00BC1DFE">
        <w:rPr>
          <w:szCs w:val="22"/>
        </w:rPr>
        <w:t xml:space="preserve">paragraph 6.41). Actual PBS data to December 2015 was presented in the financial estimates. It was noted that the minor resubmission did not address the ESC’s concern regarding the continuing decline of the first-line mCRC population and assumption of continuing linear growth in treated patients. </w:t>
      </w:r>
      <w:r w:rsidR="00B85F2F" w:rsidRPr="00BC1DFE">
        <w:rPr>
          <w:szCs w:val="22"/>
        </w:rPr>
        <w:t>However, it was noted that while the growth rates were highly variable, the average growth from January 2011 to January 2015 is similar to the submission’s assumption (7.6% vs 7.4%, respectively).</w:t>
      </w:r>
    </w:p>
    <w:p w:rsidR="001D1326" w:rsidRDefault="001D1326" w:rsidP="00472A97">
      <w:pPr>
        <w:pStyle w:val="ListParagraph"/>
        <w:rPr>
          <w:szCs w:val="22"/>
        </w:rPr>
      </w:pPr>
    </w:p>
    <w:p w:rsidR="00804F8D" w:rsidRDefault="00472A97" w:rsidP="00A60787">
      <w:pPr>
        <w:pStyle w:val="ListParagraph"/>
        <w:numPr>
          <w:ilvl w:val="1"/>
          <w:numId w:val="5"/>
        </w:numPr>
        <w:rPr>
          <w:szCs w:val="22"/>
        </w:rPr>
      </w:pPr>
      <w:r>
        <w:rPr>
          <w:szCs w:val="22"/>
        </w:rPr>
        <w:t>The revised financial estimates incorporate</w:t>
      </w:r>
      <w:r w:rsidR="00B5719A">
        <w:rPr>
          <w:szCs w:val="22"/>
        </w:rPr>
        <w:t>d</w:t>
      </w:r>
      <w:r>
        <w:rPr>
          <w:szCs w:val="22"/>
        </w:rPr>
        <w:t xml:space="preserve"> the proposed </w:t>
      </w:r>
      <w:r w:rsidR="005719AD">
        <w:rPr>
          <w:noProof/>
          <w:color w:val="000000"/>
          <w:szCs w:val="22"/>
          <w:highlight w:val="black"/>
        </w:rPr>
        <w:t>''''''''</w:t>
      </w:r>
      <w:r>
        <w:rPr>
          <w:szCs w:val="22"/>
        </w:rPr>
        <w:t xml:space="preserve">% rebate on the dispensed price for maximum quantity. </w:t>
      </w:r>
      <w:r w:rsidR="00804F8D">
        <w:rPr>
          <w:szCs w:val="22"/>
        </w:rPr>
        <w:t xml:space="preserve">The estimated net cost to the PBS was </w:t>
      </w:r>
      <w:r w:rsidR="00A60787" w:rsidRPr="00A60787">
        <w:rPr>
          <w:szCs w:val="22"/>
        </w:rPr>
        <w:t xml:space="preserve">$10 – </w:t>
      </w:r>
      <w:r w:rsidR="00A60787">
        <w:rPr>
          <w:szCs w:val="22"/>
        </w:rPr>
        <w:t xml:space="preserve">$20 million </w:t>
      </w:r>
      <w:r w:rsidR="00804F8D">
        <w:rPr>
          <w:szCs w:val="22"/>
        </w:rPr>
        <w:t xml:space="preserve">in Year 6 of listing, with a total net cost to the PBS of </w:t>
      </w:r>
      <w:r>
        <w:rPr>
          <w:szCs w:val="22"/>
        </w:rPr>
        <w:t xml:space="preserve">approximately </w:t>
      </w:r>
      <w:r w:rsidR="00A60787">
        <w:rPr>
          <w:szCs w:val="22"/>
        </w:rPr>
        <w:t xml:space="preserve">$60 – $100 million </w:t>
      </w:r>
      <w:r w:rsidR="00804F8D">
        <w:rPr>
          <w:szCs w:val="22"/>
        </w:rPr>
        <w:t xml:space="preserve">over the first 6 years of listing. </w:t>
      </w:r>
    </w:p>
    <w:p w:rsidR="00BB7EC3" w:rsidRPr="00F36CCB" w:rsidRDefault="00BB7EC3" w:rsidP="00C00DA7">
      <w:pPr>
        <w:jc w:val="both"/>
        <w:rPr>
          <w:rFonts w:asciiTheme="minorHAnsi" w:hAnsiTheme="minorHAnsi"/>
          <w:sz w:val="22"/>
          <w:szCs w:val="22"/>
        </w:rPr>
      </w:pPr>
    </w:p>
    <w:p w:rsidR="00FF0D19" w:rsidRDefault="00FF0D19" w:rsidP="00FF0D19">
      <w:pPr>
        <w:pStyle w:val="Heading2"/>
        <w:rPr>
          <w:rFonts w:asciiTheme="minorHAnsi" w:hAnsiTheme="minorHAnsi"/>
        </w:rPr>
      </w:pPr>
      <w:r w:rsidRPr="00FF0D19">
        <w:rPr>
          <w:rFonts w:asciiTheme="minorHAnsi" w:hAnsiTheme="minorHAnsi"/>
        </w:rPr>
        <w:t>Financial Management – Risk-sharing Arrangements</w:t>
      </w:r>
    </w:p>
    <w:p w:rsidR="00FF0D19" w:rsidRPr="00FF0D19" w:rsidRDefault="00FF0D19" w:rsidP="00FF0D19"/>
    <w:p w:rsidR="003872CF" w:rsidRPr="00F36CCB" w:rsidRDefault="00FF0D19" w:rsidP="00FF0D19">
      <w:pPr>
        <w:pStyle w:val="ListParagraph"/>
        <w:numPr>
          <w:ilvl w:val="1"/>
          <w:numId w:val="5"/>
        </w:numPr>
        <w:rPr>
          <w:szCs w:val="22"/>
        </w:rPr>
      </w:pPr>
      <w:r>
        <w:rPr>
          <w:szCs w:val="22"/>
        </w:rPr>
        <w:t xml:space="preserve">The minor resubmission proposed a rebate of </w:t>
      </w:r>
      <w:r w:rsidR="005719AD">
        <w:rPr>
          <w:noProof/>
          <w:color w:val="000000"/>
          <w:szCs w:val="22"/>
          <w:highlight w:val="black"/>
        </w:rPr>
        <w:t>''''''''</w:t>
      </w:r>
      <w:r>
        <w:rPr>
          <w:szCs w:val="22"/>
        </w:rPr>
        <w:t xml:space="preserve">% for any expenditure that exceeds the annual subsidisation caps which </w:t>
      </w:r>
      <w:r w:rsidR="00804F8D">
        <w:rPr>
          <w:szCs w:val="22"/>
        </w:rPr>
        <w:t>correspond to the estimated net cost to the PBS.</w:t>
      </w:r>
      <w:r>
        <w:rPr>
          <w:szCs w:val="22"/>
        </w:rPr>
        <w:t xml:space="preserve"> </w:t>
      </w:r>
    </w:p>
    <w:p w:rsidR="008740E9" w:rsidRDefault="008740E9">
      <w:pPr>
        <w:rPr>
          <w:rFonts w:asciiTheme="minorHAnsi" w:hAnsiTheme="minorHAnsi"/>
          <w:sz w:val="22"/>
          <w:szCs w:val="22"/>
        </w:rPr>
      </w:pPr>
    </w:p>
    <w:p w:rsidR="00CE76C9" w:rsidRDefault="008740E9">
      <w:pPr>
        <w:rPr>
          <w:rFonts w:asciiTheme="minorHAnsi" w:hAnsiTheme="minorHAnsi"/>
          <w:sz w:val="22"/>
          <w:szCs w:val="22"/>
        </w:rPr>
      </w:pPr>
      <w:r w:rsidRPr="00917E8C">
        <w:rPr>
          <w:rFonts w:asciiTheme="minorHAnsi" w:hAnsiTheme="minorHAnsi"/>
          <w:i/>
        </w:rPr>
        <w:t xml:space="preserve">For more detail on PBAC’s view, see section </w:t>
      </w:r>
      <w:r w:rsidR="003B1BF3" w:rsidRPr="00917E8C">
        <w:rPr>
          <w:rFonts w:asciiTheme="minorHAnsi" w:hAnsiTheme="minorHAnsi"/>
          <w:i/>
        </w:rPr>
        <w:t>5</w:t>
      </w:r>
      <w:r w:rsidRPr="00917E8C">
        <w:rPr>
          <w:rFonts w:asciiTheme="minorHAnsi" w:hAnsiTheme="minorHAnsi"/>
          <w:i/>
        </w:rPr>
        <w:t xml:space="preserve"> “PBAC outcome.”</w:t>
      </w:r>
    </w:p>
    <w:p w:rsidR="00CE76C9" w:rsidRDefault="00CE76C9" w:rsidP="00CE76C9">
      <w:pPr>
        <w:rPr>
          <w:rFonts w:asciiTheme="minorHAnsi" w:hAnsiTheme="minorHAnsi"/>
          <w:sz w:val="22"/>
          <w:szCs w:val="22"/>
        </w:rPr>
      </w:pPr>
    </w:p>
    <w:p w:rsidR="00CE76C9" w:rsidRDefault="00CE76C9" w:rsidP="00CE76C9">
      <w:pPr>
        <w:pStyle w:val="PBACHeading1"/>
      </w:pPr>
      <w:r>
        <w:t xml:space="preserve">PBAC Outcome </w:t>
      </w:r>
    </w:p>
    <w:p w:rsidR="00CE76C9" w:rsidRDefault="00CE76C9" w:rsidP="00CE76C9">
      <w:pPr>
        <w:rPr>
          <w:lang w:eastAsia="en-US"/>
        </w:rPr>
      </w:pPr>
    </w:p>
    <w:p w:rsidR="00537A6D" w:rsidRDefault="00E75AAB" w:rsidP="00546208">
      <w:pPr>
        <w:pStyle w:val="ListParagraph"/>
        <w:numPr>
          <w:ilvl w:val="1"/>
          <w:numId w:val="5"/>
        </w:numPr>
        <w:rPr>
          <w:bCs/>
          <w:szCs w:val="22"/>
          <w:lang w:val="en-GB"/>
        </w:rPr>
      </w:pPr>
      <w:r>
        <w:rPr>
          <w:bCs/>
          <w:szCs w:val="22"/>
          <w:lang w:val="en-GB"/>
        </w:rPr>
        <w:t xml:space="preserve">The PBAC </w:t>
      </w:r>
      <w:r w:rsidR="00371997">
        <w:rPr>
          <w:bCs/>
          <w:szCs w:val="22"/>
          <w:lang w:val="en-GB"/>
        </w:rPr>
        <w:t>did not recommend the listing of trifluridine with tipiracil on the PBS for treatment of patients with metastatic colorectal cancer (mCRC) who have been treated previously with or are not considered suitable for current available therapies. The PBAC based its decision on a modest clinical benefit</w:t>
      </w:r>
      <w:r w:rsidR="00621A78">
        <w:rPr>
          <w:bCs/>
          <w:szCs w:val="22"/>
          <w:lang w:val="en-GB"/>
        </w:rPr>
        <w:t xml:space="preserve"> in the context of substantial</w:t>
      </w:r>
      <w:r w:rsidR="00BE4176">
        <w:rPr>
          <w:bCs/>
          <w:szCs w:val="22"/>
          <w:lang w:val="en-GB"/>
        </w:rPr>
        <w:t xml:space="preserve"> toxicity</w:t>
      </w:r>
      <w:r w:rsidR="00621A78">
        <w:rPr>
          <w:bCs/>
          <w:szCs w:val="22"/>
          <w:lang w:val="en-GB"/>
        </w:rPr>
        <w:t>,</w:t>
      </w:r>
      <w:r w:rsidR="004A227F">
        <w:rPr>
          <w:bCs/>
          <w:szCs w:val="22"/>
          <w:lang w:val="en-GB"/>
        </w:rPr>
        <w:t xml:space="preserve"> and </w:t>
      </w:r>
      <w:r w:rsidR="00BD2EC6">
        <w:rPr>
          <w:bCs/>
          <w:szCs w:val="22"/>
          <w:lang w:val="en-GB"/>
        </w:rPr>
        <w:t>high</w:t>
      </w:r>
      <w:r w:rsidR="00621A78">
        <w:rPr>
          <w:bCs/>
          <w:szCs w:val="22"/>
          <w:lang w:val="en-GB"/>
        </w:rPr>
        <w:t xml:space="preserve"> and uncertain</w:t>
      </w:r>
      <w:r w:rsidR="009C63EF">
        <w:rPr>
          <w:bCs/>
          <w:szCs w:val="22"/>
          <w:lang w:val="en-GB"/>
        </w:rPr>
        <w:t xml:space="preserve"> incremental</w:t>
      </w:r>
      <w:r w:rsidR="00BD2EC6">
        <w:rPr>
          <w:bCs/>
          <w:szCs w:val="22"/>
          <w:lang w:val="en-GB"/>
        </w:rPr>
        <w:t xml:space="preserve"> cost-effectiveness ratio given the extent of benefit ob</w:t>
      </w:r>
      <w:r w:rsidR="00621A78">
        <w:rPr>
          <w:bCs/>
          <w:szCs w:val="22"/>
          <w:lang w:val="en-GB"/>
        </w:rPr>
        <w:t>served in the trial and model</w:t>
      </w:r>
      <w:r w:rsidR="00BD2EC6">
        <w:rPr>
          <w:bCs/>
          <w:szCs w:val="22"/>
          <w:lang w:val="en-GB"/>
        </w:rPr>
        <w:t xml:space="preserve"> may not be realised in clinical practice. </w:t>
      </w:r>
    </w:p>
    <w:p w:rsidR="007E3CA7" w:rsidRDefault="007E3CA7" w:rsidP="007E3CA7">
      <w:pPr>
        <w:pStyle w:val="ListParagraph"/>
        <w:rPr>
          <w:bCs/>
          <w:szCs w:val="22"/>
          <w:lang w:val="en-GB"/>
        </w:rPr>
      </w:pPr>
    </w:p>
    <w:p w:rsidR="00537A6D" w:rsidRDefault="00537A6D" w:rsidP="00537A6D">
      <w:pPr>
        <w:pStyle w:val="ListParagraph"/>
        <w:numPr>
          <w:ilvl w:val="1"/>
          <w:numId w:val="5"/>
        </w:numPr>
        <w:rPr>
          <w:bCs/>
          <w:szCs w:val="22"/>
          <w:lang w:val="en-GB"/>
        </w:rPr>
      </w:pPr>
      <w:r w:rsidRPr="00537A6D">
        <w:rPr>
          <w:bCs/>
          <w:szCs w:val="22"/>
          <w:lang w:val="en-GB"/>
        </w:rPr>
        <w:t xml:space="preserve">The PBAC noted </w:t>
      </w:r>
      <w:r>
        <w:rPr>
          <w:bCs/>
          <w:szCs w:val="22"/>
          <w:lang w:val="en-GB"/>
        </w:rPr>
        <w:t xml:space="preserve">that </w:t>
      </w:r>
      <w:r w:rsidR="00125EF3">
        <w:rPr>
          <w:bCs/>
          <w:szCs w:val="22"/>
          <w:lang w:val="en-GB"/>
        </w:rPr>
        <w:t>the Medical Oncology Group of Australia (</w:t>
      </w:r>
      <w:r>
        <w:rPr>
          <w:bCs/>
          <w:szCs w:val="22"/>
          <w:lang w:val="en-GB"/>
        </w:rPr>
        <w:t>MOG</w:t>
      </w:r>
      <w:r w:rsidRPr="00537A6D">
        <w:rPr>
          <w:bCs/>
          <w:szCs w:val="22"/>
          <w:lang w:val="en-GB"/>
        </w:rPr>
        <w:t>A</w:t>
      </w:r>
      <w:r w:rsidR="00125EF3">
        <w:rPr>
          <w:bCs/>
          <w:szCs w:val="22"/>
          <w:lang w:val="en-GB"/>
        </w:rPr>
        <w:t>)</w:t>
      </w:r>
      <w:r w:rsidRPr="00537A6D">
        <w:rPr>
          <w:bCs/>
          <w:szCs w:val="22"/>
          <w:lang w:val="en-GB"/>
        </w:rPr>
        <w:t xml:space="preserve"> reiterated its support for the</w:t>
      </w:r>
      <w:r w:rsidRPr="00537A6D">
        <w:t xml:space="preserve"> </w:t>
      </w:r>
      <w:r w:rsidRPr="00537A6D">
        <w:rPr>
          <w:bCs/>
          <w:szCs w:val="22"/>
          <w:lang w:val="en-GB"/>
        </w:rPr>
        <w:t>trifluridine/tipiracil submission, and based on the European Society for Medical Oncology Magnitude of Clinical Benefit Scale (ESMO-MCBS) the rating was limited to 2 (out of a maximum of 5, where 5 and 4 represent the grades with substantial improvement).</w:t>
      </w:r>
    </w:p>
    <w:p w:rsidR="00537A6D" w:rsidRDefault="00537A6D" w:rsidP="00537A6D">
      <w:pPr>
        <w:pStyle w:val="ListParagraph"/>
        <w:rPr>
          <w:bCs/>
          <w:szCs w:val="22"/>
          <w:lang w:val="en-GB"/>
        </w:rPr>
      </w:pPr>
    </w:p>
    <w:p w:rsidR="00C62C8D" w:rsidRDefault="00546208" w:rsidP="003A2095">
      <w:pPr>
        <w:pStyle w:val="ListParagraph"/>
        <w:numPr>
          <w:ilvl w:val="1"/>
          <w:numId w:val="5"/>
        </w:numPr>
        <w:rPr>
          <w:bCs/>
          <w:szCs w:val="22"/>
          <w:lang w:val="en-GB"/>
        </w:rPr>
      </w:pPr>
      <w:r w:rsidRPr="003A2095">
        <w:rPr>
          <w:bCs/>
          <w:szCs w:val="22"/>
          <w:lang w:val="en-GB"/>
        </w:rPr>
        <w:t xml:space="preserve">The </w:t>
      </w:r>
      <w:r w:rsidR="003A2095" w:rsidRPr="003A2095">
        <w:rPr>
          <w:bCs/>
          <w:szCs w:val="22"/>
          <w:lang w:val="en-GB"/>
        </w:rPr>
        <w:t>PBAC reiterated its view that as metastatic cancer is rarely cured and treatments aim to rel</w:t>
      </w:r>
      <w:r w:rsidR="003A2095">
        <w:rPr>
          <w:bCs/>
          <w:szCs w:val="22"/>
          <w:lang w:val="en-GB"/>
        </w:rPr>
        <w:t>i</w:t>
      </w:r>
      <w:r w:rsidR="003A2095" w:rsidRPr="003A2095">
        <w:rPr>
          <w:bCs/>
          <w:szCs w:val="22"/>
          <w:lang w:val="en-GB"/>
        </w:rPr>
        <w:t>eve symptoms or delay death</w:t>
      </w:r>
      <w:r w:rsidR="003A2095">
        <w:rPr>
          <w:bCs/>
          <w:szCs w:val="22"/>
          <w:lang w:val="en-GB"/>
        </w:rPr>
        <w:t>,</w:t>
      </w:r>
      <w:r w:rsidR="003A2095" w:rsidRPr="003A2095">
        <w:rPr>
          <w:bCs/>
          <w:szCs w:val="22"/>
          <w:lang w:val="en-GB"/>
        </w:rPr>
        <w:t xml:space="preserve"> there will always be an unmet clinical need for additional effective and well-tolerated therapies.</w:t>
      </w:r>
    </w:p>
    <w:p w:rsidR="003A2095" w:rsidRPr="003A2095" w:rsidRDefault="003A2095" w:rsidP="003A2095">
      <w:pPr>
        <w:rPr>
          <w:rFonts w:asciiTheme="minorHAnsi" w:hAnsiTheme="minorHAnsi"/>
          <w:bCs/>
          <w:szCs w:val="22"/>
          <w:lang w:val="en-GB"/>
        </w:rPr>
      </w:pPr>
    </w:p>
    <w:p w:rsidR="00C62C8D" w:rsidRDefault="00C62C8D" w:rsidP="00537A6D">
      <w:pPr>
        <w:pStyle w:val="ListParagraph"/>
        <w:numPr>
          <w:ilvl w:val="1"/>
          <w:numId w:val="5"/>
        </w:numPr>
        <w:rPr>
          <w:bCs/>
          <w:szCs w:val="22"/>
          <w:lang w:val="en-GB"/>
        </w:rPr>
      </w:pPr>
      <w:r>
        <w:rPr>
          <w:bCs/>
          <w:szCs w:val="22"/>
          <w:lang w:val="en-GB"/>
        </w:rPr>
        <w:t xml:space="preserve">The PBAC </w:t>
      </w:r>
      <w:r w:rsidR="0030442F">
        <w:rPr>
          <w:bCs/>
          <w:szCs w:val="22"/>
          <w:lang w:val="en-GB"/>
        </w:rPr>
        <w:t>recalled that the median increase in PFS</w:t>
      </w:r>
      <w:r w:rsidR="00B41996">
        <w:rPr>
          <w:bCs/>
          <w:szCs w:val="22"/>
          <w:lang w:val="en-GB"/>
        </w:rPr>
        <w:t xml:space="preserve"> of 0.3 months (HR 0.49; CI: 0.42, 0.58) compared with best supportive care</w:t>
      </w:r>
      <w:r w:rsidR="0030442F">
        <w:rPr>
          <w:bCs/>
          <w:szCs w:val="22"/>
          <w:lang w:val="en-GB"/>
        </w:rPr>
        <w:t xml:space="preserve"> in the RECOURSE trial (n=800) was </w:t>
      </w:r>
      <w:r w:rsidR="00917C91">
        <w:rPr>
          <w:bCs/>
          <w:szCs w:val="22"/>
          <w:lang w:val="en-GB"/>
        </w:rPr>
        <w:t xml:space="preserve">small </w:t>
      </w:r>
      <w:r w:rsidR="00B41996">
        <w:rPr>
          <w:bCs/>
          <w:szCs w:val="22"/>
          <w:lang w:val="en-GB"/>
        </w:rPr>
        <w:t>and</w:t>
      </w:r>
      <w:r w:rsidR="00BE6522">
        <w:rPr>
          <w:bCs/>
          <w:szCs w:val="22"/>
          <w:lang w:val="en-GB"/>
        </w:rPr>
        <w:t xml:space="preserve"> that the majority of patients </w:t>
      </w:r>
      <w:r w:rsidR="00E9093F">
        <w:rPr>
          <w:bCs/>
          <w:szCs w:val="22"/>
          <w:lang w:val="en-GB"/>
        </w:rPr>
        <w:t>(i.e</w:t>
      </w:r>
      <w:r w:rsidR="00BD2EC6">
        <w:rPr>
          <w:bCs/>
          <w:szCs w:val="22"/>
          <w:lang w:val="en-GB"/>
        </w:rPr>
        <w:t>.</w:t>
      </w:r>
      <w:r w:rsidR="00BE6522">
        <w:rPr>
          <w:bCs/>
          <w:szCs w:val="22"/>
          <w:lang w:val="en-GB"/>
        </w:rPr>
        <w:t xml:space="preserve"> 53% of patients in the trifluridine/tipiracil treatment arm and 79% of patients in the </w:t>
      </w:r>
      <w:r w:rsidR="00917C91">
        <w:rPr>
          <w:bCs/>
          <w:szCs w:val="22"/>
          <w:lang w:val="en-GB"/>
        </w:rPr>
        <w:t>best supportive care</w:t>
      </w:r>
      <w:r w:rsidR="00D00EF4">
        <w:rPr>
          <w:bCs/>
          <w:szCs w:val="22"/>
          <w:lang w:val="en-GB"/>
        </w:rPr>
        <w:t xml:space="preserve"> arm) had progressed by week 8</w:t>
      </w:r>
      <w:r w:rsidR="00B41996">
        <w:rPr>
          <w:bCs/>
          <w:szCs w:val="22"/>
          <w:lang w:val="en-GB"/>
        </w:rPr>
        <w:t xml:space="preserve">. The PBAC also recalled that </w:t>
      </w:r>
      <w:r w:rsidR="00BE6522">
        <w:rPr>
          <w:bCs/>
          <w:szCs w:val="22"/>
          <w:lang w:val="en-GB"/>
        </w:rPr>
        <w:t xml:space="preserve">the median gain in OS was 2.0 months </w:t>
      </w:r>
      <w:r w:rsidR="00F04987">
        <w:rPr>
          <w:bCs/>
          <w:szCs w:val="22"/>
          <w:lang w:val="en-GB"/>
        </w:rPr>
        <w:t>(HR 0.69; CI: 0.59, 0.81)</w:t>
      </w:r>
      <w:r w:rsidR="00B41996">
        <w:rPr>
          <w:bCs/>
          <w:szCs w:val="22"/>
          <w:lang w:val="en-GB"/>
        </w:rPr>
        <w:t xml:space="preserve"> in the RECOURSE trial was modest, and that </w:t>
      </w:r>
      <w:r w:rsidR="00121225">
        <w:rPr>
          <w:bCs/>
          <w:szCs w:val="22"/>
          <w:lang w:val="en-GB"/>
        </w:rPr>
        <w:t>a substantial proportion</w:t>
      </w:r>
      <w:r w:rsidR="008F62B6">
        <w:rPr>
          <w:bCs/>
          <w:szCs w:val="22"/>
          <w:lang w:val="en-GB"/>
        </w:rPr>
        <w:t xml:space="preserve"> of the estimated gain in overall survival was in the post-progression state associated with poorer quality of life.</w:t>
      </w:r>
      <w:r w:rsidR="00D00EF4">
        <w:rPr>
          <w:bCs/>
          <w:szCs w:val="22"/>
          <w:lang w:val="en-GB"/>
        </w:rPr>
        <w:t xml:space="preserve"> The PBAC also recalled that the results of the J003 trial (n=169) were similar to those of the RECOU</w:t>
      </w:r>
      <w:r w:rsidR="00B07785">
        <w:rPr>
          <w:bCs/>
          <w:szCs w:val="22"/>
          <w:lang w:val="en-GB"/>
        </w:rPr>
        <w:t>R</w:t>
      </w:r>
      <w:r w:rsidR="00D00EF4">
        <w:rPr>
          <w:bCs/>
          <w:szCs w:val="22"/>
          <w:lang w:val="en-GB"/>
        </w:rPr>
        <w:t xml:space="preserve">SE trial. </w:t>
      </w:r>
    </w:p>
    <w:p w:rsidR="009E0E0B" w:rsidRPr="009E0E0B" w:rsidRDefault="009E0E0B" w:rsidP="009E0E0B">
      <w:pPr>
        <w:pStyle w:val="ListParagraph"/>
        <w:rPr>
          <w:bCs/>
          <w:szCs w:val="22"/>
          <w:lang w:val="en-GB"/>
        </w:rPr>
      </w:pPr>
    </w:p>
    <w:p w:rsidR="009E0E0B" w:rsidRDefault="009E0E0B" w:rsidP="00A60787">
      <w:pPr>
        <w:pStyle w:val="ListParagraph"/>
        <w:numPr>
          <w:ilvl w:val="1"/>
          <w:numId w:val="5"/>
        </w:numPr>
        <w:rPr>
          <w:bCs/>
          <w:szCs w:val="22"/>
          <w:lang w:val="en-GB"/>
        </w:rPr>
      </w:pPr>
      <w:r>
        <w:rPr>
          <w:bCs/>
          <w:szCs w:val="22"/>
          <w:lang w:val="en-GB"/>
        </w:rPr>
        <w:t xml:space="preserve">The PBAC noted that the </w:t>
      </w:r>
      <w:r w:rsidR="008F3BDF">
        <w:rPr>
          <w:bCs/>
          <w:szCs w:val="22"/>
          <w:lang w:val="en-GB"/>
        </w:rPr>
        <w:t xml:space="preserve">reduced price for trifluridine/tipiracil based on a </w:t>
      </w:r>
      <w:r w:rsidR="005719AD">
        <w:rPr>
          <w:bCs/>
          <w:noProof/>
          <w:color w:val="000000"/>
          <w:szCs w:val="22"/>
          <w:highlight w:val="black"/>
          <w:lang w:val="en-GB"/>
        </w:rPr>
        <w:t>''''''''</w:t>
      </w:r>
      <w:r w:rsidR="008F3BDF">
        <w:rPr>
          <w:bCs/>
          <w:szCs w:val="22"/>
          <w:lang w:val="en-GB"/>
        </w:rPr>
        <w:t xml:space="preserve">% rebate was incorporated into the economic model from the March 2017 resubmission. This decreased the ICER from </w:t>
      </w:r>
      <w:r w:rsidR="00A60787">
        <w:rPr>
          <w:bCs/>
          <w:szCs w:val="22"/>
          <w:lang w:val="en-GB"/>
        </w:rPr>
        <w:t>$45,000</w:t>
      </w:r>
      <w:r w:rsidR="00A60787" w:rsidRPr="00A60787">
        <w:rPr>
          <w:bCs/>
          <w:szCs w:val="22"/>
          <w:lang w:val="en-GB"/>
        </w:rPr>
        <w:t xml:space="preserve"> – $75,000</w:t>
      </w:r>
      <w:r w:rsidR="00A60787">
        <w:rPr>
          <w:bCs/>
          <w:szCs w:val="22"/>
          <w:lang w:val="en-GB"/>
        </w:rPr>
        <w:t xml:space="preserve"> </w:t>
      </w:r>
      <w:r w:rsidR="008F3BDF">
        <w:rPr>
          <w:bCs/>
          <w:szCs w:val="22"/>
          <w:lang w:val="en-GB"/>
        </w:rPr>
        <w:t xml:space="preserve">per QALY gained to </w:t>
      </w:r>
      <w:r w:rsidR="00A60787" w:rsidRPr="00A60787">
        <w:rPr>
          <w:bCs/>
          <w:szCs w:val="22"/>
          <w:lang w:val="en-GB"/>
        </w:rPr>
        <w:t>$45,000 – $75,000</w:t>
      </w:r>
      <w:r w:rsidR="00A60787">
        <w:rPr>
          <w:bCs/>
          <w:szCs w:val="22"/>
          <w:lang w:val="en-GB"/>
        </w:rPr>
        <w:t xml:space="preserve"> </w:t>
      </w:r>
      <w:r w:rsidR="008F3BDF">
        <w:rPr>
          <w:bCs/>
          <w:szCs w:val="22"/>
          <w:lang w:val="en-GB"/>
        </w:rPr>
        <w:t xml:space="preserve">per QALY gained. </w:t>
      </w:r>
    </w:p>
    <w:p w:rsidR="00D00EF4" w:rsidRPr="00D00EF4" w:rsidRDefault="00D00EF4" w:rsidP="00D00EF4">
      <w:pPr>
        <w:pStyle w:val="ListParagraph"/>
        <w:rPr>
          <w:bCs/>
          <w:szCs w:val="22"/>
          <w:lang w:val="en-GB"/>
        </w:rPr>
      </w:pPr>
    </w:p>
    <w:p w:rsidR="00876FB9" w:rsidRPr="00917E8C" w:rsidRDefault="0028106A" w:rsidP="00A60787">
      <w:pPr>
        <w:pStyle w:val="ListParagraph"/>
        <w:numPr>
          <w:ilvl w:val="1"/>
          <w:numId w:val="5"/>
        </w:numPr>
        <w:rPr>
          <w:bCs/>
          <w:szCs w:val="22"/>
          <w:lang w:val="en-GB"/>
        </w:rPr>
      </w:pPr>
      <w:r w:rsidRPr="00AF4D56">
        <w:rPr>
          <w:bCs/>
          <w:szCs w:val="22"/>
          <w:lang w:val="en-GB"/>
        </w:rPr>
        <w:t xml:space="preserve">The PBAC recalled that at its November 2016 meeting, it considered that the base case ICER should not exceed </w:t>
      </w:r>
      <w:r w:rsidR="00A60787" w:rsidRPr="00A60787">
        <w:rPr>
          <w:bCs/>
          <w:szCs w:val="22"/>
          <w:lang w:val="en-GB"/>
        </w:rPr>
        <w:t>$45,000 – $75,000</w:t>
      </w:r>
      <w:r w:rsidR="00B366C9">
        <w:rPr>
          <w:bCs/>
          <w:szCs w:val="22"/>
          <w:lang w:val="en-GB"/>
        </w:rPr>
        <w:t xml:space="preserve"> </w:t>
      </w:r>
      <w:r w:rsidRPr="00AF4D56">
        <w:rPr>
          <w:bCs/>
          <w:szCs w:val="22"/>
          <w:lang w:val="en-GB"/>
        </w:rPr>
        <w:t xml:space="preserve">per QALY gained. </w:t>
      </w:r>
      <w:r w:rsidR="00E52680" w:rsidRPr="00AF4D56">
        <w:rPr>
          <w:bCs/>
          <w:szCs w:val="22"/>
          <w:lang w:val="en-GB"/>
        </w:rPr>
        <w:t xml:space="preserve">The PBAC considered that the base case ICER presented in the submission likely represents </w:t>
      </w:r>
      <w:r w:rsidR="005A2166" w:rsidRPr="00AF4D56">
        <w:rPr>
          <w:bCs/>
          <w:szCs w:val="22"/>
          <w:lang w:val="en-GB"/>
        </w:rPr>
        <w:t>a best case scenario</w:t>
      </w:r>
      <w:r w:rsidR="00127372" w:rsidRPr="00AF4D56">
        <w:rPr>
          <w:bCs/>
          <w:szCs w:val="22"/>
          <w:lang w:val="en-GB"/>
        </w:rPr>
        <w:t xml:space="preserve"> where the benefit observed in the trial setting is </w:t>
      </w:r>
      <w:r w:rsidR="008D7497" w:rsidRPr="00AF4D56">
        <w:rPr>
          <w:bCs/>
          <w:szCs w:val="22"/>
          <w:lang w:val="en-GB"/>
        </w:rPr>
        <w:t>reflected in clinical practic</w:t>
      </w:r>
      <w:r w:rsidR="00127372" w:rsidRPr="00AF4D56">
        <w:rPr>
          <w:bCs/>
          <w:szCs w:val="22"/>
          <w:lang w:val="en-GB"/>
        </w:rPr>
        <w:t xml:space="preserve">e and the true ICER would be </w:t>
      </w:r>
      <w:r w:rsidR="00AC6FBA" w:rsidRPr="00AF4D56">
        <w:rPr>
          <w:bCs/>
          <w:szCs w:val="22"/>
          <w:lang w:val="en-GB"/>
        </w:rPr>
        <w:t xml:space="preserve">higher than </w:t>
      </w:r>
      <w:r w:rsidR="00A60787" w:rsidRPr="00A60787">
        <w:rPr>
          <w:bCs/>
          <w:szCs w:val="22"/>
          <w:lang w:val="en-GB"/>
        </w:rPr>
        <w:t>$45,000 – $75,000</w:t>
      </w:r>
      <w:r w:rsidR="00B366C9">
        <w:rPr>
          <w:bCs/>
          <w:szCs w:val="22"/>
          <w:lang w:val="en-GB"/>
        </w:rPr>
        <w:t xml:space="preserve"> per QALY </w:t>
      </w:r>
      <w:r w:rsidR="00AF4D56">
        <w:rPr>
          <w:bCs/>
          <w:szCs w:val="22"/>
          <w:lang w:val="en-GB"/>
        </w:rPr>
        <w:t>and therefore not cost-effective</w:t>
      </w:r>
      <w:r w:rsidR="00736EAB">
        <w:rPr>
          <w:bCs/>
          <w:szCs w:val="22"/>
          <w:lang w:val="en-GB"/>
        </w:rPr>
        <w:t xml:space="preserve"> at the price proposed</w:t>
      </w:r>
      <w:r w:rsidR="00127372" w:rsidRPr="00AF4D56">
        <w:rPr>
          <w:bCs/>
          <w:szCs w:val="22"/>
          <w:lang w:val="en-GB"/>
        </w:rPr>
        <w:t>.</w:t>
      </w:r>
      <w:r w:rsidR="00AF4D56" w:rsidRPr="00AF4D56">
        <w:t xml:space="preserve"> </w:t>
      </w:r>
      <w:r w:rsidR="00AF4D56" w:rsidRPr="00AF4D56">
        <w:rPr>
          <w:bCs/>
          <w:szCs w:val="22"/>
          <w:lang w:val="en-GB"/>
        </w:rPr>
        <w:t xml:space="preserve">The PBAC advised that a </w:t>
      </w:r>
      <w:r w:rsidR="003B1BF3">
        <w:rPr>
          <w:bCs/>
          <w:szCs w:val="22"/>
          <w:lang w:val="en-GB"/>
        </w:rPr>
        <w:t>significant</w:t>
      </w:r>
      <w:r w:rsidR="00AF4D56" w:rsidRPr="00AF4D56">
        <w:rPr>
          <w:bCs/>
          <w:szCs w:val="22"/>
          <w:lang w:val="en-GB"/>
        </w:rPr>
        <w:t xml:space="preserve"> price reduction would be required to address </w:t>
      </w:r>
      <w:r w:rsidR="009B1A56">
        <w:rPr>
          <w:bCs/>
          <w:szCs w:val="22"/>
          <w:lang w:val="en-GB"/>
        </w:rPr>
        <w:t>its</w:t>
      </w:r>
      <w:r w:rsidR="00AF4D56" w:rsidRPr="00AF4D56">
        <w:rPr>
          <w:bCs/>
          <w:szCs w:val="22"/>
          <w:lang w:val="en-GB"/>
        </w:rPr>
        <w:t xml:space="preserve"> co</w:t>
      </w:r>
      <w:r w:rsidR="00736EAB">
        <w:rPr>
          <w:bCs/>
          <w:szCs w:val="22"/>
          <w:lang w:val="en-GB"/>
        </w:rPr>
        <w:t>ncern about</w:t>
      </w:r>
      <w:r w:rsidR="008F3BDF">
        <w:rPr>
          <w:bCs/>
          <w:szCs w:val="22"/>
          <w:lang w:val="en-GB"/>
        </w:rPr>
        <w:t xml:space="preserve"> the modest clinical benefit and the impact this has on the</w:t>
      </w:r>
      <w:r w:rsidR="00736EAB">
        <w:rPr>
          <w:bCs/>
          <w:szCs w:val="22"/>
          <w:lang w:val="en-GB"/>
        </w:rPr>
        <w:t xml:space="preserve"> cost-effectiveness. </w:t>
      </w:r>
    </w:p>
    <w:p w:rsidR="002A2ACD" w:rsidRPr="00AF4D56" w:rsidRDefault="002A2ACD" w:rsidP="00AF4D56">
      <w:pPr>
        <w:rPr>
          <w:rFonts w:asciiTheme="minorHAnsi" w:hAnsiTheme="minorHAnsi"/>
          <w:bCs/>
          <w:szCs w:val="22"/>
          <w:lang w:val="en-GB"/>
        </w:rPr>
      </w:pPr>
    </w:p>
    <w:p w:rsidR="002A2ACD" w:rsidRDefault="00AC6FBA" w:rsidP="00C459B5">
      <w:pPr>
        <w:pStyle w:val="ListParagraph"/>
        <w:numPr>
          <w:ilvl w:val="1"/>
          <w:numId w:val="5"/>
        </w:numPr>
        <w:rPr>
          <w:bCs/>
          <w:szCs w:val="22"/>
          <w:lang w:val="en-GB"/>
        </w:rPr>
      </w:pPr>
      <w:r>
        <w:rPr>
          <w:bCs/>
          <w:szCs w:val="22"/>
          <w:lang w:val="en-GB"/>
        </w:rPr>
        <w:t>The PBAC noted that 9.4% of patient</w:t>
      </w:r>
      <w:r w:rsidR="007269DB">
        <w:rPr>
          <w:bCs/>
          <w:szCs w:val="22"/>
          <w:lang w:val="en-GB"/>
        </w:rPr>
        <w:t>s</w:t>
      </w:r>
      <w:r>
        <w:rPr>
          <w:bCs/>
          <w:szCs w:val="22"/>
          <w:lang w:val="en-GB"/>
        </w:rPr>
        <w:t xml:space="preserve"> in the RECOURSE trial received granulocyte co</w:t>
      </w:r>
      <w:r w:rsidR="007269DB">
        <w:rPr>
          <w:bCs/>
          <w:szCs w:val="22"/>
          <w:lang w:val="en-GB"/>
        </w:rPr>
        <w:t>lony stimulating factors (GCSF) which would not be routinely used in Australian clinical practice. The PBAC considered that in clinical practice, neutropenia would likely lead to dose reductions and delays which would impact on efficacy</w:t>
      </w:r>
      <w:r w:rsidR="00C459B5">
        <w:rPr>
          <w:bCs/>
          <w:szCs w:val="22"/>
          <w:lang w:val="en-GB"/>
        </w:rPr>
        <w:t xml:space="preserve"> (</w:t>
      </w:r>
      <w:r w:rsidR="00A60787">
        <w:rPr>
          <w:bCs/>
          <w:szCs w:val="22"/>
          <w:lang w:val="en-GB"/>
        </w:rPr>
        <w:t xml:space="preserve">November 2016 PSD, paragraph </w:t>
      </w:r>
      <w:r w:rsidR="00C459B5">
        <w:rPr>
          <w:bCs/>
          <w:szCs w:val="22"/>
          <w:lang w:val="en-GB"/>
        </w:rPr>
        <w:t>7.8)</w:t>
      </w:r>
      <w:r w:rsidR="007269DB">
        <w:rPr>
          <w:bCs/>
          <w:szCs w:val="22"/>
          <w:lang w:val="en-GB"/>
        </w:rPr>
        <w:t xml:space="preserve">. The March 2017 </w:t>
      </w:r>
      <w:r w:rsidR="008F3BDF">
        <w:rPr>
          <w:bCs/>
          <w:szCs w:val="22"/>
          <w:lang w:val="en-GB"/>
        </w:rPr>
        <w:t>re</w:t>
      </w:r>
      <w:r w:rsidR="007269DB">
        <w:rPr>
          <w:bCs/>
          <w:szCs w:val="22"/>
          <w:lang w:val="en-GB"/>
        </w:rPr>
        <w:t>submission</w:t>
      </w:r>
      <w:r w:rsidR="00C459B5">
        <w:rPr>
          <w:bCs/>
          <w:szCs w:val="22"/>
          <w:lang w:val="en-GB"/>
        </w:rPr>
        <w:t xml:space="preserve"> claimed</w:t>
      </w:r>
      <w:r w:rsidR="00C459B5" w:rsidRPr="00C459B5">
        <w:t xml:space="preserve"> </w:t>
      </w:r>
      <w:r w:rsidR="00C459B5" w:rsidRPr="00C459B5">
        <w:rPr>
          <w:bCs/>
          <w:szCs w:val="22"/>
          <w:lang w:val="en-GB"/>
        </w:rPr>
        <w:t xml:space="preserve">that if dose reductions and delays occurred, it would result in lower costs of trifluridine/tipiracil and that the costs of administering GCSF would not be incurred. The minor resubmission further argued that if efficacy and costs are simultaneously reduced then the impact on the ICER is likely to be minor. </w:t>
      </w:r>
      <w:r w:rsidR="00C459B5">
        <w:rPr>
          <w:bCs/>
          <w:szCs w:val="22"/>
          <w:lang w:val="en-GB"/>
        </w:rPr>
        <w:t xml:space="preserve">The PBAC noted that the sponsor had not provided any </w:t>
      </w:r>
      <w:r w:rsidR="005C0A59">
        <w:rPr>
          <w:bCs/>
          <w:szCs w:val="22"/>
          <w:lang w:val="en-GB"/>
        </w:rPr>
        <w:t>information</w:t>
      </w:r>
      <w:r w:rsidR="00C459B5">
        <w:rPr>
          <w:bCs/>
          <w:szCs w:val="22"/>
          <w:lang w:val="en-GB"/>
        </w:rPr>
        <w:t xml:space="preserve"> to support these </w:t>
      </w:r>
      <w:r w:rsidR="005C0A59">
        <w:rPr>
          <w:bCs/>
          <w:szCs w:val="22"/>
          <w:lang w:val="en-GB"/>
        </w:rPr>
        <w:t xml:space="preserve">arguments. The PBAC considered that </w:t>
      </w:r>
      <w:r w:rsidR="008F3BDF">
        <w:rPr>
          <w:bCs/>
          <w:szCs w:val="22"/>
          <w:lang w:val="en-GB"/>
        </w:rPr>
        <w:t xml:space="preserve">incorporating the cost of GCSF into the economic model </w:t>
      </w:r>
      <w:r w:rsidR="00D02643">
        <w:rPr>
          <w:bCs/>
          <w:szCs w:val="22"/>
          <w:lang w:val="en-GB"/>
        </w:rPr>
        <w:t>did not adequately address its</w:t>
      </w:r>
      <w:r w:rsidR="008F3BDF">
        <w:rPr>
          <w:bCs/>
          <w:szCs w:val="22"/>
          <w:lang w:val="en-GB"/>
        </w:rPr>
        <w:t xml:space="preserve"> concerns about the likely cost-effectiveness with the use of trifluridine/tipiracil in clinical practice. </w:t>
      </w:r>
      <w:r w:rsidR="005C0A59">
        <w:rPr>
          <w:bCs/>
          <w:szCs w:val="22"/>
          <w:lang w:val="en-GB"/>
        </w:rPr>
        <w:t xml:space="preserve"> </w:t>
      </w:r>
      <w:r w:rsidR="00C459B5">
        <w:rPr>
          <w:bCs/>
          <w:szCs w:val="22"/>
          <w:lang w:val="en-GB"/>
        </w:rPr>
        <w:t xml:space="preserve">    </w:t>
      </w:r>
      <w:r w:rsidR="007269DB">
        <w:rPr>
          <w:bCs/>
          <w:szCs w:val="22"/>
          <w:lang w:val="en-GB"/>
        </w:rPr>
        <w:t xml:space="preserve"> </w:t>
      </w:r>
    </w:p>
    <w:p w:rsidR="00CC0090" w:rsidRPr="00BE4176" w:rsidRDefault="00CC0090" w:rsidP="00BE4176">
      <w:pPr>
        <w:rPr>
          <w:rFonts w:asciiTheme="minorHAnsi" w:hAnsiTheme="minorHAnsi"/>
          <w:bCs/>
          <w:szCs w:val="22"/>
          <w:lang w:val="en-GB"/>
        </w:rPr>
      </w:pPr>
    </w:p>
    <w:p w:rsidR="003740E6" w:rsidRDefault="003740E6" w:rsidP="00A60787">
      <w:pPr>
        <w:pStyle w:val="ListParagraph"/>
        <w:numPr>
          <w:ilvl w:val="1"/>
          <w:numId w:val="5"/>
        </w:numPr>
        <w:rPr>
          <w:bCs/>
          <w:szCs w:val="22"/>
          <w:lang w:val="en-GB"/>
        </w:rPr>
      </w:pPr>
      <w:r>
        <w:rPr>
          <w:bCs/>
          <w:szCs w:val="22"/>
          <w:lang w:val="en-GB"/>
        </w:rPr>
        <w:t>The PBAC noted that the submission reduced the up</w:t>
      </w:r>
      <w:r w:rsidR="009B1A56">
        <w:rPr>
          <w:bCs/>
          <w:szCs w:val="22"/>
          <w:lang w:val="en-GB"/>
        </w:rPr>
        <w:t>take</w:t>
      </w:r>
      <w:r>
        <w:rPr>
          <w:bCs/>
          <w:szCs w:val="22"/>
          <w:lang w:val="en-GB"/>
        </w:rPr>
        <w:t xml:space="preserve"> rate (of patients treated in the first-line setting for mCRC) from </w:t>
      </w:r>
      <w:r w:rsidR="005719AD">
        <w:rPr>
          <w:bCs/>
          <w:noProof/>
          <w:color w:val="000000"/>
          <w:szCs w:val="22"/>
          <w:highlight w:val="black"/>
          <w:lang w:val="en-GB"/>
        </w:rPr>
        <w:t>'''''</w:t>
      </w:r>
      <w:r>
        <w:rPr>
          <w:bCs/>
          <w:szCs w:val="22"/>
          <w:lang w:val="en-GB"/>
        </w:rPr>
        <w:t xml:space="preserve">% to </w:t>
      </w:r>
      <w:r w:rsidR="005719AD">
        <w:rPr>
          <w:bCs/>
          <w:noProof/>
          <w:color w:val="000000"/>
          <w:szCs w:val="22"/>
          <w:highlight w:val="black"/>
          <w:lang w:val="en-GB"/>
        </w:rPr>
        <w:t>''''''</w:t>
      </w:r>
      <w:r>
        <w:rPr>
          <w:bCs/>
          <w:szCs w:val="22"/>
          <w:lang w:val="en-GB"/>
        </w:rPr>
        <w:t xml:space="preserve">% in the first year after listing and from </w:t>
      </w:r>
      <w:r w:rsidR="005719AD">
        <w:rPr>
          <w:bCs/>
          <w:noProof/>
          <w:color w:val="000000"/>
          <w:szCs w:val="22"/>
          <w:highlight w:val="black"/>
          <w:lang w:val="en-GB"/>
        </w:rPr>
        <w:t>'''''</w:t>
      </w:r>
      <w:r>
        <w:rPr>
          <w:bCs/>
          <w:szCs w:val="22"/>
          <w:lang w:val="en-GB"/>
        </w:rPr>
        <w:t xml:space="preserve">% to </w:t>
      </w:r>
      <w:r w:rsidR="005719AD">
        <w:rPr>
          <w:bCs/>
          <w:noProof/>
          <w:color w:val="000000"/>
          <w:szCs w:val="22"/>
          <w:highlight w:val="black"/>
          <w:lang w:val="en-GB"/>
        </w:rPr>
        <w:t>'''''</w:t>
      </w:r>
      <w:r>
        <w:rPr>
          <w:bCs/>
          <w:szCs w:val="22"/>
          <w:lang w:val="en-GB"/>
        </w:rPr>
        <w:t xml:space="preserve">% in subsequent years. </w:t>
      </w:r>
      <w:r w:rsidR="00BB027B">
        <w:rPr>
          <w:bCs/>
          <w:szCs w:val="22"/>
          <w:lang w:val="en-GB"/>
        </w:rPr>
        <w:t xml:space="preserve">The PBAC considered that the revised utilisation was more likely to reflect actual uptake. </w:t>
      </w:r>
      <w:r>
        <w:rPr>
          <w:bCs/>
          <w:szCs w:val="22"/>
          <w:lang w:val="en-GB"/>
        </w:rPr>
        <w:t xml:space="preserve">The PBAC noted that the reduced uptake rate together with the increased rebate of </w:t>
      </w:r>
      <w:r w:rsidR="005719AD">
        <w:rPr>
          <w:bCs/>
          <w:noProof/>
          <w:color w:val="000000"/>
          <w:szCs w:val="22"/>
          <w:highlight w:val="black"/>
          <w:lang w:val="en-GB"/>
        </w:rPr>
        <w:t>''''''''</w:t>
      </w:r>
      <w:r>
        <w:rPr>
          <w:bCs/>
          <w:szCs w:val="22"/>
          <w:lang w:val="en-GB"/>
        </w:rPr>
        <w:t xml:space="preserve">% resulted in an estimated net financial impact of </w:t>
      </w:r>
      <w:r w:rsidR="00A60787" w:rsidRPr="00A60787">
        <w:rPr>
          <w:bCs/>
          <w:szCs w:val="22"/>
          <w:lang w:val="en-GB"/>
        </w:rPr>
        <w:t xml:space="preserve">$60 – $100 million </w:t>
      </w:r>
      <w:r>
        <w:rPr>
          <w:bCs/>
          <w:szCs w:val="22"/>
          <w:lang w:val="en-GB"/>
        </w:rPr>
        <w:t xml:space="preserve">over 6 years. The PBAC considered </w:t>
      </w:r>
      <w:r w:rsidR="00BB027B">
        <w:rPr>
          <w:bCs/>
          <w:szCs w:val="22"/>
          <w:lang w:val="en-GB"/>
        </w:rPr>
        <w:t xml:space="preserve">that while this was a reduction from the estimated financial impact of </w:t>
      </w:r>
      <w:r w:rsidR="00A60787" w:rsidRPr="00A60787">
        <w:rPr>
          <w:bCs/>
          <w:szCs w:val="22"/>
          <w:lang w:val="en-GB"/>
        </w:rPr>
        <w:t xml:space="preserve">more than $100 million </w:t>
      </w:r>
      <w:r w:rsidR="00BB027B">
        <w:rPr>
          <w:bCs/>
          <w:szCs w:val="22"/>
          <w:lang w:val="en-GB"/>
        </w:rPr>
        <w:t xml:space="preserve">over 6 years in the March 2017 submission, the financial impact of listing </w:t>
      </w:r>
      <w:r w:rsidR="009B1A56">
        <w:rPr>
          <w:bCs/>
          <w:szCs w:val="22"/>
          <w:lang w:val="en-GB"/>
        </w:rPr>
        <w:t>was</w:t>
      </w:r>
      <w:r w:rsidR="00BB027B">
        <w:rPr>
          <w:bCs/>
          <w:szCs w:val="22"/>
          <w:lang w:val="en-GB"/>
        </w:rPr>
        <w:t xml:space="preserve"> still significant. </w:t>
      </w:r>
    </w:p>
    <w:p w:rsidR="001D1326" w:rsidRPr="00F11C75" w:rsidRDefault="001D1326" w:rsidP="00F11C75">
      <w:pPr>
        <w:rPr>
          <w:bCs/>
          <w:szCs w:val="22"/>
          <w:lang w:val="en-GB"/>
        </w:rPr>
      </w:pPr>
    </w:p>
    <w:p w:rsidR="00CC0090" w:rsidRPr="00537A6D" w:rsidRDefault="00CC0090" w:rsidP="00537A6D">
      <w:pPr>
        <w:pStyle w:val="ListParagraph"/>
        <w:numPr>
          <w:ilvl w:val="1"/>
          <w:numId w:val="5"/>
        </w:numPr>
        <w:rPr>
          <w:bCs/>
          <w:szCs w:val="22"/>
          <w:lang w:val="en-GB"/>
        </w:rPr>
      </w:pPr>
      <w:r>
        <w:rPr>
          <w:bCs/>
          <w:szCs w:val="22"/>
          <w:lang w:val="en-GB"/>
        </w:rPr>
        <w:t xml:space="preserve">The PBAC </w:t>
      </w:r>
      <w:r w:rsidR="00DD20F8">
        <w:rPr>
          <w:bCs/>
          <w:szCs w:val="22"/>
          <w:lang w:val="en-GB"/>
        </w:rPr>
        <w:t>considered</w:t>
      </w:r>
      <w:r w:rsidR="0035120D">
        <w:rPr>
          <w:bCs/>
          <w:szCs w:val="22"/>
          <w:lang w:val="en-GB"/>
        </w:rPr>
        <w:t xml:space="preserve"> that</w:t>
      </w:r>
      <w:r w:rsidR="00DD20F8">
        <w:rPr>
          <w:bCs/>
          <w:szCs w:val="22"/>
          <w:lang w:val="en-GB"/>
        </w:rPr>
        <w:t xml:space="preserve"> the sponsor’s request for no repeats to be permi</w:t>
      </w:r>
      <w:r w:rsidR="0035120D">
        <w:rPr>
          <w:bCs/>
          <w:szCs w:val="22"/>
          <w:lang w:val="en-GB"/>
        </w:rPr>
        <w:t xml:space="preserve">tted </w:t>
      </w:r>
      <w:r w:rsidR="00A14787">
        <w:rPr>
          <w:bCs/>
          <w:szCs w:val="22"/>
          <w:lang w:val="en-GB"/>
        </w:rPr>
        <w:t>in the proposed listing for</w:t>
      </w:r>
      <w:r w:rsidR="00371997">
        <w:rPr>
          <w:bCs/>
          <w:szCs w:val="22"/>
          <w:lang w:val="en-GB"/>
        </w:rPr>
        <w:t xml:space="preserve"> trifluridine with </w:t>
      </w:r>
      <w:r w:rsidR="0035120D">
        <w:rPr>
          <w:bCs/>
          <w:szCs w:val="22"/>
          <w:lang w:val="en-GB"/>
        </w:rPr>
        <w:t xml:space="preserve">tipiracil was </w:t>
      </w:r>
      <w:r w:rsidR="007E3CA7">
        <w:rPr>
          <w:bCs/>
          <w:szCs w:val="22"/>
          <w:lang w:val="en-GB"/>
        </w:rPr>
        <w:t>inappropriate</w:t>
      </w:r>
      <w:r w:rsidR="0035120D">
        <w:rPr>
          <w:bCs/>
          <w:szCs w:val="22"/>
          <w:lang w:val="en-GB"/>
        </w:rPr>
        <w:t xml:space="preserve"> noting that this would impose undue burden on clinicians and lacks precedent for other PBS-listed oral antineoplastic agents with similar toxicity profiles. </w:t>
      </w:r>
    </w:p>
    <w:p w:rsidR="00D05EAC" w:rsidRDefault="00D05EAC" w:rsidP="00546208">
      <w:pPr>
        <w:pStyle w:val="ListParagraph"/>
        <w:rPr>
          <w:bCs/>
          <w:szCs w:val="22"/>
          <w:lang w:val="en-GB"/>
        </w:rPr>
      </w:pPr>
    </w:p>
    <w:p w:rsidR="009A0770" w:rsidRPr="009A0770" w:rsidRDefault="009A0770" w:rsidP="009A0770">
      <w:pPr>
        <w:pStyle w:val="ListParagraph"/>
        <w:numPr>
          <w:ilvl w:val="1"/>
          <w:numId w:val="5"/>
        </w:numPr>
        <w:rPr>
          <w:bCs/>
          <w:szCs w:val="22"/>
          <w:lang w:val="en-GB"/>
        </w:rPr>
      </w:pPr>
      <w:r w:rsidRPr="009A0770">
        <w:rPr>
          <w:bCs/>
          <w:szCs w:val="22"/>
          <w:lang w:val="en-GB"/>
        </w:rPr>
        <w:t xml:space="preserve">The PBAC noted that this submission is eligible for an Independent Review. </w:t>
      </w:r>
    </w:p>
    <w:p w:rsidR="00F11C75" w:rsidRPr="00DE1CF3" w:rsidRDefault="00F11C75" w:rsidP="00CE76C9">
      <w:pPr>
        <w:spacing w:before="240" w:after="120"/>
        <w:jc w:val="both"/>
        <w:rPr>
          <w:rFonts w:asciiTheme="minorHAnsi" w:hAnsiTheme="minorHAnsi" w:cs="Arial"/>
          <w:b/>
          <w:bCs/>
          <w:snapToGrid w:val="0"/>
          <w:sz w:val="28"/>
          <w:szCs w:val="28"/>
          <w:lang w:val="en-GB" w:eastAsia="en-US"/>
        </w:rPr>
      </w:pPr>
      <w:r w:rsidRPr="00DE1CF3">
        <w:rPr>
          <w:rFonts w:asciiTheme="minorHAnsi" w:hAnsiTheme="minorHAnsi" w:cs="Arial"/>
          <w:b/>
          <w:bCs/>
          <w:snapToGrid w:val="0"/>
          <w:sz w:val="28"/>
          <w:szCs w:val="28"/>
          <w:lang w:val="en-GB" w:eastAsia="en-US"/>
        </w:rPr>
        <w:t>Outcome:</w:t>
      </w:r>
    </w:p>
    <w:p w:rsidR="00CE76C9" w:rsidRPr="00DE1CF3" w:rsidRDefault="00F11C75" w:rsidP="00F11C75">
      <w:pPr>
        <w:spacing w:after="120"/>
        <w:jc w:val="both"/>
        <w:rPr>
          <w:rFonts w:asciiTheme="minorHAnsi" w:hAnsiTheme="minorHAnsi" w:cs="Arial"/>
          <w:bCs/>
          <w:snapToGrid w:val="0"/>
          <w:lang w:val="en-GB" w:eastAsia="en-US"/>
        </w:rPr>
      </w:pPr>
      <w:r w:rsidRPr="00DE1CF3">
        <w:rPr>
          <w:rFonts w:asciiTheme="minorHAnsi" w:hAnsiTheme="minorHAnsi" w:cs="Arial"/>
          <w:bCs/>
          <w:snapToGrid w:val="0"/>
          <w:lang w:val="en-GB" w:eastAsia="en-US"/>
        </w:rPr>
        <w:t>Rejected</w:t>
      </w:r>
    </w:p>
    <w:p w:rsidR="00A60787" w:rsidRDefault="00A60787" w:rsidP="00F11C75">
      <w:pPr>
        <w:spacing w:after="120"/>
        <w:jc w:val="both"/>
        <w:rPr>
          <w:rFonts w:asciiTheme="minorHAnsi" w:hAnsiTheme="minorHAnsi" w:cs="Arial"/>
          <w:bCs/>
          <w:snapToGrid w:val="0"/>
          <w:sz w:val="22"/>
          <w:szCs w:val="22"/>
          <w:lang w:val="en-GB" w:eastAsia="en-US"/>
        </w:rPr>
      </w:pPr>
    </w:p>
    <w:p w:rsidR="00A60787" w:rsidRPr="00A60787" w:rsidRDefault="00A60787" w:rsidP="00A60787">
      <w:pPr>
        <w:pStyle w:val="PBACHeading1"/>
        <w:rPr>
          <w:rFonts w:eastAsiaTheme="minorHAnsi" w:cstheme="minorBidi"/>
          <w:szCs w:val="32"/>
        </w:rPr>
      </w:pPr>
      <w:r w:rsidRPr="00A60787">
        <w:rPr>
          <w:rFonts w:eastAsiaTheme="minorHAnsi" w:cstheme="minorBidi"/>
          <w:szCs w:val="32"/>
        </w:rPr>
        <w:t>Context for Decision</w:t>
      </w:r>
    </w:p>
    <w:p w:rsidR="00A60787" w:rsidRPr="00A60787" w:rsidRDefault="00A60787" w:rsidP="00A60787">
      <w:pPr>
        <w:spacing w:line="276" w:lineRule="auto"/>
        <w:ind w:left="426"/>
        <w:jc w:val="both"/>
        <w:rPr>
          <w:rFonts w:asciiTheme="minorHAnsi" w:eastAsiaTheme="minorHAnsi" w:hAnsiTheme="minorHAnsi" w:cs="Arial"/>
          <w:lang w:eastAsia="en-US"/>
        </w:rPr>
      </w:pPr>
    </w:p>
    <w:p w:rsidR="00A60787" w:rsidRPr="00A60787" w:rsidRDefault="00A60787" w:rsidP="00A60787">
      <w:pPr>
        <w:spacing w:line="276" w:lineRule="auto"/>
        <w:ind w:left="426"/>
        <w:jc w:val="both"/>
        <w:rPr>
          <w:rFonts w:asciiTheme="minorHAnsi" w:eastAsiaTheme="minorHAnsi" w:hAnsiTheme="minorHAnsi" w:cs="Arial"/>
          <w:lang w:eastAsia="en-US"/>
        </w:rPr>
      </w:pPr>
      <w:r w:rsidRPr="00A60787">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60787" w:rsidRPr="00A60787" w:rsidRDefault="00A60787" w:rsidP="00A60787">
      <w:pPr>
        <w:spacing w:after="200" w:line="276" w:lineRule="auto"/>
        <w:ind w:left="426"/>
        <w:jc w:val="both"/>
        <w:rPr>
          <w:rFonts w:asciiTheme="minorHAnsi" w:eastAsiaTheme="minorHAnsi" w:hAnsiTheme="minorHAnsi" w:cs="Arial"/>
          <w:lang w:eastAsia="en-US"/>
        </w:rPr>
      </w:pPr>
    </w:p>
    <w:p w:rsidR="00A60787" w:rsidRPr="00A60787" w:rsidRDefault="00A60787" w:rsidP="00A60787">
      <w:pPr>
        <w:pStyle w:val="PBACHeading1"/>
        <w:rPr>
          <w:rFonts w:eastAsiaTheme="minorHAnsi" w:cstheme="minorBidi"/>
          <w:szCs w:val="32"/>
        </w:rPr>
      </w:pPr>
      <w:r w:rsidRPr="00A60787">
        <w:rPr>
          <w:rFonts w:eastAsiaTheme="minorHAnsi" w:cstheme="minorBidi"/>
          <w:szCs w:val="32"/>
        </w:rPr>
        <w:t>Sponsor’s Comment</w:t>
      </w:r>
    </w:p>
    <w:p w:rsidR="00A60787" w:rsidRPr="00A60787" w:rsidRDefault="00A60787" w:rsidP="00A60787">
      <w:pPr>
        <w:spacing w:line="276" w:lineRule="auto"/>
        <w:ind w:left="426"/>
        <w:jc w:val="both"/>
        <w:rPr>
          <w:rFonts w:asciiTheme="minorHAnsi" w:eastAsiaTheme="minorHAnsi" w:hAnsiTheme="minorHAnsi" w:cs="Arial"/>
          <w:bCs/>
          <w:highlight w:val="yellow"/>
          <w:lang w:val="en-GB" w:eastAsia="en-US"/>
        </w:rPr>
      </w:pPr>
    </w:p>
    <w:p w:rsidR="00A60787" w:rsidRPr="00F11C75" w:rsidRDefault="00837EDB" w:rsidP="00F11C75">
      <w:pPr>
        <w:spacing w:after="120"/>
        <w:jc w:val="both"/>
        <w:rPr>
          <w:rFonts w:asciiTheme="minorHAnsi" w:hAnsiTheme="minorHAnsi" w:cs="Arial"/>
          <w:bCs/>
          <w:snapToGrid w:val="0"/>
          <w:sz w:val="22"/>
          <w:szCs w:val="22"/>
          <w:lang w:val="en-GB" w:eastAsia="en-US"/>
        </w:rPr>
      </w:pPr>
      <w:r w:rsidRPr="007D05B6">
        <w:rPr>
          <w:rFonts w:asciiTheme="minorHAnsi" w:eastAsiaTheme="minorHAnsi" w:hAnsiTheme="minorHAnsi" w:cs="Arial"/>
          <w:bCs/>
          <w:lang w:val="en-GB" w:eastAsia="en-US"/>
        </w:rPr>
        <w:t>Servier will continue to work with the PBAC to achieve, if possible, PBS-listing for trifluridine with tip</w:t>
      </w:r>
      <w:r w:rsidR="00B366C9">
        <w:rPr>
          <w:rFonts w:asciiTheme="minorHAnsi" w:eastAsiaTheme="minorHAnsi" w:hAnsiTheme="minorHAnsi" w:cs="Arial"/>
          <w:bCs/>
          <w:lang w:val="en-GB" w:eastAsia="en-US"/>
        </w:rPr>
        <w:t>i</w:t>
      </w:r>
      <w:r w:rsidRPr="007D05B6">
        <w:rPr>
          <w:rFonts w:asciiTheme="minorHAnsi" w:eastAsiaTheme="minorHAnsi" w:hAnsiTheme="minorHAnsi" w:cs="Arial"/>
          <w:bCs/>
          <w:lang w:val="en-GB" w:eastAsia="en-US"/>
        </w:rPr>
        <w:t>racil, as there is a high unmet need for patients. A minor resubmission will be considered at the November 2017 PBAC meeting.</w:t>
      </w:r>
    </w:p>
    <w:sectPr w:rsidR="00A60787" w:rsidRPr="00F11C75"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AD" w:rsidRDefault="005719AD">
      <w:r>
        <w:separator/>
      </w:r>
    </w:p>
    <w:p w:rsidR="005719AD" w:rsidRDefault="005719AD"/>
  </w:endnote>
  <w:endnote w:type="continuationSeparator" w:id="0">
    <w:p w:rsidR="005719AD" w:rsidRDefault="005719AD">
      <w:r>
        <w:continuationSeparator/>
      </w:r>
    </w:p>
    <w:p w:rsidR="005719AD" w:rsidRDefault="00571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F6085" w:rsidTr="005A3173">
      <w:trPr>
        <w:trHeight w:val="151"/>
      </w:trPr>
      <w:tc>
        <w:tcPr>
          <w:tcW w:w="2250" w:type="pct"/>
          <w:tcBorders>
            <w:top w:val="nil"/>
            <w:left w:val="nil"/>
            <w:bottom w:val="single" w:sz="4" w:space="0" w:color="4F81BD"/>
            <w:right w:val="nil"/>
          </w:tcBorders>
        </w:tcPr>
        <w:p w:rsidR="00EF6085" w:rsidRPr="005A3173" w:rsidRDefault="00EF60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F6085" w:rsidRPr="005A3173" w:rsidRDefault="00EF60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F6085" w:rsidRPr="005A3173" w:rsidRDefault="00EF6085" w:rsidP="005A3173">
          <w:pPr>
            <w:pStyle w:val="Header"/>
            <w:spacing w:line="276" w:lineRule="auto"/>
            <w:rPr>
              <w:rFonts w:ascii="Calibri" w:eastAsia="MS Gothic" w:hAnsi="Calibri"/>
              <w:b/>
              <w:bCs/>
              <w:color w:val="4F81BD"/>
            </w:rPr>
          </w:pPr>
        </w:p>
      </w:tc>
    </w:tr>
    <w:tr w:rsidR="00EF6085" w:rsidTr="005A3173">
      <w:trPr>
        <w:trHeight w:val="150"/>
      </w:trPr>
      <w:tc>
        <w:tcPr>
          <w:tcW w:w="2250" w:type="pct"/>
          <w:tcBorders>
            <w:top w:val="single" w:sz="4" w:space="0" w:color="4F81BD"/>
            <w:left w:val="nil"/>
            <w:bottom w:val="nil"/>
            <w:right w:val="nil"/>
          </w:tcBorders>
        </w:tcPr>
        <w:p w:rsidR="00EF6085" w:rsidRPr="005A3173" w:rsidRDefault="00EF6085" w:rsidP="005A3173">
          <w:pPr>
            <w:pStyle w:val="Header"/>
            <w:spacing w:line="276" w:lineRule="auto"/>
            <w:rPr>
              <w:rFonts w:ascii="Calibri" w:eastAsia="MS Gothic" w:hAnsi="Calibri"/>
              <w:b/>
              <w:bCs/>
              <w:color w:val="4F81BD"/>
            </w:rPr>
          </w:pPr>
        </w:p>
      </w:tc>
      <w:tc>
        <w:tcPr>
          <w:tcW w:w="0" w:type="auto"/>
          <w:vMerge/>
          <w:vAlign w:val="center"/>
          <w:hideMark/>
        </w:tcPr>
        <w:p w:rsidR="00EF6085" w:rsidRPr="005A3173" w:rsidRDefault="00EF6085" w:rsidP="005A3173">
          <w:pPr>
            <w:rPr>
              <w:rFonts w:ascii="Calibri" w:hAnsi="Calibri"/>
              <w:color w:val="365F91"/>
              <w:sz w:val="22"/>
              <w:szCs w:val="22"/>
            </w:rPr>
          </w:pPr>
        </w:p>
      </w:tc>
      <w:tc>
        <w:tcPr>
          <w:tcW w:w="2250" w:type="pct"/>
          <w:tcBorders>
            <w:top w:val="single" w:sz="4" w:space="0" w:color="4F81BD"/>
            <w:left w:val="nil"/>
            <w:bottom w:val="nil"/>
            <w:right w:val="nil"/>
          </w:tcBorders>
        </w:tcPr>
        <w:p w:rsidR="00EF6085" w:rsidRPr="005A3173" w:rsidRDefault="00EF6085" w:rsidP="005A3173">
          <w:pPr>
            <w:pStyle w:val="Header"/>
            <w:spacing w:line="276" w:lineRule="auto"/>
            <w:rPr>
              <w:rFonts w:ascii="Calibri" w:eastAsia="MS Gothic" w:hAnsi="Calibri"/>
              <w:b/>
              <w:bCs/>
              <w:color w:val="4F81BD"/>
            </w:rPr>
          </w:pPr>
        </w:p>
      </w:tc>
    </w:tr>
  </w:tbl>
  <w:p w:rsidR="00EF6085" w:rsidRDefault="00EF608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6085" w:rsidRDefault="00EF6085">
    <w:pPr>
      <w:pStyle w:val="Footer"/>
    </w:pPr>
  </w:p>
  <w:p w:rsidR="00EF6085" w:rsidRDefault="00EF60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85" w:rsidRDefault="00EF6085" w:rsidP="00EF44A0">
    <w:pPr>
      <w:pStyle w:val="Footer"/>
      <w:jc w:val="center"/>
      <w:rPr>
        <w:rFonts w:ascii="Arial" w:hAnsi="Arial" w:cs="Arial"/>
        <w:b/>
        <w:sz w:val="20"/>
        <w:szCs w:val="20"/>
      </w:rPr>
    </w:pPr>
  </w:p>
  <w:p w:rsidR="00EF6085" w:rsidRPr="008740E9" w:rsidRDefault="00EF6085" w:rsidP="008740E9">
    <w:pPr>
      <w:tabs>
        <w:tab w:val="center" w:pos="4153"/>
        <w:tab w:val="right" w:pos="8306"/>
      </w:tabs>
      <w:spacing w:after="120"/>
      <w:ind w:left="360"/>
      <w:jc w:val="center"/>
      <w:rPr>
        <w:rFonts w:asciiTheme="minorHAnsi" w:hAnsiTheme="minorHAnsi" w:cs="Arial"/>
        <w:lang w:eastAsia="en-US"/>
      </w:rPr>
    </w:pPr>
    <w:r w:rsidRPr="008740E9">
      <w:rPr>
        <w:rFonts w:asciiTheme="minorHAnsi" w:hAnsiTheme="minorHAnsi" w:cs="Arial"/>
        <w:lang w:eastAsia="en-US"/>
      </w:rPr>
      <w:fldChar w:fldCharType="begin"/>
    </w:r>
    <w:r w:rsidRPr="008740E9">
      <w:rPr>
        <w:rFonts w:asciiTheme="minorHAnsi" w:hAnsiTheme="minorHAnsi" w:cs="Arial"/>
        <w:lang w:eastAsia="en-US"/>
      </w:rPr>
      <w:instrText xml:space="preserve"> PAGE   \* MERGEFORMAT </w:instrText>
    </w:r>
    <w:r w:rsidRPr="008740E9">
      <w:rPr>
        <w:rFonts w:asciiTheme="minorHAnsi" w:hAnsiTheme="minorHAnsi" w:cs="Arial"/>
        <w:lang w:eastAsia="en-US"/>
      </w:rPr>
      <w:fldChar w:fldCharType="separate"/>
    </w:r>
    <w:r w:rsidR="005719AD">
      <w:rPr>
        <w:rFonts w:asciiTheme="minorHAnsi" w:hAnsiTheme="minorHAnsi" w:cs="Arial"/>
        <w:noProof/>
        <w:lang w:eastAsia="en-US"/>
      </w:rPr>
      <w:t>1</w:t>
    </w:r>
    <w:r w:rsidRPr="008740E9">
      <w:rPr>
        <w:rFonts w:asciiTheme="minorHAnsi" w:hAnsiTheme="minorHAnsi" w:cs="Arial"/>
        <w:noProof/>
        <w:lang w:eastAsia="en-US"/>
      </w:rPr>
      <w:fldChar w:fldCharType="end"/>
    </w:r>
  </w:p>
  <w:p w:rsidR="00EF6085" w:rsidRDefault="00EF6085" w:rsidP="008740E9">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F6085" w:rsidTr="005A3173">
      <w:trPr>
        <w:trHeight w:val="151"/>
      </w:trPr>
      <w:tc>
        <w:tcPr>
          <w:tcW w:w="2250" w:type="pct"/>
          <w:tcBorders>
            <w:top w:val="nil"/>
            <w:left w:val="nil"/>
            <w:bottom w:val="single" w:sz="4" w:space="0" w:color="4F81BD"/>
            <w:right w:val="nil"/>
          </w:tcBorders>
        </w:tcPr>
        <w:p w:rsidR="00EF6085" w:rsidRPr="005A3173" w:rsidRDefault="00EF60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F6085" w:rsidRPr="005A3173" w:rsidRDefault="00EF60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F6085" w:rsidRPr="005A3173" w:rsidRDefault="00EF6085" w:rsidP="005A3173">
          <w:pPr>
            <w:pStyle w:val="Header"/>
            <w:spacing w:line="276" w:lineRule="auto"/>
            <w:rPr>
              <w:rFonts w:ascii="Calibri" w:eastAsia="MS Gothic" w:hAnsi="Calibri"/>
              <w:b/>
              <w:bCs/>
              <w:color w:val="4F81BD"/>
            </w:rPr>
          </w:pPr>
        </w:p>
      </w:tc>
    </w:tr>
    <w:tr w:rsidR="00EF6085" w:rsidTr="005A3173">
      <w:trPr>
        <w:trHeight w:val="150"/>
      </w:trPr>
      <w:tc>
        <w:tcPr>
          <w:tcW w:w="2250" w:type="pct"/>
          <w:tcBorders>
            <w:top w:val="single" w:sz="4" w:space="0" w:color="4F81BD"/>
            <w:left w:val="nil"/>
            <w:bottom w:val="nil"/>
            <w:right w:val="nil"/>
          </w:tcBorders>
        </w:tcPr>
        <w:p w:rsidR="00EF6085" w:rsidRPr="005A3173" w:rsidRDefault="00EF6085" w:rsidP="005A3173">
          <w:pPr>
            <w:pStyle w:val="Header"/>
            <w:spacing w:line="276" w:lineRule="auto"/>
            <w:rPr>
              <w:rFonts w:ascii="Calibri" w:eastAsia="MS Gothic" w:hAnsi="Calibri"/>
              <w:b/>
              <w:bCs/>
              <w:color w:val="4F81BD"/>
            </w:rPr>
          </w:pPr>
        </w:p>
      </w:tc>
      <w:tc>
        <w:tcPr>
          <w:tcW w:w="0" w:type="auto"/>
          <w:vMerge/>
          <w:vAlign w:val="center"/>
          <w:hideMark/>
        </w:tcPr>
        <w:p w:rsidR="00EF6085" w:rsidRPr="005A3173" w:rsidRDefault="00EF6085" w:rsidP="005A3173">
          <w:pPr>
            <w:rPr>
              <w:rFonts w:ascii="Calibri" w:hAnsi="Calibri"/>
              <w:color w:val="365F91"/>
              <w:sz w:val="22"/>
              <w:szCs w:val="22"/>
            </w:rPr>
          </w:pPr>
        </w:p>
      </w:tc>
      <w:tc>
        <w:tcPr>
          <w:tcW w:w="2250" w:type="pct"/>
          <w:tcBorders>
            <w:top w:val="single" w:sz="4" w:space="0" w:color="4F81BD"/>
            <w:left w:val="nil"/>
            <w:bottom w:val="nil"/>
            <w:right w:val="nil"/>
          </w:tcBorders>
        </w:tcPr>
        <w:p w:rsidR="00EF6085" w:rsidRPr="005A3173" w:rsidRDefault="00EF608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F6085" w:rsidTr="005A3173">
      <w:trPr>
        <w:trHeight w:val="151"/>
      </w:trPr>
      <w:tc>
        <w:tcPr>
          <w:tcW w:w="2250" w:type="pct"/>
          <w:tcBorders>
            <w:top w:val="nil"/>
            <w:left w:val="nil"/>
            <w:bottom w:val="single" w:sz="4" w:space="0" w:color="4F81BD"/>
            <w:right w:val="nil"/>
          </w:tcBorders>
        </w:tcPr>
        <w:p w:rsidR="00EF6085" w:rsidRPr="005A3173" w:rsidRDefault="00EF60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F6085" w:rsidRPr="005A3173" w:rsidRDefault="00EF60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F6085" w:rsidRPr="005A3173" w:rsidRDefault="00EF6085" w:rsidP="005A3173">
          <w:pPr>
            <w:pStyle w:val="Header"/>
            <w:spacing w:line="276" w:lineRule="auto"/>
            <w:rPr>
              <w:rFonts w:ascii="Calibri" w:eastAsia="MS Gothic" w:hAnsi="Calibri"/>
              <w:b/>
              <w:bCs/>
              <w:color w:val="4F81BD"/>
            </w:rPr>
          </w:pPr>
        </w:p>
      </w:tc>
    </w:tr>
    <w:tr w:rsidR="00EF6085" w:rsidTr="005A3173">
      <w:trPr>
        <w:trHeight w:val="150"/>
      </w:trPr>
      <w:tc>
        <w:tcPr>
          <w:tcW w:w="2250" w:type="pct"/>
          <w:tcBorders>
            <w:top w:val="single" w:sz="4" w:space="0" w:color="4F81BD"/>
            <w:left w:val="nil"/>
            <w:bottom w:val="nil"/>
            <w:right w:val="nil"/>
          </w:tcBorders>
        </w:tcPr>
        <w:p w:rsidR="00EF6085" w:rsidRPr="005A3173" w:rsidRDefault="00EF6085" w:rsidP="005A3173">
          <w:pPr>
            <w:pStyle w:val="Header"/>
            <w:spacing w:line="276" w:lineRule="auto"/>
            <w:rPr>
              <w:rFonts w:ascii="Calibri" w:eastAsia="MS Gothic" w:hAnsi="Calibri"/>
              <w:b/>
              <w:bCs/>
              <w:color w:val="4F81BD"/>
            </w:rPr>
          </w:pPr>
        </w:p>
      </w:tc>
      <w:tc>
        <w:tcPr>
          <w:tcW w:w="0" w:type="auto"/>
          <w:vMerge/>
          <w:vAlign w:val="center"/>
          <w:hideMark/>
        </w:tcPr>
        <w:p w:rsidR="00EF6085" w:rsidRPr="005A3173" w:rsidRDefault="00EF6085" w:rsidP="005A3173">
          <w:pPr>
            <w:rPr>
              <w:rFonts w:ascii="Calibri" w:hAnsi="Calibri"/>
              <w:color w:val="365F91"/>
              <w:sz w:val="22"/>
              <w:szCs w:val="22"/>
            </w:rPr>
          </w:pPr>
        </w:p>
      </w:tc>
      <w:tc>
        <w:tcPr>
          <w:tcW w:w="2250" w:type="pct"/>
          <w:tcBorders>
            <w:top w:val="single" w:sz="4" w:space="0" w:color="4F81BD"/>
            <w:left w:val="nil"/>
            <w:bottom w:val="nil"/>
            <w:right w:val="nil"/>
          </w:tcBorders>
        </w:tcPr>
        <w:p w:rsidR="00EF6085" w:rsidRPr="005A3173" w:rsidRDefault="00EF6085" w:rsidP="005A3173">
          <w:pPr>
            <w:pStyle w:val="Header"/>
            <w:spacing w:line="276" w:lineRule="auto"/>
            <w:rPr>
              <w:rFonts w:ascii="Calibri" w:eastAsia="MS Gothic" w:hAnsi="Calibri"/>
              <w:b/>
              <w:bCs/>
              <w:color w:val="4F81BD"/>
            </w:rPr>
          </w:pPr>
        </w:p>
      </w:tc>
    </w:tr>
  </w:tbl>
  <w:p w:rsidR="00EF6085" w:rsidRPr="007C0F57" w:rsidRDefault="00EF608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F6085" w:rsidRPr="007C0F57" w:rsidRDefault="00EF6085" w:rsidP="007C0F57">
    <w:pPr>
      <w:pStyle w:val="Footer"/>
      <w:jc w:val="center"/>
      <w:rPr>
        <w:b/>
        <w:i/>
        <w:sz w:val="20"/>
        <w:szCs w:val="20"/>
      </w:rPr>
    </w:pPr>
    <w:r w:rsidRPr="007C0F57">
      <w:rPr>
        <w:b/>
        <w:i/>
        <w:sz w:val="20"/>
        <w:szCs w:val="20"/>
      </w:rPr>
      <w:t>Commercial-in-Confidence</w:t>
    </w:r>
  </w:p>
  <w:p w:rsidR="00EF6085" w:rsidRDefault="00EF60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AD" w:rsidRDefault="005719AD">
      <w:r>
        <w:separator/>
      </w:r>
    </w:p>
    <w:p w:rsidR="005719AD" w:rsidRDefault="005719AD"/>
  </w:footnote>
  <w:footnote w:type="continuationSeparator" w:id="0">
    <w:p w:rsidR="005719AD" w:rsidRDefault="005719AD">
      <w:r>
        <w:continuationSeparator/>
      </w:r>
    </w:p>
    <w:p w:rsidR="005719AD" w:rsidRDefault="005719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F6085" w:rsidRPr="008E0D90" w:rsidTr="00A06225">
      <w:trPr>
        <w:trHeight w:val="151"/>
      </w:trPr>
      <w:tc>
        <w:tcPr>
          <w:tcW w:w="2389" w:type="pct"/>
          <w:tcBorders>
            <w:top w:val="nil"/>
            <w:left w:val="nil"/>
            <w:bottom w:val="single" w:sz="4" w:space="0" w:color="4F81BD"/>
            <w:right w:val="nil"/>
          </w:tcBorders>
        </w:tcPr>
        <w:p w:rsidR="00EF6085" w:rsidRPr="00A06225" w:rsidRDefault="00EF6085">
          <w:pPr>
            <w:pStyle w:val="Header"/>
            <w:spacing w:line="276" w:lineRule="auto"/>
            <w:rPr>
              <w:rFonts w:ascii="Cambria" w:eastAsia="MS Gothic" w:hAnsi="Cambria"/>
              <w:b/>
              <w:bCs/>
              <w:color w:val="4F81BD"/>
            </w:rPr>
          </w:pPr>
        </w:p>
      </w:tc>
      <w:tc>
        <w:tcPr>
          <w:tcW w:w="333" w:type="pct"/>
          <w:vMerge w:val="restart"/>
          <w:noWrap/>
          <w:vAlign w:val="center"/>
          <w:hideMark/>
        </w:tcPr>
        <w:p w:rsidR="00EF6085" w:rsidRPr="00A06225" w:rsidRDefault="00EF608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F6085" w:rsidRPr="00A06225" w:rsidRDefault="00EF6085">
          <w:pPr>
            <w:pStyle w:val="Header"/>
            <w:spacing w:line="276" w:lineRule="auto"/>
            <w:rPr>
              <w:rFonts w:ascii="Cambria" w:eastAsia="MS Gothic" w:hAnsi="Cambria"/>
              <w:b/>
              <w:bCs/>
              <w:color w:val="4F81BD"/>
            </w:rPr>
          </w:pPr>
        </w:p>
      </w:tc>
    </w:tr>
    <w:tr w:rsidR="00EF6085" w:rsidRPr="008E0D90" w:rsidTr="00A06225">
      <w:trPr>
        <w:trHeight w:val="150"/>
      </w:trPr>
      <w:tc>
        <w:tcPr>
          <w:tcW w:w="2389" w:type="pct"/>
          <w:tcBorders>
            <w:top w:val="single" w:sz="4" w:space="0" w:color="4F81BD"/>
            <w:left w:val="nil"/>
            <w:bottom w:val="nil"/>
            <w:right w:val="nil"/>
          </w:tcBorders>
        </w:tcPr>
        <w:p w:rsidR="00EF6085" w:rsidRPr="00A06225" w:rsidRDefault="00EF6085">
          <w:pPr>
            <w:pStyle w:val="Header"/>
            <w:spacing w:line="276" w:lineRule="auto"/>
            <w:rPr>
              <w:rFonts w:ascii="Cambria" w:eastAsia="MS Gothic" w:hAnsi="Cambria"/>
              <w:b/>
              <w:bCs/>
              <w:color w:val="4F81BD"/>
            </w:rPr>
          </w:pPr>
        </w:p>
      </w:tc>
      <w:tc>
        <w:tcPr>
          <w:tcW w:w="0" w:type="auto"/>
          <w:vMerge/>
          <w:vAlign w:val="center"/>
          <w:hideMark/>
        </w:tcPr>
        <w:p w:rsidR="00EF6085" w:rsidRPr="00A06225" w:rsidRDefault="00EF6085">
          <w:pPr>
            <w:rPr>
              <w:rFonts w:ascii="Cambria" w:hAnsi="Cambria"/>
              <w:color w:val="4F81BD"/>
              <w:sz w:val="22"/>
              <w:szCs w:val="22"/>
            </w:rPr>
          </w:pPr>
        </w:p>
      </w:tc>
      <w:tc>
        <w:tcPr>
          <w:tcW w:w="2278" w:type="pct"/>
          <w:tcBorders>
            <w:top w:val="single" w:sz="4" w:space="0" w:color="4F81BD"/>
            <w:left w:val="nil"/>
            <w:bottom w:val="nil"/>
            <w:right w:val="nil"/>
          </w:tcBorders>
        </w:tcPr>
        <w:p w:rsidR="00EF6085" w:rsidRPr="00A06225" w:rsidRDefault="00EF6085">
          <w:pPr>
            <w:pStyle w:val="Header"/>
            <w:spacing w:line="276" w:lineRule="auto"/>
            <w:rPr>
              <w:rFonts w:ascii="Cambria" w:eastAsia="MS Gothic" w:hAnsi="Cambria"/>
              <w:b/>
              <w:bCs/>
              <w:color w:val="4F81BD"/>
            </w:rPr>
          </w:pPr>
        </w:p>
      </w:tc>
    </w:tr>
  </w:tbl>
  <w:p w:rsidR="00EF6085" w:rsidRDefault="00EF6085">
    <w:pPr>
      <w:pStyle w:val="Header"/>
    </w:pPr>
  </w:p>
  <w:p w:rsidR="00EF6085" w:rsidRDefault="00EF60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85" w:rsidRPr="008740E9" w:rsidRDefault="00EF6085" w:rsidP="00DE6EA0">
    <w:pPr>
      <w:tabs>
        <w:tab w:val="center" w:pos="4153"/>
        <w:tab w:val="right" w:pos="8306"/>
      </w:tabs>
      <w:ind w:left="357"/>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Pr="008740E9">
      <w:rPr>
        <w:rFonts w:asciiTheme="minorHAnsi" w:hAnsiTheme="minorHAnsi" w:cs="Arial"/>
        <w:i/>
        <w:color w:val="808080"/>
        <w:lang w:eastAsia="en-US"/>
      </w:rPr>
      <w:t xml:space="preserve"> – </w:t>
    </w:r>
    <w:r>
      <w:rPr>
        <w:rFonts w:asciiTheme="minorHAnsi" w:hAnsiTheme="minorHAnsi" w:cs="Arial"/>
        <w:i/>
        <w:color w:val="808080"/>
        <w:lang w:eastAsia="en-US"/>
      </w:rPr>
      <w:t>July 2017</w:t>
    </w:r>
    <w:r w:rsidRPr="008740E9">
      <w:rPr>
        <w:rFonts w:asciiTheme="minorHAnsi" w:hAnsiTheme="minorHAnsi" w:cs="Arial"/>
        <w:i/>
        <w:color w:val="808080"/>
        <w:lang w:eastAsia="en-US"/>
      </w:rPr>
      <w:t xml:space="preserve"> PBAC Meeting</w:t>
    </w:r>
  </w:p>
  <w:p w:rsidR="00EF6085" w:rsidRDefault="00EF6085"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AD" w:rsidRDefault="00571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D7337A"/>
    <w:multiLevelType w:val="hybridMultilevel"/>
    <w:tmpl w:val="B52E5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28" w:hanging="360"/>
      </w:pPr>
      <w:rPr>
        <w:rFonts w:ascii="Courier New" w:hAnsi="Courier New" w:cs="Courier New" w:hint="default"/>
      </w:rPr>
    </w:lvl>
    <w:lvl w:ilvl="2" w:tplc="0C090005" w:tentative="1">
      <w:start w:val="1"/>
      <w:numFmt w:val="bullet"/>
      <w:lvlText w:val=""/>
      <w:lvlJc w:val="left"/>
      <w:pPr>
        <w:ind w:left="948" w:hanging="360"/>
      </w:pPr>
      <w:rPr>
        <w:rFonts w:ascii="Wingdings" w:hAnsi="Wingdings" w:hint="default"/>
      </w:rPr>
    </w:lvl>
    <w:lvl w:ilvl="3" w:tplc="0C090001" w:tentative="1">
      <w:start w:val="1"/>
      <w:numFmt w:val="bullet"/>
      <w:lvlText w:val=""/>
      <w:lvlJc w:val="left"/>
      <w:pPr>
        <w:ind w:left="1668" w:hanging="360"/>
      </w:pPr>
      <w:rPr>
        <w:rFonts w:ascii="Symbol" w:hAnsi="Symbol" w:hint="default"/>
      </w:rPr>
    </w:lvl>
    <w:lvl w:ilvl="4" w:tplc="0C090003" w:tentative="1">
      <w:start w:val="1"/>
      <w:numFmt w:val="bullet"/>
      <w:lvlText w:val="o"/>
      <w:lvlJc w:val="left"/>
      <w:pPr>
        <w:ind w:left="2388" w:hanging="360"/>
      </w:pPr>
      <w:rPr>
        <w:rFonts w:ascii="Courier New" w:hAnsi="Courier New" w:cs="Courier New" w:hint="default"/>
      </w:rPr>
    </w:lvl>
    <w:lvl w:ilvl="5" w:tplc="0C090005" w:tentative="1">
      <w:start w:val="1"/>
      <w:numFmt w:val="bullet"/>
      <w:lvlText w:val=""/>
      <w:lvlJc w:val="left"/>
      <w:pPr>
        <w:ind w:left="3108" w:hanging="360"/>
      </w:pPr>
      <w:rPr>
        <w:rFonts w:ascii="Wingdings" w:hAnsi="Wingdings" w:hint="default"/>
      </w:rPr>
    </w:lvl>
    <w:lvl w:ilvl="6" w:tplc="0C090001" w:tentative="1">
      <w:start w:val="1"/>
      <w:numFmt w:val="bullet"/>
      <w:lvlText w:val=""/>
      <w:lvlJc w:val="left"/>
      <w:pPr>
        <w:ind w:left="3828" w:hanging="360"/>
      </w:pPr>
      <w:rPr>
        <w:rFonts w:ascii="Symbol" w:hAnsi="Symbol" w:hint="default"/>
      </w:rPr>
    </w:lvl>
    <w:lvl w:ilvl="7" w:tplc="0C090003" w:tentative="1">
      <w:start w:val="1"/>
      <w:numFmt w:val="bullet"/>
      <w:lvlText w:val="o"/>
      <w:lvlJc w:val="left"/>
      <w:pPr>
        <w:ind w:left="4548" w:hanging="360"/>
      </w:pPr>
      <w:rPr>
        <w:rFonts w:ascii="Courier New" w:hAnsi="Courier New" w:cs="Courier New" w:hint="default"/>
      </w:rPr>
    </w:lvl>
    <w:lvl w:ilvl="8" w:tplc="0C090005" w:tentative="1">
      <w:start w:val="1"/>
      <w:numFmt w:val="bullet"/>
      <w:lvlText w:val=""/>
      <w:lvlJc w:val="left"/>
      <w:pPr>
        <w:ind w:left="5268"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C34E0B"/>
    <w:multiLevelType w:val="hybridMultilevel"/>
    <w:tmpl w:val="A25C1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5336BBA"/>
    <w:multiLevelType w:val="hybridMultilevel"/>
    <w:tmpl w:val="9B3016B2"/>
    <w:lvl w:ilvl="0" w:tplc="DDCEBC2C">
      <w:start w:val="7"/>
      <w:numFmt w:val="bullet"/>
      <w:lvlText w:val="-"/>
      <w:lvlJc w:val="left"/>
      <w:pPr>
        <w:ind w:left="405" w:hanging="360"/>
      </w:pPr>
      <w:rPr>
        <w:rFonts w:ascii="Arial Narrow" w:eastAsia="Times New Roman" w:hAnsi="Arial Narrow"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0307D7F"/>
    <w:multiLevelType w:val="hybridMultilevel"/>
    <w:tmpl w:val="AFE6A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4D033C"/>
    <w:multiLevelType w:val="multilevel"/>
    <w:tmpl w:val="8622380E"/>
    <w:lvl w:ilvl="0">
      <w:start w:val="1"/>
      <w:numFmt w:val="decimal"/>
      <w:pStyle w:val="PBACHeading1"/>
      <w:lvlText w:val="%1"/>
      <w:lvlJc w:val="left"/>
      <w:pPr>
        <w:ind w:left="720" w:hanging="720"/>
      </w:pPr>
      <w:rPr>
        <w:rFonts w:asciiTheme="minorHAnsi" w:hAnsiTheme="minorHAnsi" w:hint="default"/>
        <w:b/>
      </w:rPr>
    </w:lvl>
    <w:lvl w:ilvl="1">
      <w:start w:val="1"/>
      <w:numFmt w:val="decimal"/>
      <w:lvlText w:val="%1.%2"/>
      <w:lvlJc w:val="left"/>
      <w:pPr>
        <w:ind w:left="720" w:hanging="720"/>
      </w:pPr>
      <w:rPr>
        <w:rFonts w:asciiTheme="minorHAnsi" w:hAnsi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7"/>
  </w:num>
  <w:num w:numId="5">
    <w:abstractNumId w:val="20"/>
  </w:num>
  <w:num w:numId="6">
    <w:abstractNumId w:val="7"/>
  </w:num>
  <w:num w:numId="7">
    <w:abstractNumId w:val="14"/>
  </w:num>
  <w:num w:numId="8">
    <w:abstractNumId w:val="4"/>
  </w:num>
  <w:num w:numId="9">
    <w:abstractNumId w:val="13"/>
  </w:num>
  <w:num w:numId="10">
    <w:abstractNumId w:val="11"/>
  </w:num>
  <w:num w:numId="11">
    <w:abstractNumId w:val="10"/>
  </w:num>
  <w:num w:numId="12">
    <w:abstractNumId w:val="1"/>
  </w:num>
  <w:num w:numId="13">
    <w:abstractNumId w:val="0"/>
  </w:num>
  <w:num w:numId="14">
    <w:abstractNumId w:val="20"/>
  </w:num>
  <w:num w:numId="15">
    <w:abstractNumId w:val="16"/>
  </w:num>
  <w:num w:numId="16">
    <w:abstractNumId w:val="15"/>
  </w:num>
  <w:num w:numId="17">
    <w:abstractNumId w:val="12"/>
  </w:num>
  <w:num w:numId="18">
    <w:abstractNumId w:val="18"/>
  </w:num>
  <w:num w:numId="19">
    <w:abstractNumId w:val="19"/>
  </w:num>
  <w:num w:numId="20">
    <w:abstractNumId w:val="5"/>
  </w:num>
  <w:num w:numId="21">
    <w:abstractNumId w:val="2"/>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B95"/>
    <w:rsid w:val="000025AD"/>
    <w:rsid w:val="00003CD6"/>
    <w:rsid w:val="0002464A"/>
    <w:rsid w:val="000265AF"/>
    <w:rsid w:val="00026DDD"/>
    <w:rsid w:val="0003106B"/>
    <w:rsid w:val="000421A1"/>
    <w:rsid w:val="0004240E"/>
    <w:rsid w:val="00045E26"/>
    <w:rsid w:val="000514B5"/>
    <w:rsid w:val="00060E64"/>
    <w:rsid w:val="0006564E"/>
    <w:rsid w:val="000656AD"/>
    <w:rsid w:val="00066755"/>
    <w:rsid w:val="00077143"/>
    <w:rsid w:val="0008540E"/>
    <w:rsid w:val="000932DC"/>
    <w:rsid w:val="000957B7"/>
    <w:rsid w:val="000969AD"/>
    <w:rsid w:val="000B4F71"/>
    <w:rsid w:val="000B558D"/>
    <w:rsid w:val="000C6996"/>
    <w:rsid w:val="000D23BA"/>
    <w:rsid w:val="000E203F"/>
    <w:rsid w:val="000E681E"/>
    <w:rsid w:val="000F4440"/>
    <w:rsid w:val="000F4E6A"/>
    <w:rsid w:val="001107BF"/>
    <w:rsid w:val="00121225"/>
    <w:rsid w:val="0012417C"/>
    <w:rsid w:val="00125EF3"/>
    <w:rsid w:val="00126453"/>
    <w:rsid w:val="00127372"/>
    <w:rsid w:val="00142395"/>
    <w:rsid w:val="00142714"/>
    <w:rsid w:val="001441F9"/>
    <w:rsid w:val="001452ED"/>
    <w:rsid w:val="001830CE"/>
    <w:rsid w:val="0018643B"/>
    <w:rsid w:val="001936F9"/>
    <w:rsid w:val="00193CDB"/>
    <w:rsid w:val="00196307"/>
    <w:rsid w:val="001A33EA"/>
    <w:rsid w:val="001B017F"/>
    <w:rsid w:val="001B5129"/>
    <w:rsid w:val="001B5BFB"/>
    <w:rsid w:val="001C1195"/>
    <w:rsid w:val="001C5757"/>
    <w:rsid w:val="001D1326"/>
    <w:rsid w:val="00213CFB"/>
    <w:rsid w:val="002545F2"/>
    <w:rsid w:val="00271BA1"/>
    <w:rsid w:val="002762FA"/>
    <w:rsid w:val="00277505"/>
    <w:rsid w:val="0028106A"/>
    <w:rsid w:val="00282E38"/>
    <w:rsid w:val="002843A8"/>
    <w:rsid w:val="0029458F"/>
    <w:rsid w:val="002A104C"/>
    <w:rsid w:val="002A2ACD"/>
    <w:rsid w:val="002A4960"/>
    <w:rsid w:val="002B1AE6"/>
    <w:rsid w:val="002B30F8"/>
    <w:rsid w:val="002C212F"/>
    <w:rsid w:val="002C3D7C"/>
    <w:rsid w:val="002D3940"/>
    <w:rsid w:val="002E00E9"/>
    <w:rsid w:val="002E1D1B"/>
    <w:rsid w:val="002E3153"/>
    <w:rsid w:val="002E72CA"/>
    <w:rsid w:val="002F5BAA"/>
    <w:rsid w:val="00300AD6"/>
    <w:rsid w:val="0030442F"/>
    <w:rsid w:val="00326E79"/>
    <w:rsid w:val="003367EF"/>
    <w:rsid w:val="00341AE4"/>
    <w:rsid w:val="003434A0"/>
    <w:rsid w:val="0035120D"/>
    <w:rsid w:val="00371997"/>
    <w:rsid w:val="003740E6"/>
    <w:rsid w:val="003872CF"/>
    <w:rsid w:val="0039782C"/>
    <w:rsid w:val="003A1333"/>
    <w:rsid w:val="003A2095"/>
    <w:rsid w:val="003A5B4A"/>
    <w:rsid w:val="003B1BF3"/>
    <w:rsid w:val="003B23C5"/>
    <w:rsid w:val="003B2A75"/>
    <w:rsid w:val="003C0389"/>
    <w:rsid w:val="003C482A"/>
    <w:rsid w:val="003D4AC4"/>
    <w:rsid w:val="003D63B7"/>
    <w:rsid w:val="003E468B"/>
    <w:rsid w:val="003F5C8C"/>
    <w:rsid w:val="0043017B"/>
    <w:rsid w:val="004465BD"/>
    <w:rsid w:val="00450C20"/>
    <w:rsid w:val="00455024"/>
    <w:rsid w:val="00466ADA"/>
    <w:rsid w:val="00472A97"/>
    <w:rsid w:val="00476245"/>
    <w:rsid w:val="00476E22"/>
    <w:rsid w:val="00485940"/>
    <w:rsid w:val="004A227F"/>
    <w:rsid w:val="004A2484"/>
    <w:rsid w:val="004A5A85"/>
    <w:rsid w:val="004B5640"/>
    <w:rsid w:val="004C1BD7"/>
    <w:rsid w:val="004C5A46"/>
    <w:rsid w:val="004C691D"/>
    <w:rsid w:val="004D1228"/>
    <w:rsid w:val="004E57AF"/>
    <w:rsid w:val="004E692D"/>
    <w:rsid w:val="00501554"/>
    <w:rsid w:val="00514CD7"/>
    <w:rsid w:val="00525015"/>
    <w:rsid w:val="00526FA2"/>
    <w:rsid w:val="005319B2"/>
    <w:rsid w:val="00532C74"/>
    <w:rsid w:val="00534E2E"/>
    <w:rsid w:val="00537A6D"/>
    <w:rsid w:val="005437CF"/>
    <w:rsid w:val="00544552"/>
    <w:rsid w:val="00546208"/>
    <w:rsid w:val="005719AD"/>
    <w:rsid w:val="00581932"/>
    <w:rsid w:val="005963BB"/>
    <w:rsid w:val="005A2166"/>
    <w:rsid w:val="005A2ED8"/>
    <w:rsid w:val="005A3173"/>
    <w:rsid w:val="005A3223"/>
    <w:rsid w:val="005A3DA3"/>
    <w:rsid w:val="005A4FE9"/>
    <w:rsid w:val="005A52C4"/>
    <w:rsid w:val="005A664D"/>
    <w:rsid w:val="005B3C51"/>
    <w:rsid w:val="005C0A59"/>
    <w:rsid w:val="005C74D6"/>
    <w:rsid w:val="005D03AB"/>
    <w:rsid w:val="005D1900"/>
    <w:rsid w:val="005D4376"/>
    <w:rsid w:val="005D5017"/>
    <w:rsid w:val="005D651C"/>
    <w:rsid w:val="00601A91"/>
    <w:rsid w:val="00602BA3"/>
    <w:rsid w:val="006041D7"/>
    <w:rsid w:val="00614159"/>
    <w:rsid w:val="006156CE"/>
    <w:rsid w:val="00617C00"/>
    <w:rsid w:val="00620F6B"/>
    <w:rsid w:val="00621A78"/>
    <w:rsid w:val="006263BF"/>
    <w:rsid w:val="0062748A"/>
    <w:rsid w:val="00630A2C"/>
    <w:rsid w:val="00633DD4"/>
    <w:rsid w:val="006436CD"/>
    <w:rsid w:val="00651169"/>
    <w:rsid w:val="00653D69"/>
    <w:rsid w:val="00670A76"/>
    <w:rsid w:val="006711AA"/>
    <w:rsid w:val="00672B57"/>
    <w:rsid w:val="00675622"/>
    <w:rsid w:val="006801F8"/>
    <w:rsid w:val="00686280"/>
    <w:rsid w:val="006906DB"/>
    <w:rsid w:val="006A12A5"/>
    <w:rsid w:val="006B0D94"/>
    <w:rsid w:val="006B485D"/>
    <w:rsid w:val="006C708E"/>
    <w:rsid w:val="006D6EC7"/>
    <w:rsid w:val="006E4CEC"/>
    <w:rsid w:val="006F1574"/>
    <w:rsid w:val="006F5125"/>
    <w:rsid w:val="006F5A7F"/>
    <w:rsid w:val="007151F3"/>
    <w:rsid w:val="007174BB"/>
    <w:rsid w:val="007269DB"/>
    <w:rsid w:val="00727DAC"/>
    <w:rsid w:val="00736EAB"/>
    <w:rsid w:val="0076420C"/>
    <w:rsid w:val="007753C2"/>
    <w:rsid w:val="007838B8"/>
    <w:rsid w:val="007A5313"/>
    <w:rsid w:val="007B4A96"/>
    <w:rsid w:val="007C0F57"/>
    <w:rsid w:val="007C40B6"/>
    <w:rsid w:val="007C729F"/>
    <w:rsid w:val="007D05B6"/>
    <w:rsid w:val="007D41DA"/>
    <w:rsid w:val="007E1D28"/>
    <w:rsid w:val="007E3CA7"/>
    <w:rsid w:val="007E4289"/>
    <w:rsid w:val="007F2641"/>
    <w:rsid w:val="007F7B0E"/>
    <w:rsid w:val="007F7C36"/>
    <w:rsid w:val="00804F8D"/>
    <w:rsid w:val="00806796"/>
    <w:rsid w:val="0080716A"/>
    <w:rsid w:val="008151D6"/>
    <w:rsid w:val="008213F2"/>
    <w:rsid w:val="00825F84"/>
    <w:rsid w:val="00826F6D"/>
    <w:rsid w:val="00827F0E"/>
    <w:rsid w:val="00837EDB"/>
    <w:rsid w:val="008407E2"/>
    <w:rsid w:val="00856DDD"/>
    <w:rsid w:val="008617BF"/>
    <w:rsid w:val="00863E68"/>
    <w:rsid w:val="00872224"/>
    <w:rsid w:val="008731F1"/>
    <w:rsid w:val="008740E9"/>
    <w:rsid w:val="00876FB9"/>
    <w:rsid w:val="00882085"/>
    <w:rsid w:val="00883188"/>
    <w:rsid w:val="008879F0"/>
    <w:rsid w:val="00896F4E"/>
    <w:rsid w:val="00897D58"/>
    <w:rsid w:val="008A1956"/>
    <w:rsid w:val="008A4937"/>
    <w:rsid w:val="008A50F1"/>
    <w:rsid w:val="008B03D9"/>
    <w:rsid w:val="008D1B5C"/>
    <w:rsid w:val="008D3C82"/>
    <w:rsid w:val="008D447E"/>
    <w:rsid w:val="008D7497"/>
    <w:rsid w:val="008D7A41"/>
    <w:rsid w:val="008E3680"/>
    <w:rsid w:val="008E5870"/>
    <w:rsid w:val="008F1434"/>
    <w:rsid w:val="008F31F5"/>
    <w:rsid w:val="008F3BDF"/>
    <w:rsid w:val="008F62B6"/>
    <w:rsid w:val="008F7355"/>
    <w:rsid w:val="009067B7"/>
    <w:rsid w:val="00917C91"/>
    <w:rsid w:val="00917E8C"/>
    <w:rsid w:val="00930937"/>
    <w:rsid w:val="00933E6C"/>
    <w:rsid w:val="00942160"/>
    <w:rsid w:val="0095146F"/>
    <w:rsid w:val="0095622D"/>
    <w:rsid w:val="00957899"/>
    <w:rsid w:val="009602C5"/>
    <w:rsid w:val="00962223"/>
    <w:rsid w:val="009678A1"/>
    <w:rsid w:val="00974C21"/>
    <w:rsid w:val="009809F4"/>
    <w:rsid w:val="00996DDE"/>
    <w:rsid w:val="009A0770"/>
    <w:rsid w:val="009B0F67"/>
    <w:rsid w:val="009B1A56"/>
    <w:rsid w:val="009C63EF"/>
    <w:rsid w:val="009C703C"/>
    <w:rsid w:val="009D3CAA"/>
    <w:rsid w:val="009E0E0B"/>
    <w:rsid w:val="009F4E46"/>
    <w:rsid w:val="009F5B65"/>
    <w:rsid w:val="009F5F2E"/>
    <w:rsid w:val="00A06225"/>
    <w:rsid w:val="00A128E6"/>
    <w:rsid w:val="00A14787"/>
    <w:rsid w:val="00A210E0"/>
    <w:rsid w:val="00A37C8D"/>
    <w:rsid w:val="00A42572"/>
    <w:rsid w:val="00A4722D"/>
    <w:rsid w:val="00A5273B"/>
    <w:rsid w:val="00A53A9D"/>
    <w:rsid w:val="00A55FEE"/>
    <w:rsid w:val="00A60787"/>
    <w:rsid w:val="00A62C1A"/>
    <w:rsid w:val="00A6426D"/>
    <w:rsid w:val="00A70509"/>
    <w:rsid w:val="00A70622"/>
    <w:rsid w:val="00A70977"/>
    <w:rsid w:val="00A760C8"/>
    <w:rsid w:val="00A77613"/>
    <w:rsid w:val="00A8248F"/>
    <w:rsid w:val="00A8390C"/>
    <w:rsid w:val="00A870EA"/>
    <w:rsid w:val="00A928BD"/>
    <w:rsid w:val="00AA4D1C"/>
    <w:rsid w:val="00AB68FD"/>
    <w:rsid w:val="00AC193C"/>
    <w:rsid w:val="00AC5206"/>
    <w:rsid w:val="00AC6FBA"/>
    <w:rsid w:val="00AD1A3D"/>
    <w:rsid w:val="00AE11A5"/>
    <w:rsid w:val="00AE13E2"/>
    <w:rsid w:val="00AF1A51"/>
    <w:rsid w:val="00AF4D56"/>
    <w:rsid w:val="00AF68CC"/>
    <w:rsid w:val="00B07785"/>
    <w:rsid w:val="00B1059E"/>
    <w:rsid w:val="00B15A21"/>
    <w:rsid w:val="00B205AA"/>
    <w:rsid w:val="00B22E84"/>
    <w:rsid w:val="00B25F75"/>
    <w:rsid w:val="00B366C9"/>
    <w:rsid w:val="00B37CC6"/>
    <w:rsid w:val="00B41996"/>
    <w:rsid w:val="00B43E90"/>
    <w:rsid w:val="00B45591"/>
    <w:rsid w:val="00B467DC"/>
    <w:rsid w:val="00B56118"/>
    <w:rsid w:val="00B5719A"/>
    <w:rsid w:val="00B62BD1"/>
    <w:rsid w:val="00B6773F"/>
    <w:rsid w:val="00B7017E"/>
    <w:rsid w:val="00B801BA"/>
    <w:rsid w:val="00B85F2F"/>
    <w:rsid w:val="00B86E91"/>
    <w:rsid w:val="00B9194F"/>
    <w:rsid w:val="00BB027B"/>
    <w:rsid w:val="00BB69F5"/>
    <w:rsid w:val="00BB7EC3"/>
    <w:rsid w:val="00BC1DFE"/>
    <w:rsid w:val="00BC4B9A"/>
    <w:rsid w:val="00BC78A7"/>
    <w:rsid w:val="00BD2EC6"/>
    <w:rsid w:val="00BD784C"/>
    <w:rsid w:val="00BE2658"/>
    <w:rsid w:val="00BE4176"/>
    <w:rsid w:val="00BE554C"/>
    <w:rsid w:val="00BE6522"/>
    <w:rsid w:val="00BE7560"/>
    <w:rsid w:val="00BF4CB6"/>
    <w:rsid w:val="00C00DA7"/>
    <w:rsid w:val="00C12768"/>
    <w:rsid w:val="00C27B58"/>
    <w:rsid w:val="00C33CCB"/>
    <w:rsid w:val="00C35996"/>
    <w:rsid w:val="00C459B5"/>
    <w:rsid w:val="00C5342C"/>
    <w:rsid w:val="00C603D4"/>
    <w:rsid w:val="00C60B4B"/>
    <w:rsid w:val="00C6256A"/>
    <w:rsid w:val="00C62C8D"/>
    <w:rsid w:val="00C66EFE"/>
    <w:rsid w:val="00C91449"/>
    <w:rsid w:val="00C92D10"/>
    <w:rsid w:val="00C953C5"/>
    <w:rsid w:val="00CB6F5A"/>
    <w:rsid w:val="00CC0090"/>
    <w:rsid w:val="00CD5408"/>
    <w:rsid w:val="00CE10C4"/>
    <w:rsid w:val="00CE27B5"/>
    <w:rsid w:val="00CE76C9"/>
    <w:rsid w:val="00D00EF4"/>
    <w:rsid w:val="00D02643"/>
    <w:rsid w:val="00D0321E"/>
    <w:rsid w:val="00D05EAC"/>
    <w:rsid w:val="00D105C2"/>
    <w:rsid w:val="00D116E9"/>
    <w:rsid w:val="00D1455A"/>
    <w:rsid w:val="00D25AEF"/>
    <w:rsid w:val="00D3138B"/>
    <w:rsid w:val="00D3280C"/>
    <w:rsid w:val="00D33C92"/>
    <w:rsid w:val="00D3406A"/>
    <w:rsid w:val="00D469B2"/>
    <w:rsid w:val="00D741EB"/>
    <w:rsid w:val="00D76066"/>
    <w:rsid w:val="00D83605"/>
    <w:rsid w:val="00D84934"/>
    <w:rsid w:val="00D91271"/>
    <w:rsid w:val="00D9447B"/>
    <w:rsid w:val="00DA2CB5"/>
    <w:rsid w:val="00DA4BAC"/>
    <w:rsid w:val="00DD20F8"/>
    <w:rsid w:val="00DE1CF3"/>
    <w:rsid w:val="00DE6D27"/>
    <w:rsid w:val="00DE6EA0"/>
    <w:rsid w:val="00DF217D"/>
    <w:rsid w:val="00DF26A7"/>
    <w:rsid w:val="00E15627"/>
    <w:rsid w:val="00E164B3"/>
    <w:rsid w:val="00E16910"/>
    <w:rsid w:val="00E32B09"/>
    <w:rsid w:val="00E35A6D"/>
    <w:rsid w:val="00E52680"/>
    <w:rsid w:val="00E54E6E"/>
    <w:rsid w:val="00E65E54"/>
    <w:rsid w:val="00E75AAB"/>
    <w:rsid w:val="00E80155"/>
    <w:rsid w:val="00E848C0"/>
    <w:rsid w:val="00E9093F"/>
    <w:rsid w:val="00E91B96"/>
    <w:rsid w:val="00E941A1"/>
    <w:rsid w:val="00E95CE3"/>
    <w:rsid w:val="00E97282"/>
    <w:rsid w:val="00EA26C1"/>
    <w:rsid w:val="00EA2825"/>
    <w:rsid w:val="00EB5088"/>
    <w:rsid w:val="00EC4FE2"/>
    <w:rsid w:val="00ED1644"/>
    <w:rsid w:val="00ED2593"/>
    <w:rsid w:val="00EE4316"/>
    <w:rsid w:val="00EE64FD"/>
    <w:rsid w:val="00EE670C"/>
    <w:rsid w:val="00EF44A0"/>
    <w:rsid w:val="00EF4FED"/>
    <w:rsid w:val="00EF6085"/>
    <w:rsid w:val="00F04987"/>
    <w:rsid w:val="00F050BD"/>
    <w:rsid w:val="00F05657"/>
    <w:rsid w:val="00F11C75"/>
    <w:rsid w:val="00F15B54"/>
    <w:rsid w:val="00F22032"/>
    <w:rsid w:val="00F2262F"/>
    <w:rsid w:val="00F25578"/>
    <w:rsid w:val="00F258E5"/>
    <w:rsid w:val="00F300BC"/>
    <w:rsid w:val="00F3334E"/>
    <w:rsid w:val="00F36CCB"/>
    <w:rsid w:val="00F50EC4"/>
    <w:rsid w:val="00F57A6D"/>
    <w:rsid w:val="00F638CC"/>
    <w:rsid w:val="00F64CC1"/>
    <w:rsid w:val="00F8247A"/>
    <w:rsid w:val="00F9629A"/>
    <w:rsid w:val="00F97689"/>
    <w:rsid w:val="00FA5883"/>
    <w:rsid w:val="00FA6055"/>
    <w:rsid w:val="00FB1E85"/>
    <w:rsid w:val="00FB322F"/>
    <w:rsid w:val="00FB442F"/>
    <w:rsid w:val="00FB46A0"/>
    <w:rsid w:val="00FC1929"/>
    <w:rsid w:val="00FC4919"/>
    <w:rsid w:val="00FC5B46"/>
    <w:rsid w:val="00FE0E94"/>
    <w:rsid w:val="00FE3B0C"/>
    <w:rsid w:val="00FF00BD"/>
    <w:rsid w:val="00FF0D19"/>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1D1326"/>
    <w:pPr>
      <w:keepNext/>
      <w:outlineLvl w:val="1"/>
    </w:pPr>
    <w:rPr>
      <w:rFonts w:ascii="Calibri" w:hAnsi="Calibr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5A2ED8"/>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5A2ED8"/>
    <w:rPr>
      <w:rFonts w:asciiTheme="minorHAnsi" w:hAnsiTheme="minorHAnsi" w:cs="Arial"/>
      <w:snapToGrid w:val="0"/>
      <w:sz w:val="24"/>
      <w:lang w:eastAsia="en-US"/>
    </w:rPr>
  </w:style>
  <w:style w:type="paragraph" w:customStyle="1" w:styleId="PBACHeading1">
    <w:name w:val="PBAC Heading 1"/>
    <w:qFormat/>
    <w:rsid w:val="005A2ED8"/>
    <w:pPr>
      <w:numPr>
        <w:numId w:val="5"/>
      </w:numPr>
      <w:outlineLvl w:val="0"/>
    </w:pPr>
    <w:rPr>
      <w:rFonts w:asciiTheme="minorHAnsi" w:hAnsiTheme="minorHAnsi" w:cs="Arial"/>
      <w:b/>
      <w:snapToGrid w:val="0"/>
      <w:sz w:val="32"/>
      <w:szCs w:val="22"/>
      <w:lang w:eastAsia="en-US"/>
    </w:rPr>
  </w:style>
  <w:style w:type="paragraph" w:customStyle="1" w:styleId="TableText0">
    <w:name w:val="TableText"/>
    <w:basedOn w:val="Normal"/>
    <w:link w:val="TableTextChar"/>
    <w:qFormat/>
    <w:rsid w:val="00EE4316"/>
    <w:pPr>
      <w:keepNext/>
      <w:spacing w:line="264" w:lineRule="auto"/>
    </w:pPr>
    <w:rPr>
      <w:rFonts w:ascii="Arial Narrow" w:hAnsi="Arial Narrow" w:cs="Arial Narrow"/>
      <w:sz w:val="22"/>
      <w:szCs w:val="22"/>
      <w:lang w:eastAsia="en-US" w:bidi="en-US"/>
    </w:rPr>
  </w:style>
  <w:style w:type="character" w:customStyle="1" w:styleId="TableTextChar">
    <w:name w:val="TableText Char"/>
    <w:link w:val="TableText0"/>
    <w:rsid w:val="00EE4316"/>
    <w:rPr>
      <w:rFonts w:ascii="Arial Narrow" w:hAnsi="Arial Narrow" w:cs="Arial Narrow"/>
      <w:sz w:val="22"/>
      <w:szCs w:val="22"/>
      <w:lang w:eastAsia="en-US" w:bidi="en-US"/>
    </w:rPr>
  </w:style>
  <w:style w:type="paragraph" w:customStyle="1" w:styleId="TableFooter">
    <w:name w:val="Table Footer"/>
    <w:basedOn w:val="Normal"/>
    <w:qFormat/>
    <w:rsid w:val="00EE4316"/>
    <w:pPr>
      <w:widowControl w:val="0"/>
      <w:jc w:val="both"/>
    </w:pPr>
    <w:rPr>
      <w:rFonts w:ascii="Arial Narrow" w:hAnsi="Arial Narrow" w:cs="Arial"/>
      <w:snapToGrid w:val="0"/>
      <w:sz w:val="18"/>
      <w:szCs w:val="20"/>
      <w:lang w:eastAsia="en-US"/>
    </w:rPr>
  </w:style>
  <w:style w:type="character" w:customStyle="1" w:styleId="Heading2Char">
    <w:name w:val="Heading 2 Char"/>
    <w:basedOn w:val="DefaultParagraphFont"/>
    <w:link w:val="Heading2"/>
    <w:rsid w:val="001D1326"/>
    <w:rPr>
      <w:rFonts w:ascii="Calibri" w:hAnsi="Calibri"/>
      <w:b/>
      <w:i/>
      <w:sz w:val="28"/>
      <w:szCs w:val="24"/>
    </w:rPr>
  </w:style>
  <w:style w:type="paragraph" w:styleId="Caption">
    <w:name w:val="caption"/>
    <w:basedOn w:val="Normal"/>
    <w:next w:val="Normal"/>
    <w:unhideWhenUsed/>
    <w:qFormat/>
    <w:rsid w:val="00EC4FE2"/>
    <w:rPr>
      <w:rFonts w:ascii="Arial Narrow" w:hAnsi="Arial Narrow" w:cs="Arial"/>
      <w:b/>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1D1326"/>
    <w:pPr>
      <w:keepNext/>
      <w:outlineLvl w:val="1"/>
    </w:pPr>
    <w:rPr>
      <w:rFonts w:ascii="Calibri" w:hAnsi="Calibr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5A2ED8"/>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5A2ED8"/>
    <w:rPr>
      <w:rFonts w:asciiTheme="minorHAnsi" w:hAnsiTheme="minorHAnsi" w:cs="Arial"/>
      <w:snapToGrid w:val="0"/>
      <w:sz w:val="24"/>
      <w:lang w:eastAsia="en-US"/>
    </w:rPr>
  </w:style>
  <w:style w:type="paragraph" w:customStyle="1" w:styleId="PBACHeading1">
    <w:name w:val="PBAC Heading 1"/>
    <w:qFormat/>
    <w:rsid w:val="005A2ED8"/>
    <w:pPr>
      <w:numPr>
        <w:numId w:val="5"/>
      </w:numPr>
      <w:outlineLvl w:val="0"/>
    </w:pPr>
    <w:rPr>
      <w:rFonts w:asciiTheme="minorHAnsi" w:hAnsiTheme="minorHAnsi" w:cs="Arial"/>
      <w:b/>
      <w:snapToGrid w:val="0"/>
      <w:sz w:val="32"/>
      <w:szCs w:val="22"/>
      <w:lang w:eastAsia="en-US"/>
    </w:rPr>
  </w:style>
  <w:style w:type="paragraph" w:customStyle="1" w:styleId="TableText0">
    <w:name w:val="TableText"/>
    <w:basedOn w:val="Normal"/>
    <w:link w:val="TableTextChar"/>
    <w:qFormat/>
    <w:rsid w:val="00EE4316"/>
    <w:pPr>
      <w:keepNext/>
      <w:spacing w:line="264" w:lineRule="auto"/>
    </w:pPr>
    <w:rPr>
      <w:rFonts w:ascii="Arial Narrow" w:hAnsi="Arial Narrow" w:cs="Arial Narrow"/>
      <w:sz w:val="22"/>
      <w:szCs w:val="22"/>
      <w:lang w:eastAsia="en-US" w:bidi="en-US"/>
    </w:rPr>
  </w:style>
  <w:style w:type="character" w:customStyle="1" w:styleId="TableTextChar">
    <w:name w:val="TableText Char"/>
    <w:link w:val="TableText0"/>
    <w:rsid w:val="00EE4316"/>
    <w:rPr>
      <w:rFonts w:ascii="Arial Narrow" w:hAnsi="Arial Narrow" w:cs="Arial Narrow"/>
      <w:sz w:val="22"/>
      <w:szCs w:val="22"/>
      <w:lang w:eastAsia="en-US" w:bidi="en-US"/>
    </w:rPr>
  </w:style>
  <w:style w:type="paragraph" w:customStyle="1" w:styleId="TableFooter">
    <w:name w:val="Table Footer"/>
    <w:basedOn w:val="Normal"/>
    <w:qFormat/>
    <w:rsid w:val="00EE4316"/>
    <w:pPr>
      <w:widowControl w:val="0"/>
      <w:jc w:val="both"/>
    </w:pPr>
    <w:rPr>
      <w:rFonts w:ascii="Arial Narrow" w:hAnsi="Arial Narrow" w:cs="Arial"/>
      <w:snapToGrid w:val="0"/>
      <w:sz w:val="18"/>
      <w:szCs w:val="20"/>
      <w:lang w:eastAsia="en-US"/>
    </w:rPr>
  </w:style>
  <w:style w:type="character" w:customStyle="1" w:styleId="Heading2Char">
    <w:name w:val="Heading 2 Char"/>
    <w:basedOn w:val="DefaultParagraphFont"/>
    <w:link w:val="Heading2"/>
    <w:rsid w:val="001D1326"/>
    <w:rPr>
      <w:rFonts w:ascii="Calibri" w:hAnsi="Calibri"/>
      <w:b/>
      <w:i/>
      <w:sz w:val="28"/>
      <w:szCs w:val="24"/>
    </w:rPr>
  </w:style>
  <w:style w:type="paragraph" w:styleId="Caption">
    <w:name w:val="caption"/>
    <w:basedOn w:val="Normal"/>
    <w:next w:val="Normal"/>
    <w:unhideWhenUsed/>
    <w:qFormat/>
    <w:rsid w:val="00EC4FE2"/>
    <w:rPr>
      <w:rFonts w:ascii="Arial Narrow" w:hAnsi="Arial Narrow" w:cs="Arial"/>
      <w:b/>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431B-80A4-495F-A8B8-0A367637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2017-10-09T01:29:00Z</dcterms:created>
  <dcterms:modified xsi:type="dcterms:W3CDTF">2017-10-09T01:30:00Z</dcterms:modified>
</cp:coreProperties>
</file>