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2E" w:rsidRPr="003A2EA3" w:rsidRDefault="00FE352E" w:rsidP="00DF0AC6">
      <w:pPr>
        <w:pStyle w:val="Title"/>
        <w:rPr>
          <w:rFonts w:asciiTheme="minorHAnsi" w:hAnsiTheme="minorHAnsi"/>
          <w:b w:val="0"/>
          <w:sz w:val="24"/>
          <w:szCs w:val="24"/>
        </w:rPr>
      </w:pPr>
    </w:p>
    <w:p w:rsidR="00C427AA" w:rsidRPr="003A2EA3" w:rsidRDefault="00C427AA" w:rsidP="00CA3230">
      <w:pPr>
        <w:pStyle w:val="Title"/>
        <w:ind w:left="1440" w:hanging="1440"/>
        <w:rPr>
          <w:rFonts w:asciiTheme="minorHAnsi" w:hAnsiTheme="minorHAnsi"/>
          <w:sz w:val="36"/>
          <w:szCs w:val="36"/>
        </w:rPr>
      </w:pPr>
      <w:r w:rsidRPr="003A2EA3">
        <w:rPr>
          <w:rFonts w:asciiTheme="minorHAnsi" w:hAnsiTheme="minorHAnsi"/>
          <w:sz w:val="36"/>
          <w:szCs w:val="36"/>
        </w:rPr>
        <w:t>4.06</w:t>
      </w:r>
      <w:r w:rsidR="007C0F57" w:rsidRPr="003A2EA3">
        <w:rPr>
          <w:rFonts w:asciiTheme="minorHAnsi" w:hAnsiTheme="minorHAnsi"/>
          <w:sz w:val="36"/>
          <w:szCs w:val="36"/>
        </w:rPr>
        <w:tab/>
      </w:r>
      <w:r w:rsidRPr="003A2EA3">
        <w:rPr>
          <w:rFonts w:asciiTheme="minorHAnsi" w:hAnsiTheme="minorHAnsi"/>
          <w:sz w:val="36"/>
          <w:szCs w:val="36"/>
        </w:rPr>
        <w:t>VENETOCLAX</w:t>
      </w:r>
      <w:r w:rsidR="008A50F1" w:rsidRPr="003A2EA3">
        <w:rPr>
          <w:rFonts w:asciiTheme="minorHAnsi" w:hAnsiTheme="minorHAnsi"/>
          <w:sz w:val="36"/>
          <w:szCs w:val="36"/>
        </w:rPr>
        <w:br/>
      </w:r>
      <w:r w:rsidRPr="003A2EA3">
        <w:rPr>
          <w:rFonts w:asciiTheme="minorHAnsi" w:hAnsiTheme="minorHAnsi"/>
          <w:sz w:val="36"/>
          <w:szCs w:val="36"/>
        </w:rPr>
        <w:t>Tablet 10 mg, 50 mg and 100 mg,</w:t>
      </w:r>
    </w:p>
    <w:p w:rsidR="00D3280C" w:rsidRPr="003A2EA3" w:rsidRDefault="00C427AA" w:rsidP="00CA3230">
      <w:pPr>
        <w:pStyle w:val="Title"/>
        <w:ind w:left="720" w:firstLine="720"/>
        <w:rPr>
          <w:rFonts w:asciiTheme="minorHAnsi" w:hAnsiTheme="minorHAnsi"/>
          <w:sz w:val="36"/>
          <w:szCs w:val="36"/>
        </w:rPr>
      </w:pPr>
      <w:proofErr w:type="spellStart"/>
      <w:proofErr w:type="gramStart"/>
      <w:r w:rsidRPr="003A2EA3">
        <w:rPr>
          <w:rFonts w:asciiTheme="minorHAnsi" w:hAnsiTheme="minorHAnsi"/>
          <w:sz w:val="36"/>
          <w:szCs w:val="36"/>
        </w:rPr>
        <w:t>Venclexta</w:t>
      </w:r>
      <w:proofErr w:type="spellEnd"/>
      <w:r w:rsidRPr="003A2EA3">
        <w:rPr>
          <w:rFonts w:asciiTheme="minorHAnsi" w:hAnsiTheme="minorHAnsi"/>
          <w:sz w:val="36"/>
          <w:szCs w:val="36"/>
        </w:rPr>
        <w:t>®, AbbVie Pty Ltd.</w:t>
      </w:r>
      <w:proofErr w:type="gramEnd"/>
    </w:p>
    <w:p w:rsidR="00C27B58" w:rsidRPr="003A2EA3" w:rsidRDefault="00C27B58" w:rsidP="00C27B58">
      <w:pPr>
        <w:pStyle w:val="NoSpacing"/>
        <w:rPr>
          <w:rFonts w:asciiTheme="minorHAnsi" w:hAnsiTheme="minorHAnsi"/>
          <w:sz w:val="24"/>
          <w:szCs w:val="24"/>
        </w:rPr>
      </w:pPr>
    </w:p>
    <w:p w:rsidR="00E15627" w:rsidRPr="003A2EA3" w:rsidRDefault="00CE10C4" w:rsidP="00E15627">
      <w:pPr>
        <w:pStyle w:val="PBACHeading1"/>
        <w:rPr>
          <w:rFonts w:asciiTheme="minorHAnsi" w:hAnsiTheme="minorHAnsi"/>
          <w:sz w:val="32"/>
          <w:szCs w:val="32"/>
        </w:rPr>
      </w:pPr>
      <w:r w:rsidRPr="003A2EA3">
        <w:rPr>
          <w:rFonts w:asciiTheme="minorHAnsi" w:hAnsiTheme="minorHAnsi"/>
          <w:sz w:val="32"/>
          <w:szCs w:val="32"/>
        </w:rPr>
        <w:t xml:space="preserve">Purpose of </w:t>
      </w:r>
      <w:r w:rsidR="0004240E" w:rsidRPr="003A2EA3">
        <w:rPr>
          <w:rFonts w:asciiTheme="minorHAnsi" w:hAnsiTheme="minorHAnsi"/>
          <w:sz w:val="32"/>
          <w:szCs w:val="32"/>
        </w:rPr>
        <w:t>Application</w:t>
      </w:r>
    </w:p>
    <w:p w:rsidR="008A50F1" w:rsidRPr="003A2EA3" w:rsidRDefault="008A50F1" w:rsidP="00E15627">
      <w:pPr>
        <w:rPr>
          <w:rFonts w:asciiTheme="minorHAnsi" w:hAnsiTheme="minorHAnsi"/>
        </w:rPr>
      </w:pPr>
    </w:p>
    <w:p w:rsidR="00F9629A" w:rsidRPr="003A2EA3" w:rsidRDefault="00EF44A0" w:rsidP="00C427AA">
      <w:pPr>
        <w:pStyle w:val="ListParagraph"/>
        <w:numPr>
          <w:ilvl w:val="1"/>
          <w:numId w:val="5"/>
        </w:numPr>
        <w:rPr>
          <w:rFonts w:asciiTheme="minorHAnsi" w:hAnsiTheme="minorHAnsi"/>
          <w:sz w:val="24"/>
          <w:szCs w:val="24"/>
        </w:rPr>
      </w:pPr>
      <w:r w:rsidRPr="003A2EA3">
        <w:rPr>
          <w:rFonts w:asciiTheme="minorHAnsi" w:hAnsiTheme="minorHAnsi"/>
          <w:sz w:val="24"/>
          <w:szCs w:val="24"/>
        </w:rPr>
        <w:t>The mi</w:t>
      </w:r>
      <w:r w:rsidR="00FF2801" w:rsidRPr="003A2EA3">
        <w:rPr>
          <w:rFonts w:asciiTheme="minorHAnsi" w:hAnsiTheme="minorHAnsi"/>
          <w:sz w:val="24"/>
          <w:szCs w:val="24"/>
        </w:rPr>
        <w:t xml:space="preserve">nor </w:t>
      </w:r>
      <w:r w:rsidR="00C427AA" w:rsidRPr="003A2EA3">
        <w:rPr>
          <w:rFonts w:asciiTheme="minorHAnsi" w:hAnsiTheme="minorHAnsi"/>
          <w:sz w:val="24"/>
          <w:szCs w:val="24"/>
        </w:rPr>
        <w:t>re</w:t>
      </w:r>
      <w:r w:rsidR="00FF2801" w:rsidRPr="003A2EA3">
        <w:rPr>
          <w:rFonts w:asciiTheme="minorHAnsi" w:hAnsiTheme="minorHAnsi"/>
          <w:sz w:val="24"/>
          <w:szCs w:val="24"/>
        </w:rPr>
        <w:t>submission</w:t>
      </w:r>
      <w:r w:rsidR="00C427AA" w:rsidRPr="003A2EA3">
        <w:rPr>
          <w:sz w:val="24"/>
          <w:szCs w:val="24"/>
        </w:rPr>
        <w:t xml:space="preserve"> </w:t>
      </w:r>
      <w:r w:rsidR="00C427AA" w:rsidRPr="003A2EA3">
        <w:rPr>
          <w:rFonts w:asciiTheme="minorHAnsi" w:hAnsiTheme="minorHAnsi"/>
          <w:sz w:val="24"/>
          <w:szCs w:val="24"/>
        </w:rPr>
        <w:t xml:space="preserve">requested a Section 85 Authority Required PBS listing for </w:t>
      </w:r>
      <w:proofErr w:type="spellStart"/>
      <w:r w:rsidR="00C427AA" w:rsidRPr="003A2EA3">
        <w:rPr>
          <w:rFonts w:asciiTheme="minorHAnsi" w:hAnsiTheme="minorHAnsi"/>
          <w:sz w:val="24"/>
          <w:szCs w:val="24"/>
        </w:rPr>
        <w:t>venetoclax</w:t>
      </w:r>
      <w:proofErr w:type="spellEnd"/>
      <w:r w:rsidR="00C427AA" w:rsidRPr="003A2EA3">
        <w:rPr>
          <w:rFonts w:asciiTheme="minorHAnsi" w:hAnsiTheme="minorHAnsi"/>
          <w:sz w:val="24"/>
          <w:szCs w:val="24"/>
        </w:rPr>
        <w:t xml:space="preserve"> for the treatment of relapsed</w:t>
      </w:r>
      <w:r w:rsidR="00DF0AC6" w:rsidRPr="003A2EA3">
        <w:rPr>
          <w:rFonts w:asciiTheme="minorHAnsi" w:hAnsiTheme="minorHAnsi"/>
          <w:sz w:val="24"/>
          <w:szCs w:val="24"/>
        </w:rPr>
        <w:t xml:space="preserve"> or </w:t>
      </w:r>
      <w:r w:rsidR="00C427AA" w:rsidRPr="003A2EA3">
        <w:rPr>
          <w:rFonts w:asciiTheme="minorHAnsi" w:hAnsiTheme="minorHAnsi"/>
          <w:sz w:val="24"/>
          <w:szCs w:val="24"/>
        </w:rPr>
        <w:t>refractory chronic lymphocytic leukaemia (CLL) in patients with 17p deletion and patients with highly refractory disease</w:t>
      </w:r>
      <w:r w:rsidR="00A3481F" w:rsidRPr="003A2EA3">
        <w:rPr>
          <w:rFonts w:asciiTheme="minorHAnsi" w:hAnsiTheme="minorHAnsi"/>
          <w:sz w:val="24"/>
          <w:szCs w:val="24"/>
        </w:rPr>
        <w:t>.</w:t>
      </w:r>
    </w:p>
    <w:p w:rsidR="00EF44A0" w:rsidRPr="003A2EA3" w:rsidRDefault="00EF44A0" w:rsidP="00C27B58">
      <w:pPr>
        <w:pStyle w:val="NoSpacing"/>
        <w:rPr>
          <w:rFonts w:asciiTheme="minorHAnsi" w:hAnsiTheme="minorHAnsi"/>
          <w:sz w:val="24"/>
          <w:szCs w:val="24"/>
        </w:rPr>
      </w:pPr>
    </w:p>
    <w:p w:rsidR="00C427AA" w:rsidRPr="003A2EA3" w:rsidRDefault="00C427AA" w:rsidP="00C27B58">
      <w:pPr>
        <w:pStyle w:val="NoSpacing"/>
        <w:rPr>
          <w:rFonts w:asciiTheme="minorHAnsi" w:hAnsiTheme="minorHAnsi"/>
          <w:sz w:val="24"/>
          <w:szCs w:val="24"/>
        </w:rPr>
      </w:pPr>
    </w:p>
    <w:p w:rsidR="00962223" w:rsidRPr="003A2EA3" w:rsidRDefault="006A12A5" w:rsidP="008A50F1">
      <w:pPr>
        <w:pStyle w:val="PBACHeading1"/>
        <w:rPr>
          <w:rFonts w:asciiTheme="minorHAnsi" w:hAnsiTheme="minorHAnsi"/>
          <w:sz w:val="32"/>
          <w:szCs w:val="32"/>
        </w:rPr>
      </w:pPr>
      <w:r w:rsidRPr="003A2EA3">
        <w:rPr>
          <w:rFonts w:asciiTheme="minorHAnsi" w:hAnsiTheme="minorHAnsi"/>
          <w:sz w:val="32"/>
          <w:szCs w:val="32"/>
        </w:rPr>
        <w:t>Requested listing</w:t>
      </w:r>
    </w:p>
    <w:p w:rsidR="006A12A5" w:rsidRPr="003A2EA3" w:rsidRDefault="006A12A5" w:rsidP="00882085">
      <w:pPr>
        <w:jc w:val="both"/>
        <w:rPr>
          <w:rFonts w:asciiTheme="minorHAnsi" w:hAnsiTheme="minorHAnsi"/>
        </w:rPr>
      </w:pPr>
    </w:p>
    <w:p w:rsidR="00826F6D" w:rsidRPr="003A2EA3" w:rsidRDefault="00EF44A0" w:rsidP="00186C95">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581E8C" w:rsidRPr="003A2EA3">
        <w:rPr>
          <w:rFonts w:asciiTheme="minorHAnsi" w:hAnsiTheme="minorHAnsi"/>
          <w:sz w:val="24"/>
          <w:szCs w:val="24"/>
        </w:rPr>
        <w:t>re</w:t>
      </w:r>
      <w:r w:rsidRPr="003A2EA3">
        <w:rPr>
          <w:rFonts w:asciiTheme="minorHAnsi" w:hAnsiTheme="minorHAnsi"/>
          <w:sz w:val="24"/>
          <w:szCs w:val="24"/>
        </w:rPr>
        <w:t xml:space="preserve">submission </w:t>
      </w:r>
      <w:r w:rsidR="00FF2801" w:rsidRPr="003A2EA3">
        <w:rPr>
          <w:rFonts w:asciiTheme="minorHAnsi" w:hAnsiTheme="minorHAnsi"/>
          <w:sz w:val="24"/>
          <w:szCs w:val="24"/>
        </w:rPr>
        <w:t>requested</w:t>
      </w:r>
      <w:r w:rsidRPr="003A2EA3">
        <w:rPr>
          <w:rFonts w:asciiTheme="minorHAnsi" w:hAnsiTheme="minorHAnsi"/>
          <w:sz w:val="24"/>
          <w:szCs w:val="24"/>
        </w:rPr>
        <w:t xml:space="preserve"> the following </w:t>
      </w:r>
      <w:r w:rsidR="0076420C" w:rsidRPr="003A2EA3">
        <w:rPr>
          <w:rFonts w:asciiTheme="minorHAnsi" w:hAnsiTheme="minorHAnsi"/>
          <w:sz w:val="24"/>
          <w:szCs w:val="24"/>
        </w:rPr>
        <w:t xml:space="preserve">new </w:t>
      </w:r>
      <w:r w:rsidR="00581E8C" w:rsidRPr="003A2EA3">
        <w:rPr>
          <w:rFonts w:asciiTheme="minorHAnsi" w:hAnsiTheme="minorHAnsi"/>
          <w:sz w:val="24"/>
          <w:szCs w:val="24"/>
        </w:rPr>
        <w:t xml:space="preserve">PBS </w:t>
      </w:r>
      <w:r w:rsidR="00186C95" w:rsidRPr="003A2EA3">
        <w:rPr>
          <w:rFonts w:asciiTheme="minorHAnsi" w:hAnsiTheme="minorHAnsi"/>
          <w:sz w:val="24"/>
          <w:szCs w:val="24"/>
        </w:rPr>
        <w:t xml:space="preserve">listing, the Secretariat suggestions and additions are in italics and in strikethrough for deletions. </w:t>
      </w:r>
    </w:p>
    <w:p w:rsidR="00CD475E" w:rsidRPr="003A2EA3" w:rsidRDefault="00CD475E" w:rsidP="00CD475E">
      <w:pPr>
        <w:rPr>
          <w:rFonts w:asciiTheme="minorHAnsi" w:hAnsiTheme="minorHAnsi"/>
        </w:rPr>
      </w:pPr>
    </w:p>
    <w:tbl>
      <w:tblPr>
        <w:tblW w:w="5000" w:type="pct"/>
        <w:tblCellMar>
          <w:left w:w="28" w:type="dxa"/>
          <w:right w:w="28" w:type="dxa"/>
        </w:tblCellMar>
        <w:tblLook w:val="0000" w:firstRow="0" w:lastRow="0" w:firstColumn="0" w:lastColumn="0" w:noHBand="0" w:noVBand="0"/>
      </w:tblPr>
      <w:tblGrid>
        <w:gridCol w:w="3196"/>
        <w:gridCol w:w="518"/>
        <w:gridCol w:w="903"/>
        <w:gridCol w:w="1419"/>
        <w:gridCol w:w="1524"/>
        <w:gridCol w:w="1522"/>
      </w:tblGrid>
      <w:tr w:rsidR="00AF2405" w:rsidRPr="003A2EA3" w:rsidTr="003D101E">
        <w:trPr>
          <w:cantSplit/>
          <w:trHeight w:val="463"/>
        </w:trPr>
        <w:tc>
          <w:tcPr>
            <w:tcW w:w="1760" w:type="pct"/>
            <w:tcBorders>
              <w:bottom w:val="single" w:sz="4" w:space="0" w:color="auto"/>
            </w:tcBorders>
            <w:vAlign w:val="center"/>
          </w:tcPr>
          <w:p w:rsidR="00AF2405" w:rsidRPr="003A2EA3" w:rsidRDefault="00AF2405" w:rsidP="009F015F">
            <w:pPr>
              <w:keepNext/>
              <w:rPr>
                <w:rFonts w:ascii="Arial Narrow" w:hAnsi="Arial Narrow"/>
                <w:sz w:val="20"/>
              </w:rPr>
            </w:pPr>
            <w:r w:rsidRPr="003A2EA3">
              <w:rPr>
                <w:rFonts w:ascii="Arial Narrow" w:hAnsi="Arial Narrow"/>
                <w:sz w:val="20"/>
              </w:rPr>
              <w:t>Name, Restriction,</w:t>
            </w:r>
          </w:p>
          <w:p w:rsidR="00AF2405" w:rsidRPr="003A2EA3" w:rsidRDefault="00AF2405" w:rsidP="009F015F">
            <w:pPr>
              <w:keepNext/>
              <w:rPr>
                <w:rFonts w:ascii="Arial Narrow" w:hAnsi="Arial Narrow"/>
                <w:sz w:val="20"/>
              </w:rPr>
            </w:pPr>
            <w:r w:rsidRPr="003A2EA3">
              <w:rPr>
                <w:rFonts w:ascii="Arial Narrow" w:hAnsi="Arial Narrow"/>
                <w:sz w:val="20"/>
              </w:rPr>
              <w:t>Manner of administration and form</w:t>
            </w:r>
          </w:p>
        </w:tc>
        <w:tc>
          <w:tcPr>
            <w:tcW w:w="285" w:type="pct"/>
            <w:tcBorders>
              <w:bottom w:val="single" w:sz="4" w:space="0" w:color="auto"/>
            </w:tcBorders>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Max.</w:t>
            </w:r>
          </w:p>
          <w:p w:rsidR="00AF2405" w:rsidRPr="003A2EA3" w:rsidRDefault="00AF2405" w:rsidP="009F015F">
            <w:pPr>
              <w:keepNext/>
              <w:jc w:val="center"/>
              <w:rPr>
                <w:rFonts w:ascii="Arial Narrow" w:hAnsi="Arial Narrow"/>
                <w:sz w:val="20"/>
              </w:rPr>
            </w:pPr>
            <w:proofErr w:type="spellStart"/>
            <w:r w:rsidRPr="003A2EA3">
              <w:rPr>
                <w:rFonts w:ascii="Arial Narrow" w:hAnsi="Arial Narrow"/>
                <w:sz w:val="20"/>
              </w:rPr>
              <w:t>Qty</w:t>
            </w:r>
            <w:proofErr w:type="spellEnd"/>
          </w:p>
        </w:tc>
        <w:tc>
          <w:tcPr>
            <w:tcW w:w="497" w:type="pct"/>
            <w:tcBorders>
              <w:bottom w:val="single" w:sz="4" w:space="0" w:color="auto"/>
            </w:tcBorders>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№.of</w:t>
            </w:r>
          </w:p>
          <w:p w:rsidR="00AF2405" w:rsidRPr="003A2EA3" w:rsidRDefault="00AF2405" w:rsidP="009F015F">
            <w:pPr>
              <w:keepNext/>
              <w:jc w:val="center"/>
              <w:rPr>
                <w:rFonts w:ascii="Arial Narrow" w:hAnsi="Arial Narrow"/>
                <w:sz w:val="20"/>
              </w:rPr>
            </w:pPr>
            <w:proofErr w:type="spellStart"/>
            <w:r w:rsidRPr="003A2EA3">
              <w:rPr>
                <w:rFonts w:ascii="Arial Narrow" w:hAnsi="Arial Narrow"/>
                <w:sz w:val="20"/>
              </w:rPr>
              <w:t>Rpts</w:t>
            </w:r>
            <w:proofErr w:type="spellEnd"/>
          </w:p>
        </w:tc>
        <w:tc>
          <w:tcPr>
            <w:tcW w:w="781" w:type="pct"/>
            <w:tcBorders>
              <w:bottom w:val="single" w:sz="4" w:space="0" w:color="auto"/>
            </w:tcBorders>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 xml:space="preserve">Published (Effective) </w:t>
            </w:r>
          </w:p>
          <w:p w:rsidR="00AF2405" w:rsidRPr="003A2EA3" w:rsidRDefault="00AF2405" w:rsidP="009F015F">
            <w:pPr>
              <w:keepNext/>
              <w:jc w:val="center"/>
              <w:rPr>
                <w:rFonts w:ascii="Arial Narrow" w:hAnsi="Arial Narrow"/>
                <w:sz w:val="20"/>
              </w:rPr>
            </w:pPr>
            <w:r w:rsidRPr="003A2EA3">
              <w:rPr>
                <w:rFonts w:ascii="Arial Narrow" w:hAnsi="Arial Narrow"/>
                <w:sz w:val="20"/>
              </w:rPr>
              <w:t>DPMQ</w:t>
            </w:r>
          </w:p>
        </w:tc>
        <w:tc>
          <w:tcPr>
            <w:tcW w:w="839" w:type="pct"/>
            <w:tcBorders>
              <w:bottom w:val="single" w:sz="4" w:space="0" w:color="auto"/>
            </w:tcBorders>
            <w:vAlign w:val="center"/>
          </w:tcPr>
          <w:p w:rsidR="00AF2405" w:rsidRPr="00D05FB9" w:rsidRDefault="00AF2405" w:rsidP="00AF2405">
            <w:pPr>
              <w:keepNext/>
              <w:jc w:val="center"/>
              <w:rPr>
                <w:rFonts w:ascii="Arial Narrow" w:hAnsi="Arial Narrow"/>
                <w:sz w:val="20"/>
              </w:rPr>
            </w:pPr>
            <w:r w:rsidRPr="003A2EA3">
              <w:rPr>
                <w:rFonts w:ascii="Arial Narrow" w:hAnsi="Arial Narrow"/>
                <w:sz w:val="20"/>
              </w:rPr>
              <w:t xml:space="preserve">Proprietary Name </w:t>
            </w:r>
          </w:p>
        </w:tc>
        <w:tc>
          <w:tcPr>
            <w:tcW w:w="838" w:type="pct"/>
            <w:tcBorders>
              <w:bottom w:val="single" w:sz="4" w:space="0" w:color="auto"/>
            </w:tcBorders>
            <w:vAlign w:val="center"/>
          </w:tcPr>
          <w:p w:rsidR="00AF2405" w:rsidRPr="00C27F96" w:rsidRDefault="00AF2405" w:rsidP="00AF2405">
            <w:pPr>
              <w:keepNext/>
              <w:jc w:val="center"/>
              <w:rPr>
                <w:rFonts w:ascii="Arial Narrow" w:hAnsi="Arial Narrow"/>
                <w:sz w:val="20"/>
              </w:rPr>
            </w:pPr>
            <w:r w:rsidRPr="003A2EA3">
              <w:rPr>
                <w:rFonts w:ascii="Arial Narrow" w:hAnsi="Arial Narrow"/>
                <w:sz w:val="20"/>
              </w:rPr>
              <w:t>Manufacturer</w:t>
            </w:r>
          </w:p>
        </w:tc>
      </w:tr>
      <w:tr w:rsidR="00AF2405" w:rsidRPr="003A2EA3" w:rsidTr="003D101E">
        <w:trPr>
          <w:cantSplit/>
          <w:trHeight w:val="567"/>
        </w:trPr>
        <w:tc>
          <w:tcPr>
            <w:tcW w:w="1760" w:type="pct"/>
            <w:tcBorders>
              <w:top w:val="single" w:sz="4" w:space="0" w:color="auto"/>
            </w:tcBorders>
            <w:vAlign w:val="center"/>
          </w:tcPr>
          <w:p w:rsidR="00AF2405" w:rsidRPr="003A2EA3" w:rsidRDefault="00AF2405" w:rsidP="009F015F">
            <w:pPr>
              <w:keepNext/>
              <w:rPr>
                <w:rFonts w:ascii="Arial Narrow" w:hAnsi="Arial Narrow"/>
                <w:sz w:val="20"/>
              </w:rPr>
            </w:pPr>
            <w:proofErr w:type="spellStart"/>
            <w:r w:rsidRPr="003A2EA3">
              <w:rPr>
                <w:rFonts w:ascii="Arial Narrow" w:hAnsi="Arial Narrow"/>
                <w:smallCaps/>
                <w:sz w:val="20"/>
              </w:rPr>
              <w:t>Venetoclax</w:t>
            </w:r>
            <w:proofErr w:type="spellEnd"/>
          </w:p>
          <w:p w:rsidR="00AF2405" w:rsidRPr="003A2EA3" w:rsidRDefault="00AF2405" w:rsidP="009F015F">
            <w:pPr>
              <w:keepNext/>
              <w:rPr>
                <w:rFonts w:ascii="Arial Narrow" w:hAnsi="Arial Narrow"/>
                <w:sz w:val="20"/>
              </w:rPr>
            </w:pPr>
            <w:r w:rsidRPr="003A2EA3">
              <w:rPr>
                <w:rFonts w:ascii="Arial Narrow" w:hAnsi="Arial Narrow"/>
                <w:sz w:val="20"/>
              </w:rPr>
              <w:t xml:space="preserve">Tablets, titration pack </w:t>
            </w:r>
            <w:r w:rsidRPr="003A2EA3">
              <w:rPr>
                <w:rFonts w:ascii="Arial Narrow" w:hAnsi="Arial Narrow"/>
                <w:sz w:val="20"/>
              </w:rPr>
              <w:br/>
              <w:t>(10 mg × 14, 50 mg × 7, 100 mg × 21)</w:t>
            </w:r>
          </w:p>
        </w:tc>
        <w:tc>
          <w:tcPr>
            <w:tcW w:w="285" w:type="pct"/>
            <w:tcBorders>
              <w:top w:val="single" w:sz="4" w:space="0" w:color="auto"/>
            </w:tcBorders>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1</w:t>
            </w:r>
          </w:p>
        </w:tc>
        <w:tc>
          <w:tcPr>
            <w:tcW w:w="497" w:type="pct"/>
            <w:tcBorders>
              <w:top w:val="single" w:sz="4" w:space="0" w:color="auto"/>
            </w:tcBorders>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0</w:t>
            </w:r>
          </w:p>
        </w:tc>
        <w:tc>
          <w:tcPr>
            <w:tcW w:w="781" w:type="pct"/>
            <w:tcBorders>
              <w:top w:val="single" w:sz="4" w:space="0" w:color="auto"/>
            </w:tcBorders>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Pr="003A2EA3">
              <w:rPr>
                <w:rFonts w:ascii="Arial Narrow" w:hAnsi="Arial Narrow"/>
                <w:sz w:val="20"/>
              </w:rPr>
              <w:t xml:space="preserve"> ($</w:t>
            </w:r>
            <w:r w:rsidR="00A5328F">
              <w:rPr>
                <w:rFonts w:ascii="Arial Narrow" w:hAnsi="Arial Narrow"/>
                <w:noProof/>
                <w:color w:val="000000"/>
                <w:sz w:val="20"/>
                <w:highlight w:val="black"/>
              </w:rPr>
              <w:t>'''''''''''''''''''''</w:t>
            </w:r>
            <w:r w:rsidRPr="003A2EA3">
              <w:rPr>
                <w:rFonts w:ascii="Arial Narrow" w:hAnsi="Arial Narrow"/>
                <w:sz w:val="20"/>
              </w:rPr>
              <w:t>)</w:t>
            </w:r>
          </w:p>
        </w:tc>
        <w:tc>
          <w:tcPr>
            <w:tcW w:w="839" w:type="pct"/>
            <w:vMerge w:val="restart"/>
            <w:tcBorders>
              <w:top w:val="single" w:sz="4" w:space="0" w:color="auto"/>
            </w:tcBorders>
            <w:vAlign w:val="center"/>
          </w:tcPr>
          <w:p w:rsidR="00AF2405" w:rsidRPr="003A2EA3" w:rsidRDefault="00AF2405" w:rsidP="009F015F">
            <w:pPr>
              <w:keepNext/>
              <w:jc w:val="center"/>
              <w:rPr>
                <w:rFonts w:ascii="Arial Narrow" w:hAnsi="Arial Narrow"/>
                <w:sz w:val="20"/>
              </w:rPr>
            </w:pPr>
            <w:proofErr w:type="spellStart"/>
            <w:r w:rsidRPr="003A2EA3">
              <w:rPr>
                <w:rFonts w:ascii="Arial Narrow" w:hAnsi="Arial Narrow"/>
                <w:sz w:val="20"/>
              </w:rPr>
              <w:t>Venclexta</w:t>
            </w:r>
            <w:proofErr w:type="spellEnd"/>
            <w:r w:rsidRPr="003A2EA3">
              <w:rPr>
                <w:rFonts w:ascii="Arial Narrow" w:hAnsi="Arial Narrow"/>
                <w:sz w:val="20"/>
              </w:rPr>
              <w:t>®</w:t>
            </w:r>
          </w:p>
        </w:tc>
        <w:tc>
          <w:tcPr>
            <w:tcW w:w="838" w:type="pct"/>
            <w:vMerge w:val="restart"/>
            <w:tcBorders>
              <w:top w:val="single" w:sz="4" w:space="0" w:color="auto"/>
            </w:tcBorders>
            <w:vAlign w:val="center"/>
          </w:tcPr>
          <w:p w:rsidR="00AF2405" w:rsidRPr="003A2EA3" w:rsidRDefault="00AF2405" w:rsidP="00AF2405">
            <w:pPr>
              <w:keepNext/>
              <w:jc w:val="center"/>
              <w:rPr>
                <w:rFonts w:ascii="Arial Narrow" w:hAnsi="Arial Narrow"/>
                <w:sz w:val="20"/>
              </w:rPr>
            </w:pPr>
            <w:r w:rsidRPr="003A2EA3">
              <w:rPr>
                <w:rFonts w:ascii="Arial Narrow" w:hAnsi="Arial Narrow"/>
                <w:sz w:val="20"/>
              </w:rPr>
              <w:t>AbbVie Pty Ltd.</w:t>
            </w:r>
          </w:p>
        </w:tc>
      </w:tr>
      <w:tr w:rsidR="00AF2405" w:rsidRPr="003A2EA3" w:rsidTr="003D101E">
        <w:trPr>
          <w:cantSplit/>
          <w:trHeight w:val="567"/>
        </w:trPr>
        <w:tc>
          <w:tcPr>
            <w:tcW w:w="1760" w:type="pct"/>
            <w:vAlign w:val="center"/>
          </w:tcPr>
          <w:p w:rsidR="00AF2405" w:rsidRPr="003A2EA3" w:rsidRDefault="00AF2405" w:rsidP="009F015F">
            <w:pPr>
              <w:keepNext/>
              <w:rPr>
                <w:rFonts w:ascii="Arial Narrow" w:hAnsi="Arial Narrow"/>
                <w:sz w:val="20"/>
              </w:rPr>
            </w:pPr>
            <w:r w:rsidRPr="003A2EA3">
              <w:rPr>
                <w:rFonts w:ascii="Arial Narrow" w:hAnsi="Arial Narrow"/>
                <w:sz w:val="20"/>
              </w:rPr>
              <w:t>Tablets, 10 mg dose hold pack</w:t>
            </w:r>
          </w:p>
          <w:p w:rsidR="00AF2405" w:rsidRPr="003A2EA3" w:rsidRDefault="00AF2405" w:rsidP="009F015F">
            <w:pPr>
              <w:keepNext/>
              <w:rPr>
                <w:rFonts w:ascii="Arial Narrow" w:hAnsi="Arial Narrow"/>
                <w:smallCaps/>
                <w:sz w:val="20"/>
              </w:rPr>
            </w:pPr>
            <w:r w:rsidRPr="003A2EA3">
              <w:rPr>
                <w:rFonts w:ascii="Arial Narrow" w:hAnsi="Arial Narrow"/>
                <w:sz w:val="20"/>
              </w:rPr>
              <w:t>(10 mg × 14)</w:t>
            </w:r>
          </w:p>
        </w:tc>
        <w:tc>
          <w:tcPr>
            <w:tcW w:w="285"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1</w:t>
            </w:r>
          </w:p>
        </w:tc>
        <w:tc>
          <w:tcPr>
            <w:tcW w:w="497"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0</w:t>
            </w:r>
          </w:p>
        </w:tc>
        <w:tc>
          <w:tcPr>
            <w:tcW w:w="781"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p>
          <w:p w:rsidR="00AF2405" w:rsidRPr="003A2EA3" w:rsidRDefault="00AF2405" w:rsidP="009F015F">
            <w:pPr>
              <w:keepNext/>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Pr="003A2EA3">
              <w:rPr>
                <w:rFonts w:ascii="Arial Narrow" w:hAnsi="Arial Narrow"/>
                <w:sz w:val="20"/>
              </w:rPr>
              <w:t>)</w:t>
            </w:r>
          </w:p>
        </w:tc>
        <w:tc>
          <w:tcPr>
            <w:tcW w:w="839" w:type="pct"/>
            <w:vMerge/>
            <w:vAlign w:val="center"/>
          </w:tcPr>
          <w:p w:rsidR="00AF2405" w:rsidRPr="003A2EA3" w:rsidRDefault="00AF2405" w:rsidP="009F015F">
            <w:pPr>
              <w:keepNext/>
              <w:jc w:val="center"/>
              <w:rPr>
                <w:rFonts w:ascii="Arial Narrow" w:hAnsi="Arial Narrow"/>
                <w:sz w:val="20"/>
              </w:rPr>
            </w:pPr>
          </w:p>
        </w:tc>
        <w:tc>
          <w:tcPr>
            <w:tcW w:w="838" w:type="pct"/>
            <w:vMerge/>
          </w:tcPr>
          <w:p w:rsidR="00AF2405" w:rsidRPr="003A2EA3" w:rsidRDefault="00AF2405" w:rsidP="009F015F">
            <w:pPr>
              <w:keepNext/>
              <w:jc w:val="center"/>
              <w:rPr>
                <w:rFonts w:ascii="Arial Narrow" w:hAnsi="Arial Narrow"/>
                <w:sz w:val="20"/>
              </w:rPr>
            </w:pPr>
          </w:p>
        </w:tc>
      </w:tr>
      <w:tr w:rsidR="00AF2405" w:rsidRPr="003A2EA3" w:rsidTr="003D101E">
        <w:trPr>
          <w:cantSplit/>
          <w:trHeight w:val="567"/>
        </w:trPr>
        <w:tc>
          <w:tcPr>
            <w:tcW w:w="1760" w:type="pct"/>
            <w:vAlign w:val="center"/>
          </w:tcPr>
          <w:p w:rsidR="00AF2405" w:rsidRPr="003A2EA3" w:rsidRDefault="00AF2405" w:rsidP="009F015F">
            <w:pPr>
              <w:keepNext/>
              <w:rPr>
                <w:rFonts w:ascii="Arial Narrow" w:hAnsi="Arial Narrow"/>
                <w:sz w:val="20"/>
              </w:rPr>
            </w:pPr>
            <w:r w:rsidRPr="003A2EA3">
              <w:rPr>
                <w:rFonts w:ascii="Arial Narrow" w:hAnsi="Arial Narrow"/>
                <w:sz w:val="20"/>
              </w:rPr>
              <w:t>Tablets, 50 mg dose hold pack</w:t>
            </w:r>
          </w:p>
          <w:p w:rsidR="00AF2405" w:rsidRPr="003A2EA3" w:rsidRDefault="00AF2405" w:rsidP="009F015F">
            <w:pPr>
              <w:keepNext/>
              <w:rPr>
                <w:rFonts w:ascii="Arial Narrow" w:hAnsi="Arial Narrow"/>
                <w:sz w:val="20"/>
              </w:rPr>
            </w:pPr>
            <w:r w:rsidRPr="003A2EA3">
              <w:rPr>
                <w:rFonts w:ascii="Arial Narrow" w:hAnsi="Arial Narrow"/>
                <w:sz w:val="20"/>
              </w:rPr>
              <w:t>(50 mg × 7)</w:t>
            </w:r>
          </w:p>
        </w:tc>
        <w:tc>
          <w:tcPr>
            <w:tcW w:w="285"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1</w:t>
            </w:r>
          </w:p>
        </w:tc>
        <w:tc>
          <w:tcPr>
            <w:tcW w:w="497"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0</w:t>
            </w:r>
          </w:p>
        </w:tc>
        <w:tc>
          <w:tcPr>
            <w:tcW w:w="781"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p>
          <w:p w:rsidR="00AF2405" w:rsidRPr="003A2EA3" w:rsidRDefault="00AF2405" w:rsidP="009F015F">
            <w:pPr>
              <w:keepNext/>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Pr="003A2EA3">
              <w:rPr>
                <w:rFonts w:ascii="Arial Narrow" w:hAnsi="Arial Narrow"/>
                <w:sz w:val="20"/>
              </w:rPr>
              <w:t>)</w:t>
            </w:r>
          </w:p>
        </w:tc>
        <w:tc>
          <w:tcPr>
            <w:tcW w:w="839" w:type="pct"/>
            <w:vMerge/>
            <w:vAlign w:val="center"/>
          </w:tcPr>
          <w:p w:rsidR="00AF2405" w:rsidRPr="003A2EA3" w:rsidRDefault="00AF2405" w:rsidP="009F015F">
            <w:pPr>
              <w:keepNext/>
              <w:jc w:val="center"/>
              <w:rPr>
                <w:rFonts w:ascii="Arial Narrow" w:hAnsi="Arial Narrow"/>
                <w:sz w:val="20"/>
              </w:rPr>
            </w:pPr>
          </w:p>
        </w:tc>
        <w:tc>
          <w:tcPr>
            <w:tcW w:w="838" w:type="pct"/>
            <w:vMerge/>
          </w:tcPr>
          <w:p w:rsidR="00AF2405" w:rsidRPr="003A2EA3" w:rsidRDefault="00AF2405" w:rsidP="009F015F">
            <w:pPr>
              <w:keepNext/>
              <w:jc w:val="center"/>
              <w:rPr>
                <w:rFonts w:ascii="Arial Narrow" w:hAnsi="Arial Narrow"/>
                <w:sz w:val="20"/>
              </w:rPr>
            </w:pPr>
          </w:p>
        </w:tc>
      </w:tr>
      <w:tr w:rsidR="00AF2405" w:rsidRPr="003A2EA3" w:rsidTr="003D101E">
        <w:trPr>
          <w:cantSplit/>
          <w:trHeight w:val="567"/>
        </w:trPr>
        <w:tc>
          <w:tcPr>
            <w:tcW w:w="1760" w:type="pct"/>
            <w:vAlign w:val="center"/>
          </w:tcPr>
          <w:p w:rsidR="00AF2405" w:rsidRPr="003A2EA3" w:rsidRDefault="00AF2405" w:rsidP="009F015F">
            <w:pPr>
              <w:keepNext/>
              <w:rPr>
                <w:rFonts w:ascii="Arial Narrow" w:hAnsi="Arial Narrow"/>
                <w:sz w:val="20"/>
              </w:rPr>
            </w:pPr>
            <w:r w:rsidRPr="003A2EA3">
              <w:rPr>
                <w:rFonts w:ascii="Arial Narrow" w:hAnsi="Arial Narrow"/>
                <w:sz w:val="20"/>
              </w:rPr>
              <w:t xml:space="preserve">Tablets, maintenance pack </w:t>
            </w:r>
            <w:r w:rsidRPr="003A2EA3">
              <w:rPr>
                <w:rFonts w:ascii="Arial Narrow" w:hAnsi="Arial Narrow"/>
                <w:sz w:val="20"/>
              </w:rPr>
              <w:br/>
              <w:t>(100 mg × 120)</w:t>
            </w:r>
          </w:p>
        </w:tc>
        <w:tc>
          <w:tcPr>
            <w:tcW w:w="285"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1</w:t>
            </w:r>
          </w:p>
        </w:tc>
        <w:tc>
          <w:tcPr>
            <w:tcW w:w="497"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5</w:t>
            </w:r>
          </w:p>
        </w:tc>
        <w:tc>
          <w:tcPr>
            <w:tcW w:w="781" w:type="pct"/>
            <w:vAlign w:val="center"/>
          </w:tcPr>
          <w:p w:rsidR="00AF2405" w:rsidRPr="003A2EA3" w:rsidRDefault="00AF2405" w:rsidP="009F015F">
            <w:pPr>
              <w:keepNext/>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Pr="003A2EA3">
              <w:rPr>
                <w:rFonts w:ascii="Arial Narrow" w:hAnsi="Arial Narrow"/>
                <w:sz w:val="20"/>
              </w:rPr>
              <w:t xml:space="preserve"> ($</w:t>
            </w:r>
            <w:r w:rsidR="00A5328F">
              <w:rPr>
                <w:rFonts w:ascii="Arial Narrow" w:hAnsi="Arial Narrow"/>
                <w:noProof/>
                <w:color w:val="000000"/>
                <w:sz w:val="20"/>
                <w:highlight w:val="black"/>
              </w:rPr>
              <w:t>'''''''''''''''''''''''</w:t>
            </w:r>
            <w:r w:rsidRPr="003A2EA3">
              <w:rPr>
                <w:rFonts w:ascii="Arial Narrow" w:hAnsi="Arial Narrow"/>
                <w:sz w:val="20"/>
              </w:rPr>
              <w:t>)</w:t>
            </w:r>
          </w:p>
        </w:tc>
        <w:tc>
          <w:tcPr>
            <w:tcW w:w="839" w:type="pct"/>
            <w:vMerge/>
            <w:vAlign w:val="center"/>
          </w:tcPr>
          <w:p w:rsidR="00AF2405" w:rsidRPr="003A2EA3" w:rsidRDefault="00AF2405" w:rsidP="009F015F">
            <w:pPr>
              <w:keepNext/>
              <w:jc w:val="center"/>
              <w:rPr>
                <w:rFonts w:ascii="Arial Narrow" w:hAnsi="Arial Narrow"/>
                <w:sz w:val="20"/>
              </w:rPr>
            </w:pPr>
          </w:p>
        </w:tc>
        <w:tc>
          <w:tcPr>
            <w:tcW w:w="838" w:type="pct"/>
            <w:vMerge/>
          </w:tcPr>
          <w:p w:rsidR="00AF2405" w:rsidRPr="003A2EA3" w:rsidRDefault="00AF2405" w:rsidP="009F015F">
            <w:pPr>
              <w:keepNext/>
              <w:jc w:val="center"/>
              <w:rPr>
                <w:rFonts w:ascii="Arial Narrow" w:hAnsi="Arial Narrow"/>
                <w:sz w:val="20"/>
              </w:rPr>
            </w:pPr>
          </w:p>
        </w:tc>
      </w:tr>
    </w:tbl>
    <w:p w:rsidR="00826F6D" w:rsidRPr="003A2EA3" w:rsidRDefault="00826F6D" w:rsidP="00C27B58">
      <w:pPr>
        <w:pStyle w:val="NoSpacing"/>
        <w:rPr>
          <w:rFonts w:asciiTheme="minorHAnsi" w:hAnsiTheme="minorHAnsi"/>
          <w:sz w:val="24"/>
          <w:szCs w:val="24"/>
        </w:rPr>
      </w:pPr>
    </w:p>
    <w:p w:rsidR="00D504CB" w:rsidRDefault="00D504CB" w:rsidP="00C27B58">
      <w:pPr>
        <w:pStyle w:val="NoSpacing"/>
        <w:rPr>
          <w:rFonts w:asciiTheme="minorHAnsi" w:hAnsiTheme="minorHAnsi"/>
          <w:b/>
          <w:i/>
          <w:u w:val="single"/>
        </w:rPr>
      </w:pPr>
      <w:r>
        <w:rPr>
          <w:rFonts w:asciiTheme="minorHAnsi" w:hAnsiTheme="minorHAnsi"/>
          <w:b/>
          <w:i/>
          <w:u w:val="single"/>
        </w:rPr>
        <w:br w:type="page"/>
      </w:r>
    </w:p>
    <w:p w:rsidR="00953B16" w:rsidRPr="003A2EA3" w:rsidRDefault="00953B16" w:rsidP="00C27B58">
      <w:pPr>
        <w:pStyle w:val="NoSpacing"/>
        <w:rPr>
          <w:rFonts w:asciiTheme="minorHAnsi" w:hAnsiTheme="minorHAnsi"/>
          <w:b/>
          <w:i/>
          <w:u w:val="single"/>
        </w:rPr>
      </w:pPr>
      <w:r w:rsidRPr="003A2EA3">
        <w:rPr>
          <w:rFonts w:asciiTheme="minorHAnsi" w:hAnsiTheme="minorHAnsi"/>
          <w:b/>
          <w:i/>
          <w:u w:val="single"/>
        </w:rPr>
        <w:lastRenderedPageBreak/>
        <w:t>Second</w:t>
      </w:r>
      <w:r w:rsidR="00C5518B" w:rsidRPr="003A2EA3">
        <w:rPr>
          <w:rFonts w:asciiTheme="minorHAnsi" w:hAnsiTheme="minorHAnsi"/>
          <w:b/>
          <w:i/>
          <w:u w:val="single"/>
        </w:rPr>
        <w:t>-</w:t>
      </w:r>
      <w:r w:rsidRPr="003A2EA3">
        <w:rPr>
          <w:rFonts w:asciiTheme="minorHAnsi" w:hAnsiTheme="minorHAnsi"/>
          <w:b/>
          <w:i/>
          <w:u w:val="single"/>
        </w:rPr>
        <w:t>line treatment</w:t>
      </w:r>
      <w:r w:rsidRPr="003A2EA3">
        <w:rPr>
          <w:rFonts w:asciiTheme="minorHAnsi" w:hAnsiTheme="minorHAnsi"/>
          <w:b/>
          <w:i/>
        </w:rPr>
        <w:t>:</w:t>
      </w:r>
    </w:p>
    <w:p w:rsidR="00953B16" w:rsidRPr="003A2EA3" w:rsidRDefault="00953B16" w:rsidP="00C27B58">
      <w:pPr>
        <w:pStyle w:val="NoSpacing"/>
        <w:rPr>
          <w:rFonts w:asciiTheme="minorHAnsi" w:hAnsiTheme="minorHAnsi"/>
          <w:sz w:val="24"/>
          <w:szCs w:val="24"/>
        </w:rPr>
      </w:pPr>
    </w:p>
    <w:tbl>
      <w:tblPr>
        <w:tblW w:w="5000" w:type="pct"/>
        <w:tblLook w:val="0000" w:firstRow="0" w:lastRow="0" w:firstColumn="0" w:lastColumn="0" w:noHBand="0" w:noVBand="0"/>
      </w:tblPr>
      <w:tblGrid>
        <w:gridCol w:w="2194"/>
        <w:gridCol w:w="7048"/>
      </w:tblGrid>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330F8E">
            <w:pPr>
              <w:jc w:val="both"/>
              <w:rPr>
                <w:rFonts w:ascii="Arial Narrow" w:hAnsi="Arial Narrow" w:cs="Arial"/>
                <w:b/>
                <w:sz w:val="20"/>
                <w:szCs w:val="20"/>
              </w:rPr>
            </w:pPr>
            <w:r w:rsidRPr="003A2EA3">
              <w:rPr>
                <w:rFonts w:ascii="Arial Narrow" w:hAnsi="Arial Narrow" w:cs="Arial"/>
                <w:b/>
                <w:sz w:val="20"/>
                <w:szCs w:val="20"/>
              </w:rPr>
              <w:t>Category / Program</w:t>
            </w:r>
          </w:p>
        </w:tc>
        <w:tc>
          <w:tcPr>
            <w:tcW w:w="3813"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rPr>
                <w:rFonts w:ascii="Arial Narrow" w:hAnsi="Arial Narrow" w:cs="Arial"/>
                <w:sz w:val="20"/>
                <w:szCs w:val="20"/>
              </w:rPr>
            </w:pPr>
            <w:r w:rsidRPr="003A2EA3">
              <w:rPr>
                <w:rFonts w:ascii="Arial Narrow" w:hAnsi="Arial Narrow" w:cs="Arial"/>
                <w:sz w:val="20"/>
                <w:szCs w:val="20"/>
              </w:rPr>
              <w:t>GENERAL – General Schedule (Code GE)</w:t>
            </w: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jc w:val="both"/>
              <w:rPr>
                <w:rFonts w:ascii="Arial Narrow" w:hAnsi="Arial Narrow" w:cs="Arial"/>
                <w:b/>
                <w:sz w:val="20"/>
                <w:szCs w:val="20"/>
              </w:rPr>
            </w:pPr>
            <w:r w:rsidRPr="003A2EA3">
              <w:rPr>
                <w:rFonts w:ascii="Arial Narrow" w:hAnsi="Arial Narrow" w:cs="Arial"/>
                <w:b/>
                <w:sz w:val="20"/>
                <w:szCs w:val="20"/>
              </w:rPr>
              <w:t>Prescriber type:</w:t>
            </w:r>
          </w:p>
        </w:tc>
        <w:tc>
          <w:tcPr>
            <w:tcW w:w="3813" w:type="pct"/>
            <w:tcBorders>
              <w:top w:val="single" w:sz="4" w:space="0" w:color="auto"/>
              <w:left w:val="single" w:sz="4" w:space="0" w:color="auto"/>
              <w:bottom w:val="single" w:sz="4" w:space="0" w:color="auto"/>
              <w:right w:val="single" w:sz="4" w:space="0" w:color="auto"/>
            </w:tcBorders>
          </w:tcPr>
          <w:p w:rsidR="00826F6D" w:rsidRPr="00C27F96" w:rsidRDefault="00826F6D" w:rsidP="00C27B58">
            <w:pPr>
              <w:rPr>
                <w:rFonts w:ascii="Arial Narrow" w:hAnsi="Arial Narrow" w:cs="Arial"/>
                <w:sz w:val="20"/>
                <w:szCs w:val="20"/>
              </w:rPr>
            </w:pPr>
            <w:r w:rsidRPr="00D05FB9">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 xml:space="preserve">Dental  </w:t>
            </w:r>
            <w:r w:rsidR="004B6840" w:rsidRPr="00D05FB9">
              <w:rPr>
                <w:rFonts w:ascii="Arial Narrow" w:hAnsi="Arial Narrow" w:cs="Arial"/>
                <w:sz w:val="20"/>
                <w:szCs w:val="20"/>
              </w:rPr>
              <w:fldChar w:fldCharType="begin">
                <w:ffData>
                  <w:name w:val=""/>
                  <w:enabled/>
                  <w:calcOnExit w:val="0"/>
                  <w:checkBox>
                    <w:sizeAuto/>
                    <w:default w:val="1"/>
                  </w:checkBox>
                </w:ffData>
              </w:fldChar>
            </w:r>
            <w:r w:rsidR="004B6840"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004B6840" w:rsidRPr="00D05FB9">
              <w:rPr>
                <w:rFonts w:ascii="Arial Narrow" w:hAnsi="Arial Narrow" w:cs="Arial"/>
                <w:sz w:val="20"/>
                <w:szCs w:val="20"/>
              </w:rPr>
              <w:fldChar w:fldCharType="end"/>
            </w:r>
            <w:r w:rsidRPr="003A2EA3">
              <w:rPr>
                <w:rFonts w:ascii="Arial Narrow" w:hAnsi="Arial Narrow" w:cs="Arial"/>
                <w:sz w:val="20"/>
                <w:szCs w:val="20"/>
              </w:rPr>
              <w:t xml:space="preserve">Medical Practitioners  </w:t>
            </w:r>
            <w:r w:rsidRPr="00D05FB9">
              <w:rPr>
                <w:rFonts w:ascii="Arial Narrow" w:hAnsi="Arial Narrow" w:cs="Arial"/>
                <w:sz w:val="20"/>
                <w:szCs w:val="20"/>
              </w:rPr>
              <w:fldChar w:fldCharType="begin">
                <w:ffData>
                  <w:name w:val="Check3"/>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 xml:space="preserve">Nurse practitioners  </w:t>
            </w:r>
            <w:r w:rsidRPr="00D05FB9">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Optometrists</w:t>
            </w:r>
          </w:p>
          <w:p w:rsidR="00826F6D" w:rsidRPr="003A2EA3" w:rsidRDefault="00826F6D" w:rsidP="00C27B58">
            <w:pPr>
              <w:rPr>
                <w:rFonts w:ascii="Arial Narrow" w:hAnsi="Arial Narrow" w:cs="Arial"/>
                <w:sz w:val="20"/>
                <w:szCs w:val="20"/>
              </w:rPr>
            </w:pPr>
            <w:r w:rsidRPr="00D05FB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Midwives</w:t>
            </w: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jc w:val="both"/>
              <w:rPr>
                <w:rFonts w:ascii="Arial Narrow" w:hAnsi="Arial Narrow" w:cs="Arial"/>
                <w:b/>
                <w:sz w:val="20"/>
                <w:szCs w:val="20"/>
              </w:rPr>
            </w:pPr>
            <w:r w:rsidRPr="003A2EA3">
              <w:rPr>
                <w:rFonts w:ascii="Arial Narrow" w:hAnsi="Arial Narrow" w:cs="Arial"/>
                <w:b/>
                <w:sz w:val="20"/>
                <w:szCs w:val="20"/>
              </w:rPr>
              <w:t>Severity:</w:t>
            </w:r>
          </w:p>
        </w:tc>
        <w:tc>
          <w:tcPr>
            <w:tcW w:w="3813" w:type="pct"/>
            <w:tcBorders>
              <w:top w:val="single" w:sz="4" w:space="0" w:color="auto"/>
              <w:left w:val="single" w:sz="4" w:space="0" w:color="auto"/>
              <w:bottom w:val="single" w:sz="4" w:space="0" w:color="auto"/>
              <w:right w:val="single" w:sz="4" w:space="0" w:color="auto"/>
            </w:tcBorders>
          </w:tcPr>
          <w:p w:rsidR="00826F6D" w:rsidRPr="003A2EA3" w:rsidRDefault="004B6840" w:rsidP="00C27B58">
            <w:pPr>
              <w:rPr>
                <w:rFonts w:ascii="Arial Narrow" w:hAnsi="Arial Narrow" w:cs="Arial"/>
                <w:i/>
                <w:sz w:val="20"/>
                <w:szCs w:val="20"/>
              </w:rPr>
            </w:pPr>
            <w:r w:rsidRPr="003A2EA3">
              <w:rPr>
                <w:rFonts w:ascii="Arial Narrow" w:hAnsi="Arial Narrow" w:cs="Arial"/>
                <w:i/>
                <w:sz w:val="20"/>
                <w:szCs w:val="20"/>
              </w:rPr>
              <w:t>Relapsed</w:t>
            </w:r>
            <w:r w:rsidR="002304C5" w:rsidRPr="003A2EA3">
              <w:rPr>
                <w:rFonts w:ascii="Arial Narrow" w:hAnsi="Arial Narrow" w:cs="Arial"/>
                <w:i/>
                <w:sz w:val="20"/>
                <w:szCs w:val="20"/>
              </w:rPr>
              <w:t xml:space="preserve"> or</w:t>
            </w:r>
            <w:r w:rsidR="00FC582D" w:rsidRPr="003A2EA3">
              <w:rPr>
                <w:rFonts w:ascii="Arial Narrow" w:hAnsi="Arial Narrow" w:cs="Arial"/>
                <w:i/>
                <w:sz w:val="20"/>
                <w:szCs w:val="20"/>
              </w:rPr>
              <w:t xml:space="preserve"> </w:t>
            </w:r>
            <w:r w:rsidRPr="003A2EA3">
              <w:rPr>
                <w:rFonts w:ascii="Arial Narrow" w:hAnsi="Arial Narrow" w:cs="Arial"/>
                <w:i/>
                <w:sz w:val="20"/>
                <w:szCs w:val="20"/>
              </w:rPr>
              <w:t>refractory</w:t>
            </w: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jc w:val="both"/>
              <w:rPr>
                <w:rFonts w:ascii="Arial Narrow" w:hAnsi="Arial Narrow" w:cs="Arial"/>
                <w:b/>
                <w:sz w:val="20"/>
                <w:szCs w:val="20"/>
              </w:rPr>
            </w:pPr>
            <w:r w:rsidRPr="003A2EA3">
              <w:rPr>
                <w:rFonts w:ascii="Arial Narrow" w:hAnsi="Arial Narrow" w:cs="Arial"/>
                <w:b/>
                <w:sz w:val="20"/>
                <w:szCs w:val="20"/>
              </w:rPr>
              <w:t>Condition:</w:t>
            </w:r>
          </w:p>
        </w:tc>
        <w:tc>
          <w:tcPr>
            <w:tcW w:w="3813" w:type="pct"/>
            <w:tcBorders>
              <w:top w:val="single" w:sz="4" w:space="0" w:color="auto"/>
              <w:left w:val="single" w:sz="4" w:space="0" w:color="auto"/>
              <w:bottom w:val="single" w:sz="4" w:space="0" w:color="auto"/>
              <w:right w:val="single" w:sz="4" w:space="0" w:color="auto"/>
            </w:tcBorders>
          </w:tcPr>
          <w:p w:rsidR="00826F6D" w:rsidRPr="003A2EA3" w:rsidRDefault="004B6840" w:rsidP="00C27B58">
            <w:pPr>
              <w:rPr>
                <w:rFonts w:ascii="Arial Narrow" w:hAnsi="Arial Narrow" w:cs="Arial"/>
                <w:sz w:val="20"/>
                <w:szCs w:val="20"/>
              </w:rPr>
            </w:pPr>
            <w:r w:rsidRPr="003A2EA3">
              <w:rPr>
                <w:rFonts w:ascii="Arial Narrow" w:hAnsi="Arial Narrow" w:cs="Arial"/>
                <w:sz w:val="20"/>
                <w:szCs w:val="20"/>
              </w:rPr>
              <w:t>Chronic lymphocytic leukaemia</w:t>
            </w: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jc w:val="both"/>
              <w:rPr>
                <w:rFonts w:ascii="Arial Narrow" w:hAnsi="Arial Narrow" w:cs="Arial"/>
                <w:b/>
                <w:sz w:val="20"/>
                <w:szCs w:val="20"/>
              </w:rPr>
            </w:pPr>
            <w:r w:rsidRPr="003A2EA3">
              <w:rPr>
                <w:rFonts w:ascii="Arial Narrow" w:hAnsi="Arial Narrow" w:cs="Arial"/>
                <w:b/>
                <w:sz w:val="20"/>
                <w:szCs w:val="20"/>
              </w:rPr>
              <w:t>PBS Indication:</w:t>
            </w:r>
          </w:p>
        </w:tc>
        <w:tc>
          <w:tcPr>
            <w:tcW w:w="3813" w:type="pct"/>
            <w:tcBorders>
              <w:top w:val="single" w:sz="4" w:space="0" w:color="auto"/>
              <w:left w:val="single" w:sz="4" w:space="0" w:color="auto"/>
              <w:bottom w:val="single" w:sz="4" w:space="0" w:color="auto"/>
              <w:right w:val="single" w:sz="4" w:space="0" w:color="auto"/>
            </w:tcBorders>
          </w:tcPr>
          <w:p w:rsidR="00826F6D" w:rsidRPr="003A2EA3" w:rsidRDefault="004B6840" w:rsidP="00C27B58">
            <w:pPr>
              <w:rPr>
                <w:rFonts w:ascii="Arial Narrow" w:hAnsi="Arial Narrow" w:cs="Arial"/>
                <w:sz w:val="20"/>
                <w:szCs w:val="20"/>
              </w:rPr>
            </w:pPr>
            <w:r w:rsidRPr="003A2EA3">
              <w:rPr>
                <w:rFonts w:ascii="Arial Narrow" w:hAnsi="Arial Narrow" w:cs="Arial"/>
                <w:sz w:val="20"/>
                <w:szCs w:val="20"/>
              </w:rPr>
              <w:t>Relapsed</w:t>
            </w:r>
            <w:r w:rsidR="0070335D" w:rsidRPr="003A2EA3">
              <w:rPr>
                <w:rFonts w:ascii="Arial Narrow" w:hAnsi="Arial Narrow" w:cs="Arial"/>
                <w:sz w:val="20"/>
                <w:szCs w:val="20"/>
              </w:rPr>
              <w:t xml:space="preserve"> or</w:t>
            </w:r>
            <w:r w:rsidR="00FC582D" w:rsidRPr="003A2EA3">
              <w:rPr>
                <w:rFonts w:ascii="Arial Narrow" w:hAnsi="Arial Narrow" w:cs="Arial"/>
                <w:sz w:val="20"/>
                <w:szCs w:val="20"/>
              </w:rPr>
              <w:t xml:space="preserve"> </w:t>
            </w:r>
            <w:r w:rsidRPr="003A2EA3">
              <w:rPr>
                <w:rFonts w:ascii="Arial Narrow" w:hAnsi="Arial Narrow" w:cs="Arial"/>
                <w:sz w:val="20"/>
                <w:szCs w:val="20"/>
              </w:rPr>
              <w:t>refractory chronic lymphocytic leukaemia</w:t>
            </w:r>
          </w:p>
        </w:tc>
      </w:tr>
      <w:tr w:rsidR="00414EE6"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414EE6" w:rsidRPr="003A2EA3" w:rsidRDefault="00414EE6" w:rsidP="00C27B58">
            <w:pPr>
              <w:jc w:val="both"/>
              <w:rPr>
                <w:rFonts w:ascii="Arial Narrow" w:hAnsi="Arial Narrow" w:cs="Arial"/>
                <w:b/>
                <w:sz w:val="20"/>
                <w:szCs w:val="20"/>
              </w:rPr>
            </w:pPr>
            <w:r w:rsidRPr="003A2EA3">
              <w:rPr>
                <w:rFonts w:ascii="Arial Narrow" w:hAnsi="Arial Narrow" w:cs="Arial"/>
                <w:b/>
                <w:sz w:val="20"/>
                <w:szCs w:val="20"/>
              </w:rPr>
              <w:t>Treatment phase:</w:t>
            </w:r>
          </w:p>
        </w:tc>
        <w:tc>
          <w:tcPr>
            <w:tcW w:w="3813" w:type="pct"/>
            <w:tcBorders>
              <w:top w:val="single" w:sz="4" w:space="0" w:color="auto"/>
              <w:left w:val="single" w:sz="4" w:space="0" w:color="auto"/>
              <w:bottom w:val="single" w:sz="4" w:space="0" w:color="auto"/>
              <w:right w:val="single" w:sz="4" w:space="0" w:color="auto"/>
            </w:tcBorders>
          </w:tcPr>
          <w:p w:rsidR="00414EE6" w:rsidRPr="003A2EA3" w:rsidRDefault="008F7E92" w:rsidP="00C27B58">
            <w:pPr>
              <w:rPr>
                <w:rFonts w:ascii="Arial Narrow" w:hAnsi="Arial Narrow" w:cs="Arial"/>
                <w:i/>
                <w:sz w:val="20"/>
                <w:szCs w:val="20"/>
              </w:rPr>
            </w:pPr>
            <w:r w:rsidRPr="003A2EA3">
              <w:rPr>
                <w:rFonts w:ascii="Arial Narrow" w:hAnsi="Arial Narrow" w:cs="Arial"/>
                <w:i/>
                <w:sz w:val="20"/>
                <w:szCs w:val="20"/>
              </w:rPr>
              <w:t>Initial treatment</w:t>
            </w: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jc w:val="both"/>
              <w:rPr>
                <w:rFonts w:ascii="Arial Narrow" w:hAnsi="Arial Narrow" w:cs="Arial"/>
                <w:b/>
                <w:sz w:val="20"/>
                <w:szCs w:val="20"/>
              </w:rPr>
            </w:pPr>
            <w:r w:rsidRPr="003A2EA3">
              <w:rPr>
                <w:rFonts w:ascii="Arial Narrow" w:hAnsi="Arial Narrow" w:cs="Arial"/>
                <w:b/>
                <w:sz w:val="20"/>
                <w:szCs w:val="20"/>
              </w:rPr>
              <w:t>Restriction Level / Method:</w:t>
            </w:r>
          </w:p>
          <w:p w:rsidR="00826F6D" w:rsidRPr="003A2EA3" w:rsidRDefault="00826F6D" w:rsidP="00C27B58">
            <w:pPr>
              <w:rPr>
                <w:rFonts w:ascii="Arial Narrow" w:hAnsi="Arial Narrow" w:cs="Arial"/>
                <w:sz w:val="20"/>
                <w:szCs w:val="20"/>
              </w:rPr>
            </w:pPr>
          </w:p>
        </w:tc>
        <w:tc>
          <w:tcPr>
            <w:tcW w:w="3813" w:type="pct"/>
            <w:tcBorders>
              <w:top w:val="single" w:sz="4" w:space="0" w:color="auto"/>
              <w:left w:val="single" w:sz="4" w:space="0" w:color="auto"/>
              <w:bottom w:val="single" w:sz="4" w:space="0" w:color="auto"/>
              <w:right w:val="single" w:sz="4" w:space="0" w:color="auto"/>
            </w:tcBorders>
          </w:tcPr>
          <w:p w:rsidR="00826F6D" w:rsidRPr="003A2EA3" w:rsidRDefault="00826F6D" w:rsidP="00C27B58">
            <w:pPr>
              <w:rPr>
                <w:rFonts w:ascii="Arial Narrow" w:hAnsi="Arial Narrow" w:cs="Arial"/>
                <w:sz w:val="20"/>
                <w:szCs w:val="20"/>
              </w:rPr>
            </w:pPr>
            <w:r w:rsidRPr="00D05FB9">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Restricted benefit</w:t>
            </w:r>
          </w:p>
          <w:p w:rsidR="00826F6D" w:rsidRPr="003A2EA3" w:rsidRDefault="004B6840" w:rsidP="00C27B58">
            <w:pPr>
              <w:rPr>
                <w:rFonts w:ascii="Arial Narrow" w:hAnsi="Arial Narrow" w:cs="Arial"/>
                <w:sz w:val="20"/>
                <w:szCs w:val="20"/>
              </w:rPr>
            </w:pPr>
            <w:r w:rsidRPr="00D05FB9">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00826F6D" w:rsidRPr="003A2EA3">
              <w:rPr>
                <w:rFonts w:ascii="Arial Narrow" w:hAnsi="Arial Narrow" w:cs="Arial"/>
                <w:sz w:val="20"/>
                <w:szCs w:val="20"/>
              </w:rPr>
              <w:t>Authority Required - In Writing</w:t>
            </w:r>
          </w:p>
          <w:p w:rsidR="00826F6D" w:rsidRPr="003A2EA3" w:rsidRDefault="004B6840" w:rsidP="00C27B58">
            <w:pPr>
              <w:rPr>
                <w:rFonts w:ascii="Arial Narrow" w:hAnsi="Arial Narrow" w:cs="Arial"/>
                <w:sz w:val="20"/>
                <w:szCs w:val="20"/>
              </w:rPr>
            </w:pPr>
            <w:r w:rsidRPr="00D05FB9">
              <w:rPr>
                <w:rFonts w:ascii="Arial Narrow" w:hAnsi="Arial Narrow" w:cs="Arial"/>
                <w:sz w:val="20"/>
                <w:szCs w:val="20"/>
              </w:rPr>
              <w:fldChar w:fldCharType="begin">
                <w:ffData>
                  <w:name w:val="Check3"/>
                  <w:enabled/>
                  <w:calcOnExit w:val="0"/>
                  <w:checkBox>
                    <w:sizeAuto/>
                    <w:default w:val="1"/>
                  </w:checkBox>
                </w:ffData>
              </w:fldChar>
            </w:r>
            <w:bookmarkStart w:id="0" w:name="Check3"/>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bookmarkEnd w:id="0"/>
            <w:r w:rsidR="00826F6D" w:rsidRPr="003A2EA3">
              <w:rPr>
                <w:rFonts w:ascii="Arial Narrow" w:hAnsi="Arial Narrow" w:cs="Arial"/>
                <w:sz w:val="20"/>
                <w:szCs w:val="20"/>
              </w:rPr>
              <w:t>Authority Required - Telephone</w:t>
            </w:r>
          </w:p>
          <w:p w:rsidR="00826F6D" w:rsidRPr="003A2EA3" w:rsidRDefault="00826F6D" w:rsidP="00C27B58">
            <w:pPr>
              <w:rPr>
                <w:rFonts w:ascii="Arial Narrow" w:hAnsi="Arial Narrow" w:cs="Arial"/>
                <w:sz w:val="20"/>
                <w:szCs w:val="20"/>
              </w:rPr>
            </w:pPr>
            <w:r w:rsidRPr="00D05FB9">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Authority Required – Emergency</w:t>
            </w:r>
          </w:p>
          <w:p w:rsidR="00826F6D" w:rsidRPr="003A2EA3" w:rsidRDefault="00826F6D" w:rsidP="00C27B58">
            <w:pPr>
              <w:rPr>
                <w:rFonts w:ascii="Arial Narrow" w:hAnsi="Arial Narrow" w:cs="Arial"/>
                <w:sz w:val="20"/>
                <w:szCs w:val="20"/>
              </w:rPr>
            </w:pPr>
            <w:r w:rsidRPr="00D05FB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Authority Required - Electronic</w:t>
            </w:r>
          </w:p>
          <w:p w:rsidR="00826F6D" w:rsidRPr="003A2EA3" w:rsidRDefault="00826F6D" w:rsidP="00C27B58">
            <w:pPr>
              <w:rPr>
                <w:rFonts w:ascii="Arial Narrow" w:hAnsi="Arial Narrow" w:cs="Arial"/>
                <w:sz w:val="20"/>
                <w:szCs w:val="20"/>
              </w:rPr>
            </w:pPr>
            <w:r w:rsidRPr="00D05FB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Streamlined</w:t>
            </w: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A3481F">
            <w:pPr>
              <w:jc w:val="both"/>
              <w:rPr>
                <w:rFonts w:ascii="Arial Narrow" w:hAnsi="Arial Narrow" w:cs="Arial"/>
                <w:sz w:val="20"/>
                <w:szCs w:val="20"/>
              </w:rPr>
            </w:pPr>
            <w:r w:rsidRPr="003A2EA3">
              <w:rPr>
                <w:rFonts w:ascii="Arial Narrow" w:hAnsi="Arial Narrow" w:cs="Arial"/>
                <w:b/>
                <w:sz w:val="20"/>
                <w:szCs w:val="20"/>
              </w:rPr>
              <w:t>Clinical criteria:</w:t>
            </w:r>
          </w:p>
        </w:tc>
        <w:tc>
          <w:tcPr>
            <w:tcW w:w="3813" w:type="pct"/>
            <w:tcBorders>
              <w:top w:val="single" w:sz="4" w:space="0" w:color="auto"/>
              <w:left w:val="single" w:sz="4" w:space="0" w:color="auto"/>
              <w:bottom w:val="single" w:sz="4" w:space="0" w:color="auto"/>
              <w:right w:val="single" w:sz="4" w:space="0" w:color="auto"/>
            </w:tcBorders>
          </w:tcPr>
          <w:p w:rsidR="00051A41" w:rsidRPr="003A2EA3" w:rsidRDefault="00AF2405" w:rsidP="00AF2405">
            <w:pPr>
              <w:rPr>
                <w:rFonts w:ascii="Arial Narrow" w:hAnsi="Arial Narrow" w:cs="Arial"/>
                <w:sz w:val="20"/>
                <w:szCs w:val="20"/>
              </w:rPr>
            </w:pPr>
            <w:r w:rsidRPr="003A2EA3">
              <w:rPr>
                <w:rFonts w:ascii="Arial Narrow" w:hAnsi="Arial Narrow" w:cs="Arial"/>
                <w:sz w:val="20"/>
                <w:szCs w:val="20"/>
              </w:rPr>
              <w:t xml:space="preserve">The condition must have relapsed or be refractory </w:t>
            </w:r>
            <w:r w:rsidR="00773EFD" w:rsidRPr="003A2EA3">
              <w:rPr>
                <w:rFonts w:ascii="Arial Narrow" w:hAnsi="Arial Narrow" w:cs="Arial"/>
                <w:sz w:val="20"/>
                <w:szCs w:val="20"/>
              </w:rPr>
              <w:t xml:space="preserve">to </w:t>
            </w:r>
            <w:r w:rsidRPr="003A2EA3">
              <w:rPr>
                <w:rFonts w:ascii="Arial Narrow" w:hAnsi="Arial Narrow" w:cs="Arial"/>
                <w:sz w:val="20"/>
                <w:szCs w:val="20"/>
              </w:rPr>
              <w:t xml:space="preserve">at least one </w:t>
            </w:r>
            <w:r w:rsidR="00773EFD" w:rsidRPr="003A2EA3">
              <w:rPr>
                <w:rFonts w:ascii="Arial Narrow" w:hAnsi="Arial Narrow" w:cs="Arial"/>
                <w:sz w:val="20"/>
                <w:szCs w:val="20"/>
              </w:rPr>
              <w:t xml:space="preserve">prior </w:t>
            </w:r>
            <w:r w:rsidRPr="003A2EA3">
              <w:rPr>
                <w:rFonts w:ascii="Arial Narrow" w:hAnsi="Arial Narrow" w:cs="Arial"/>
                <w:sz w:val="20"/>
                <w:szCs w:val="20"/>
              </w:rPr>
              <w:t>therapy</w:t>
            </w:r>
          </w:p>
          <w:p w:rsidR="009F015F" w:rsidRPr="003A2EA3" w:rsidRDefault="009F015F" w:rsidP="00AF2405">
            <w:pPr>
              <w:rPr>
                <w:rFonts w:ascii="Arial Narrow" w:hAnsi="Arial Narrow" w:cs="Arial"/>
                <w:sz w:val="20"/>
                <w:szCs w:val="20"/>
              </w:rPr>
            </w:pPr>
          </w:p>
          <w:p w:rsidR="00AF2405" w:rsidRPr="003A2EA3" w:rsidRDefault="00AF2405" w:rsidP="00AF2405">
            <w:pPr>
              <w:rPr>
                <w:rFonts w:ascii="Arial Narrow" w:hAnsi="Arial Narrow" w:cs="Arial"/>
                <w:sz w:val="20"/>
                <w:szCs w:val="20"/>
              </w:rPr>
            </w:pPr>
            <w:r w:rsidRPr="003A2EA3">
              <w:rPr>
                <w:rFonts w:ascii="Arial Narrow" w:hAnsi="Arial Narrow" w:cs="Arial"/>
                <w:sz w:val="20"/>
                <w:szCs w:val="20"/>
              </w:rPr>
              <w:t xml:space="preserve">AND </w:t>
            </w:r>
          </w:p>
          <w:p w:rsidR="009F015F" w:rsidRPr="003A2EA3" w:rsidRDefault="009F015F" w:rsidP="00AF2405">
            <w:pPr>
              <w:rPr>
                <w:rFonts w:ascii="Arial Narrow" w:hAnsi="Arial Narrow" w:cs="Arial"/>
                <w:sz w:val="20"/>
                <w:szCs w:val="20"/>
              </w:rPr>
            </w:pPr>
          </w:p>
          <w:p w:rsidR="00AF2405" w:rsidRPr="003A2EA3" w:rsidRDefault="00054A6E" w:rsidP="00AF2405">
            <w:pPr>
              <w:rPr>
                <w:rFonts w:ascii="Arial Narrow" w:hAnsi="Arial Narrow" w:cs="Arial"/>
                <w:sz w:val="20"/>
                <w:szCs w:val="20"/>
              </w:rPr>
            </w:pPr>
            <w:r w:rsidRPr="003A2EA3">
              <w:rPr>
                <w:rFonts w:ascii="Arial Narrow" w:hAnsi="Arial Narrow" w:cs="Arial"/>
                <w:i/>
                <w:sz w:val="20"/>
                <w:szCs w:val="20"/>
              </w:rPr>
              <w:t xml:space="preserve">The treatment </w:t>
            </w:r>
            <w:r w:rsidR="00AF2405" w:rsidRPr="003A2EA3">
              <w:rPr>
                <w:rFonts w:ascii="Arial Narrow" w:hAnsi="Arial Narrow" w:cs="Arial"/>
                <w:sz w:val="20"/>
                <w:szCs w:val="20"/>
              </w:rPr>
              <w:t>must be as monotherapy</w:t>
            </w:r>
          </w:p>
          <w:p w:rsidR="009F015F" w:rsidRPr="003A2EA3" w:rsidRDefault="009F015F" w:rsidP="00AF2405">
            <w:pPr>
              <w:rPr>
                <w:rFonts w:ascii="Arial Narrow" w:hAnsi="Arial Narrow" w:cs="Arial"/>
                <w:sz w:val="20"/>
                <w:szCs w:val="20"/>
              </w:rPr>
            </w:pPr>
          </w:p>
          <w:p w:rsidR="00AF2405" w:rsidRPr="003A2EA3" w:rsidRDefault="00AF2405" w:rsidP="00AF2405">
            <w:pPr>
              <w:rPr>
                <w:rFonts w:ascii="Arial Narrow" w:hAnsi="Arial Narrow" w:cs="Arial"/>
                <w:sz w:val="20"/>
                <w:szCs w:val="20"/>
              </w:rPr>
            </w:pPr>
            <w:r w:rsidRPr="003A2EA3">
              <w:rPr>
                <w:rFonts w:ascii="Arial Narrow" w:hAnsi="Arial Narrow" w:cs="Arial"/>
                <w:sz w:val="20"/>
                <w:szCs w:val="20"/>
              </w:rPr>
              <w:t>AND</w:t>
            </w:r>
          </w:p>
          <w:p w:rsidR="009F015F" w:rsidRPr="003A2EA3" w:rsidRDefault="009F015F" w:rsidP="00AF2405">
            <w:pPr>
              <w:rPr>
                <w:rFonts w:ascii="Arial Narrow" w:hAnsi="Arial Narrow" w:cs="Arial"/>
                <w:sz w:val="20"/>
                <w:szCs w:val="20"/>
              </w:rPr>
            </w:pPr>
          </w:p>
          <w:p w:rsidR="00AF2405" w:rsidRPr="003A2EA3" w:rsidRDefault="00AF2405" w:rsidP="00AF2405">
            <w:pPr>
              <w:rPr>
                <w:rFonts w:ascii="Arial Narrow" w:hAnsi="Arial Narrow" w:cs="Arial"/>
                <w:i/>
                <w:sz w:val="20"/>
                <w:szCs w:val="20"/>
              </w:rPr>
            </w:pPr>
            <w:r w:rsidRPr="00731100">
              <w:rPr>
                <w:rFonts w:ascii="Arial Narrow" w:hAnsi="Arial Narrow" w:cs="Arial"/>
                <w:sz w:val="20"/>
                <w:szCs w:val="20"/>
              </w:rPr>
              <w:t xml:space="preserve">The patient must have </w:t>
            </w:r>
            <w:r w:rsidR="00E22F33" w:rsidRPr="00731100">
              <w:rPr>
                <w:rFonts w:ascii="Arial Narrow" w:hAnsi="Arial Narrow" w:cs="Arial"/>
                <w:i/>
                <w:sz w:val="20"/>
                <w:szCs w:val="20"/>
              </w:rPr>
              <w:t xml:space="preserve">evidence of one or more </w:t>
            </w:r>
            <w:r w:rsidRPr="00731100">
              <w:rPr>
                <w:rFonts w:ascii="Arial Narrow" w:hAnsi="Arial Narrow" w:cs="Arial"/>
                <w:sz w:val="20"/>
                <w:szCs w:val="20"/>
              </w:rPr>
              <w:t>17p</w:t>
            </w:r>
            <w:r w:rsidR="00602799" w:rsidRPr="00731100">
              <w:rPr>
                <w:rFonts w:ascii="Arial Narrow" w:hAnsi="Arial Narrow" w:cs="Arial"/>
                <w:sz w:val="20"/>
                <w:szCs w:val="20"/>
              </w:rPr>
              <w:t xml:space="preserve"> </w:t>
            </w:r>
            <w:r w:rsidR="00602799" w:rsidRPr="00731100">
              <w:rPr>
                <w:rFonts w:ascii="Arial Narrow" w:hAnsi="Arial Narrow" w:cs="Arial"/>
                <w:i/>
                <w:sz w:val="20"/>
                <w:szCs w:val="20"/>
              </w:rPr>
              <w:t>chromosomal</w:t>
            </w:r>
            <w:r w:rsidRPr="00731100">
              <w:rPr>
                <w:rFonts w:ascii="Arial Narrow" w:hAnsi="Arial Narrow" w:cs="Arial"/>
                <w:sz w:val="20"/>
                <w:szCs w:val="20"/>
              </w:rPr>
              <w:t xml:space="preserve"> deletion</w:t>
            </w:r>
            <w:r w:rsidR="00E22F33" w:rsidRPr="00731100">
              <w:rPr>
                <w:rFonts w:ascii="Arial Narrow" w:hAnsi="Arial Narrow" w:cs="Arial"/>
                <w:i/>
                <w:sz w:val="20"/>
                <w:szCs w:val="20"/>
              </w:rPr>
              <w:t>s as demonstrated by</w:t>
            </w:r>
            <w:r w:rsidR="00602799" w:rsidRPr="00731100">
              <w:rPr>
                <w:rFonts w:ascii="Arial Narrow" w:hAnsi="Arial Narrow" w:cs="Arial"/>
                <w:i/>
                <w:sz w:val="20"/>
                <w:szCs w:val="20"/>
              </w:rPr>
              <w:t xml:space="preserve"> fluorescen</w:t>
            </w:r>
            <w:r w:rsidR="00E22F33" w:rsidRPr="00731100">
              <w:rPr>
                <w:rFonts w:ascii="Arial Narrow" w:hAnsi="Arial Narrow" w:cs="Arial"/>
                <w:i/>
                <w:sz w:val="20"/>
                <w:szCs w:val="20"/>
              </w:rPr>
              <w:t>c</w:t>
            </w:r>
            <w:r w:rsidR="00602799" w:rsidRPr="00731100">
              <w:rPr>
                <w:rFonts w:ascii="Arial Narrow" w:hAnsi="Arial Narrow" w:cs="Arial"/>
                <w:i/>
                <w:sz w:val="20"/>
                <w:szCs w:val="20"/>
              </w:rPr>
              <w:t>e in situ hybridisation (FISH)</w:t>
            </w:r>
          </w:p>
          <w:p w:rsidR="00620E98" w:rsidRPr="003A2EA3" w:rsidRDefault="00620E98" w:rsidP="00AF2405">
            <w:pPr>
              <w:rPr>
                <w:rFonts w:ascii="Arial Narrow" w:hAnsi="Arial Narrow" w:cs="Arial"/>
                <w:sz w:val="20"/>
                <w:szCs w:val="20"/>
              </w:rPr>
            </w:pPr>
          </w:p>
          <w:p w:rsidR="00AF2405" w:rsidRPr="003A2EA3" w:rsidRDefault="00AF2405" w:rsidP="00AF2405">
            <w:pPr>
              <w:rPr>
                <w:rFonts w:ascii="Arial Narrow" w:hAnsi="Arial Narrow" w:cs="Arial"/>
                <w:strike/>
                <w:sz w:val="20"/>
                <w:szCs w:val="20"/>
              </w:rPr>
            </w:pPr>
            <w:r w:rsidRPr="003A2EA3">
              <w:rPr>
                <w:rFonts w:ascii="Arial Narrow" w:hAnsi="Arial Narrow" w:cs="Arial"/>
                <w:strike/>
                <w:sz w:val="20"/>
                <w:szCs w:val="20"/>
              </w:rPr>
              <w:t>OR</w:t>
            </w:r>
          </w:p>
          <w:p w:rsidR="00AF2405" w:rsidRPr="003A2EA3" w:rsidRDefault="00AF2405" w:rsidP="00AF2405">
            <w:pPr>
              <w:rPr>
                <w:rFonts w:ascii="Arial Narrow" w:hAnsi="Arial Narrow" w:cs="Arial"/>
                <w:strike/>
                <w:sz w:val="20"/>
                <w:szCs w:val="20"/>
              </w:rPr>
            </w:pPr>
            <w:r w:rsidRPr="003A2EA3">
              <w:rPr>
                <w:rFonts w:ascii="Arial Narrow" w:hAnsi="Arial Narrow" w:cs="Arial"/>
                <w:strike/>
                <w:sz w:val="20"/>
                <w:szCs w:val="20"/>
              </w:rPr>
              <w:t>The condition is considered highly refractory</w:t>
            </w:r>
            <w:r w:rsidR="004B6840" w:rsidRPr="003A2EA3">
              <w:rPr>
                <w:rFonts w:ascii="Arial Narrow" w:hAnsi="Arial Narrow" w:cs="Arial"/>
                <w:strike/>
                <w:sz w:val="20"/>
                <w:szCs w:val="20"/>
              </w:rPr>
              <w:t>.</w:t>
            </w:r>
            <w:r w:rsidRPr="003A2EA3">
              <w:rPr>
                <w:rFonts w:ascii="Arial Narrow" w:hAnsi="Arial Narrow" w:cs="Arial"/>
                <w:strike/>
                <w:sz w:val="20"/>
                <w:szCs w:val="20"/>
              </w:rPr>
              <w:t xml:space="preserve"> due to the following: </w:t>
            </w:r>
          </w:p>
          <w:p w:rsidR="009F015F" w:rsidRPr="003A2EA3" w:rsidRDefault="009F015F" w:rsidP="00AF2405">
            <w:pPr>
              <w:rPr>
                <w:rFonts w:ascii="Arial Narrow" w:hAnsi="Arial Narrow" w:cs="Arial"/>
                <w:strike/>
                <w:sz w:val="20"/>
                <w:szCs w:val="20"/>
              </w:rPr>
            </w:pPr>
          </w:p>
          <w:p w:rsidR="00AF2405" w:rsidRPr="003A2EA3" w:rsidRDefault="00AF2405" w:rsidP="00AF2405">
            <w:pPr>
              <w:rPr>
                <w:rFonts w:ascii="Arial Narrow" w:hAnsi="Arial Narrow" w:cs="Arial"/>
                <w:strike/>
                <w:sz w:val="20"/>
                <w:szCs w:val="20"/>
              </w:rPr>
            </w:pPr>
            <w:r w:rsidRPr="003A2EA3">
              <w:rPr>
                <w:rFonts w:ascii="Arial Narrow" w:hAnsi="Arial Narrow" w:cs="Arial"/>
                <w:strike/>
                <w:sz w:val="20"/>
                <w:szCs w:val="20"/>
              </w:rPr>
              <w:t>-</w:t>
            </w:r>
            <w:r w:rsidRPr="003A2EA3">
              <w:rPr>
                <w:rFonts w:ascii="Arial Narrow" w:hAnsi="Arial Narrow" w:cs="Arial"/>
                <w:strike/>
                <w:sz w:val="20"/>
                <w:szCs w:val="20"/>
              </w:rPr>
              <w:tab/>
              <w:t xml:space="preserve">Relapsed/refractory to at least two prior lines of therapy including at least one line of </w:t>
            </w:r>
            <w:proofErr w:type="spellStart"/>
            <w:r w:rsidRPr="003A2EA3">
              <w:rPr>
                <w:rFonts w:ascii="Arial Narrow" w:hAnsi="Arial Narrow" w:cs="Arial"/>
                <w:strike/>
                <w:sz w:val="20"/>
                <w:szCs w:val="20"/>
              </w:rPr>
              <w:t>chemoimmunotherapy</w:t>
            </w:r>
            <w:proofErr w:type="spellEnd"/>
            <w:r w:rsidRPr="003A2EA3">
              <w:rPr>
                <w:rFonts w:ascii="Arial Narrow" w:hAnsi="Arial Narrow" w:cs="Arial"/>
                <w:strike/>
                <w:sz w:val="20"/>
                <w:szCs w:val="20"/>
              </w:rPr>
              <w:t>;  AND</w:t>
            </w:r>
          </w:p>
          <w:p w:rsidR="00AF2405" w:rsidRPr="003A2EA3" w:rsidRDefault="00AF2405" w:rsidP="00AF2405">
            <w:pPr>
              <w:rPr>
                <w:rFonts w:ascii="Arial Narrow" w:hAnsi="Arial Narrow" w:cs="Arial"/>
                <w:strike/>
                <w:sz w:val="20"/>
                <w:szCs w:val="20"/>
              </w:rPr>
            </w:pPr>
            <w:r w:rsidRPr="003A2EA3">
              <w:rPr>
                <w:rFonts w:ascii="Arial Narrow" w:hAnsi="Arial Narrow" w:cs="Arial"/>
                <w:strike/>
                <w:sz w:val="20"/>
                <w:szCs w:val="20"/>
              </w:rPr>
              <w:t>-</w:t>
            </w:r>
            <w:r w:rsidRPr="003A2EA3">
              <w:rPr>
                <w:rFonts w:ascii="Arial Narrow" w:hAnsi="Arial Narrow" w:cs="Arial"/>
                <w:strike/>
                <w:sz w:val="20"/>
                <w:szCs w:val="20"/>
              </w:rPr>
              <w:tab/>
              <w:t>Intolerant to or inadequately responsive to B-cell receptor signal inhibitors [on the assumption that at least one B-cell receptor signal inhibitor is PBS listed].</w:t>
            </w:r>
          </w:p>
          <w:p w:rsidR="00AF2405" w:rsidRPr="003A2EA3" w:rsidRDefault="00AF2405" w:rsidP="00AF2405">
            <w:pPr>
              <w:rPr>
                <w:rFonts w:ascii="Arial Narrow" w:hAnsi="Arial Narrow" w:cs="Arial"/>
                <w:strike/>
                <w:sz w:val="20"/>
                <w:szCs w:val="20"/>
              </w:rPr>
            </w:pPr>
          </w:p>
          <w:p w:rsidR="00826F6D" w:rsidRPr="003A2EA3" w:rsidRDefault="00AF2405" w:rsidP="009F015F">
            <w:pPr>
              <w:rPr>
                <w:rFonts w:ascii="Arial Narrow" w:hAnsi="Arial Narrow" w:cs="Arial"/>
                <w:strike/>
                <w:sz w:val="20"/>
                <w:szCs w:val="20"/>
              </w:rPr>
            </w:pPr>
            <w:r w:rsidRPr="003A2EA3">
              <w:rPr>
                <w:rFonts w:ascii="Arial Narrow" w:hAnsi="Arial Narrow" w:cs="Arial"/>
                <w:strike/>
                <w:sz w:val="20"/>
                <w:szCs w:val="20"/>
              </w:rPr>
              <w:t>If the patient cannot be treated with a B-cell receptor signal inhibitor (</w:t>
            </w:r>
            <w:proofErr w:type="spellStart"/>
            <w:r w:rsidRPr="003A2EA3">
              <w:rPr>
                <w:rFonts w:ascii="Arial Narrow" w:hAnsi="Arial Narrow" w:cs="Arial"/>
                <w:strike/>
                <w:sz w:val="20"/>
                <w:szCs w:val="20"/>
              </w:rPr>
              <w:t>BCRi</w:t>
            </w:r>
            <w:proofErr w:type="spellEnd"/>
            <w:r w:rsidRPr="003A2EA3">
              <w:rPr>
                <w:rFonts w:ascii="Arial Narrow" w:hAnsi="Arial Narrow" w:cs="Arial"/>
                <w:strike/>
                <w:sz w:val="20"/>
                <w:szCs w:val="20"/>
              </w:rPr>
              <w:t>), or two prior lines of therapy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C56001" w:rsidRPr="003A2EA3" w:rsidRDefault="00954B3C" w:rsidP="009F015F">
            <w:pPr>
              <w:rPr>
                <w:rFonts w:ascii="Arial Narrow" w:hAnsi="Arial Narrow" w:cs="Arial"/>
                <w:sz w:val="20"/>
                <w:szCs w:val="20"/>
              </w:rPr>
            </w:pPr>
            <w:r w:rsidRPr="003A2EA3">
              <w:rPr>
                <w:rFonts w:ascii="Arial Narrow" w:hAnsi="Arial Narrow" w:cs="Arial"/>
                <w:sz w:val="20"/>
                <w:szCs w:val="20"/>
              </w:rPr>
              <w:t>AND</w:t>
            </w:r>
          </w:p>
          <w:p w:rsidR="00B04427" w:rsidRPr="003A2EA3" w:rsidRDefault="00E10054" w:rsidP="009F015F">
            <w:pPr>
              <w:rPr>
                <w:rFonts w:ascii="Arial Narrow" w:hAnsi="Arial Narrow" w:cs="Arial"/>
                <w:i/>
                <w:sz w:val="20"/>
                <w:szCs w:val="20"/>
              </w:rPr>
            </w:pPr>
            <w:r w:rsidRPr="003A2EA3">
              <w:rPr>
                <w:rFonts w:ascii="Arial Narrow" w:hAnsi="Arial Narrow" w:cs="Arial"/>
                <w:i/>
                <w:sz w:val="20"/>
                <w:szCs w:val="20"/>
              </w:rPr>
              <w:t>P</w:t>
            </w:r>
            <w:r w:rsidR="00043D5E" w:rsidRPr="003A2EA3">
              <w:rPr>
                <w:rFonts w:ascii="Arial Narrow" w:hAnsi="Arial Narrow" w:cs="Arial"/>
                <w:i/>
                <w:sz w:val="20"/>
                <w:szCs w:val="20"/>
              </w:rPr>
              <w:t>atient must not have previously received PBS-subsidised treatment with this drug for this condition.</w:t>
            </w:r>
          </w:p>
          <w:p w:rsidR="004B6263" w:rsidRPr="003A2EA3" w:rsidRDefault="004B6263" w:rsidP="009F015F">
            <w:pPr>
              <w:rPr>
                <w:rFonts w:ascii="Arial Narrow" w:hAnsi="Arial Narrow" w:cs="Arial"/>
                <w:i/>
                <w:sz w:val="20"/>
                <w:szCs w:val="20"/>
              </w:rPr>
            </w:pPr>
          </w:p>
          <w:p w:rsidR="004B6263" w:rsidRPr="003A2EA3" w:rsidRDefault="004B6263" w:rsidP="009F015F">
            <w:pPr>
              <w:rPr>
                <w:rFonts w:ascii="Arial Narrow" w:hAnsi="Arial Narrow" w:cs="Arial"/>
                <w:i/>
                <w:sz w:val="20"/>
                <w:szCs w:val="20"/>
              </w:rPr>
            </w:pPr>
            <w:r w:rsidRPr="003A2EA3">
              <w:rPr>
                <w:rFonts w:ascii="Arial Narrow" w:hAnsi="Arial Narrow" w:cs="Arial"/>
                <w:i/>
                <w:sz w:val="20"/>
                <w:szCs w:val="20"/>
              </w:rPr>
              <w:t xml:space="preserve">AND </w:t>
            </w:r>
          </w:p>
          <w:p w:rsidR="004B6263" w:rsidRPr="003A2EA3" w:rsidRDefault="004B6263" w:rsidP="009F015F">
            <w:pPr>
              <w:rPr>
                <w:rFonts w:ascii="Arial Narrow" w:hAnsi="Arial Narrow" w:cs="Arial"/>
                <w:i/>
                <w:sz w:val="20"/>
                <w:szCs w:val="20"/>
              </w:rPr>
            </w:pPr>
          </w:p>
          <w:p w:rsidR="004B6263" w:rsidRPr="003A2EA3" w:rsidRDefault="004B6263" w:rsidP="009F015F">
            <w:pPr>
              <w:rPr>
                <w:rFonts w:ascii="Arial Narrow" w:hAnsi="Arial Narrow" w:cs="Arial"/>
                <w:i/>
                <w:sz w:val="20"/>
                <w:szCs w:val="20"/>
              </w:rPr>
            </w:pPr>
            <w:r w:rsidRPr="003A2EA3">
              <w:rPr>
                <w:rFonts w:ascii="Arial Narrow" w:hAnsi="Arial Narrow" w:cs="Arial"/>
                <w:i/>
                <w:sz w:val="20"/>
                <w:szCs w:val="20"/>
              </w:rPr>
              <w:t xml:space="preserve">Patient must not have previously received PBS-subsidised treatment with </w:t>
            </w:r>
            <w:proofErr w:type="spellStart"/>
            <w:r w:rsidRPr="003A2EA3">
              <w:rPr>
                <w:rFonts w:ascii="Arial Narrow" w:hAnsi="Arial Narrow" w:cs="Arial"/>
                <w:i/>
                <w:sz w:val="20"/>
                <w:szCs w:val="20"/>
              </w:rPr>
              <w:t>ibrutinib</w:t>
            </w:r>
            <w:proofErr w:type="spellEnd"/>
            <w:r w:rsidRPr="003A2EA3">
              <w:rPr>
                <w:rFonts w:ascii="Arial Narrow" w:hAnsi="Arial Narrow" w:cs="Arial"/>
                <w:i/>
                <w:sz w:val="20"/>
                <w:szCs w:val="20"/>
              </w:rPr>
              <w:t xml:space="preserve"> or </w:t>
            </w:r>
            <w:proofErr w:type="spellStart"/>
            <w:r w:rsidRPr="003A2EA3">
              <w:rPr>
                <w:rFonts w:ascii="Arial Narrow" w:hAnsi="Arial Narrow" w:cs="Arial"/>
                <w:i/>
                <w:sz w:val="20"/>
                <w:szCs w:val="20"/>
              </w:rPr>
              <w:t>idelalisib</w:t>
            </w:r>
            <w:proofErr w:type="spellEnd"/>
            <w:r w:rsidRPr="003A2EA3">
              <w:rPr>
                <w:rFonts w:ascii="Arial Narrow" w:hAnsi="Arial Narrow" w:cs="Arial"/>
                <w:i/>
                <w:sz w:val="20"/>
                <w:szCs w:val="20"/>
              </w:rPr>
              <w:t xml:space="preserve"> for this condition</w:t>
            </w:r>
          </w:p>
          <w:p w:rsidR="00954B3C" w:rsidRPr="003A2EA3" w:rsidRDefault="00954B3C" w:rsidP="00537E4D">
            <w:pPr>
              <w:rPr>
                <w:rFonts w:ascii="Arial Narrow" w:hAnsi="Arial Narrow" w:cs="Arial"/>
                <w:i/>
                <w:sz w:val="20"/>
                <w:szCs w:val="20"/>
              </w:rPr>
            </w:pPr>
          </w:p>
        </w:tc>
      </w:tr>
      <w:tr w:rsidR="00826F6D" w:rsidRPr="003A2EA3" w:rsidTr="003D101E">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6F6D" w:rsidRPr="003A2EA3" w:rsidRDefault="00826F6D" w:rsidP="004B6840">
            <w:pPr>
              <w:jc w:val="both"/>
              <w:rPr>
                <w:rFonts w:ascii="Arial Narrow" w:hAnsi="Arial Narrow" w:cs="Arial"/>
                <w:b/>
                <w:sz w:val="20"/>
                <w:szCs w:val="20"/>
              </w:rPr>
            </w:pPr>
            <w:r w:rsidRPr="003A2EA3">
              <w:rPr>
                <w:rFonts w:ascii="Arial Narrow" w:hAnsi="Arial Narrow" w:cs="Arial"/>
                <w:b/>
                <w:sz w:val="20"/>
                <w:szCs w:val="20"/>
              </w:rPr>
              <w:t>Administrative Advice</w:t>
            </w:r>
          </w:p>
        </w:tc>
        <w:tc>
          <w:tcPr>
            <w:tcW w:w="3813" w:type="pct"/>
            <w:tcBorders>
              <w:top w:val="single" w:sz="4" w:space="0" w:color="auto"/>
              <w:left w:val="single" w:sz="4" w:space="0" w:color="auto"/>
              <w:bottom w:val="single" w:sz="4" w:space="0" w:color="auto"/>
              <w:right w:val="single" w:sz="4" w:space="0" w:color="auto"/>
            </w:tcBorders>
          </w:tcPr>
          <w:p w:rsidR="00826F6D" w:rsidRPr="003A2EA3" w:rsidRDefault="004B6840" w:rsidP="009F015F">
            <w:pPr>
              <w:rPr>
                <w:rFonts w:ascii="Arial Narrow" w:hAnsi="Arial Narrow" w:cs="Arial"/>
                <w:sz w:val="20"/>
                <w:szCs w:val="20"/>
              </w:rPr>
            </w:pPr>
            <w:r w:rsidRPr="003A2EA3">
              <w:rPr>
                <w:rFonts w:ascii="Arial Narrow" w:hAnsi="Arial Narrow"/>
                <w:i/>
                <w:sz w:val="20"/>
                <w:szCs w:val="20"/>
              </w:rPr>
              <w:t>Special Pricing Arrangements apply.</w:t>
            </w:r>
          </w:p>
        </w:tc>
      </w:tr>
    </w:tbl>
    <w:p w:rsidR="00826F6D" w:rsidRDefault="00826F6D" w:rsidP="00A3481F">
      <w:pPr>
        <w:rPr>
          <w:rFonts w:asciiTheme="minorHAnsi" w:hAnsiTheme="minorHAnsi"/>
          <w:szCs w:val="22"/>
        </w:rPr>
      </w:pPr>
    </w:p>
    <w:p w:rsidR="000F0D8A" w:rsidRPr="003A2EA3" w:rsidRDefault="000F0D8A" w:rsidP="00A3481F">
      <w:pPr>
        <w:rPr>
          <w:rFonts w:asciiTheme="minorHAnsi" w:hAnsiTheme="minorHAnsi"/>
          <w:szCs w:val="22"/>
        </w:rPr>
      </w:pPr>
    </w:p>
    <w:p w:rsidR="00051A41" w:rsidRPr="003A2EA3" w:rsidRDefault="00051A41" w:rsidP="00A3481F">
      <w:pPr>
        <w:rPr>
          <w:rFonts w:asciiTheme="minorHAnsi" w:hAnsiTheme="minorHAnsi" w:cs="Arial"/>
          <w:b/>
          <w:i/>
          <w:sz w:val="22"/>
          <w:szCs w:val="22"/>
          <w:u w:val="single"/>
        </w:rPr>
      </w:pPr>
      <w:r w:rsidRPr="003A2EA3">
        <w:rPr>
          <w:rFonts w:asciiTheme="minorHAnsi" w:hAnsiTheme="minorHAnsi" w:cs="Arial"/>
          <w:b/>
          <w:i/>
          <w:sz w:val="22"/>
          <w:szCs w:val="22"/>
          <w:u w:val="single"/>
        </w:rPr>
        <w:lastRenderedPageBreak/>
        <w:t>Third</w:t>
      </w:r>
      <w:r w:rsidR="00C5518B" w:rsidRPr="003A2EA3">
        <w:rPr>
          <w:rFonts w:asciiTheme="minorHAnsi" w:hAnsiTheme="minorHAnsi" w:cs="Arial"/>
          <w:b/>
          <w:i/>
          <w:sz w:val="22"/>
          <w:szCs w:val="22"/>
          <w:u w:val="single"/>
        </w:rPr>
        <w:t>-</w:t>
      </w:r>
      <w:r w:rsidRPr="003A2EA3">
        <w:rPr>
          <w:rFonts w:asciiTheme="minorHAnsi" w:hAnsiTheme="minorHAnsi" w:cs="Arial"/>
          <w:b/>
          <w:i/>
          <w:sz w:val="22"/>
          <w:szCs w:val="22"/>
          <w:u w:val="single"/>
        </w:rPr>
        <w:t>line treatment</w:t>
      </w:r>
      <w:r w:rsidR="00A37926" w:rsidRPr="003A2EA3">
        <w:rPr>
          <w:rFonts w:asciiTheme="minorHAnsi" w:hAnsiTheme="minorHAnsi" w:cs="Arial"/>
          <w:b/>
          <w:i/>
          <w:sz w:val="22"/>
          <w:szCs w:val="22"/>
        </w:rPr>
        <w:t>:</w:t>
      </w:r>
    </w:p>
    <w:p w:rsidR="00A37926" w:rsidRPr="003A2EA3" w:rsidRDefault="00A37926" w:rsidP="00A3481F">
      <w:pPr>
        <w:rPr>
          <w:rFonts w:asciiTheme="minorHAnsi" w:hAnsiTheme="minorHAnsi" w:cs="Arial"/>
          <w:sz w:val="22"/>
          <w:szCs w:val="22"/>
        </w:rPr>
      </w:pPr>
    </w:p>
    <w:tbl>
      <w:tblPr>
        <w:tblW w:w="5000" w:type="pct"/>
        <w:tblLook w:val="0000" w:firstRow="0" w:lastRow="0" w:firstColumn="0" w:lastColumn="0" w:noHBand="0" w:noVBand="0"/>
      </w:tblPr>
      <w:tblGrid>
        <w:gridCol w:w="2194"/>
        <w:gridCol w:w="7048"/>
      </w:tblGrid>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Category / Program</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3A2EA3">
              <w:rPr>
                <w:rFonts w:ascii="Arial Narrow" w:hAnsi="Arial Narrow" w:cs="Arial"/>
                <w:sz w:val="20"/>
                <w:szCs w:val="20"/>
              </w:rPr>
              <w:t>GENERAL – General Schedule (Code GE)</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Prescriber type:</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 xml:space="preserve">Dental  </w:t>
            </w:r>
            <w:r w:rsidRPr="00D05FB9">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 xml:space="preserve">Medical Practitioners  </w:t>
            </w:r>
            <w:r w:rsidRPr="00D05FB9">
              <w:rPr>
                <w:rFonts w:ascii="Arial Narrow" w:hAnsi="Arial Narrow" w:cs="Arial"/>
                <w:sz w:val="20"/>
                <w:szCs w:val="20"/>
              </w:rPr>
              <w:fldChar w:fldCharType="begin">
                <w:ffData>
                  <w:name w:val="Check3"/>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 xml:space="preserve">Nurse practitioners  </w:t>
            </w:r>
            <w:r w:rsidRPr="00D05FB9">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Optometrists</w:t>
            </w:r>
          </w:p>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Midwives</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Severity:</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70335D">
            <w:pPr>
              <w:rPr>
                <w:rFonts w:ascii="Arial Narrow" w:hAnsi="Arial Narrow" w:cs="Arial"/>
                <w:sz w:val="20"/>
                <w:szCs w:val="20"/>
              </w:rPr>
            </w:pPr>
            <w:r w:rsidRPr="003A2EA3">
              <w:rPr>
                <w:rFonts w:ascii="Arial Narrow" w:hAnsi="Arial Narrow" w:cs="Arial"/>
                <w:sz w:val="20"/>
                <w:szCs w:val="20"/>
              </w:rPr>
              <w:t>Relapsed</w:t>
            </w:r>
            <w:r w:rsidR="0070335D" w:rsidRPr="003A2EA3">
              <w:rPr>
                <w:rFonts w:ascii="Arial Narrow" w:hAnsi="Arial Narrow" w:cs="Arial"/>
                <w:sz w:val="20"/>
                <w:szCs w:val="20"/>
              </w:rPr>
              <w:t xml:space="preserve"> or </w:t>
            </w:r>
            <w:r w:rsidRPr="003A2EA3">
              <w:rPr>
                <w:rFonts w:ascii="Arial Narrow" w:hAnsi="Arial Narrow" w:cs="Arial"/>
                <w:sz w:val="20"/>
                <w:szCs w:val="20"/>
              </w:rPr>
              <w:t>refractory</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Condition:</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3A2EA3">
              <w:rPr>
                <w:rFonts w:ascii="Arial Narrow" w:hAnsi="Arial Narrow" w:cs="Arial"/>
                <w:sz w:val="20"/>
                <w:szCs w:val="20"/>
              </w:rPr>
              <w:t>Chronic lymphocytic leukaemia</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PBS Indication:</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70335D">
            <w:pPr>
              <w:rPr>
                <w:rFonts w:ascii="Arial Narrow" w:hAnsi="Arial Narrow" w:cs="Arial"/>
                <w:sz w:val="20"/>
                <w:szCs w:val="20"/>
              </w:rPr>
            </w:pPr>
            <w:r w:rsidRPr="003A2EA3">
              <w:rPr>
                <w:rFonts w:ascii="Arial Narrow" w:hAnsi="Arial Narrow" w:cs="Arial"/>
                <w:sz w:val="20"/>
                <w:szCs w:val="20"/>
              </w:rPr>
              <w:t>Relapsed</w:t>
            </w:r>
            <w:r w:rsidR="0070335D" w:rsidRPr="003A2EA3">
              <w:rPr>
                <w:rFonts w:ascii="Arial Narrow" w:hAnsi="Arial Narrow" w:cs="Arial"/>
                <w:sz w:val="20"/>
                <w:szCs w:val="20"/>
              </w:rPr>
              <w:t xml:space="preserve"> or </w:t>
            </w:r>
            <w:r w:rsidRPr="003A2EA3">
              <w:rPr>
                <w:rFonts w:ascii="Arial Narrow" w:hAnsi="Arial Narrow" w:cs="Arial"/>
                <w:sz w:val="20"/>
                <w:szCs w:val="20"/>
              </w:rPr>
              <w:t>refractory chronic lymphocytic leukaemia</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Treatment phase:</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3A2EA3">
              <w:rPr>
                <w:rFonts w:ascii="Arial Narrow" w:hAnsi="Arial Narrow" w:cs="Arial"/>
                <w:sz w:val="20"/>
                <w:szCs w:val="20"/>
              </w:rPr>
              <w:t>Initial treatment</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Restriction Level / Method:</w:t>
            </w:r>
          </w:p>
          <w:p w:rsidR="000D0042" w:rsidRPr="003A2EA3" w:rsidRDefault="000D0042" w:rsidP="00343F96">
            <w:pPr>
              <w:rPr>
                <w:rFonts w:ascii="Arial Narrow" w:hAnsi="Arial Narrow" w:cs="Arial"/>
                <w:sz w:val="20"/>
                <w:szCs w:val="20"/>
              </w:rPr>
            </w:pP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Restricted benefit</w:t>
            </w:r>
          </w:p>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Authority Required - In Writing</w:t>
            </w:r>
          </w:p>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Check3"/>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Authority Required - Telephone</w:t>
            </w:r>
          </w:p>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Authority Required – Emergency</w:t>
            </w:r>
          </w:p>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Authority Required - Electronic</w:t>
            </w:r>
          </w:p>
          <w:p w:rsidR="000D0042" w:rsidRPr="003A2EA3" w:rsidRDefault="000D0042" w:rsidP="00343F96">
            <w:pPr>
              <w:rPr>
                <w:rFonts w:ascii="Arial Narrow" w:hAnsi="Arial Narrow" w:cs="Arial"/>
                <w:sz w:val="20"/>
                <w:szCs w:val="20"/>
              </w:rPr>
            </w:pPr>
            <w:r w:rsidRPr="00D05FB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D05FB9">
              <w:rPr>
                <w:rFonts w:ascii="Arial Narrow" w:hAnsi="Arial Narrow" w:cs="Arial"/>
                <w:sz w:val="20"/>
                <w:szCs w:val="20"/>
              </w:rPr>
              <w:fldChar w:fldCharType="end"/>
            </w:r>
            <w:r w:rsidRPr="003A2EA3">
              <w:rPr>
                <w:rFonts w:ascii="Arial Narrow" w:hAnsi="Arial Narrow" w:cs="Arial"/>
                <w:sz w:val="20"/>
                <w:szCs w:val="20"/>
              </w:rPr>
              <w:t>Streamlined</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sz w:val="20"/>
                <w:szCs w:val="20"/>
              </w:rPr>
            </w:pPr>
            <w:r w:rsidRPr="003A2EA3">
              <w:rPr>
                <w:rFonts w:ascii="Arial Narrow" w:hAnsi="Arial Narrow" w:cs="Arial"/>
                <w:b/>
                <w:sz w:val="20"/>
                <w:szCs w:val="20"/>
              </w:rPr>
              <w:t>Clinical criteria:</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B46B52">
              <w:rPr>
                <w:rFonts w:ascii="Arial Narrow" w:hAnsi="Arial Narrow" w:cs="Arial"/>
                <w:i/>
                <w:sz w:val="20"/>
                <w:szCs w:val="20"/>
              </w:rPr>
              <w:t xml:space="preserve">The condition must have relapsed or be refractory to </w:t>
            </w:r>
            <w:r w:rsidR="00B51A1C" w:rsidRPr="00B46B52">
              <w:rPr>
                <w:rFonts w:ascii="Arial Narrow" w:hAnsi="Arial Narrow" w:cs="Arial"/>
                <w:i/>
                <w:sz w:val="20"/>
                <w:szCs w:val="20"/>
              </w:rPr>
              <w:t>at least two</w:t>
            </w:r>
            <w:r w:rsidRPr="00B46B52">
              <w:rPr>
                <w:rFonts w:ascii="Arial Narrow" w:hAnsi="Arial Narrow" w:cs="Arial"/>
                <w:i/>
                <w:sz w:val="20"/>
                <w:szCs w:val="20"/>
              </w:rPr>
              <w:t xml:space="preserve"> prior therap</w:t>
            </w:r>
            <w:r w:rsidR="00B51A1C" w:rsidRPr="00B46B52">
              <w:rPr>
                <w:rFonts w:ascii="Arial Narrow" w:hAnsi="Arial Narrow" w:cs="Arial"/>
                <w:i/>
                <w:sz w:val="20"/>
                <w:szCs w:val="20"/>
              </w:rPr>
              <w:t>ies</w:t>
            </w:r>
            <w:r w:rsidR="00253DEE" w:rsidRPr="00B46B52">
              <w:rPr>
                <w:rFonts w:ascii="Arial Narrow" w:hAnsi="Arial Narrow" w:cs="Arial"/>
                <w:i/>
                <w:sz w:val="20"/>
                <w:szCs w:val="20"/>
              </w:rPr>
              <w:t xml:space="preserve"> which </w:t>
            </w:r>
            <w:r w:rsidR="00C608CC" w:rsidRPr="00B46B52">
              <w:rPr>
                <w:rFonts w:ascii="Arial Narrow" w:hAnsi="Arial Narrow" w:cs="Arial"/>
                <w:i/>
                <w:sz w:val="20"/>
                <w:szCs w:val="20"/>
              </w:rPr>
              <w:t xml:space="preserve">must include a line of </w:t>
            </w:r>
            <w:r w:rsidR="00CC1A3C" w:rsidRPr="00B46B52">
              <w:rPr>
                <w:rFonts w:ascii="Arial Narrow" w:hAnsi="Arial Narrow" w:cs="Arial"/>
                <w:i/>
                <w:sz w:val="20"/>
                <w:szCs w:val="20"/>
              </w:rPr>
              <w:t xml:space="preserve">treatment with </w:t>
            </w:r>
            <w:r w:rsidR="0006605D" w:rsidRPr="00B46B52">
              <w:rPr>
                <w:rFonts w:ascii="Arial Narrow" w:hAnsi="Arial Narrow" w:cs="Arial"/>
                <w:i/>
                <w:sz w:val="20"/>
                <w:szCs w:val="20"/>
              </w:rPr>
              <w:t>a B-cell receptor signal inhibitor</w:t>
            </w:r>
            <w:r w:rsidR="00681389" w:rsidRPr="00B46B52">
              <w:rPr>
                <w:rFonts w:ascii="Arial Narrow" w:hAnsi="Arial Narrow" w:cs="Arial"/>
                <w:sz w:val="20"/>
                <w:szCs w:val="20"/>
              </w:rPr>
              <w:t>.</w:t>
            </w:r>
          </w:p>
          <w:p w:rsidR="000D0042" w:rsidRPr="003A2EA3" w:rsidRDefault="000D0042" w:rsidP="00343F96">
            <w:pPr>
              <w:rPr>
                <w:rFonts w:ascii="Arial Narrow" w:hAnsi="Arial Narrow" w:cs="Arial"/>
                <w:sz w:val="20"/>
                <w:szCs w:val="20"/>
              </w:rPr>
            </w:pPr>
          </w:p>
          <w:p w:rsidR="0006605D" w:rsidRPr="003A2EA3" w:rsidRDefault="00CD5BCB" w:rsidP="00343F96">
            <w:pPr>
              <w:rPr>
                <w:rFonts w:ascii="Arial Narrow" w:hAnsi="Arial Narrow" w:cs="Arial"/>
                <w:sz w:val="20"/>
                <w:szCs w:val="20"/>
              </w:rPr>
            </w:pPr>
            <w:r w:rsidRPr="003A2EA3">
              <w:rPr>
                <w:rFonts w:ascii="Arial Narrow" w:hAnsi="Arial Narrow" w:cs="Arial"/>
                <w:sz w:val="20"/>
                <w:szCs w:val="20"/>
              </w:rPr>
              <w:t>AND</w:t>
            </w:r>
          </w:p>
          <w:p w:rsidR="000D0042" w:rsidRPr="003A2EA3" w:rsidRDefault="000D0042" w:rsidP="00343F96">
            <w:pPr>
              <w:rPr>
                <w:rFonts w:ascii="Arial Narrow" w:hAnsi="Arial Narrow" w:cs="Arial"/>
                <w:sz w:val="20"/>
                <w:szCs w:val="20"/>
              </w:rPr>
            </w:pPr>
          </w:p>
          <w:p w:rsidR="000D0042" w:rsidRPr="003A2EA3" w:rsidRDefault="000D0042" w:rsidP="00343F96">
            <w:pPr>
              <w:rPr>
                <w:rFonts w:ascii="Arial Narrow" w:hAnsi="Arial Narrow" w:cs="Arial"/>
                <w:sz w:val="20"/>
                <w:szCs w:val="20"/>
              </w:rPr>
            </w:pPr>
            <w:r w:rsidRPr="003A2EA3">
              <w:rPr>
                <w:rFonts w:ascii="Arial Narrow" w:hAnsi="Arial Narrow" w:cs="Arial"/>
                <w:i/>
                <w:sz w:val="20"/>
                <w:szCs w:val="20"/>
              </w:rPr>
              <w:t xml:space="preserve">The treatment </w:t>
            </w:r>
            <w:r w:rsidRPr="003A2EA3">
              <w:rPr>
                <w:rFonts w:ascii="Arial Narrow" w:hAnsi="Arial Narrow" w:cs="Arial"/>
                <w:sz w:val="20"/>
                <w:szCs w:val="20"/>
              </w:rPr>
              <w:t>must be as monotherapy</w:t>
            </w:r>
          </w:p>
          <w:p w:rsidR="000D0042" w:rsidRPr="003A2EA3" w:rsidRDefault="000D0042" w:rsidP="00343F96">
            <w:pPr>
              <w:rPr>
                <w:rFonts w:ascii="Arial Narrow" w:hAnsi="Arial Narrow" w:cs="Arial"/>
                <w:sz w:val="20"/>
                <w:szCs w:val="20"/>
              </w:rPr>
            </w:pPr>
          </w:p>
          <w:p w:rsidR="000D0042" w:rsidRPr="003A2EA3" w:rsidRDefault="000D0042" w:rsidP="00343F96">
            <w:pPr>
              <w:rPr>
                <w:rFonts w:ascii="Arial Narrow" w:hAnsi="Arial Narrow" w:cs="Arial"/>
                <w:sz w:val="20"/>
                <w:szCs w:val="20"/>
              </w:rPr>
            </w:pPr>
            <w:r w:rsidRPr="003A2EA3">
              <w:rPr>
                <w:rFonts w:ascii="Arial Narrow" w:hAnsi="Arial Narrow" w:cs="Arial"/>
                <w:sz w:val="20"/>
                <w:szCs w:val="20"/>
              </w:rPr>
              <w:t>AND</w:t>
            </w:r>
          </w:p>
          <w:p w:rsidR="00F23E8E" w:rsidRPr="003A2EA3" w:rsidRDefault="00F23E8E" w:rsidP="00343F96">
            <w:pPr>
              <w:rPr>
                <w:rFonts w:ascii="Arial Narrow" w:hAnsi="Arial Narrow" w:cs="Arial"/>
                <w:sz w:val="20"/>
                <w:szCs w:val="20"/>
              </w:rPr>
            </w:pPr>
          </w:p>
          <w:p w:rsidR="000D0042" w:rsidRPr="003A2EA3" w:rsidRDefault="00F23D76" w:rsidP="0030049E">
            <w:pPr>
              <w:rPr>
                <w:rFonts w:ascii="Arial Narrow" w:hAnsi="Arial Narrow" w:cs="Arial"/>
                <w:i/>
                <w:sz w:val="20"/>
                <w:szCs w:val="20"/>
              </w:rPr>
            </w:pPr>
            <w:r w:rsidRPr="003A2EA3">
              <w:rPr>
                <w:rFonts w:ascii="Arial Narrow" w:hAnsi="Arial Narrow" w:cs="Arial"/>
                <w:i/>
                <w:sz w:val="20"/>
                <w:szCs w:val="20"/>
              </w:rPr>
              <w:t>P</w:t>
            </w:r>
            <w:r w:rsidR="000D0042" w:rsidRPr="003A2EA3">
              <w:rPr>
                <w:rFonts w:ascii="Arial Narrow" w:hAnsi="Arial Narrow" w:cs="Arial"/>
                <w:i/>
                <w:sz w:val="20"/>
                <w:szCs w:val="20"/>
              </w:rPr>
              <w:t>atient must not have previously received PBS-subsidised treatment with this drug for this condition.</w:t>
            </w:r>
          </w:p>
        </w:tc>
      </w:tr>
      <w:tr w:rsidR="000D0042"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jc w:val="both"/>
              <w:rPr>
                <w:rFonts w:ascii="Arial Narrow" w:hAnsi="Arial Narrow" w:cs="Arial"/>
                <w:b/>
                <w:sz w:val="20"/>
                <w:szCs w:val="20"/>
              </w:rPr>
            </w:pPr>
            <w:r w:rsidRPr="003A2EA3">
              <w:rPr>
                <w:rFonts w:ascii="Arial Narrow" w:hAnsi="Arial Narrow" w:cs="Arial"/>
                <w:b/>
                <w:sz w:val="20"/>
                <w:szCs w:val="20"/>
              </w:rPr>
              <w:t>Administrative Advice</w:t>
            </w:r>
          </w:p>
        </w:tc>
        <w:tc>
          <w:tcPr>
            <w:tcW w:w="3813" w:type="pct"/>
            <w:tcBorders>
              <w:top w:val="single" w:sz="4" w:space="0" w:color="auto"/>
              <w:left w:val="single" w:sz="4" w:space="0" w:color="auto"/>
              <w:bottom w:val="single" w:sz="4" w:space="0" w:color="auto"/>
              <w:right w:val="single" w:sz="4" w:space="0" w:color="auto"/>
            </w:tcBorders>
          </w:tcPr>
          <w:p w:rsidR="000D0042" w:rsidRPr="003A2EA3" w:rsidRDefault="000D0042" w:rsidP="00343F96">
            <w:pPr>
              <w:rPr>
                <w:rFonts w:ascii="Arial Narrow" w:hAnsi="Arial Narrow" w:cs="Arial"/>
                <w:sz w:val="20"/>
                <w:szCs w:val="20"/>
              </w:rPr>
            </w:pPr>
            <w:r w:rsidRPr="003A2EA3">
              <w:rPr>
                <w:rFonts w:ascii="Arial Narrow" w:hAnsi="Arial Narrow"/>
                <w:i/>
                <w:sz w:val="20"/>
                <w:szCs w:val="20"/>
              </w:rPr>
              <w:t>Special Pricing Arrangements apply.</w:t>
            </w:r>
          </w:p>
        </w:tc>
      </w:tr>
    </w:tbl>
    <w:p w:rsidR="00AB713A" w:rsidRPr="003A2EA3" w:rsidRDefault="00AB713A" w:rsidP="00A3481F">
      <w:pPr>
        <w:rPr>
          <w:rFonts w:asciiTheme="minorHAnsi" w:hAnsiTheme="minorHAnsi" w:cs="Arial"/>
          <w:sz w:val="22"/>
          <w:szCs w:val="22"/>
        </w:rPr>
      </w:pPr>
    </w:p>
    <w:p w:rsidR="00D504CB" w:rsidRDefault="00D504CB" w:rsidP="00A3481F">
      <w:pPr>
        <w:rPr>
          <w:rFonts w:asciiTheme="minorHAnsi" w:hAnsiTheme="minorHAnsi" w:cs="Arial"/>
          <w:b/>
          <w:i/>
          <w:sz w:val="22"/>
          <w:szCs w:val="22"/>
          <w:u w:val="single"/>
        </w:rPr>
      </w:pPr>
      <w:r>
        <w:rPr>
          <w:rFonts w:asciiTheme="minorHAnsi" w:hAnsiTheme="minorHAnsi" w:cs="Arial"/>
          <w:b/>
          <w:i/>
          <w:sz w:val="22"/>
          <w:szCs w:val="22"/>
          <w:u w:val="single"/>
        </w:rPr>
        <w:br w:type="page"/>
      </w:r>
    </w:p>
    <w:p w:rsidR="00542DCD" w:rsidRPr="003A2EA3" w:rsidRDefault="00542DCD" w:rsidP="00A3481F">
      <w:pPr>
        <w:rPr>
          <w:rFonts w:asciiTheme="minorHAnsi" w:hAnsiTheme="minorHAnsi" w:cs="Arial"/>
          <w:b/>
          <w:i/>
          <w:sz w:val="22"/>
          <w:szCs w:val="22"/>
        </w:rPr>
      </w:pPr>
      <w:r w:rsidRPr="003A2EA3">
        <w:rPr>
          <w:rFonts w:asciiTheme="minorHAnsi" w:hAnsiTheme="minorHAnsi" w:cs="Arial"/>
          <w:b/>
          <w:i/>
          <w:sz w:val="22"/>
          <w:szCs w:val="22"/>
          <w:u w:val="single"/>
        </w:rPr>
        <w:t>Second</w:t>
      </w:r>
      <w:r w:rsidR="00204058" w:rsidRPr="003A2EA3">
        <w:rPr>
          <w:rFonts w:asciiTheme="minorHAnsi" w:hAnsiTheme="minorHAnsi" w:cs="Arial"/>
          <w:b/>
          <w:i/>
          <w:sz w:val="22"/>
          <w:szCs w:val="22"/>
          <w:u w:val="single"/>
        </w:rPr>
        <w:t>-</w:t>
      </w:r>
      <w:r w:rsidRPr="003A2EA3">
        <w:rPr>
          <w:rFonts w:asciiTheme="minorHAnsi" w:hAnsiTheme="minorHAnsi" w:cs="Arial"/>
          <w:b/>
          <w:i/>
          <w:sz w:val="22"/>
          <w:szCs w:val="22"/>
          <w:u w:val="single"/>
        </w:rPr>
        <w:t xml:space="preserve"> and third</w:t>
      </w:r>
      <w:r w:rsidR="00204058" w:rsidRPr="003A2EA3">
        <w:rPr>
          <w:rFonts w:asciiTheme="minorHAnsi" w:hAnsiTheme="minorHAnsi" w:cs="Arial"/>
          <w:b/>
          <w:i/>
          <w:sz w:val="22"/>
          <w:szCs w:val="22"/>
          <w:u w:val="single"/>
        </w:rPr>
        <w:t>-</w:t>
      </w:r>
      <w:r w:rsidRPr="003A2EA3">
        <w:rPr>
          <w:rFonts w:asciiTheme="minorHAnsi" w:hAnsiTheme="minorHAnsi" w:cs="Arial"/>
          <w:b/>
          <w:i/>
          <w:sz w:val="22"/>
          <w:szCs w:val="22"/>
          <w:u w:val="single"/>
        </w:rPr>
        <w:t>line treatment – continuing treatment</w:t>
      </w:r>
      <w:r w:rsidR="001660B1" w:rsidRPr="003A2EA3">
        <w:rPr>
          <w:rFonts w:asciiTheme="minorHAnsi" w:hAnsiTheme="minorHAnsi" w:cs="Arial"/>
          <w:b/>
          <w:i/>
          <w:sz w:val="22"/>
          <w:szCs w:val="22"/>
        </w:rPr>
        <w:t>:</w:t>
      </w:r>
    </w:p>
    <w:p w:rsidR="00542DCD" w:rsidRPr="003A2EA3" w:rsidRDefault="00542DCD" w:rsidP="00A3481F">
      <w:pPr>
        <w:rPr>
          <w:rFonts w:asciiTheme="minorHAnsi" w:hAnsiTheme="minorHAnsi" w:cs="Arial"/>
          <w:sz w:val="22"/>
          <w:szCs w:val="22"/>
        </w:rPr>
      </w:pPr>
    </w:p>
    <w:tbl>
      <w:tblPr>
        <w:tblW w:w="5000" w:type="pct"/>
        <w:tblLook w:val="0000" w:firstRow="0" w:lastRow="0" w:firstColumn="0" w:lastColumn="0" w:noHBand="0" w:noVBand="0"/>
      </w:tblPr>
      <w:tblGrid>
        <w:gridCol w:w="2194"/>
        <w:gridCol w:w="7048"/>
      </w:tblGrid>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Category / Program</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GENERAL – General Schedule (Code GE)</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Prescriber type:</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Check1"/>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 xml:space="preserve">Dental  </w:t>
            </w:r>
            <w:r w:rsidRPr="00D05FB9">
              <w:rPr>
                <w:rFonts w:ascii="Arial Narrow" w:hAnsi="Arial Narrow" w:cs="Arial"/>
                <w:i/>
                <w:sz w:val="20"/>
                <w:szCs w:val="20"/>
              </w:rPr>
              <w:fldChar w:fldCharType="begin">
                <w:ffData>
                  <w:name w:val=""/>
                  <w:enabled/>
                  <w:calcOnExit w:val="0"/>
                  <w:checkBox>
                    <w:sizeAuto/>
                    <w:default w:val="1"/>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 xml:space="preserve">Medical Practitioners  </w:t>
            </w:r>
            <w:r w:rsidRPr="00D05FB9">
              <w:rPr>
                <w:rFonts w:ascii="Arial Narrow" w:hAnsi="Arial Narrow" w:cs="Arial"/>
                <w:i/>
                <w:sz w:val="20"/>
                <w:szCs w:val="20"/>
              </w:rPr>
              <w:fldChar w:fldCharType="begin">
                <w:ffData>
                  <w:name w:val="Check3"/>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 xml:space="preserve">Nurse practitioners  </w:t>
            </w:r>
            <w:r w:rsidRPr="00D05FB9">
              <w:rPr>
                <w:rFonts w:ascii="Arial Narrow" w:hAnsi="Arial Narrow" w:cs="Arial"/>
                <w:i/>
                <w:sz w:val="20"/>
                <w:szCs w:val="20"/>
              </w:rPr>
              <w:fldChar w:fldCharType="begin">
                <w:ffData>
                  <w:name w:val=""/>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Optometrists</w:t>
            </w:r>
          </w:p>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Check5"/>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Midwives</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Severity:</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70335D">
            <w:pPr>
              <w:rPr>
                <w:rFonts w:ascii="Arial Narrow" w:hAnsi="Arial Narrow" w:cs="Arial"/>
                <w:i/>
                <w:sz w:val="20"/>
                <w:szCs w:val="20"/>
              </w:rPr>
            </w:pPr>
            <w:r w:rsidRPr="003A2EA3">
              <w:rPr>
                <w:rFonts w:ascii="Arial Narrow" w:hAnsi="Arial Narrow" w:cs="Arial"/>
                <w:i/>
                <w:sz w:val="20"/>
                <w:szCs w:val="20"/>
              </w:rPr>
              <w:t>Relapsed</w:t>
            </w:r>
            <w:r w:rsidR="0070335D" w:rsidRPr="003A2EA3">
              <w:rPr>
                <w:rFonts w:ascii="Arial Narrow" w:hAnsi="Arial Narrow" w:cs="Arial"/>
                <w:i/>
                <w:sz w:val="20"/>
                <w:szCs w:val="20"/>
              </w:rPr>
              <w:t xml:space="preserve"> or </w:t>
            </w:r>
            <w:r w:rsidRPr="003A2EA3">
              <w:rPr>
                <w:rFonts w:ascii="Arial Narrow" w:hAnsi="Arial Narrow" w:cs="Arial"/>
                <w:i/>
                <w:sz w:val="20"/>
                <w:szCs w:val="20"/>
              </w:rPr>
              <w:t>refractory</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Condition:</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Chronic lymphocytic leukaemia</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PBS Indication:</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70335D" w:rsidP="00343F96">
            <w:pPr>
              <w:rPr>
                <w:rFonts w:ascii="Arial Narrow" w:hAnsi="Arial Narrow" w:cs="Arial"/>
                <w:i/>
                <w:sz w:val="20"/>
                <w:szCs w:val="20"/>
              </w:rPr>
            </w:pPr>
            <w:r w:rsidRPr="003A2EA3">
              <w:rPr>
                <w:rFonts w:ascii="Arial Narrow" w:hAnsi="Arial Narrow" w:cs="Arial"/>
                <w:i/>
                <w:sz w:val="20"/>
                <w:szCs w:val="20"/>
              </w:rPr>
              <w:t xml:space="preserve">Relapsed or </w:t>
            </w:r>
            <w:r w:rsidR="00542DCD" w:rsidRPr="003A2EA3">
              <w:rPr>
                <w:rFonts w:ascii="Arial Narrow" w:hAnsi="Arial Narrow" w:cs="Arial"/>
                <w:i/>
                <w:sz w:val="20"/>
                <w:szCs w:val="20"/>
              </w:rPr>
              <w:t>refractory chronic lymphocytic leukaemia</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Treatment phase:</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Continuing treatment</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Restriction Level / Method:</w:t>
            </w:r>
          </w:p>
          <w:p w:rsidR="00542DCD" w:rsidRPr="003A2EA3" w:rsidRDefault="00542DCD" w:rsidP="00343F96">
            <w:pPr>
              <w:rPr>
                <w:rFonts w:ascii="Arial Narrow" w:hAnsi="Arial Narrow" w:cs="Arial"/>
                <w:i/>
                <w:sz w:val="20"/>
                <w:szCs w:val="20"/>
              </w:rPr>
            </w:pP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Check1"/>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Restricted benefit</w:t>
            </w:r>
          </w:p>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
                  <w:enabled/>
                  <w:calcOnExit w:val="0"/>
                  <w:checkBox>
                    <w:sizeAuto/>
                    <w:default w:val="1"/>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Authority Required - In Writing</w:t>
            </w:r>
          </w:p>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Check3"/>
                  <w:enabled/>
                  <w:calcOnExit w:val="0"/>
                  <w:checkBox>
                    <w:sizeAuto/>
                    <w:default w:val="1"/>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Authority Required - Telephone</w:t>
            </w:r>
          </w:p>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Authority Required – Emergency</w:t>
            </w:r>
          </w:p>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Check5"/>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Authority Required - Electronic</w:t>
            </w:r>
          </w:p>
          <w:p w:rsidR="00542DCD" w:rsidRPr="003A2EA3" w:rsidRDefault="00542DCD" w:rsidP="00343F96">
            <w:pPr>
              <w:rPr>
                <w:rFonts w:ascii="Arial Narrow" w:hAnsi="Arial Narrow" w:cs="Arial"/>
                <w:i/>
                <w:sz w:val="20"/>
                <w:szCs w:val="20"/>
              </w:rPr>
            </w:pPr>
            <w:r w:rsidRPr="00D05FB9">
              <w:rPr>
                <w:rFonts w:ascii="Arial Narrow" w:hAnsi="Arial Narrow" w:cs="Arial"/>
                <w:i/>
                <w:sz w:val="20"/>
                <w:szCs w:val="20"/>
              </w:rPr>
              <w:fldChar w:fldCharType="begin">
                <w:ffData>
                  <w:name w:val="Check5"/>
                  <w:enabled/>
                  <w:calcOnExit w:val="0"/>
                  <w:checkBox>
                    <w:sizeAuto/>
                    <w:default w:val="0"/>
                  </w:checkBox>
                </w:ffData>
              </w:fldChar>
            </w:r>
            <w:r w:rsidRPr="003A2EA3">
              <w:rPr>
                <w:rFonts w:ascii="Arial Narrow" w:hAnsi="Arial Narrow" w:cs="Arial"/>
                <w:i/>
                <w:sz w:val="20"/>
                <w:szCs w:val="20"/>
              </w:rPr>
              <w:instrText xml:space="preserve"> FORMCHECKBOX </w:instrText>
            </w:r>
            <w:r w:rsidR="00973368">
              <w:rPr>
                <w:rFonts w:ascii="Arial Narrow" w:hAnsi="Arial Narrow" w:cs="Arial"/>
                <w:i/>
                <w:sz w:val="20"/>
                <w:szCs w:val="20"/>
              </w:rPr>
            </w:r>
            <w:r w:rsidR="00973368">
              <w:rPr>
                <w:rFonts w:ascii="Arial Narrow" w:hAnsi="Arial Narrow" w:cs="Arial"/>
                <w:i/>
                <w:sz w:val="20"/>
                <w:szCs w:val="20"/>
              </w:rPr>
              <w:fldChar w:fldCharType="separate"/>
            </w:r>
            <w:r w:rsidRPr="00D05FB9">
              <w:rPr>
                <w:rFonts w:ascii="Arial Narrow" w:hAnsi="Arial Narrow" w:cs="Arial"/>
                <w:i/>
                <w:sz w:val="20"/>
                <w:szCs w:val="20"/>
              </w:rPr>
              <w:fldChar w:fldCharType="end"/>
            </w:r>
            <w:r w:rsidRPr="003A2EA3">
              <w:rPr>
                <w:rFonts w:ascii="Arial Narrow" w:hAnsi="Arial Narrow" w:cs="Arial"/>
                <w:i/>
                <w:sz w:val="20"/>
                <w:szCs w:val="20"/>
              </w:rPr>
              <w:t>Streamlined</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i/>
                <w:sz w:val="20"/>
                <w:szCs w:val="20"/>
              </w:rPr>
            </w:pPr>
            <w:r w:rsidRPr="003A2EA3">
              <w:rPr>
                <w:rFonts w:ascii="Arial Narrow" w:hAnsi="Arial Narrow" w:cs="Arial"/>
                <w:b/>
                <w:i/>
                <w:sz w:val="20"/>
                <w:szCs w:val="20"/>
              </w:rPr>
              <w:t>Clinical criteria:</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The treatment must be as monotherapy</w:t>
            </w:r>
          </w:p>
          <w:p w:rsidR="00542DCD" w:rsidRPr="003A2EA3" w:rsidRDefault="00542DCD" w:rsidP="00343F96">
            <w:pPr>
              <w:rPr>
                <w:rFonts w:ascii="Arial Narrow" w:hAnsi="Arial Narrow" w:cs="Arial"/>
                <w:i/>
                <w:sz w:val="20"/>
                <w:szCs w:val="20"/>
              </w:rPr>
            </w:pPr>
          </w:p>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AND</w:t>
            </w:r>
          </w:p>
          <w:p w:rsidR="00542DCD" w:rsidRPr="003A2EA3" w:rsidRDefault="00542DCD" w:rsidP="00343F96">
            <w:pPr>
              <w:rPr>
                <w:rFonts w:ascii="Arial Narrow" w:hAnsi="Arial Narrow" w:cs="Arial"/>
                <w:i/>
                <w:sz w:val="20"/>
                <w:szCs w:val="20"/>
              </w:rPr>
            </w:pPr>
          </w:p>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Patient must not develop progressive disease whilst receiving PBS-subsidised treatment with this drug for this condition</w:t>
            </w:r>
          </w:p>
          <w:p w:rsidR="00542DCD" w:rsidRPr="003A2EA3" w:rsidRDefault="00542DCD" w:rsidP="00343F96">
            <w:pPr>
              <w:rPr>
                <w:rFonts w:ascii="Arial Narrow" w:hAnsi="Arial Narrow" w:cs="Arial"/>
                <w:i/>
                <w:sz w:val="20"/>
                <w:szCs w:val="20"/>
              </w:rPr>
            </w:pPr>
          </w:p>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AND</w:t>
            </w:r>
          </w:p>
          <w:p w:rsidR="00542DCD" w:rsidRPr="003A2EA3" w:rsidRDefault="00542DCD" w:rsidP="00343F96">
            <w:pPr>
              <w:rPr>
                <w:rFonts w:ascii="Arial Narrow" w:hAnsi="Arial Narrow" w:cs="Arial"/>
                <w:i/>
                <w:sz w:val="20"/>
                <w:szCs w:val="20"/>
              </w:rPr>
            </w:pPr>
          </w:p>
          <w:p w:rsidR="00542DCD" w:rsidRPr="003A2EA3" w:rsidRDefault="00542DCD" w:rsidP="00343F96">
            <w:pPr>
              <w:rPr>
                <w:rFonts w:ascii="Arial Narrow" w:hAnsi="Arial Narrow" w:cs="Arial"/>
                <w:i/>
                <w:sz w:val="20"/>
                <w:szCs w:val="20"/>
              </w:rPr>
            </w:pPr>
            <w:r w:rsidRPr="003A2EA3">
              <w:rPr>
                <w:rFonts w:ascii="Arial Narrow" w:hAnsi="Arial Narrow" w:cs="Arial"/>
                <w:i/>
                <w:sz w:val="20"/>
                <w:szCs w:val="20"/>
              </w:rPr>
              <w:t>Patient must have previously received PBS-subsidised treatment with this drug for this condition</w:t>
            </w:r>
          </w:p>
        </w:tc>
      </w:tr>
      <w:tr w:rsidR="00542DCD" w:rsidRPr="003A2EA3" w:rsidTr="00343F96">
        <w:trPr>
          <w:cantSplit/>
          <w:trHeight w:val="360"/>
        </w:trPr>
        <w:tc>
          <w:tcPr>
            <w:tcW w:w="1187"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jc w:val="both"/>
              <w:rPr>
                <w:rFonts w:ascii="Arial Narrow" w:hAnsi="Arial Narrow" w:cs="Arial"/>
                <w:b/>
                <w:i/>
                <w:sz w:val="20"/>
                <w:szCs w:val="20"/>
              </w:rPr>
            </w:pPr>
            <w:r w:rsidRPr="003A2EA3">
              <w:rPr>
                <w:rFonts w:ascii="Arial Narrow" w:hAnsi="Arial Narrow" w:cs="Arial"/>
                <w:b/>
                <w:i/>
                <w:sz w:val="20"/>
                <w:szCs w:val="20"/>
              </w:rPr>
              <w:t>Administrative Advice</w:t>
            </w:r>
          </w:p>
        </w:tc>
        <w:tc>
          <w:tcPr>
            <w:tcW w:w="3813" w:type="pct"/>
            <w:tcBorders>
              <w:top w:val="single" w:sz="4" w:space="0" w:color="auto"/>
              <w:left w:val="single" w:sz="4" w:space="0" w:color="auto"/>
              <w:bottom w:val="single" w:sz="4" w:space="0" w:color="auto"/>
              <w:right w:val="single" w:sz="4" w:space="0" w:color="auto"/>
            </w:tcBorders>
          </w:tcPr>
          <w:p w:rsidR="00542DCD" w:rsidRPr="003A2EA3" w:rsidRDefault="00542DCD" w:rsidP="00343F96">
            <w:pPr>
              <w:rPr>
                <w:rFonts w:ascii="Arial Narrow" w:hAnsi="Arial Narrow" w:cs="Arial"/>
                <w:i/>
                <w:sz w:val="20"/>
                <w:szCs w:val="20"/>
              </w:rPr>
            </w:pPr>
            <w:r w:rsidRPr="003A2EA3">
              <w:rPr>
                <w:rFonts w:ascii="Arial Narrow" w:hAnsi="Arial Narrow"/>
                <w:i/>
                <w:sz w:val="20"/>
                <w:szCs w:val="20"/>
              </w:rPr>
              <w:t>Special Pricing Arrangements apply.</w:t>
            </w:r>
          </w:p>
        </w:tc>
      </w:tr>
    </w:tbl>
    <w:p w:rsidR="00DF0AC6" w:rsidRPr="003A2EA3" w:rsidRDefault="00DF0AC6" w:rsidP="009B7AAD">
      <w:pPr>
        <w:pStyle w:val="NoSpacing"/>
        <w:rPr>
          <w:rFonts w:asciiTheme="minorHAnsi" w:hAnsiTheme="minorHAnsi" w:cs="Arial"/>
          <w:sz w:val="24"/>
          <w:szCs w:val="24"/>
        </w:rPr>
      </w:pPr>
    </w:p>
    <w:p w:rsidR="009B7AAD" w:rsidRPr="003A2EA3" w:rsidRDefault="009B7AAD" w:rsidP="001443C9">
      <w:pPr>
        <w:pStyle w:val="NoSpacing"/>
        <w:ind w:left="709"/>
        <w:rPr>
          <w:rFonts w:asciiTheme="minorHAnsi" w:hAnsiTheme="minorHAnsi" w:cs="Arial"/>
          <w:i/>
          <w:sz w:val="24"/>
          <w:szCs w:val="24"/>
        </w:rPr>
      </w:pPr>
      <w:r w:rsidRPr="003A2EA3">
        <w:rPr>
          <w:rFonts w:asciiTheme="minorHAnsi" w:hAnsiTheme="minorHAnsi" w:cs="Arial"/>
          <w:i/>
          <w:sz w:val="24"/>
          <w:szCs w:val="24"/>
        </w:rPr>
        <w:t>For more detail on PBAC’s view, see section 7 “PBAC outcome.”</w:t>
      </w:r>
    </w:p>
    <w:p w:rsidR="00BB7EC3" w:rsidRPr="003A2EA3" w:rsidRDefault="00BB7EC3" w:rsidP="00882085">
      <w:pPr>
        <w:jc w:val="both"/>
        <w:rPr>
          <w:rFonts w:asciiTheme="minorHAnsi" w:hAnsiTheme="minorHAnsi"/>
        </w:rPr>
      </w:pPr>
    </w:p>
    <w:p w:rsidR="00F95057" w:rsidRPr="003A2EA3" w:rsidRDefault="00F95057" w:rsidP="00882085">
      <w:pPr>
        <w:jc w:val="both"/>
        <w:rPr>
          <w:rFonts w:asciiTheme="minorHAnsi" w:hAnsiTheme="minorHAnsi"/>
        </w:rPr>
      </w:pPr>
    </w:p>
    <w:p w:rsidR="00CE10C4" w:rsidRPr="003A2EA3" w:rsidRDefault="00CE10C4" w:rsidP="008A50F1">
      <w:pPr>
        <w:pStyle w:val="PBACHeading1"/>
        <w:rPr>
          <w:rFonts w:asciiTheme="minorHAnsi" w:hAnsiTheme="minorHAnsi"/>
          <w:sz w:val="32"/>
          <w:szCs w:val="32"/>
        </w:rPr>
      </w:pPr>
      <w:r w:rsidRPr="003A2EA3">
        <w:rPr>
          <w:rFonts w:asciiTheme="minorHAnsi" w:hAnsiTheme="minorHAnsi"/>
          <w:sz w:val="32"/>
          <w:szCs w:val="32"/>
        </w:rPr>
        <w:t>Background</w:t>
      </w:r>
    </w:p>
    <w:p w:rsidR="00C603D4" w:rsidRPr="003A2EA3" w:rsidRDefault="00C603D4" w:rsidP="00C603D4">
      <w:pPr>
        <w:rPr>
          <w:rFonts w:asciiTheme="minorHAnsi" w:hAnsiTheme="minorHAnsi"/>
        </w:rPr>
      </w:pPr>
    </w:p>
    <w:p w:rsidR="004C4863" w:rsidRPr="003A2EA3" w:rsidRDefault="004C4863" w:rsidP="004C4863">
      <w:pPr>
        <w:pStyle w:val="ListParagraph"/>
        <w:numPr>
          <w:ilvl w:val="1"/>
          <w:numId w:val="5"/>
        </w:numPr>
        <w:rPr>
          <w:rFonts w:asciiTheme="minorHAnsi" w:hAnsiTheme="minorHAnsi"/>
          <w:sz w:val="24"/>
          <w:szCs w:val="24"/>
        </w:rPr>
      </w:pPr>
      <w:proofErr w:type="spellStart"/>
      <w:r w:rsidRPr="003A2EA3">
        <w:rPr>
          <w:rFonts w:asciiTheme="minorHAnsi" w:hAnsiTheme="minorHAnsi"/>
          <w:sz w:val="24"/>
          <w:szCs w:val="24"/>
        </w:rPr>
        <w:t>Venetoclax</w:t>
      </w:r>
      <w:proofErr w:type="spellEnd"/>
      <w:r w:rsidR="00476245" w:rsidRPr="003A2EA3">
        <w:rPr>
          <w:rFonts w:asciiTheme="minorHAnsi" w:hAnsiTheme="minorHAnsi"/>
          <w:sz w:val="24"/>
          <w:szCs w:val="24"/>
        </w:rPr>
        <w:t xml:space="preserve"> is TGA registered </w:t>
      </w:r>
      <w:r w:rsidRPr="003A2EA3">
        <w:rPr>
          <w:rFonts w:asciiTheme="minorHAnsi" w:hAnsiTheme="minorHAnsi"/>
          <w:sz w:val="24"/>
          <w:szCs w:val="24"/>
        </w:rPr>
        <w:t>for the treatment of:</w:t>
      </w:r>
    </w:p>
    <w:p w:rsidR="004C4863" w:rsidRPr="003A2EA3" w:rsidRDefault="004C4863" w:rsidP="004C4863">
      <w:pPr>
        <w:pStyle w:val="ListParagraph"/>
        <w:numPr>
          <w:ilvl w:val="0"/>
          <w:numId w:val="16"/>
        </w:numPr>
        <w:rPr>
          <w:rFonts w:asciiTheme="minorHAnsi" w:hAnsiTheme="minorHAnsi"/>
          <w:sz w:val="24"/>
          <w:szCs w:val="24"/>
        </w:rPr>
      </w:pPr>
      <w:r w:rsidRPr="003A2EA3">
        <w:rPr>
          <w:rFonts w:asciiTheme="minorHAnsi" w:hAnsiTheme="minorHAnsi"/>
          <w:sz w:val="24"/>
          <w:szCs w:val="24"/>
        </w:rPr>
        <w:t>patients with relapsed or refractory chronic lymphocytic leukaemia (R/R CLL) with 17p-deletion</w:t>
      </w:r>
    </w:p>
    <w:p w:rsidR="002B1AE6" w:rsidRPr="003A2EA3" w:rsidRDefault="004C4863" w:rsidP="004C4863">
      <w:pPr>
        <w:pStyle w:val="ListParagraph"/>
        <w:numPr>
          <w:ilvl w:val="0"/>
          <w:numId w:val="16"/>
        </w:numPr>
        <w:rPr>
          <w:rFonts w:asciiTheme="minorHAnsi" w:hAnsiTheme="minorHAnsi"/>
          <w:sz w:val="24"/>
          <w:szCs w:val="24"/>
        </w:rPr>
      </w:pPr>
      <w:proofErr w:type="gramStart"/>
      <w:r w:rsidRPr="003A2EA3">
        <w:rPr>
          <w:rFonts w:asciiTheme="minorHAnsi" w:hAnsiTheme="minorHAnsi"/>
          <w:sz w:val="24"/>
          <w:szCs w:val="24"/>
        </w:rPr>
        <w:t>patients</w:t>
      </w:r>
      <w:proofErr w:type="gramEnd"/>
      <w:r w:rsidRPr="003A2EA3">
        <w:rPr>
          <w:rFonts w:asciiTheme="minorHAnsi" w:hAnsiTheme="minorHAnsi"/>
          <w:sz w:val="24"/>
          <w:szCs w:val="24"/>
        </w:rPr>
        <w:t xml:space="preserve"> with R/R CLL for whom there are no other suitable treatment options</w:t>
      </w:r>
      <w:r w:rsidR="00F50CA5" w:rsidRPr="003A2EA3">
        <w:rPr>
          <w:rFonts w:asciiTheme="minorHAnsi" w:hAnsiTheme="minorHAnsi"/>
          <w:sz w:val="24"/>
          <w:szCs w:val="24"/>
        </w:rPr>
        <w:t>.</w:t>
      </w:r>
    </w:p>
    <w:p w:rsidR="006B0D94" w:rsidRPr="003A2EA3" w:rsidRDefault="006B0D94" w:rsidP="008455C6">
      <w:pPr>
        <w:rPr>
          <w:rFonts w:asciiTheme="minorHAnsi" w:hAnsiTheme="minorHAnsi"/>
        </w:rPr>
      </w:pPr>
    </w:p>
    <w:p w:rsidR="00F50CA5" w:rsidRPr="003A2EA3" w:rsidRDefault="00F50CA5" w:rsidP="00F50CA5">
      <w:pPr>
        <w:pStyle w:val="ListParagraph"/>
        <w:widowControl/>
        <w:numPr>
          <w:ilvl w:val="1"/>
          <w:numId w:val="5"/>
        </w:numPr>
        <w:rPr>
          <w:rFonts w:asciiTheme="minorHAnsi" w:hAnsiTheme="minorHAnsi"/>
          <w:sz w:val="24"/>
          <w:szCs w:val="24"/>
        </w:rPr>
      </w:pPr>
      <w:r w:rsidRPr="003A2EA3">
        <w:rPr>
          <w:rFonts w:asciiTheme="minorHAnsi" w:hAnsiTheme="minorHAnsi"/>
          <w:sz w:val="24"/>
          <w:szCs w:val="24"/>
        </w:rPr>
        <w:t xml:space="preserve">The approved TGA indication notes “the indications are based on overall response rates. Duration of response and improvements in overall survival, progression-free survival or health-related quality of life </w:t>
      </w:r>
      <w:proofErr w:type="gramStart"/>
      <w:r w:rsidRPr="003A2EA3">
        <w:rPr>
          <w:rFonts w:asciiTheme="minorHAnsi" w:hAnsiTheme="minorHAnsi"/>
          <w:sz w:val="24"/>
          <w:szCs w:val="24"/>
        </w:rPr>
        <w:t>have</w:t>
      </w:r>
      <w:proofErr w:type="gramEnd"/>
      <w:r w:rsidRPr="003A2EA3">
        <w:rPr>
          <w:rFonts w:asciiTheme="minorHAnsi" w:hAnsiTheme="minorHAnsi"/>
          <w:sz w:val="24"/>
          <w:szCs w:val="24"/>
        </w:rPr>
        <w:t xml:space="preserve"> not been established”.</w:t>
      </w:r>
    </w:p>
    <w:p w:rsidR="00F50CA5" w:rsidRPr="003A2EA3" w:rsidRDefault="00F50CA5" w:rsidP="00F50CA5">
      <w:pPr>
        <w:rPr>
          <w:rFonts w:asciiTheme="minorHAnsi" w:hAnsiTheme="minorHAnsi"/>
        </w:rPr>
      </w:pPr>
    </w:p>
    <w:p w:rsidR="00326E79" w:rsidRPr="003A2EA3" w:rsidRDefault="004C4863" w:rsidP="00227F71">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w:t>
      </w:r>
      <w:r w:rsidR="00F50CA5" w:rsidRPr="003A2EA3">
        <w:rPr>
          <w:rFonts w:asciiTheme="minorHAnsi" w:hAnsiTheme="minorHAnsi"/>
          <w:sz w:val="24"/>
          <w:szCs w:val="24"/>
        </w:rPr>
        <w:t xml:space="preserve">deferred its decision in regards to </w:t>
      </w:r>
      <w:proofErr w:type="spellStart"/>
      <w:r w:rsidRPr="003A2EA3">
        <w:rPr>
          <w:rFonts w:asciiTheme="minorHAnsi" w:hAnsiTheme="minorHAnsi"/>
          <w:sz w:val="24"/>
          <w:szCs w:val="24"/>
        </w:rPr>
        <w:t>ven</w:t>
      </w:r>
      <w:r w:rsidR="00F50CA5" w:rsidRPr="003A2EA3">
        <w:rPr>
          <w:rFonts w:asciiTheme="minorHAnsi" w:hAnsiTheme="minorHAnsi"/>
          <w:sz w:val="24"/>
          <w:szCs w:val="24"/>
        </w:rPr>
        <w:t>e</w:t>
      </w:r>
      <w:r w:rsidRPr="003A2EA3">
        <w:rPr>
          <w:rFonts w:asciiTheme="minorHAnsi" w:hAnsiTheme="minorHAnsi"/>
          <w:sz w:val="24"/>
          <w:szCs w:val="24"/>
        </w:rPr>
        <w:t>toclax</w:t>
      </w:r>
      <w:proofErr w:type="spellEnd"/>
      <w:r w:rsidRPr="003A2EA3">
        <w:rPr>
          <w:rFonts w:asciiTheme="minorHAnsi" w:hAnsiTheme="minorHAnsi"/>
          <w:sz w:val="24"/>
          <w:szCs w:val="24"/>
        </w:rPr>
        <w:t xml:space="preserve"> of </w:t>
      </w:r>
      <w:r w:rsidR="00C5518B" w:rsidRPr="003A2EA3">
        <w:rPr>
          <w:rFonts w:asciiTheme="minorHAnsi" w:hAnsiTheme="minorHAnsi"/>
          <w:sz w:val="24"/>
          <w:szCs w:val="24"/>
        </w:rPr>
        <w:t>relapsed or refractory</w:t>
      </w:r>
      <w:r w:rsidR="007F33C2" w:rsidRPr="003A2EA3">
        <w:rPr>
          <w:rFonts w:asciiTheme="minorHAnsi" w:hAnsiTheme="minorHAnsi"/>
          <w:sz w:val="24"/>
          <w:szCs w:val="24"/>
        </w:rPr>
        <w:t xml:space="preserve"> </w:t>
      </w:r>
      <w:r w:rsidRPr="003A2EA3">
        <w:rPr>
          <w:rFonts w:asciiTheme="minorHAnsi" w:hAnsiTheme="minorHAnsi"/>
          <w:sz w:val="24"/>
          <w:szCs w:val="24"/>
        </w:rPr>
        <w:t>C</w:t>
      </w:r>
      <w:r w:rsidR="00F50CA5" w:rsidRPr="003A2EA3">
        <w:rPr>
          <w:rFonts w:asciiTheme="minorHAnsi" w:hAnsiTheme="minorHAnsi"/>
          <w:sz w:val="24"/>
          <w:szCs w:val="24"/>
        </w:rPr>
        <w:t>LL</w:t>
      </w:r>
      <w:r w:rsidRPr="003A2EA3">
        <w:rPr>
          <w:rFonts w:asciiTheme="minorHAnsi" w:hAnsiTheme="minorHAnsi"/>
          <w:sz w:val="24"/>
          <w:szCs w:val="24"/>
        </w:rPr>
        <w:t xml:space="preserve"> in </w:t>
      </w:r>
      <w:r w:rsidR="00F50CA5" w:rsidRPr="003A2EA3">
        <w:rPr>
          <w:rFonts w:asciiTheme="minorHAnsi" w:hAnsiTheme="minorHAnsi"/>
          <w:sz w:val="24"/>
          <w:szCs w:val="24"/>
        </w:rPr>
        <w:t>March 2017</w:t>
      </w:r>
      <w:r w:rsidRPr="003A2EA3">
        <w:rPr>
          <w:rFonts w:asciiTheme="minorHAnsi" w:hAnsiTheme="minorHAnsi"/>
          <w:sz w:val="24"/>
          <w:szCs w:val="24"/>
        </w:rPr>
        <w:t xml:space="preserve"> (major submission)</w:t>
      </w:r>
      <w:r w:rsidR="00227F71" w:rsidRPr="003A2EA3">
        <w:rPr>
          <w:rFonts w:asciiTheme="minorHAnsi" w:hAnsiTheme="minorHAnsi"/>
          <w:sz w:val="24"/>
          <w:szCs w:val="24"/>
        </w:rPr>
        <w:t xml:space="preserve"> based on uncertainties about the appropriate comparator, relative clinical place, comparative effectiveness and safety, and duration of therapy of </w:t>
      </w:r>
      <w:proofErr w:type="spellStart"/>
      <w:r w:rsidR="00227F71" w:rsidRPr="003A2EA3">
        <w:rPr>
          <w:rFonts w:asciiTheme="minorHAnsi" w:hAnsiTheme="minorHAnsi"/>
          <w:sz w:val="24"/>
          <w:szCs w:val="24"/>
        </w:rPr>
        <w:t>venetoclax</w:t>
      </w:r>
      <w:proofErr w:type="spellEnd"/>
      <w:r w:rsidR="00227F71" w:rsidRPr="003A2EA3">
        <w:rPr>
          <w:rFonts w:asciiTheme="minorHAnsi" w:hAnsiTheme="minorHAnsi"/>
          <w:sz w:val="24"/>
          <w:szCs w:val="24"/>
        </w:rPr>
        <w:t xml:space="preserve"> against </w:t>
      </w:r>
      <w:proofErr w:type="spellStart"/>
      <w:r w:rsidR="00227F71" w:rsidRPr="003A2EA3">
        <w:rPr>
          <w:rFonts w:asciiTheme="minorHAnsi" w:hAnsiTheme="minorHAnsi"/>
          <w:sz w:val="24"/>
          <w:szCs w:val="24"/>
        </w:rPr>
        <w:t>idelalisib</w:t>
      </w:r>
      <w:proofErr w:type="spellEnd"/>
      <w:r w:rsidR="00227F71" w:rsidRPr="003A2EA3">
        <w:rPr>
          <w:rFonts w:asciiTheme="minorHAnsi" w:hAnsiTheme="minorHAnsi"/>
          <w:sz w:val="24"/>
          <w:szCs w:val="24"/>
        </w:rPr>
        <w:t xml:space="preserve"> and </w:t>
      </w:r>
      <w:proofErr w:type="spellStart"/>
      <w:r w:rsidR="00227F71" w:rsidRPr="003A2EA3">
        <w:rPr>
          <w:rFonts w:asciiTheme="minorHAnsi" w:hAnsiTheme="minorHAnsi"/>
          <w:sz w:val="24"/>
          <w:szCs w:val="24"/>
        </w:rPr>
        <w:t>ibrutinib</w:t>
      </w:r>
      <w:proofErr w:type="spellEnd"/>
      <w:r w:rsidR="00227F71" w:rsidRPr="003A2EA3">
        <w:rPr>
          <w:rFonts w:asciiTheme="minorHAnsi" w:hAnsiTheme="minorHAnsi"/>
          <w:sz w:val="24"/>
          <w:szCs w:val="24"/>
        </w:rPr>
        <w:t>, and considered that these uncertainties flowed on to the economic evaluations and financial analyses.</w:t>
      </w:r>
    </w:p>
    <w:p w:rsidR="006A12A5" w:rsidRPr="003A2EA3" w:rsidRDefault="006A12A5" w:rsidP="00882085">
      <w:pPr>
        <w:rPr>
          <w:rFonts w:asciiTheme="minorHAnsi" w:hAnsiTheme="minorHAnsi"/>
        </w:rPr>
      </w:pPr>
    </w:p>
    <w:p w:rsidR="005300E7" w:rsidRPr="003A2EA3" w:rsidRDefault="005300E7" w:rsidP="005300E7">
      <w:pPr>
        <w:pStyle w:val="ListParagraph"/>
        <w:widowControl/>
        <w:numPr>
          <w:ilvl w:val="1"/>
          <w:numId w:val="5"/>
        </w:numPr>
        <w:rPr>
          <w:rFonts w:asciiTheme="minorHAnsi" w:hAnsiTheme="minorHAnsi"/>
          <w:b/>
          <w:sz w:val="24"/>
          <w:szCs w:val="24"/>
        </w:rPr>
      </w:pPr>
      <w:r w:rsidRPr="003A2EA3">
        <w:rPr>
          <w:rFonts w:asciiTheme="minorHAnsi" w:hAnsiTheme="minorHAnsi"/>
          <w:sz w:val="24"/>
          <w:szCs w:val="24"/>
        </w:rPr>
        <w:t>The current minor resubmission sought to address the outstanding issues of the choice of comparator</w:t>
      </w:r>
      <w:r w:rsidR="00867A58" w:rsidRPr="003A2EA3">
        <w:rPr>
          <w:rFonts w:asciiTheme="minorHAnsi" w:hAnsiTheme="minorHAnsi"/>
          <w:sz w:val="24"/>
          <w:szCs w:val="24"/>
        </w:rPr>
        <w:t>,</w:t>
      </w:r>
      <w:r w:rsidRPr="003A2EA3">
        <w:rPr>
          <w:rFonts w:asciiTheme="minorHAnsi" w:hAnsiTheme="minorHAnsi"/>
          <w:sz w:val="24"/>
          <w:szCs w:val="24"/>
        </w:rPr>
        <w:t xml:space="preserve"> </w:t>
      </w:r>
      <w:r w:rsidR="00867A58" w:rsidRPr="003A2EA3">
        <w:rPr>
          <w:rFonts w:asciiTheme="minorHAnsi" w:hAnsiTheme="minorHAnsi"/>
          <w:sz w:val="24"/>
          <w:szCs w:val="24"/>
        </w:rPr>
        <w:t>cost</w:t>
      </w:r>
      <w:r w:rsidR="00BC0C42" w:rsidRPr="003A2EA3">
        <w:rPr>
          <w:rFonts w:asciiTheme="minorHAnsi" w:hAnsiTheme="minorHAnsi"/>
          <w:sz w:val="24"/>
          <w:szCs w:val="24"/>
        </w:rPr>
        <w:t xml:space="preserve"> minimisation against the comparator</w:t>
      </w:r>
      <w:r w:rsidRPr="003A2EA3">
        <w:rPr>
          <w:rFonts w:asciiTheme="minorHAnsi" w:hAnsiTheme="minorHAnsi"/>
          <w:sz w:val="24"/>
          <w:szCs w:val="24"/>
        </w:rPr>
        <w:t xml:space="preserve"> and </w:t>
      </w:r>
      <w:r w:rsidR="00BC0C42" w:rsidRPr="003A2EA3">
        <w:rPr>
          <w:rFonts w:asciiTheme="minorHAnsi" w:hAnsiTheme="minorHAnsi"/>
          <w:sz w:val="24"/>
          <w:szCs w:val="24"/>
        </w:rPr>
        <w:t xml:space="preserve">overall cost to government through willingness to enter negotiations for a </w:t>
      </w:r>
      <w:r w:rsidRPr="003A2EA3">
        <w:rPr>
          <w:rFonts w:asciiTheme="minorHAnsi" w:hAnsiTheme="minorHAnsi"/>
          <w:sz w:val="24"/>
          <w:szCs w:val="24"/>
        </w:rPr>
        <w:t>Risk Shar</w:t>
      </w:r>
      <w:r w:rsidR="008455C6" w:rsidRPr="003A2EA3">
        <w:rPr>
          <w:rFonts w:asciiTheme="minorHAnsi" w:hAnsiTheme="minorHAnsi"/>
          <w:sz w:val="24"/>
          <w:szCs w:val="24"/>
        </w:rPr>
        <w:t>ing</w:t>
      </w:r>
      <w:r w:rsidRPr="003A2EA3">
        <w:rPr>
          <w:rFonts w:asciiTheme="minorHAnsi" w:hAnsiTheme="minorHAnsi"/>
          <w:sz w:val="24"/>
          <w:szCs w:val="24"/>
        </w:rPr>
        <w:t xml:space="preserve"> A</w:t>
      </w:r>
      <w:r w:rsidR="008455C6" w:rsidRPr="003A2EA3">
        <w:rPr>
          <w:rFonts w:asciiTheme="minorHAnsi" w:hAnsiTheme="minorHAnsi"/>
          <w:sz w:val="24"/>
          <w:szCs w:val="24"/>
        </w:rPr>
        <w:t>rrang</w:t>
      </w:r>
      <w:r w:rsidRPr="003A2EA3">
        <w:rPr>
          <w:rFonts w:asciiTheme="minorHAnsi" w:hAnsiTheme="minorHAnsi"/>
          <w:sz w:val="24"/>
          <w:szCs w:val="24"/>
        </w:rPr>
        <w:t>ement (RSA</w:t>
      </w:r>
      <w:r w:rsidR="00BC0C42" w:rsidRPr="003A2EA3">
        <w:rPr>
          <w:rFonts w:asciiTheme="minorHAnsi" w:hAnsiTheme="minorHAnsi"/>
          <w:sz w:val="24"/>
          <w:szCs w:val="24"/>
        </w:rPr>
        <w:t>).</w:t>
      </w:r>
    </w:p>
    <w:p w:rsidR="005300E7" w:rsidRPr="003A2EA3" w:rsidRDefault="005300E7" w:rsidP="005300E7">
      <w:pPr>
        <w:rPr>
          <w:rFonts w:asciiTheme="minorHAnsi" w:hAnsiTheme="minorHAnsi"/>
        </w:rPr>
      </w:pPr>
    </w:p>
    <w:p w:rsidR="005300E7" w:rsidRPr="003A2EA3" w:rsidRDefault="005300E7" w:rsidP="005300E7">
      <w:pPr>
        <w:pStyle w:val="ListParagraph"/>
        <w:widowControl/>
        <w:numPr>
          <w:ilvl w:val="1"/>
          <w:numId w:val="5"/>
        </w:numPr>
        <w:rPr>
          <w:rFonts w:asciiTheme="minorHAnsi" w:hAnsiTheme="minorHAnsi"/>
          <w:b/>
          <w:sz w:val="24"/>
          <w:szCs w:val="24"/>
        </w:rPr>
      </w:pPr>
      <w:r w:rsidRPr="003A2EA3">
        <w:rPr>
          <w:rFonts w:asciiTheme="minorHAnsi" w:hAnsiTheme="minorHAnsi"/>
          <w:sz w:val="24"/>
          <w:szCs w:val="24"/>
        </w:rPr>
        <w:t xml:space="preserve">Table 1 summarises the key differences between the </w:t>
      </w:r>
      <w:r w:rsidR="00BC0C42" w:rsidRPr="003A2EA3">
        <w:rPr>
          <w:rFonts w:asciiTheme="minorHAnsi" w:hAnsiTheme="minorHAnsi"/>
          <w:sz w:val="24"/>
          <w:szCs w:val="24"/>
        </w:rPr>
        <w:t>March 201</w:t>
      </w:r>
      <w:r w:rsidR="006D7118" w:rsidRPr="003A2EA3">
        <w:rPr>
          <w:rFonts w:asciiTheme="minorHAnsi" w:hAnsiTheme="minorHAnsi"/>
          <w:sz w:val="24"/>
          <w:szCs w:val="24"/>
        </w:rPr>
        <w:t>7</w:t>
      </w:r>
      <w:r w:rsidRPr="003A2EA3">
        <w:rPr>
          <w:rFonts w:asciiTheme="minorHAnsi" w:hAnsiTheme="minorHAnsi"/>
          <w:sz w:val="24"/>
          <w:szCs w:val="24"/>
        </w:rPr>
        <w:t xml:space="preserve"> submission and the </w:t>
      </w:r>
      <w:r w:rsidR="00BC0C42" w:rsidRPr="003A2EA3">
        <w:rPr>
          <w:rFonts w:asciiTheme="minorHAnsi" w:hAnsiTheme="minorHAnsi"/>
          <w:sz w:val="24"/>
          <w:szCs w:val="24"/>
        </w:rPr>
        <w:t>July 2017</w:t>
      </w:r>
      <w:r w:rsidRPr="003A2EA3">
        <w:rPr>
          <w:rFonts w:asciiTheme="minorHAnsi" w:hAnsiTheme="minorHAnsi"/>
          <w:sz w:val="24"/>
          <w:szCs w:val="24"/>
        </w:rPr>
        <w:t xml:space="preserve"> minor resubmission. Table 2 provides further details on the </w:t>
      </w:r>
      <w:r w:rsidR="00BC0C42" w:rsidRPr="003A2EA3">
        <w:rPr>
          <w:rFonts w:asciiTheme="minorHAnsi" w:hAnsiTheme="minorHAnsi"/>
          <w:sz w:val="24"/>
          <w:szCs w:val="24"/>
        </w:rPr>
        <w:t>comparison across the comparator drugs for the treatment of CLL</w:t>
      </w:r>
      <w:r w:rsidRPr="003A2EA3">
        <w:rPr>
          <w:rFonts w:asciiTheme="minorHAnsi" w:hAnsiTheme="minorHAnsi"/>
          <w:sz w:val="24"/>
          <w:szCs w:val="24"/>
        </w:rPr>
        <w:t>.</w:t>
      </w:r>
    </w:p>
    <w:p w:rsidR="005300E7" w:rsidRPr="003A2EA3" w:rsidRDefault="005300E7" w:rsidP="005300E7">
      <w:pPr>
        <w:pStyle w:val="ListParagraph"/>
        <w:widowControl/>
        <w:rPr>
          <w:rFonts w:asciiTheme="minorHAnsi" w:hAnsiTheme="minorHAnsi"/>
          <w:b/>
          <w:sz w:val="24"/>
          <w:szCs w:val="24"/>
        </w:rPr>
        <w:sectPr w:rsidR="005300E7" w:rsidRPr="003A2EA3" w:rsidSect="002C642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0F0D8A" w:rsidRDefault="000F0D8A" w:rsidP="000F0D8A">
      <w:pPr>
        <w:pStyle w:val="Caption"/>
      </w:pPr>
      <w:proofErr w:type="gramStart"/>
      <w:r>
        <w:t xml:space="preserve">Table </w:t>
      </w:r>
      <w:r>
        <w:rPr>
          <w:noProof/>
        </w:rPr>
        <w:t>1</w:t>
      </w:r>
      <w:r w:rsidRPr="005507D8">
        <w:t>.</w:t>
      </w:r>
      <w:proofErr w:type="gramEnd"/>
      <w:r w:rsidRPr="005507D8">
        <w:t xml:space="preserve"> Summary of the differences between the previous </w:t>
      </w:r>
      <w:proofErr w:type="spellStart"/>
      <w:r w:rsidRPr="005507D8">
        <w:t>venetoclax</w:t>
      </w:r>
      <w:proofErr w:type="spellEnd"/>
      <w:r w:rsidRPr="005507D8">
        <w:t xml:space="preserve"> submission and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9"/>
        <w:gridCol w:w="5891"/>
        <w:gridCol w:w="5894"/>
      </w:tblGrid>
      <w:tr w:rsidR="00867A58" w:rsidRPr="003A2EA3" w:rsidTr="002C642F">
        <w:trPr>
          <w:cantSplit/>
          <w:trHeight w:val="220"/>
          <w:tblHeader/>
        </w:trPr>
        <w:tc>
          <w:tcPr>
            <w:tcW w:w="795" w:type="pct"/>
          </w:tcPr>
          <w:p w:rsidR="00867A58" w:rsidRPr="003A2EA3" w:rsidRDefault="00867A58" w:rsidP="002C642F">
            <w:pPr>
              <w:keepNext/>
              <w:rPr>
                <w:rFonts w:ascii="Arial Narrow" w:hAnsi="Arial Narrow"/>
                <w:sz w:val="20"/>
                <w:szCs w:val="20"/>
              </w:rPr>
            </w:pPr>
          </w:p>
        </w:tc>
        <w:tc>
          <w:tcPr>
            <w:tcW w:w="2102" w:type="pct"/>
            <w:vAlign w:val="center"/>
          </w:tcPr>
          <w:p w:rsidR="00867A58" w:rsidRPr="003A2EA3" w:rsidRDefault="00867A58" w:rsidP="002C642F">
            <w:pPr>
              <w:keepNext/>
              <w:jc w:val="center"/>
              <w:rPr>
                <w:rFonts w:ascii="Arial Narrow" w:hAnsi="Arial Narrow"/>
                <w:b/>
                <w:sz w:val="20"/>
                <w:szCs w:val="20"/>
              </w:rPr>
            </w:pPr>
            <w:r w:rsidRPr="003A2EA3">
              <w:rPr>
                <w:rFonts w:ascii="Arial Narrow" w:hAnsi="Arial Narrow"/>
                <w:b/>
                <w:sz w:val="20"/>
                <w:szCs w:val="20"/>
              </w:rPr>
              <w:t>March 2017 submission</w:t>
            </w:r>
          </w:p>
        </w:tc>
        <w:tc>
          <w:tcPr>
            <w:tcW w:w="2103" w:type="pct"/>
          </w:tcPr>
          <w:p w:rsidR="00867A58" w:rsidRPr="003A2EA3" w:rsidRDefault="00867A58" w:rsidP="002C642F">
            <w:pPr>
              <w:keepNext/>
              <w:jc w:val="center"/>
              <w:rPr>
                <w:rFonts w:ascii="Arial Narrow" w:hAnsi="Arial Narrow"/>
                <w:b/>
                <w:sz w:val="20"/>
                <w:szCs w:val="20"/>
              </w:rPr>
            </w:pPr>
            <w:r w:rsidRPr="003A2EA3">
              <w:rPr>
                <w:rFonts w:ascii="Arial Narrow" w:hAnsi="Arial Narrow"/>
                <w:b/>
                <w:sz w:val="20"/>
                <w:szCs w:val="20"/>
              </w:rPr>
              <w:t>Current resubmission</w:t>
            </w:r>
          </w:p>
        </w:tc>
      </w:tr>
      <w:tr w:rsidR="00867A58" w:rsidRPr="003A2EA3" w:rsidTr="002C642F">
        <w:trPr>
          <w:cantSplit/>
          <w:trHeight w:val="525"/>
        </w:trPr>
        <w:tc>
          <w:tcPr>
            <w:tcW w:w="795" w:type="pct"/>
            <w:shd w:val="clear" w:color="auto" w:fill="auto"/>
          </w:tcPr>
          <w:p w:rsidR="00867A58" w:rsidRPr="003A2EA3" w:rsidRDefault="00867A58" w:rsidP="002C642F">
            <w:pPr>
              <w:rPr>
                <w:rFonts w:ascii="Arial Narrow" w:hAnsi="Arial Narrow"/>
                <w:sz w:val="20"/>
                <w:szCs w:val="20"/>
              </w:rPr>
            </w:pPr>
            <w:r w:rsidRPr="003A2EA3">
              <w:rPr>
                <w:rFonts w:ascii="Arial Narrow" w:hAnsi="Arial Narrow"/>
                <w:sz w:val="20"/>
                <w:szCs w:val="20"/>
              </w:rPr>
              <w:t>Requested PBS listing</w:t>
            </w:r>
          </w:p>
        </w:tc>
        <w:tc>
          <w:tcPr>
            <w:tcW w:w="2102" w:type="pct"/>
            <w:shd w:val="clear" w:color="auto" w:fill="auto"/>
          </w:tcPr>
          <w:p w:rsidR="00867A58" w:rsidRPr="003A2EA3" w:rsidRDefault="00867A58" w:rsidP="00415BDB">
            <w:pPr>
              <w:rPr>
                <w:rFonts w:ascii="Arial Narrow" w:hAnsi="Arial Narrow"/>
                <w:sz w:val="20"/>
                <w:szCs w:val="20"/>
              </w:rPr>
            </w:pPr>
            <w:r w:rsidRPr="003A2EA3">
              <w:rPr>
                <w:rFonts w:ascii="Arial Narrow" w:hAnsi="Arial Narrow"/>
                <w:sz w:val="20"/>
                <w:szCs w:val="20"/>
              </w:rPr>
              <w:t>For the treatment of relapsed</w:t>
            </w:r>
            <w:r w:rsidR="00415BDB" w:rsidRPr="003A2EA3">
              <w:rPr>
                <w:rFonts w:ascii="Arial Narrow" w:hAnsi="Arial Narrow"/>
                <w:sz w:val="20"/>
                <w:szCs w:val="20"/>
              </w:rPr>
              <w:t xml:space="preserve"> or </w:t>
            </w:r>
            <w:r w:rsidRPr="003A2EA3">
              <w:rPr>
                <w:rFonts w:ascii="Arial Narrow" w:hAnsi="Arial Narrow"/>
                <w:sz w:val="20"/>
                <w:szCs w:val="20"/>
              </w:rPr>
              <w:t>refractory chronic lymphocytic leukaemia (CLL) in patients with 17p deletion/TP53 mutation and patients with highly refractory disease.</w:t>
            </w:r>
          </w:p>
        </w:tc>
        <w:tc>
          <w:tcPr>
            <w:tcW w:w="2103" w:type="pct"/>
          </w:tcPr>
          <w:p w:rsidR="00867A58" w:rsidRPr="003A2EA3" w:rsidRDefault="00867A58" w:rsidP="00415BDB">
            <w:pPr>
              <w:rPr>
                <w:rFonts w:ascii="Arial Narrow" w:hAnsi="Arial Narrow"/>
                <w:sz w:val="20"/>
                <w:szCs w:val="20"/>
              </w:rPr>
            </w:pPr>
            <w:r w:rsidRPr="003A2EA3">
              <w:rPr>
                <w:rFonts w:ascii="Arial Narrow" w:hAnsi="Arial Narrow"/>
                <w:sz w:val="20"/>
                <w:szCs w:val="20"/>
              </w:rPr>
              <w:t>For the treatment of relapsed</w:t>
            </w:r>
            <w:r w:rsidR="00415BDB" w:rsidRPr="003A2EA3">
              <w:rPr>
                <w:rFonts w:ascii="Arial Narrow" w:hAnsi="Arial Narrow"/>
                <w:sz w:val="20"/>
                <w:szCs w:val="20"/>
              </w:rPr>
              <w:t xml:space="preserve"> or </w:t>
            </w:r>
            <w:r w:rsidRPr="003A2EA3">
              <w:rPr>
                <w:rFonts w:ascii="Arial Narrow" w:hAnsi="Arial Narrow"/>
                <w:sz w:val="20"/>
                <w:szCs w:val="20"/>
              </w:rPr>
              <w:t>refractory chronic lymphocytic leukaemia (CLL) in patients with 17p deletion mutation and patients with highly refractory disease.</w:t>
            </w:r>
          </w:p>
        </w:tc>
      </w:tr>
      <w:tr w:rsidR="00867A58" w:rsidRPr="003A2EA3" w:rsidTr="002C642F">
        <w:trPr>
          <w:cantSplit/>
          <w:trHeight w:val="422"/>
        </w:trPr>
        <w:tc>
          <w:tcPr>
            <w:tcW w:w="795" w:type="pct"/>
          </w:tcPr>
          <w:p w:rsidR="00867A58" w:rsidRPr="003A2EA3" w:rsidRDefault="00867A58" w:rsidP="002C642F">
            <w:pPr>
              <w:rPr>
                <w:rFonts w:ascii="Arial Narrow" w:hAnsi="Arial Narrow"/>
                <w:sz w:val="20"/>
                <w:szCs w:val="20"/>
              </w:rPr>
            </w:pPr>
            <w:r w:rsidRPr="003A2EA3">
              <w:rPr>
                <w:rFonts w:ascii="Arial Narrow" w:hAnsi="Arial Narrow"/>
                <w:sz w:val="20"/>
                <w:szCs w:val="20"/>
              </w:rPr>
              <w:t>Requested effective DPMQs</w:t>
            </w:r>
          </w:p>
        </w:tc>
        <w:tc>
          <w:tcPr>
            <w:tcW w:w="2102" w:type="pct"/>
          </w:tcPr>
          <w:p w:rsidR="00867A58" w:rsidRPr="003A2EA3" w:rsidRDefault="00867A58" w:rsidP="002C642F">
            <w:pPr>
              <w:pStyle w:val="ListParagraph"/>
              <w:ind w:left="0"/>
              <w:rPr>
                <w:rFonts w:ascii="Arial Narrow" w:hAnsi="Arial Narrow"/>
                <w:sz w:val="20"/>
              </w:rPr>
            </w:pPr>
            <w:r w:rsidRPr="003A2EA3">
              <w:rPr>
                <w:rFonts w:ascii="Arial Narrow" w:hAnsi="Arial Narrow"/>
                <w:sz w:val="20"/>
              </w:rPr>
              <w:t>Initial treatment: titration pack</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14 x 10 mg tablets;</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7 x 50 mg tablets;</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7 x 100 mg tablets;</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14 x 100 mg tablets</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(Published)</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(Effective)</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 xml:space="preserve">Dose hold packs </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14 x 10 mg</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(Published)</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 Effective)</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7 x 50 mg</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(Published)</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(Effective)</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Continuing treatment</w:t>
            </w: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120 x 100 mg</w:t>
            </w:r>
          </w:p>
          <w:p w:rsidR="00867A58" w:rsidRPr="003A2EA3" w:rsidRDefault="00867A58" w:rsidP="00867A58">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(Published)</w:t>
            </w:r>
          </w:p>
          <w:p w:rsidR="00867A58" w:rsidRPr="003A2EA3" w:rsidRDefault="00867A58" w:rsidP="00C02E52">
            <w:pPr>
              <w:pStyle w:val="ListParagraph"/>
              <w:widowControl/>
              <w:numPr>
                <w:ilvl w:val="0"/>
                <w:numId w:val="17"/>
              </w:numPr>
              <w:jc w:val="left"/>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r w:rsidR="000376B2" w:rsidRPr="003A2EA3">
              <w:rPr>
                <w:rFonts w:ascii="Arial Narrow" w:hAnsi="Arial Narrow"/>
                <w:sz w:val="20"/>
              </w:rPr>
              <w:t xml:space="preserve"> </w:t>
            </w:r>
            <w:r w:rsidRPr="003A2EA3">
              <w:rPr>
                <w:rFonts w:ascii="Arial Narrow" w:hAnsi="Arial Narrow"/>
                <w:sz w:val="20"/>
              </w:rPr>
              <w:t>( Effective)</w:t>
            </w:r>
          </w:p>
        </w:tc>
        <w:tc>
          <w:tcPr>
            <w:tcW w:w="2103" w:type="pct"/>
          </w:tcPr>
          <w:p w:rsidR="00867A58" w:rsidRPr="003A2EA3" w:rsidRDefault="00867A58" w:rsidP="002C642F">
            <w:pPr>
              <w:pStyle w:val="ListParagraph"/>
              <w:ind w:left="0"/>
              <w:rPr>
                <w:rFonts w:ascii="Arial Narrow" w:hAnsi="Arial Narrow"/>
                <w:sz w:val="20"/>
              </w:rPr>
            </w:pPr>
            <w:r w:rsidRPr="003A2EA3">
              <w:rPr>
                <w:rFonts w:ascii="Arial Narrow" w:hAnsi="Arial Narrow"/>
                <w:sz w:val="20"/>
              </w:rPr>
              <w:t xml:space="preserve">Same as </w:t>
            </w:r>
            <w:r w:rsidR="00574205" w:rsidRPr="003A2EA3">
              <w:rPr>
                <w:rFonts w:ascii="Arial Narrow" w:hAnsi="Arial Narrow"/>
                <w:sz w:val="20"/>
              </w:rPr>
              <w:t xml:space="preserve">the cost-minimisation approach against </w:t>
            </w:r>
            <w:proofErr w:type="spellStart"/>
            <w:r w:rsidR="00574205" w:rsidRPr="003A2EA3">
              <w:rPr>
                <w:rFonts w:ascii="Arial Narrow" w:hAnsi="Arial Narrow"/>
                <w:sz w:val="20"/>
              </w:rPr>
              <w:t>ibrutinib</w:t>
            </w:r>
            <w:proofErr w:type="spellEnd"/>
            <w:r w:rsidR="00574205" w:rsidRPr="003A2EA3">
              <w:rPr>
                <w:rFonts w:ascii="Arial Narrow" w:hAnsi="Arial Narrow"/>
                <w:sz w:val="20"/>
              </w:rPr>
              <w:t xml:space="preserve"> in the previous pre-PBAC response, </w:t>
            </w:r>
            <w:r w:rsidRPr="003A2EA3">
              <w:rPr>
                <w:rFonts w:ascii="Arial Narrow" w:hAnsi="Arial Narrow"/>
                <w:sz w:val="20"/>
              </w:rPr>
              <w:t xml:space="preserve">with an acknowledgement that this will require adjustment to account for </w:t>
            </w:r>
            <w:r w:rsidR="008455C6" w:rsidRPr="003A2EA3">
              <w:rPr>
                <w:rFonts w:ascii="Arial Narrow" w:hAnsi="Arial Narrow"/>
                <w:sz w:val="20"/>
              </w:rPr>
              <w:t xml:space="preserve">the effective price of </w:t>
            </w:r>
            <w:proofErr w:type="spellStart"/>
            <w:r w:rsidRPr="003A2EA3">
              <w:rPr>
                <w:rFonts w:ascii="Arial Narrow" w:hAnsi="Arial Narrow"/>
                <w:sz w:val="20"/>
              </w:rPr>
              <w:t>ibrutinib</w:t>
            </w:r>
            <w:proofErr w:type="spellEnd"/>
            <w:r w:rsidRPr="003A2EA3">
              <w:rPr>
                <w:rFonts w:ascii="Arial Narrow" w:hAnsi="Arial Narrow"/>
                <w:sz w:val="20"/>
              </w:rPr>
              <w:t>.</w:t>
            </w:r>
          </w:p>
          <w:p w:rsidR="00867A58" w:rsidRPr="003A2EA3" w:rsidRDefault="00867A58" w:rsidP="002C642F">
            <w:pPr>
              <w:pStyle w:val="ListParagraph"/>
              <w:ind w:left="0"/>
              <w:rPr>
                <w:rFonts w:ascii="Arial Narrow" w:hAnsi="Arial Narrow"/>
                <w:sz w:val="20"/>
              </w:rPr>
            </w:pPr>
          </w:p>
          <w:p w:rsidR="00867A58" w:rsidRPr="003A2EA3" w:rsidRDefault="00867A58" w:rsidP="002C642F">
            <w:pPr>
              <w:pStyle w:val="ListParagraph"/>
              <w:ind w:left="0"/>
              <w:rPr>
                <w:rFonts w:ascii="Arial Narrow" w:hAnsi="Arial Narrow"/>
                <w:sz w:val="20"/>
              </w:rPr>
            </w:pPr>
            <w:r w:rsidRPr="003A2EA3">
              <w:rPr>
                <w:rFonts w:ascii="Arial Narrow" w:hAnsi="Arial Narrow"/>
                <w:sz w:val="20"/>
              </w:rPr>
              <w:t>Cost of tumour lysis syndrome (TLS) prophylaxis monitoring off-set: $</w:t>
            </w:r>
            <w:r w:rsidR="00A5328F">
              <w:rPr>
                <w:rFonts w:ascii="Arial Narrow" w:hAnsi="Arial Narrow"/>
                <w:noProof/>
                <w:color w:val="000000"/>
                <w:sz w:val="20"/>
                <w:highlight w:val="black"/>
              </w:rPr>
              <w:t xml:space="preserve">'''''''''''''' </w:t>
            </w:r>
          </w:p>
        </w:tc>
      </w:tr>
      <w:tr w:rsidR="00867A58" w:rsidRPr="003A2EA3" w:rsidTr="002C642F">
        <w:trPr>
          <w:cantSplit/>
          <w:trHeight w:val="860"/>
        </w:trPr>
        <w:tc>
          <w:tcPr>
            <w:tcW w:w="795" w:type="pct"/>
          </w:tcPr>
          <w:p w:rsidR="00867A58" w:rsidRPr="003A2EA3" w:rsidRDefault="00867A58" w:rsidP="002C642F">
            <w:pPr>
              <w:rPr>
                <w:rFonts w:ascii="Arial Narrow" w:hAnsi="Arial Narrow"/>
                <w:sz w:val="20"/>
                <w:szCs w:val="20"/>
              </w:rPr>
            </w:pPr>
            <w:r w:rsidRPr="003A2EA3">
              <w:rPr>
                <w:rFonts w:ascii="Arial Narrow" w:hAnsi="Arial Narrow"/>
                <w:sz w:val="20"/>
                <w:szCs w:val="20"/>
              </w:rPr>
              <w:t>Comparator</w:t>
            </w:r>
          </w:p>
        </w:tc>
        <w:tc>
          <w:tcPr>
            <w:tcW w:w="2102" w:type="pct"/>
          </w:tcPr>
          <w:p w:rsidR="00867A58" w:rsidRPr="003A2EA3" w:rsidRDefault="00867A58" w:rsidP="002C642F">
            <w:pPr>
              <w:rPr>
                <w:rFonts w:ascii="Arial Narrow" w:hAnsi="Arial Narrow"/>
                <w:sz w:val="20"/>
                <w:szCs w:val="20"/>
              </w:rPr>
            </w:pPr>
            <w:proofErr w:type="spellStart"/>
            <w:r w:rsidRPr="003A2EA3">
              <w:rPr>
                <w:rFonts w:ascii="Arial Narrow" w:hAnsi="Arial Narrow"/>
                <w:sz w:val="20"/>
                <w:szCs w:val="20"/>
              </w:rPr>
              <w:t>Ofatumumab</w:t>
            </w:r>
            <w:proofErr w:type="spellEnd"/>
            <w:r w:rsidRPr="003A2EA3">
              <w:rPr>
                <w:rFonts w:ascii="Arial Narrow" w:hAnsi="Arial Narrow"/>
                <w:sz w:val="20"/>
                <w:szCs w:val="20"/>
              </w:rPr>
              <w:t xml:space="preserve"> monotherapy as the main comparator in patients with 17p deletion/TP53 mutation,</w:t>
            </w:r>
          </w:p>
          <w:p w:rsidR="00867A58" w:rsidRPr="003A2EA3" w:rsidRDefault="00867A58" w:rsidP="002C642F">
            <w:pPr>
              <w:rPr>
                <w:rFonts w:ascii="Arial Narrow" w:hAnsi="Arial Narrow"/>
                <w:sz w:val="20"/>
                <w:szCs w:val="20"/>
              </w:rPr>
            </w:pPr>
            <w:r w:rsidRPr="003A2EA3">
              <w:rPr>
                <w:rFonts w:ascii="Arial Narrow" w:hAnsi="Arial Narrow"/>
                <w:sz w:val="20"/>
                <w:szCs w:val="20"/>
              </w:rPr>
              <w:t>Rituximab monotherapy (as a proxy for best supportive care) as the main comparator in patients with highly refractory disease.</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b/>
                <w:sz w:val="20"/>
                <w:szCs w:val="20"/>
              </w:rPr>
              <w:t>PBAC comment:</w:t>
            </w:r>
            <w:r w:rsidRPr="003A2EA3">
              <w:rPr>
                <w:rFonts w:ascii="Arial Narrow" w:hAnsi="Arial Narrow"/>
                <w:sz w:val="20"/>
                <w:szCs w:val="20"/>
              </w:rPr>
              <w:t xml:space="preserve"> (</w:t>
            </w:r>
            <w:r w:rsidR="00337210">
              <w:rPr>
                <w:rFonts w:ascii="Arial Narrow" w:hAnsi="Arial Narrow"/>
                <w:sz w:val="20"/>
                <w:szCs w:val="20"/>
              </w:rPr>
              <w:t xml:space="preserve">PSD </w:t>
            </w:r>
            <w:r w:rsidRPr="003A2EA3">
              <w:rPr>
                <w:rFonts w:ascii="Arial Narrow" w:hAnsi="Arial Narrow"/>
                <w:sz w:val="20"/>
                <w:szCs w:val="20"/>
              </w:rPr>
              <w:t>paragraph 5.3) The PBAC has previously accepted that survival outcomes for rituximab monotherapy (but not costs or treatment-related utilities) may be a proxy for best supportive care given the absence of evidence supporting a survival benefit for rituximab monotherapy.</w:t>
            </w: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(paragraph 7.4) The PBAC considered that the submission’s nomination of </w:t>
            </w:r>
            <w:proofErr w:type="spellStart"/>
            <w:r w:rsidRPr="003A2EA3">
              <w:rPr>
                <w:rFonts w:ascii="Arial Narrow" w:hAnsi="Arial Narrow"/>
                <w:sz w:val="20"/>
                <w:szCs w:val="20"/>
              </w:rPr>
              <w:t>ofatumumab</w:t>
            </w:r>
            <w:proofErr w:type="spellEnd"/>
            <w:r w:rsidRPr="003A2EA3">
              <w:rPr>
                <w:rFonts w:ascii="Arial Narrow" w:hAnsi="Arial Narrow"/>
                <w:sz w:val="20"/>
                <w:szCs w:val="20"/>
              </w:rPr>
              <w:t xml:space="preserve"> as the most relevant comparator, and the consequential clinical, economic and financial assessments involving this comparator, were not informative. The Committee noted that the pre-PBAC response agreed that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were the most relevant comparators, and presented a cost-minimisation analysis against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Given the uncertainty about the relative clinical place of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against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ibrutinib</w:t>
            </w:r>
            <w:proofErr w:type="spellEnd"/>
            <w:r w:rsidRPr="003A2EA3">
              <w:rPr>
                <w:rFonts w:ascii="Arial Narrow" w:hAnsi="Arial Narrow"/>
                <w:sz w:val="20"/>
                <w:szCs w:val="20"/>
              </w:rPr>
              <w:t>, the PBAC considered that the appropriate comparator remained unclear.</w:t>
            </w:r>
          </w:p>
        </w:tc>
        <w:tc>
          <w:tcPr>
            <w:tcW w:w="2103" w:type="pct"/>
          </w:tcPr>
          <w:p w:rsidR="00867A58" w:rsidRPr="003A2EA3" w:rsidRDefault="00867A58" w:rsidP="002C642F">
            <w:pPr>
              <w:pStyle w:val="ListParagraph"/>
              <w:ind w:left="114"/>
              <w:rPr>
                <w:rFonts w:ascii="Arial Narrow" w:hAnsi="Arial Narrow"/>
                <w:sz w:val="20"/>
              </w:rPr>
            </w:pPr>
            <w:proofErr w:type="spellStart"/>
            <w:r w:rsidRPr="003A2EA3">
              <w:rPr>
                <w:rFonts w:ascii="Arial Narrow" w:hAnsi="Arial Narrow"/>
                <w:sz w:val="20"/>
              </w:rPr>
              <w:t>Ibrutinib</w:t>
            </w:r>
            <w:proofErr w:type="spellEnd"/>
            <w:r w:rsidRPr="003A2EA3">
              <w:rPr>
                <w:rFonts w:ascii="Arial Narrow" w:hAnsi="Arial Narrow"/>
                <w:sz w:val="20"/>
              </w:rPr>
              <w:t xml:space="preserve"> in </w:t>
            </w:r>
            <w:r w:rsidR="00C5518B" w:rsidRPr="003A2EA3">
              <w:rPr>
                <w:rFonts w:ascii="Arial Narrow" w:hAnsi="Arial Narrow"/>
                <w:sz w:val="20"/>
              </w:rPr>
              <w:t>relapsed or refractory</w:t>
            </w:r>
            <w:r w:rsidRPr="003A2EA3">
              <w:rPr>
                <w:rFonts w:ascii="Arial Narrow" w:hAnsi="Arial Narrow"/>
                <w:sz w:val="20"/>
              </w:rPr>
              <w:t xml:space="preserve"> CLL patients with a 17p</w:t>
            </w:r>
            <w:r w:rsidR="00C5518B" w:rsidRPr="003A2EA3">
              <w:rPr>
                <w:rFonts w:ascii="Arial Narrow" w:hAnsi="Arial Narrow"/>
                <w:sz w:val="20"/>
              </w:rPr>
              <w:t xml:space="preserve"> </w:t>
            </w:r>
            <w:r w:rsidRPr="003A2EA3">
              <w:rPr>
                <w:rFonts w:ascii="Arial Narrow" w:hAnsi="Arial Narrow"/>
                <w:sz w:val="20"/>
              </w:rPr>
              <w:t>deletion.</w:t>
            </w:r>
          </w:p>
          <w:p w:rsidR="00867A58" w:rsidRPr="003A2EA3" w:rsidRDefault="00867A58" w:rsidP="002C642F">
            <w:pPr>
              <w:pStyle w:val="ListParagraph"/>
              <w:ind w:left="114"/>
              <w:rPr>
                <w:rFonts w:ascii="Arial Narrow" w:hAnsi="Arial Narrow"/>
                <w:sz w:val="20"/>
              </w:rPr>
            </w:pPr>
            <w:r w:rsidRPr="003A2EA3">
              <w:rPr>
                <w:rFonts w:ascii="Arial Narrow" w:hAnsi="Arial Narrow"/>
                <w:sz w:val="20"/>
              </w:rPr>
              <w:t xml:space="preserve">Claim that </w:t>
            </w:r>
            <w:proofErr w:type="spellStart"/>
            <w:r w:rsidRPr="003A2EA3">
              <w:rPr>
                <w:rFonts w:ascii="Arial Narrow" w:hAnsi="Arial Narrow"/>
                <w:sz w:val="20"/>
              </w:rPr>
              <w:t>idelalisib</w:t>
            </w:r>
            <w:proofErr w:type="spellEnd"/>
            <w:r w:rsidRPr="003A2EA3">
              <w:rPr>
                <w:rFonts w:ascii="Arial Narrow" w:hAnsi="Arial Narrow"/>
                <w:sz w:val="20"/>
              </w:rPr>
              <w:t xml:space="preserve"> with rituximab is not an appropriate comparator as “it is very unlikely that clinicians would pursue treatment with </w:t>
            </w:r>
            <w:proofErr w:type="spellStart"/>
            <w:r w:rsidRPr="003A2EA3">
              <w:rPr>
                <w:rFonts w:ascii="Arial Narrow" w:hAnsi="Arial Narrow"/>
                <w:sz w:val="20"/>
              </w:rPr>
              <w:t>idelalisib</w:t>
            </w:r>
            <w:proofErr w:type="spellEnd"/>
            <w:r w:rsidR="0027436D" w:rsidRPr="003A2EA3">
              <w:rPr>
                <w:rFonts w:ascii="Arial Narrow" w:hAnsi="Arial Narrow"/>
                <w:sz w:val="20"/>
              </w:rPr>
              <w:t xml:space="preserve"> with </w:t>
            </w:r>
            <w:r w:rsidRPr="003A2EA3">
              <w:rPr>
                <w:rFonts w:ascii="Arial Narrow" w:hAnsi="Arial Narrow"/>
                <w:sz w:val="20"/>
              </w:rPr>
              <w:t xml:space="preserve">rituximab if </w:t>
            </w:r>
            <w:proofErr w:type="spellStart"/>
            <w:r w:rsidRPr="003A2EA3">
              <w:rPr>
                <w:rFonts w:ascii="Arial Narrow" w:hAnsi="Arial Narrow"/>
                <w:sz w:val="20"/>
              </w:rPr>
              <w:t>venetoclax</w:t>
            </w:r>
            <w:proofErr w:type="spellEnd"/>
            <w:r w:rsidRPr="003A2EA3">
              <w:rPr>
                <w:rFonts w:ascii="Arial Narrow" w:hAnsi="Arial Narrow"/>
                <w:sz w:val="20"/>
              </w:rPr>
              <w:t xml:space="preserve"> and/or </w:t>
            </w:r>
            <w:proofErr w:type="spellStart"/>
            <w:r w:rsidRPr="003A2EA3">
              <w:rPr>
                <w:rFonts w:ascii="Arial Narrow" w:hAnsi="Arial Narrow"/>
                <w:sz w:val="20"/>
              </w:rPr>
              <w:t>ibrutinib</w:t>
            </w:r>
            <w:proofErr w:type="spellEnd"/>
            <w:r w:rsidRPr="003A2EA3">
              <w:rPr>
                <w:rFonts w:ascii="Arial Narrow" w:hAnsi="Arial Narrow"/>
                <w:sz w:val="20"/>
              </w:rPr>
              <w:t xml:space="preserve"> were listed on the PBS.”</w:t>
            </w:r>
          </w:p>
          <w:p w:rsidR="00867A58" w:rsidRPr="003A2EA3" w:rsidRDefault="00867A58" w:rsidP="002C642F">
            <w:pPr>
              <w:pStyle w:val="ListParagraph"/>
              <w:ind w:left="114"/>
              <w:rPr>
                <w:rFonts w:ascii="Arial Narrow" w:hAnsi="Arial Narrow"/>
                <w:sz w:val="20"/>
              </w:rPr>
            </w:pPr>
          </w:p>
          <w:p w:rsidR="00867A58" w:rsidRPr="003A2EA3" w:rsidRDefault="00867A58" w:rsidP="002C642F">
            <w:pPr>
              <w:pStyle w:val="ListParagraph"/>
              <w:ind w:left="114"/>
              <w:rPr>
                <w:rFonts w:ascii="Arial Narrow" w:hAnsi="Arial Narrow"/>
                <w:sz w:val="20"/>
              </w:rPr>
            </w:pPr>
            <w:r w:rsidRPr="003A2EA3">
              <w:rPr>
                <w:rFonts w:ascii="Arial Narrow" w:hAnsi="Arial Narrow"/>
                <w:sz w:val="20"/>
              </w:rPr>
              <w:t>Unchanged for highly refractory disease.</w:t>
            </w:r>
          </w:p>
        </w:tc>
      </w:tr>
      <w:tr w:rsidR="00867A58" w:rsidRPr="003A2EA3" w:rsidTr="002C642F">
        <w:trPr>
          <w:cantSplit/>
          <w:trHeight w:val="860"/>
        </w:trPr>
        <w:tc>
          <w:tcPr>
            <w:tcW w:w="795" w:type="pct"/>
          </w:tcPr>
          <w:p w:rsidR="00867A58" w:rsidRPr="003A2EA3" w:rsidRDefault="00867A58" w:rsidP="002C642F">
            <w:pPr>
              <w:rPr>
                <w:rFonts w:ascii="Arial Narrow" w:hAnsi="Arial Narrow"/>
                <w:sz w:val="20"/>
                <w:szCs w:val="20"/>
                <w:highlight w:val="yellow"/>
              </w:rPr>
            </w:pPr>
            <w:r w:rsidRPr="003A2EA3">
              <w:rPr>
                <w:rFonts w:ascii="Arial Narrow" w:hAnsi="Arial Narrow"/>
                <w:sz w:val="20"/>
                <w:szCs w:val="20"/>
              </w:rPr>
              <w:t>Clinical evidence</w:t>
            </w:r>
          </w:p>
        </w:tc>
        <w:tc>
          <w:tcPr>
            <w:tcW w:w="2102" w:type="pct"/>
          </w:tcPr>
          <w:p w:rsidR="00867A58" w:rsidRPr="003A2EA3" w:rsidRDefault="00867A58" w:rsidP="002C642F">
            <w:pPr>
              <w:rPr>
                <w:rFonts w:ascii="Arial Narrow" w:hAnsi="Arial Narrow"/>
                <w:sz w:val="20"/>
                <w:szCs w:val="20"/>
              </w:rPr>
            </w:pPr>
            <w:r w:rsidRPr="003A2EA3">
              <w:rPr>
                <w:rFonts w:ascii="Arial Narrow" w:hAnsi="Arial Narrow"/>
                <w:sz w:val="20"/>
                <w:szCs w:val="20"/>
              </w:rPr>
              <w:t>A series of naïve indirect comparisons:</w:t>
            </w:r>
          </w:p>
          <w:p w:rsidR="00867A58" w:rsidRPr="003A2EA3" w:rsidRDefault="00867A58" w:rsidP="002C642F">
            <w:pPr>
              <w:rPr>
                <w:rFonts w:ascii="Arial Narrow" w:hAnsi="Arial Narrow"/>
                <w:sz w:val="20"/>
                <w:szCs w:val="20"/>
              </w:rPr>
            </w:pPr>
            <w:r w:rsidRPr="003A2EA3">
              <w:rPr>
                <w:rFonts w:ascii="Arial Narrow" w:hAnsi="Arial Narrow"/>
                <w:sz w:val="20"/>
                <w:szCs w:val="20"/>
              </w:rPr>
              <w:t>•</w:t>
            </w:r>
            <w:r w:rsidRPr="003A2EA3">
              <w:rPr>
                <w:rFonts w:ascii="Arial Narrow" w:hAnsi="Arial Narrow"/>
                <w:sz w:val="20"/>
                <w:szCs w:val="20"/>
              </w:rPr>
              <w:tab/>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(M12-175, M13-982) versus </w:t>
            </w:r>
            <w:proofErr w:type="spellStart"/>
            <w:r w:rsidRPr="003A2EA3">
              <w:rPr>
                <w:rFonts w:ascii="Arial Narrow" w:hAnsi="Arial Narrow"/>
                <w:sz w:val="20"/>
                <w:szCs w:val="20"/>
              </w:rPr>
              <w:t>ofatumumab</w:t>
            </w:r>
            <w:proofErr w:type="spellEnd"/>
            <w:r w:rsidRPr="003A2EA3">
              <w:rPr>
                <w:rFonts w:ascii="Arial Narrow" w:hAnsi="Arial Narrow"/>
                <w:sz w:val="20"/>
                <w:szCs w:val="20"/>
              </w:rPr>
              <w:t xml:space="preserve"> monotherapy (RESONATE) for patients with a 17p deletion/TP53 mutation;</w:t>
            </w:r>
          </w:p>
          <w:p w:rsidR="00867A58" w:rsidRPr="003A2EA3" w:rsidRDefault="00867A58" w:rsidP="002C642F">
            <w:pPr>
              <w:rPr>
                <w:rFonts w:ascii="Arial Narrow" w:hAnsi="Arial Narrow"/>
                <w:sz w:val="20"/>
                <w:szCs w:val="20"/>
              </w:rPr>
            </w:pPr>
            <w:r w:rsidRPr="003A2EA3">
              <w:rPr>
                <w:rFonts w:ascii="Arial Narrow" w:hAnsi="Arial Narrow"/>
                <w:sz w:val="20"/>
                <w:szCs w:val="20"/>
              </w:rPr>
              <w:t>•</w:t>
            </w:r>
            <w:r w:rsidRPr="003A2EA3">
              <w:rPr>
                <w:rFonts w:ascii="Arial Narrow" w:hAnsi="Arial Narrow"/>
                <w:sz w:val="20"/>
                <w:szCs w:val="20"/>
              </w:rPr>
              <w:tab/>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(M12-175, M13-982) versus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with rituximab (312-0116) for patients with a 17p deletion/TP53 mutation;</w:t>
            </w:r>
          </w:p>
          <w:p w:rsidR="00867A58" w:rsidRPr="003A2EA3" w:rsidRDefault="00867A58" w:rsidP="002C642F">
            <w:pPr>
              <w:rPr>
                <w:rFonts w:ascii="Arial Narrow" w:hAnsi="Arial Narrow"/>
                <w:sz w:val="20"/>
                <w:szCs w:val="20"/>
              </w:rPr>
            </w:pPr>
            <w:r w:rsidRPr="003A2EA3">
              <w:rPr>
                <w:rFonts w:ascii="Arial Narrow" w:hAnsi="Arial Narrow"/>
                <w:sz w:val="20"/>
                <w:szCs w:val="20"/>
              </w:rPr>
              <w:t>•</w:t>
            </w:r>
            <w:r w:rsidRPr="003A2EA3">
              <w:rPr>
                <w:rFonts w:ascii="Arial Narrow" w:hAnsi="Arial Narrow"/>
                <w:sz w:val="20"/>
                <w:szCs w:val="20"/>
              </w:rPr>
              <w:tab/>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(M12-175, M13-982) versus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(RESONATE, RESONATE-17) for patients with a 17p deletion/TP53 mutation;</w:t>
            </w:r>
          </w:p>
          <w:p w:rsidR="00867A58" w:rsidRPr="003A2EA3" w:rsidRDefault="00867A58" w:rsidP="002C642F">
            <w:pPr>
              <w:rPr>
                <w:rFonts w:ascii="Arial Narrow" w:hAnsi="Arial Narrow"/>
                <w:sz w:val="20"/>
                <w:szCs w:val="20"/>
              </w:rPr>
            </w:pPr>
            <w:r w:rsidRPr="003A2EA3">
              <w:rPr>
                <w:rFonts w:ascii="Arial Narrow" w:hAnsi="Arial Narrow"/>
                <w:sz w:val="20"/>
                <w:szCs w:val="20"/>
              </w:rPr>
              <w:t>•</w:t>
            </w:r>
            <w:r w:rsidRPr="003A2EA3">
              <w:rPr>
                <w:rFonts w:ascii="Arial Narrow" w:hAnsi="Arial Narrow"/>
                <w:sz w:val="20"/>
                <w:szCs w:val="20"/>
              </w:rPr>
              <w:tab/>
            </w:r>
            <w:proofErr w:type="spellStart"/>
            <w:proofErr w:type="gramStart"/>
            <w:r w:rsidRPr="003A2EA3">
              <w:rPr>
                <w:rFonts w:ascii="Arial Narrow" w:hAnsi="Arial Narrow"/>
                <w:sz w:val="20"/>
                <w:szCs w:val="20"/>
              </w:rPr>
              <w:t>venetoclax</w:t>
            </w:r>
            <w:proofErr w:type="spellEnd"/>
            <w:proofErr w:type="gramEnd"/>
            <w:r w:rsidRPr="003A2EA3">
              <w:rPr>
                <w:rFonts w:ascii="Arial Narrow" w:hAnsi="Arial Narrow"/>
                <w:sz w:val="20"/>
                <w:szCs w:val="20"/>
              </w:rPr>
              <w:t xml:space="preserve"> (M14-032) versus rituximab monotherapy (312-0116) for patients with no other suitable treatment options.</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b/>
                <w:sz w:val="20"/>
                <w:szCs w:val="20"/>
              </w:rPr>
              <w:t>PBAC comment</w:t>
            </w:r>
            <w:r w:rsidRPr="003A2EA3">
              <w:rPr>
                <w:rFonts w:ascii="Arial Narrow" w:hAnsi="Arial Narrow"/>
                <w:sz w:val="20"/>
                <w:szCs w:val="20"/>
              </w:rPr>
              <w:t>: (</w:t>
            </w:r>
            <w:r w:rsidR="00337210">
              <w:rPr>
                <w:rFonts w:ascii="Arial Narrow" w:hAnsi="Arial Narrow"/>
                <w:sz w:val="20"/>
                <w:szCs w:val="20"/>
              </w:rPr>
              <w:t xml:space="preserve">PSD </w:t>
            </w:r>
            <w:r w:rsidRPr="003A2EA3">
              <w:rPr>
                <w:rFonts w:ascii="Arial Narrow" w:hAnsi="Arial Narrow"/>
                <w:sz w:val="20"/>
                <w:szCs w:val="20"/>
              </w:rPr>
              <w:t xml:space="preserve">paragraph 7.5) The PBAC considered that the clinical data available were less robust than would typically be relied on for decision making across all the subgroups requested, with no randomised trials reported, insufficient follow-up of more patient relevant outcomes such as overall survival, and evidence of observer bias (investigator assessed response rates were more favourable than independent committee response rates). In particular, the PBAC noted that the data for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to support the requested third-line listing or the TP53 mutated subgroup were less robust than the data available for the 17p deletion subgroup. However, the PBAC also recalled that the data available to inform its considerations about the listing of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were not fully robust, albeit not necessarily for the same reasons.</w:t>
            </w:r>
          </w:p>
        </w:tc>
        <w:tc>
          <w:tcPr>
            <w:tcW w:w="2103" w:type="pct"/>
          </w:tcPr>
          <w:p w:rsidR="00867A58" w:rsidRPr="003A2EA3" w:rsidRDefault="00867A58" w:rsidP="002C642F">
            <w:pPr>
              <w:rPr>
                <w:rFonts w:ascii="Arial Narrow" w:hAnsi="Arial Narrow"/>
                <w:sz w:val="20"/>
                <w:szCs w:val="20"/>
              </w:rPr>
            </w:pPr>
            <w:r w:rsidRPr="003A2EA3">
              <w:rPr>
                <w:rFonts w:ascii="Arial Narrow" w:hAnsi="Arial Narrow"/>
                <w:sz w:val="20"/>
                <w:szCs w:val="20"/>
              </w:rPr>
              <w:t>No new data presented.</w:t>
            </w:r>
          </w:p>
        </w:tc>
      </w:tr>
      <w:tr w:rsidR="00867A58" w:rsidRPr="003A2EA3" w:rsidTr="002C642F">
        <w:trPr>
          <w:cantSplit/>
          <w:trHeight w:val="860"/>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Key effectiveness data</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vs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with rituximab</w:t>
            </w:r>
          </w:p>
          <w:p w:rsidR="00867A58" w:rsidRPr="003A2EA3" w:rsidRDefault="00867A58" w:rsidP="002C642F">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058"/>
              <w:gridCol w:w="1059"/>
              <w:gridCol w:w="1228"/>
            </w:tblGrid>
            <w:tr w:rsidR="00867A58" w:rsidRPr="003A2EA3" w:rsidTr="002C642F">
              <w:tc>
                <w:tcPr>
                  <w:tcW w:w="2129" w:type="pct"/>
                  <w:vMerge w:val="restart"/>
                  <w:vAlign w:val="center"/>
                </w:tcPr>
                <w:p w:rsidR="00867A58" w:rsidRPr="003A2EA3" w:rsidRDefault="00867A58" w:rsidP="002C642F">
                  <w:pPr>
                    <w:jc w:val="center"/>
                    <w:rPr>
                      <w:rFonts w:ascii="Arial Narrow" w:hAnsi="Arial Narrow"/>
                      <w:b/>
                      <w:sz w:val="16"/>
                      <w:szCs w:val="16"/>
                    </w:rPr>
                  </w:pPr>
                </w:p>
              </w:tc>
              <w:tc>
                <w:tcPr>
                  <w:tcW w:w="908" w:type="pct"/>
                  <w:vAlign w:val="center"/>
                </w:tcPr>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M12-175</w:t>
                  </w:r>
                </w:p>
              </w:tc>
              <w:tc>
                <w:tcPr>
                  <w:tcW w:w="909" w:type="pct"/>
                  <w:vAlign w:val="center"/>
                </w:tcPr>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M13-982</w:t>
                  </w:r>
                </w:p>
              </w:tc>
              <w:tc>
                <w:tcPr>
                  <w:tcW w:w="1054" w:type="pct"/>
                  <w:vAlign w:val="center"/>
                </w:tcPr>
                <w:p w:rsidR="00867A58" w:rsidRPr="003A2EA3" w:rsidRDefault="00867A58" w:rsidP="002C642F">
                  <w:pPr>
                    <w:pStyle w:val="Tabletextcentred"/>
                    <w:rPr>
                      <w:b/>
                      <w:snapToGrid w:val="0"/>
                      <w:sz w:val="16"/>
                      <w:szCs w:val="16"/>
                    </w:rPr>
                  </w:pPr>
                  <w:r w:rsidRPr="003A2EA3">
                    <w:rPr>
                      <w:b/>
                      <w:snapToGrid w:val="0"/>
                      <w:sz w:val="16"/>
                      <w:szCs w:val="16"/>
                    </w:rPr>
                    <w:t>312-0116</w:t>
                  </w:r>
                </w:p>
              </w:tc>
            </w:tr>
            <w:tr w:rsidR="00867A58" w:rsidRPr="003A2EA3" w:rsidTr="002C642F">
              <w:tc>
                <w:tcPr>
                  <w:tcW w:w="2129" w:type="pct"/>
                  <w:vMerge/>
                </w:tcPr>
                <w:p w:rsidR="00867A58" w:rsidRPr="003A2EA3" w:rsidRDefault="00867A58" w:rsidP="002C642F">
                  <w:pPr>
                    <w:jc w:val="center"/>
                    <w:rPr>
                      <w:rFonts w:ascii="Arial Narrow" w:hAnsi="Arial Narrow"/>
                      <w:b/>
                      <w:sz w:val="16"/>
                      <w:szCs w:val="16"/>
                    </w:rPr>
                  </w:pPr>
                </w:p>
              </w:tc>
              <w:tc>
                <w:tcPr>
                  <w:tcW w:w="908" w:type="pct"/>
                  <w:vAlign w:val="center"/>
                </w:tcPr>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VEN</w:t>
                  </w:r>
                </w:p>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400</w:t>
                  </w:r>
                  <w:r w:rsidR="009439C5" w:rsidRPr="003A2EA3">
                    <w:rPr>
                      <w:rFonts w:ascii="Arial Narrow" w:hAnsi="Arial Narrow"/>
                      <w:b/>
                      <w:sz w:val="16"/>
                      <w:szCs w:val="16"/>
                    </w:rPr>
                    <w:t> </w:t>
                  </w:r>
                  <w:r w:rsidRPr="003A2EA3">
                    <w:rPr>
                      <w:rFonts w:ascii="Arial Narrow" w:hAnsi="Arial Narrow"/>
                      <w:b/>
                      <w:sz w:val="16"/>
                      <w:szCs w:val="16"/>
                    </w:rPr>
                    <w:t>mg 17p del</w:t>
                  </w:r>
                </w:p>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(N = 14)</w:t>
                  </w:r>
                </w:p>
              </w:tc>
              <w:tc>
                <w:tcPr>
                  <w:tcW w:w="909" w:type="pct"/>
                  <w:vAlign w:val="center"/>
                </w:tcPr>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VEN</w:t>
                  </w:r>
                </w:p>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main cohort</w:t>
                  </w:r>
                </w:p>
                <w:p w:rsidR="00867A58" w:rsidRPr="003A2EA3" w:rsidRDefault="00867A58" w:rsidP="002C642F">
                  <w:pPr>
                    <w:jc w:val="center"/>
                    <w:rPr>
                      <w:rFonts w:ascii="Arial Narrow" w:hAnsi="Arial Narrow"/>
                      <w:b/>
                      <w:sz w:val="16"/>
                      <w:szCs w:val="16"/>
                    </w:rPr>
                  </w:pPr>
                  <w:r w:rsidRPr="003A2EA3">
                    <w:rPr>
                      <w:rFonts w:ascii="Arial Narrow" w:hAnsi="Arial Narrow"/>
                      <w:b/>
                      <w:sz w:val="16"/>
                      <w:szCs w:val="16"/>
                    </w:rPr>
                    <w:t>(N = 158)</w:t>
                  </w:r>
                </w:p>
              </w:tc>
              <w:tc>
                <w:tcPr>
                  <w:tcW w:w="1054" w:type="pct"/>
                  <w:vAlign w:val="center"/>
                </w:tcPr>
                <w:p w:rsidR="00867A58" w:rsidRPr="003A2EA3" w:rsidRDefault="00867A58" w:rsidP="002C642F">
                  <w:pPr>
                    <w:pStyle w:val="Tabletextcentred"/>
                    <w:rPr>
                      <w:b/>
                      <w:snapToGrid w:val="0"/>
                      <w:sz w:val="16"/>
                      <w:szCs w:val="16"/>
                    </w:rPr>
                  </w:pPr>
                  <w:r w:rsidRPr="003A2EA3">
                    <w:rPr>
                      <w:b/>
                      <w:snapToGrid w:val="0"/>
                      <w:sz w:val="16"/>
                      <w:szCs w:val="16"/>
                    </w:rPr>
                    <w:t>IDEL + RITU</w:t>
                  </w:r>
                </w:p>
                <w:p w:rsidR="00867A58" w:rsidRPr="003A2EA3" w:rsidRDefault="00867A58" w:rsidP="002C642F">
                  <w:pPr>
                    <w:pStyle w:val="Tabletextcentred"/>
                    <w:rPr>
                      <w:b/>
                      <w:snapToGrid w:val="0"/>
                      <w:sz w:val="16"/>
                      <w:szCs w:val="16"/>
                    </w:rPr>
                  </w:pPr>
                  <w:r w:rsidRPr="003A2EA3">
                    <w:rPr>
                      <w:b/>
                      <w:snapToGrid w:val="0"/>
                      <w:sz w:val="16"/>
                      <w:szCs w:val="16"/>
                    </w:rPr>
                    <w:t>17p/TP53 subgroup</w:t>
                  </w:r>
                </w:p>
                <w:p w:rsidR="00867A58" w:rsidRPr="003A2EA3" w:rsidRDefault="00867A58" w:rsidP="002C642F">
                  <w:pPr>
                    <w:pStyle w:val="Tabletextcentred"/>
                    <w:rPr>
                      <w:b/>
                      <w:snapToGrid w:val="0"/>
                      <w:sz w:val="16"/>
                      <w:szCs w:val="16"/>
                    </w:rPr>
                  </w:pPr>
                  <w:r w:rsidRPr="003A2EA3">
                    <w:rPr>
                      <w:b/>
                      <w:snapToGrid w:val="0"/>
                      <w:sz w:val="16"/>
                      <w:szCs w:val="16"/>
                    </w:rPr>
                    <w:t>(N = 46)</w:t>
                  </w:r>
                </w:p>
              </w:tc>
            </w:tr>
            <w:tr w:rsidR="00867A58" w:rsidRPr="003A2EA3" w:rsidTr="002C642F">
              <w:tc>
                <w:tcPr>
                  <w:tcW w:w="2129" w:type="pct"/>
                </w:tcPr>
                <w:p w:rsidR="00867A58" w:rsidRPr="003A2EA3" w:rsidRDefault="00867A58" w:rsidP="002C642F">
                  <w:pPr>
                    <w:rPr>
                      <w:rFonts w:ascii="Arial Narrow" w:hAnsi="Arial Narrow"/>
                      <w:sz w:val="16"/>
                      <w:szCs w:val="16"/>
                    </w:rPr>
                  </w:pPr>
                  <w:r w:rsidRPr="003A2EA3">
                    <w:rPr>
                      <w:rFonts w:ascii="Arial Narrow" w:hAnsi="Arial Narrow"/>
                      <w:sz w:val="16"/>
                      <w:szCs w:val="16"/>
                    </w:rPr>
                    <w:t>Median duration of treatment, months (range)</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909"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1054" w:type="pct"/>
                </w:tcPr>
                <w:p w:rsidR="00867A58" w:rsidRPr="003A2EA3" w:rsidRDefault="00867A58" w:rsidP="002C642F">
                  <w:pPr>
                    <w:pStyle w:val="Tabletextcentred"/>
                    <w:rPr>
                      <w:snapToGrid w:val="0"/>
                      <w:sz w:val="16"/>
                      <w:szCs w:val="16"/>
                    </w:rPr>
                  </w:pPr>
                  <w:r w:rsidRPr="003A2EA3">
                    <w:rPr>
                      <w:snapToGrid w:val="0"/>
                      <w:sz w:val="16"/>
                      <w:szCs w:val="16"/>
                    </w:rPr>
                    <w:t>8.1 (0.3-19.5)</w:t>
                  </w:r>
                  <w:r w:rsidRPr="00C27F96">
                    <w:rPr>
                      <w:snapToGrid w:val="0"/>
                      <w:sz w:val="16"/>
                      <w:szCs w:val="16"/>
                      <w:vertAlign w:val="superscript"/>
                    </w:rPr>
                    <w:t>1</w:t>
                  </w:r>
                </w:p>
              </w:tc>
            </w:tr>
            <w:tr w:rsidR="00867A58" w:rsidRPr="003A2EA3" w:rsidTr="002C642F">
              <w:tc>
                <w:tcPr>
                  <w:tcW w:w="2129" w:type="pct"/>
                </w:tcPr>
                <w:p w:rsidR="00867A58" w:rsidRPr="003A2EA3" w:rsidRDefault="00867A58" w:rsidP="002C642F">
                  <w:pPr>
                    <w:rPr>
                      <w:rFonts w:ascii="Arial Narrow" w:hAnsi="Arial Narrow"/>
                      <w:sz w:val="16"/>
                      <w:szCs w:val="16"/>
                    </w:rPr>
                  </w:pPr>
                  <w:r w:rsidRPr="003A2EA3">
                    <w:rPr>
                      <w:rFonts w:ascii="Arial Narrow" w:hAnsi="Arial Narrow"/>
                      <w:sz w:val="16"/>
                      <w:szCs w:val="16"/>
                    </w:rPr>
                    <w:t>Median duration of follow-up, months (range)</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w:t>
                  </w:r>
                </w:p>
              </w:tc>
              <w:tc>
                <w:tcPr>
                  <w:tcW w:w="909" w:type="pct"/>
                  <w:vAlign w:val="center"/>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w:t>
                  </w:r>
                </w:p>
              </w:tc>
              <w:tc>
                <w:tcPr>
                  <w:tcW w:w="1054" w:type="pct"/>
                </w:tcPr>
                <w:p w:rsidR="00867A58" w:rsidRPr="003A2EA3" w:rsidRDefault="00867A58" w:rsidP="002C642F">
                  <w:pPr>
                    <w:pStyle w:val="Tabletextcentred"/>
                    <w:rPr>
                      <w:snapToGrid w:val="0"/>
                      <w:sz w:val="16"/>
                      <w:szCs w:val="16"/>
                    </w:rPr>
                  </w:pPr>
                  <w:r w:rsidRPr="003A2EA3">
                    <w:rPr>
                      <w:snapToGrid w:val="0"/>
                      <w:sz w:val="16"/>
                      <w:szCs w:val="16"/>
                    </w:rPr>
                    <w:t>12.5 (0.3-25.1)</w:t>
                  </w:r>
                  <w:r w:rsidRPr="003A2EA3">
                    <w:rPr>
                      <w:snapToGrid w:val="0"/>
                      <w:sz w:val="16"/>
                      <w:szCs w:val="16"/>
                      <w:vertAlign w:val="superscript"/>
                    </w:rPr>
                    <w:t>1</w:t>
                  </w:r>
                </w:p>
              </w:tc>
            </w:tr>
            <w:tr w:rsidR="00867A58" w:rsidRPr="003A2EA3" w:rsidTr="002C642F">
              <w:tc>
                <w:tcPr>
                  <w:tcW w:w="5000" w:type="pct"/>
                  <w:gridSpan w:val="4"/>
                  <w:vAlign w:val="center"/>
                </w:tcPr>
                <w:p w:rsidR="00867A58" w:rsidRPr="00B93D7B" w:rsidRDefault="00867A58" w:rsidP="002C642F">
                  <w:pPr>
                    <w:rPr>
                      <w:rFonts w:ascii="Arial Narrow" w:hAnsi="Arial Narrow"/>
                      <w:sz w:val="16"/>
                      <w:szCs w:val="16"/>
                    </w:rPr>
                  </w:pPr>
                  <w:r w:rsidRPr="00B93D7B">
                    <w:rPr>
                      <w:rFonts w:ascii="Arial Narrow" w:hAnsi="Arial Narrow"/>
                      <w:b/>
                      <w:sz w:val="16"/>
                      <w:szCs w:val="16"/>
                    </w:rPr>
                    <w:t>Response rates</w:t>
                  </w:r>
                </w:p>
              </w:tc>
            </w:tr>
            <w:tr w:rsidR="00867A58" w:rsidRPr="003A2EA3" w:rsidTr="002C642F">
              <w:tc>
                <w:tcPr>
                  <w:tcW w:w="2129" w:type="pct"/>
                  <w:vAlign w:val="center"/>
                </w:tcPr>
                <w:p w:rsidR="00867A58" w:rsidRPr="003A2EA3" w:rsidRDefault="00867A58" w:rsidP="002C642F">
                  <w:pPr>
                    <w:pStyle w:val="TableText0"/>
                    <w:spacing w:before="0" w:after="0"/>
                    <w:rPr>
                      <w:rFonts w:ascii="Arial Narrow" w:hAnsi="Arial Narrow"/>
                      <w:sz w:val="16"/>
                      <w:szCs w:val="16"/>
                      <w:vertAlign w:val="superscript"/>
                    </w:rPr>
                  </w:pPr>
                  <w:r w:rsidRPr="003A2EA3">
                    <w:rPr>
                      <w:rFonts w:ascii="Arial Narrow" w:hAnsi="Arial Narrow"/>
                      <w:sz w:val="16"/>
                      <w:szCs w:val="16"/>
                    </w:rPr>
                    <w:t>Overall response rate, % (95% CI)</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909" w:type="pct"/>
                </w:tcPr>
                <w:p w:rsidR="00867A58" w:rsidRPr="00B93D7B" w:rsidRDefault="00867A58" w:rsidP="002C642F">
                  <w:pPr>
                    <w:jc w:val="center"/>
                    <w:rPr>
                      <w:rFonts w:ascii="Arial Narrow" w:hAnsi="Arial Narrow"/>
                      <w:sz w:val="16"/>
                      <w:szCs w:val="16"/>
                    </w:rPr>
                  </w:pPr>
                  <w:r w:rsidRPr="00B93D7B">
                    <w:rPr>
                      <w:rFonts w:ascii="Arial Narrow" w:hAnsi="Arial Narrow"/>
                      <w:sz w:val="16"/>
                      <w:szCs w:val="16"/>
                    </w:rPr>
                    <w:t>77.2 (69.9, 83.5)</w:t>
                  </w:r>
                </w:p>
              </w:tc>
              <w:tc>
                <w:tcPr>
                  <w:tcW w:w="1054" w:type="pct"/>
                  <w:vAlign w:val="center"/>
                </w:tcPr>
                <w:p w:rsidR="00867A58" w:rsidRPr="003A2EA3" w:rsidRDefault="00867A58" w:rsidP="002C642F">
                  <w:pPr>
                    <w:jc w:val="center"/>
                    <w:rPr>
                      <w:rFonts w:ascii="Arial Narrow" w:hAnsi="Arial Narrow"/>
                      <w:sz w:val="16"/>
                      <w:szCs w:val="16"/>
                    </w:rPr>
                  </w:pPr>
                  <w:r w:rsidRPr="003A2EA3">
                    <w:rPr>
                      <w:rFonts w:ascii="Arial Narrow" w:hAnsi="Arial Narrow"/>
                      <w:sz w:val="16"/>
                      <w:szCs w:val="16"/>
                    </w:rPr>
                    <w:t>84.8 (NR)</w:t>
                  </w:r>
                </w:p>
              </w:tc>
            </w:tr>
            <w:tr w:rsidR="00867A58" w:rsidRPr="003A2EA3" w:rsidTr="002C642F">
              <w:tc>
                <w:tcPr>
                  <w:tcW w:w="2129" w:type="pct"/>
                  <w:vAlign w:val="center"/>
                </w:tcPr>
                <w:p w:rsidR="00867A58" w:rsidRPr="003A2EA3" w:rsidRDefault="00867A58" w:rsidP="002C642F">
                  <w:pPr>
                    <w:pStyle w:val="TableText0"/>
                    <w:spacing w:before="0" w:after="0"/>
                    <w:rPr>
                      <w:rFonts w:ascii="Arial Narrow" w:hAnsi="Arial Narrow"/>
                      <w:sz w:val="16"/>
                      <w:szCs w:val="16"/>
                    </w:rPr>
                  </w:pPr>
                  <w:r w:rsidRPr="003A2EA3">
                    <w:rPr>
                      <w:rFonts w:ascii="Arial Narrow" w:hAnsi="Arial Narrow"/>
                      <w:sz w:val="16"/>
                      <w:szCs w:val="16"/>
                    </w:rPr>
                    <w:t>- Complete response, n (%)</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w:t>
                  </w:r>
                </w:p>
              </w:tc>
              <w:tc>
                <w:tcPr>
                  <w:tcW w:w="909" w:type="pct"/>
                  <w:vAlign w:val="center"/>
                </w:tcPr>
                <w:p w:rsidR="00867A58" w:rsidRPr="00B93D7B" w:rsidRDefault="00867A58" w:rsidP="002C642F">
                  <w:pPr>
                    <w:pStyle w:val="TableText0"/>
                    <w:spacing w:before="0" w:after="0"/>
                    <w:jc w:val="center"/>
                    <w:rPr>
                      <w:rFonts w:ascii="Arial Narrow" w:hAnsi="Arial Narrow"/>
                      <w:sz w:val="16"/>
                      <w:szCs w:val="16"/>
                    </w:rPr>
                  </w:pPr>
                  <w:r w:rsidRPr="00B93D7B">
                    <w:rPr>
                      <w:rFonts w:ascii="Arial Narrow" w:hAnsi="Arial Narrow"/>
                      <w:sz w:val="16"/>
                      <w:szCs w:val="16"/>
                    </w:rPr>
                    <w:t>29 (18.4)</w:t>
                  </w:r>
                </w:p>
              </w:tc>
              <w:tc>
                <w:tcPr>
                  <w:tcW w:w="1054" w:type="pct"/>
                  <w:vAlign w:val="center"/>
                </w:tcPr>
                <w:p w:rsidR="00867A58" w:rsidRPr="003A2EA3" w:rsidRDefault="00867A58" w:rsidP="002C642F">
                  <w:pPr>
                    <w:pStyle w:val="TableText0"/>
                    <w:spacing w:before="0" w:after="0"/>
                    <w:jc w:val="center"/>
                    <w:rPr>
                      <w:rFonts w:ascii="Arial Narrow" w:hAnsi="Arial Narrow"/>
                      <w:sz w:val="16"/>
                      <w:szCs w:val="16"/>
                    </w:rPr>
                  </w:pPr>
                  <w:r w:rsidRPr="003A2EA3">
                    <w:rPr>
                      <w:rFonts w:ascii="Arial Narrow" w:hAnsi="Arial Narrow"/>
                      <w:sz w:val="16"/>
                      <w:szCs w:val="16"/>
                    </w:rPr>
                    <w:t>0</w:t>
                  </w:r>
                </w:p>
              </w:tc>
            </w:tr>
            <w:tr w:rsidR="00867A58" w:rsidRPr="003A2EA3" w:rsidTr="002C642F">
              <w:tc>
                <w:tcPr>
                  <w:tcW w:w="2129" w:type="pct"/>
                  <w:vAlign w:val="center"/>
                </w:tcPr>
                <w:p w:rsidR="00867A58" w:rsidRPr="003A2EA3" w:rsidRDefault="00867A58" w:rsidP="002C642F">
                  <w:pPr>
                    <w:pStyle w:val="TableText0"/>
                    <w:spacing w:before="0" w:after="0"/>
                    <w:rPr>
                      <w:rFonts w:ascii="Arial Narrow" w:hAnsi="Arial Narrow"/>
                      <w:sz w:val="16"/>
                      <w:szCs w:val="16"/>
                    </w:rPr>
                  </w:pPr>
                  <w:r w:rsidRPr="003A2EA3">
                    <w:rPr>
                      <w:rFonts w:ascii="Arial Narrow" w:hAnsi="Arial Narrow"/>
                      <w:sz w:val="16"/>
                      <w:szCs w:val="16"/>
                    </w:rPr>
                    <w:t>- Partial response, n (%)</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r w:rsidR="00867A58" w:rsidRPr="00A5328F">
                    <w:rPr>
                      <w:rFonts w:ascii="Arial Narrow" w:hAnsi="Arial Narrow"/>
                      <w:sz w:val="16"/>
                      <w:szCs w:val="16"/>
                      <w:highlight w:val="black"/>
                    </w:rPr>
                    <w:t xml:space="preserve"> </w:t>
                  </w:r>
                </w:p>
              </w:tc>
              <w:tc>
                <w:tcPr>
                  <w:tcW w:w="909" w:type="pct"/>
                  <w:vAlign w:val="center"/>
                </w:tcPr>
                <w:p w:rsidR="00867A58" w:rsidRPr="00B93D7B" w:rsidRDefault="00867A58" w:rsidP="002C642F">
                  <w:pPr>
                    <w:pStyle w:val="TableText0"/>
                    <w:spacing w:before="0" w:after="0"/>
                    <w:jc w:val="center"/>
                    <w:rPr>
                      <w:rFonts w:ascii="Arial Narrow" w:hAnsi="Arial Narrow"/>
                      <w:sz w:val="16"/>
                      <w:szCs w:val="16"/>
                    </w:rPr>
                  </w:pPr>
                  <w:r w:rsidRPr="00B93D7B">
                    <w:rPr>
                      <w:rFonts w:ascii="Arial Narrow" w:hAnsi="Arial Narrow"/>
                      <w:sz w:val="16"/>
                      <w:szCs w:val="16"/>
                    </w:rPr>
                    <w:t>93 (58.9)</w:t>
                  </w:r>
                </w:p>
              </w:tc>
              <w:tc>
                <w:tcPr>
                  <w:tcW w:w="1054" w:type="pct"/>
                  <w:vAlign w:val="center"/>
                </w:tcPr>
                <w:p w:rsidR="00867A58" w:rsidRPr="003A2EA3" w:rsidRDefault="00867A58" w:rsidP="002C642F">
                  <w:pPr>
                    <w:pStyle w:val="TableText0"/>
                    <w:spacing w:before="0" w:after="0"/>
                    <w:jc w:val="center"/>
                    <w:rPr>
                      <w:rFonts w:ascii="Arial Narrow" w:hAnsi="Arial Narrow"/>
                      <w:sz w:val="16"/>
                      <w:szCs w:val="16"/>
                    </w:rPr>
                  </w:pPr>
                  <w:r w:rsidRPr="003A2EA3">
                    <w:rPr>
                      <w:rFonts w:ascii="Arial Narrow" w:hAnsi="Arial Narrow"/>
                      <w:sz w:val="16"/>
                      <w:szCs w:val="16"/>
                    </w:rPr>
                    <w:t>(84.8)</w:t>
                  </w:r>
                </w:p>
              </w:tc>
            </w:tr>
            <w:tr w:rsidR="00867A58" w:rsidRPr="003A2EA3" w:rsidTr="002C642F">
              <w:tc>
                <w:tcPr>
                  <w:tcW w:w="5000" w:type="pct"/>
                  <w:gridSpan w:val="4"/>
                </w:tcPr>
                <w:p w:rsidR="00867A58" w:rsidRPr="00B93D7B" w:rsidRDefault="00867A58" w:rsidP="002C642F">
                  <w:pPr>
                    <w:pStyle w:val="TableText0"/>
                    <w:spacing w:before="0" w:after="0"/>
                    <w:rPr>
                      <w:rFonts w:ascii="Arial Narrow" w:hAnsi="Arial Narrow"/>
                      <w:sz w:val="16"/>
                      <w:szCs w:val="16"/>
                    </w:rPr>
                  </w:pPr>
                  <w:r w:rsidRPr="00B93D7B">
                    <w:rPr>
                      <w:rFonts w:ascii="Arial Narrow" w:hAnsi="Arial Narrow"/>
                      <w:b/>
                      <w:sz w:val="16"/>
                      <w:szCs w:val="16"/>
                    </w:rPr>
                    <w:t>Progression-free survival</w:t>
                  </w:r>
                </w:p>
              </w:tc>
            </w:tr>
            <w:tr w:rsidR="00867A58" w:rsidRPr="003A2EA3" w:rsidTr="002C642F">
              <w:tc>
                <w:tcPr>
                  <w:tcW w:w="2129" w:type="pct"/>
                </w:tcPr>
                <w:p w:rsidR="00867A58" w:rsidRPr="00D05FB9" w:rsidRDefault="00867A58" w:rsidP="002C642F">
                  <w:pPr>
                    <w:rPr>
                      <w:rFonts w:ascii="Arial Narrow" w:hAnsi="Arial Narrow"/>
                      <w:sz w:val="16"/>
                      <w:szCs w:val="16"/>
                    </w:rPr>
                  </w:pPr>
                  <w:r w:rsidRPr="00D05FB9">
                    <w:rPr>
                      <w:rFonts w:ascii="Arial Narrow" w:hAnsi="Arial Narrow"/>
                      <w:sz w:val="16"/>
                      <w:szCs w:val="16"/>
                    </w:rPr>
                    <w:t>Events n (%)</w:t>
                  </w:r>
                </w:p>
              </w:tc>
              <w:tc>
                <w:tcPr>
                  <w:tcW w:w="908"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909" w:type="pct"/>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1054" w:type="pct"/>
                </w:tcPr>
                <w:p w:rsidR="00867A58" w:rsidRPr="003A2EA3" w:rsidRDefault="00867A58" w:rsidP="002C642F">
                  <w:pPr>
                    <w:pStyle w:val="TableText0"/>
                    <w:spacing w:before="0" w:after="0"/>
                    <w:jc w:val="center"/>
                    <w:rPr>
                      <w:rFonts w:ascii="Arial Narrow" w:hAnsi="Arial Narrow"/>
                      <w:sz w:val="16"/>
                      <w:szCs w:val="16"/>
                    </w:rPr>
                  </w:pPr>
                  <w:r w:rsidRPr="003A2EA3">
                    <w:rPr>
                      <w:rFonts w:ascii="Arial Narrow" w:hAnsi="Arial Narrow"/>
                      <w:sz w:val="16"/>
                      <w:szCs w:val="16"/>
                    </w:rPr>
                    <w:t>NR</w:t>
                  </w:r>
                </w:p>
              </w:tc>
            </w:tr>
            <w:tr w:rsidR="00867A58" w:rsidRPr="003A2EA3" w:rsidTr="002C642F">
              <w:tc>
                <w:tcPr>
                  <w:tcW w:w="2129" w:type="pct"/>
                  <w:vAlign w:val="center"/>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Median PFS, months (95% CI)</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909" w:type="pct"/>
                  <w:vAlign w:val="center"/>
                </w:tcPr>
                <w:p w:rsidR="00867A58" w:rsidRPr="00B93D7B" w:rsidRDefault="00867A58" w:rsidP="002C642F">
                  <w:pPr>
                    <w:pStyle w:val="TableText0"/>
                    <w:spacing w:before="0" w:after="0"/>
                    <w:jc w:val="center"/>
                    <w:rPr>
                      <w:rFonts w:ascii="Arial Narrow" w:hAnsi="Arial Narrow"/>
                      <w:sz w:val="16"/>
                      <w:szCs w:val="16"/>
                    </w:rPr>
                  </w:pPr>
                  <w:r w:rsidRPr="00B93D7B">
                    <w:rPr>
                      <w:rFonts w:ascii="Arial Narrow" w:hAnsi="Arial Narrow"/>
                      <w:sz w:val="16"/>
                      <w:szCs w:val="16"/>
                    </w:rPr>
                    <w:t>27.2 (21.9, NE)</w:t>
                  </w:r>
                </w:p>
              </w:tc>
              <w:tc>
                <w:tcPr>
                  <w:tcW w:w="1054" w:type="pct"/>
                  <w:vAlign w:val="center"/>
                </w:tcPr>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Not reached</w:t>
                  </w:r>
                </w:p>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(12.3, NE)</w:t>
                  </w:r>
                </w:p>
              </w:tc>
            </w:tr>
            <w:tr w:rsidR="00867A58" w:rsidRPr="003A2EA3" w:rsidTr="002C642F">
              <w:tc>
                <w:tcPr>
                  <w:tcW w:w="2129" w:type="pct"/>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KM estimate of PFS at 6 months, % (95% CI)</w:t>
                  </w:r>
                </w:p>
              </w:tc>
              <w:tc>
                <w:tcPr>
                  <w:tcW w:w="908"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909"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1054" w:type="pct"/>
                </w:tcPr>
                <w:p w:rsidR="00867A58" w:rsidRPr="00D05FB9" w:rsidRDefault="00867A58" w:rsidP="002C642F">
                  <w:pPr>
                    <w:pStyle w:val="TableText0"/>
                    <w:spacing w:before="0" w:after="0"/>
                    <w:jc w:val="center"/>
                    <w:rPr>
                      <w:rFonts w:ascii="Arial Narrow" w:hAnsi="Arial Narrow"/>
                      <w:sz w:val="16"/>
                      <w:szCs w:val="16"/>
                    </w:rPr>
                  </w:pPr>
                  <w:r w:rsidRPr="00D05FB9">
                    <w:rPr>
                      <w:rFonts w:ascii="Arial Narrow" w:hAnsi="Arial Narrow"/>
                      <w:sz w:val="16"/>
                      <w:szCs w:val="16"/>
                    </w:rPr>
                    <w:t>NR</w:t>
                  </w:r>
                </w:p>
              </w:tc>
            </w:tr>
            <w:tr w:rsidR="00867A58" w:rsidRPr="003A2EA3" w:rsidTr="002C642F">
              <w:tc>
                <w:tcPr>
                  <w:tcW w:w="2129" w:type="pct"/>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KM estimate of PFS at 12 months, % (95% CI)</w:t>
                  </w:r>
                </w:p>
              </w:tc>
              <w:tc>
                <w:tcPr>
                  <w:tcW w:w="908"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909" w:type="pct"/>
                </w:tcPr>
                <w:p w:rsidR="00867A58" w:rsidRPr="00B93D7B" w:rsidRDefault="00867A58" w:rsidP="002C642F">
                  <w:pPr>
                    <w:jc w:val="center"/>
                    <w:rPr>
                      <w:rFonts w:ascii="Arial Narrow" w:hAnsi="Arial Narrow"/>
                      <w:sz w:val="16"/>
                      <w:szCs w:val="16"/>
                    </w:rPr>
                  </w:pPr>
                  <w:r w:rsidRPr="00B93D7B">
                    <w:rPr>
                      <w:rFonts w:ascii="Arial Narrow" w:hAnsi="Arial Narrow"/>
                      <w:sz w:val="16"/>
                      <w:szCs w:val="16"/>
                    </w:rPr>
                    <w:t>77 (69, 83)</w:t>
                  </w:r>
                </w:p>
              </w:tc>
              <w:tc>
                <w:tcPr>
                  <w:tcW w:w="1054" w:type="pct"/>
                </w:tcPr>
                <w:p w:rsidR="00867A58" w:rsidRPr="00D05FB9" w:rsidRDefault="00867A58" w:rsidP="002C642F">
                  <w:pPr>
                    <w:pStyle w:val="TableText0"/>
                    <w:spacing w:before="0" w:after="0"/>
                    <w:jc w:val="center"/>
                    <w:rPr>
                      <w:rFonts w:ascii="Arial Narrow" w:hAnsi="Arial Narrow"/>
                      <w:sz w:val="16"/>
                      <w:szCs w:val="16"/>
                    </w:rPr>
                  </w:pPr>
                  <w:r w:rsidRPr="00D05FB9">
                    <w:rPr>
                      <w:rFonts w:ascii="Arial Narrow" w:hAnsi="Arial Narrow"/>
                      <w:sz w:val="16"/>
                      <w:szCs w:val="16"/>
                    </w:rPr>
                    <w:t>NR</w:t>
                  </w:r>
                </w:p>
              </w:tc>
            </w:tr>
            <w:tr w:rsidR="00867A58" w:rsidRPr="003A2EA3" w:rsidTr="002C642F">
              <w:tc>
                <w:tcPr>
                  <w:tcW w:w="5000" w:type="pct"/>
                  <w:gridSpan w:val="4"/>
                  <w:vAlign w:val="center"/>
                </w:tcPr>
                <w:p w:rsidR="00867A58" w:rsidRPr="00B93D7B" w:rsidRDefault="00867A58" w:rsidP="002C642F">
                  <w:pPr>
                    <w:rPr>
                      <w:rFonts w:ascii="Arial Narrow" w:hAnsi="Arial Narrow"/>
                      <w:b/>
                      <w:sz w:val="16"/>
                      <w:szCs w:val="16"/>
                    </w:rPr>
                  </w:pPr>
                  <w:r w:rsidRPr="00B93D7B">
                    <w:rPr>
                      <w:rFonts w:ascii="Arial Narrow" w:hAnsi="Arial Narrow"/>
                      <w:b/>
                      <w:sz w:val="16"/>
                      <w:szCs w:val="16"/>
                    </w:rPr>
                    <w:t>Overall survival</w:t>
                  </w:r>
                </w:p>
              </w:tc>
            </w:tr>
            <w:tr w:rsidR="00867A58" w:rsidRPr="003A2EA3" w:rsidTr="002C642F">
              <w:tc>
                <w:tcPr>
                  <w:tcW w:w="2129" w:type="pct"/>
                  <w:vAlign w:val="center"/>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Deaths n (%)</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909"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1054" w:type="pct"/>
                  <w:vAlign w:val="center"/>
                </w:tcPr>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NR</w:t>
                  </w:r>
                </w:p>
              </w:tc>
            </w:tr>
            <w:tr w:rsidR="00867A58" w:rsidRPr="003A2EA3" w:rsidTr="002C642F">
              <w:tc>
                <w:tcPr>
                  <w:tcW w:w="2129" w:type="pct"/>
                  <w:vAlign w:val="center"/>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Median OS, months (95% CI)</w:t>
                  </w:r>
                </w:p>
              </w:tc>
              <w:tc>
                <w:tcPr>
                  <w:tcW w:w="908" w:type="pct"/>
                  <w:vAlign w:val="center"/>
                </w:tcPr>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909" w:type="pct"/>
                  <w:vAlign w:val="center"/>
                </w:tcPr>
                <w:p w:rsidR="00867A58" w:rsidRPr="00B93D7B" w:rsidRDefault="00867A58" w:rsidP="002C642F">
                  <w:pPr>
                    <w:pStyle w:val="TableText0"/>
                    <w:spacing w:before="0" w:after="0"/>
                    <w:jc w:val="center"/>
                    <w:rPr>
                      <w:rFonts w:ascii="Arial Narrow" w:hAnsi="Arial Narrow"/>
                      <w:sz w:val="16"/>
                      <w:szCs w:val="16"/>
                    </w:rPr>
                  </w:pPr>
                  <w:r w:rsidRPr="00B93D7B">
                    <w:rPr>
                      <w:rFonts w:ascii="Arial Narrow" w:hAnsi="Arial Narrow"/>
                      <w:sz w:val="16"/>
                      <w:szCs w:val="16"/>
                    </w:rPr>
                    <w:t>Not reached</w:t>
                  </w:r>
                </w:p>
                <w:p w:rsidR="00867A58" w:rsidRPr="00A5328F" w:rsidRDefault="00A5328F" w:rsidP="002C642F">
                  <w:pPr>
                    <w:pStyle w:val="TableText0"/>
                    <w:spacing w:before="0" w:after="0"/>
                    <w:jc w:val="center"/>
                    <w:rPr>
                      <w:rFonts w:ascii="Arial Narrow" w:hAnsi="Arial Narrow"/>
                      <w:sz w:val="16"/>
                      <w:szCs w:val="16"/>
                      <w:highlight w:val="black"/>
                    </w:rPr>
                  </w:pPr>
                  <w:r>
                    <w:rPr>
                      <w:rFonts w:ascii="Arial Narrow" w:hAnsi="Arial Narrow"/>
                      <w:noProof/>
                      <w:color w:val="000000"/>
                      <w:sz w:val="16"/>
                      <w:szCs w:val="16"/>
                      <w:highlight w:val="black"/>
                    </w:rPr>
                    <w:t>'''''''''''''' ''''''''</w:t>
                  </w:r>
                </w:p>
              </w:tc>
              <w:tc>
                <w:tcPr>
                  <w:tcW w:w="1054" w:type="pct"/>
                  <w:vAlign w:val="center"/>
                </w:tcPr>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Not reached</w:t>
                  </w:r>
                </w:p>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(18.8, NE)</w:t>
                  </w:r>
                </w:p>
              </w:tc>
            </w:tr>
            <w:tr w:rsidR="00867A58" w:rsidRPr="003A2EA3" w:rsidTr="002C642F">
              <w:tc>
                <w:tcPr>
                  <w:tcW w:w="2129" w:type="pct"/>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KM estimate of OS at 6 months, % (95% CI)</w:t>
                  </w:r>
                </w:p>
              </w:tc>
              <w:tc>
                <w:tcPr>
                  <w:tcW w:w="908"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909"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1054" w:type="pct"/>
                </w:tcPr>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NR</w:t>
                  </w:r>
                </w:p>
              </w:tc>
            </w:tr>
            <w:tr w:rsidR="00867A58" w:rsidRPr="003A2EA3" w:rsidTr="002C642F">
              <w:tc>
                <w:tcPr>
                  <w:tcW w:w="2129" w:type="pct"/>
                </w:tcPr>
                <w:p w:rsidR="00867A58" w:rsidRPr="00D05FB9" w:rsidRDefault="00867A58" w:rsidP="002C642F">
                  <w:pPr>
                    <w:ind w:right="-108"/>
                    <w:rPr>
                      <w:rFonts w:ascii="Arial Narrow" w:hAnsi="Arial Narrow"/>
                      <w:sz w:val="16"/>
                      <w:szCs w:val="16"/>
                    </w:rPr>
                  </w:pPr>
                  <w:r w:rsidRPr="00D05FB9">
                    <w:rPr>
                      <w:rFonts w:ascii="Arial Narrow" w:hAnsi="Arial Narrow"/>
                      <w:sz w:val="16"/>
                      <w:szCs w:val="16"/>
                    </w:rPr>
                    <w:t>KM estimate of OS at 12 months, % (95% CI)</w:t>
                  </w:r>
                </w:p>
              </w:tc>
              <w:tc>
                <w:tcPr>
                  <w:tcW w:w="908" w:type="pct"/>
                </w:tcPr>
                <w:p w:rsidR="00867A58" w:rsidRPr="00A5328F" w:rsidRDefault="00A5328F" w:rsidP="002C642F">
                  <w:pPr>
                    <w:jc w:val="center"/>
                    <w:rPr>
                      <w:rFonts w:ascii="Arial Narrow" w:hAnsi="Arial Narrow"/>
                      <w:sz w:val="16"/>
                      <w:szCs w:val="16"/>
                      <w:highlight w:val="black"/>
                    </w:rPr>
                  </w:pPr>
                  <w:r>
                    <w:rPr>
                      <w:rFonts w:ascii="Arial Narrow" w:hAnsi="Arial Narrow"/>
                      <w:noProof/>
                      <w:color w:val="000000"/>
                      <w:sz w:val="16"/>
                      <w:szCs w:val="16"/>
                      <w:highlight w:val="black"/>
                    </w:rPr>
                    <w:t>''''''' '''''''''' '''''''</w:t>
                  </w:r>
                </w:p>
              </w:tc>
              <w:tc>
                <w:tcPr>
                  <w:tcW w:w="909" w:type="pct"/>
                </w:tcPr>
                <w:p w:rsidR="00867A58" w:rsidRPr="00B93D7B" w:rsidRDefault="00867A58" w:rsidP="002C642F">
                  <w:pPr>
                    <w:jc w:val="center"/>
                    <w:rPr>
                      <w:rFonts w:ascii="Arial Narrow" w:hAnsi="Arial Narrow"/>
                      <w:sz w:val="16"/>
                      <w:szCs w:val="16"/>
                    </w:rPr>
                  </w:pPr>
                  <w:r w:rsidRPr="00B93D7B">
                    <w:rPr>
                      <w:rFonts w:ascii="Arial Narrow" w:hAnsi="Arial Narrow"/>
                      <w:sz w:val="16"/>
                      <w:szCs w:val="16"/>
                    </w:rPr>
                    <w:t>87 (80, 91)</w:t>
                  </w:r>
                </w:p>
              </w:tc>
              <w:tc>
                <w:tcPr>
                  <w:tcW w:w="1054" w:type="pct"/>
                </w:tcPr>
                <w:p w:rsidR="00867A58" w:rsidRPr="00D05FB9" w:rsidRDefault="00867A58" w:rsidP="002C642F">
                  <w:pPr>
                    <w:jc w:val="center"/>
                    <w:rPr>
                      <w:rFonts w:ascii="Arial Narrow" w:hAnsi="Arial Narrow"/>
                      <w:sz w:val="16"/>
                      <w:szCs w:val="16"/>
                    </w:rPr>
                  </w:pPr>
                  <w:r w:rsidRPr="00D05FB9">
                    <w:rPr>
                      <w:rFonts w:ascii="Arial Narrow" w:hAnsi="Arial Narrow"/>
                      <w:sz w:val="16"/>
                      <w:szCs w:val="16"/>
                    </w:rPr>
                    <w:t>NR</w:t>
                  </w:r>
                </w:p>
              </w:tc>
            </w:tr>
          </w:tbl>
          <w:p w:rsidR="00867A58" w:rsidRPr="003A2EA3" w:rsidRDefault="00867A58" w:rsidP="002C642F">
            <w:pPr>
              <w:rPr>
                <w:rFonts w:ascii="Arial Narrow" w:hAnsi="Arial Narrow"/>
                <w:sz w:val="20"/>
                <w:szCs w:val="20"/>
              </w:rPr>
            </w:pP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8455C6" w:rsidP="008455C6">
            <w:pPr>
              <w:rPr>
                <w:rFonts w:ascii="Arial Narrow" w:hAnsi="Arial Narrow"/>
                <w:sz w:val="20"/>
                <w:szCs w:val="20"/>
              </w:rPr>
            </w:pPr>
            <w:r w:rsidRPr="003A2EA3">
              <w:rPr>
                <w:rFonts w:ascii="Arial Narrow" w:hAnsi="Arial Narrow"/>
                <w:sz w:val="20"/>
                <w:szCs w:val="20"/>
              </w:rPr>
              <w:t>No new data presented.</w:t>
            </w:r>
          </w:p>
        </w:tc>
      </w:tr>
      <w:tr w:rsidR="00867A58" w:rsidRPr="003A2EA3" w:rsidTr="00EB404A">
        <w:trPr>
          <w:cantSplit/>
          <w:trHeight w:val="159"/>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Key effectiveness data</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867A58" w:rsidP="00EB404A">
            <w:pPr>
              <w:rPr>
                <w:rFonts w:ascii="Arial Narrow" w:hAnsi="Arial Narrow"/>
                <w:sz w:val="20"/>
                <w:szCs w:val="20"/>
              </w:rPr>
            </w:pPr>
            <w:proofErr w:type="gramStart"/>
            <w:r w:rsidRPr="003A2EA3">
              <w:rPr>
                <w:rFonts w:ascii="Arial Narrow" w:hAnsi="Arial Narrow"/>
                <w:sz w:val="20"/>
                <w:szCs w:val="20"/>
              </w:rPr>
              <w:t>vs</w:t>
            </w:r>
            <w:proofErr w:type="gramEnd"/>
            <w:r w:rsidRPr="003A2EA3">
              <w:rPr>
                <w:rFonts w:ascii="Arial Narrow" w:hAnsi="Arial Narrow"/>
                <w:sz w:val="20"/>
                <w:szCs w:val="20"/>
              </w:rPr>
              <w:t xml:space="preserve"> </w:t>
            </w:r>
            <w:proofErr w:type="spellStart"/>
            <w:r w:rsidRPr="003A2EA3">
              <w:rPr>
                <w:rFonts w:ascii="Arial Narrow" w:hAnsi="Arial Narrow"/>
                <w:sz w:val="20"/>
                <w:szCs w:val="20"/>
              </w:rPr>
              <w:t>ibrutinib</w:t>
            </w:r>
            <w:proofErr w:type="spellEnd"/>
            <w:r w:rsidR="00EB404A" w:rsidRPr="003A2EA3">
              <w:rPr>
                <w:rFonts w:ascii="Arial Narrow" w:hAnsi="Arial Narrow"/>
                <w:sz w:val="20"/>
                <w:szCs w:val="20"/>
              </w:rPr>
              <w:t>.</w:t>
            </w:r>
            <w:r w:rsidR="00574205" w:rsidRPr="003A2EA3">
              <w:rPr>
                <w:rFonts w:ascii="Arial Narrow" w:hAnsi="Arial Narrow"/>
                <w:sz w:val="20"/>
                <w:szCs w:val="20"/>
              </w:rPr>
              <w:t xml:space="preserve"> See Table 3, below.</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8455C6" w:rsidP="008455C6">
            <w:pPr>
              <w:rPr>
                <w:rFonts w:ascii="Arial Narrow" w:hAnsi="Arial Narrow"/>
                <w:sz w:val="20"/>
                <w:szCs w:val="20"/>
              </w:rPr>
            </w:pPr>
            <w:r w:rsidRPr="003A2EA3">
              <w:rPr>
                <w:rFonts w:ascii="Arial Narrow" w:hAnsi="Arial Narrow"/>
                <w:sz w:val="20"/>
                <w:szCs w:val="20"/>
              </w:rPr>
              <w:t>No new data presented.</w:t>
            </w:r>
          </w:p>
        </w:tc>
      </w:tr>
      <w:tr w:rsidR="00574205" w:rsidRPr="003A2EA3" w:rsidTr="00EB404A">
        <w:trPr>
          <w:cantSplit/>
          <w:trHeight w:val="86"/>
        </w:trPr>
        <w:tc>
          <w:tcPr>
            <w:tcW w:w="795" w:type="pct"/>
            <w:tcBorders>
              <w:top w:val="single" w:sz="4" w:space="0" w:color="auto"/>
              <w:left w:val="single" w:sz="4" w:space="0" w:color="auto"/>
              <w:bottom w:val="single" w:sz="4" w:space="0" w:color="auto"/>
              <w:right w:val="single" w:sz="4" w:space="0" w:color="auto"/>
            </w:tcBorders>
          </w:tcPr>
          <w:p w:rsidR="00574205" w:rsidRPr="003A2EA3" w:rsidRDefault="00574205" w:rsidP="002C642F">
            <w:pPr>
              <w:rPr>
                <w:rFonts w:ascii="Arial Narrow" w:hAnsi="Arial Narrow"/>
                <w:sz w:val="20"/>
                <w:szCs w:val="20"/>
              </w:rPr>
            </w:pPr>
            <w:r w:rsidRPr="003A2EA3">
              <w:rPr>
                <w:rFonts w:ascii="Arial Narrow" w:hAnsi="Arial Narrow"/>
                <w:sz w:val="20"/>
                <w:szCs w:val="20"/>
              </w:rPr>
              <w:t>Key effectiveness data</w:t>
            </w:r>
          </w:p>
        </w:tc>
        <w:tc>
          <w:tcPr>
            <w:tcW w:w="2102" w:type="pct"/>
            <w:tcBorders>
              <w:top w:val="single" w:sz="4" w:space="0" w:color="auto"/>
              <w:left w:val="single" w:sz="4" w:space="0" w:color="auto"/>
              <w:bottom w:val="single" w:sz="4" w:space="0" w:color="auto"/>
              <w:right w:val="single" w:sz="4" w:space="0" w:color="auto"/>
            </w:tcBorders>
          </w:tcPr>
          <w:p w:rsidR="00574205" w:rsidRPr="003A2EA3" w:rsidRDefault="00EB404A" w:rsidP="00EB404A">
            <w:pPr>
              <w:rPr>
                <w:rFonts w:ascii="Arial Narrow" w:hAnsi="Arial Narrow"/>
                <w:sz w:val="20"/>
                <w:szCs w:val="20"/>
              </w:rPr>
            </w:pPr>
            <w:proofErr w:type="gramStart"/>
            <w:r w:rsidRPr="003A2EA3">
              <w:rPr>
                <w:rFonts w:ascii="Arial Narrow" w:hAnsi="Arial Narrow"/>
                <w:sz w:val="20"/>
                <w:szCs w:val="20"/>
              </w:rPr>
              <w:t>vs</w:t>
            </w:r>
            <w:proofErr w:type="gramEnd"/>
            <w:r w:rsidRPr="003A2EA3">
              <w:rPr>
                <w:rFonts w:ascii="Arial Narrow" w:hAnsi="Arial Narrow"/>
                <w:sz w:val="20"/>
                <w:szCs w:val="20"/>
              </w:rPr>
              <w:t xml:space="preserve"> rituximab monotherapy. See Table 4, below.</w:t>
            </w:r>
          </w:p>
        </w:tc>
        <w:tc>
          <w:tcPr>
            <w:tcW w:w="2103" w:type="pct"/>
            <w:tcBorders>
              <w:top w:val="single" w:sz="4" w:space="0" w:color="auto"/>
              <w:left w:val="single" w:sz="4" w:space="0" w:color="auto"/>
              <w:bottom w:val="single" w:sz="4" w:space="0" w:color="auto"/>
              <w:right w:val="single" w:sz="4" w:space="0" w:color="auto"/>
            </w:tcBorders>
          </w:tcPr>
          <w:p w:rsidR="00574205" w:rsidRPr="003A2EA3" w:rsidRDefault="00EB404A" w:rsidP="008455C6">
            <w:pPr>
              <w:rPr>
                <w:rFonts w:ascii="Arial Narrow" w:hAnsi="Arial Narrow"/>
                <w:sz w:val="20"/>
                <w:szCs w:val="20"/>
              </w:rPr>
            </w:pPr>
            <w:r w:rsidRPr="003A2EA3">
              <w:rPr>
                <w:rFonts w:ascii="Arial Narrow" w:hAnsi="Arial Narrow"/>
                <w:sz w:val="20"/>
                <w:szCs w:val="20"/>
              </w:rPr>
              <w:t>No new data presented.</w:t>
            </w:r>
          </w:p>
        </w:tc>
      </w:tr>
      <w:tr w:rsidR="00867A58" w:rsidRPr="003A2EA3" w:rsidTr="002C642F">
        <w:trPr>
          <w:cantSplit/>
          <w:trHeight w:val="860"/>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Clinical claim</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Superior in terms of comparative efficacy, with a non</w:t>
            </w:r>
            <w:r w:rsidR="00BD2D25">
              <w:rPr>
                <w:rFonts w:ascii="Arial Narrow" w:hAnsi="Arial Narrow"/>
                <w:sz w:val="20"/>
                <w:szCs w:val="20"/>
              </w:rPr>
              <w:t>-</w:t>
            </w:r>
            <w:r w:rsidRPr="003A2EA3">
              <w:rPr>
                <w:rFonts w:ascii="Arial Narrow" w:hAnsi="Arial Narrow"/>
                <w:sz w:val="20"/>
                <w:szCs w:val="20"/>
              </w:rPr>
              <w:t xml:space="preserve">inferior safety profile compared to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with rituximab in </w:t>
            </w:r>
            <w:r w:rsidR="00415BDB" w:rsidRPr="003A2EA3">
              <w:rPr>
                <w:rFonts w:ascii="Arial Narrow" w:hAnsi="Arial Narrow"/>
                <w:sz w:val="20"/>
                <w:szCs w:val="20"/>
              </w:rPr>
              <w:t xml:space="preserve">patients with </w:t>
            </w:r>
            <w:r w:rsidRPr="003A2EA3">
              <w:rPr>
                <w:rFonts w:ascii="Arial Narrow" w:hAnsi="Arial Narrow"/>
                <w:sz w:val="20"/>
                <w:szCs w:val="20"/>
              </w:rPr>
              <w:t>relapsed</w:t>
            </w:r>
            <w:r w:rsidR="00415BDB" w:rsidRPr="003A2EA3">
              <w:rPr>
                <w:rFonts w:ascii="Arial Narrow" w:hAnsi="Arial Narrow"/>
                <w:sz w:val="20"/>
                <w:szCs w:val="20"/>
              </w:rPr>
              <w:t xml:space="preserve"> or</w:t>
            </w:r>
            <w:r w:rsidRPr="003A2EA3">
              <w:rPr>
                <w:rFonts w:ascii="Arial Narrow" w:hAnsi="Arial Narrow"/>
                <w:sz w:val="20"/>
                <w:szCs w:val="20"/>
              </w:rPr>
              <w:t xml:space="preserve"> refractory </w:t>
            </w:r>
            <w:r w:rsidR="00415BDB" w:rsidRPr="003A2EA3">
              <w:rPr>
                <w:rFonts w:ascii="Arial Narrow" w:hAnsi="Arial Narrow"/>
                <w:sz w:val="20"/>
                <w:szCs w:val="20"/>
              </w:rPr>
              <w:t xml:space="preserve">CLL and </w:t>
            </w:r>
            <w:r w:rsidRPr="003A2EA3">
              <w:rPr>
                <w:rFonts w:ascii="Arial Narrow" w:hAnsi="Arial Narrow"/>
                <w:sz w:val="20"/>
                <w:szCs w:val="20"/>
              </w:rPr>
              <w:t>a 17p deletion/TP53 mutation.</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Equivalent in efficacy and safety to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in </w:t>
            </w:r>
            <w:r w:rsidR="00415BDB" w:rsidRPr="003A2EA3">
              <w:rPr>
                <w:rFonts w:ascii="Arial Narrow" w:hAnsi="Arial Narrow"/>
                <w:sz w:val="20"/>
                <w:szCs w:val="20"/>
              </w:rPr>
              <w:t xml:space="preserve">patients with </w:t>
            </w:r>
            <w:r w:rsidRPr="003A2EA3">
              <w:rPr>
                <w:rFonts w:ascii="Arial Narrow" w:hAnsi="Arial Narrow"/>
                <w:sz w:val="20"/>
                <w:szCs w:val="20"/>
              </w:rPr>
              <w:t>relapsed</w:t>
            </w:r>
            <w:r w:rsidR="00415BDB" w:rsidRPr="003A2EA3">
              <w:rPr>
                <w:rFonts w:ascii="Arial Narrow" w:hAnsi="Arial Narrow"/>
                <w:sz w:val="20"/>
                <w:szCs w:val="20"/>
              </w:rPr>
              <w:t xml:space="preserve"> or </w:t>
            </w:r>
            <w:r w:rsidRPr="003A2EA3">
              <w:rPr>
                <w:rFonts w:ascii="Arial Narrow" w:hAnsi="Arial Narrow"/>
                <w:sz w:val="20"/>
                <w:szCs w:val="20"/>
              </w:rPr>
              <w:t xml:space="preserve">refractory </w:t>
            </w:r>
            <w:r w:rsidR="00415BDB" w:rsidRPr="003A2EA3">
              <w:rPr>
                <w:rFonts w:ascii="Arial Narrow" w:hAnsi="Arial Narrow"/>
                <w:sz w:val="20"/>
                <w:szCs w:val="20"/>
              </w:rPr>
              <w:t xml:space="preserve">CLL and </w:t>
            </w:r>
            <w:r w:rsidRPr="003A2EA3">
              <w:rPr>
                <w:rFonts w:ascii="Arial Narrow" w:hAnsi="Arial Narrow"/>
                <w:sz w:val="20"/>
                <w:szCs w:val="20"/>
              </w:rPr>
              <w:t>a 17p deletion/TP53 mutation.</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sz w:val="20"/>
                <w:szCs w:val="20"/>
              </w:rPr>
              <w:t>Superior in terms of comparative efficacy, with inferior safety compared to rituximab monotherapy in patients with highly refractory disease.</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b/>
                <w:sz w:val="20"/>
                <w:szCs w:val="20"/>
              </w:rPr>
              <w:t>PBAC comment</w:t>
            </w:r>
            <w:r w:rsidRPr="003A2EA3">
              <w:rPr>
                <w:rFonts w:ascii="Arial Narrow" w:hAnsi="Arial Narrow"/>
                <w:sz w:val="20"/>
                <w:szCs w:val="20"/>
              </w:rPr>
              <w:t>: (</w:t>
            </w:r>
            <w:r w:rsidR="00337210">
              <w:rPr>
                <w:rFonts w:ascii="Arial Narrow" w:hAnsi="Arial Narrow"/>
                <w:sz w:val="20"/>
                <w:szCs w:val="20"/>
              </w:rPr>
              <w:t xml:space="preserve">PSD </w:t>
            </w:r>
            <w:r w:rsidRPr="003A2EA3">
              <w:rPr>
                <w:rFonts w:ascii="Arial Narrow" w:hAnsi="Arial Narrow"/>
                <w:sz w:val="20"/>
                <w:szCs w:val="20"/>
              </w:rPr>
              <w:t xml:space="preserve">paragraphs 6.37 and 6.38) The PBAC considered that the claims of comparative effectiveness between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or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were not adequately supported by the data.</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The PBAC considered that the claims of comparative safety between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or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were not adequately supported by the data.</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sz w:val="20"/>
                <w:szCs w:val="20"/>
              </w:rPr>
              <w:t>(paragraph 6.36) Despite the limited evidence, this claim (Superior in terms of comparative efficacy, with inferior safety compared to rituximab monotherapy in patients with highly refractory disease) may be reasonable in terms of efficacy and safety. However, the magnitude of any benefit was unclear.</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is non</w:t>
            </w:r>
            <w:r w:rsidR="00BD2D25">
              <w:rPr>
                <w:rFonts w:ascii="Arial Narrow" w:hAnsi="Arial Narrow"/>
                <w:sz w:val="20"/>
                <w:szCs w:val="20"/>
              </w:rPr>
              <w:t>-</w:t>
            </w:r>
            <w:r w:rsidRPr="003A2EA3">
              <w:rPr>
                <w:rFonts w:ascii="Arial Narrow" w:hAnsi="Arial Narrow"/>
                <w:sz w:val="20"/>
                <w:szCs w:val="20"/>
              </w:rPr>
              <w:t xml:space="preserve">inferior to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in patients with </w:t>
            </w:r>
            <w:r w:rsidR="00C5518B" w:rsidRPr="003A2EA3">
              <w:rPr>
                <w:rFonts w:ascii="Arial Narrow" w:hAnsi="Arial Narrow"/>
                <w:sz w:val="20"/>
                <w:szCs w:val="20"/>
              </w:rPr>
              <w:t xml:space="preserve">relapsed or refractory </w:t>
            </w:r>
            <w:r w:rsidRPr="003A2EA3">
              <w:rPr>
                <w:rFonts w:ascii="Arial Narrow" w:hAnsi="Arial Narrow"/>
                <w:sz w:val="20"/>
                <w:szCs w:val="20"/>
              </w:rPr>
              <w:t xml:space="preserve">CLL </w:t>
            </w:r>
            <w:r w:rsidR="00C5518B" w:rsidRPr="003A2EA3">
              <w:rPr>
                <w:rFonts w:ascii="Arial Narrow" w:hAnsi="Arial Narrow"/>
                <w:sz w:val="20"/>
                <w:szCs w:val="20"/>
              </w:rPr>
              <w:t xml:space="preserve">and a </w:t>
            </w:r>
            <w:r w:rsidRPr="003A2EA3">
              <w:rPr>
                <w:rFonts w:ascii="Arial Narrow" w:hAnsi="Arial Narrow"/>
                <w:sz w:val="20"/>
                <w:szCs w:val="20"/>
              </w:rPr>
              <w:t>17p</w:t>
            </w:r>
            <w:r w:rsidR="00C5518B" w:rsidRPr="003A2EA3">
              <w:rPr>
                <w:rFonts w:ascii="Arial Narrow" w:hAnsi="Arial Narrow"/>
                <w:sz w:val="20"/>
                <w:szCs w:val="20"/>
              </w:rPr>
              <w:t xml:space="preserve"> </w:t>
            </w:r>
            <w:r w:rsidRPr="003A2EA3">
              <w:rPr>
                <w:rFonts w:ascii="Arial Narrow" w:hAnsi="Arial Narrow"/>
                <w:sz w:val="20"/>
                <w:szCs w:val="20"/>
              </w:rPr>
              <w:t>deletion in terms of both efficacy and safety.</w:t>
            </w:r>
            <w:r w:rsidR="00EB404A" w:rsidRPr="003A2EA3">
              <w:rPr>
                <w:rFonts w:ascii="Arial Narrow" w:hAnsi="Arial Narrow"/>
                <w:sz w:val="20"/>
                <w:szCs w:val="20"/>
              </w:rPr>
              <w:t xml:space="preserve"> </w:t>
            </w:r>
            <w:r w:rsidR="00EB404A" w:rsidRPr="003A2EA3">
              <w:rPr>
                <w:rFonts w:ascii="Arial Narrow" w:hAnsi="Arial Narrow"/>
                <w:i/>
                <w:sz w:val="20"/>
                <w:szCs w:val="20"/>
              </w:rPr>
              <w:t>See Table 3, below.</w:t>
            </w:r>
          </w:p>
          <w:p w:rsidR="00867A58" w:rsidRPr="003A2EA3" w:rsidRDefault="00867A58" w:rsidP="002C642F">
            <w:pPr>
              <w:rPr>
                <w:rFonts w:ascii="Arial Narrow" w:hAnsi="Arial Narrow"/>
                <w:sz w:val="20"/>
                <w:szCs w:val="20"/>
              </w:rPr>
            </w:pPr>
          </w:p>
          <w:p w:rsidR="00867A58" w:rsidRPr="003A2EA3" w:rsidRDefault="008455C6" w:rsidP="00EB404A">
            <w:pPr>
              <w:rPr>
                <w:rFonts w:ascii="Arial Narrow" w:hAnsi="Arial Narrow"/>
                <w:sz w:val="20"/>
                <w:szCs w:val="20"/>
              </w:rPr>
            </w:pP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is a</w:t>
            </w:r>
            <w:r w:rsidR="00867A58" w:rsidRPr="003A2EA3">
              <w:rPr>
                <w:rFonts w:ascii="Arial Narrow" w:hAnsi="Arial Narrow"/>
                <w:sz w:val="20"/>
                <w:szCs w:val="20"/>
              </w:rPr>
              <w:t>n effective treatment with high 12-month PFS and OS rates in patients with highly refractory disease with no other suitable treatment options.</w:t>
            </w:r>
            <w:r w:rsidR="00EB404A" w:rsidRPr="003A2EA3">
              <w:rPr>
                <w:rFonts w:ascii="Arial Narrow" w:hAnsi="Arial Narrow"/>
                <w:sz w:val="20"/>
                <w:szCs w:val="20"/>
              </w:rPr>
              <w:t xml:space="preserve"> </w:t>
            </w:r>
            <w:r w:rsidR="00EB404A" w:rsidRPr="003A2EA3">
              <w:rPr>
                <w:rFonts w:ascii="Arial Narrow" w:hAnsi="Arial Narrow"/>
                <w:i/>
                <w:sz w:val="20"/>
                <w:szCs w:val="20"/>
              </w:rPr>
              <w:t>See Table 4, below.</w:t>
            </w:r>
          </w:p>
        </w:tc>
      </w:tr>
      <w:tr w:rsidR="00867A58" w:rsidRPr="003A2EA3" w:rsidTr="002C642F">
        <w:trPr>
          <w:cantSplit/>
          <w:trHeight w:val="860"/>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Economic evaluation</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A modelled cost-utility analysis assessing the value of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compared to </w:t>
            </w:r>
            <w:proofErr w:type="spellStart"/>
            <w:r w:rsidRPr="003A2EA3">
              <w:rPr>
                <w:rFonts w:ascii="Arial Narrow" w:hAnsi="Arial Narrow"/>
                <w:sz w:val="20"/>
                <w:szCs w:val="20"/>
              </w:rPr>
              <w:t>ofatumumab</w:t>
            </w:r>
            <w:proofErr w:type="spellEnd"/>
            <w:r w:rsidRPr="003A2EA3">
              <w:rPr>
                <w:rFonts w:ascii="Arial Narrow" w:hAnsi="Arial Narrow"/>
                <w:sz w:val="20"/>
                <w:szCs w:val="20"/>
              </w:rPr>
              <w:t xml:space="preserve"> monotherapy in patients with 17p deletion/TP53 mutation; pre-PBAC provided a CMA against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over 27.2 months.</w:t>
            </w:r>
          </w:p>
          <w:p w:rsidR="00867A58" w:rsidRPr="003A2EA3" w:rsidRDefault="00867A58" w:rsidP="002C642F">
            <w:pPr>
              <w:rPr>
                <w:rFonts w:ascii="Arial Narrow" w:hAnsi="Arial Narrow"/>
                <w:sz w:val="20"/>
                <w:szCs w:val="20"/>
              </w:rPr>
            </w:pPr>
          </w:p>
          <w:p w:rsidR="003E5B7D" w:rsidRPr="003A2EA3" w:rsidRDefault="00867A58" w:rsidP="002C642F">
            <w:pPr>
              <w:rPr>
                <w:rFonts w:ascii="Arial Narrow" w:hAnsi="Arial Narrow"/>
                <w:sz w:val="20"/>
                <w:szCs w:val="20"/>
              </w:rPr>
            </w:pPr>
            <w:r w:rsidRPr="003A2EA3">
              <w:rPr>
                <w:rFonts w:ascii="Arial Narrow" w:hAnsi="Arial Narrow"/>
                <w:sz w:val="20"/>
                <w:szCs w:val="20"/>
              </w:rPr>
              <w:t xml:space="preserve">A modelled cost-utility analysis assessing the value of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compared to rituximab monotherapy (proxy for best supportive care) in patients with highly refractory disease. ICER </w:t>
            </w:r>
            <w:r w:rsidR="003E5B7D" w:rsidRPr="003E5B7D">
              <w:rPr>
                <w:rFonts w:ascii="Arial Narrow" w:hAnsi="Arial Narrow"/>
                <w:sz w:val="20"/>
                <w:szCs w:val="20"/>
              </w:rPr>
              <w:t>$75,000/QALY – $105,000/QALY</w:t>
            </w:r>
            <w:r w:rsidR="003E5B7D">
              <w:rPr>
                <w:rFonts w:ascii="Arial Narrow" w:hAnsi="Arial Narrow"/>
                <w:sz w:val="20"/>
                <w:szCs w:val="20"/>
              </w:rPr>
              <w:t>.</w:t>
            </w: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PBAC comment: (7.4) The PBAC considered that the submission’s nomination of </w:t>
            </w:r>
            <w:proofErr w:type="spellStart"/>
            <w:r w:rsidRPr="003A2EA3">
              <w:rPr>
                <w:rFonts w:ascii="Arial Narrow" w:hAnsi="Arial Narrow"/>
                <w:sz w:val="20"/>
                <w:szCs w:val="20"/>
              </w:rPr>
              <w:t>ofatumumab</w:t>
            </w:r>
            <w:proofErr w:type="spellEnd"/>
            <w:r w:rsidRPr="003A2EA3">
              <w:rPr>
                <w:rFonts w:ascii="Arial Narrow" w:hAnsi="Arial Narrow"/>
                <w:sz w:val="20"/>
                <w:szCs w:val="20"/>
              </w:rPr>
              <w:t xml:space="preserve"> as the most relevant comparator, and the consequential clinical, economic and financial assessments involving this comparator, were not informative. The Committee noted that the pre-PBAC response agreed that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were the most relevant comparators, and presented a cost-minimisation analysis against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Given the uncertainty about the relative clinical place of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against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ibrutinib</w:t>
            </w:r>
            <w:proofErr w:type="spellEnd"/>
            <w:r w:rsidRPr="003A2EA3">
              <w:rPr>
                <w:rFonts w:ascii="Arial Narrow" w:hAnsi="Arial Narrow"/>
                <w:sz w:val="20"/>
                <w:szCs w:val="20"/>
              </w:rPr>
              <w:t>, the PBAC considered that the appropriate comparator remained unclear.</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166405" w:rsidP="002C642F">
            <w:pPr>
              <w:rPr>
                <w:rFonts w:ascii="Arial Narrow" w:hAnsi="Arial Narrow"/>
                <w:i/>
                <w:sz w:val="20"/>
                <w:szCs w:val="20"/>
              </w:rPr>
            </w:pPr>
            <w:r w:rsidRPr="003A2EA3">
              <w:rPr>
                <w:rFonts w:ascii="Arial Narrow" w:hAnsi="Arial Narrow"/>
                <w:sz w:val="20"/>
                <w:szCs w:val="20"/>
              </w:rPr>
              <w:t>Cost-</w:t>
            </w:r>
            <w:r w:rsidR="00867A58" w:rsidRPr="003A2EA3">
              <w:rPr>
                <w:rFonts w:ascii="Arial Narrow" w:hAnsi="Arial Narrow"/>
                <w:sz w:val="20"/>
                <w:szCs w:val="20"/>
              </w:rPr>
              <w:t xml:space="preserve">minimisation analysis against </w:t>
            </w:r>
            <w:proofErr w:type="spellStart"/>
            <w:r w:rsidR="00867A58" w:rsidRPr="003A2EA3">
              <w:rPr>
                <w:rFonts w:ascii="Arial Narrow" w:hAnsi="Arial Narrow"/>
                <w:sz w:val="20"/>
                <w:szCs w:val="20"/>
              </w:rPr>
              <w:t>ibrutinib</w:t>
            </w:r>
            <w:proofErr w:type="spellEnd"/>
            <w:r w:rsidR="00867A58" w:rsidRPr="003A2EA3">
              <w:rPr>
                <w:rFonts w:ascii="Arial Narrow" w:hAnsi="Arial Narrow"/>
                <w:sz w:val="20"/>
                <w:szCs w:val="20"/>
              </w:rPr>
              <w:t xml:space="preserve"> over 24 months treatment on the basis of 400</w:t>
            </w:r>
            <w:r w:rsidR="009439C5" w:rsidRPr="003A2EA3">
              <w:rPr>
                <w:rFonts w:ascii="Arial Narrow" w:hAnsi="Arial Narrow"/>
                <w:sz w:val="20"/>
                <w:szCs w:val="20"/>
              </w:rPr>
              <w:t> </w:t>
            </w:r>
            <w:r w:rsidR="00867A58" w:rsidRPr="003A2EA3">
              <w:rPr>
                <w:rFonts w:ascii="Arial Narrow" w:hAnsi="Arial Narrow"/>
                <w:sz w:val="20"/>
                <w:szCs w:val="20"/>
              </w:rPr>
              <w:t xml:space="preserve">mg once-daily </w:t>
            </w:r>
            <w:proofErr w:type="spellStart"/>
            <w:r w:rsidR="00867A58" w:rsidRPr="003A2EA3">
              <w:rPr>
                <w:rFonts w:ascii="Arial Narrow" w:hAnsi="Arial Narrow"/>
                <w:sz w:val="20"/>
                <w:szCs w:val="20"/>
              </w:rPr>
              <w:t>venetoclax</w:t>
            </w:r>
            <w:proofErr w:type="spellEnd"/>
            <w:r w:rsidR="00867A58" w:rsidRPr="003A2EA3">
              <w:rPr>
                <w:rFonts w:ascii="Arial Narrow" w:hAnsi="Arial Narrow"/>
                <w:sz w:val="20"/>
                <w:szCs w:val="20"/>
              </w:rPr>
              <w:t xml:space="preserve"> being </w:t>
            </w:r>
            <w:proofErr w:type="spellStart"/>
            <w:r w:rsidR="00867A58" w:rsidRPr="003A2EA3">
              <w:rPr>
                <w:rFonts w:ascii="Arial Narrow" w:hAnsi="Arial Narrow"/>
                <w:sz w:val="20"/>
                <w:szCs w:val="20"/>
              </w:rPr>
              <w:t>equi</w:t>
            </w:r>
            <w:proofErr w:type="spellEnd"/>
            <w:r w:rsidR="00867A58" w:rsidRPr="003A2EA3">
              <w:rPr>
                <w:rFonts w:ascii="Arial Narrow" w:hAnsi="Arial Narrow"/>
                <w:sz w:val="20"/>
                <w:szCs w:val="20"/>
              </w:rPr>
              <w:t>-effective to 420</w:t>
            </w:r>
            <w:r w:rsidR="009439C5" w:rsidRPr="003A2EA3">
              <w:rPr>
                <w:rFonts w:ascii="Arial Narrow" w:hAnsi="Arial Narrow"/>
                <w:sz w:val="20"/>
                <w:szCs w:val="20"/>
              </w:rPr>
              <w:t> </w:t>
            </w:r>
            <w:r w:rsidR="00867A58" w:rsidRPr="003A2EA3">
              <w:rPr>
                <w:rFonts w:ascii="Arial Narrow" w:hAnsi="Arial Narrow"/>
                <w:sz w:val="20"/>
                <w:szCs w:val="20"/>
              </w:rPr>
              <w:t xml:space="preserve">mg </w:t>
            </w:r>
            <w:proofErr w:type="spellStart"/>
            <w:r w:rsidR="00867A58" w:rsidRPr="003A2EA3">
              <w:rPr>
                <w:rFonts w:ascii="Arial Narrow" w:hAnsi="Arial Narrow"/>
                <w:sz w:val="20"/>
                <w:szCs w:val="20"/>
              </w:rPr>
              <w:t>ibrutinib</w:t>
            </w:r>
            <w:proofErr w:type="spellEnd"/>
            <w:r w:rsidR="00867A58" w:rsidRPr="003A2EA3">
              <w:rPr>
                <w:rFonts w:ascii="Arial Narrow" w:hAnsi="Arial Narrow"/>
                <w:sz w:val="20"/>
                <w:szCs w:val="20"/>
              </w:rPr>
              <w:t xml:space="preserve"> once</w:t>
            </w:r>
            <w:r w:rsidR="00387356" w:rsidRPr="003A2EA3">
              <w:rPr>
                <w:rFonts w:ascii="Arial Narrow" w:hAnsi="Arial Narrow"/>
                <w:sz w:val="20"/>
                <w:szCs w:val="20"/>
              </w:rPr>
              <w:t xml:space="preserve"> </w:t>
            </w:r>
            <w:r w:rsidR="00867A58" w:rsidRPr="003A2EA3">
              <w:rPr>
                <w:rFonts w:ascii="Arial Narrow" w:hAnsi="Arial Narrow"/>
                <w:sz w:val="20"/>
                <w:szCs w:val="20"/>
              </w:rPr>
              <w:t xml:space="preserve">daily </w:t>
            </w:r>
            <w:r w:rsidR="008D2DF2" w:rsidRPr="003A2EA3">
              <w:rPr>
                <w:rFonts w:ascii="Arial Narrow" w:hAnsi="Arial Narrow"/>
                <w:sz w:val="20"/>
                <w:szCs w:val="20"/>
              </w:rPr>
              <w:t xml:space="preserve">over 24 months </w:t>
            </w:r>
            <w:r w:rsidR="00867A58" w:rsidRPr="003A2EA3">
              <w:rPr>
                <w:rFonts w:ascii="Arial Narrow" w:hAnsi="Arial Narrow"/>
                <w:sz w:val="20"/>
                <w:szCs w:val="20"/>
              </w:rPr>
              <w:t>and with an offset for the increased cost associated with monitoring TLS.</w:t>
            </w:r>
            <w:r w:rsidR="00222753" w:rsidRPr="003A2EA3">
              <w:rPr>
                <w:rFonts w:ascii="Arial Narrow" w:hAnsi="Arial Narrow"/>
                <w:sz w:val="20"/>
                <w:szCs w:val="20"/>
              </w:rPr>
              <w:t xml:space="preserve"> </w:t>
            </w:r>
            <w:r w:rsidR="00222753" w:rsidRPr="003A2EA3">
              <w:rPr>
                <w:rFonts w:ascii="Arial Narrow" w:hAnsi="Arial Narrow"/>
                <w:i/>
                <w:sz w:val="20"/>
                <w:szCs w:val="20"/>
              </w:rPr>
              <w:t xml:space="preserve">The duration of </w:t>
            </w:r>
            <w:proofErr w:type="spellStart"/>
            <w:r w:rsidR="00222753" w:rsidRPr="003A2EA3">
              <w:rPr>
                <w:rFonts w:ascii="Arial Narrow" w:hAnsi="Arial Narrow"/>
                <w:i/>
                <w:sz w:val="20"/>
                <w:szCs w:val="20"/>
              </w:rPr>
              <w:t>ibrutinib</w:t>
            </w:r>
            <w:proofErr w:type="spellEnd"/>
            <w:r w:rsidR="00222753" w:rsidRPr="003A2EA3">
              <w:rPr>
                <w:rFonts w:ascii="Arial Narrow" w:hAnsi="Arial Narrow"/>
                <w:i/>
                <w:sz w:val="20"/>
                <w:szCs w:val="20"/>
              </w:rPr>
              <w:t xml:space="preserve"> in the relevant trial was 22.2 months, so alternative conclusions of </w:t>
            </w:r>
            <w:proofErr w:type="spellStart"/>
            <w:r w:rsidR="00222753" w:rsidRPr="003A2EA3">
              <w:rPr>
                <w:rFonts w:ascii="Arial Narrow" w:hAnsi="Arial Narrow"/>
                <w:i/>
                <w:sz w:val="20"/>
                <w:szCs w:val="20"/>
              </w:rPr>
              <w:t>equi</w:t>
            </w:r>
            <w:proofErr w:type="spellEnd"/>
            <w:r w:rsidR="00222753" w:rsidRPr="003A2EA3">
              <w:rPr>
                <w:rFonts w:ascii="Arial Narrow" w:hAnsi="Arial Narrow"/>
                <w:i/>
                <w:sz w:val="20"/>
                <w:szCs w:val="20"/>
              </w:rPr>
              <w:t>-effective doses could be (a) limited to 22.2 months for both medicines, or (b) some estimate of duration between these two observed durations.</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ICER in highly refractory disease </w:t>
            </w:r>
            <w:r w:rsidR="003E5B7D" w:rsidRPr="003E5B7D">
              <w:rPr>
                <w:rFonts w:ascii="Arial Narrow" w:hAnsi="Arial Narrow"/>
                <w:sz w:val="20"/>
                <w:szCs w:val="20"/>
              </w:rPr>
              <w:t>$75,000/QALY – $105,000/QALY</w:t>
            </w:r>
            <w:r w:rsidR="003E5B7D" w:rsidRPr="003E5B7D" w:rsidDel="003E5B7D">
              <w:rPr>
                <w:rFonts w:ascii="Arial Narrow" w:hAnsi="Arial Narrow"/>
                <w:sz w:val="20"/>
                <w:szCs w:val="20"/>
              </w:rPr>
              <w:t xml:space="preserve"> </w:t>
            </w:r>
            <w:r w:rsidRPr="003A2EA3">
              <w:rPr>
                <w:rFonts w:ascii="Arial Narrow" w:hAnsi="Arial Narrow"/>
                <w:sz w:val="20"/>
                <w:szCs w:val="20"/>
              </w:rPr>
              <w:t xml:space="preserve">(updated mark-ups </w:t>
            </w:r>
            <w:proofErr w:type="spellStart"/>
            <w:r w:rsidRPr="003A2EA3">
              <w:rPr>
                <w:rFonts w:ascii="Arial Narrow" w:hAnsi="Arial Narrow"/>
                <w:sz w:val="20"/>
                <w:szCs w:val="20"/>
              </w:rPr>
              <w:t>etc</w:t>
            </w:r>
            <w:proofErr w:type="spellEnd"/>
            <w:r w:rsidRPr="003A2EA3">
              <w:rPr>
                <w:rFonts w:ascii="Arial Narrow" w:hAnsi="Arial Narrow"/>
                <w:sz w:val="20"/>
                <w:szCs w:val="20"/>
              </w:rPr>
              <w:t>).</w:t>
            </w:r>
          </w:p>
        </w:tc>
      </w:tr>
      <w:tr w:rsidR="00867A58" w:rsidRPr="003A2EA3" w:rsidTr="002C4F2C">
        <w:trPr>
          <w:cantSplit/>
          <w:trHeight w:val="379"/>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Number of patients</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0A0E9F" w:rsidP="000A0E9F">
            <w:pPr>
              <w:rPr>
                <w:rFonts w:ascii="Arial Narrow" w:hAnsi="Arial Narrow"/>
                <w:sz w:val="20"/>
                <w:szCs w:val="20"/>
              </w:rPr>
            </w:pPr>
            <w:r>
              <w:rPr>
                <w:rFonts w:ascii="Arial Narrow" w:hAnsi="Arial Narrow"/>
                <w:sz w:val="20"/>
                <w:szCs w:val="20"/>
              </w:rPr>
              <w:t>L</w:t>
            </w:r>
            <w:r w:rsidRPr="000A0E9F">
              <w:rPr>
                <w:rFonts w:ascii="Arial Narrow" w:hAnsi="Arial Narrow"/>
                <w:sz w:val="20"/>
                <w:szCs w:val="20"/>
              </w:rPr>
              <w:t xml:space="preserve">ess than 10,000 </w:t>
            </w:r>
            <w:r w:rsidR="00867A58" w:rsidRPr="003A2EA3">
              <w:rPr>
                <w:rFonts w:ascii="Arial Narrow" w:hAnsi="Arial Narrow"/>
                <w:sz w:val="20"/>
                <w:szCs w:val="20"/>
              </w:rPr>
              <w:t>in year 1 increasing to</w:t>
            </w:r>
            <w:r w:rsidR="00C02E52">
              <w:rPr>
                <w:rFonts w:ascii="Arial Narrow" w:hAnsi="Arial Narrow"/>
                <w:sz w:val="20"/>
                <w:szCs w:val="20"/>
              </w:rPr>
              <w:t xml:space="preserve"> less than 10,000</w:t>
            </w:r>
            <w:r w:rsidR="00867A58" w:rsidRPr="003A2EA3">
              <w:rPr>
                <w:rFonts w:ascii="Arial Narrow" w:hAnsi="Arial Narrow"/>
                <w:sz w:val="20"/>
                <w:szCs w:val="20"/>
              </w:rPr>
              <w:t xml:space="preserve"> in year 5.</w:t>
            </w:r>
            <w:r w:rsidR="009439C5" w:rsidRPr="003A2EA3">
              <w:rPr>
                <w:rFonts w:ascii="Arial Narrow" w:hAnsi="Arial Narrow"/>
                <w:sz w:val="20"/>
                <w:szCs w:val="20"/>
              </w:rPr>
              <w:t xml:space="preserve"> </w:t>
            </w:r>
            <w:r w:rsidR="00867A58" w:rsidRPr="003A2EA3">
              <w:rPr>
                <w:rFonts w:ascii="Arial Narrow" w:hAnsi="Arial Narrow"/>
                <w:sz w:val="20"/>
                <w:szCs w:val="20"/>
              </w:rPr>
              <w:t xml:space="preserve">The pre-PBAC response updated this to </w:t>
            </w:r>
            <w:r w:rsidRPr="000A0E9F">
              <w:rPr>
                <w:rFonts w:ascii="Arial Narrow" w:hAnsi="Arial Narrow"/>
                <w:sz w:val="20"/>
                <w:szCs w:val="20"/>
              </w:rPr>
              <w:t xml:space="preserve">less than 10,000 </w:t>
            </w:r>
            <w:r w:rsidR="00867A58" w:rsidRPr="003A2EA3">
              <w:rPr>
                <w:rFonts w:ascii="Arial Narrow" w:hAnsi="Arial Narrow"/>
                <w:sz w:val="20"/>
                <w:szCs w:val="20"/>
              </w:rPr>
              <w:t>462 in year 1 increasing to</w:t>
            </w:r>
            <w:r w:rsidR="00C02E52">
              <w:rPr>
                <w:rFonts w:ascii="Arial Narrow" w:hAnsi="Arial Narrow"/>
                <w:sz w:val="20"/>
                <w:szCs w:val="20"/>
              </w:rPr>
              <w:t xml:space="preserve"> less than 10,000</w:t>
            </w:r>
            <w:r w:rsidR="00867A58" w:rsidRPr="003A2EA3">
              <w:rPr>
                <w:rFonts w:ascii="Arial Narrow" w:hAnsi="Arial Narrow"/>
                <w:sz w:val="20"/>
                <w:szCs w:val="20"/>
              </w:rPr>
              <w:t xml:space="preserve"> in year 5</w:t>
            </w:r>
            <w:r w:rsidR="009439C5" w:rsidRPr="003A2EA3">
              <w:rPr>
                <w:rFonts w:ascii="Arial Narrow" w:hAnsi="Arial Narrow"/>
                <w:sz w:val="20"/>
                <w:szCs w:val="20"/>
              </w:rPr>
              <w:t>.</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0A0E9F" w:rsidP="002C642F">
            <w:pPr>
              <w:rPr>
                <w:rFonts w:ascii="Arial Narrow" w:hAnsi="Arial Narrow"/>
                <w:sz w:val="20"/>
                <w:szCs w:val="20"/>
              </w:rPr>
            </w:pPr>
            <w:r w:rsidRPr="000A0E9F">
              <w:rPr>
                <w:rFonts w:ascii="Arial Narrow" w:hAnsi="Arial Narrow"/>
                <w:sz w:val="20"/>
                <w:szCs w:val="20"/>
              </w:rPr>
              <w:t xml:space="preserve">Less than 10,000 </w:t>
            </w:r>
            <w:r w:rsidR="00867A58" w:rsidRPr="003A2EA3">
              <w:rPr>
                <w:rFonts w:ascii="Arial Narrow" w:hAnsi="Arial Narrow"/>
                <w:sz w:val="20"/>
                <w:szCs w:val="20"/>
              </w:rPr>
              <w:t>in year 1 increasing to</w:t>
            </w:r>
            <w:r w:rsidR="00C02E52">
              <w:rPr>
                <w:rFonts w:ascii="Arial Narrow" w:hAnsi="Arial Narrow"/>
                <w:sz w:val="20"/>
                <w:szCs w:val="20"/>
              </w:rPr>
              <w:t xml:space="preserve"> less than 10,000</w:t>
            </w:r>
            <w:r w:rsidR="00867A58" w:rsidRPr="003A2EA3">
              <w:rPr>
                <w:rFonts w:ascii="Arial Narrow" w:hAnsi="Arial Narrow"/>
                <w:sz w:val="20"/>
                <w:szCs w:val="20"/>
              </w:rPr>
              <w:t xml:space="preserve"> in year 2 before decreasing to </w:t>
            </w:r>
            <w:r w:rsidR="00C02E52">
              <w:rPr>
                <w:rFonts w:ascii="Arial Narrow" w:hAnsi="Arial Narrow"/>
                <w:sz w:val="20"/>
                <w:szCs w:val="20"/>
              </w:rPr>
              <w:t xml:space="preserve">less than 10,000 </w:t>
            </w:r>
            <w:r w:rsidR="00867A58" w:rsidRPr="003A2EA3">
              <w:rPr>
                <w:rFonts w:ascii="Arial Narrow" w:hAnsi="Arial Narrow"/>
                <w:sz w:val="20"/>
                <w:szCs w:val="20"/>
              </w:rPr>
              <w:t>in year 5.</w:t>
            </w:r>
          </w:p>
          <w:p w:rsidR="00867A58" w:rsidRPr="003A2EA3" w:rsidRDefault="00867A58" w:rsidP="002C642F">
            <w:pPr>
              <w:rPr>
                <w:rFonts w:ascii="Arial Narrow" w:hAnsi="Arial Narrow"/>
                <w:sz w:val="20"/>
                <w:szCs w:val="20"/>
              </w:rPr>
            </w:pPr>
            <w:r w:rsidRPr="003A2EA3">
              <w:rPr>
                <w:rFonts w:ascii="Arial Narrow" w:hAnsi="Arial Narrow"/>
                <w:sz w:val="20"/>
                <w:szCs w:val="20"/>
              </w:rPr>
              <w:t>(</w:t>
            </w:r>
            <w:proofErr w:type="gramStart"/>
            <w:r w:rsidRPr="003A2EA3">
              <w:rPr>
                <w:rFonts w:ascii="Arial Narrow" w:hAnsi="Arial Narrow"/>
                <w:sz w:val="20"/>
                <w:szCs w:val="20"/>
              </w:rPr>
              <w:t>includes</w:t>
            </w:r>
            <w:proofErr w:type="gramEnd"/>
            <w:r w:rsidRPr="003A2EA3">
              <w:rPr>
                <w:rFonts w:ascii="Arial Narrow" w:hAnsi="Arial Narrow"/>
                <w:sz w:val="20"/>
                <w:szCs w:val="20"/>
              </w:rPr>
              <w:t xml:space="preserve"> a prevalent pool of eligible patients peaking in year 2)</w:t>
            </w:r>
            <w:r w:rsidR="009439C5" w:rsidRPr="003A2EA3">
              <w:rPr>
                <w:rFonts w:ascii="Arial Narrow" w:hAnsi="Arial Narrow"/>
                <w:sz w:val="20"/>
                <w:szCs w:val="20"/>
              </w:rPr>
              <w:t>.</w:t>
            </w:r>
          </w:p>
        </w:tc>
      </w:tr>
      <w:tr w:rsidR="00867A58" w:rsidRPr="003A2EA3" w:rsidTr="002C642F">
        <w:trPr>
          <w:cantSplit/>
          <w:trHeight w:val="860"/>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Estimated net cost to PBS</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The net cost to PBS of listing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on the PBS was estimated to be up to </w:t>
            </w:r>
            <w:r w:rsidR="000A0E9F" w:rsidRPr="000A0E9F">
              <w:rPr>
                <w:rFonts w:ascii="Arial Narrow" w:hAnsi="Arial Narrow"/>
                <w:sz w:val="20"/>
                <w:szCs w:val="20"/>
              </w:rPr>
              <w:t>$10 – $20 million</w:t>
            </w:r>
            <w:r w:rsidRPr="003A2EA3">
              <w:rPr>
                <w:rFonts w:ascii="Arial Narrow" w:hAnsi="Arial Narrow"/>
                <w:sz w:val="20"/>
                <w:szCs w:val="20"/>
              </w:rPr>
              <w:t xml:space="preserve"> in the fifth year of listing based on the effective price (published price, </w:t>
            </w:r>
            <w:r w:rsidR="00D70DC8" w:rsidRPr="00D70DC8">
              <w:rPr>
                <w:rFonts w:ascii="Arial Narrow" w:hAnsi="Arial Narrow"/>
                <w:sz w:val="20"/>
                <w:szCs w:val="20"/>
              </w:rPr>
              <w:t>$10 – $20 million</w:t>
            </w:r>
            <w:r w:rsidRPr="003A2EA3">
              <w:rPr>
                <w:rFonts w:ascii="Arial Narrow" w:hAnsi="Arial Narrow"/>
                <w:sz w:val="20"/>
                <w:szCs w:val="20"/>
              </w:rPr>
              <w:t xml:space="preserve">). The estimated cumulative cost over five years was </w:t>
            </w:r>
            <w:r w:rsidR="00D70DC8" w:rsidRPr="00D70DC8">
              <w:rPr>
                <w:rFonts w:ascii="Arial Narrow" w:hAnsi="Arial Narrow"/>
                <w:sz w:val="20"/>
                <w:szCs w:val="20"/>
              </w:rPr>
              <w:t xml:space="preserve">$30 – $60 million </w:t>
            </w:r>
            <w:r w:rsidRPr="003A2EA3">
              <w:rPr>
                <w:rFonts w:ascii="Arial Narrow" w:hAnsi="Arial Narrow"/>
                <w:sz w:val="20"/>
                <w:szCs w:val="20"/>
              </w:rPr>
              <w:t xml:space="preserve">(published price, </w:t>
            </w:r>
            <w:r w:rsidR="00D70DC8" w:rsidRPr="00D70DC8">
              <w:rPr>
                <w:rFonts w:ascii="Arial Narrow" w:hAnsi="Arial Narrow"/>
                <w:sz w:val="20"/>
                <w:szCs w:val="20"/>
              </w:rPr>
              <w:t>$60 – $100 million per year</w:t>
            </w:r>
            <w:r w:rsidRPr="003A2EA3">
              <w:rPr>
                <w:rFonts w:ascii="Arial Narrow" w:hAnsi="Arial Narrow"/>
                <w:sz w:val="20"/>
                <w:szCs w:val="20"/>
              </w:rPr>
              <w:t xml:space="preserve">). The estimated cumulative cost to government after accounting for TLS prophylaxis and infusion costs with substituted therapies was </w:t>
            </w:r>
            <w:r w:rsidR="00D70DC8" w:rsidRPr="00D70DC8">
              <w:rPr>
                <w:rFonts w:ascii="Arial Narrow" w:hAnsi="Arial Narrow"/>
                <w:sz w:val="20"/>
                <w:szCs w:val="20"/>
              </w:rPr>
              <w:t xml:space="preserve">$30 – $60 </w:t>
            </w:r>
            <w:r w:rsidRPr="003A2EA3">
              <w:rPr>
                <w:rFonts w:ascii="Arial Narrow" w:hAnsi="Arial Narrow"/>
                <w:sz w:val="20"/>
                <w:szCs w:val="20"/>
              </w:rPr>
              <w:t xml:space="preserve">based on the effective price (published price, </w:t>
            </w:r>
            <w:r w:rsidR="00A9169E" w:rsidRPr="00A9169E">
              <w:rPr>
                <w:rFonts w:ascii="Arial Narrow" w:hAnsi="Arial Narrow"/>
                <w:sz w:val="20"/>
                <w:szCs w:val="20"/>
              </w:rPr>
              <w:t>$30 – $60</w:t>
            </w:r>
            <w:r w:rsidRPr="003A2EA3">
              <w:rPr>
                <w:rFonts w:ascii="Arial Narrow" w:hAnsi="Arial Narrow"/>
                <w:sz w:val="20"/>
                <w:szCs w:val="20"/>
              </w:rPr>
              <w:t>).</w:t>
            </w: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The pre-PBAC response updated the financial estimates to a net cost to the PBS/RPBS of </w:t>
            </w:r>
            <w:r w:rsidR="00CE5E9B" w:rsidRPr="00CE5E9B">
              <w:rPr>
                <w:rFonts w:ascii="Arial Narrow" w:hAnsi="Arial Narrow"/>
                <w:sz w:val="20"/>
                <w:szCs w:val="20"/>
              </w:rPr>
              <w:t xml:space="preserve">$20 – $30 million </w:t>
            </w:r>
            <w:r w:rsidRPr="003A2EA3">
              <w:rPr>
                <w:rFonts w:ascii="Arial Narrow" w:hAnsi="Arial Narrow"/>
                <w:sz w:val="20"/>
                <w:szCs w:val="20"/>
              </w:rPr>
              <w:t xml:space="preserve">in year 1 rising to </w:t>
            </w:r>
            <w:r w:rsidR="00CE5E9B" w:rsidRPr="00CE5E9B">
              <w:rPr>
                <w:rFonts w:ascii="Arial Narrow" w:hAnsi="Arial Narrow"/>
                <w:sz w:val="20"/>
                <w:szCs w:val="20"/>
              </w:rPr>
              <w:t xml:space="preserve">$30 – $60 million </w:t>
            </w:r>
            <w:r w:rsidRPr="003A2EA3">
              <w:rPr>
                <w:rFonts w:ascii="Arial Narrow" w:hAnsi="Arial Narrow"/>
                <w:sz w:val="20"/>
                <w:szCs w:val="20"/>
              </w:rPr>
              <w:t>in year 5.</w:t>
            </w:r>
          </w:p>
          <w:p w:rsidR="00867A58" w:rsidRPr="003A2EA3" w:rsidRDefault="00867A58" w:rsidP="002C642F">
            <w:pPr>
              <w:rPr>
                <w:rFonts w:ascii="Arial Narrow" w:hAnsi="Arial Narrow"/>
                <w:sz w:val="20"/>
                <w:szCs w:val="20"/>
              </w:rPr>
            </w:pP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PBAC comment: (paragraph 7.6) Given the uncertainty around the clinical place of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the PBAC considered that the clinical, economic and financial assessments provided to compare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with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or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were insufficient to form the basis of a recommendation to list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on the PBS</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867A58" w:rsidP="00222753">
            <w:pPr>
              <w:rPr>
                <w:rFonts w:ascii="Arial Narrow" w:hAnsi="Arial Narrow"/>
                <w:sz w:val="20"/>
                <w:szCs w:val="20"/>
              </w:rPr>
            </w:pPr>
            <w:r w:rsidRPr="003A2EA3">
              <w:rPr>
                <w:rFonts w:ascii="Arial Narrow" w:hAnsi="Arial Narrow"/>
                <w:sz w:val="20"/>
                <w:szCs w:val="20"/>
              </w:rPr>
              <w:t xml:space="preserve">The drug cost to PBS of listing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w:t>
            </w:r>
            <w:r w:rsidR="007D075C" w:rsidRPr="007D075C">
              <w:rPr>
                <w:rFonts w:ascii="Arial Narrow" w:hAnsi="Arial Narrow"/>
                <w:sz w:val="20"/>
                <w:szCs w:val="20"/>
              </w:rPr>
              <w:t xml:space="preserve">$30 – $60 million </w:t>
            </w:r>
            <w:r w:rsidRPr="003A2EA3">
              <w:rPr>
                <w:rFonts w:ascii="Arial Narrow" w:hAnsi="Arial Narrow"/>
                <w:sz w:val="20"/>
                <w:szCs w:val="20"/>
              </w:rPr>
              <w:t xml:space="preserve">year 1, </w:t>
            </w:r>
            <w:r w:rsidR="007D075C" w:rsidRPr="007D075C">
              <w:rPr>
                <w:rFonts w:ascii="Arial Narrow" w:hAnsi="Arial Narrow"/>
                <w:sz w:val="20"/>
                <w:szCs w:val="20"/>
              </w:rPr>
              <w:t xml:space="preserve">$60 – $100 million </w:t>
            </w:r>
            <w:r w:rsidRPr="003A2EA3">
              <w:rPr>
                <w:rFonts w:ascii="Arial Narrow" w:hAnsi="Arial Narrow"/>
                <w:sz w:val="20"/>
                <w:szCs w:val="20"/>
              </w:rPr>
              <w:t xml:space="preserve">in year 2 and then decreases in year 5 to </w:t>
            </w:r>
            <w:r w:rsidR="007D075C" w:rsidRPr="007D075C">
              <w:rPr>
                <w:rFonts w:ascii="Arial Narrow" w:hAnsi="Arial Narrow"/>
                <w:sz w:val="20"/>
                <w:szCs w:val="20"/>
              </w:rPr>
              <w:t>$30 – $60 million</w:t>
            </w:r>
            <w:r w:rsidRPr="003A2EA3">
              <w:rPr>
                <w:rFonts w:ascii="Arial Narrow" w:hAnsi="Arial Narrow"/>
                <w:sz w:val="20"/>
                <w:szCs w:val="20"/>
              </w:rPr>
              <w:t>. Proposed offsets for displaced therapy in the 17p deleted population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brings the overall net cost to the PBS </w:t>
            </w:r>
            <w:r w:rsidR="001223B1">
              <w:rPr>
                <w:rFonts w:ascii="Arial Narrow" w:hAnsi="Arial Narrow"/>
                <w:sz w:val="20"/>
                <w:szCs w:val="20"/>
              </w:rPr>
              <w:t>to</w:t>
            </w:r>
            <w:r w:rsidRPr="003A2EA3">
              <w:rPr>
                <w:rFonts w:ascii="Arial Narrow" w:hAnsi="Arial Narrow"/>
                <w:sz w:val="20"/>
                <w:szCs w:val="20"/>
              </w:rPr>
              <w:t xml:space="preserve"> </w:t>
            </w:r>
            <w:r w:rsidR="007D075C" w:rsidRPr="007D075C">
              <w:rPr>
                <w:rFonts w:ascii="Arial Narrow" w:hAnsi="Arial Narrow"/>
                <w:sz w:val="20"/>
                <w:szCs w:val="20"/>
              </w:rPr>
              <w:t>$10 – $20 million</w:t>
            </w:r>
            <w:r w:rsidRPr="003A2EA3">
              <w:rPr>
                <w:rFonts w:ascii="Arial Narrow" w:hAnsi="Arial Narrow"/>
                <w:sz w:val="20"/>
                <w:szCs w:val="20"/>
              </w:rPr>
              <w:t xml:space="preserve"> in year 1 and after rising </w:t>
            </w:r>
            <w:r w:rsidR="007D075C" w:rsidRPr="007D075C">
              <w:rPr>
                <w:rFonts w:ascii="Arial Narrow" w:hAnsi="Arial Narrow"/>
                <w:sz w:val="20"/>
                <w:szCs w:val="20"/>
              </w:rPr>
              <w:t xml:space="preserve">$30 – $60 million </w:t>
            </w:r>
            <w:r w:rsidRPr="003A2EA3">
              <w:rPr>
                <w:rFonts w:ascii="Arial Narrow" w:hAnsi="Arial Narrow"/>
                <w:sz w:val="20"/>
                <w:szCs w:val="20"/>
              </w:rPr>
              <w:t xml:space="preserve">in year 2, decreased to </w:t>
            </w:r>
            <w:r w:rsidR="007D075C" w:rsidRPr="007D075C">
              <w:rPr>
                <w:rFonts w:ascii="Arial Narrow" w:hAnsi="Arial Narrow"/>
                <w:sz w:val="20"/>
                <w:szCs w:val="20"/>
              </w:rPr>
              <w:t xml:space="preserve">$10 – $20 million </w:t>
            </w:r>
            <w:r w:rsidRPr="003A2EA3">
              <w:rPr>
                <w:rFonts w:ascii="Arial Narrow" w:hAnsi="Arial Narrow"/>
                <w:sz w:val="20"/>
                <w:szCs w:val="20"/>
              </w:rPr>
              <w:t>in year 5.</w:t>
            </w:r>
          </w:p>
        </w:tc>
      </w:tr>
      <w:tr w:rsidR="00867A58" w:rsidRPr="003A2EA3" w:rsidTr="009439C5">
        <w:trPr>
          <w:cantSplit/>
          <w:trHeight w:val="228"/>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Risk sharing arrangement</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867A58" w:rsidP="003430FC">
            <w:pPr>
              <w:rPr>
                <w:rFonts w:ascii="Arial Narrow" w:hAnsi="Arial Narrow"/>
                <w:sz w:val="20"/>
                <w:szCs w:val="20"/>
              </w:rPr>
            </w:pPr>
            <w:r w:rsidRPr="003A2EA3">
              <w:rPr>
                <w:rFonts w:ascii="Arial Narrow" w:hAnsi="Arial Narrow"/>
                <w:sz w:val="20"/>
                <w:szCs w:val="20"/>
              </w:rPr>
              <w:t>No</w:t>
            </w:r>
            <w:r w:rsidR="003430FC" w:rsidRPr="003A2EA3">
              <w:rPr>
                <w:rFonts w:ascii="Arial Narrow" w:hAnsi="Arial Narrow"/>
                <w:sz w:val="20"/>
                <w:szCs w:val="20"/>
              </w:rPr>
              <w:t xml:space="preserve">t </w:t>
            </w:r>
            <w:r w:rsidRPr="003A2EA3">
              <w:rPr>
                <w:rFonts w:ascii="Arial Narrow" w:hAnsi="Arial Narrow"/>
                <w:sz w:val="20"/>
                <w:szCs w:val="20"/>
              </w:rPr>
              <w:t>proposed, but open to enter into a risk shar</w:t>
            </w:r>
            <w:r w:rsidR="009439C5" w:rsidRPr="003A2EA3">
              <w:rPr>
                <w:rFonts w:ascii="Arial Narrow" w:hAnsi="Arial Narrow"/>
                <w:sz w:val="20"/>
                <w:szCs w:val="20"/>
              </w:rPr>
              <w:t>ing</w:t>
            </w:r>
            <w:r w:rsidRPr="003A2EA3">
              <w:rPr>
                <w:rFonts w:ascii="Arial Narrow" w:hAnsi="Arial Narrow"/>
                <w:sz w:val="20"/>
                <w:szCs w:val="20"/>
              </w:rPr>
              <w:t xml:space="preserve"> arrangement.</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Not mentioned.</w:t>
            </w:r>
          </w:p>
        </w:tc>
      </w:tr>
      <w:tr w:rsidR="00867A58" w:rsidRPr="003A2EA3" w:rsidTr="002C642F">
        <w:trPr>
          <w:cantSplit/>
          <w:trHeight w:val="860"/>
        </w:trPr>
        <w:tc>
          <w:tcPr>
            <w:tcW w:w="795"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br w:type="page"/>
              <w:t>PBAC decision</w:t>
            </w:r>
          </w:p>
        </w:tc>
        <w:tc>
          <w:tcPr>
            <w:tcW w:w="2102" w:type="pct"/>
            <w:tcBorders>
              <w:top w:val="single" w:sz="4" w:space="0" w:color="auto"/>
              <w:left w:val="single" w:sz="4" w:space="0" w:color="auto"/>
              <w:bottom w:val="single" w:sz="4" w:space="0" w:color="auto"/>
              <w:right w:val="single" w:sz="4" w:space="0" w:color="auto"/>
            </w:tcBorders>
          </w:tcPr>
          <w:p w:rsidR="00867A58" w:rsidRPr="003A2EA3" w:rsidRDefault="002C4F2C" w:rsidP="002C642F">
            <w:pPr>
              <w:rPr>
                <w:rFonts w:ascii="Arial Narrow" w:hAnsi="Arial Narrow"/>
                <w:sz w:val="20"/>
                <w:szCs w:val="20"/>
              </w:rPr>
            </w:pPr>
            <w:r w:rsidRPr="003A2EA3">
              <w:rPr>
                <w:rFonts w:ascii="Arial Narrow" w:hAnsi="Arial Narrow"/>
                <w:sz w:val="20"/>
                <w:szCs w:val="20"/>
              </w:rPr>
              <w:t>Defer.</w:t>
            </w:r>
          </w:p>
          <w:p w:rsidR="00867A58" w:rsidRPr="003A2EA3" w:rsidRDefault="00867A58" w:rsidP="002C642F">
            <w:pPr>
              <w:rPr>
                <w:rFonts w:ascii="Arial Narrow" w:hAnsi="Arial Narrow"/>
                <w:sz w:val="20"/>
                <w:szCs w:val="20"/>
              </w:rPr>
            </w:pPr>
            <w:r w:rsidRPr="003A2EA3">
              <w:rPr>
                <w:rFonts w:ascii="Arial Narrow" w:hAnsi="Arial Narrow"/>
                <w:sz w:val="20"/>
                <w:szCs w:val="20"/>
              </w:rPr>
              <w:t xml:space="preserve">PBAC Comment: (paragraph 7.1) The PBAC deferred making a decision regarding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for the treatment of certain patients with chronic lymphocytic leukaemia (CLL). The PBAC considered that the comparator of </w:t>
            </w:r>
            <w:proofErr w:type="spellStart"/>
            <w:r w:rsidRPr="003A2EA3">
              <w:rPr>
                <w:rFonts w:ascii="Arial Narrow" w:hAnsi="Arial Narrow"/>
                <w:sz w:val="20"/>
                <w:szCs w:val="20"/>
              </w:rPr>
              <w:t>ofatumumab</w:t>
            </w:r>
            <w:proofErr w:type="spellEnd"/>
            <w:r w:rsidRPr="003A2EA3">
              <w:rPr>
                <w:rFonts w:ascii="Arial Narrow" w:hAnsi="Arial Narrow"/>
                <w:sz w:val="20"/>
                <w:szCs w:val="20"/>
              </w:rPr>
              <w:t xml:space="preserve"> nominated in the submission was not relevant because there is no overlap in the treated populations. The PBAC instead considered </w:t>
            </w:r>
            <w:proofErr w:type="spellStart"/>
            <w:r w:rsidRPr="003A2EA3">
              <w:rPr>
                <w:rFonts w:ascii="Arial Narrow" w:hAnsi="Arial Narrow"/>
                <w:sz w:val="20"/>
                <w:szCs w:val="20"/>
              </w:rPr>
              <w:t>ibrutinib</w:t>
            </w:r>
            <w:proofErr w:type="spellEnd"/>
            <w:r w:rsidRPr="003A2EA3">
              <w:rPr>
                <w:rFonts w:ascii="Arial Narrow" w:hAnsi="Arial Narrow"/>
                <w:sz w:val="20"/>
                <w:szCs w:val="20"/>
              </w:rPr>
              <w:t xml:space="preserve"> and </w:t>
            </w:r>
            <w:proofErr w:type="spellStart"/>
            <w:r w:rsidRPr="003A2EA3">
              <w:rPr>
                <w:rFonts w:ascii="Arial Narrow" w:hAnsi="Arial Narrow"/>
                <w:sz w:val="20"/>
                <w:szCs w:val="20"/>
              </w:rPr>
              <w:t>idelalisib</w:t>
            </w:r>
            <w:proofErr w:type="spellEnd"/>
            <w:r w:rsidRPr="003A2EA3">
              <w:rPr>
                <w:rFonts w:ascii="Arial Narrow" w:hAnsi="Arial Narrow"/>
                <w:sz w:val="20"/>
                <w:szCs w:val="20"/>
              </w:rPr>
              <w:t xml:space="preserve"> to be more relevant comparators, given the PBAC’s recent considerations of these medicines in similar CLL populations. The PBAC was also particularly uncertain about the relative clinical place, comparative effectiveness and safety, and duration of therapy of </w:t>
            </w:r>
            <w:proofErr w:type="spellStart"/>
            <w:r w:rsidRPr="003A2EA3">
              <w:rPr>
                <w:rFonts w:ascii="Arial Narrow" w:hAnsi="Arial Narrow"/>
                <w:sz w:val="20"/>
                <w:szCs w:val="20"/>
              </w:rPr>
              <w:t>venetoclax</w:t>
            </w:r>
            <w:proofErr w:type="spellEnd"/>
            <w:r w:rsidRPr="003A2EA3">
              <w:rPr>
                <w:rFonts w:ascii="Arial Narrow" w:hAnsi="Arial Narrow"/>
                <w:sz w:val="20"/>
                <w:szCs w:val="20"/>
              </w:rPr>
              <w:t xml:space="preserve"> against these two alternatives, and considered that these uncertainties flowed on to the economic evaluations and financial analyses. The PBAC deferred making a decision pending further information clarifying these issues as further outlined below.</w:t>
            </w:r>
          </w:p>
        </w:tc>
        <w:tc>
          <w:tcPr>
            <w:tcW w:w="2103" w:type="pct"/>
            <w:tcBorders>
              <w:top w:val="single" w:sz="4" w:space="0" w:color="auto"/>
              <w:left w:val="single" w:sz="4" w:space="0" w:color="auto"/>
              <w:bottom w:val="single" w:sz="4" w:space="0" w:color="auto"/>
              <w:right w:val="single" w:sz="4" w:space="0" w:color="auto"/>
            </w:tcBorders>
          </w:tcPr>
          <w:p w:rsidR="00867A58" w:rsidRPr="003A2EA3" w:rsidRDefault="00867A58" w:rsidP="002C642F">
            <w:pPr>
              <w:rPr>
                <w:rFonts w:ascii="Arial Narrow" w:hAnsi="Arial Narrow"/>
                <w:sz w:val="20"/>
                <w:szCs w:val="20"/>
              </w:rPr>
            </w:pPr>
            <w:r w:rsidRPr="003A2EA3">
              <w:rPr>
                <w:rFonts w:ascii="Arial Narrow" w:hAnsi="Arial Narrow"/>
                <w:sz w:val="20"/>
                <w:szCs w:val="20"/>
              </w:rPr>
              <w:t>-</w:t>
            </w:r>
          </w:p>
        </w:tc>
      </w:tr>
    </w:tbl>
    <w:p w:rsidR="002C642F" w:rsidRPr="003A2EA3" w:rsidRDefault="009B7AAD" w:rsidP="001443C9">
      <w:pPr>
        <w:pStyle w:val="NoSpacing"/>
        <w:ind w:left="709"/>
        <w:rPr>
          <w:rFonts w:asciiTheme="minorHAnsi" w:hAnsiTheme="minorHAnsi"/>
          <w:i/>
        </w:rPr>
      </w:pPr>
      <w:r w:rsidRPr="003A2EA3">
        <w:rPr>
          <w:rFonts w:asciiTheme="minorHAnsi" w:hAnsiTheme="minorHAnsi" w:cs="Arial"/>
          <w:i/>
          <w:sz w:val="24"/>
          <w:szCs w:val="24"/>
        </w:rPr>
        <w:t>For more detail on PBAC’s view, see section 7 “PBAC outcome.”</w:t>
      </w:r>
    </w:p>
    <w:p w:rsidR="002C642F" w:rsidRPr="003A2EA3" w:rsidRDefault="002C642F" w:rsidP="00867A58">
      <w:pPr>
        <w:pStyle w:val="ListParagraph"/>
        <w:rPr>
          <w:rFonts w:asciiTheme="minorHAnsi" w:hAnsiTheme="minorHAnsi"/>
          <w:szCs w:val="22"/>
        </w:rPr>
        <w:sectPr w:rsidR="002C642F" w:rsidRPr="003A2EA3" w:rsidSect="004743A7">
          <w:headerReference w:type="even" r:id="rId15"/>
          <w:footerReference w:type="even" r:id="rId16"/>
          <w:footerReference w:type="first" r:id="rId17"/>
          <w:pgSz w:w="16838" w:h="11906" w:orient="landscape" w:code="9"/>
          <w:pgMar w:top="1440" w:right="1440" w:bottom="1440" w:left="1440" w:header="1440" w:footer="1440" w:gutter="0"/>
          <w:cols w:space="708"/>
          <w:docGrid w:linePitch="360"/>
        </w:sectPr>
      </w:pPr>
    </w:p>
    <w:p w:rsidR="00CE10C4" w:rsidRPr="003A2EA3" w:rsidRDefault="006436CD" w:rsidP="006436CD">
      <w:pPr>
        <w:pStyle w:val="PBACHeading1"/>
        <w:rPr>
          <w:sz w:val="32"/>
          <w:szCs w:val="32"/>
        </w:rPr>
      </w:pPr>
      <w:r w:rsidRPr="003A2EA3">
        <w:rPr>
          <w:rFonts w:asciiTheme="minorHAnsi" w:hAnsiTheme="minorHAnsi"/>
          <w:sz w:val="32"/>
          <w:szCs w:val="32"/>
        </w:rPr>
        <w:t>Population and disease</w:t>
      </w:r>
    </w:p>
    <w:p w:rsidR="00CE10C4" w:rsidRPr="003A2EA3" w:rsidRDefault="00CE10C4" w:rsidP="00882085">
      <w:pPr>
        <w:jc w:val="both"/>
        <w:rPr>
          <w:rFonts w:asciiTheme="minorHAnsi" w:hAnsiTheme="minorHAnsi"/>
        </w:rPr>
      </w:pPr>
    </w:p>
    <w:p w:rsidR="00C57A96" w:rsidRPr="003A2EA3" w:rsidRDefault="00C57A96" w:rsidP="00C57A96">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March 2017 submission positioned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as a second-line treatment option in patients with relapsed</w:t>
      </w:r>
      <w:r w:rsidR="00415BDB" w:rsidRPr="003A2EA3">
        <w:rPr>
          <w:rFonts w:asciiTheme="minorHAnsi" w:hAnsiTheme="minorHAnsi"/>
          <w:sz w:val="24"/>
          <w:szCs w:val="24"/>
        </w:rPr>
        <w:t xml:space="preserve"> or </w:t>
      </w:r>
      <w:r w:rsidRPr="003A2EA3">
        <w:rPr>
          <w:rFonts w:asciiTheme="minorHAnsi" w:hAnsiTheme="minorHAnsi"/>
          <w:sz w:val="24"/>
          <w:szCs w:val="24"/>
        </w:rPr>
        <w:t>refractory CLL who have a 17p deletion or TP53 mutation. Th</w:t>
      </w:r>
      <w:r w:rsidR="00FD62E5" w:rsidRPr="003A2EA3">
        <w:rPr>
          <w:rFonts w:asciiTheme="minorHAnsi" w:hAnsiTheme="minorHAnsi"/>
          <w:sz w:val="24"/>
          <w:szCs w:val="24"/>
        </w:rPr>
        <w:t>at</w:t>
      </w:r>
      <w:r w:rsidRPr="003A2EA3">
        <w:rPr>
          <w:rFonts w:asciiTheme="minorHAnsi" w:hAnsiTheme="minorHAnsi"/>
          <w:sz w:val="24"/>
          <w:szCs w:val="24"/>
        </w:rPr>
        <w:t xml:space="preserve"> submission also positioned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as a third-line treatment option in patients with relapsed</w:t>
      </w:r>
      <w:r w:rsidR="00415BDB" w:rsidRPr="003A2EA3">
        <w:rPr>
          <w:rFonts w:asciiTheme="minorHAnsi" w:hAnsiTheme="minorHAnsi"/>
          <w:sz w:val="24"/>
          <w:szCs w:val="24"/>
        </w:rPr>
        <w:t xml:space="preserve"> or </w:t>
      </w:r>
      <w:r w:rsidRPr="003A2EA3">
        <w:rPr>
          <w:rFonts w:asciiTheme="minorHAnsi" w:hAnsiTheme="minorHAnsi"/>
          <w:sz w:val="24"/>
          <w:szCs w:val="24"/>
        </w:rPr>
        <w:t xml:space="preserve">refractory CLL without a 17p deletion or TP53 mutation. </w:t>
      </w:r>
      <w:r w:rsidR="00FD62E5" w:rsidRPr="003A2EA3">
        <w:rPr>
          <w:rFonts w:asciiTheme="minorHAnsi" w:hAnsiTheme="minorHAnsi"/>
          <w:sz w:val="24"/>
          <w:szCs w:val="24"/>
        </w:rPr>
        <w:t>It</w:t>
      </w:r>
      <w:r w:rsidRPr="003A2EA3">
        <w:rPr>
          <w:rFonts w:asciiTheme="minorHAnsi" w:hAnsiTheme="minorHAnsi"/>
          <w:sz w:val="24"/>
          <w:szCs w:val="24"/>
        </w:rPr>
        <w:t xml:space="preserve"> noted that the intended place for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in this population </w:t>
      </w:r>
      <w:r w:rsidR="00171681" w:rsidRPr="003A2EA3">
        <w:rPr>
          <w:rFonts w:asciiTheme="minorHAnsi" w:hAnsiTheme="minorHAnsi"/>
          <w:sz w:val="24"/>
          <w:szCs w:val="24"/>
        </w:rPr>
        <w:t>wa</w:t>
      </w:r>
      <w:r w:rsidRPr="003A2EA3">
        <w:rPr>
          <w:rFonts w:asciiTheme="minorHAnsi" w:hAnsiTheme="minorHAnsi"/>
          <w:sz w:val="24"/>
          <w:szCs w:val="24"/>
        </w:rPr>
        <w:t>s for patients with no other suitable treatment options.</w:t>
      </w:r>
    </w:p>
    <w:p w:rsidR="00C57A96" w:rsidRPr="003A2EA3" w:rsidRDefault="00C57A96" w:rsidP="00C57A96">
      <w:pPr>
        <w:rPr>
          <w:rFonts w:asciiTheme="minorHAnsi" w:hAnsiTheme="minorHAnsi"/>
        </w:rPr>
      </w:pPr>
    </w:p>
    <w:p w:rsidR="00C57A96" w:rsidRPr="003A2EA3" w:rsidRDefault="00C57A96" w:rsidP="00C57A96">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in March 2017 considered that uncertainty remained around the likely place of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in clinical practice, specifically with regard to the possibility of its use as combination therapy, whether it would be used in an earlier</w:t>
      </w:r>
      <w:r w:rsidR="00204058" w:rsidRPr="003A2EA3">
        <w:rPr>
          <w:rFonts w:asciiTheme="minorHAnsi" w:hAnsiTheme="minorHAnsi"/>
          <w:sz w:val="24"/>
          <w:szCs w:val="24"/>
        </w:rPr>
        <w:t xml:space="preserve"> line of therapy than the third-</w:t>
      </w:r>
      <w:r w:rsidRPr="003A2EA3">
        <w:rPr>
          <w:rFonts w:asciiTheme="minorHAnsi" w:hAnsiTheme="minorHAnsi"/>
          <w:sz w:val="24"/>
          <w:szCs w:val="24"/>
        </w:rPr>
        <w:t>line for relapsed</w:t>
      </w:r>
      <w:r w:rsidR="00415BDB" w:rsidRPr="003A2EA3">
        <w:rPr>
          <w:rFonts w:asciiTheme="minorHAnsi" w:hAnsiTheme="minorHAnsi"/>
          <w:sz w:val="24"/>
          <w:szCs w:val="24"/>
        </w:rPr>
        <w:t xml:space="preserve"> or </w:t>
      </w:r>
      <w:r w:rsidRPr="003A2EA3">
        <w:rPr>
          <w:rFonts w:asciiTheme="minorHAnsi" w:hAnsiTheme="minorHAnsi"/>
          <w:sz w:val="24"/>
          <w:szCs w:val="24"/>
        </w:rPr>
        <w:t xml:space="preserve">refractory CLL proposed in the submission, and the relative place in comparison to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and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if they were listed on the PBS.</w:t>
      </w:r>
    </w:p>
    <w:p w:rsidR="00171681" w:rsidRPr="003A2EA3" w:rsidRDefault="00171681" w:rsidP="00171681">
      <w:pPr>
        <w:rPr>
          <w:rFonts w:asciiTheme="minorHAnsi" w:hAnsiTheme="minorHAnsi"/>
        </w:rPr>
      </w:pPr>
    </w:p>
    <w:p w:rsidR="00680AEF" w:rsidRPr="003A2EA3" w:rsidRDefault="00171681" w:rsidP="0046308F">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581E8C" w:rsidRPr="003A2EA3">
        <w:rPr>
          <w:rFonts w:asciiTheme="minorHAnsi" w:hAnsiTheme="minorHAnsi"/>
          <w:sz w:val="24"/>
          <w:szCs w:val="24"/>
        </w:rPr>
        <w:t>re</w:t>
      </w:r>
      <w:r w:rsidRPr="003A2EA3">
        <w:rPr>
          <w:rFonts w:asciiTheme="minorHAnsi" w:hAnsiTheme="minorHAnsi"/>
          <w:sz w:val="24"/>
          <w:szCs w:val="24"/>
        </w:rPr>
        <w:t xml:space="preserve">submission again proposed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as a second-line treatment option in patients with relapsed</w:t>
      </w:r>
      <w:r w:rsidR="00415BDB" w:rsidRPr="003A2EA3">
        <w:rPr>
          <w:rFonts w:asciiTheme="minorHAnsi" w:hAnsiTheme="minorHAnsi"/>
          <w:sz w:val="24"/>
          <w:szCs w:val="24"/>
        </w:rPr>
        <w:t xml:space="preserve"> or </w:t>
      </w:r>
      <w:r w:rsidRPr="003A2EA3">
        <w:rPr>
          <w:rFonts w:asciiTheme="minorHAnsi" w:hAnsiTheme="minorHAnsi"/>
          <w:sz w:val="24"/>
          <w:szCs w:val="24"/>
        </w:rPr>
        <w:t xml:space="preserve">refractory CLL who have a 17p deletion. The </w:t>
      </w:r>
      <w:r w:rsidR="00581E8C" w:rsidRPr="003A2EA3">
        <w:rPr>
          <w:rFonts w:asciiTheme="minorHAnsi" w:hAnsiTheme="minorHAnsi"/>
          <w:sz w:val="24"/>
          <w:szCs w:val="24"/>
        </w:rPr>
        <w:t>re</w:t>
      </w:r>
      <w:r w:rsidRPr="003A2EA3">
        <w:rPr>
          <w:rFonts w:asciiTheme="minorHAnsi" w:hAnsiTheme="minorHAnsi"/>
          <w:sz w:val="24"/>
          <w:szCs w:val="24"/>
        </w:rPr>
        <w:t xml:space="preserve">submission also positioned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as a third-line treatment option in patients with </w:t>
      </w:r>
      <w:r w:rsidR="00760FF3" w:rsidRPr="003A2EA3">
        <w:rPr>
          <w:rFonts w:asciiTheme="minorHAnsi" w:hAnsiTheme="minorHAnsi"/>
          <w:sz w:val="24"/>
          <w:szCs w:val="24"/>
        </w:rPr>
        <w:t xml:space="preserve">highly </w:t>
      </w:r>
      <w:r w:rsidRPr="003A2EA3">
        <w:rPr>
          <w:rFonts w:asciiTheme="minorHAnsi" w:hAnsiTheme="minorHAnsi"/>
          <w:sz w:val="24"/>
          <w:szCs w:val="24"/>
        </w:rPr>
        <w:t>refractory CLL</w:t>
      </w:r>
      <w:r w:rsidR="00140003" w:rsidRPr="003A2EA3">
        <w:rPr>
          <w:rFonts w:asciiTheme="minorHAnsi" w:hAnsiTheme="minorHAnsi"/>
          <w:sz w:val="24"/>
          <w:szCs w:val="24"/>
        </w:rPr>
        <w:t xml:space="preserve"> without a 17p deletion</w:t>
      </w:r>
      <w:r w:rsidRPr="003A2EA3">
        <w:rPr>
          <w:rFonts w:asciiTheme="minorHAnsi" w:hAnsiTheme="minorHAnsi"/>
          <w:sz w:val="24"/>
          <w:szCs w:val="24"/>
        </w:rPr>
        <w:t>.</w:t>
      </w:r>
    </w:p>
    <w:p w:rsidR="00680AEF" w:rsidRPr="003A2EA3" w:rsidRDefault="00680AEF" w:rsidP="00680AEF">
      <w:pPr>
        <w:rPr>
          <w:rFonts w:asciiTheme="minorHAnsi" w:hAnsiTheme="minorHAnsi"/>
        </w:rPr>
      </w:pPr>
    </w:p>
    <w:p w:rsidR="0046308F" w:rsidRPr="003A2EA3" w:rsidRDefault="00415BDB" w:rsidP="0046308F">
      <w:pPr>
        <w:pStyle w:val="ListParagraph"/>
        <w:numPr>
          <w:ilvl w:val="1"/>
          <w:numId w:val="5"/>
        </w:numPr>
        <w:rPr>
          <w:rFonts w:asciiTheme="minorHAnsi" w:hAnsiTheme="minorHAnsi"/>
          <w:sz w:val="24"/>
          <w:szCs w:val="24"/>
        </w:rPr>
      </w:pPr>
      <w:r w:rsidRPr="003A2EA3">
        <w:rPr>
          <w:rFonts w:asciiTheme="minorHAnsi" w:hAnsiTheme="minorHAnsi"/>
          <w:sz w:val="24"/>
          <w:szCs w:val="24"/>
        </w:rPr>
        <w:t>The PBAC considered that</w:t>
      </w:r>
      <w:r w:rsidR="008556E2" w:rsidRPr="003A2EA3">
        <w:rPr>
          <w:rFonts w:asciiTheme="minorHAnsi" w:hAnsiTheme="minorHAnsi"/>
          <w:sz w:val="24"/>
          <w:szCs w:val="24"/>
        </w:rPr>
        <w:t>, based on the clinical evidence available to it,</w:t>
      </w:r>
      <w:r w:rsidRPr="003A2EA3">
        <w:rPr>
          <w:rFonts w:asciiTheme="minorHAnsi" w:hAnsiTheme="minorHAnsi"/>
          <w:sz w:val="24"/>
          <w:szCs w:val="24"/>
        </w:rPr>
        <w:t xml:space="preserve"> the clinical place of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would be </w:t>
      </w:r>
      <w:r w:rsidR="008556E2" w:rsidRPr="003A2EA3">
        <w:rPr>
          <w:rFonts w:asciiTheme="minorHAnsi" w:hAnsiTheme="minorHAnsi"/>
          <w:sz w:val="24"/>
          <w:szCs w:val="24"/>
        </w:rPr>
        <w:t xml:space="preserve">as </w:t>
      </w:r>
      <w:r w:rsidRPr="003A2EA3">
        <w:rPr>
          <w:rFonts w:asciiTheme="minorHAnsi" w:hAnsiTheme="minorHAnsi"/>
          <w:sz w:val="24"/>
          <w:szCs w:val="24"/>
        </w:rPr>
        <w:t xml:space="preserve">a third-line treatment option </w:t>
      </w:r>
      <w:r w:rsidR="00680AEF" w:rsidRPr="003A2EA3">
        <w:rPr>
          <w:rFonts w:asciiTheme="minorHAnsi" w:hAnsiTheme="minorHAnsi"/>
          <w:sz w:val="24"/>
          <w:szCs w:val="24"/>
        </w:rPr>
        <w:t xml:space="preserve">in patients with relapsed or refractory CLL, </w:t>
      </w:r>
      <w:r w:rsidRPr="003A2EA3">
        <w:rPr>
          <w:rFonts w:asciiTheme="minorHAnsi" w:hAnsiTheme="minorHAnsi"/>
          <w:sz w:val="24"/>
          <w:szCs w:val="24"/>
        </w:rPr>
        <w:t>following treatment failure with a kinase inhibitor.</w:t>
      </w:r>
    </w:p>
    <w:p w:rsidR="00BB7EC3" w:rsidRPr="003A2EA3" w:rsidRDefault="00BB7EC3" w:rsidP="00882085">
      <w:pPr>
        <w:pStyle w:val="Header"/>
        <w:tabs>
          <w:tab w:val="clear" w:pos="4153"/>
          <w:tab w:val="clear" w:pos="8306"/>
        </w:tabs>
        <w:jc w:val="both"/>
        <w:rPr>
          <w:rFonts w:asciiTheme="minorHAnsi" w:hAnsiTheme="minorHAnsi"/>
        </w:rPr>
      </w:pPr>
    </w:p>
    <w:p w:rsidR="00E15B48" w:rsidRPr="003A2EA3" w:rsidRDefault="00E15B48" w:rsidP="001443C9">
      <w:pPr>
        <w:pStyle w:val="NoSpacing"/>
        <w:ind w:left="709"/>
        <w:rPr>
          <w:rFonts w:asciiTheme="minorHAnsi" w:hAnsiTheme="minorHAnsi" w:cs="Arial"/>
          <w:i/>
          <w:sz w:val="24"/>
          <w:szCs w:val="24"/>
        </w:rPr>
      </w:pPr>
      <w:r w:rsidRPr="003A2EA3">
        <w:rPr>
          <w:rFonts w:asciiTheme="minorHAnsi" w:hAnsiTheme="minorHAnsi" w:cs="Arial"/>
          <w:i/>
          <w:sz w:val="24"/>
          <w:szCs w:val="24"/>
        </w:rPr>
        <w:t>For more detail on PBAC’s view, see section 7 “PBAC outcome.”</w:t>
      </w:r>
    </w:p>
    <w:p w:rsidR="008A1956" w:rsidRPr="003A2EA3" w:rsidRDefault="008A1956" w:rsidP="00882085">
      <w:pPr>
        <w:pStyle w:val="Header"/>
        <w:tabs>
          <w:tab w:val="clear" w:pos="4153"/>
          <w:tab w:val="clear" w:pos="8306"/>
        </w:tabs>
        <w:jc w:val="both"/>
        <w:rPr>
          <w:rFonts w:asciiTheme="minorHAnsi" w:hAnsiTheme="minorHAnsi"/>
        </w:rPr>
      </w:pPr>
    </w:p>
    <w:p w:rsidR="005A3173" w:rsidRPr="003A2EA3" w:rsidRDefault="005A3173" w:rsidP="008A50F1">
      <w:pPr>
        <w:pStyle w:val="PBACHeading1"/>
        <w:rPr>
          <w:rFonts w:asciiTheme="minorHAnsi" w:hAnsiTheme="minorHAnsi"/>
          <w:sz w:val="32"/>
          <w:szCs w:val="32"/>
        </w:rPr>
      </w:pPr>
      <w:r w:rsidRPr="003A2EA3">
        <w:rPr>
          <w:rFonts w:asciiTheme="minorHAnsi" w:hAnsiTheme="minorHAnsi"/>
          <w:sz w:val="32"/>
          <w:szCs w:val="32"/>
        </w:rPr>
        <w:t>Comparator</w:t>
      </w:r>
    </w:p>
    <w:p w:rsidR="005A3173" w:rsidRPr="003A2EA3" w:rsidRDefault="005A3173" w:rsidP="00882085">
      <w:pPr>
        <w:pStyle w:val="Header"/>
        <w:tabs>
          <w:tab w:val="clear" w:pos="4153"/>
          <w:tab w:val="clear" w:pos="8306"/>
        </w:tabs>
        <w:jc w:val="both"/>
        <w:rPr>
          <w:rFonts w:asciiTheme="minorHAnsi" w:hAnsiTheme="minorHAnsi"/>
        </w:rPr>
      </w:pPr>
    </w:p>
    <w:p w:rsidR="00476245" w:rsidRPr="003A2EA3" w:rsidRDefault="00FF2801" w:rsidP="002D59E2">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minor </w:t>
      </w:r>
      <w:r w:rsidR="009B79A8" w:rsidRPr="003A2EA3">
        <w:rPr>
          <w:rFonts w:asciiTheme="minorHAnsi" w:hAnsiTheme="minorHAnsi"/>
          <w:sz w:val="24"/>
          <w:szCs w:val="24"/>
        </w:rPr>
        <w:t>re</w:t>
      </w:r>
      <w:r w:rsidRPr="003A2EA3">
        <w:rPr>
          <w:rFonts w:asciiTheme="minorHAnsi" w:hAnsiTheme="minorHAnsi"/>
          <w:sz w:val="24"/>
          <w:szCs w:val="24"/>
        </w:rPr>
        <w:t>submission nominated</w:t>
      </w:r>
      <w:r w:rsidR="00436757" w:rsidRPr="003A2EA3">
        <w:rPr>
          <w:rFonts w:asciiTheme="minorHAnsi" w:hAnsiTheme="minorHAnsi"/>
          <w:sz w:val="24"/>
          <w:szCs w:val="24"/>
        </w:rPr>
        <w:t xml:space="preserve"> </w:t>
      </w:r>
      <w:proofErr w:type="spellStart"/>
      <w:r w:rsidR="00436757" w:rsidRPr="003A2EA3">
        <w:rPr>
          <w:rFonts w:asciiTheme="minorHAnsi" w:hAnsiTheme="minorHAnsi"/>
          <w:sz w:val="24"/>
          <w:szCs w:val="24"/>
        </w:rPr>
        <w:t>ibrutinib</w:t>
      </w:r>
      <w:proofErr w:type="spellEnd"/>
      <w:r w:rsidR="00436757" w:rsidRPr="003A2EA3">
        <w:rPr>
          <w:rFonts w:asciiTheme="minorHAnsi" w:hAnsiTheme="minorHAnsi"/>
          <w:sz w:val="24"/>
          <w:szCs w:val="24"/>
        </w:rPr>
        <w:t xml:space="preserve"> as the comparator</w:t>
      </w:r>
      <w:r w:rsidR="0036766D" w:rsidRPr="003A2EA3">
        <w:rPr>
          <w:rFonts w:asciiTheme="minorHAnsi" w:hAnsiTheme="minorHAnsi"/>
          <w:sz w:val="24"/>
          <w:szCs w:val="24"/>
        </w:rPr>
        <w:t xml:space="preserve"> for </w:t>
      </w:r>
      <w:r w:rsidR="00C5518B" w:rsidRPr="003A2EA3">
        <w:rPr>
          <w:rFonts w:asciiTheme="minorHAnsi" w:hAnsiTheme="minorHAnsi"/>
          <w:sz w:val="24"/>
          <w:szCs w:val="24"/>
        </w:rPr>
        <w:t>relapsed or refractory</w:t>
      </w:r>
      <w:r w:rsidR="0036766D" w:rsidRPr="003A2EA3">
        <w:rPr>
          <w:rFonts w:asciiTheme="minorHAnsi" w:hAnsiTheme="minorHAnsi"/>
          <w:sz w:val="24"/>
          <w:szCs w:val="24"/>
        </w:rPr>
        <w:t xml:space="preserve"> CLL patients with a 17p</w:t>
      </w:r>
      <w:r w:rsidR="00C5518B" w:rsidRPr="003A2EA3">
        <w:rPr>
          <w:rFonts w:asciiTheme="minorHAnsi" w:hAnsiTheme="minorHAnsi"/>
          <w:sz w:val="24"/>
          <w:szCs w:val="24"/>
        </w:rPr>
        <w:t xml:space="preserve"> </w:t>
      </w:r>
      <w:r w:rsidR="0036766D" w:rsidRPr="003A2EA3">
        <w:rPr>
          <w:rFonts w:asciiTheme="minorHAnsi" w:hAnsiTheme="minorHAnsi"/>
          <w:sz w:val="24"/>
          <w:szCs w:val="24"/>
        </w:rPr>
        <w:t>del</w:t>
      </w:r>
      <w:r w:rsidR="00C5518B" w:rsidRPr="003A2EA3">
        <w:rPr>
          <w:rFonts w:asciiTheme="minorHAnsi" w:hAnsiTheme="minorHAnsi"/>
          <w:sz w:val="24"/>
          <w:szCs w:val="24"/>
        </w:rPr>
        <w:t>etion</w:t>
      </w:r>
      <w:r w:rsidR="00436757" w:rsidRPr="003A2EA3">
        <w:rPr>
          <w:rFonts w:asciiTheme="minorHAnsi" w:hAnsiTheme="minorHAnsi"/>
          <w:sz w:val="24"/>
          <w:szCs w:val="24"/>
        </w:rPr>
        <w:t>.</w:t>
      </w:r>
      <w:r w:rsidR="0036766D" w:rsidRPr="003A2EA3">
        <w:rPr>
          <w:rFonts w:asciiTheme="minorHAnsi" w:hAnsiTheme="minorHAnsi"/>
          <w:sz w:val="24"/>
          <w:szCs w:val="24"/>
        </w:rPr>
        <w:t xml:space="preserve"> </w:t>
      </w:r>
      <w:r w:rsidR="00476245" w:rsidRPr="003A2EA3">
        <w:rPr>
          <w:rFonts w:asciiTheme="minorHAnsi" w:hAnsiTheme="minorHAnsi"/>
          <w:sz w:val="24"/>
          <w:szCs w:val="24"/>
        </w:rPr>
        <w:t xml:space="preserve">The previous submission considered by the PBAC in </w:t>
      </w:r>
      <w:r w:rsidR="002D59E2" w:rsidRPr="003A2EA3">
        <w:rPr>
          <w:rFonts w:asciiTheme="minorHAnsi" w:hAnsiTheme="minorHAnsi"/>
          <w:sz w:val="24"/>
          <w:szCs w:val="24"/>
        </w:rPr>
        <w:t>March</w:t>
      </w:r>
      <w:r w:rsidR="0036766D" w:rsidRPr="003A2EA3">
        <w:rPr>
          <w:rFonts w:asciiTheme="minorHAnsi" w:hAnsiTheme="minorHAnsi"/>
          <w:sz w:val="24"/>
          <w:szCs w:val="24"/>
        </w:rPr>
        <w:t xml:space="preserve"> 201</w:t>
      </w:r>
      <w:r w:rsidR="002D59E2" w:rsidRPr="003A2EA3">
        <w:rPr>
          <w:rFonts w:asciiTheme="minorHAnsi" w:hAnsiTheme="minorHAnsi"/>
          <w:sz w:val="24"/>
          <w:szCs w:val="24"/>
        </w:rPr>
        <w:t>7</w:t>
      </w:r>
      <w:r w:rsidRPr="003A2EA3">
        <w:rPr>
          <w:rFonts w:asciiTheme="minorHAnsi" w:hAnsiTheme="minorHAnsi"/>
          <w:sz w:val="24"/>
          <w:szCs w:val="24"/>
        </w:rPr>
        <w:t xml:space="preserve"> nominated </w:t>
      </w:r>
      <w:r w:rsidR="0036766D" w:rsidRPr="003A2EA3">
        <w:rPr>
          <w:rFonts w:asciiTheme="minorHAnsi" w:hAnsiTheme="minorHAnsi"/>
          <w:sz w:val="24"/>
          <w:szCs w:val="24"/>
        </w:rPr>
        <w:t xml:space="preserve">best supportive care </w:t>
      </w:r>
      <w:r w:rsidR="002D59E2" w:rsidRPr="003A2EA3">
        <w:rPr>
          <w:rFonts w:asciiTheme="minorHAnsi" w:hAnsiTheme="minorHAnsi"/>
          <w:sz w:val="24"/>
          <w:szCs w:val="24"/>
        </w:rPr>
        <w:t xml:space="preserve">for the highly refractory population. </w:t>
      </w:r>
      <w:r w:rsidRPr="003A2EA3">
        <w:rPr>
          <w:rFonts w:asciiTheme="minorHAnsi" w:hAnsiTheme="minorHAnsi"/>
          <w:sz w:val="24"/>
          <w:szCs w:val="24"/>
        </w:rPr>
        <w:t>This wa</w:t>
      </w:r>
      <w:r w:rsidR="00476245" w:rsidRPr="003A2EA3">
        <w:rPr>
          <w:rFonts w:asciiTheme="minorHAnsi" w:hAnsiTheme="minorHAnsi"/>
          <w:sz w:val="24"/>
          <w:szCs w:val="24"/>
        </w:rPr>
        <w:t>s unchanged</w:t>
      </w:r>
      <w:r w:rsidR="002D59E2" w:rsidRPr="003A2EA3">
        <w:rPr>
          <w:rFonts w:asciiTheme="minorHAnsi" w:hAnsiTheme="minorHAnsi"/>
          <w:sz w:val="24"/>
          <w:szCs w:val="24"/>
        </w:rPr>
        <w:t xml:space="preserve"> in this </w:t>
      </w:r>
      <w:r w:rsidR="00FD62E5" w:rsidRPr="003A2EA3">
        <w:rPr>
          <w:rFonts w:asciiTheme="minorHAnsi" w:hAnsiTheme="minorHAnsi"/>
          <w:sz w:val="24"/>
          <w:szCs w:val="24"/>
        </w:rPr>
        <w:t>re</w:t>
      </w:r>
      <w:r w:rsidR="002D59E2" w:rsidRPr="003A2EA3">
        <w:rPr>
          <w:rFonts w:asciiTheme="minorHAnsi" w:hAnsiTheme="minorHAnsi"/>
          <w:sz w:val="24"/>
          <w:szCs w:val="24"/>
        </w:rPr>
        <w:t>submission.</w:t>
      </w:r>
    </w:p>
    <w:p w:rsidR="00760FF3" w:rsidRPr="003A2EA3" w:rsidRDefault="00760FF3" w:rsidP="00760FF3">
      <w:pPr>
        <w:rPr>
          <w:rFonts w:asciiTheme="minorHAnsi" w:hAnsiTheme="minorHAnsi"/>
        </w:rPr>
      </w:pPr>
    </w:p>
    <w:p w:rsidR="00760FF3" w:rsidRPr="003A2EA3" w:rsidRDefault="00760FF3" w:rsidP="00760FF3">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FD62E5" w:rsidRPr="003A2EA3">
        <w:rPr>
          <w:rFonts w:asciiTheme="minorHAnsi" w:hAnsiTheme="minorHAnsi"/>
          <w:sz w:val="24"/>
          <w:szCs w:val="24"/>
        </w:rPr>
        <w:t>re</w:t>
      </w:r>
      <w:r w:rsidRPr="003A2EA3">
        <w:rPr>
          <w:rFonts w:asciiTheme="minorHAnsi" w:hAnsiTheme="minorHAnsi"/>
          <w:sz w:val="24"/>
          <w:szCs w:val="24"/>
        </w:rPr>
        <w:t xml:space="preserve">submission presented an argument as to why it did not consider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t>
      </w:r>
      <w:r w:rsidR="0027436D" w:rsidRPr="003A2EA3">
        <w:rPr>
          <w:rFonts w:asciiTheme="minorHAnsi" w:hAnsiTheme="minorHAnsi"/>
          <w:sz w:val="24"/>
          <w:szCs w:val="24"/>
        </w:rPr>
        <w:t>with</w:t>
      </w:r>
      <w:r w:rsidRPr="003A2EA3">
        <w:rPr>
          <w:rFonts w:asciiTheme="minorHAnsi" w:hAnsiTheme="minorHAnsi"/>
          <w:sz w:val="24"/>
          <w:szCs w:val="24"/>
        </w:rPr>
        <w:t xml:space="preserve"> rituximab as a relevant comparator, which was based on recent safety concerns raised by the TGA for the use of th</w:t>
      </w:r>
      <w:r w:rsidR="0027436D" w:rsidRPr="003A2EA3">
        <w:rPr>
          <w:rFonts w:asciiTheme="minorHAnsi" w:hAnsiTheme="minorHAnsi"/>
          <w:sz w:val="24"/>
          <w:szCs w:val="24"/>
        </w:rPr>
        <w:t>is</w:t>
      </w:r>
      <w:r w:rsidRPr="003A2EA3">
        <w:rPr>
          <w:rFonts w:asciiTheme="minorHAnsi" w:hAnsiTheme="minorHAnsi"/>
          <w:sz w:val="24"/>
          <w:szCs w:val="24"/>
        </w:rPr>
        <w:t xml:space="preserve"> combination in some circumstances and the previously submitted clinician survey results that indicated that the majority of those surveyed would prescribe with</w:t>
      </w:r>
      <w:r w:rsidR="004C29AB" w:rsidRPr="003A2EA3">
        <w:rPr>
          <w:rFonts w:asciiTheme="minorHAnsi" w:hAnsiTheme="minorHAnsi"/>
          <w:sz w:val="24"/>
          <w:szCs w:val="24"/>
        </w:rPr>
        <w:t xml:space="preserve"> </w:t>
      </w:r>
      <w:r w:rsidRPr="003A2EA3">
        <w:rPr>
          <w:rFonts w:asciiTheme="minorHAnsi" w:hAnsiTheme="minorHAnsi"/>
          <w:sz w:val="24"/>
          <w:szCs w:val="24"/>
        </w:rPr>
        <w:t>e</w:t>
      </w:r>
      <w:r w:rsidR="004C29AB" w:rsidRPr="003A2EA3">
        <w:rPr>
          <w:rFonts w:asciiTheme="minorHAnsi" w:hAnsiTheme="minorHAnsi"/>
          <w:sz w:val="24"/>
          <w:szCs w:val="24"/>
        </w:rPr>
        <w:t>ithe</w:t>
      </w:r>
      <w:r w:rsidRPr="003A2EA3">
        <w:rPr>
          <w:rFonts w:asciiTheme="minorHAnsi" w:hAnsiTheme="minorHAnsi"/>
          <w:sz w:val="24"/>
          <w:szCs w:val="24"/>
        </w:rPr>
        <w:t xml:space="preserve">r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or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over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t>
      </w:r>
      <w:r w:rsidR="0027436D" w:rsidRPr="003A2EA3">
        <w:rPr>
          <w:rFonts w:asciiTheme="minorHAnsi" w:hAnsiTheme="minorHAnsi"/>
          <w:sz w:val="24"/>
          <w:szCs w:val="24"/>
        </w:rPr>
        <w:t>with</w:t>
      </w:r>
      <w:r w:rsidRPr="003A2EA3">
        <w:rPr>
          <w:rFonts w:asciiTheme="minorHAnsi" w:hAnsiTheme="minorHAnsi"/>
          <w:sz w:val="24"/>
          <w:szCs w:val="24"/>
        </w:rPr>
        <w:t xml:space="preserve"> rituximab.</w:t>
      </w:r>
    </w:p>
    <w:p w:rsidR="004938BB" w:rsidRPr="003A2EA3" w:rsidRDefault="004938BB" w:rsidP="004938BB">
      <w:pPr>
        <w:rPr>
          <w:rFonts w:asciiTheme="minorHAnsi" w:hAnsiTheme="minorHAnsi"/>
        </w:rPr>
      </w:pPr>
    </w:p>
    <w:p w:rsidR="00352682" w:rsidRPr="003A2EA3" w:rsidRDefault="00352682" w:rsidP="00760FF3">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did not support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as the appropriate comparator due to </w:t>
      </w:r>
      <w:r w:rsidR="00CB7CB9" w:rsidRPr="003A2EA3">
        <w:rPr>
          <w:rFonts w:asciiTheme="minorHAnsi" w:hAnsiTheme="minorHAnsi"/>
          <w:sz w:val="24"/>
          <w:szCs w:val="24"/>
        </w:rPr>
        <w:t xml:space="preserve">weak </w:t>
      </w:r>
      <w:r w:rsidR="00FC485F" w:rsidRPr="003A2EA3">
        <w:rPr>
          <w:rFonts w:asciiTheme="minorHAnsi" w:hAnsiTheme="minorHAnsi"/>
          <w:sz w:val="24"/>
          <w:szCs w:val="24"/>
        </w:rPr>
        <w:t xml:space="preserve">supportive data </w:t>
      </w:r>
      <w:r w:rsidR="00CB7CB9" w:rsidRPr="003A2EA3">
        <w:rPr>
          <w:rFonts w:asciiTheme="minorHAnsi" w:hAnsiTheme="minorHAnsi"/>
          <w:sz w:val="24"/>
          <w:szCs w:val="24"/>
        </w:rPr>
        <w:t xml:space="preserve">for </w:t>
      </w:r>
      <w:proofErr w:type="spellStart"/>
      <w:r w:rsidR="00CB7CB9" w:rsidRPr="003A2EA3">
        <w:rPr>
          <w:rFonts w:asciiTheme="minorHAnsi" w:hAnsiTheme="minorHAnsi"/>
          <w:sz w:val="24"/>
          <w:szCs w:val="24"/>
        </w:rPr>
        <w:t>venetoclax</w:t>
      </w:r>
      <w:proofErr w:type="spellEnd"/>
      <w:r w:rsidR="00CB7CB9" w:rsidRPr="003A2EA3">
        <w:rPr>
          <w:rFonts w:asciiTheme="minorHAnsi" w:hAnsiTheme="minorHAnsi"/>
          <w:sz w:val="24"/>
          <w:szCs w:val="24"/>
        </w:rPr>
        <w:t xml:space="preserve"> </w:t>
      </w:r>
      <w:r w:rsidR="00FC485F" w:rsidRPr="003A2EA3">
        <w:rPr>
          <w:rFonts w:asciiTheme="minorHAnsi" w:hAnsiTheme="minorHAnsi"/>
          <w:sz w:val="24"/>
          <w:szCs w:val="24"/>
        </w:rPr>
        <w:t xml:space="preserve">in this setting </w:t>
      </w:r>
      <w:r w:rsidR="00CB7CB9" w:rsidRPr="003A2EA3">
        <w:rPr>
          <w:rFonts w:asciiTheme="minorHAnsi" w:hAnsiTheme="minorHAnsi"/>
          <w:sz w:val="24"/>
          <w:szCs w:val="24"/>
        </w:rPr>
        <w:t xml:space="preserve">where </w:t>
      </w:r>
      <w:proofErr w:type="spellStart"/>
      <w:r w:rsidR="00CB7CB9" w:rsidRPr="003A2EA3">
        <w:rPr>
          <w:rFonts w:asciiTheme="minorHAnsi" w:hAnsiTheme="minorHAnsi"/>
          <w:sz w:val="24"/>
          <w:szCs w:val="24"/>
        </w:rPr>
        <w:t>ibrutinib</w:t>
      </w:r>
      <w:proofErr w:type="spellEnd"/>
      <w:r w:rsidR="00CB7CB9" w:rsidRPr="003A2EA3">
        <w:rPr>
          <w:rFonts w:asciiTheme="minorHAnsi" w:hAnsiTheme="minorHAnsi"/>
          <w:sz w:val="24"/>
          <w:szCs w:val="24"/>
        </w:rPr>
        <w:t xml:space="preserve"> is already more established based on earlier evidence </w:t>
      </w:r>
      <w:r w:rsidR="00FC485F" w:rsidRPr="003A2EA3">
        <w:rPr>
          <w:rFonts w:asciiTheme="minorHAnsi" w:hAnsiTheme="minorHAnsi"/>
          <w:sz w:val="24"/>
          <w:szCs w:val="24"/>
        </w:rPr>
        <w:t xml:space="preserve">(see section 6 for more detail), </w:t>
      </w:r>
      <w:r w:rsidR="00DF0AC6" w:rsidRPr="003A2EA3">
        <w:rPr>
          <w:rFonts w:asciiTheme="minorHAnsi" w:hAnsiTheme="minorHAnsi"/>
          <w:sz w:val="24"/>
          <w:szCs w:val="24"/>
        </w:rPr>
        <w:t>and</w:t>
      </w:r>
      <w:r w:rsidR="00FC485F" w:rsidRPr="003A2EA3">
        <w:rPr>
          <w:rFonts w:asciiTheme="minorHAnsi" w:hAnsiTheme="minorHAnsi"/>
          <w:sz w:val="24"/>
          <w:szCs w:val="24"/>
        </w:rPr>
        <w:t xml:space="preserve"> </w:t>
      </w:r>
      <w:r w:rsidR="00CB7CB9" w:rsidRPr="003A2EA3">
        <w:rPr>
          <w:rFonts w:asciiTheme="minorHAnsi" w:hAnsiTheme="minorHAnsi"/>
          <w:sz w:val="24"/>
          <w:szCs w:val="24"/>
        </w:rPr>
        <w:t xml:space="preserve">instead </w:t>
      </w:r>
      <w:r w:rsidR="00FC485F" w:rsidRPr="003A2EA3">
        <w:rPr>
          <w:rFonts w:asciiTheme="minorHAnsi" w:hAnsiTheme="minorHAnsi"/>
          <w:sz w:val="24"/>
          <w:szCs w:val="24"/>
        </w:rPr>
        <w:t xml:space="preserve">considered that a more appropriate comparator was </w:t>
      </w:r>
      <w:proofErr w:type="spellStart"/>
      <w:r w:rsidR="00FC485F" w:rsidRPr="003A2EA3">
        <w:rPr>
          <w:rFonts w:asciiTheme="minorHAnsi" w:hAnsiTheme="minorHAnsi"/>
          <w:sz w:val="24"/>
          <w:szCs w:val="24"/>
        </w:rPr>
        <w:t>idelalisib</w:t>
      </w:r>
      <w:proofErr w:type="spellEnd"/>
      <w:r w:rsidR="00FC485F" w:rsidRPr="003A2EA3">
        <w:rPr>
          <w:rFonts w:asciiTheme="minorHAnsi" w:hAnsiTheme="minorHAnsi"/>
          <w:sz w:val="24"/>
          <w:szCs w:val="24"/>
        </w:rPr>
        <w:t xml:space="preserve"> with rituximab </w:t>
      </w:r>
      <w:r w:rsidR="00CB7CB9" w:rsidRPr="003A2EA3">
        <w:rPr>
          <w:rFonts w:asciiTheme="minorHAnsi" w:hAnsiTheme="minorHAnsi"/>
          <w:sz w:val="24"/>
          <w:szCs w:val="24"/>
        </w:rPr>
        <w:t>in the later clinical setting following</w:t>
      </w:r>
      <w:r w:rsidR="00FC485F" w:rsidRPr="003A2EA3">
        <w:rPr>
          <w:rFonts w:asciiTheme="minorHAnsi" w:hAnsiTheme="minorHAnsi"/>
          <w:sz w:val="24"/>
          <w:szCs w:val="24"/>
        </w:rPr>
        <w:t xml:space="preserve"> treatment failure with a kinase inhibitor.</w:t>
      </w:r>
    </w:p>
    <w:p w:rsidR="00DF26A7" w:rsidRPr="003A2EA3" w:rsidRDefault="00DF26A7" w:rsidP="00476245">
      <w:pPr>
        <w:jc w:val="both"/>
        <w:rPr>
          <w:rFonts w:asciiTheme="minorHAnsi" w:hAnsiTheme="minorHAnsi"/>
        </w:rPr>
      </w:pPr>
    </w:p>
    <w:p w:rsidR="00E15B48" w:rsidRPr="003A2EA3" w:rsidRDefault="00E15B48" w:rsidP="001443C9">
      <w:pPr>
        <w:pStyle w:val="NoSpacing"/>
        <w:ind w:left="851"/>
        <w:rPr>
          <w:rFonts w:asciiTheme="minorHAnsi" w:hAnsiTheme="minorHAnsi" w:cs="Arial"/>
          <w:i/>
          <w:sz w:val="24"/>
          <w:szCs w:val="24"/>
        </w:rPr>
      </w:pPr>
      <w:r w:rsidRPr="003A2EA3">
        <w:rPr>
          <w:rFonts w:asciiTheme="minorHAnsi" w:hAnsiTheme="minorHAnsi" w:cs="Arial"/>
          <w:i/>
          <w:sz w:val="24"/>
          <w:szCs w:val="24"/>
        </w:rPr>
        <w:t>For more detail on PBAC’s view, see section 7 “PBAC outcome.”</w:t>
      </w:r>
    </w:p>
    <w:p w:rsidR="008A1956" w:rsidRPr="003A2EA3" w:rsidRDefault="008A1956" w:rsidP="00476245">
      <w:pPr>
        <w:jc w:val="both"/>
        <w:rPr>
          <w:rFonts w:asciiTheme="minorHAnsi" w:hAnsiTheme="minorHAnsi"/>
        </w:rPr>
      </w:pPr>
    </w:p>
    <w:p w:rsidR="000B558D" w:rsidRPr="003A2EA3" w:rsidRDefault="008D7A41" w:rsidP="008A50F1">
      <w:pPr>
        <w:pStyle w:val="PBACHeading1"/>
        <w:rPr>
          <w:rFonts w:asciiTheme="minorHAnsi" w:hAnsiTheme="minorHAnsi"/>
          <w:sz w:val="32"/>
          <w:szCs w:val="32"/>
        </w:rPr>
      </w:pPr>
      <w:r w:rsidRPr="003A2EA3">
        <w:rPr>
          <w:rFonts w:asciiTheme="minorHAnsi" w:hAnsiTheme="minorHAnsi"/>
          <w:sz w:val="32"/>
          <w:szCs w:val="32"/>
        </w:rPr>
        <w:t>C</w:t>
      </w:r>
      <w:r w:rsidR="00D84934" w:rsidRPr="003A2EA3">
        <w:rPr>
          <w:rFonts w:asciiTheme="minorHAnsi" w:hAnsiTheme="minorHAnsi"/>
          <w:sz w:val="32"/>
          <w:szCs w:val="32"/>
        </w:rPr>
        <w:t>onsideration of the evidence</w:t>
      </w:r>
    </w:p>
    <w:p w:rsidR="00E15B48" w:rsidRPr="003A2EA3" w:rsidRDefault="00E15B48" w:rsidP="00E15B48">
      <w:pPr>
        <w:widowControl w:val="0"/>
        <w:spacing w:before="240" w:after="120" w:line="276" w:lineRule="auto"/>
        <w:jc w:val="both"/>
        <w:rPr>
          <w:rFonts w:asciiTheme="minorHAnsi" w:hAnsiTheme="minorHAnsi" w:cs="Arial"/>
          <w:b/>
          <w:bCs/>
          <w:i/>
          <w:snapToGrid w:val="0"/>
          <w:sz w:val="28"/>
          <w:szCs w:val="28"/>
        </w:rPr>
      </w:pPr>
      <w:r w:rsidRPr="003A2EA3">
        <w:rPr>
          <w:rFonts w:asciiTheme="minorHAnsi" w:hAnsiTheme="minorHAnsi" w:cs="Arial"/>
          <w:b/>
          <w:bCs/>
          <w:i/>
          <w:snapToGrid w:val="0"/>
          <w:sz w:val="28"/>
          <w:szCs w:val="28"/>
        </w:rPr>
        <w:t>Sponsor hearing</w:t>
      </w:r>
    </w:p>
    <w:p w:rsidR="00E15B48" w:rsidRPr="003A2EA3" w:rsidRDefault="00E15B48" w:rsidP="0047714C">
      <w:pPr>
        <w:widowControl w:val="0"/>
        <w:numPr>
          <w:ilvl w:val="1"/>
          <w:numId w:val="5"/>
        </w:numPr>
        <w:jc w:val="both"/>
        <w:rPr>
          <w:rFonts w:asciiTheme="minorHAnsi" w:hAnsiTheme="minorHAnsi" w:cs="Arial"/>
          <w:bCs/>
          <w:snapToGrid w:val="0"/>
        </w:rPr>
      </w:pPr>
      <w:r w:rsidRPr="003A2EA3">
        <w:rPr>
          <w:rFonts w:asciiTheme="minorHAnsi" w:hAnsiTheme="minorHAnsi" w:cs="Arial"/>
          <w:bCs/>
          <w:snapToGrid w:val="0"/>
        </w:rPr>
        <w:t>There was no hearing for this ite</w:t>
      </w:r>
      <w:r w:rsidR="00FC485F" w:rsidRPr="003A2EA3">
        <w:rPr>
          <w:rFonts w:asciiTheme="minorHAnsi" w:hAnsiTheme="minorHAnsi" w:cs="Arial"/>
          <w:bCs/>
          <w:snapToGrid w:val="0"/>
        </w:rPr>
        <w:t>m as it was a minor submission.</w:t>
      </w:r>
    </w:p>
    <w:p w:rsidR="00E15B48" w:rsidRPr="003A2EA3" w:rsidRDefault="00E15B48" w:rsidP="00E15B48">
      <w:pPr>
        <w:widowControl w:val="0"/>
        <w:spacing w:before="240" w:after="120" w:line="276" w:lineRule="auto"/>
        <w:jc w:val="both"/>
        <w:rPr>
          <w:rFonts w:asciiTheme="minorHAnsi" w:hAnsiTheme="minorHAnsi" w:cs="Arial"/>
          <w:b/>
          <w:bCs/>
          <w:i/>
          <w:snapToGrid w:val="0"/>
          <w:sz w:val="28"/>
          <w:szCs w:val="28"/>
        </w:rPr>
      </w:pPr>
      <w:r w:rsidRPr="003A2EA3">
        <w:rPr>
          <w:rFonts w:asciiTheme="minorHAnsi" w:hAnsiTheme="minorHAnsi" w:cs="Arial"/>
          <w:b/>
          <w:bCs/>
          <w:i/>
          <w:snapToGrid w:val="0"/>
          <w:sz w:val="28"/>
          <w:szCs w:val="28"/>
        </w:rPr>
        <w:t>Consumer comments</w:t>
      </w:r>
    </w:p>
    <w:p w:rsidR="00E15B48" w:rsidRPr="003A2EA3" w:rsidRDefault="00E15B48" w:rsidP="0047714C">
      <w:pPr>
        <w:widowControl w:val="0"/>
        <w:numPr>
          <w:ilvl w:val="1"/>
          <w:numId w:val="5"/>
        </w:numPr>
        <w:jc w:val="both"/>
        <w:rPr>
          <w:rFonts w:asciiTheme="minorHAnsi" w:hAnsiTheme="minorHAnsi" w:cs="Arial"/>
          <w:bCs/>
          <w:snapToGrid w:val="0"/>
        </w:rPr>
      </w:pPr>
      <w:r w:rsidRPr="003A2EA3">
        <w:rPr>
          <w:rFonts w:asciiTheme="minorHAnsi" w:hAnsiTheme="minorHAnsi" w:cs="Arial"/>
          <w:bCs/>
          <w:snapToGrid w:val="0"/>
        </w:rPr>
        <w:t>The PBAC noted and welcomed the input from individuals (</w:t>
      </w:r>
      <w:r w:rsidR="00FC485F" w:rsidRPr="003A2EA3">
        <w:rPr>
          <w:rFonts w:asciiTheme="minorHAnsi" w:hAnsiTheme="minorHAnsi" w:cs="Arial"/>
          <w:bCs/>
          <w:snapToGrid w:val="0"/>
        </w:rPr>
        <w:t>2) and organisations (2</w:t>
      </w:r>
      <w:r w:rsidRPr="003A2EA3">
        <w:rPr>
          <w:rFonts w:asciiTheme="minorHAnsi" w:hAnsiTheme="minorHAnsi" w:cs="Arial"/>
          <w:bCs/>
          <w:snapToGrid w:val="0"/>
        </w:rPr>
        <w:t xml:space="preserve">) via the Consumer Comments facility on the PBS website.  The comments described a range of benefits of treatment with </w:t>
      </w:r>
      <w:proofErr w:type="spellStart"/>
      <w:r w:rsidR="00FC485F" w:rsidRPr="003A2EA3">
        <w:rPr>
          <w:rFonts w:asciiTheme="minorHAnsi" w:hAnsiTheme="minorHAnsi" w:cs="Arial"/>
          <w:bCs/>
          <w:snapToGrid w:val="0"/>
        </w:rPr>
        <w:t>venetoclax</w:t>
      </w:r>
      <w:proofErr w:type="spellEnd"/>
      <w:r w:rsidR="00FC485F" w:rsidRPr="003A2EA3">
        <w:rPr>
          <w:rFonts w:asciiTheme="minorHAnsi" w:hAnsiTheme="minorHAnsi" w:cs="Arial"/>
          <w:bCs/>
          <w:snapToGrid w:val="0"/>
        </w:rPr>
        <w:t xml:space="preserve"> </w:t>
      </w:r>
      <w:r w:rsidRPr="003A2EA3">
        <w:rPr>
          <w:rFonts w:asciiTheme="minorHAnsi" w:hAnsiTheme="minorHAnsi" w:cs="Arial"/>
          <w:bCs/>
          <w:snapToGrid w:val="0"/>
        </w:rPr>
        <w:t xml:space="preserve">including the </w:t>
      </w:r>
      <w:r w:rsidR="00FC485F" w:rsidRPr="003A2EA3">
        <w:rPr>
          <w:rFonts w:asciiTheme="minorHAnsi" w:hAnsiTheme="minorHAnsi" w:cs="Arial"/>
          <w:bCs/>
          <w:snapToGrid w:val="0"/>
        </w:rPr>
        <w:t>opportunity to extend the length and quality of life and a possible cure</w:t>
      </w:r>
      <w:r w:rsidR="00F144AD" w:rsidRPr="003A2EA3">
        <w:rPr>
          <w:rFonts w:asciiTheme="minorHAnsi" w:hAnsiTheme="minorHAnsi" w:cs="Arial"/>
          <w:bCs/>
          <w:snapToGrid w:val="0"/>
        </w:rPr>
        <w:t xml:space="preserve"> </w:t>
      </w:r>
      <w:r w:rsidR="00FC485F" w:rsidRPr="003A2EA3">
        <w:rPr>
          <w:rFonts w:asciiTheme="minorHAnsi" w:hAnsiTheme="minorHAnsi" w:cs="Arial"/>
          <w:bCs/>
          <w:snapToGrid w:val="0"/>
        </w:rPr>
        <w:t>in CLL negating the need for a stem cell transplant</w:t>
      </w:r>
      <w:r w:rsidR="00F144AD" w:rsidRPr="003A2EA3">
        <w:rPr>
          <w:rFonts w:asciiTheme="minorHAnsi" w:hAnsiTheme="minorHAnsi" w:cs="Arial"/>
          <w:bCs/>
          <w:snapToGrid w:val="0"/>
        </w:rPr>
        <w:t xml:space="preserve"> (</w:t>
      </w:r>
      <w:r w:rsidR="00415BDB" w:rsidRPr="003A2EA3">
        <w:rPr>
          <w:rFonts w:asciiTheme="minorHAnsi" w:hAnsiTheme="minorHAnsi" w:cs="Arial"/>
          <w:bCs/>
          <w:snapToGrid w:val="0"/>
        </w:rPr>
        <w:t xml:space="preserve">however, </w:t>
      </w:r>
      <w:r w:rsidR="004E1A64" w:rsidRPr="003A2EA3">
        <w:rPr>
          <w:rFonts w:asciiTheme="minorHAnsi" w:hAnsiTheme="minorHAnsi" w:cs="Arial"/>
          <w:bCs/>
          <w:snapToGrid w:val="0"/>
        </w:rPr>
        <w:t xml:space="preserve">the PBAC considered that </w:t>
      </w:r>
      <w:r w:rsidR="000D435E" w:rsidRPr="003A2EA3">
        <w:rPr>
          <w:rFonts w:asciiTheme="minorHAnsi" w:hAnsiTheme="minorHAnsi" w:cs="Arial"/>
          <w:bCs/>
          <w:snapToGrid w:val="0"/>
        </w:rPr>
        <w:t xml:space="preserve">this </w:t>
      </w:r>
      <w:r w:rsidR="004E1A64" w:rsidRPr="003A2EA3">
        <w:rPr>
          <w:rFonts w:asciiTheme="minorHAnsi" w:hAnsiTheme="minorHAnsi" w:cs="Arial"/>
          <w:bCs/>
          <w:snapToGrid w:val="0"/>
        </w:rPr>
        <w:t xml:space="preserve">last </w:t>
      </w:r>
      <w:r w:rsidR="000D435E" w:rsidRPr="003A2EA3">
        <w:rPr>
          <w:rFonts w:asciiTheme="minorHAnsi" w:hAnsiTheme="minorHAnsi" w:cs="Arial"/>
          <w:bCs/>
          <w:snapToGrid w:val="0"/>
        </w:rPr>
        <w:t xml:space="preserve">possibility </w:t>
      </w:r>
      <w:r w:rsidR="004E1A64" w:rsidRPr="003A2EA3">
        <w:rPr>
          <w:rFonts w:asciiTheme="minorHAnsi" w:hAnsiTheme="minorHAnsi" w:cs="Arial"/>
          <w:bCs/>
          <w:snapToGrid w:val="0"/>
        </w:rPr>
        <w:t xml:space="preserve">of a cure </w:t>
      </w:r>
      <w:r w:rsidR="000D435E" w:rsidRPr="003A2EA3">
        <w:rPr>
          <w:rFonts w:asciiTheme="minorHAnsi" w:hAnsiTheme="minorHAnsi" w:cs="Arial"/>
          <w:bCs/>
          <w:snapToGrid w:val="0"/>
        </w:rPr>
        <w:t xml:space="preserve">was </w:t>
      </w:r>
      <w:r w:rsidR="00F144AD" w:rsidRPr="003A2EA3">
        <w:rPr>
          <w:rFonts w:asciiTheme="minorHAnsi" w:hAnsiTheme="minorHAnsi" w:cs="Arial"/>
          <w:bCs/>
          <w:snapToGrid w:val="0"/>
        </w:rPr>
        <w:t xml:space="preserve">not supported by </w:t>
      </w:r>
      <w:r w:rsidR="000D435E" w:rsidRPr="003A2EA3">
        <w:rPr>
          <w:rFonts w:asciiTheme="minorHAnsi" w:hAnsiTheme="minorHAnsi" w:cs="Arial"/>
          <w:bCs/>
          <w:snapToGrid w:val="0"/>
        </w:rPr>
        <w:t xml:space="preserve">the available </w:t>
      </w:r>
      <w:r w:rsidR="00F144AD" w:rsidRPr="003A2EA3">
        <w:rPr>
          <w:rFonts w:asciiTheme="minorHAnsi" w:hAnsiTheme="minorHAnsi" w:cs="Arial"/>
          <w:bCs/>
          <w:snapToGrid w:val="0"/>
        </w:rPr>
        <w:t>evidence)</w:t>
      </w:r>
      <w:r w:rsidR="00FC485F" w:rsidRPr="003A2EA3">
        <w:rPr>
          <w:rFonts w:asciiTheme="minorHAnsi" w:hAnsiTheme="minorHAnsi" w:cs="Arial"/>
          <w:bCs/>
          <w:snapToGrid w:val="0"/>
        </w:rPr>
        <w:t>.</w:t>
      </w:r>
    </w:p>
    <w:p w:rsidR="0047714C" w:rsidRPr="003A2EA3" w:rsidRDefault="0047714C" w:rsidP="0047714C">
      <w:pPr>
        <w:widowControl w:val="0"/>
        <w:jc w:val="both"/>
        <w:rPr>
          <w:rFonts w:asciiTheme="minorHAnsi" w:hAnsiTheme="minorHAnsi" w:cs="Arial"/>
          <w:bCs/>
          <w:snapToGrid w:val="0"/>
        </w:rPr>
      </w:pPr>
    </w:p>
    <w:p w:rsidR="00E15B48" w:rsidRPr="003A2EA3" w:rsidRDefault="00E15B48" w:rsidP="0047714C">
      <w:pPr>
        <w:widowControl w:val="0"/>
        <w:numPr>
          <w:ilvl w:val="1"/>
          <w:numId w:val="5"/>
        </w:numPr>
        <w:jc w:val="both"/>
        <w:rPr>
          <w:rFonts w:asciiTheme="minorHAnsi" w:hAnsiTheme="minorHAnsi" w:cs="Arial"/>
          <w:bCs/>
          <w:snapToGrid w:val="0"/>
        </w:rPr>
      </w:pPr>
      <w:r w:rsidRPr="003A2EA3">
        <w:rPr>
          <w:rFonts w:asciiTheme="minorHAnsi" w:hAnsiTheme="minorHAnsi" w:cs="Arial"/>
          <w:bCs/>
          <w:snapToGrid w:val="0"/>
        </w:rPr>
        <w:t xml:space="preserve">The PBAC noted the </w:t>
      </w:r>
      <w:r w:rsidR="00E8217C" w:rsidRPr="003A2EA3">
        <w:rPr>
          <w:rFonts w:asciiTheme="minorHAnsi" w:hAnsiTheme="minorHAnsi" w:cs="Arial"/>
          <w:bCs/>
          <w:snapToGrid w:val="0"/>
        </w:rPr>
        <w:t xml:space="preserve">support </w:t>
      </w:r>
      <w:r w:rsidRPr="003A2EA3">
        <w:rPr>
          <w:rFonts w:asciiTheme="minorHAnsi" w:hAnsiTheme="minorHAnsi" w:cs="Arial"/>
          <w:bCs/>
          <w:snapToGrid w:val="0"/>
        </w:rPr>
        <w:t xml:space="preserve">received from </w:t>
      </w:r>
      <w:r w:rsidR="000D435E" w:rsidRPr="003A2EA3">
        <w:rPr>
          <w:rFonts w:asciiTheme="minorHAnsi" w:hAnsiTheme="minorHAnsi" w:cs="Arial"/>
          <w:bCs/>
          <w:snapToGrid w:val="0"/>
        </w:rPr>
        <w:t>L</w:t>
      </w:r>
      <w:r w:rsidR="00E8217C" w:rsidRPr="003A2EA3">
        <w:rPr>
          <w:rFonts w:asciiTheme="minorHAnsi" w:hAnsiTheme="minorHAnsi" w:cs="Arial"/>
          <w:bCs/>
          <w:snapToGrid w:val="0"/>
        </w:rPr>
        <w:t>ymphoma Australia and Rare Cancers Australia</w:t>
      </w:r>
      <w:r w:rsidRPr="003A2EA3">
        <w:rPr>
          <w:rFonts w:asciiTheme="minorHAnsi" w:hAnsiTheme="minorHAnsi" w:cs="Arial"/>
          <w:bCs/>
          <w:snapToGrid w:val="0"/>
        </w:rPr>
        <w:t xml:space="preserve"> </w:t>
      </w:r>
      <w:r w:rsidR="00E8217C" w:rsidRPr="003A2EA3">
        <w:rPr>
          <w:rFonts w:asciiTheme="minorHAnsi" w:hAnsiTheme="minorHAnsi" w:cs="Arial"/>
          <w:bCs/>
          <w:snapToGrid w:val="0"/>
        </w:rPr>
        <w:t>detailing some of the benefits</w:t>
      </w:r>
      <w:r w:rsidR="004938BB" w:rsidRPr="003A2EA3">
        <w:rPr>
          <w:rFonts w:asciiTheme="minorHAnsi" w:hAnsiTheme="minorHAnsi" w:cs="Arial"/>
          <w:bCs/>
          <w:snapToGrid w:val="0"/>
        </w:rPr>
        <w:t>, including the extension of life and improvement in quality of life</w:t>
      </w:r>
      <w:r w:rsidR="00E8217C" w:rsidRPr="003A2EA3">
        <w:rPr>
          <w:rFonts w:asciiTheme="minorHAnsi" w:hAnsiTheme="minorHAnsi" w:cs="Arial"/>
          <w:bCs/>
          <w:snapToGrid w:val="0"/>
        </w:rPr>
        <w:t xml:space="preserve"> that could be expected from listing of </w:t>
      </w:r>
      <w:proofErr w:type="spellStart"/>
      <w:r w:rsidR="00E8217C" w:rsidRPr="003A2EA3">
        <w:rPr>
          <w:rFonts w:asciiTheme="minorHAnsi" w:hAnsiTheme="minorHAnsi" w:cs="Arial"/>
          <w:bCs/>
          <w:snapToGrid w:val="0"/>
        </w:rPr>
        <w:t>venetoclax</w:t>
      </w:r>
      <w:proofErr w:type="spellEnd"/>
      <w:r w:rsidR="00E8217C" w:rsidRPr="003A2EA3">
        <w:rPr>
          <w:rFonts w:asciiTheme="minorHAnsi" w:hAnsiTheme="minorHAnsi" w:cs="Arial"/>
          <w:bCs/>
          <w:snapToGrid w:val="0"/>
        </w:rPr>
        <w:t xml:space="preserve"> for the treatment of CLL.</w:t>
      </w:r>
    </w:p>
    <w:p w:rsidR="00BB7EC3" w:rsidRPr="003A2EA3" w:rsidRDefault="00BB7EC3" w:rsidP="00F9629A">
      <w:pPr>
        <w:jc w:val="both"/>
        <w:rPr>
          <w:rFonts w:asciiTheme="minorHAnsi" w:hAnsiTheme="minorHAnsi"/>
        </w:rPr>
      </w:pPr>
    </w:p>
    <w:p w:rsidR="00D84934" w:rsidRPr="003A2EA3" w:rsidRDefault="00D84934" w:rsidP="00B1059E">
      <w:pPr>
        <w:pStyle w:val="Heading2"/>
        <w:rPr>
          <w:rFonts w:asciiTheme="minorHAnsi" w:hAnsiTheme="minorHAnsi"/>
          <w:sz w:val="28"/>
          <w:szCs w:val="28"/>
        </w:rPr>
      </w:pPr>
      <w:r w:rsidRPr="003A2EA3">
        <w:rPr>
          <w:rFonts w:asciiTheme="minorHAnsi" w:hAnsiTheme="minorHAnsi"/>
          <w:sz w:val="28"/>
          <w:szCs w:val="28"/>
        </w:rPr>
        <w:t>Clinical trials</w:t>
      </w:r>
    </w:p>
    <w:p w:rsidR="00D84934" w:rsidRPr="003A2EA3" w:rsidRDefault="00D84934" w:rsidP="00F9629A">
      <w:pPr>
        <w:jc w:val="both"/>
        <w:rPr>
          <w:rFonts w:asciiTheme="minorHAnsi" w:hAnsiTheme="minorHAnsi"/>
        </w:rPr>
      </w:pPr>
    </w:p>
    <w:p w:rsidR="0076420C" w:rsidRPr="003A2EA3" w:rsidRDefault="0076420C" w:rsidP="008A50F1">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As a minor submission, no new clinical trials </w:t>
      </w:r>
      <w:r w:rsidR="00FF2801" w:rsidRPr="003A2EA3">
        <w:rPr>
          <w:rFonts w:asciiTheme="minorHAnsi" w:hAnsiTheme="minorHAnsi"/>
          <w:sz w:val="24"/>
          <w:szCs w:val="24"/>
        </w:rPr>
        <w:t>were</w:t>
      </w:r>
      <w:r w:rsidR="009B79A8" w:rsidRPr="003A2EA3">
        <w:rPr>
          <w:rFonts w:asciiTheme="minorHAnsi" w:hAnsiTheme="minorHAnsi"/>
          <w:sz w:val="24"/>
          <w:szCs w:val="24"/>
        </w:rPr>
        <w:t xml:space="preserve"> presented in the </w:t>
      </w:r>
      <w:r w:rsidRPr="003A2EA3">
        <w:rPr>
          <w:rFonts w:asciiTheme="minorHAnsi" w:hAnsiTheme="minorHAnsi"/>
          <w:sz w:val="24"/>
          <w:szCs w:val="24"/>
        </w:rPr>
        <w:t>resubmission.</w:t>
      </w:r>
    </w:p>
    <w:p w:rsidR="0076420C" w:rsidRPr="003A2EA3" w:rsidRDefault="0076420C" w:rsidP="00FD62E5">
      <w:pPr>
        <w:rPr>
          <w:rFonts w:asciiTheme="minorHAnsi" w:hAnsiTheme="minorHAnsi"/>
        </w:rPr>
      </w:pPr>
    </w:p>
    <w:p w:rsidR="0076420C" w:rsidRPr="003A2EA3" w:rsidRDefault="0076420C" w:rsidP="00C23918">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basis of the minor </w:t>
      </w:r>
      <w:r w:rsidR="00FD62E5" w:rsidRPr="003A2EA3">
        <w:rPr>
          <w:rFonts w:asciiTheme="minorHAnsi" w:hAnsiTheme="minorHAnsi"/>
          <w:sz w:val="24"/>
          <w:szCs w:val="24"/>
        </w:rPr>
        <w:t>re</w:t>
      </w:r>
      <w:r w:rsidRPr="003A2EA3">
        <w:rPr>
          <w:rFonts w:asciiTheme="minorHAnsi" w:hAnsiTheme="minorHAnsi"/>
          <w:sz w:val="24"/>
          <w:szCs w:val="24"/>
        </w:rPr>
        <w:t xml:space="preserve">submission’s request </w:t>
      </w:r>
      <w:r w:rsidR="00FF2801" w:rsidRPr="003A2EA3">
        <w:rPr>
          <w:rFonts w:asciiTheme="minorHAnsi" w:hAnsiTheme="minorHAnsi"/>
          <w:sz w:val="24"/>
          <w:szCs w:val="24"/>
        </w:rPr>
        <w:t>wa</w:t>
      </w:r>
      <w:r w:rsidRPr="003A2EA3">
        <w:rPr>
          <w:rFonts w:asciiTheme="minorHAnsi" w:hAnsiTheme="minorHAnsi"/>
          <w:sz w:val="24"/>
          <w:szCs w:val="24"/>
        </w:rPr>
        <w:t>s</w:t>
      </w:r>
      <w:r w:rsidR="00C57A96" w:rsidRPr="003A2EA3">
        <w:rPr>
          <w:rFonts w:asciiTheme="minorHAnsi" w:hAnsiTheme="minorHAnsi"/>
          <w:sz w:val="24"/>
          <w:szCs w:val="24"/>
        </w:rPr>
        <w:t xml:space="preserve"> a change in </w:t>
      </w:r>
      <w:r w:rsidR="00F57F4F" w:rsidRPr="003A2EA3">
        <w:rPr>
          <w:rFonts w:asciiTheme="minorHAnsi" w:hAnsiTheme="minorHAnsi"/>
          <w:sz w:val="24"/>
          <w:szCs w:val="24"/>
        </w:rPr>
        <w:t xml:space="preserve">the proposed </w:t>
      </w:r>
      <w:r w:rsidR="00C57A96" w:rsidRPr="003A2EA3">
        <w:rPr>
          <w:rFonts w:asciiTheme="minorHAnsi" w:hAnsiTheme="minorHAnsi"/>
          <w:sz w:val="24"/>
          <w:szCs w:val="24"/>
        </w:rPr>
        <w:t>comparator</w:t>
      </w:r>
      <w:r w:rsidR="009564F3" w:rsidRPr="003A2EA3">
        <w:rPr>
          <w:rFonts w:asciiTheme="minorHAnsi" w:hAnsiTheme="minorHAnsi"/>
          <w:sz w:val="24"/>
          <w:szCs w:val="24"/>
        </w:rPr>
        <w:t xml:space="preserve"> in the 17p deletion population</w:t>
      </w:r>
      <w:r w:rsidR="00C57A96" w:rsidRPr="003A2EA3">
        <w:rPr>
          <w:rFonts w:asciiTheme="minorHAnsi" w:hAnsiTheme="minorHAnsi"/>
          <w:sz w:val="24"/>
          <w:szCs w:val="24"/>
        </w:rPr>
        <w:t xml:space="preserve"> to </w:t>
      </w:r>
      <w:proofErr w:type="spellStart"/>
      <w:r w:rsidR="000D435E" w:rsidRPr="003A2EA3">
        <w:rPr>
          <w:rFonts w:asciiTheme="minorHAnsi" w:hAnsiTheme="minorHAnsi"/>
          <w:sz w:val="24"/>
          <w:szCs w:val="24"/>
        </w:rPr>
        <w:t>ibrutinib</w:t>
      </w:r>
      <w:proofErr w:type="spellEnd"/>
      <w:r w:rsidR="000D435E" w:rsidRPr="003A2EA3">
        <w:rPr>
          <w:rFonts w:asciiTheme="minorHAnsi" w:hAnsiTheme="minorHAnsi"/>
          <w:sz w:val="24"/>
          <w:szCs w:val="24"/>
        </w:rPr>
        <w:t>, which was</w:t>
      </w:r>
      <w:r w:rsidR="00C57A96" w:rsidRPr="003A2EA3">
        <w:rPr>
          <w:rFonts w:asciiTheme="minorHAnsi" w:hAnsiTheme="minorHAnsi"/>
          <w:sz w:val="24"/>
          <w:szCs w:val="24"/>
        </w:rPr>
        <w:t xml:space="preserve"> recently</w:t>
      </w:r>
      <w:r w:rsidR="00635925" w:rsidRPr="003A2EA3">
        <w:rPr>
          <w:rFonts w:asciiTheme="minorHAnsi" w:hAnsiTheme="minorHAnsi"/>
          <w:sz w:val="24"/>
          <w:szCs w:val="24"/>
        </w:rPr>
        <w:t xml:space="preserve"> </w:t>
      </w:r>
      <w:r w:rsidR="00C57A96" w:rsidRPr="003A2EA3">
        <w:rPr>
          <w:rFonts w:asciiTheme="minorHAnsi" w:hAnsiTheme="minorHAnsi"/>
          <w:sz w:val="24"/>
          <w:szCs w:val="24"/>
        </w:rPr>
        <w:t xml:space="preserve">recommended </w:t>
      </w:r>
      <w:r w:rsidR="000D435E" w:rsidRPr="003A2EA3">
        <w:rPr>
          <w:rFonts w:asciiTheme="minorHAnsi" w:hAnsiTheme="minorHAnsi"/>
          <w:sz w:val="24"/>
          <w:szCs w:val="24"/>
        </w:rPr>
        <w:t>by the PBAC for relapsed or refractory CLL</w:t>
      </w:r>
      <w:r w:rsidR="009564F3" w:rsidRPr="003A2EA3">
        <w:rPr>
          <w:rFonts w:asciiTheme="minorHAnsi" w:hAnsiTheme="minorHAnsi"/>
          <w:sz w:val="24"/>
          <w:szCs w:val="24"/>
        </w:rPr>
        <w:t>.</w:t>
      </w:r>
    </w:p>
    <w:p w:rsidR="00BB7EC3" w:rsidRPr="003A2EA3" w:rsidRDefault="00BB7EC3" w:rsidP="009B0F67">
      <w:pPr>
        <w:jc w:val="both"/>
        <w:rPr>
          <w:rFonts w:asciiTheme="minorHAnsi" w:hAnsiTheme="minorHAnsi"/>
        </w:rPr>
      </w:pPr>
    </w:p>
    <w:p w:rsidR="005A3173" w:rsidRPr="003A2EA3" w:rsidRDefault="005A3173" w:rsidP="00B1059E">
      <w:pPr>
        <w:pStyle w:val="Heading2"/>
        <w:rPr>
          <w:rFonts w:asciiTheme="minorHAnsi" w:hAnsiTheme="minorHAnsi"/>
          <w:sz w:val="28"/>
          <w:szCs w:val="28"/>
        </w:rPr>
      </w:pPr>
      <w:r w:rsidRPr="003A2EA3">
        <w:rPr>
          <w:rFonts w:asciiTheme="minorHAnsi" w:hAnsiTheme="minorHAnsi"/>
          <w:sz w:val="28"/>
          <w:szCs w:val="28"/>
        </w:rPr>
        <w:t>Comparative effectiveness</w:t>
      </w:r>
    </w:p>
    <w:p w:rsidR="005A3173" w:rsidRPr="003A2EA3" w:rsidRDefault="005A3173" w:rsidP="00882085">
      <w:pPr>
        <w:jc w:val="both"/>
        <w:rPr>
          <w:rFonts w:asciiTheme="minorHAnsi" w:hAnsiTheme="minorHAnsi"/>
        </w:rPr>
      </w:pPr>
    </w:p>
    <w:p w:rsidR="009B0F67" w:rsidRPr="003A2EA3" w:rsidRDefault="009B0F67" w:rsidP="00C57A96">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trial results remain unchanged from the previous major submission considered in </w:t>
      </w:r>
      <w:r w:rsidR="00C57A96" w:rsidRPr="003A2EA3">
        <w:rPr>
          <w:rFonts w:asciiTheme="minorHAnsi" w:hAnsiTheme="minorHAnsi"/>
          <w:sz w:val="24"/>
          <w:szCs w:val="24"/>
        </w:rPr>
        <w:t>March 2017</w:t>
      </w:r>
      <w:r w:rsidRPr="003A2EA3">
        <w:rPr>
          <w:rFonts w:asciiTheme="minorHAnsi" w:hAnsiTheme="minorHAnsi"/>
          <w:sz w:val="24"/>
          <w:szCs w:val="24"/>
        </w:rPr>
        <w:t xml:space="preserve">. The results from </w:t>
      </w:r>
      <w:r w:rsidR="00F144AD" w:rsidRPr="003A2EA3">
        <w:rPr>
          <w:rFonts w:asciiTheme="minorHAnsi" w:hAnsiTheme="minorHAnsi"/>
          <w:sz w:val="24"/>
          <w:szCs w:val="24"/>
        </w:rPr>
        <w:t xml:space="preserve">indirect comparison in </w:t>
      </w:r>
      <w:r w:rsidRPr="003A2EA3">
        <w:rPr>
          <w:rFonts w:asciiTheme="minorHAnsi" w:hAnsiTheme="minorHAnsi"/>
          <w:sz w:val="24"/>
          <w:szCs w:val="24"/>
        </w:rPr>
        <w:t xml:space="preserve">the </w:t>
      </w:r>
      <w:r w:rsidR="00C57A96" w:rsidRPr="003A2EA3">
        <w:rPr>
          <w:rFonts w:asciiTheme="minorHAnsi" w:hAnsiTheme="minorHAnsi"/>
          <w:sz w:val="24"/>
          <w:szCs w:val="24"/>
        </w:rPr>
        <w:t>March 2017</w:t>
      </w:r>
      <w:r w:rsidRPr="003A2EA3">
        <w:rPr>
          <w:rFonts w:asciiTheme="minorHAnsi" w:hAnsiTheme="minorHAnsi"/>
          <w:sz w:val="24"/>
          <w:szCs w:val="24"/>
        </w:rPr>
        <w:t xml:space="preserve"> submission</w:t>
      </w:r>
      <w:r w:rsidR="00E517B1" w:rsidRPr="003A2EA3">
        <w:rPr>
          <w:rFonts w:asciiTheme="minorHAnsi" w:hAnsiTheme="minorHAnsi"/>
          <w:sz w:val="24"/>
          <w:szCs w:val="24"/>
        </w:rPr>
        <w:t xml:space="preserve"> </w:t>
      </w:r>
      <w:r w:rsidR="00F144AD" w:rsidRPr="003A2EA3">
        <w:rPr>
          <w:rFonts w:asciiTheme="minorHAnsi" w:hAnsiTheme="minorHAnsi"/>
          <w:sz w:val="24"/>
          <w:szCs w:val="24"/>
        </w:rPr>
        <w:t>for</w:t>
      </w:r>
      <w:r w:rsidR="00E517B1" w:rsidRPr="003A2EA3">
        <w:rPr>
          <w:rFonts w:asciiTheme="minorHAnsi" w:hAnsiTheme="minorHAnsi"/>
          <w:sz w:val="24"/>
          <w:szCs w:val="24"/>
        </w:rPr>
        <w:t xml:space="preserve"> the 17p deletion population vers</w:t>
      </w:r>
      <w:r w:rsidR="0088062D">
        <w:rPr>
          <w:rFonts w:asciiTheme="minorHAnsi" w:hAnsiTheme="minorHAnsi"/>
          <w:sz w:val="24"/>
          <w:szCs w:val="24"/>
        </w:rPr>
        <w:t>u</w:t>
      </w:r>
      <w:r w:rsidR="00E517B1" w:rsidRPr="003A2EA3">
        <w:rPr>
          <w:rFonts w:asciiTheme="minorHAnsi" w:hAnsiTheme="minorHAnsi"/>
          <w:sz w:val="24"/>
          <w:szCs w:val="24"/>
        </w:rPr>
        <w:t xml:space="preserve">s </w:t>
      </w:r>
      <w:proofErr w:type="spellStart"/>
      <w:r w:rsidR="00E517B1" w:rsidRPr="003A2EA3">
        <w:rPr>
          <w:rFonts w:asciiTheme="minorHAnsi" w:hAnsiTheme="minorHAnsi"/>
          <w:sz w:val="24"/>
          <w:szCs w:val="24"/>
        </w:rPr>
        <w:t>ibrutinib</w:t>
      </w:r>
      <w:proofErr w:type="spellEnd"/>
      <w:r w:rsidR="00E517B1" w:rsidRPr="003A2EA3">
        <w:rPr>
          <w:rFonts w:asciiTheme="minorHAnsi" w:hAnsiTheme="minorHAnsi"/>
          <w:sz w:val="24"/>
          <w:szCs w:val="24"/>
        </w:rPr>
        <w:t xml:space="preserve"> are repeated below.</w:t>
      </w:r>
    </w:p>
    <w:p w:rsidR="000F0D8A" w:rsidRPr="003A2EA3" w:rsidRDefault="000F0D8A" w:rsidP="006D7118">
      <w:pPr>
        <w:rPr>
          <w:rFonts w:asciiTheme="minorHAnsi" w:hAnsiTheme="minorHAnsi"/>
        </w:rPr>
      </w:pPr>
      <w:bookmarkStart w:id="1" w:name="_GoBack"/>
      <w:bookmarkEnd w:id="1"/>
    </w:p>
    <w:p w:rsidR="00973368" w:rsidRDefault="00973368">
      <w:pPr>
        <w:rPr>
          <w:rFonts w:ascii="Arial Narrow" w:hAnsi="Arial Narrow"/>
          <w:b/>
          <w:bCs/>
          <w:sz w:val="20"/>
          <w:szCs w:val="22"/>
        </w:rPr>
      </w:pPr>
      <w:r>
        <w:br w:type="page"/>
      </w:r>
    </w:p>
    <w:p w:rsidR="000F0D8A" w:rsidRDefault="000F0D8A" w:rsidP="000F0D8A">
      <w:pPr>
        <w:pStyle w:val="Caption"/>
      </w:pPr>
      <w:proofErr w:type="gramStart"/>
      <w:r>
        <w:t xml:space="preserve">Table </w:t>
      </w:r>
      <w:r>
        <w:rPr>
          <w:noProof/>
        </w:rPr>
        <w:t>2</w:t>
      </w:r>
      <w:r w:rsidRPr="00D50D49">
        <w:t>.</w:t>
      </w:r>
      <w:proofErr w:type="gramEnd"/>
      <w:r w:rsidRPr="00D50D49">
        <w:t xml:space="preserve"> Summary of the most recent efficacy results for </w:t>
      </w:r>
      <w:proofErr w:type="spellStart"/>
      <w:r w:rsidRPr="00D50D49">
        <w:t>venetoclax</w:t>
      </w:r>
      <w:proofErr w:type="spellEnd"/>
      <w:r w:rsidRPr="00D50D49">
        <w:t xml:space="preserve"> vs. </w:t>
      </w:r>
      <w:proofErr w:type="spellStart"/>
      <w:r w:rsidRPr="00D50D49">
        <w:t>ibrutinib</w:t>
      </w:r>
      <w:proofErr w:type="spellEnd"/>
      <w:r w:rsidRPr="00D50D49">
        <w:t xml:space="preserve"> in patients with a 17p deletion</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414"/>
        <w:gridCol w:w="1418"/>
        <w:gridCol w:w="1275"/>
        <w:gridCol w:w="1445"/>
      </w:tblGrid>
      <w:tr w:rsidR="006D7118" w:rsidRPr="003A2EA3" w:rsidTr="006D7118">
        <w:tc>
          <w:tcPr>
            <w:tcW w:w="1996" w:type="pct"/>
            <w:vMerge w:val="restart"/>
            <w:vAlign w:val="center"/>
          </w:tcPr>
          <w:p w:rsidR="000267BB" w:rsidRPr="003A2EA3" w:rsidRDefault="000267BB" w:rsidP="006372C6">
            <w:pPr>
              <w:jc w:val="center"/>
              <w:rPr>
                <w:rFonts w:ascii="Arial Narrow" w:hAnsi="Arial Narrow"/>
                <w:b/>
                <w:sz w:val="20"/>
              </w:rPr>
            </w:pPr>
          </w:p>
        </w:tc>
        <w:tc>
          <w:tcPr>
            <w:tcW w:w="765" w:type="pct"/>
            <w:vAlign w:val="center"/>
          </w:tcPr>
          <w:p w:rsidR="000267BB" w:rsidRPr="003A2EA3" w:rsidRDefault="000267BB" w:rsidP="006372C6">
            <w:pPr>
              <w:jc w:val="center"/>
              <w:rPr>
                <w:rFonts w:ascii="Arial Narrow" w:hAnsi="Arial Narrow"/>
                <w:b/>
                <w:sz w:val="20"/>
              </w:rPr>
            </w:pPr>
            <w:r w:rsidRPr="003A2EA3">
              <w:rPr>
                <w:rFonts w:ascii="Arial Narrow" w:hAnsi="Arial Narrow"/>
                <w:b/>
                <w:sz w:val="20"/>
              </w:rPr>
              <w:t>M12-175</w:t>
            </w:r>
          </w:p>
        </w:tc>
        <w:tc>
          <w:tcPr>
            <w:tcW w:w="767" w:type="pct"/>
            <w:vAlign w:val="center"/>
          </w:tcPr>
          <w:p w:rsidR="000267BB" w:rsidRPr="003A2EA3" w:rsidRDefault="000267BB" w:rsidP="006372C6">
            <w:pPr>
              <w:jc w:val="center"/>
              <w:rPr>
                <w:rFonts w:ascii="Arial Narrow" w:hAnsi="Arial Narrow"/>
                <w:b/>
                <w:sz w:val="20"/>
              </w:rPr>
            </w:pPr>
            <w:r w:rsidRPr="003A2EA3">
              <w:rPr>
                <w:rFonts w:ascii="Arial Narrow" w:hAnsi="Arial Narrow"/>
                <w:b/>
                <w:sz w:val="20"/>
              </w:rPr>
              <w:t>M13-982</w:t>
            </w:r>
          </w:p>
        </w:tc>
        <w:tc>
          <w:tcPr>
            <w:tcW w:w="690" w:type="pct"/>
            <w:vAlign w:val="center"/>
          </w:tcPr>
          <w:p w:rsidR="000267BB" w:rsidRPr="003A2EA3" w:rsidRDefault="000267BB" w:rsidP="006372C6">
            <w:pPr>
              <w:pStyle w:val="Tabletextcentred"/>
              <w:rPr>
                <w:b/>
                <w:snapToGrid w:val="0"/>
              </w:rPr>
            </w:pPr>
            <w:r w:rsidRPr="003A2EA3">
              <w:rPr>
                <w:b/>
                <w:snapToGrid w:val="0"/>
              </w:rPr>
              <w:t>RESONATE</w:t>
            </w:r>
          </w:p>
        </w:tc>
        <w:tc>
          <w:tcPr>
            <w:tcW w:w="782" w:type="pct"/>
            <w:vAlign w:val="center"/>
          </w:tcPr>
          <w:p w:rsidR="000267BB" w:rsidRPr="003A2EA3" w:rsidRDefault="000267BB" w:rsidP="006372C6">
            <w:pPr>
              <w:pStyle w:val="Tabletextcentred"/>
              <w:rPr>
                <w:b/>
                <w:snapToGrid w:val="0"/>
              </w:rPr>
            </w:pPr>
            <w:r w:rsidRPr="003A2EA3">
              <w:rPr>
                <w:b/>
                <w:snapToGrid w:val="0"/>
              </w:rPr>
              <w:t>RESONATE17</w:t>
            </w:r>
          </w:p>
        </w:tc>
      </w:tr>
      <w:tr w:rsidR="006D7118" w:rsidRPr="003A2EA3" w:rsidTr="006D7118">
        <w:tc>
          <w:tcPr>
            <w:tcW w:w="1996" w:type="pct"/>
            <w:vMerge/>
          </w:tcPr>
          <w:p w:rsidR="000267BB" w:rsidRPr="003A2EA3" w:rsidRDefault="000267BB" w:rsidP="006372C6">
            <w:pPr>
              <w:jc w:val="center"/>
              <w:rPr>
                <w:rFonts w:ascii="Arial Narrow" w:hAnsi="Arial Narrow"/>
                <w:b/>
                <w:sz w:val="20"/>
              </w:rPr>
            </w:pPr>
          </w:p>
        </w:tc>
        <w:tc>
          <w:tcPr>
            <w:tcW w:w="765" w:type="pct"/>
            <w:vAlign w:val="center"/>
          </w:tcPr>
          <w:p w:rsidR="000267BB" w:rsidRPr="003A2EA3" w:rsidRDefault="000267BB" w:rsidP="006372C6">
            <w:pPr>
              <w:jc w:val="center"/>
              <w:rPr>
                <w:rFonts w:ascii="Arial Narrow" w:hAnsi="Arial Narrow"/>
                <w:b/>
                <w:sz w:val="20"/>
              </w:rPr>
            </w:pPr>
            <w:r w:rsidRPr="003A2EA3">
              <w:rPr>
                <w:rFonts w:ascii="Arial Narrow" w:hAnsi="Arial Narrow"/>
                <w:b/>
                <w:sz w:val="20"/>
              </w:rPr>
              <w:t>VEN 400 mg 17p del</w:t>
            </w:r>
          </w:p>
          <w:p w:rsidR="000267BB" w:rsidRPr="003A2EA3" w:rsidRDefault="000267BB" w:rsidP="006372C6">
            <w:pPr>
              <w:jc w:val="center"/>
              <w:rPr>
                <w:rFonts w:ascii="Arial Narrow" w:hAnsi="Arial Narrow"/>
                <w:b/>
                <w:sz w:val="20"/>
              </w:rPr>
            </w:pPr>
            <w:r w:rsidRPr="003A2EA3">
              <w:rPr>
                <w:rFonts w:ascii="Arial Narrow" w:hAnsi="Arial Narrow"/>
                <w:b/>
                <w:sz w:val="20"/>
              </w:rPr>
              <w:t>(N = 14)</w:t>
            </w:r>
          </w:p>
        </w:tc>
        <w:tc>
          <w:tcPr>
            <w:tcW w:w="767" w:type="pct"/>
            <w:vAlign w:val="center"/>
          </w:tcPr>
          <w:p w:rsidR="000267BB" w:rsidRPr="003A2EA3" w:rsidRDefault="000267BB" w:rsidP="006372C6">
            <w:pPr>
              <w:jc w:val="center"/>
              <w:rPr>
                <w:rFonts w:ascii="Arial Narrow" w:hAnsi="Arial Narrow"/>
                <w:b/>
                <w:sz w:val="20"/>
              </w:rPr>
            </w:pPr>
            <w:r w:rsidRPr="003A2EA3">
              <w:rPr>
                <w:rFonts w:ascii="Arial Narrow" w:hAnsi="Arial Narrow"/>
                <w:b/>
                <w:sz w:val="20"/>
              </w:rPr>
              <w:t>VEN</w:t>
            </w:r>
          </w:p>
          <w:p w:rsidR="000267BB" w:rsidRPr="003A2EA3" w:rsidRDefault="000267BB" w:rsidP="006372C6">
            <w:pPr>
              <w:jc w:val="center"/>
              <w:rPr>
                <w:rFonts w:ascii="Arial Narrow" w:hAnsi="Arial Narrow"/>
                <w:b/>
                <w:sz w:val="20"/>
              </w:rPr>
            </w:pPr>
            <w:r w:rsidRPr="003A2EA3">
              <w:rPr>
                <w:rFonts w:ascii="Arial Narrow" w:hAnsi="Arial Narrow"/>
                <w:b/>
                <w:sz w:val="20"/>
              </w:rPr>
              <w:t>main cohort</w:t>
            </w:r>
          </w:p>
          <w:p w:rsidR="000267BB" w:rsidRPr="003A2EA3" w:rsidRDefault="000267BB" w:rsidP="006372C6">
            <w:pPr>
              <w:jc w:val="center"/>
              <w:rPr>
                <w:rFonts w:ascii="Arial Narrow" w:hAnsi="Arial Narrow"/>
                <w:b/>
                <w:sz w:val="20"/>
              </w:rPr>
            </w:pPr>
            <w:r w:rsidRPr="003A2EA3">
              <w:rPr>
                <w:rFonts w:ascii="Arial Narrow" w:hAnsi="Arial Narrow"/>
                <w:b/>
                <w:sz w:val="20"/>
              </w:rPr>
              <w:t>(N = 158)</w:t>
            </w:r>
          </w:p>
        </w:tc>
        <w:tc>
          <w:tcPr>
            <w:tcW w:w="690" w:type="pct"/>
            <w:vAlign w:val="center"/>
          </w:tcPr>
          <w:p w:rsidR="000267BB" w:rsidRPr="003A2EA3" w:rsidRDefault="000267BB" w:rsidP="006372C6">
            <w:pPr>
              <w:pStyle w:val="Tabletextcentred"/>
              <w:rPr>
                <w:b/>
                <w:snapToGrid w:val="0"/>
              </w:rPr>
            </w:pPr>
            <w:r w:rsidRPr="003A2EA3">
              <w:rPr>
                <w:b/>
                <w:snapToGrid w:val="0"/>
              </w:rPr>
              <w:t>IBRU</w:t>
            </w:r>
          </w:p>
          <w:p w:rsidR="000267BB" w:rsidRPr="003A2EA3" w:rsidRDefault="000267BB" w:rsidP="006372C6">
            <w:pPr>
              <w:pStyle w:val="Tabletextcentred"/>
              <w:rPr>
                <w:b/>
                <w:snapToGrid w:val="0"/>
              </w:rPr>
            </w:pPr>
            <w:r w:rsidRPr="003A2EA3">
              <w:rPr>
                <w:b/>
                <w:snapToGrid w:val="0"/>
              </w:rPr>
              <w:t>17p del</w:t>
            </w:r>
          </w:p>
          <w:p w:rsidR="000267BB" w:rsidRPr="003A2EA3" w:rsidRDefault="000267BB" w:rsidP="006372C6">
            <w:pPr>
              <w:pStyle w:val="Tabletextcentred"/>
              <w:rPr>
                <w:b/>
                <w:snapToGrid w:val="0"/>
              </w:rPr>
            </w:pPr>
            <w:r w:rsidRPr="003A2EA3">
              <w:rPr>
                <w:b/>
                <w:snapToGrid w:val="0"/>
              </w:rPr>
              <w:t>(N = 63)</w:t>
            </w:r>
          </w:p>
        </w:tc>
        <w:tc>
          <w:tcPr>
            <w:tcW w:w="782" w:type="pct"/>
            <w:vAlign w:val="center"/>
          </w:tcPr>
          <w:p w:rsidR="000267BB" w:rsidRPr="003A2EA3" w:rsidRDefault="000267BB" w:rsidP="006372C6">
            <w:pPr>
              <w:pStyle w:val="Tabletextcentred"/>
              <w:rPr>
                <w:b/>
                <w:snapToGrid w:val="0"/>
              </w:rPr>
            </w:pPr>
            <w:r w:rsidRPr="003A2EA3">
              <w:rPr>
                <w:b/>
                <w:snapToGrid w:val="0"/>
              </w:rPr>
              <w:t>IBRU</w:t>
            </w:r>
          </w:p>
          <w:p w:rsidR="000267BB" w:rsidRPr="003A2EA3" w:rsidRDefault="000267BB" w:rsidP="006372C6">
            <w:pPr>
              <w:pStyle w:val="Tabletextcentred"/>
              <w:rPr>
                <w:b/>
                <w:snapToGrid w:val="0"/>
              </w:rPr>
            </w:pPr>
            <w:r w:rsidRPr="003A2EA3">
              <w:rPr>
                <w:b/>
                <w:snapToGrid w:val="0"/>
              </w:rPr>
              <w:t>all subjects</w:t>
            </w:r>
          </w:p>
          <w:p w:rsidR="000267BB" w:rsidRPr="003A2EA3" w:rsidRDefault="000267BB" w:rsidP="006372C6">
            <w:pPr>
              <w:pStyle w:val="Tabletextcentred"/>
              <w:rPr>
                <w:b/>
                <w:snapToGrid w:val="0"/>
              </w:rPr>
            </w:pPr>
            <w:r w:rsidRPr="003A2EA3">
              <w:rPr>
                <w:b/>
                <w:snapToGrid w:val="0"/>
              </w:rPr>
              <w:t>(N = 144)</w:t>
            </w:r>
          </w:p>
        </w:tc>
      </w:tr>
      <w:tr w:rsidR="006D7118" w:rsidRPr="003A2EA3" w:rsidTr="006D7118">
        <w:tc>
          <w:tcPr>
            <w:tcW w:w="1996" w:type="pct"/>
            <w:vAlign w:val="center"/>
          </w:tcPr>
          <w:p w:rsidR="000267BB" w:rsidRPr="003A2EA3" w:rsidRDefault="000267BB" w:rsidP="006372C6">
            <w:pPr>
              <w:rPr>
                <w:rFonts w:ascii="Arial Narrow" w:hAnsi="Arial Narrow"/>
                <w:sz w:val="20"/>
              </w:rPr>
            </w:pPr>
            <w:r w:rsidRPr="003A2EA3">
              <w:rPr>
                <w:rFonts w:ascii="Arial Narrow" w:hAnsi="Arial Narrow"/>
                <w:sz w:val="20"/>
              </w:rPr>
              <w:t>Median duration of treatment, months (range)</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xml:space="preserve">'''''''''' </w:t>
            </w:r>
          </w:p>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767"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xml:space="preserve">''''''''''' </w:t>
            </w:r>
          </w:p>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Pr>
          <w:p w:rsidR="000267BB" w:rsidRPr="00C27F96" w:rsidRDefault="000267BB" w:rsidP="006372C6">
            <w:pPr>
              <w:pStyle w:val="Tabletextcentred"/>
              <w:rPr>
                <w:snapToGrid w:val="0"/>
              </w:rPr>
            </w:pPr>
            <w:r w:rsidRPr="00C27F96">
              <w:rPr>
                <w:snapToGrid w:val="0"/>
              </w:rPr>
              <w:t xml:space="preserve">16 </w:t>
            </w:r>
          </w:p>
          <w:p w:rsidR="000267BB" w:rsidRPr="003A2EA3" w:rsidRDefault="000267BB" w:rsidP="006372C6">
            <w:pPr>
              <w:pStyle w:val="Tabletextcentred"/>
              <w:rPr>
                <w:snapToGrid w:val="0"/>
                <w:vertAlign w:val="superscript"/>
              </w:rPr>
            </w:pPr>
            <w:r w:rsidRPr="003A2EA3">
              <w:rPr>
                <w:snapToGrid w:val="0"/>
              </w:rPr>
              <w:t>(NR)</w:t>
            </w:r>
            <w:r w:rsidRPr="003A2EA3">
              <w:rPr>
                <w:snapToGrid w:val="0"/>
                <w:vertAlign w:val="superscript"/>
              </w:rPr>
              <w:t>1</w:t>
            </w:r>
          </w:p>
        </w:tc>
        <w:tc>
          <w:tcPr>
            <w:tcW w:w="782" w:type="pct"/>
            <w:vAlign w:val="center"/>
          </w:tcPr>
          <w:p w:rsidR="000267BB" w:rsidRPr="003A2EA3" w:rsidRDefault="000267BB" w:rsidP="006372C6">
            <w:pPr>
              <w:pStyle w:val="Tabletextcentred"/>
              <w:rPr>
                <w:snapToGrid w:val="0"/>
              </w:rPr>
            </w:pPr>
            <w:r w:rsidRPr="003A2EA3">
              <w:rPr>
                <w:snapToGrid w:val="0"/>
              </w:rPr>
              <w:t>NR</w:t>
            </w:r>
          </w:p>
        </w:tc>
      </w:tr>
      <w:tr w:rsidR="006D7118" w:rsidRPr="003A2EA3" w:rsidTr="006D7118">
        <w:tc>
          <w:tcPr>
            <w:tcW w:w="1996" w:type="pct"/>
            <w:vAlign w:val="center"/>
          </w:tcPr>
          <w:p w:rsidR="000267BB" w:rsidRPr="003A2EA3" w:rsidRDefault="000267BB" w:rsidP="006372C6">
            <w:pPr>
              <w:rPr>
                <w:rFonts w:ascii="Arial Narrow" w:hAnsi="Arial Narrow"/>
                <w:sz w:val="20"/>
              </w:rPr>
            </w:pPr>
            <w:r w:rsidRPr="003A2EA3">
              <w:rPr>
                <w:rFonts w:ascii="Arial Narrow" w:hAnsi="Arial Narrow"/>
                <w:sz w:val="20"/>
              </w:rPr>
              <w:t>Median duration of follow-up, months (range)</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767" w:type="pct"/>
            <w:vAlign w:val="center"/>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vAlign w:val="center"/>
          </w:tcPr>
          <w:p w:rsidR="000267BB" w:rsidRPr="003A2EA3" w:rsidRDefault="000267BB" w:rsidP="006372C6">
            <w:pPr>
              <w:pStyle w:val="Tabletextcentred"/>
              <w:rPr>
                <w:snapToGrid w:val="0"/>
                <w:vertAlign w:val="superscript"/>
              </w:rPr>
            </w:pPr>
            <w:r w:rsidRPr="003A2EA3">
              <w:rPr>
                <w:snapToGrid w:val="0"/>
              </w:rPr>
              <w:t>16 (NR)</w:t>
            </w:r>
            <w:r w:rsidRPr="003A2EA3">
              <w:rPr>
                <w:snapToGrid w:val="0"/>
                <w:vertAlign w:val="superscript"/>
              </w:rPr>
              <w:t>1</w:t>
            </w:r>
          </w:p>
        </w:tc>
        <w:tc>
          <w:tcPr>
            <w:tcW w:w="782" w:type="pct"/>
          </w:tcPr>
          <w:p w:rsidR="000267BB" w:rsidRPr="003A2EA3" w:rsidRDefault="000267BB" w:rsidP="006372C6">
            <w:pPr>
              <w:pStyle w:val="Tabletextcentred"/>
              <w:rPr>
                <w:snapToGrid w:val="0"/>
              </w:rPr>
            </w:pPr>
            <w:r w:rsidRPr="003A2EA3">
              <w:rPr>
                <w:snapToGrid w:val="0"/>
              </w:rPr>
              <w:t>27.6</w:t>
            </w:r>
          </w:p>
          <w:p w:rsidR="000267BB" w:rsidRPr="003A2EA3" w:rsidRDefault="000267BB" w:rsidP="006372C6">
            <w:pPr>
              <w:pStyle w:val="Tabletextcentred"/>
              <w:rPr>
                <w:snapToGrid w:val="0"/>
              </w:rPr>
            </w:pPr>
            <w:r w:rsidRPr="003A2EA3">
              <w:rPr>
                <w:snapToGrid w:val="0"/>
              </w:rPr>
              <w:t>(14.6-27.7)</w:t>
            </w:r>
            <w:r w:rsidRPr="003A2EA3">
              <w:rPr>
                <w:snapToGrid w:val="0"/>
                <w:vertAlign w:val="superscript"/>
              </w:rPr>
              <w:t>1</w:t>
            </w:r>
          </w:p>
        </w:tc>
      </w:tr>
      <w:tr w:rsidR="000267BB" w:rsidRPr="003A2EA3" w:rsidTr="006D7118">
        <w:tc>
          <w:tcPr>
            <w:tcW w:w="5000" w:type="pct"/>
            <w:gridSpan w:val="5"/>
            <w:vAlign w:val="center"/>
          </w:tcPr>
          <w:p w:rsidR="000267BB" w:rsidRPr="00B93D7B" w:rsidRDefault="000267BB" w:rsidP="006372C6">
            <w:pPr>
              <w:rPr>
                <w:rFonts w:ascii="Arial Narrow" w:hAnsi="Arial Narrow"/>
                <w:sz w:val="20"/>
              </w:rPr>
            </w:pPr>
            <w:r w:rsidRPr="00B93D7B">
              <w:rPr>
                <w:rFonts w:ascii="Arial Narrow" w:hAnsi="Arial Narrow"/>
                <w:b/>
                <w:sz w:val="20"/>
              </w:rPr>
              <w:t>Response rates</w:t>
            </w:r>
          </w:p>
        </w:tc>
      </w:tr>
      <w:tr w:rsidR="006D7118" w:rsidRPr="003A2EA3" w:rsidTr="006D7118">
        <w:tc>
          <w:tcPr>
            <w:tcW w:w="1996" w:type="pct"/>
            <w:vAlign w:val="center"/>
          </w:tcPr>
          <w:p w:rsidR="000267BB" w:rsidRPr="003A2EA3" w:rsidRDefault="000267BB" w:rsidP="006372C6">
            <w:pPr>
              <w:pStyle w:val="TableText0"/>
              <w:spacing w:before="0" w:after="0"/>
              <w:rPr>
                <w:rFonts w:ascii="Arial Narrow" w:hAnsi="Arial Narrow"/>
                <w:szCs w:val="20"/>
                <w:vertAlign w:val="superscript"/>
              </w:rPr>
            </w:pPr>
            <w:r w:rsidRPr="003A2EA3">
              <w:rPr>
                <w:rFonts w:ascii="Arial Narrow" w:hAnsi="Arial Narrow"/>
                <w:szCs w:val="20"/>
              </w:rPr>
              <w:t>Overall response rate, % (95% CI)</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767" w:type="pct"/>
          </w:tcPr>
          <w:p w:rsidR="000267BB" w:rsidRPr="00B93D7B" w:rsidRDefault="000267BB" w:rsidP="006372C6">
            <w:pPr>
              <w:jc w:val="center"/>
              <w:rPr>
                <w:rFonts w:ascii="Arial Narrow" w:hAnsi="Arial Narrow"/>
                <w:sz w:val="20"/>
              </w:rPr>
            </w:pPr>
            <w:r w:rsidRPr="00B93D7B">
              <w:rPr>
                <w:rFonts w:ascii="Arial Narrow" w:hAnsi="Arial Narrow"/>
                <w:sz w:val="20"/>
              </w:rPr>
              <w:t>77.2</w:t>
            </w:r>
          </w:p>
          <w:p w:rsidR="000267BB" w:rsidRPr="00B93D7B" w:rsidRDefault="000267BB" w:rsidP="006372C6">
            <w:pPr>
              <w:jc w:val="center"/>
              <w:rPr>
                <w:rFonts w:ascii="Arial Narrow" w:hAnsi="Arial Narrow"/>
                <w:sz w:val="20"/>
              </w:rPr>
            </w:pPr>
            <w:r w:rsidRPr="00B93D7B">
              <w:rPr>
                <w:rFonts w:ascii="Arial Narrow" w:hAnsi="Arial Narrow"/>
                <w:sz w:val="20"/>
              </w:rPr>
              <w:t>(69.9, 83.5)</w:t>
            </w:r>
          </w:p>
        </w:tc>
        <w:tc>
          <w:tcPr>
            <w:tcW w:w="690" w:type="pct"/>
            <w:vAlign w:val="center"/>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NR</w:t>
            </w:r>
          </w:p>
        </w:tc>
        <w:tc>
          <w:tcPr>
            <w:tcW w:w="782" w:type="pct"/>
            <w:vAlign w:val="center"/>
          </w:tcPr>
          <w:p w:rsidR="000267BB" w:rsidRPr="003A2EA3" w:rsidRDefault="000267BB" w:rsidP="006372C6">
            <w:pPr>
              <w:jc w:val="center"/>
              <w:rPr>
                <w:rFonts w:ascii="Arial Narrow" w:hAnsi="Arial Narrow"/>
                <w:sz w:val="20"/>
              </w:rPr>
            </w:pPr>
            <w:r w:rsidRPr="003A2EA3">
              <w:rPr>
                <w:rFonts w:ascii="Arial Narrow" w:hAnsi="Arial Narrow"/>
                <w:sz w:val="20"/>
              </w:rPr>
              <w:t xml:space="preserve">83 </w:t>
            </w:r>
          </w:p>
          <w:p w:rsidR="000267BB" w:rsidRPr="003A2EA3" w:rsidRDefault="000267BB" w:rsidP="006372C6">
            <w:pPr>
              <w:jc w:val="center"/>
              <w:rPr>
                <w:rFonts w:ascii="Arial Narrow" w:hAnsi="Arial Narrow"/>
                <w:sz w:val="20"/>
                <w:vertAlign w:val="superscript"/>
              </w:rPr>
            </w:pPr>
            <w:r w:rsidRPr="003A2EA3">
              <w:rPr>
                <w:rFonts w:ascii="Arial Narrow" w:hAnsi="Arial Narrow"/>
                <w:sz w:val="20"/>
              </w:rPr>
              <w:t>(76, 89)</w:t>
            </w:r>
            <w:r w:rsidRPr="003A2EA3">
              <w:rPr>
                <w:rFonts w:ascii="Arial Narrow" w:hAnsi="Arial Narrow"/>
                <w:sz w:val="20"/>
                <w:vertAlign w:val="superscript"/>
              </w:rPr>
              <w:t>2</w:t>
            </w:r>
          </w:p>
        </w:tc>
      </w:tr>
      <w:tr w:rsidR="006D7118" w:rsidRPr="003A2EA3" w:rsidTr="006D7118">
        <w:tc>
          <w:tcPr>
            <w:tcW w:w="1996" w:type="pct"/>
            <w:vAlign w:val="center"/>
          </w:tcPr>
          <w:p w:rsidR="000267BB" w:rsidRPr="003A2EA3" w:rsidRDefault="000267BB" w:rsidP="006372C6">
            <w:pPr>
              <w:pStyle w:val="TableText0"/>
              <w:spacing w:before="0" w:after="0"/>
              <w:rPr>
                <w:rFonts w:ascii="Arial Narrow" w:hAnsi="Arial Narrow"/>
                <w:szCs w:val="20"/>
              </w:rPr>
            </w:pPr>
            <w:r w:rsidRPr="003A2EA3">
              <w:rPr>
                <w:rFonts w:ascii="Arial Narrow" w:hAnsi="Arial Narrow"/>
                <w:szCs w:val="20"/>
              </w:rPr>
              <w:t>- Complete response, n (%)</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767" w:type="pct"/>
            <w:vAlign w:val="center"/>
          </w:tcPr>
          <w:p w:rsidR="000267BB" w:rsidRPr="00B93D7B" w:rsidRDefault="000267BB" w:rsidP="006372C6">
            <w:pPr>
              <w:pStyle w:val="TableText0"/>
              <w:spacing w:before="0" w:after="0"/>
              <w:jc w:val="center"/>
              <w:rPr>
                <w:rFonts w:ascii="Arial Narrow" w:hAnsi="Arial Narrow"/>
                <w:szCs w:val="20"/>
              </w:rPr>
            </w:pPr>
            <w:r w:rsidRPr="00B93D7B">
              <w:rPr>
                <w:rFonts w:ascii="Arial Narrow" w:hAnsi="Arial Narrow"/>
                <w:szCs w:val="20"/>
              </w:rPr>
              <w:t>29 (18.4)</w:t>
            </w:r>
          </w:p>
        </w:tc>
        <w:tc>
          <w:tcPr>
            <w:tcW w:w="690" w:type="pct"/>
            <w:vAlign w:val="center"/>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NR</w:t>
            </w:r>
          </w:p>
        </w:tc>
        <w:tc>
          <w:tcPr>
            <w:tcW w:w="782" w:type="pct"/>
            <w:vAlign w:val="center"/>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15 (10)</w:t>
            </w:r>
          </w:p>
        </w:tc>
      </w:tr>
      <w:tr w:rsidR="006D7118" w:rsidRPr="003A2EA3" w:rsidTr="006D7118">
        <w:tc>
          <w:tcPr>
            <w:tcW w:w="1996" w:type="pct"/>
            <w:vAlign w:val="center"/>
          </w:tcPr>
          <w:p w:rsidR="000267BB" w:rsidRPr="003A2EA3" w:rsidRDefault="000267BB" w:rsidP="006372C6">
            <w:pPr>
              <w:pStyle w:val="TableText0"/>
              <w:spacing w:before="0" w:after="0"/>
              <w:rPr>
                <w:rFonts w:ascii="Arial Narrow" w:hAnsi="Arial Narrow"/>
                <w:szCs w:val="20"/>
              </w:rPr>
            </w:pPr>
            <w:r w:rsidRPr="003A2EA3">
              <w:rPr>
                <w:rFonts w:ascii="Arial Narrow" w:hAnsi="Arial Narrow"/>
                <w:szCs w:val="20"/>
              </w:rPr>
              <w:t>- Partial response, n (%)</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r w:rsidR="000267BB" w:rsidRPr="00A5328F">
              <w:rPr>
                <w:rFonts w:ascii="Arial Narrow" w:hAnsi="Arial Narrow"/>
                <w:szCs w:val="20"/>
                <w:highlight w:val="black"/>
              </w:rPr>
              <w:t xml:space="preserve"> </w:t>
            </w:r>
          </w:p>
        </w:tc>
        <w:tc>
          <w:tcPr>
            <w:tcW w:w="767" w:type="pct"/>
            <w:vAlign w:val="center"/>
          </w:tcPr>
          <w:p w:rsidR="000267BB" w:rsidRPr="00B93D7B" w:rsidRDefault="000267BB" w:rsidP="006372C6">
            <w:pPr>
              <w:pStyle w:val="TableText0"/>
              <w:spacing w:before="0" w:after="0"/>
              <w:jc w:val="center"/>
              <w:rPr>
                <w:rFonts w:ascii="Arial Narrow" w:hAnsi="Arial Narrow"/>
                <w:szCs w:val="20"/>
              </w:rPr>
            </w:pPr>
            <w:r w:rsidRPr="00B93D7B">
              <w:rPr>
                <w:rFonts w:ascii="Arial Narrow" w:hAnsi="Arial Narrow"/>
                <w:szCs w:val="20"/>
              </w:rPr>
              <w:t>93 (58.9)</w:t>
            </w:r>
          </w:p>
        </w:tc>
        <w:tc>
          <w:tcPr>
            <w:tcW w:w="690" w:type="pct"/>
            <w:vAlign w:val="center"/>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NR</w:t>
            </w:r>
          </w:p>
        </w:tc>
        <w:tc>
          <w:tcPr>
            <w:tcW w:w="782" w:type="pct"/>
            <w:vAlign w:val="center"/>
          </w:tcPr>
          <w:p w:rsidR="000267BB" w:rsidRPr="003A2EA3" w:rsidRDefault="000267BB" w:rsidP="006372C6">
            <w:pPr>
              <w:pStyle w:val="TableText0"/>
              <w:spacing w:before="0" w:after="0"/>
              <w:jc w:val="center"/>
              <w:rPr>
                <w:rFonts w:ascii="Arial Narrow" w:hAnsi="Arial Narrow"/>
                <w:szCs w:val="20"/>
                <w:vertAlign w:val="superscript"/>
              </w:rPr>
            </w:pPr>
            <w:r w:rsidRPr="003A2EA3">
              <w:rPr>
                <w:rFonts w:ascii="Arial Narrow" w:hAnsi="Arial Narrow"/>
                <w:szCs w:val="20"/>
              </w:rPr>
              <w:t>105 (73)</w:t>
            </w:r>
            <w:r w:rsidRPr="003A2EA3">
              <w:rPr>
                <w:rFonts w:ascii="Arial Narrow" w:hAnsi="Arial Narrow"/>
                <w:szCs w:val="20"/>
                <w:vertAlign w:val="superscript"/>
              </w:rPr>
              <w:t>2</w:t>
            </w:r>
          </w:p>
        </w:tc>
      </w:tr>
      <w:tr w:rsidR="000267BB" w:rsidRPr="003A2EA3" w:rsidTr="006D7118">
        <w:tc>
          <w:tcPr>
            <w:tcW w:w="5000" w:type="pct"/>
            <w:gridSpan w:val="5"/>
          </w:tcPr>
          <w:p w:rsidR="000267BB" w:rsidRPr="00B93D7B" w:rsidRDefault="000267BB" w:rsidP="006372C6">
            <w:pPr>
              <w:pStyle w:val="TableText0"/>
              <w:spacing w:before="0" w:after="0"/>
              <w:rPr>
                <w:rFonts w:ascii="Arial Narrow" w:hAnsi="Arial Narrow"/>
                <w:szCs w:val="20"/>
              </w:rPr>
            </w:pPr>
            <w:r w:rsidRPr="00B93D7B">
              <w:rPr>
                <w:rFonts w:ascii="Arial Narrow" w:hAnsi="Arial Narrow"/>
                <w:b/>
                <w:szCs w:val="20"/>
              </w:rPr>
              <w:t>Progression-free survival</w:t>
            </w:r>
          </w:p>
        </w:tc>
      </w:tr>
      <w:tr w:rsidR="006D7118" w:rsidRPr="003A2EA3" w:rsidTr="006D7118">
        <w:tc>
          <w:tcPr>
            <w:tcW w:w="1996" w:type="pct"/>
          </w:tcPr>
          <w:p w:rsidR="000267BB" w:rsidRPr="00D05FB9" w:rsidRDefault="000267BB" w:rsidP="006372C6">
            <w:pPr>
              <w:rPr>
                <w:rFonts w:ascii="Arial Narrow" w:hAnsi="Arial Narrow"/>
                <w:sz w:val="20"/>
              </w:rPr>
            </w:pPr>
            <w:r w:rsidRPr="00D05FB9">
              <w:rPr>
                <w:rFonts w:ascii="Arial Narrow" w:hAnsi="Arial Narrow"/>
                <w:sz w:val="20"/>
              </w:rPr>
              <w:t>Events n (%)</w:t>
            </w:r>
          </w:p>
        </w:tc>
        <w:tc>
          <w:tcPr>
            <w:tcW w:w="765"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w:t>
            </w:r>
          </w:p>
        </w:tc>
        <w:tc>
          <w:tcPr>
            <w:tcW w:w="767" w:type="pct"/>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690" w:type="pct"/>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NR</w:t>
            </w:r>
          </w:p>
        </w:tc>
        <w:tc>
          <w:tcPr>
            <w:tcW w:w="782" w:type="pct"/>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NR</w:t>
            </w:r>
          </w:p>
        </w:tc>
      </w:tr>
      <w:tr w:rsidR="006D7118" w:rsidRPr="003A2EA3" w:rsidTr="006D7118">
        <w:tc>
          <w:tcPr>
            <w:tcW w:w="1996" w:type="pct"/>
            <w:vAlign w:val="center"/>
          </w:tcPr>
          <w:p w:rsidR="000267BB" w:rsidRPr="00D05FB9" w:rsidRDefault="000267BB" w:rsidP="006372C6">
            <w:pPr>
              <w:ind w:right="-108"/>
              <w:rPr>
                <w:rFonts w:ascii="Arial Narrow" w:hAnsi="Arial Narrow"/>
                <w:sz w:val="20"/>
              </w:rPr>
            </w:pPr>
            <w:r w:rsidRPr="00D05FB9">
              <w:rPr>
                <w:rFonts w:ascii="Arial Narrow" w:hAnsi="Arial Narrow"/>
                <w:sz w:val="20"/>
              </w:rPr>
              <w:t>Median PFS, months (95% CI)</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xml:space="preserve">'''''''''' </w:t>
            </w:r>
          </w:p>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767" w:type="pct"/>
            <w:vAlign w:val="center"/>
          </w:tcPr>
          <w:p w:rsidR="000267BB" w:rsidRPr="00B93D7B" w:rsidRDefault="000267BB" w:rsidP="006372C6">
            <w:pPr>
              <w:pStyle w:val="TableText0"/>
              <w:spacing w:before="0" w:after="0"/>
              <w:jc w:val="center"/>
              <w:rPr>
                <w:rFonts w:ascii="Arial Narrow" w:hAnsi="Arial Narrow"/>
                <w:szCs w:val="20"/>
              </w:rPr>
            </w:pPr>
            <w:r w:rsidRPr="00B93D7B">
              <w:rPr>
                <w:rFonts w:ascii="Arial Narrow" w:hAnsi="Arial Narrow"/>
                <w:szCs w:val="20"/>
              </w:rPr>
              <w:t xml:space="preserve">27.2 </w:t>
            </w:r>
          </w:p>
          <w:p w:rsidR="000267BB" w:rsidRPr="00B93D7B" w:rsidRDefault="000267BB" w:rsidP="006372C6">
            <w:pPr>
              <w:pStyle w:val="TableText0"/>
              <w:spacing w:before="0" w:after="0"/>
              <w:jc w:val="center"/>
              <w:rPr>
                <w:rFonts w:ascii="Arial Narrow" w:hAnsi="Arial Narrow"/>
                <w:szCs w:val="20"/>
              </w:rPr>
            </w:pPr>
            <w:r w:rsidRPr="00B93D7B">
              <w:rPr>
                <w:rFonts w:ascii="Arial Narrow" w:hAnsi="Arial Narrow"/>
                <w:szCs w:val="20"/>
              </w:rPr>
              <w:t>(21.9, NE)</w:t>
            </w:r>
          </w:p>
        </w:tc>
        <w:tc>
          <w:tcPr>
            <w:tcW w:w="690" w:type="pct"/>
            <w:vAlign w:val="center"/>
          </w:tcPr>
          <w:p w:rsidR="000267BB" w:rsidRPr="003A2EA3" w:rsidRDefault="000267BB" w:rsidP="006372C6">
            <w:pPr>
              <w:pStyle w:val="TableText0"/>
              <w:spacing w:before="0" w:after="0"/>
              <w:jc w:val="center"/>
              <w:rPr>
                <w:rFonts w:ascii="Arial Narrow" w:hAnsi="Arial Narrow"/>
                <w:szCs w:val="20"/>
                <w:vertAlign w:val="superscript"/>
              </w:rPr>
            </w:pPr>
            <w:r w:rsidRPr="00C27F96">
              <w:rPr>
                <w:rFonts w:ascii="Arial Narrow" w:hAnsi="Arial Narrow"/>
                <w:szCs w:val="20"/>
              </w:rPr>
              <w:t>Not reached (NR)</w:t>
            </w:r>
            <w:r w:rsidRPr="003A2EA3">
              <w:rPr>
                <w:rFonts w:ascii="Arial Narrow" w:hAnsi="Arial Narrow"/>
                <w:szCs w:val="20"/>
                <w:vertAlign w:val="superscript"/>
              </w:rPr>
              <w:t>3</w:t>
            </w:r>
          </w:p>
        </w:tc>
        <w:tc>
          <w:tcPr>
            <w:tcW w:w="782" w:type="pct"/>
            <w:vAlign w:val="center"/>
          </w:tcPr>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 xml:space="preserve">Not reached </w:t>
            </w:r>
          </w:p>
          <w:p w:rsidR="000267BB" w:rsidRPr="003A2EA3" w:rsidRDefault="000267BB" w:rsidP="006372C6">
            <w:pPr>
              <w:pStyle w:val="TableText0"/>
              <w:spacing w:before="0" w:after="0"/>
              <w:jc w:val="center"/>
              <w:rPr>
                <w:rFonts w:ascii="Arial Narrow" w:hAnsi="Arial Narrow"/>
                <w:szCs w:val="20"/>
              </w:rPr>
            </w:pPr>
            <w:r w:rsidRPr="003A2EA3">
              <w:rPr>
                <w:rFonts w:ascii="Arial Narrow" w:hAnsi="Arial Narrow"/>
                <w:szCs w:val="20"/>
              </w:rPr>
              <w:t>(27.7, NE)</w:t>
            </w:r>
          </w:p>
        </w:tc>
      </w:tr>
      <w:tr w:rsidR="006D7118" w:rsidRPr="003A2EA3" w:rsidTr="006D7118">
        <w:tc>
          <w:tcPr>
            <w:tcW w:w="1996" w:type="pct"/>
          </w:tcPr>
          <w:p w:rsidR="000267BB" w:rsidRPr="00D05FB9" w:rsidRDefault="000267BB" w:rsidP="006372C6">
            <w:pPr>
              <w:ind w:right="-108"/>
              <w:rPr>
                <w:rFonts w:ascii="Arial Narrow" w:hAnsi="Arial Narrow"/>
                <w:sz w:val="20"/>
              </w:rPr>
            </w:pPr>
            <w:r w:rsidRPr="00D05FB9">
              <w:rPr>
                <w:rFonts w:ascii="Arial Narrow" w:hAnsi="Arial Narrow"/>
                <w:sz w:val="20"/>
              </w:rPr>
              <w:t>KM estimate of PFS at 6 months, % (95% CI)</w:t>
            </w:r>
          </w:p>
        </w:tc>
        <w:tc>
          <w:tcPr>
            <w:tcW w:w="765"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 '''''''''</w:t>
            </w:r>
          </w:p>
        </w:tc>
        <w:tc>
          <w:tcPr>
            <w:tcW w:w="767"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 ''''''''</w:t>
            </w:r>
          </w:p>
        </w:tc>
        <w:tc>
          <w:tcPr>
            <w:tcW w:w="690" w:type="pct"/>
          </w:tcPr>
          <w:p w:rsidR="000267BB" w:rsidRPr="00D05FB9" w:rsidRDefault="000267BB" w:rsidP="006372C6">
            <w:pPr>
              <w:jc w:val="center"/>
              <w:rPr>
                <w:rFonts w:ascii="Arial Narrow" w:hAnsi="Arial Narrow"/>
                <w:sz w:val="20"/>
                <w:vertAlign w:val="superscript"/>
              </w:rPr>
            </w:pPr>
            <w:r w:rsidRPr="00D05FB9">
              <w:rPr>
                <w:rFonts w:ascii="Arial Narrow" w:hAnsi="Arial Narrow"/>
                <w:sz w:val="20"/>
              </w:rPr>
              <w:t>NR</w:t>
            </w:r>
          </w:p>
        </w:tc>
        <w:tc>
          <w:tcPr>
            <w:tcW w:w="782" w:type="pct"/>
          </w:tcPr>
          <w:p w:rsidR="000267BB" w:rsidRPr="00D05FB9" w:rsidRDefault="000267BB" w:rsidP="006372C6">
            <w:pPr>
              <w:pStyle w:val="TableText0"/>
              <w:spacing w:before="0" w:after="0"/>
              <w:jc w:val="center"/>
              <w:rPr>
                <w:rFonts w:ascii="Arial Narrow" w:hAnsi="Arial Narrow"/>
                <w:szCs w:val="20"/>
              </w:rPr>
            </w:pPr>
            <w:r w:rsidRPr="00D05FB9">
              <w:rPr>
                <w:rFonts w:ascii="Arial Narrow" w:hAnsi="Arial Narrow"/>
                <w:szCs w:val="20"/>
              </w:rPr>
              <w:t>NR</w:t>
            </w:r>
          </w:p>
        </w:tc>
      </w:tr>
      <w:tr w:rsidR="006D7118" w:rsidRPr="003A2EA3" w:rsidTr="006D7118">
        <w:tc>
          <w:tcPr>
            <w:tcW w:w="1996" w:type="pct"/>
          </w:tcPr>
          <w:p w:rsidR="000267BB" w:rsidRPr="00D05FB9" w:rsidRDefault="000267BB" w:rsidP="006372C6">
            <w:pPr>
              <w:ind w:right="-108"/>
              <w:rPr>
                <w:rFonts w:ascii="Arial Narrow" w:hAnsi="Arial Narrow"/>
                <w:sz w:val="20"/>
              </w:rPr>
            </w:pPr>
            <w:r w:rsidRPr="00D05FB9">
              <w:rPr>
                <w:rFonts w:ascii="Arial Narrow" w:hAnsi="Arial Narrow"/>
                <w:sz w:val="20"/>
              </w:rPr>
              <w:t>KM estimate of PFS at 12 months, % (95% CI)</w:t>
            </w:r>
          </w:p>
        </w:tc>
        <w:tc>
          <w:tcPr>
            <w:tcW w:w="765"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 ''''''''</w:t>
            </w:r>
          </w:p>
        </w:tc>
        <w:tc>
          <w:tcPr>
            <w:tcW w:w="767" w:type="pct"/>
          </w:tcPr>
          <w:p w:rsidR="000267BB" w:rsidRPr="00B93D7B" w:rsidRDefault="000267BB" w:rsidP="006372C6">
            <w:pPr>
              <w:jc w:val="center"/>
              <w:rPr>
                <w:rFonts w:ascii="Arial Narrow" w:hAnsi="Arial Narrow"/>
                <w:sz w:val="20"/>
              </w:rPr>
            </w:pPr>
            <w:r w:rsidRPr="00B93D7B">
              <w:rPr>
                <w:rFonts w:ascii="Arial Narrow" w:hAnsi="Arial Narrow"/>
                <w:sz w:val="20"/>
              </w:rPr>
              <w:t>77 (69, 83)</w:t>
            </w:r>
          </w:p>
        </w:tc>
        <w:tc>
          <w:tcPr>
            <w:tcW w:w="690" w:type="pct"/>
          </w:tcPr>
          <w:p w:rsidR="000267BB" w:rsidRPr="00D05FB9" w:rsidRDefault="000267BB" w:rsidP="006372C6">
            <w:pPr>
              <w:pStyle w:val="TableText0"/>
              <w:spacing w:before="0" w:after="0"/>
              <w:jc w:val="center"/>
              <w:rPr>
                <w:rFonts w:ascii="Arial Narrow" w:hAnsi="Arial Narrow"/>
                <w:szCs w:val="20"/>
              </w:rPr>
            </w:pPr>
            <w:r w:rsidRPr="003A2EA3">
              <w:rPr>
                <w:rFonts w:ascii="Arial Narrow" w:hAnsi="Arial Narrow"/>
                <w:szCs w:val="20"/>
              </w:rPr>
              <w:t>79 (NR)</w:t>
            </w:r>
          </w:p>
        </w:tc>
        <w:tc>
          <w:tcPr>
            <w:tcW w:w="782" w:type="pct"/>
          </w:tcPr>
          <w:p w:rsidR="000267BB" w:rsidRPr="00D05FB9" w:rsidRDefault="000267BB" w:rsidP="006372C6">
            <w:pPr>
              <w:pStyle w:val="TableText0"/>
              <w:spacing w:before="0" w:after="0"/>
              <w:jc w:val="center"/>
              <w:rPr>
                <w:rFonts w:ascii="Arial Narrow" w:hAnsi="Arial Narrow"/>
                <w:szCs w:val="20"/>
              </w:rPr>
            </w:pPr>
            <w:r w:rsidRPr="00D05FB9">
              <w:rPr>
                <w:rFonts w:ascii="Arial Narrow" w:hAnsi="Arial Narrow"/>
                <w:szCs w:val="20"/>
              </w:rPr>
              <w:t>80 (NR)</w:t>
            </w:r>
            <w:r w:rsidRPr="00D05FB9">
              <w:rPr>
                <w:rFonts w:ascii="Arial Narrow" w:hAnsi="Arial Narrow"/>
                <w:szCs w:val="20"/>
                <w:vertAlign w:val="superscript"/>
              </w:rPr>
              <w:t>4</w:t>
            </w:r>
          </w:p>
        </w:tc>
      </w:tr>
      <w:tr w:rsidR="000267BB" w:rsidRPr="003A2EA3" w:rsidTr="006D7118">
        <w:tc>
          <w:tcPr>
            <w:tcW w:w="5000" w:type="pct"/>
            <w:gridSpan w:val="5"/>
          </w:tcPr>
          <w:p w:rsidR="000267BB" w:rsidRPr="00B93D7B" w:rsidRDefault="000267BB" w:rsidP="006372C6">
            <w:pPr>
              <w:pStyle w:val="TableText0"/>
              <w:spacing w:before="0" w:after="0"/>
              <w:rPr>
                <w:rFonts w:ascii="Arial Narrow" w:hAnsi="Arial Narrow"/>
                <w:szCs w:val="20"/>
              </w:rPr>
            </w:pPr>
            <w:r w:rsidRPr="00B93D7B">
              <w:rPr>
                <w:rFonts w:ascii="Arial Narrow" w:hAnsi="Arial Narrow"/>
                <w:b/>
                <w:szCs w:val="20"/>
              </w:rPr>
              <w:t>Overall survival</w:t>
            </w:r>
          </w:p>
        </w:tc>
      </w:tr>
      <w:tr w:rsidR="006D7118" w:rsidRPr="003A2EA3" w:rsidTr="006D7118">
        <w:tc>
          <w:tcPr>
            <w:tcW w:w="1996" w:type="pct"/>
            <w:vAlign w:val="center"/>
          </w:tcPr>
          <w:p w:rsidR="000267BB" w:rsidRPr="00D05FB9" w:rsidRDefault="000267BB" w:rsidP="006372C6">
            <w:pPr>
              <w:ind w:right="-108"/>
              <w:rPr>
                <w:rFonts w:ascii="Arial Narrow" w:hAnsi="Arial Narrow"/>
                <w:sz w:val="20"/>
              </w:rPr>
            </w:pPr>
            <w:r w:rsidRPr="00D05FB9">
              <w:rPr>
                <w:rFonts w:ascii="Arial Narrow" w:hAnsi="Arial Narrow"/>
                <w:sz w:val="20"/>
              </w:rPr>
              <w:t>Deaths n (%)</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767" w:type="pct"/>
            <w:vAlign w:val="center"/>
          </w:tcPr>
          <w:p w:rsidR="000267BB" w:rsidRPr="00B93D7B" w:rsidRDefault="000267BB" w:rsidP="006372C6">
            <w:pPr>
              <w:pStyle w:val="TableText0"/>
              <w:spacing w:before="0" w:after="0"/>
              <w:jc w:val="center"/>
              <w:rPr>
                <w:rFonts w:ascii="Arial Narrow" w:hAnsi="Arial Narrow"/>
                <w:szCs w:val="20"/>
              </w:rPr>
            </w:pPr>
            <w:r w:rsidRPr="00B93D7B">
              <w:rPr>
                <w:rFonts w:ascii="Arial Narrow" w:hAnsi="Arial Narrow"/>
                <w:szCs w:val="20"/>
              </w:rPr>
              <w:t>40 (25.3)</w:t>
            </w:r>
          </w:p>
        </w:tc>
        <w:tc>
          <w:tcPr>
            <w:tcW w:w="690" w:type="pct"/>
            <w:vAlign w:val="center"/>
          </w:tcPr>
          <w:p w:rsidR="000267BB" w:rsidRPr="00D05FB9" w:rsidRDefault="000267BB" w:rsidP="006372C6">
            <w:pPr>
              <w:jc w:val="center"/>
              <w:rPr>
                <w:rFonts w:ascii="Arial Narrow" w:hAnsi="Arial Narrow"/>
                <w:sz w:val="20"/>
              </w:rPr>
            </w:pPr>
            <w:r w:rsidRPr="00D05FB9">
              <w:rPr>
                <w:rFonts w:ascii="Arial Narrow" w:hAnsi="Arial Narrow"/>
                <w:sz w:val="20"/>
              </w:rPr>
              <w:t>NR</w:t>
            </w:r>
          </w:p>
        </w:tc>
        <w:tc>
          <w:tcPr>
            <w:tcW w:w="782" w:type="pct"/>
            <w:vAlign w:val="center"/>
          </w:tcPr>
          <w:p w:rsidR="000267BB" w:rsidRPr="00D05FB9" w:rsidRDefault="000267BB" w:rsidP="006372C6">
            <w:pPr>
              <w:jc w:val="center"/>
              <w:rPr>
                <w:rFonts w:ascii="Arial Narrow" w:hAnsi="Arial Narrow"/>
                <w:sz w:val="20"/>
              </w:rPr>
            </w:pPr>
            <w:r w:rsidRPr="00D05FB9">
              <w:rPr>
                <w:rFonts w:ascii="Arial Narrow" w:hAnsi="Arial Narrow"/>
                <w:sz w:val="20"/>
              </w:rPr>
              <w:t>NR</w:t>
            </w:r>
          </w:p>
        </w:tc>
      </w:tr>
      <w:tr w:rsidR="006D7118" w:rsidRPr="003A2EA3" w:rsidTr="006D7118">
        <w:tc>
          <w:tcPr>
            <w:tcW w:w="1996" w:type="pct"/>
            <w:vAlign w:val="center"/>
          </w:tcPr>
          <w:p w:rsidR="000267BB" w:rsidRPr="00D05FB9" w:rsidRDefault="000267BB" w:rsidP="006372C6">
            <w:pPr>
              <w:ind w:right="-108"/>
              <w:rPr>
                <w:rFonts w:ascii="Arial Narrow" w:hAnsi="Arial Narrow"/>
                <w:sz w:val="20"/>
              </w:rPr>
            </w:pPr>
            <w:r w:rsidRPr="00D05FB9">
              <w:rPr>
                <w:rFonts w:ascii="Arial Narrow" w:hAnsi="Arial Narrow"/>
                <w:sz w:val="20"/>
              </w:rPr>
              <w:t>Median OS, months (95% CI)</w:t>
            </w:r>
          </w:p>
        </w:tc>
        <w:tc>
          <w:tcPr>
            <w:tcW w:w="765" w:type="pct"/>
            <w:vAlign w:val="center"/>
          </w:tcPr>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xml:space="preserve">'''''''' ''''''''''''''''''' </w:t>
            </w:r>
          </w:p>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767" w:type="pct"/>
            <w:vAlign w:val="center"/>
          </w:tcPr>
          <w:p w:rsidR="000267BB" w:rsidRPr="00B93D7B" w:rsidRDefault="000267BB" w:rsidP="006372C6">
            <w:pPr>
              <w:pStyle w:val="TableText0"/>
              <w:spacing w:before="0" w:after="0"/>
              <w:jc w:val="center"/>
              <w:rPr>
                <w:rFonts w:ascii="Arial Narrow" w:hAnsi="Arial Narrow"/>
                <w:szCs w:val="20"/>
              </w:rPr>
            </w:pPr>
            <w:r w:rsidRPr="00B93D7B">
              <w:rPr>
                <w:rFonts w:ascii="Arial Narrow" w:hAnsi="Arial Narrow"/>
                <w:szCs w:val="20"/>
              </w:rPr>
              <w:t xml:space="preserve">Not reached </w:t>
            </w:r>
          </w:p>
          <w:p w:rsidR="000267BB" w:rsidRPr="00A5328F" w:rsidRDefault="00A5328F" w:rsidP="006372C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690" w:type="pct"/>
            <w:vAlign w:val="center"/>
          </w:tcPr>
          <w:p w:rsidR="000267BB" w:rsidRPr="00D05FB9" w:rsidRDefault="000267BB" w:rsidP="006372C6">
            <w:pPr>
              <w:jc w:val="center"/>
              <w:rPr>
                <w:rFonts w:ascii="Arial Narrow" w:hAnsi="Arial Narrow"/>
                <w:sz w:val="20"/>
              </w:rPr>
            </w:pPr>
            <w:r w:rsidRPr="00D05FB9">
              <w:rPr>
                <w:rFonts w:ascii="Arial Narrow" w:hAnsi="Arial Narrow"/>
                <w:sz w:val="20"/>
              </w:rPr>
              <w:t>NR</w:t>
            </w:r>
          </w:p>
        </w:tc>
        <w:tc>
          <w:tcPr>
            <w:tcW w:w="782" w:type="pct"/>
            <w:vAlign w:val="center"/>
          </w:tcPr>
          <w:p w:rsidR="000267BB" w:rsidRPr="00D05FB9" w:rsidRDefault="000267BB" w:rsidP="006372C6">
            <w:pPr>
              <w:jc w:val="center"/>
              <w:rPr>
                <w:rFonts w:ascii="Arial Narrow" w:hAnsi="Arial Narrow"/>
                <w:sz w:val="20"/>
              </w:rPr>
            </w:pPr>
            <w:r w:rsidRPr="00D05FB9">
              <w:rPr>
                <w:rFonts w:ascii="Arial Narrow" w:hAnsi="Arial Narrow"/>
                <w:sz w:val="20"/>
              </w:rPr>
              <w:t xml:space="preserve">Not reached </w:t>
            </w:r>
          </w:p>
          <w:p w:rsidR="000267BB" w:rsidRPr="00D05FB9" w:rsidRDefault="000267BB" w:rsidP="006372C6">
            <w:pPr>
              <w:jc w:val="center"/>
              <w:rPr>
                <w:rFonts w:ascii="Arial Narrow" w:hAnsi="Arial Narrow"/>
                <w:sz w:val="20"/>
              </w:rPr>
            </w:pPr>
            <w:r w:rsidRPr="00D05FB9">
              <w:rPr>
                <w:rFonts w:ascii="Arial Narrow" w:hAnsi="Arial Narrow"/>
                <w:sz w:val="20"/>
              </w:rPr>
              <w:t>(29.5, NE)</w:t>
            </w:r>
          </w:p>
        </w:tc>
      </w:tr>
      <w:tr w:rsidR="006D7118" w:rsidRPr="003A2EA3" w:rsidTr="006D7118">
        <w:tc>
          <w:tcPr>
            <w:tcW w:w="1996" w:type="pct"/>
          </w:tcPr>
          <w:p w:rsidR="000267BB" w:rsidRPr="00D05FB9" w:rsidRDefault="000267BB" w:rsidP="006372C6">
            <w:pPr>
              <w:ind w:right="-108"/>
              <w:rPr>
                <w:rFonts w:ascii="Arial Narrow" w:hAnsi="Arial Narrow"/>
                <w:sz w:val="20"/>
              </w:rPr>
            </w:pPr>
            <w:r w:rsidRPr="00D05FB9">
              <w:rPr>
                <w:rFonts w:ascii="Arial Narrow" w:hAnsi="Arial Narrow"/>
                <w:sz w:val="20"/>
              </w:rPr>
              <w:t>KM estimate of OS at 6 months, % (95% CI)</w:t>
            </w:r>
          </w:p>
        </w:tc>
        <w:tc>
          <w:tcPr>
            <w:tcW w:w="765"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 '''''''''</w:t>
            </w:r>
          </w:p>
        </w:tc>
        <w:tc>
          <w:tcPr>
            <w:tcW w:w="767"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 ''''''''</w:t>
            </w:r>
          </w:p>
        </w:tc>
        <w:tc>
          <w:tcPr>
            <w:tcW w:w="690" w:type="pct"/>
          </w:tcPr>
          <w:p w:rsidR="000267BB" w:rsidRPr="00D05FB9" w:rsidRDefault="000267BB" w:rsidP="006372C6">
            <w:pPr>
              <w:jc w:val="center"/>
              <w:rPr>
                <w:rFonts w:ascii="Arial Narrow" w:hAnsi="Arial Narrow"/>
                <w:sz w:val="20"/>
              </w:rPr>
            </w:pPr>
            <w:r w:rsidRPr="00D05FB9">
              <w:rPr>
                <w:rFonts w:ascii="Arial Narrow" w:hAnsi="Arial Narrow"/>
                <w:sz w:val="20"/>
              </w:rPr>
              <w:t>NR</w:t>
            </w:r>
          </w:p>
        </w:tc>
        <w:tc>
          <w:tcPr>
            <w:tcW w:w="782" w:type="pct"/>
          </w:tcPr>
          <w:p w:rsidR="000267BB" w:rsidRPr="00D05FB9" w:rsidRDefault="000267BB" w:rsidP="006372C6">
            <w:pPr>
              <w:jc w:val="center"/>
              <w:rPr>
                <w:rFonts w:ascii="Arial Narrow" w:hAnsi="Arial Narrow"/>
                <w:sz w:val="20"/>
              </w:rPr>
            </w:pPr>
            <w:r w:rsidRPr="00D05FB9">
              <w:rPr>
                <w:rFonts w:ascii="Arial Narrow" w:hAnsi="Arial Narrow"/>
                <w:sz w:val="20"/>
              </w:rPr>
              <w:t>NR</w:t>
            </w:r>
          </w:p>
        </w:tc>
      </w:tr>
      <w:tr w:rsidR="006D7118" w:rsidRPr="003A2EA3" w:rsidTr="006D7118">
        <w:tc>
          <w:tcPr>
            <w:tcW w:w="1996" w:type="pct"/>
          </w:tcPr>
          <w:p w:rsidR="000267BB" w:rsidRPr="00D05FB9" w:rsidRDefault="000267BB" w:rsidP="006372C6">
            <w:pPr>
              <w:ind w:right="-108"/>
              <w:rPr>
                <w:rFonts w:ascii="Arial Narrow" w:hAnsi="Arial Narrow"/>
                <w:sz w:val="20"/>
              </w:rPr>
            </w:pPr>
            <w:r w:rsidRPr="00D05FB9">
              <w:rPr>
                <w:rFonts w:ascii="Arial Narrow" w:hAnsi="Arial Narrow"/>
                <w:sz w:val="20"/>
              </w:rPr>
              <w:t>KM estimate of OS at 12 months, % (95% CI)</w:t>
            </w:r>
          </w:p>
        </w:tc>
        <w:tc>
          <w:tcPr>
            <w:tcW w:w="765" w:type="pct"/>
          </w:tcPr>
          <w:p w:rsidR="000267BB" w:rsidRPr="00A5328F" w:rsidRDefault="00A5328F" w:rsidP="006372C6">
            <w:pPr>
              <w:jc w:val="center"/>
              <w:rPr>
                <w:rFonts w:ascii="Arial Narrow" w:hAnsi="Arial Narrow"/>
                <w:sz w:val="20"/>
                <w:highlight w:val="black"/>
              </w:rPr>
            </w:pPr>
            <w:r>
              <w:rPr>
                <w:rFonts w:ascii="Arial Narrow" w:hAnsi="Arial Narrow"/>
                <w:noProof/>
                <w:color w:val="000000"/>
                <w:sz w:val="20"/>
                <w:highlight w:val="black"/>
              </w:rPr>
              <w:t>'''''' '''''''''' ''''''''</w:t>
            </w:r>
          </w:p>
        </w:tc>
        <w:tc>
          <w:tcPr>
            <w:tcW w:w="767" w:type="pct"/>
          </w:tcPr>
          <w:p w:rsidR="000267BB" w:rsidRPr="00B93D7B" w:rsidRDefault="000267BB" w:rsidP="006372C6">
            <w:pPr>
              <w:jc w:val="center"/>
              <w:rPr>
                <w:rFonts w:ascii="Arial Narrow" w:hAnsi="Arial Narrow"/>
                <w:sz w:val="20"/>
              </w:rPr>
            </w:pPr>
            <w:r w:rsidRPr="00B93D7B">
              <w:rPr>
                <w:rFonts w:ascii="Arial Narrow" w:hAnsi="Arial Narrow"/>
                <w:sz w:val="20"/>
              </w:rPr>
              <w:t>87 (80, 91)</w:t>
            </w:r>
          </w:p>
        </w:tc>
        <w:tc>
          <w:tcPr>
            <w:tcW w:w="690" w:type="pct"/>
          </w:tcPr>
          <w:p w:rsidR="000267BB" w:rsidRPr="00D05FB9" w:rsidRDefault="000267BB" w:rsidP="006372C6">
            <w:pPr>
              <w:jc w:val="center"/>
              <w:rPr>
                <w:rFonts w:ascii="Arial Narrow" w:hAnsi="Arial Narrow"/>
                <w:sz w:val="20"/>
              </w:rPr>
            </w:pPr>
            <w:r w:rsidRPr="00D05FB9">
              <w:rPr>
                <w:rFonts w:ascii="Arial Narrow" w:hAnsi="Arial Narrow"/>
                <w:sz w:val="20"/>
              </w:rPr>
              <w:t>NR</w:t>
            </w:r>
          </w:p>
        </w:tc>
        <w:tc>
          <w:tcPr>
            <w:tcW w:w="782" w:type="pct"/>
          </w:tcPr>
          <w:p w:rsidR="000267BB" w:rsidRPr="00D05FB9" w:rsidRDefault="000267BB" w:rsidP="006372C6">
            <w:pPr>
              <w:jc w:val="center"/>
              <w:rPr>
                <w:rFonts w:ascii="Arial Narrow" w:hAnsi="Arial Narrow"/>
                <w:sz w:val="20"/>
              </w:rPr>
            </w:pPr>
            <w:r w:rsidRPr="00D05FB9">
              <w:rPr>
                <w:rFonts w:ascii="Arial Narrow" w:hAnsi="Arial Narrow"/>
                <w:sz w:val="20"/>
              </w:rPr>
              <w:t>84 (NR)</w:t>
            </w:r>
            <w:r w:rsidRPr="00D05FB9">
              <w:rPr>
                <w:rFonts w:ascii="Arial Narrow" w:hAnsi="Arial Narrow"/>
                <w:sz w:val="20"/>
                <w:vertAlign w:val="superscript"/>
              </w:rPr>
              <w:t>4</w:t>
            </w:r>
          </w:p>
        </w:tc>
      </w:tr>
    </w:tbl>
    <w:p w:rsidR="000267BB" w:rsidRPr="003A2EA3" w:rsidRDefault="000267BB" w:rsidP="006D7118">
      <w:pPr>
        <w:rPr>
          <w:rFonts w:ascii="Arial Narrow" w:hAnsi="Arial Narrow"/>
          <w:sz w:val="18"/>
          <w:szCs w:val="18"/>
        </w:rPr>
      </w:pPr>
      <w:r w:rsidRPr="003A2EA3">
        <w:rPr>
          <w:rFonts w:ascii="Arial Narrow" w:hAnsi="Arial Narrow"/>
          <w:sz w:val="18"/>
          <w:szCs w:val="18"/>
        </w:rPr>
        <w:t xml:space="preserve">Abbreviations: 17p del, 17 deletion subgroup; CI, confidence interval; IBRU, </w:t>
      </w:r>
      <w:proofErr w:type="spellStart"/>
      <w:r w:rsidRPr="003A2EA3">
        <w:rPr>
          <w:rFonts w:ascii="Arial Narrow" w:hAnsi="Arial Narrow"/>
          <w:sz w:val="18"/>
          <w:szCs w:val="18"/>
        </w:rPr>
        <w:t>ibrutinib</w:t>
      </w:r>
      <w:proofErr w:type="spellEnd"/>
      <w:r w:rsidRPr="003A2EA3">
        <w:rPr>
          <w:rFonts w:ascii="Arial Narrow" w:hAnsi="Arial Narrow"/>
          <w:sz w:val="18"/>
          <w:szCs w:val="18"/>
        </w:rPr>
        <w:t xml:space="preserve">; KM, Kaplan-Meier; NE, not evaluable; NR, not reported; OS, overall survival; PFS, progression free survival; RITU, rituximab; VEN, </w:t>
      </w:r>
      <w:proofErr w:type="spellStart"/>
      <w:r w:rsidRPr="003A2EA3">
        <w:rPr>
          <w:rFonts w:ascii="Arial Narrow" w:hAnsi="Arial Narrow"/>
          <w:sz w:val="18"/>
          <w:szCs w:val="18"/>
        </w:rPr>
        <w:t>venetoclax</w:t>
      </w:r>
      <w:proofErr w:type="spellEnd"/>
    </w:p>
    <w:p w:rsidR="000267BB" w:rsidRPr="003A2EA3" w:rsidRDefault="000267BB" w:rsidP="006D7118">
      <w:pPr>
        <w:rPr>
          <w:rFonts w:ascii="Arial Narrow" w:hAnsi="Arial Narrow"/>
          <w:sz w:val="18"/>
          <w:szCs w:val="18"/>
        </w:rPr>
      </w:pPr>
      <w:r w:rsidRPr="003A2EA3">
        <w:rPr>
          <w:rFonts w:ascii="Arial Narrow" w:hAnsi="Arial Narrow"/>
          <w:sz w:val="18"/>
          <w:szCs w:val="18"/>
          <w:vertAlign w:val="superscript"/>
        </w:rPr>
        <w:t>1</w:t>
      </w:r>
      <w:r w:rsidRPr="003A2EA3">
        <w:rPr>
          <w:rFonts w:ascii="Arial Narrow" w:hAnsi="Arial Narrow"/>
          <w:sz w:val="18"/>
          <w:szCs w:val="18"/>
        </w:rPr>
        <w:t xml:space="preserve"> Interquartile range</w:t>
      </w:r>
    </w:p>
    <w:p w:rsidR="000267BB" w:rsidRPr="003A2EA3" w:rsidRDefault="000267BB" w:rsidP="006D7118">
      <w:pPr>
        <w:rPr>
          <w:rFonts w:ascii="Arial Narrow" w:hAnsi="Arial Narrow"/>
          <w:sz w:val="18"/>
          <w:szCs w:val="18"/>
        </w:rPr>
      </w:pPr>
      <w:r w:rsidRPr="003A2EA3">
        <w:rPr>
          <w:rFonts w:ascii="Arial Narrow" w:hAnsi="Arial Narrow"/>
          <w:sz w:val="18"/>
          <w:szCs w:val="18"/>
          <w:vertAlign w:val="superscript"/>
        </w:rPr>
        <w:t>2</w:t>
      </w:r>
      <w:r w:rsidRPr="003A2EA3">
        <w:rPr>
          <w:rFonts w:ascii="Arial Narrow" w:hAnsi="Arial Narrow"/>
          <w:sz w:val="18"/>
          <w:szCs w:val="18"/>
        </w:rPr>
        <w:t xml:space="preserve"> Includes partial response with lymphocytosis</w:t>
      </w:r>
    </w:p>
    <w:p w:rsidR="000267BB" w:rsidRPr="003A2EA3" w:rsidRDefault="000267BB" w:rsidP="006D7118">
      <w:pPr>
        <w:rPr>
          <w:rFonts w:ascii="Arial Narrow" w:hAnsi="Arial Narrow"/>
          <w:sz w:val="18"/>
          <w:szCs w:val="18"/>
        </w:rPr>
      </w:pPr>
      <w:r w:rsidRPr="003A2EA3">
        <w:rPr>
          <w:rFonts w:ascii="Arial Narrow" w:hAnsi="Arial Narrow"/>
          <w:sz w:val="18"/>
          <w:szCs w:val="18"/>
          <w:vertAlign w:val="superscript"/>
        </w:rPr>
        <w:t>3</w:t>
      </w:r>
      <w:r w:rsidRPr="003A2EA3">
        <w:rPr>
          <w:rFonts w:ascii="Arial Narrow" w:hAnsi="Arial Narrow"/>
          <w:sz w:val="18"/>
          <w:szCs w:val="18"/>
        </w:rPr>
        <w:t xml:space="preserve"> Results from 9-month analysis; not reported in 16-month analysis</w:t>
      </w:r>
    </w:p>
    <w:p w:rsidR="000267BB" w:rsidRPr="003A2EA3" w:rsidRDefault="000267BB" w:rsidP="006D7118">
      <w:pPr>
        <w:rPr>
          <w:rFonts w:ascii="Arial Narrow" w:hAnsi="Arial Narrow"/>
          <w:sz w:val="18"/>
          <w:szCs w:val="18"/>
        </w:rPr>
      </w:pPr>
      <w:r w:rsidRPr="003A2EA3">
        <w:rPr>
          <w:rFonts w:ascii="Arial Narrow" w:hAnsi="Arial Narrow"/>
          <w:sz w:val="18"/>
          <w:szCs w:val="18"/>
          <w:vertAlign w:val="superscript"/>
        </w:rPr>
        <w:t>4</w:t>
      </w:r>
      <w:r w:rsidRPr="003A2EA3">
        <w:rPr>
          <w:rFonts w:ascii="Arial Narrow" w:hAnsi="Arial Narrow"/>
          <w:sz w:val="18"/>
          <w:szCs w:val="18"/>
        </w:rPr>
        <w:t xml:space="preserve"> Based on interpolation of Kaplan-Meier data by the sponsor</w:t>
      </w:r>
    </w:p>
    <w:p w:rsidR="000267BB" w:rsidRPr="003A2EA3" w:rsidRDefault="000267BB" w:rsidP="006D7118">
      <w:pPr>
        <w:rPr>
          <w:rFonts w:ascii="Arial Narrow" w:hAnsi="Arial Narrow"/>
          <w:sz w:val="18"/>
          <w:szCs w:val="18"/>
        </w:rPr>
      </w:pPr>
      <w:r w:rsidRPr="003A2EA3">
        <w:rPr>
          <w:rFonts w:ascii="Arial Narrow" w:hAnsi="Arial Narrow"/>
          <w:sz w:val="18"/>
          <w:szCs w:val="18"/>
        </w:rPr>
        <w:t>Source: PBAC March 2017 minutes.</w:t>
      </w:r>
    </w:p>
    <w:p w:rsidR="00E517B1" w:rsidRPr="003A2EA3" w:rsidRDefault="00E517B1" w:rsidP="006D7118">
      <w:pPr>
        <w:rPr>
          <w:rFonts w:asciiTheme="minorHAnsi" w:hAnsiTheme="minorHAnsi"/>
        </w:rPr>
      </w:pPr>
    </w:p>
    <w:p w:rsidR="00E517B1" w:rsidRPr="003A2EA3" w:rsidRDefault="00E517B1" w:rsidP="00E517B1">
      <w:pPr>
        <w:pStyle w:val="ListParagraph"/>
        <w:widowControl/>
        <w:numPr>
          <w:ilvl w:val="1"/>
          <w:numId w:val="5"/>
        </w:numPr>
        <w:rPr>
          <w:rFonts w:asciiTheme="minorHAnsi" w:hAnsiTheme="minorHAnsi"/>
          <w:sz w:val="24"/>
          <w:szCs w:val="24"/>
        </w:rPr>
      </w:pPr>
      <w:r w:rsidRPr="003A2EA3">
        <w:rPr>
          <w:rFonts w:asciiTheme="minorHAnsi" w:hAnsiTheme="minorHAnsi"/>
          <w:sz w:val="24"/>
          <w:szCs w:val="24"/>
        </w:rPr>
        <w:t xml:space="preserve">The key results of the naïve indirect comparison between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and rituximab monotherapy in patients with highly refractory disease are summarised in Table </w:t>
      </w:r>
      <w:r w:rsidR="00B93D7B">
        <w:rPr>
          <w:rFonts w:asciiTheme="minorHAnsi" w:hAnsiTheme="minorHAnsi"/>
          <w:sz w:val="24"/>
          <w:szCs w:val="24"/>
        </w:rPr>
        <w:t>3</w:t>
      </w:r>
      <w:r w:rsidRPr="003A2EA3">
        <w:rPr>
          <w:rFonts w:asciiTheme="minorHAnsi" w:hAnsiTheme="minorHAnsi"/>
          <w:sz w:val="24"/>
          <w:szCs w:val="24"/>
        </w:rPr>
        <w:t>.</w:t>
      </w:r>
    </w:p>
    <w:p w:rsidR="0047714C" w:rsidRPr="003A2EA3" w:rsidRDefault="0047714C" w:rsidP="00E517B1">
      <w:pPr>
        <w:rPr>
          <w:rFonts w:asciiTheme="minorHAnsi" w:hAnsiTheme="minorHAnsi"/>
        </w:rPr>
      </w:pPr>
    </w:p>
    <w:p w:rsidR="00E517B1" w:rsidRPr="003A2EA3" w:rsidRDefault="00E517B1" w:rsidP="00E517B1">
      <w:pPr>
        <w:rPr>
          <w:rFonts w:asciiTheme="minorHAnsi" w:hAnsiTheme="minorHAnsi"/>
        </w:rPr>
      </w:pPr>
      <w:r w:rsidRPr="003A2EA3">
        <w:rPr>
          <w:rFonts w:asciiTheme="minorHAnsi" w:hAnsiTheme="minorHAnsi"/>
        </w:rPr>
        <w:br w:type="page"/>
      </w:r>
    </w:p>
    <w:p w:rsidR="000F0D8A" w:rsidRDefault="000F0D8A" w:rsidP="000F0D8A">
      <w:pPr>
        <w:pStyle w:val="Caption"/>
      </w:pPr>
      <w:proofErr w:type="gramStart"/>
      <w:r>
        <w:t xml:space="preserve">Table </w:t>
      </w:r>
      <w:r>
        <w:rPr>
          <w:noProof/>
        </w:rPr>
        <w:t>3</w:t>
      </w:r>
      <w:r w:rsidRPr="008211F9">
        <w:t>.</w:t>
      </w:r>
      <w:proofErr w:type="gramEnd"/>
      <w:r w:rsidRPr="008211F9">
        <w:t xml:space="preserve"> Summary of the most recent efficacy results for </w:t>
      </w:r>
      <w:proofErr w:type="spellStart"/>
      <w:r w:rsidRPr="008211F9">
        <w:t>venetoclax</w:t>
      </w:r>
      <w:proofErr w:type="spellEnd"/>
      <w:r w:rsidRPr="008211F9">
        <w:t xml:space="preserve"> vs. rituximab monotherapy in overall study populations</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11"/>
        <w:gridCol w:w="2589"/>
      </w:tblGrid>
      <w:tr w:rsidR="00E517B1" w:rsidRPr="003A2EA3" w:rsidTr="006D7118">
        <w:tc>
          <w:tcPr>
            <w:tcW w:w="2256" w:type="pct"/>
            <w:vMerge w:val="restart"/>
            <w:vAlign w:val="center"/>
          </w:tcPr>
          <w:p w:rsidR="00E517B1" w:rsidRPr="003A2EA3" w:rsidRDefault="00E517B1" w:rsidP="00A3481F">
            <w:pPr>
              <w:jc w:val="center"/>
              <w:rPr>
                <w:rFonts w:ascii="Arial Narrow" w:hAnsi="Arial Narrow"/>
                <w:b/>
                <w:sz w:val="20"/>
              </w:rPr>
            </w:pPr>
          </w:p>
        </w:tc>
        <w:tc>
          <w:tcPr>
            <w:tcW w:w="1323" w:type="pct"/>
            <w:vAlign w:val="center"/>
          </w:tcPr>
          <w:p w:rsidR="00E517B1" w:rsidRPr="003A2EA3" w:rsidRDefault="00E517B1" w:rsidP="00A3481F">
            <w:pPr>
              <w:jc w:val="center"/>
              <w:rPr>
                <w:rFonts w:ascii="Arial Narrow" w:hAnsi="Arial Narrow"/>
                <w:b/>
                <w:sz w:val="20"/>
              </w:rPr>
            </w:pPr>
            <w:r w:rsidRPr="003A2EA3">
              <w:rPr>
                <w:rFonts w:ascii="Arial Narrow" w:hAnsi="Arial Narrow"/>
                <w:b/>
                <w:sz w:val="20"/>
              </w:rPr>
              <w:t>M14-032</w:t>
            </w:r>
          </w:p>
        </w:tc>
        <w:tc>
          <w:tcPr>
            <w:tcW w:w="1421" w:type="pct"/>
            <w:vAlign w:val="center"/>
          </w:tcPr>
          <w:p w:rsidR="00E517B1" w:rsidRPr="003A2EA3" w:rsidRDefault="00E517B1" w:rsidP="00A3481F">
            <w:pPr>
              <w:pStyle w:val="Tabletextcentred"/>
              <w:rPr>
                <w:b/>
                <w:snapToGrid w:val="0"/>
              </w:rPr>
            </w:pPr>
            <w:r w:rsidRPr="003A2EA3">
              <w:rPr>
                <w:b/>
                <w:snapToGrid w:val="0"/>
              </w:rPr>
              <w:t>312-0116</w:t>
            </w:r>
          </w:p>
        </w:tc>
      </w:tr>
      <w:tr w:rsidR="00E517B1" w:rsidRPr="003A2EA3" w:rsidTr="006D7118">
        <w:tc>
          <w:tcPr>
            <w:tcW w:w="2256" w:type="pct"/>
            <w:vMerge/>
          </w:tcPr>
          <w:p w:rsidR="00E517B1" w:rsidRPr="003A2EA3" w:rsidRDefault="00E517B1" w:rsidP="00A3481F">
            <w:pPr>
              <w:jc w:val="center"/>
              <w:rPr>
                <w:rFonts w:ascii="Arial Narrow" w:hAnsi="Arial Narrow"/>
                <w:b/>
                <w:sz w:val="20"/>
              </w:rPr>
            </w:pPr>
          </w:p>
        </w:tc>
        <w:tc>
          <w:tcPr>
            <w:tcW w:w="1323" w:type="pct"/>
            <w:vAlign w:val="center"/>
          </w:tcPr>
          <w:p w:rsidR="00E517B1" w:rsidRPr="003A2EA3" w:rsidRDefault="00E517B1" w:rsidP="00A3481F">
            <w:pPr>
              <w:jc w:val="center"/>
              <w:rPr>
                <w:rFonts w:ascii="Arial Narrow" w:hAnsi="Arial Narrow"/>
                <w:b/>
                <w:sz w:val="20"/>
              </w:rPr>
            </w:pPr>
            <w:r w:rsidRPr="003A2EA3">
              <w:rPr>
                <w:rFonts w:ascii="Arial Narrow" w:hAnsi="Arial Narrow"/>
                <w:b/>
                <w:sz w:val="20"/>
              </w:rPr>
              <w:t>VEN</w:t>
            </w:r>
            <w:r w:rsidR="006D7118" w:rsidRPr="003A2EA3">
              <w:rPr>
                <w:rFonts w:ascii="Arial Narrow" w:hAnsi="Arial Narrow"/>
                <w:b/>
                <w:sz w:val="20"/>
              </w:rPr>
              <w:t xml:space="preserve"> </w:t>
            </w:r>
            <w:r w:rsidRPr="003A2EA3">
              <w:rPr>
                <w:rFonts w:ascii="Arial Narrow" w:hAnsi="Arial Narrow"/>
                <w:b/>
                <w:sz w:val="20"/>
              </w:rPr>
              <w:t>all subjects</w:t>
            </w:r>
          </w:p>
          <w:p w:rsidR="00E517B1" w:rsidRPr="003A2EA3" w:rsidRDefault="00E517B1" w:rsidP="00A3481F">
            <w:pPr>
              <w:jc w:val="center"/>
              <w:rPr>
                <w:rFonts w:ascii="Arial Narrow" w:hAnsi="Arial Narrow"/>
                <w:b/>
                <w:sz w:val="20"/>
              </w:rPr>
            </w:pPr>
            <w:r w:rsidRPr="003A2EA3">
              <w:rPr>
                <w:rFonts w:ascii="Arial Narrow" w:hAnsi="Arial Narrow"/>
                <w:b/>
                <w:sz w:val="20"/>
              </w:rPr>
              <w:t xml:space="preserve"> (N = 64)</w:t>
            </w:r>
          </w:p>
        </w:tc>
        <w:tc>
          <w:tcPr>
            <w:tcW w:w="1421" w:type="pct"/>
            <w:vAlign w:val="center"/>
          </w:tcPr>
          <w:p w:rsidR="00E517B1" w:rsidRPr="003A2EA3" w:rsidRDefault="00E517B1" w:rsidP="00A3481F">
            <w:pPr>
              <w:pStyle w:val="Tabletextcentred"/>
              <w:rPr>
                <w:b/>
                <w:snapToGrid w:val="0"/>
              </w:rPr>
            </w:pPr>
            <w:r w:rsidRPr="003A2EA3">
              <w:rPr>
                <w:b/>
                <w:snapToGrid w:val="0"/>
              </w:rPr>
              <w:t>PBO + RITU</w:t>
            </w:r>
            <w:r w:rsidR="006D7118" w:rsidRPr="003A2EA3">
              <w:rPr>
                <w:b/>
                <w:snapToGrid w:val="0"/>
              </w:rPr>
              <w:t xml:space="preserve"> </w:t>
            </w:r>
            <w:r w:rsidRPr="003A2EA3">
              <w:rPr>
                <w:b/>
                <w:snapToGrid w:val="0"/>
              </w:rPr>
              <w:t>all subjects</w:t>
            </w:r>
          </w:p>
          <w:p w:rsidR="00E517B1" w:rsidRPr="003A2EA3" w:rsidRDefault="00E517B1" w:rsidP="00A3481F">
            <w:pPr>
              <w:pStyle w:val="Tabletextcentred"/>
              <w:rPr>
                <w:b/>
                <w:snapToGrid w:val="0"/>
              </w:rPr>
            </w:pPr>
            <w:r w:rsidRPr="003A2EA3">
              <w:rPr>
                <w:b/>
                <w:snapToGrid w:val="0"/>
              </w:rPr>
              <w:t xml:space="preserve"> (N = 110)</w:t>
            </w:r>
          </w:p>
        </w:tc>
      </w:tr>
      <w:tr w:rsidR="00E517B1" w:rsidRPr="003A2EA3" w:rsidTr="006D7118">
        <w:tc>
          <w:tcPr>
            <w:tcW w:w="2256" w:type="pct"/>
          </w:tcPr>
          <w:p w:rsidR="00E517B1" w:rsidRPr="003A2EA3" w:rsidRDefault="00E517B1" w:rsidP="00A3481F">
            <w:pPr>
              <w:rPr>
                <w:rFonts w:ascii="Arial Narrow" w:hAnsi="Arial Narrow"/>
                <w:sz w:val="20"/>
              </w:rPr>
            </w:pPr>
            <w:r w:rsidRPr="003A2EA3">
              <w:rPr>
                <w:rFonts w:ascii="Arial Narrow" w:hAnsi="Arial Narrow"/>
                <w:sz w:val="20"/>
              </w:rPr>
              <w:t>Median duration of treatment, months (range)</w:t>
            </w:r>
          </w:p>
        </w:tc>
        <w:tc>
          <w:tcPr>
            <w:tcW w:w="1323" w:type="pct"/>
            <w:vAlign w:val="center"/>
          </w:tcPr>
          <w:p w:rsidR="00E517B1" w:rsidRPr="00386A5C" w:rsidRDefault="00E517B1" w:rsidP="00A3481F">
            <w:pPr>
              <w:jc w:val="center"/>
              <w:rPr>
                <w:rFonts w:ascii="Arial Narrow" w:hAnsi="Arial Narrow"/>
                <w:sz w:val="20"/>
                <w:highlight w:val="yellow"/>
              </w:rPr>
            </w:pPr>
            <w:r w:rsidRPr="002031D8">
              <w:rPr>
                <w:rFonts w:ascii="Arial Narrow" w:hAnsi="Arial Narrow"/>
                <w:sz w:val="20"/>
              </w:rPr>
              <w:t>11.7 (0.1-17.9)</w:t>
            </w:r>
          </w:p>
        </w:tc>
        <w:tc>
          <w:tcPr>
            <w:tcW w:w="1421" w:type="pct"/>
          </w:tcPr>
          <w:p w:rsidR="00E517B1" w:rsidRPr="00C27F96" w:rsidRDefault="00E517B1" w:rsidP="00A3481F">
            <w:pPr>
              <w:pStyle w:val="Tabletextcentred"/>
              <w:rPr>
                <w:snapToGrid w:val="0"/>
              </w:rPr>
            </w:pPr>
            <w:r w:rsidRPr="003A2EA3">
              <w:rPr>
                <w:snapToGrid w:val="0"/>
              </w:rPr>
              <w:t>4.6 (0.1-14.6)</w:t>
            </w:r>
          </w:p>
        </w:tc>
      </w:tr>
      <w:tr w:rsidR="00E517B1" w:rsidRPr="003A2EA3" w:rsidTr="006D7118">
        <w:tc>
          <w:tcPr>
            <w:tcW w:w="2256" w:type="pct"/>
          </w:tcPr>
          <w:p w:rsidR="00E517B1" w:rsidRPr="003A2EA3" w:rsidRDefault="00E517B1" w:rsidP="00A3481F">
            <w:pPr>
              <w:rPr>
                <w:rFonts w:ascii="Arial Narrow" w:hAnsi="Arial Narrow"/>
                <w:sz w:val="20"/>
              </w:rPr>
            </w:pPr>
            <w:r w:rsidRPr="003A2EA3">
              <w:rPr>
                <w:rFonts w:ascii="Arial Narrow" w:hAnsi="Arial Narrow"/>
                <w:sz w:val="20"/>
              </w:rPr>
              <w:t>Median duration of follow-up, months (range)</w:t>
            </w:r>
          </w:p>
        </w:tc>
        <w:tc>
          <w:tcPr>
            <w:tcW w:w="1323" w:type="pct"/>
            <w:vAlign w:val="center"/>
          </w:tcPr>
          <w:p w:rsidR="00E517B1" w:rsidRPr="00386A5C" w:rsidRDefault="00E517B1" w:rsidP="00A3481F">
            <w:pPr>
              <w:jc w:val="center"/>
              <w:rPr>
                <w:rFonts w:ascii="Arial Narrow" w:hAnsi="Arial Narrow"/>
                <w:sz w:val="20"/>
                <w:highlight w:val="yellow"/>
              </w:rPr>
            </w:pPr>
            <w:r w:rsidRPr="002031D8">
              <w:rPr>
                <w:rFonts w:ascii="Arial Narrow" w:hAnsi="Arial Narrow"/>
                <w:sz w:val="20"/>
              </w:rPr>
              <w:t>NR</w:t>
            </w:r>
          </w:p>
        </w:tc>
        <w:tc>
          <w:tcPr>
            <w:tcW w:w="1421" w:type="pct"/>
          </w:tcPr>
          <w:p w:rsidR="00E517B1" w:rsidRPr="00C27F96" w:rsidRDefault="00E517B1" w:rsidP="00A3481F">
            <w:pPr>
              <w:pStyle w:val="Tabletextcentred"/>
              <w:rPr>
                <w:snapToGrid w:val="0"/>
              </w:rPr>
            </w:pPr>
            <w:r w:rsidRPr="003A2EA3">
              <w:rPr>
                <w:snapToGrid w:val="0"/>
              </w:rPr>
              <w:t>1</w:t>
            </w:r>
            <w:r w:rsidRPr="00C27F96">
              <w:rPr>
                <w:snapToGrid w:val="0"/>
              </w:rPr>
              <w:t>1.1 (0.2-24.6)</w:t>
            </w:r>
          </w:p>
        </w:tc>
      </w:tr>
      <w:tr w:rsidR="00E517B1" w:rsidRPr="003A2EA3" w:rsidTr="006D7118">
        <w:tc>
          <w:tcPr>
            <w:tcW w:w="5000" w:type="pct"/>
            <w:gridSpan w:val="3"/>
            <w:vAlign w:val="center"/>
          </w:tcPr>
          <w:p w:rsidR="00E517B1" w:rsidRPr="003A2EA3" w:rsidRDefault="00E517B1" w:rsidP="00A3481F">
            <w:pPr>
              <w:rPr>
                <w:rFonts w:ascii="Arial Narrow" w:hAnsi="Arial Narrow"/>
                <w:sz w:val="20"/>
              </w:rPr>
            </w:pPr>
            <w:r w:rsidRPr="003A2EA3">
              <w:rPr>
                <w:rFonts w:ascii="Arial Narrow" w:hAnsi="Arial Narrow"/>
                <w:b/>
                <w:sz w:val="20"/>
              </w:rPr>
              <w:t>Response rates</w:t>
            </w:r>
          </w:p>
        </w:tc>
      </w:tr>
      <w:tr w:rsidR="00E517B1" w:rsidRPr="003A2EA3" w:rsidTr="006D7118">
        <w:tc>
          <w:tcPr>
            <w:tcW w:w="2256" w:type="pct"/>
            <w:vAlign w:val="center"/>
          </w:tcPr>
          <w:p w:rsidR="00E517B1" w:rsidRPr="003A2EA3" w:rsidRDefault="00E517B1" w:rsidP="00A3481F">
            <w:pPr>
              <w:pStyle w:val="TableText0"/>
              <w:spacing w:before="0" w:after="0"/>
              <w:rPr>
                <w:rFonts w:ascii="Arial Narrow" w:hAnsi="Arial Narrow"/>
                <w:szCs w:val="20"/>
                <w:vertAlign w:val="superscript"/>
              </w:rPr>
            </w:pPr>
            <w:r w:rsidRPr="003A2EA3">
              <w:rPr>
                <w:rFonts w:ascii="Arial Narrow" w:hAnsi="Arial Narrow"/>
                <w:szCs w:val="20"/>
              </w:rPr>
              <w:t>Overall response rate, % (95% CI)</w:t>
            </w:r>
          </w:p>
        </w:tc>
        <w:tc>
          <w:tcPr>
            <w:tcW w:w="1323" w:type="pct"/>
            <w:vAlign w:val="center"/>
          </w:tcPr>
          <w:p w:rsidR="00E517B1" w:rsidRPr="00386A5C" w:rsidRDefault="00E517B1" w:rsidP="00A3481F">
            <w:pPr>
              <w:jc w:val="center"/>
              <w:rPr>
                <w:rFonts w:ascii="Arial Narrow" w:hAnsi="Arial Narrow"/>
                <w:sz w:val="20"/>
                <w:highlight w:val="yellow"/>
              </w:rPr>
            </w:pPr>
            <w:r w:rsidRPr="002031D8">
              <w:rPr>
                <w:rFonts w:ascii="Arial Narrow" w:hAnsi="Arial Narrow"/>
                <w:sz w:val="20"/>
              </w:rPr>
              <w:t>67.2 (54.3, 78.4)</w:t>
            </w:r>
          </w:p>
        </w:tc>
        <w:tc>
          <w:tcPr>
            <w:tcW w:w="1421" w:type="pct"/>
            <w:vAlign w:val="center"/>
          </w:tcPr>
          <w:p w:rsidR="00E517B1" w:rsidRPr="00C27F96" w:rsidRDefault="00E517B1" w:rsidP="00A3481F">
            <w:pPr>
              <w:jc w:val="center"/>
              <w:rPr>
                <w:rFonts w:ascii="Arial Narrow" w:hAnsi="Arial Narrow"/>
                <w:sz w:val="20"/>
              </w:rPr>
            </w:pPr>
            <w:r w:rsidRPr="003A2EA3">
              <w:rPr>
                <w:rFonts w:ascii="Arial Narrow" w:hAnsi="Arial Narrow"/>
                <w:sz w:val="20"/>
              </w:rPr>
              <w:t>15.5 (9.3, 23.6)</w:t>
            </w:r>
          </w:p>
        </w:tc>
      </w:tr>
      <w:tr w:rsidR="00E517B1" w:rsidRPr="003A2EA3" w:rsidTr="006D7118">
        <w:tc>
          <w:tcPr>
            <w:tcW w:w="2256" w:type="pct"/>
            <w:vAlign w:val="center"/>
          </w:tcPr>
          <w:p w:rsidR="00E517B1" w:rsidRPr="003A2EA3" w:rsidRDefault="00E517B1" w:rsidP="00A3481F">
            <w:pPr>
              <w:pStyle w:val="TableText0"/>
              <w:spacing w:before="0" w:after="0"/>
              <w:rPr>
                <w:rFonts w:ascii="Arial Narrow" w:hAnsi="Arial Narrow"/>
                <w:szCs w:val="20"/>
              </w:rPr>
            </w:pPr>
            <w:r w:rsidRPr="003A2EA3">
              <w:rPr>
                <w:rFonts w:ascii="Arial Narrow" w:hAnsi="Arial Narrow"/>
                <w:szCs w:val="20"/>
              </w:rPr>
              <w:t>- Complete response, n (%)</w:t>
            </w:r>
          </w:p>
        </w:tc>
        <w:tc>
          <w:tcPr>
            <w:tcW w:w="1323" w:type="pct"/>
            <w:vAlign w:val="center"/>
          </w:tcPr>
          <w:p w:rsidR="00E517B1" w:rsidRPr="00386A5C" w:rsidRDefault="00E517B1" w:rsidP="00A3481F">
            <w:pPr>
              <w:pStyle w:val="Tabletextcentred"/>
              <w:rPr>
                <w:highlight w:val="yellow"/>
              </w:rPr>
            </w:pPr>
            <w:r w:rsidRPr="002031D8">
              <w:t>1 (1.6)</w:t>
            </w:r>
          </w:p>
        </w:tc>
        <w:tc>
          <w:tcPr>
            <w:tcW w:w="1421" w:type="pct"/>
            <w:vAlign w:val="center"/>
          </w:tcPr>
          <w:p w:rsidR="00E517B1" w:rsidRPr="003A2EA3" w:rsidRDefault="00E517B1" w:rsidP="00A3481F">
            <w:pPr>
              <w:pStyle w:val="TableText0"/>
              <w:spacing w:before="0" w:after="0"/>
              <w:jc w:val="center"/>
              <w:rPr>
                <w:rFonts w:ascii="Arial Narrow" w:hAnsi="Arial Narrow"/>
                <w:szCs w:val="20"/>
              </w:rPr>
            </w:pPr>
            <w:r w:rsidRPr="003A2EA3">
              <w:rPr>
                <w:rFonts w:ascii="Arial Narrow" w:hAnsi="Arial Narrow"/>
                <w:szCs w:val="20"/>
              </w:rPr>
              <w:t>0</w:t>
            </w:r>
          </w:p>
        </w:tc>
      </w:tr>
      <w:tr w:rsidR="00E517B1" w:rsidRPr="003A2EA3" w:rsidTr="006D7118">
        <w:tc>
          <w:tcPr>
            <w:tcW w:w="2256" w:type="pct"/>
            <w:vAlign w:val="center"/>
          </w:tcPr>
          <w:p w:rsidR="00E517B1" w:rsidRPr="003A2EA3" w:rsidRDefault="00E517B1" w:rsidP="00A3481F">
            <w:pPr>
              <w:pStyle w:val="TableText0"/>
              <w:spacing w:before="0" w:after="0"/>
              <w:rPr>
                <w:rFonts w:ascii="Arial Narrow" w:hAnsi="Arial Narrow"/>
                <w:szCs w:val="20"/>
              </w:rPr>
            </w:pPr>
            <w:r w:rsidRPr="003A2EA3">
              <w:rPr>
                <w:rFonts w:ascii="Arial Narrow" w:hAnsi="Arial Narrow"/>
                <w:szCs w:val="20"/>
              </w:rPr>
              <w:t>- Partial response, n (%)</w:t>
            </w:r>
          </w:p>
        </w:tc>
        <w:tc>
          <w:tcPr>
            <w:tcW w:w="1323" w:type="pct"/>
            <w:vAlign w:val="center"/>
          </w:tcPr>
          <w:p w:rsidR="00E517B1" w:rsidRPr="00386A5C" w:rsidRDefault="00E517B1" w:rsidP="00A3481F">
            <w:pPr>
              <w:pStyle w:val="Tabletextcentred"/>
              <w:rPr>
                <w:highlight w:val="yellow"/>
              </w:rPr>
            </w:pPr>
            <w:r w:rsidRPr="002031D8">
              <w:t>42 (65.6)</w:t>
            </w:r>
          </w:p>
        </w:tc>
        <w:tc>
          <w:tcPr>
            <w:tcW w:w="1421" w:type="pct"/>
            <w:vAlign w:val="center"/>
          </w:tcPr>
          <w:p w:rsidR="00E517B1" w:rsidRPr="003A2EA3" w:rsidRDefault="00E517B1" w:rsidP="00A3481F">
            <w:pPr>
              <w:pStyle w:val="TableText0"/>
              <w:spacing w:before="0" w:after="0"/>
              <w:jc w:val="center"/>
              <w:rPr>
                <w:rFonts w:ascii="Arial Narrow" w:hAnsi="Arial Narrow"/>
                <w:szCs w:val="20"/>
              </w:rPr>
            </w:pPr>
            <w:r w:rsidRPr="003A2EA3">
              <w:rPr>
                <w:rFonts w:ascii="Arial Narrow" w:hAnsi="Arial Narrow"/>
                <w:szCs w:val="20"/>
              </w:rPr>
              <w:t>(15.5)</w:t>
            </w:r>
          </w:p>
        </w:tc>
      </w:tr>
      <w:tr w:rsidR="00E517B1" w:rsidRPr="003A2EA3" w:rsidTr="006D7118">
        <w:tc>
          <w:tcPr>
            <w:tcW w:w="5000" w:type="pct"/>
            <w:gridSpan w:val="3"/>
          </w:tcPr>
          <w:p w:rsidR="00E517B1" w:rsidRPr="00D05FB9" w:rsidRDefault="00E517B1" w:rsidP="00A3481F">
            <w:pPr>
              <w:rPr>
                <w:rFonts w:ascii="Arial Narrow" w:hAnsi="Arial Narrow"/>
                <w:b/>
                <w:sz w:val="20"/>
              </w:rPr>
            </w:pPr>
            <w:r w:rsidRPr="00D05FB9">
              <w:rPr>
                <w:rFonts w:ascii="Arial Narrow" w:hAnsi="Arial Narrow"/>
                <w:b/>
                <w:sz w:val="20"/>
              </w:rPr>
              <w:t>Progression-free survival</w:t>
            </w:r>
          </w:p>
        </w:tc>
      </w:tr>
      <w:tr w:rsidR="00E517B1" w:rsidRPr="003A2EA3" w:rsidTr="006D7118">
        <w:tc>
          <w:tcPr>
            <w:tcW w:w="2256" w:type="pct"/>
          </w:tcPr>
          <w:p w:rsidR="00E517B1" w:rsidRPr="00D05FB9" w:rsidRDefault="00E517B1" w:rsidP="00A3481F">
            <w:pPr>
              <w:rPr>
                <w:rFonts w:ascii="Arial Narrow" w:hAnsi="Arial Narrow"/>
                <w:sz w:val="20"/>
              </w:rPr>
            </w:pPr>
            <w:r w:rsidRPr="00D05FB9">
              <w:rPr>
                <w:rFonts w:ascii="Arial Narrow" w:hAnsi="Arial Narrow"/>
                <w:sz w:val="20"/>
              </w:rPr>
              <w:t>Events n (%)</w:t>
            </w:r>
          </w:p>
        </w:tc>
        <w:tc>
          <w:tcPr>
            <w:tcW w:w="1323" w:type="pct"/>
          </w:tcPr>
          <w:p w:rsidR="00E517B1" w:rsidRPr="00386A5C" w:rsidRDefault="00E517B1" w:rsidP="00A3481F">
            <w:pPr>
              <w:jc w:val="center"/>
              <w:rPr>
                <w:rFonts w:ascii="Arial Narrow" w:hAnsi="Arial Narrow"/>
                <w:sz w:val="20"/>
                <w:highlight w:val="yellow"/>
              </w:rPr>
            </w:pPr>
            <w:r w:rsidRPr="002031D8">
              <w:rPr>
                <w:rFonts w:ascii="Arial Narrow" w:hAnsi="Arial Narrow"/>
                <w:sz w:val="20"/>
              </w:rPr>
              <w:t>12 (18.8%)</w:t>
            </w:r>
          </w:p>
        </w:tc>
        <w:tc>
          <w:tcPr>
            <w:tcW w:w="1421" w:type="pct"/>
          </w:tcPr>
          <w:p w:rsidR="00E517B1" w:rsidRPr="00D05FB9" w:rsidRDefault="00E517B1" w:rsidP="00A3481F">
            <w:pPr>
              <w:jc w:val="center"/>
              <w:rPr>
                <w:rFonts w:ascii="Arial Narrow" w:hAnsi="Arial Narrow"/>
                <w:sz w:val="20"/>
              </w:rPr>
            </w:pPr>
            <w:r w:rsidRPr="00D05FB9">
              <w:rPr>
                <w:rFonts w:ascii="Arial Narrow" w:hAnsi="Arial Narrow"/>
                <w:sz w:val="20"/>
              </w:rPr>
              <w:t>(63.6)</w:t>
            </w:r>
          </w:p>
        </w:tc>
      </w:tr>
      <w:tr w:rsidR="00E517B1" w:rsidRPr="003A2EA3" w:rsidTr="006D7118">
        <w:tc>
          <w:tcPr>
            <w:tcW w:w="2256" w:type="pct"/>
            <w:vAlign w:val="center"/>
          </w:tcPr>
          <w:p w:rsidR="00E517B1" w:rsidRPr="00D05FB9" w:rsidRDefault="00E517B1" w:rsidP="00A3481F">
            <w:pPr>
              <w:ind w:right="-108"/>
              <w:rPr>
                <w:rFonts w:ascii="Arial Narrow" w:hAnsi="Arial Narrow"/>
                <w:sz w:val="20"/>
              </w:rPr>
            </w:pPr>
            <w:r w:rsidRPr="00D05FB9">
              <w:rPr>
                <w:rFonts w:ascii="Arial Narrow" w:hAnsi="Arial Narrow"/>
                <w:sz w:val="20"/>
              </w:rPr>
              <w:t>Median PFS, months (95% CI)</w:t>
            </w:r>
          </w:p>
        </w:tc>
        <w:tc>
          <w:tcPr>
            <w:tcW w:w="1323" w:type="pct"/>
            <w:vAlign w:val="center"/>
          </w:tcPr>
          <w:p w:rsidR="00E517B1" w:rsidRPr="00386A5C" w:rsidRDefault="00E517B1" w:rsidP="00A3481F">
            <w:pPr>
              <w:pStyle w:val="Tabletextcentred"/>
              <w:rPr>
                <w:highlight w:val="yellow"/>
              </w:rPr>
            </w:pPr>
            <w:r w:rsidRPr="002031D8">
              <w:t>Not reached (13.2, NE)</w:t>
            </w:r>
          </w:p>
        </w:tc>
        <w:tc>
          <w:tcPr>
            <w:tcW w:w="1421" w:type="pct"/>
            <w:vAlign w:val="center"/>
          </w:tcPr>
          <w:p w:rsidR="00E517B1" w:rsidRPr="00D05FB9" w:rsidRDefault="00E517B1" w:rsidP="00A3481F">
            <w:pPr>
              <w:jc w:val="center"/>
              <w:rPr>
                <w:rFonts w:ascii="Arial Narrow" w:hAnsi="Arial Narrow"/>
                <w:sz w:val="20"/>
              </w:rPr>
            </w:pPr>
            <w:r w:rsidRPr="00D05FB9">
              <w:rPr>
                <w:rFonts w:ascii="Arial Narrow" w:hAnsi="Arial Narrow"/>
                <w:sz w:val="20"/>
              </w:rPr>
              <w:t>6.5 (4.0, 7.3)</w:t>
            </w:r>
          </w:p>
        </w:tc>
      </w:tr>
      <w:tr w:rsidR="00E517B1" w:rsidRPr="003A2EA3" w:rsidTr="006D7118">
        <w:tc>
          <w:tcPr>
            <w:tcW w:w="2256" w:type="pct"/>
          </w:tcPr>
          <w:p w:rsidR="00E517B1" w:rsidRPr="00D05FB9" w:rsidRDefault="00E517B1" w:rsidP="00A3481F">
            <w:pPr>
              <w:ind w:right="-108"/>
              <w:rPr>
                <w:rFonts w:ascii="Arial Narrow" w:hAnsi="Arial Narrow"/>
                <w:sz w:val="20"/>
              </w:rPr>
            </w:pPr>
            <w:r w:rsidRPr="00D05FB9">
              <w:rPr>
                <w:rFonts w:ascii="Arial Narrow" w:hAnsi="Arial Narrow"/>
                <w:sz w:val="20"/>
              </w:rPr>
              <w:t>KM estimate of PFS at 6 months, % (95% CI)</w:t>
            </w:r>
          </w:p>
        </w:tc>
        <w:tc>
          <w:tcPr>
            <w:tcW w:w="1323" w:type="pct"/>
          </w:tcPr>
          <w:p w:rsidR="00E517B1" w:rsidRPr="00A5328F" w:rsidRDefault="00A5328F" w:rsidP="00A3481F">
            <w:pPr>
              <w:jc w:val="center"/>
              <w:rPr>
                <w:rFonts w:ascii="Arial Narrow" w:hAnsi="Arial Narrow"/>
                <w:sz w:val="20"/>
                <w:highlight w:val="black"/>
              </w:rPr>
            </w:pPr>
            <w:r>
              <w:rPr>
                <w:rFonts w:ascii="Arial Narrow" w:hAnsi="Arial Narrow"/>
                <w:noProof/>
                <w:color w:val="000000"/>
                <w:sz w:val="20"/>
                <w:highlight w:val="black"/>
              </w:rPr>
              <w:t>''''''' '''''''''' '''''''</w:t>
            </w:r>
          </w:p>
        </w:tc>
        <w:tc>
          <w:tcPr>
            <w:tcW w:w="1421" w:type="pct"/>
          </w:tcPr>
          <w:p w:rsidR="00E517B1" w:rsidRPr="00D05FB9" w:rsidRDefault="00E517B1" w:rsidP="00A3481F">
            <w:pPr>
              <w:jc w:val="center"/>
              <w:rPr>
                <w:rFonts w:ascii="Arial Narrow" w:hAnsi="Arial Narrow"/>
                <w:sz w:val="20"/>
              </w:rPr>
            </w:pPr>
            <w:r w:rsidRPr="00D05FB9">
              <w:rPr>
                <w:rFonts w:ascii="Arial Narrow" w:hAnsi="Arial Narrow"/>
                <w:sz w:val="20"/>
              </w:rPr>
              <w:t>NR</w:t>
            </w:r>
          </w:p>
        </w:tc>
      </w:tr>
      <w:tr w:rsidR="00E517B1" w:rsidRPr="003A2EA3" w:rsidTr="006D7118">
        <w:tc>
          <w:tcPr>
            <w:tcW w:w="2256" w:type="pct"/>
          </w:tcPr>
          <w:p w:rsidR="00E517B1" w:rsidRPr="00D05FB9" w:rsidRDefault="00E517B1" w:rsidP="00A3481F">
            <w:pPr>
              <w:ind w:right="-108"/>
              <w:rPr>
                <w:rFonts w:ascii="Arial Narrow" w:hAnsi="Arial Narrow"/>
                <w:sz w:val="20"/>
              </w:rPr>
            </w:pPr>
            <w:r w:rsidRPr="00D05FB9">
              <w:rPr>
                <w:rFonts w:ascii="Arial Narrow" w:hAnsi="Arial Narrow"/>
                <w:sz w:val="20"/>
              </w:rPr>
              <w:t>KM estimate of PFS at 12 months, % (95% CI)</w:t>
            </w:r>
          </w:p>
        </w:tc>
        <w:tc>
          <w:tcPr>
            <w:tcW w:w="1323" w:type="pct"/>
          </w:tcPr>
          <w:p w:rsidR="00E517B1" w:rsidRPr="00864F62" w:rsidRDefault="00E517B1" w:rsidP="00A3481F">
            <w:pPr>
              <w:jc w:val="center"/>
              <w:rPr>
                <w:rFonts w:ascii="Arial Narrow" w:hAnsi="Arial Narrow"/>
                <w:sz w:val="20"/>
              </w:rPr>
            </w:pPr>
            <w:r w:rsidRPr="002031D8">
              <w:rPr>
                <w:rFonts w:ascii="Arial Narrow" w:hAnsi="Arial Narrow"/>
                <w:sz w:val="20"/>
              </w:rPr>
              <w:t>81 (68, 89)</w:t>
            </w:r>
          </w:p>
        </w:tc>
        <w:tc>
          <w:tcPr>
            <w:tcW w:w="1421" w:type="pct"/>
          </w:tcPr>
          <w:p w:rsidR="00E517B1" w:rsidRPr="00D05FB9" w:rsidRDefault="00E517B1" w:rsidP="00A3481F">
            <w:pPr>
              <w:jc w:val="center"/>
              <w:rPr>
                <w:rFonts w:ascii="Arial Narrow" w:hAnsi="Arial Narrow"/>
                <w:sz w:val="20"/>
              </w:rPr>
            </w:pPr>
            <w:r w:rsidRPr="00D05FB9">
              <w:rPr>
                <w:rFonts w:ascii="Arial Narrow" w:hAnsi="Arial Narrow"/>
                <w:sz w:val="20"/>
              </w:rPr>
              <w:t>9.2 (NR)</w:t>
            </w:r>
          </w:p>
        </w:tc>
      </w:tr>
      <w:tr w:rsidR="00E517B1" w:rsidRPr="003A2EA3" w:rsidTr="006D7118">
        <w:tc>
          <w:tcPr>
            <w:tcW w:w="5000" w:type="pct"/>
            <w:gridSpan w:val="3"/>
            <w:vAlign w:val="center"/>
          </w:tcPr>
          <w:p w:rsidR="00E517B1" w:rsidRPr="00864F62" w:rsidRDefault="00E517B1" w:rsidP="00A3481F">
            <w:pPr>
              <w:rPr>
                <w:rFonts w:ascii="Arial Narrow" w:hAnsi="Arial Narrow"/>
                <w:b/>
                <w:sz w:val="20"/>
              </w:rPr>
            </w:pPr>
            <w:r w:rsidRPr="00864F62">
              <w:rPr>
                <w:rFonts w:ascii="Arial Narrow" w:hAnsi="Arial Narrow"/>
                <w:b/>
                <w:sz w:val="20"/>
              </w:rPr>
              <w:t>Overall survival</w:t>
            </w:r>
          </w:p>
        </w:tc>
      </w:tr>
      <w:tr w:rsidR="00E517B1" w:rsidRPr="003A2EA3" w:rsidTr="006D7118">
        <w:tc>
          <w:tcPr>
            <w:tcW w:w="2256" w:type="pct"/>
            <w:vAlign w:val="center"/>
          </w:tcPr>
          <w:p w:rsidR="00E517B1" w:rsidRPr="00D05FB9" w:rsidRDefault="00E517B1" w:rsidP="00A3481F">
            <w:pPr>
              <w:ind w:right="-108"/>
              <w:rPr>
                <w:rFonts w:ascii="Arial Narrow" w:hAnsi="Arial Narrow"/>
                <w:sz w:val="20"/>
              </w:rPr>
            </w:pPr>
            <w:r w:rsidRPr="00D05FB9">
              <w:rPr>
                <w:rFonts w:ascii="Arial Narrow" w:hAnsi="Arial Narrow"/>
                <w:sz w:val="20"/>
              </w:rPr>
              <w:t>Death n (%)</w:t>
            </w:r>
          </w:p>
        </w:tc>
        <w:tc>
          <w:tcPr>
            <w:tcW w:w="1323" w:type="pct"/>
          </w:tcPr>
          <w:p w:rsidR="00E517B1" w:rsidRPr="00A5328F" w:rsidRDefault="00A5328F" w:rsidP="00A3481F">
            <w:pPr>
              <w:jc w:val="center"/>
              <w:rPr>
                <w:rFonts w:ascii="Arial Narrow" w:hAnsi="Arial Narrow"/>
                <w:sz w:val="20"/>
                <w:highlight w:val="black"/>
              </w:rPr>
            </w:pPr>
            <w:r>
              <w:rPr>
                <w:rFonts w:ascii="Arial Narrow" w:hAnsi="Arial Narrow"/>
                <w:noProof/>
                <w:color w:val="000000"/>
                <w:sz w:val="20"/>
                <w:highlight w:val="black"/>
              </w:rPr>
              <w:t>''' '''''''''''''''''</w:t>
            </w:r>
          </w:p>
        </w:tc>
        <w:tc>
          <w:tcPr>
            <w:tcW w:w="1421" w:type="pct"/>
          </w:tcPr>
          <w:p w:rsidR="00E517B1" w:rsidRPr="00D05FB9" w:rsidRDefault="00E517B1" w:rsidP="00A3481F">
            <w:pPr>
              <w:jc w:val="center"/>
              <w:rPr>
                <w:rFonts w:ascii="Arial Narrow" w:hAnsi="Arial Narrow"/>
                <w:sz w:val="20"/>
              </w:rPr>
            </w:pPr>
            <w:r w:rsidRPr="00D05FB9">
              <w:rPr>
                <w:rFonts w:ascii="Arial Narrow" w:hAnsi="Arial Narrow"/>
                <w:sz w:val="20"/>
              </w:rPr>
              <w:t>(36.4)</w:t>
            </w:r>
          </w:p>
        </w:tc>
      </w:tr>
      <w:tr w:rsidR="00E517B1" w:rsidRPr="003A2EA3" w:rsidTr="006D7118">
        <w:tc>
          <w:tcPr>
            <w:tcW w:w="2256" w:type="pct"/>
            <w:vAlign w:val="center"/>
          </w:tcPr>
          <w:p w:rsidR="00E517B1" w:rsidRPr="00D05FB9" w:rsidRDefault="00E517B1" w:rsidP="00A3481F">
            <w:pPr>
              <w:ind w:right="-108"/>
              <w:rPr>
                <w:rFonts w:ascii="Arial Narrow" w:hAnsi="Arial Narrow"/>
                <w:sz w:val="20"/>
              </w:rPr>
            </w:pPr>
            <w:r w:rsidRPr="00D05FB9">
              <w:rPr>
                <w:rFonts w:ascii="Arial Narrow" w:hAnsi="Arial Narrow"/>
                <w:sz w:val="20"/>
              </w:rPr>
              <w:t>Median OS, months (95% CI)</w:t>
            </w:r>
          </w:p>
        </w:tc>
        <w:tc>
          <w:tcPr>
            <w:tcW w:w="1323" w:type="pct"/>
          </w:tcPr>
          <w:p w:rsidR="00E517B1" w:rsidRPr="00A5328F" w:rsidRDefault="00A5328F" w:rsidP="00A3481F">
            <w:pPr>
              <w:jc w:val="center"/>
              <w:rPr>
                <w:rFonts w:ascii="Arial Narrow" w:hAnsi="Arial Narrow"/>
                <w:sz w:val="20"/>
                <w:highlight w:val="black"/>
              </w:rPr>
            </w:pPr>
            <w:r>
              <w:rPr>
                <w:rFonts w:ascii="Arial Narrow" w:hAnsi="Arial Narrow"/>
                <w:noProof/>
                <w:color w:val="000000"/>
                <w:sz w:val="20"/>
                <w:highlight w:val="black"/>
              </w:rPr>
              <w:t>'''''''' '''''''''''''''''''' '''''''''''</w:t>
            </w:r>
          </w:p>
        </w:tc>
        <w:tc>
          <w:tcPr>
            <w:tcW w:w="1421" w:type="pct"/>
            <w:vAlign w:val="center"/>
          </w:tcPr>
          <w:p w:rsidR="00E517B1" w:rsidRPr="00D05FB9" w:rsidRDefault="00E517B1" w:rsidP="00A3481F">
            <w:pPr>
              <w:jc w:val="center"/>
              <w:rPr>
                <w:rFonts w:ascii="Arial Narrow" w:hAnsi="Arial Narrow"/>
                <w:sz w:val="20"/>
              </w:rPr>
            </w:pPr>
            <w:r w:rsidRPr="00D05FB9">
              <w:rPr>
                <w:rFonts w:ascii="Arial Narrow" w:hAnsi="Arial Narrow"/>
                <w:sz w:val="20"/>
              </w:rPr>
              <w:t>20.8 (14.8, NE)</w:t>
            </w:r>
          </w:p>
        </w:tc>
      </w:tr>
      <w:tr w:rsidR="00E517B1" w:rsidRPr="003A2EA3" w:rsidTr="006D7118">
        <w:tc>
          <w:tcPr>
            <w:tcW w:w="2256" w:type="pct"/>
          </w:tcPr>
          <w:p w:rsidR="00E517B1" w:rsidRPr="00D05FB9" w:rsidRDefault="00E517B1" w:rsidP="00A3481F">
            <w:pPr>
              <w:ind w:right="-108"/>
              <w:rPr>
                <w:rFonts w:ascii="Arial Narrow" w:hAnsi="Arial Narrow"/>
                <w:sz w:val="20"/>
              </w:rPr>
            </w:pPr>
            <w:r w:rsidRPr="00D05FB9">
              <w:rPr>
                <w:rFonts w:ascii="Arial Narrow" w:hAnsi="Arial Narrow"/>
                <w:sz w:val="20"/>
              </w:rPr>
              <w:t>KM estimate of OS at 6 months, % (95% CI)</w:t>
            </w:r>
          </w:p>
        </w:tc>
        <w:tc>
          <w:tcPr>
            <w:tcW w:w="1323" w:type="pct"/>
          </w:tcPr>
          <w:p w:rsidR="00E517B1" w:rsidRPr="00A5328F" w:rsidRDefault="00A5328F" w:rsidP="00A3481F">
            <w:pPr>
              <w:jc w:val="center"/>
              <w:rPr>
                <w:rFonts w:ascii="Arial Narrow" w:hAnsi="Arial Narrow"/>
                <w:sz w:val="20"/>
                <w:highlight w:val="black"/>
              </w:rPr>
            </w:pPr>
            <w:r>
              <w:rPr>
                <w:rFonts w:ascii="Arial Narrow" w:hAnsi="Arial Narrow"/>
                <w:noProof/>
                <w:color w:val="000000"/>
                <w:sz w:val="20"/>
                <w:highlight w:val="black"/>
              </w:rPr>
              <w:t>'''''' ''''''''' ''''''''</w:t>
            </w:r>
          </w:p>
        </w:tc>
        <w:tc>
          <w:tcPr>
            <w:tcW w:w="1421" w:type="pct"/>
          </w:tcPr>
          <w:p w:rsidR="00E517B1" w:rsidRPr="00D05FB9" w:rsidRDefault="00E517B1" w:rsidP="00A3481F">
            <w:pPr>
              <w:jc w:val="center"/>
              <w:rPr>
                <w:rFonts w:ascii="Arial Narrow" w:hAnsi="Arial Narrow"/>
                <w:sz w:val="20"/>
              </w:rPr>
            </w:pPr>
            <w:r w:rsidRPr="00D05FB9">
              <w:rPr>
                <w:rFonts w:ascii="Arial Narrow" w:hAnsi="Arial Narrow"/>
                <w:sz w:val="20"/>
              </w:rPr>
              <w:t>NR</w:t>
            </w:r>
          </w:p>
        </w:tc>
      </w:tr>
      <w:tr w:rsidR="00E517B1" w:rsidRPr="003A2EA3" w:rsidTr="006D7118">
        <w:tc>
          <w:tcPr>
            <w:tcW w:w="2256" w:type="pct"/>
          </w:tcPr>
          <w:p w:rsidR="00E517B1" w:rsidRPr="00D05FB9" w:rsidRDefault="00E517B1" w:rsidP="00A3481F">
            <w:pPr>
              <w:ind w:right="-108"/>
              <w:rPr>
                <w:rFonts w:ascii="Arial Narrow" w:hAnsi="Arial Narrow"/>
                <w:sz w:val="20"/>
              </w:rPr>
            </w:pPr>
            <w:r w:rsidRPr="00D05FB9">
              <w:rPr>
                <w:rFonts w:ascii="Arial Narrow" w:hAnsi="Arial Narrow"/>
                <w:sz w:val="20"/>
              </w:rPr>
              <w:t>KM estimate of OS at 12 months, % (95% CI)</w:t>
            </w:r>
          </w:p>
        </w:tc>
        <w:tc>
          <w:tcPr>
            <w:tcW w:w="1323" w:type="pct"/>
          </w:tcPr>
          <w:p w:rsidR="00E517B1" w:rsidRPr="00A5328F" w:rsidRDefault="00A5328F" w:rsidP="00A3481F">
            <w:pPr>
              <w:jc w:val="center"/>
              <w:rPr>
                <w:rFonts w:ascii="Arial Narrow" w:hAnsi="Arial Narrow"/>
                <w:sz w:val="20"/>
                <w:highlight w:val="black"/>
              </w:rPr>
            </w:pPr>
            <w:r>
              <w:rPr>
                <w:rFonts w:ascii="Arial Narrow" w:hAnsi="Arial Narrow"/>
                <w:noProof/>
                <w:color w:val="000000"/>
                <w:sz w:val="20"/>
                <w:highlight w:val="black"/>
              </w:rPr>
              <w:t>'''''' '''''''''' ''''''''</w:t>
            </w:r>
          </w:p>
        </w:tc>
        <w:tc>
          <w:tcPr>
            <w:tcW w:w="1421" w:type="pct"/>
          </w:tcPr>
          <w:p w:rsidR="00E517B1" w:rsidRPr="00D05FB9" w:rsidRDefault="00E517B1" w:rsidP="00A3481F">
            <w:pPr>
              <w:jc w:val="center"/>
              <w:rPr>
                <w:rFonts w:ascii="Arial Narrow" w:hAnsi="Arial Narrow"/>
                <w:sz w:val="20"/>
              </w:rPr>
            </w:pPr>
            <w:r w:rsidRPr="00D05FB9">
              <w:rPr>
                <w:rFonts w:ascii="Arial Narrow" w:hAnsi="Arial Narrow"/>
                <w:sz w:val="20"/>
              </w:rPr>
              <w:t>67 (NR)</w:t>
            </w:r>
          </w:p>
        </w:tc>
      </w:tr>
    </w:tbl>
    <w:p w:rsidR="00E517B1" w:rsidRPr="003A2EA3" w:rsidRDefault="00E517B1" w:rsidP="006D7118">
      <w:pPr>
        <w:rPr>
          <w:rFonts w:ascii="Arial Narrow" w:hAnsi="Arial Narrow"/>
          <w:sz w:val="18"/>
          <w:szCs w:val="18"/>
        </w:rPr>
      </w:pPr>
      <w:r w:rsidRPr="003A2EA3">
        <w:rPr>
          <w:rFonts w:ascii="Arial Narrow" w:hAnsi="Arial Narrow"/>
          <w:sz w:val="18"/>
          <w:szCs w:val="18"/>
        </w:rPr>
        <w:t xml:space="preserve">Abbreviations: CI, confidence interval; KM, Kaplan-Meier; NE, not evaluable; NR, not reported; OS, overall survival; PBO, placebo; PFS, progression free survival; RITU, rituximab; VEN, </w:t>
      </w:r>
      <w:proofErr w:type="spellStart"/>
      <w:r w:rsidRPr="003A2EA3">
        <w:rPr>
          <w:rFonts w:ascii="Arial Narrow" w:hAnsi="Arial Narrow"/>
          <w:sz w:val="18"/>
          <w:szCs w:val="18"/>
        </w:rPr>
        <w:t>venetoclax</w:t>
      </w:r>
      <w:proofErr w:type="spellEnd"/>
    </w:p>
    <w:p w:rsidR="00DF26A7" w:rsidRPr="003A2EA3" w:rsidRDefault="00E517B1" w:rsidP="006D7118">
      <w:pPr>
        <w:rPr>
          <w:rFonts w:asciiTheme="minorHAnsi" w:hAnsiTheme="minorHAnsi"/>
          <w:sz w:val="22"/>
          <w:szCs w:val="22"/>
        </w:rPr>
      </w:pPr>
      <w:r w:rsidRPr="003A2EA3">
        <w:rPr>
          <w:rFonts w:ascii="Arial Narrow" w:hAnsi="Arial Narrow"/>
          <w:sz w:val="18"/>
          <w:szCs w:val="18"/>
        </w:rPr>
        <w:t>Source: March 2017 minutes</w:t>
      </w:r>
    </w:p>
    <w:p w:rsidR="00E517B1" w:rsidRPr="003A2EA3" w:rsidRDefault="00E517B1" w:rsidP="00E517B1">
      <w:pPr>
        <w:rPr>
          <w:rFonts w:asciiTheme="minorHAnsi" w:hAnsiTheme="minorHAnsi"/>
        </w:rPr>
      </w:pPr>
    </w:p>
    <w:p w:rsidR="00836475" w:rsidRPr="003A2EA3" w:rsidRDefault="00836475" w:rsidP="00836475">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w:t>
      </w:r>
      <w:r w:rsidR="00D36BA9" w:rsidRPr="003A2EA3">
        <w:rPr>
          <w:rFonts w:asciiTheme="minorHAnsi" w:hAnsiTheme="minorHAnsi"/>
          <w:sz w:val="24"/>
          <w:szCs w:val="24"/>
        </w:rPr>
        <w:t xml:space="preserve">further </w:t>
      </w:r>
      <w:r w:rsidR="0070278D" w:rsidRPr="003A2EA3">
        <w:rPr>
          <w:rFonts w:asciiTheme="minorHAnsi" w:hAnsiTheme="minorHAnsi"/>
          <w:sz w:val="24"/>
          <w:szCs w:val="24"/>
        </w:rPr>
        <w:t xml:space="preserve">compared </w:t>
      </w:r>
      <w:r w:rsidRPr="003A2EA3">
        <w:rPr>
          <w:rFonts w:asciiTheme="minorHAnsi" w:hAnsiTheme="minorHAnsi"/>
          <w:sz w:val="24"/>
          <w:szCs w:val="24"/>
        </w:rPr>
        <w:t xml:space="preserve">the </w:t>
      </w:r>
      <w:r w:rsidR="008556E2" w:rsidRPr="003A2EA3">
        <w:rPr>
          <w:rFonts w:asciiTheme="minorHAnsi" w:hAnsiTheme="minorHAnsi"/>
          <w:sz w:val="24"/>
          <w:szCs w:val="24"/>
        </w:rPr>
        <w:t xml:space="preserve">effectiveness </w:t>
      </w:r>
      <w:r w:rsidRPr="003A2EA3">
        <w:rPr>
          <w:rFonts w:asciiTheme="minorHAnsi" w:hAnsiTheme="minorHAnsi"/>
          <w:sz w:val="24"/>
          <w:szCs w:val="24"/>
        </w:rPr>
        <w:t xml:space="preserve">of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w:t>
      </w:r>
      <w:r w:rsidR="0070278D" w:rsidRPr="003A2EA3">
        <w:rPr>
          <w:rFonts w:asciiTheme="minorHAnsi" w:hAnsiTheme="minorHAnsi"/>
          <w:sz w:val="24"/>
          <w:szCs w:val="24"/>
        </w:rPr>
        <w:t xml:space="preserve">with </w:t>
      </w:r>
      <w:r w:rsidRPr="003A2EA3">
        <w:rPr>
          <w:rFonts w:asciiTheme="minorHAnsi" w:hAnsiTheme="minorHAnsi"/>
          <w:sz w:val="24"/>
          <w:szCs w:val="24"/>
        </w:rPr>
        <w:t xml:space="preserve">the recently recommended therapies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and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with rituximab </w:t>
      </w:r>
      <w:r w:rsidR="00F57F4F" w:rsidRPr="003A2EA3">
        <w:rPr>
          <w:rFonts w:asciiTheme="minorHAnsi" w:hAnsiTheme="minorHAnsi"/>
          <w:sz w:val="24"/>
          <w:szCs w:val="24"/>
        </w:rPr>
        <w:t xml:space="preserve">as summarised </w:t>
      </w:r>
      <w:r w:rsidRPr="003A2EA3">
        <w:rPr>
          <w:rFonts w:asciiTheme="minorHAnsi" w:hAnsiTheme="minorHAnsi"/>
          <w:sz w:val="24"/>
          <w:szCs w:val="24"/>
        </w:rPr>
        <w:t>in the tabl</w:t>
      </w:r>
      <w:r w:rsidR="007E38B1" w:rsidRPr="003A2EA3">
        <w:rPr>
          <w:rFonts w:asciiTheme="minorHAnsi" w:hAnsiTheme="minorHAnsi"/>
          <w:sz w:val="24"/>
          <w:szCs w:val="24"/>
        </w:rPr>
        <w:t>e</w:t>
      </w:r>
      <w:r w:rsidRPr="003A2EA3">
        <w:rPr>
          <w:rFonts w:asciiTheme="minorHAnsi" w:hAnsiTheme="minorHAnsi"/>
          <w:sz w:val="24"/>
          <w:szCs w:val="24"/>
        </w:rPr>
        <w:t xml:space="preserve"> below.</w:t>
      </w:r>
    </w:p>
    <w:p w:rsidR="00836475" w:rsidRPr="003A2EA3" w:rsidRDefault="00836475" w:rsidP="00E517B1">
      <w:pPr>
        <w:rPr>
          <w:rFonts w:asciiTheme="minorHAnsi" w:hAnsiTheme="minorHAnsi"/>
        </w:rPr>
      </w:pPr>
    </w:p>
    <w:p w:rsidR="00D504CB" w:rsidRDefault="00D504CB" w:rsidP="000F0D8A">
      <w:pPr>
        <w:pStyle w:val="Caption"/>
      </w:pPr>
      <w:r>
        <w:br w:type="page"/>
      </w:r>
    </w:p>
    <w:p w:rsidR="000F0D8A" w:rsidRDefault="000F0D8A" w:rsidP="000F0D8A">
      <w:pPr>
        <w:pStyle w:val="Caption"/>
      </w:pPr>
      <w:proofErr w:type="gramStart"/>
      <w:r>
        <w:t xml:space="preserve">Table </w:t>
      </w:r>
      <w:r>
        <w:rPr>
          <w:noProof/>
        </w:rPr>
        <w:t>4</w:t>
      </w:r>
      <w:r w:rsidRPr="00737A3C">
        <w:t>.</w:t>
      </w:r>
      <w:proofErr w:type="gramEnd"/>
      <w:r w:rsidRPr="00737A3C">
        <w:t xml:space="preserve"> Summary of the most recent efficacy results for </w:t>
      </w:r>
      <w:proofErr w:type="spellStart"/>
      <w:r w:rsidRPr="00737A3C">
        <w:t>venetoclax</w:t>
      </w:r>
      <w:proofErr w:type="spellEnd"/>
      <w:r w:rsidRPr="00737A3C">
        <w:t xml:space="preserve"> vs. </w:t>
      </w:r>
      <w:proofErr w:type="spellStart"/>
      <w:r w:rsidRPr="00737A3C">
        <w:t>ibrutinib</w:t>
      </w:r>
      <w:proofErr w:type="spellEnd"/>
      <w:r w:rsidRPr="00737A3C">
        <w:t xml:space="preserve"> or </w:t>
      </w:r>
      <w:proofErr w:type="spellStart"/>
      <w:r w:rsidRPr="00737A3C">
        <w:t>idelalisib</w:t>
      </w:r>
      <w:proofErr w:type="spellEnd"/>
      <w:r w:rsidRPr="00737A3C">
        <w:t xml:space="preserve"> with rituximab monotherapy in overall study populations</w:t>
      </w:r>
    </w:p>
    <w:tbl>
      <w:tblPr>
        <w:tblW w:w="5000" w:type="pct"/>
        <w:tblCellMar>
          <w:left w:w="0" w:type="dxa"/>
          <w:right w:w="0" w:type="dxa"/>
        </w:tblCellMar>
        <w:tblLook w:val="04A0" w:firstRow="1" w:lastRow="0" w:firstColumn="1" w:lastColumn="0" w:noHBand="0" w:noVBand="1"/>
      </w:tblPr>
      <w:tblGrid>
        <w:gridCol w:w="2285"/>
        <w:gridCol w:w="1159"/>
        <w:gridCol w:w="1214"/>
        <w:gridCol w:w="1216"/>
        <w:gridCol w:w="1159"/>
        <w:gridCol w:w="1161"/>
        <w:gridCol w:w="1048"/>
      </w:tblGrid>
      <w:tr w:rsidR="00F144AD" w:rsidRPr="003A2EA3" w:rsidTr="00836475">
        <w:tc>
          <w:tcPr>
            <w:tcW w:w="123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3A2EA3">
              <w:rPr>
                <w:rFonts w:ascii="Arial Narrow" w:hAnsi="Arial Narrow"/>
                <w:sz w:val="18"/>
                <w:szCs w:val="18"/>
              </w:rPr>
              <w:t> </w:t>
            </w:r>
          </w:p>
        </w:tc>
        <w:tc>
          <w:tcPr>
            <w:tcW w:w="1942"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proofErr w:type="spellStart"/>
            <w:r w:rsidRPr="003A2EA3">
              <w:rPr>
                <w:rFonts w:ascii="Arial Narrow" w:hAnsi="Arial Narrow"/>
                <w:b/>
                <w:sz w:val="18"/>
                <w:szCs w:val="18"/>
              </w:rPr>
              <w:t>Venetoclax</w:t>
            </w:r>
            <w:proofErr w:type="spellEnd"/>
          </w:p>
        </w:tc>
        <w:tc>
          <w:tcPr>
            <w:tcW w:w="12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proofErr w:type="spellStart"/>
            <w:r w:rsidRPr="003A2EA3">
              <w:rPr>
                <w:rFonts w:ascii="Arial Narrow" w:hAnsi="Arial Narrow"/>
                <w:b/>
                <w:sz w:val="18"/>
                <w:szCs w:val="18"/>
              </w:rPr>
              <w:t>Ibrutinib</w:t>
            </w:r>
            <w:proofErr w:type="spellEnd"/>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proofErr w:type="spellStart"/>
            <w:r w:rsidRPr="003A2EA3">
              <w:rPr>
                <w:rFonts w:ascii="Arial Narrow" w:hAnsi="Arial Narrow"/>
                <w:b/>
                <w:sz w:val="18"/>
                <w:szCs w:val="18"/>
              </w:rPr>
              <w:t>Idelalisib</w:t>
            </w:r>
            <w:proofErr w:type="spellEnd"/>
          </w:p>
        </w:tc>
      </w:tr>
      <w:tr w:rsidR="00F144AD" w:rsidRPr="003A2EA3" w:rsidTr="00836475">
        <w:tc>
          <w:tcPr>
            <w:tcW w:w="1236" w:type="pct"/>
            <w:vMerge/>
            <w:tcBorders>
              <w:top w:val="single" w:sz="8" w:space="0" w:color="000000"/>
              <w:left w:val="single" w:sz="8" w:space="0" w:color="000000"/>
              <w:bottom w:val="single" w:sz="8" w:space="0" w:color="000000"/>
              <w:right w:val="single" w:sz="8" w:space="0" w:color="000000"/>
            </w:tcBorders>
            <w:vAlign w:val="center"/>
            <w:hideMark/>
          </w:tcPr>
          <w:p w:rsidR="00F144AD" w:rsidRPr="003A2EA3" w:rsidRDefault="00F144AD" w:rsidP="00F144AD">
            <w:pPr>
              <w:rPr>
                <w:rFonts w:ascii="Arial Narrow" w:hAnsi="Arial Narrow"/>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M12-175</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M13-982</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E40DA7" w:rsidRDefault="00F144AD" w:rsidP="008556E2">
            <w:pPr>
              <w:jc w:val="center"/>
              <w:rPr>
                <w:rFonts w:ascii="Arial Narrow" w:hAnsi="Arial Narrow"/>
                <w:b/>
                <w:sz w:val="18"/>
                <w:szCs w:val="18"/>
              </w:rPr>
            </w:pPr>
            <w:r w:rsidRPr="00E40DA7">
              <w:rPr>
                <w:rFonts w:ascii="Arial Narrow" w:hAnsi="Arial Narrow"/>
                <w:b/>
                <w:sz w:val="18"/>
                <w:szCs w:val="18"/>
              </w:rPr>
              <w:t>M14-032</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RESONATE</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RESONATE-17</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312-0116</w:t>
            </w:r>
          </w:p>
        </w:tc>
      </w:tr>
      <w:tr w:rsidR="00F144AD" w:rsidRPr="003A2EA3" w:rsidTr="00836475">
        <w:tc>
          <w:tcPr>
            <w:tcW w:w="1236" w:type="pct"/>
            <w:vMerge/>
            <w:tcBorders>
              <w:top w:val="single" w:sz="8" w:space="0" w:color="000000"/>
              <w:left w:val="single" w:sz="8" w:space="0" w:color="000000"/>
              <w:bottom w:val="single" w:sz="8" w:space="0" w:color="000000"/>
              <w:right w:val="single" w:sz="8" w:space="0" w:color="000000"/>
            </w:tcBorders>
            <w:vAlign w:val="center"/>
            <w:hideMark/>
          </w:tcPr>
          <w:p w:rsidR="00F144AD" w:rsidRPr="003A2EA3" w:rsidRDefault="00F144AD" w:rsidP="00F144AD">
            <w:pPr>
              <w:rPr>
                <w:rFonts w:ascii="Arial Narrow" w:hAnsi="Arial Narrow"/>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b/>
                <w:sz w:val="18"/>
                <w:szCs w:val="18"/>
              </w:rPr>
            </w:pPr>
            <w:r w:rsidRPr="003A2EA3">
              <w:rPr>
                <w:rFonts w:ascii="Arial Narrow" w:hAnsi="Arial Narrow"/>
                <w:b/>
                <w:sz w:val="18"/>
                <w:szCs w:val="18"/>
              </w:rPr>
              <w:t>VEN 400mg cohort</w:t>
            </w:r>
          </w:p>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(N=67)</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b/>
                <w:sz w:val="18"/>
                <w:szCs w:val="18"/>
              </w:rPr>
            </w:pPr>
            <w:r w:rsidRPr="003A2EA3">
              <w:rPr>
                <w:rFonts w:ascii="Arial Narrow" w:hAnsi="Arial Narrow"/>
                <w:b/>
                <w:sz w:val="18"/>
                <w:szCs w:val="18"/>
              </w:rPr>
              <w:t>VEN all subjects</w:t>
            </w:r>
          </w:p>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(N=158)</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36BA9" w:rsidRPr="00E40DA7" w:rsidRDefault="00D36BA9" w:rsidP="008556E2">
            <w:pPr>
              <w:jc w:val="center"/>
              <w:rPr>
                <w:rFonts w:ascii="Arial Narrow" w:hAnsi="Arial Narrow"/>
                <w:b/>
                <w:sz w:val="18"/>
                <w:szCs w:val="18"/>
              </w:rPr>
            </w:pPr>
            <w:r w:rsidRPr="00E40DA7">
              <w:rPr>
                <w:rFonts w:ascii="Arial Narrow" w:hAnsi="Arial Narrow"/>
                <w:b/>
                <w:sz w:val="18"/>
                <w:szCs w:val="18"/>
              </w:rPr>
              <w:t>VEN</w:t>
            </w:r>
          </w:p>
          <w:p w:rsidR="00F144AD" w:rsidRPr="00E40DA7" w:rsidRDefault="00F144AD" w:rsidP="008556E2">
            <w:pPr>
              <w:jc w:val="center"/>
              <w:rPr>
                <w:rFonts w:ascii="Arial Narrow" w:hAnsi="Arial Narrow"/>
                <w:b/>
                <w:sz w:val="18"/>
                <w:szCs w:val="18"/>
              </w:rPr>
            </w:pPr>
            <w:r w:rsidRPr="00E40DA7">
              <w:rPr>
                <w:rFonts w:ascii="Arial Narrow" w:hAnsi="Arial Narrow"/>
                <w:b/>
                <w:sz w:val="18"/>
                <w:szCs w:val="18"/>
              </w:rPr>
              <w:t>IBRU failures</w:t>
            </w:r>
          </w:p>
          <w:p w:rsidR="00F048D9" w:rsidRPr="00E40DA7" w:rsidRDefault="00F144AD" w:rsidP="008556E2">
            <w:pPr>
              <w:jc w:val="center"/>
              <w:rPr>
                <w:rFonts w:ascii="Arial Narrow" w:hAnsi="Arial Narrow"/>
                <w:b/>
                <w:sz w:val="18"/>
                <w:szCs w:val="18"/>
              </w:rPr>
            </w:pPr>
            <w:r w:rsidRPr="00E40DA7">
              <w:rPr>
                <w:rFonts w:ascii="Arial Narrow" w:hAnsi="Arial Narrow"/>
                <w:b/>
                <w:sz w:val="18"/>
                <w:szCs w:val="18"/>
              </w:rPr>
              <w:t>(N=43)</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b/>
                <w:sz w:val="18"/>
                <w:szCs w:val="18"/>
              </w:rPr>
            </w:pPr>
            <w:r w:rsidRPr="003A2EA3">
              <w:rPr>
                <w:rFonts w:ascii="Arial Narrow" w:hAnsi="Arial Narrow"/>
                <w:b/>
                <w:sz w:val="18"/>
                <w:szCs w:val="18"/>
              </w:rPr>
              <w:t>IBRU</w:t>
            </w:r>
          </w:p>
          <w:p w:rsidR="00F048D9" w:rsidRPr="003A2EA3" w:rsidRDefault="00F144AD" w:rsidP="00C24366">
            <w:pPr>
              <w:jc w:val="center"/>
              <w:rPr>
                <w:rFonts w:ascii="Arial Narrow" w:hAnsi="Arial Narrow"/>
                <w:b/>
                <w:sz w:val="18"/>
                <w:szCs w:val="18"/>
                <w:vertAlign w:val="superscript"/>
              </w:rPr>
            </w:pPr>
            <w:r w:rsidRPr="003A2EA3">
              <w:rPr>
                <w:rFonts w:ascii="Arial Narrow" w:hAnsi="Arial Narrow"/>
                <w:b/>
                <w:sz w:val="18"/>
                <w:szCs w:val="18"/>
              </w:rPr>
              <w:t>(N=19</w:t>
            </w:r>
            <w:r w:rsidR="00C24366" w:rsidRPr="003A2EA3">
              <w:rPr>
                <w:rFonts w:ascii="Arial Narrow" w:hAnsi="Arial Narrow"/>
                <w:b/>
                <w:sz w:val="18"/>
                <w:szCs w:val="18"/>
              </w:rPr>
              <w:t>5</w:t>
            </w:r>
            <w:r w:rsidRPr="003A2EA3">
              <w:rPr>
                <w:rFonts w:ascii="Arial Narrow" w:hAnsi="Arial Narrow"/>
                <w:b/>
                <w:sz w:val="18"/>
                <w:szCs w:val="18"/>
              </w:rPr>
              <w:t>)</w:t>
            </w:r>
            <w:r w:rsidR="00E800EF" w:rsidRPr="003A2EA3">
              <w:rPr>
                <w:rFonts w:ascii="Arial Narrow" w:hAnsi="Arial Narrow"/>
                <w:b/>
                <w:sz w:val="18"/>
                <w:szCs w:val="18"/>
                <w:vertAlign w:val="superscript"/>
              </w:rPr>
              <w:t>1</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b/>
                <w:sz w:val="18"/>
                <w:szCs w:val="18"/>
              </w:rPr>
            </w:pPr>
            <w:r w:rsidRPr="003A2EA3">
              <w:rPr>
                <w:rFonts w:ascii="Arial Narrow" w:hAnsi="Arial Narrow"/>
                <w:b/>
                <w:sz w:val="18"/>
                <w:szCs w:val="18"/>
              </w:rPr>
              <w:t>IBRU</w:t>
            </w:r>
          </w:p>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(N=144)</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b/>
                <w:sz w:val="18"/>
                <w:szCs w:val="18"/>
              </w:rPr>
            </w:pPr>
            <w:r w:rsidRPr="003A2EA3">
              <w:rPr>
                <w:rFonts w:ascii="Arial Narrow" w:hAnsi="Arial Narrow"/>
                <w:b/>
                <w:sz w:val="18"/>
                <w:szCs w:val="18"/>
              </w:rPr>
              <w:t>IDEL + RITU</w:t>
            </w:r>
          </w:p>
          <w:p w:rsidR="00F048D9" w:rsidRPr="003A2EA3" w:rsidRDefault="00F144AD" w:rsidP="008556E2">
            <w:pPr>
              <w:jc w:val="center"/>
              <w:rPr>
                <w:rFonts w:ascii="Arial Narrow" w:hAnsi="Arial Narrow"/>
                <w:b/>
                <w:sz w:val="18"/>
                <w:szCs w:val="18"/>
              </w:rPr>
            </w:pPr>
            <w:r w:rsidRPr="003A2EA3">
              <w:rPr>
                <w:rFonts w:ascii="Arial Narrow" w:hAnsi="Arial Narrow"/>
                <w:b/>
                <w:sz w:val="18"/>
                <w:szCs w:val="18"/>
              </w:rPr>
              <w:t>(N=110)</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3A2EA3">
              <w:rPr>
                <w:rFonts w:ascii="Arial Narrow" w:hAnsi="Arial Narrow"/>
                <w:sz w:val="18"/>
                <w:szCs w:val="18"/>
              </w:rPr>
              <w:t>Median duration of treatment, months (range)</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E40DA7" w:rsidRDefault="00F144AD" w:rsidP="008556E2">
            <w:pPr>
              <w:jc w:val="center"/>
              <w:rPr>
                <w:rFonts w:ascii="Arial Narrow" w:hAnsi="Arial Narrow"/>
                <w:sz w:val="18"/>
                <w:szCs w:val="18"/>
              </w:rPr>
            </w:pPr>
            <w:r w:rsidRPr="00E40DA7">
              <w:rPr>
                <w:rFonts w:ascii="Arial Narrow" w:hAnsi="Arial Narrow"/>
                <w:sz w:val="18"/>
                <w:szCs w:val="18"/>
              </w:rPr>
              <w:t>12.4</w:t>
            </w:r>
          </w:p>
          <w:p w:rsidR="00F048D9" w:rsidRPr="00E40DA7" w:rsidRDefault="00F144AD" w:rsidP="008556E2">
            <w:pPr>
              <w:jc w:val="center"/>
              <w:rPr>
                <w:rFonts w:ascii="Arial Narrow" w:hAnsi="Arial Narrow"/>
                <w:sz w:val="18"/>
                <w:szCs w:val="18"/>
              </w:rPr>
            </w:pPr>
            <w:r w:rsidRPr="00E40DA7">
              <w:rPr>
                <w:rFonts w:ascii="Arial Narrow" w:hAnsi="Arial Narrow"/>
                <w:sz w:val="18"/>
                <w:szCs w:val="18"/>
              </w:rPr>
              <w:t>(0.1-17.9)</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16</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NR</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8.1</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(0.3-19.5)</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3A2EA3">
              <w:rPr>
                <w:rFonts w:ascii="Arial Narrow" w:hAnsi="Arial Narrow"/>
                <w:sz w:val="18"/>
                <w:szCs w:val="18"/>
              </w:rPr>
              <w:t>Median duration of follow-up, months (range)</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E40DA7" w:rsidRDefault="00F144AD" w:rsidP="008556E2">
            <w:pPr>
              <w:jc w:val="center"/>
              <w:rPr>
                <w:rFonts w:ascii="Arial Narrow" w:hAnsi="Arial Narrow"/>
                <w:sz w:val="18"/>
                <w:szCs w:val="18"/>
              </w:rPr>
            </w:pPr>
            <w:r w:rsidRPr="00E40DA7">
              <w:rPr>
                <w:rFonts w:ascii="Arial Narrow" w:hAnsi="Arial Narrow"/>
                <w:sz w:val="18"/>
                <w:szCs w:val="18"/>
              </w:rPr>
              <w:t>NR</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C27F96">
              <w:rPr>
                <w:rFonts w:ascii="Arial Narrow" w:hAnsi="Arial Narrow"/>
                <w:sz w:val="18"/>
                <w:szCs w:val="18"/>
              </w:rPr>
              <w:t>16 (NR)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27.6</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(14.6-27.7)</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12.5</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(0.3-25.1)</w:t>
            </w:r>
          </w:p>
        </w:tc>
      </w:tr>
      <w:tr w:rsidR="00F144AD" w:rsidRPr="003A2EA3" w:rsidTr="00836475">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E40DA7" w:rsidRDefault="00F144AD" w:rsidP="00F144AD">
            <w:pPr>
              <w:rPr>
                <w:rFonts w:ascii="Arial Narrow" w:hAnsi="Arial Narrow"/>
                <w:b/>
                <w:sz w:val="18"/>
                <w:szCs w:val="18"/>
              </w:rPr>
            </w:pPr>
            <w:r w:rsidRPr="00E40DA7">
              <w:rPr>
                <w:rFonts w:ascii="Arial Narrow" w:hAnsi="Arial Narrow"/>
                <w:b/>
                <w:sz w:val="18"/>
                <w:szCs w:val="18"/>
              </w:rPr>
              <w:t>Response rates</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3A2EA3">
              <w:rPr>
                <w:rFonts w:ascii="Arial Narrow" w:hAnsi="Arial Narrow"/>
                <w:sz w:val="18"/>
                <w:szCs w:val="18"/>
              </w:rPr>
              <w:t xml:space="preserve">Overall response rate, % </w:t>
            </w:r>
            <w:r w:rsidRPr="003A2EA3">
              <w:rPr>
                <w:rFonts w:ascii="Arial Narrow" w:hAnsi="Arial Narrow"/>
                <w:sz w:val="18"/>
                <w:szCs w:val="18"/>
              </w:rPr>
              <w:br/>
              <w:t>(95% CI)</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r w:rsidRPr="00864F62">
              <w:rPr>
                <w:rFonts w:ascii="Arial Narrow" w:hAnsi="Arial Narrow"/>
                <w:sz w:val="18"/>
                <w:szCs w:val="18"/>
              </w:rPr>
              <w:t>77.2</w:t>
            </w:r>
          </w:p>
          <w:p w:rsidR="00F048D9" w:rsidRPr="00864F62" w:rsidRDefault="00F144AD" w:rsidP="008556E2">
            <w:pPr>
              <w:jc w:val="center"/>
              <w:rPr>
                <w:rFonts w:ascii="Arial Narrow" w:hAnsi="Arial Narrow"/>
                <w:sz w:val="18"/>
                <w:szCs w:val="18"/>
              </w:rPr>
            </w:pPr>
            <w:r w:rsidRPr="00864F62">
              <w:rPr>
                <w:rFonts w:ascii="Arial Narrow" w:hAnsi="Arial Narrow"/>
                <w:sz w:val="18"/>
                <w:szCs w:val="18"/>
              </w:rPr>
              <w:t>(69.9, 83.5)</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E40DA7" w:rsidRDefault="00F144AD" w:rsidP="008556E2">
            <w:pPr>
              <w:jc w:val="center"/>
              <w:rPr>
                <w:rFonts w:ascii="Arial Narrow" w:hAnsi="Arial Narrow"/>
                <w:sz w:val="18"/>
                <w:szCs w:val="18"/>
              </w:rPr>
            </w:pPr>
            <w:r w:rsidRPr="00E40DA7">
              <w:rPr>
                <w:rFonts w:ascii="Arial Narrow" w:hAnsi="Arial Narrow"/>
                <w:sz w:val="18"/>
                <w:szCs w:val="18"/>
              </w:rPr>
              <w:t>69.8</w:t>
            </w:r>
          </w:p>
          <w:p w:rsidR="00F048D9" w:rsidRPr="00E40DA7" w:rsidRDefault="00F144AD" w:rsidP="008556E2">
            <w:pPr>
              <w:jc w:val="center"/>
              <w:rPr>
                <w:rFonts w:ascii="Arial Narrow" w:hAnsi="Arial Narrow"/>
                <w:sz w:val="18"/>
                <w:szCs w:val="18"/>
              </w:rPr>
            </w:pPr>
            <w:r w:rsidRPr="00E40DA7">
              <w:rPr>
                <w:rFonts w:ascii="Arial Narrow" w:hAnsi="Arial Narrow"/>
                <w:sz w:val="18"/>
                <w:szCs w:val="18"/>
              </w:rPr>
              <w:t>(53.9, 82.8)</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90</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83</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(76, 89)</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83.6</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(75.4, 90.0)</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3A2EA3">
              <w:rPr>
                <w:rFonts w:ascii="Arial Narrow" w:hAnsi="Arial Narrow"/>
                <w:sz w:val="18"/>
                <w:szCs w:val="18"/>
              </w:rPr>
              <w:t>Complete response, n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864F62" w:rsidRDefault="00F144AD" w:rsidP="008556E2">
            <w:pPr>
              <w:jc w:val="center"/>
              <w:rPr>
                <w:rFonts w:ascii="Arial Narrow" w:hAnsi="Arial Narrow"/>
                <w:sz w:val="18"/>
                <w:szCs w:val="18"/>
              </w:rPr>
            </w:pPr>
            <w:r w:rsidRPr="00864F62">
              <w:rPr>
                <w:rFonts w:ascii="Arial Narrow" w:hAnsi="Arial Narrow"/>
                <w:sz w:val="18"/>
                <w:szCs w:val="18"/>
              </w:rPr>
              <w:t>29 (18.4)</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E40DA7" w:rsidRDefault="00F144AD" w:rsidP="008556E2">
            <w:pPr>
              <w:jc w:val="center"/>
              <w:rPr>
                <w:rFonts w:ascii="Arial Narrow" w:hAnsi="Arial Narrow"/>
                <w:sz w:val="18"/>
                <w:szCs w:val="18"/>
              </w:rPr>
            </w:pPr>
            <w:r w:rsidRPr="00E40DA7">
              <w:rPr>
                <w:rFonts w:ascii="Arial Narrow" w:hAnsi="Arial Narrow"/>
                <w:sz w:val="18"/>
                <w:szCs w:val="18"/>
              </w:rPr>
              <w:t>1 (2.3)</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(6)</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15 (10)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0</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3A2EA3">
              <w:rPr>
                <w:rFonts w:ascii="Arial Narrow" w:hAnsi="Arial Narrow"/>
                <w:sz w:val="18"/>
                <w:szCs w:val="18"/>
              </w:rPr>
              <w:t>Partial response, n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864F62" w:rsidRDefault="00F144AD" w:rsidP="008556E2">
            <w:pPr>
              <w:jc w:val="center"/>
              <w:rPr>
                <w:rFonts w:ascii="Arial Narrow" w:hAnsi="Arial Narrow"/>
                <w:sz w:val="18"/>
                <w:szCs w:val="18"/>
              </w:rPr>
            </w:pPr>
            <w:r w:rsidRPr="00864F62">
              <w:rPr>
                <w:rFonts w:ascii="Arial Narrow" w:hAnsi="Arial Narrow"/>
                <w:sz w:val="18"/>
                <w:szCs w:val="18"/>
              </w:rPr>
              <w:t>93 (58.9)</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E40DA7" w:rsidRDefault="00F144AD" w:rsidP="008556E2">
            <w:pPr>
              <w:jc w:val="center"/>
              <w:rPr>
                <w:rFonts w:ascii="Arial Narrow" w:hAnsi="Arial Narrow"/>
                <w:sz w:val="18"/>
                <w:szCs w:val="18"/>
              </w:rPr>
            </w:pPr>
            <w:r w:rsidRPr="00E40DA7">
              <w:rPr>
                <w:rFonts w:ascii="Arial Narrow" w:hAnsi="Arial Narrow"/>
                <w:sz w:val="18"/>
                <w:szCs w:val="18"/>
              </w:rPr>
              <w:t>29 (67.4)</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(84)</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105 (73)</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(83.6)</w:t>
            </w:r>
          </w:p>
        </w:tc>
      </w:tr>
      <w:tr w:rsidR="00F144AD" w:rsidRPr="003A2EA3" w:rsidTr="00836475">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E40DA7" w:rsidRDefault="00F144AD" w:rsidP="00F144AD">
            <w:pPr>
              <w:rPr>
                <w:rFonts w:ascii="Arial Narrow" w:hAnsi="Arial Narrow"/>
                <w:b/>
                <w:sz w:val="18"/>
                <w:szCs w:val="18"/>
              </w:rPr>
            </w:pPr>
            <w:r w:rsidRPr="00E40DA7">
              <w:rPr>
                <w:rFonts w:ascii="Arial Narrow" w:hAnsi="Arial Narrow"/>
                <w:b/>
                <w:sz w:val="18"/>
                <w:szCs w:val="18"/>
              </w:rPr>
              <w:t>Progression free survival</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D05FB9">
              <w:rPr>
                <w:rFonts w:ascii="Arial Narrow" w:hAnsi="Arial Narrow"/>
                <w:sz w:val="18"/>
                <w:szCs w:val="18"/>
              </w:rPr>
              <w:t>Events n/N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C27F96">
              <w:rPr>
                <w:rFonts w:ascii="Arial Narrow" w:hAnsi="Arial Narrow"/>
                <w:sz w:val="18"/>
                <w:szCs w:val="18"/>
              </w:rPr>
              <w:t>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NR</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(22.7)</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D05FB9">
              <w:rPr>
                <w:rFonts w:ascii="Arial Narrow" w:hAnsi="Arial Narrow"/>
                <w:sz w:val="18"/>
                <w:szCs w:val="18"/>
              </w:rPr>
              <w:t>Median PFS, months (95% CI)</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r w:rsidRPr="00864F62">
              <w:rPr>
                <w:rFonts w:ascii="Arial Narrow" w:hAnsi="Arial Narrow"/>
                <w:sz w:val="18"/>
                <w:szCs w:val="18"/>
              </w:rPr>
              <w:t>27.2</w:t>
            </w:r>
          </w:p>
          <w:p w:rsidR="00F048D9" w:rsidRPr="00864F62" w:rsidRDefault="00F144AD" w:rsidP="008556E2">
            <w:pPr>
              <w:jc w:val="center"/>
              <w:rPr>
                <w:rFonts w:ascii="Arial Narrow" w:hAnsi="Arial Narrow"/>
                <w:sz w:val="18"/>
                <w:szCs w:val="18"/>
              </w:rPr>
            </w:pPr>
            <w:r w:rsidRPr="00864F62">
              <w:rPr>
                <w:rFonts w:ascii="Arial Narrow" w:hAnsi="Arial Narrow"/>
                <w:sz w:val="18"/>
                <w:szCs w:val="18"/>
              </w:rPr>
              <w:t>(21.9, NE)</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C27F96">
              <w:rPr>
                <w:rFonts w:ascii="Arial Narrow" w:hAnsi="Arial Narrow"/>
                <w:sz w:val="18"/>
                <w:szCs w:val="18"/>
              </w:rPr>
              <w:t>Not reached (NR)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Not reached</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(27.7, NE)</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19.4</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(12.3, NE)</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F144AD">
            <w:pPr>
              <w:rPr>
                <w:rFonts w:ascii="Arial Narrow" w:hAnsi="Arial Narrow"/>
                <w:sz w:val="18"/>
                <w:szCs w:val="18"/>
              </w:rPr>
            </w:pPr>
            <w:r w:rsidRPr="00D05FB9">
              <w:rPr>
                <w:rFonts w:ascii="Arial Narrow" w:hAnsi="Arial Narrow"/>
                <w:sz w:val="18"/>
                <w:szCs w:val="18"/>
              </w:rPr>
              <w:t>KM estimate of PFS</w:t>
            </w:r>
          </w:p>
          <w:p w:rsidR="00F144AD" w:rsidRPr="003A2EA3" w:rsidRDefault="00F144AD" w:rsidP="00F144AD">
            <w:pPr>
              <w:rPr>
                <w:rFonts w:ascii="Arial Narrow" w:hAnsi="Arial Narrow"/>
                <w:sz w:val="18"/>
                <w:szCs w:val="18"/>
              </w:rPr>
            </w:pPr>
            <w:r w:rsidRPr="00D05FB9">
              <w:rPr>
                <w:rFonts w:ascii="Arial Narrow" w:hAnsi="Arial Narrow"/>
                <w:sz w:val="18"/>
                <w:szCs w:val="18"/>
              </w:rPr>
              <w:t>- 6 months, % (95% CI)</w:t>
            </w:r>
          </w:p>
          <w:p w:rsidR="00F048D9" w:rsidRPr="003A2EA3" w:rsidRDefault="00F144AD" w:rsidP="00F144AD">
            <w:pPr>
              <w:rPr>
                <w:rFonts w:ascii="Arial Narrow" w:hAnsi="Arial Narrow"/>
                <w:sz w:val="18"/>
                <w:szCs w:val="18"/>
              </w:rPr>
            </w:pPr>
            <w:r w:rsidRPr="00D05FB9">
              <w:rPr>
                <w:rFonts w:ascii="Arial Narrow" w:hAnsi="Arial Narrow"/>
                <w:sz w:val="18"/>
                <w:szCs w:val="18"/>
              </w:rPr>
              <w:t>- 12 months, % (95% CI)</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p>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p>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p w:rsidR="00F048D9" w:rsidRPr="00864F62" w:rsidRDefault="00F144AD" w:rsidP="008556E2">
            <w:pPr>
              <w:jc w:val="center"/>
              <w:rPr>
                <w:rFonts w:ascii="Arial Narrow" w:hAnsi="Arial Narrow"/>
                <w:sz w:val="18"/>
                <w:szCs w:val="18"/>
              </w:rPr>
            </w:pPr>
            <w:r w:rsidRPr="00864F62">
              <w:rPr>
                <w:rFonts w:ascii="Arial Narrow" w:hAnsi="Arial Narrow"/>
                <w:sz w:val="18"/>
                <w:szCs w:val="18"/>
              </w:rPr>
              <w:t>77 (69, 83)</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FD1374" w:rsidRDefault="00F144AD" w:rsidP="008556E2">
            <w:pPr>
              <w:jc w:val="center"/>
              <w:rPr>
                <w:rFonts w:ascii="Arial Narrow" w:hAnsi="Arial Narrow"/>
                <w:sz w:val="18"/>
                <w:szCs w:val="18"/>
              </w:rPr>
            </w:pPr>
          </w:p>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C27F96" w:rsidRDefault="00F144AD" w:rsidP="008556E2">
            <w:pPr>
              <w:jc w:val="center"/>
              <w:rPr>
                <w:rFonts w:ascii="Arial Narrow" w:hAnsi="Arial Narrow"/>
                <w:sz w:val="18"/>
                <w:szCs w:val="18"/>
              </w:rPr>
            </w:pPr>
          </w:p>
          <w:p w:rsidR="00F144AD" w:rsidRPr="003A2EA3" w:rsidRDefault="00F144AD" w:rsidP="008556E2">
            <w:pPr>
              <w:jc w:val="center"/>
              <w:rPr>
                <w:rFonts w:ascii="Arial Narrow" w:hAnsi="Arial Narrow"/>
                <w:sz w:val="18"/>
                <w:szCs w:val="18"/>
              </w:rPr>
            </w:pPr>
            <w:r w:rsidRPr="003A2EA3">
              <w:rPr>
                <w:rFonts w:ascii="Arial Narrow" w:hAnsi="Arial Narrow"/>
                <w:sz w:val="18"/>
                <w:szCs w:val="18"/>
              </w:rPr>
              <w:t>NR</w:t>
            </w:r>
          </w:p>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84 (NR)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p>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NR</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80 (NR)</w:t>
            </w:r>
            <w:r w:rsidRPr="00D05FB9">
              <w:rPr>
                <w:rFonts w:ascii="Arial Narrow" w:hAnsi="Arial Narrow"/>
                <w:sz w:val="18"/>
                <w:szCs w:val="18"/>
                <w:vertAlign w:val="superscript"/>
              </w:rPr>
              <w:t>3</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C27F96" w:rsidRDefault="00F144AD" w:rsidP="008556E2">
            <w:pPr>
              <w:jc w:val="center"/>
              <w:rPr>
                <w:rFonts w:ascii="Arial Narrow" w:hAnsi="Arial Narrow"/>
                <w:sz w:val="18"/>
                <w:szCs w:val="18"/>
              </w:rPr>
            </w:pPr>
          </w:p>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NR</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70 (NR)</w:t>
            </w:r>
          </w:p>
        </w:tc>
      </w:tr>
      <w:tr w:rsidR="00F144AD" w:rsidRPr="003A2EA3" w:rsidTr="00836475">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FD1374" w:rsidRDefault="00F144AD" w:rsidP="00F144AD">
            <w:pPr>
              <w:rPr>
                <w:rFonts w:ascii="Arial Narrow" w:hAnsi="Arial Narrow"/>
                <w:b/>
                <w:sz w:val="18"/>
                <w:szCs w:val="18"/>
              </w:rPr>
            </w:pPr>
            <w:r w:rsidRPr="00FD1374">
              <w:rPr>
                <w:rFonts w:ascii="Arial Narrow" w:hAnsi="Arial Narrow"/>
                <w:b/>
                <w:sz w:val="18"/>
                <w:szCs w:val="18"/>
              </w:rPr>
              <w:t>Overall survival</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D05FB9">
              <w:rPr>
                <w:rFonts w:ascii="Arial Narrow" w:hAnsi="Arial Narrow"/>
                <w:sz w:val="18"/>
                <w:szCs w:val="18"/>
              </w:rPr>
              <w:t>Death n/N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NR</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(15.5)</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F144AD">
            <w:pPr>
              <w:rPr>
                <w:rFonts w:ascii="Arial Narrow" w:hAnsi="Arial Narrow"/>
                <w:sz w:val="18"/>
                <w:szCs w:val="18"/>
              </w:rPr>
            </w:pPr>
            <w:r w:rsidRPr="00D05FB9">
              <w:rPr>
                <w:rFonts w:ascii="Arial Narrow" w:hAnsi="Arial Narrow"/>
                <w:sz w:val="18"/>
                <w:szCs w:val="18"/>
              </w:rPr>
              <w:t>Median OS, months (95% CI)</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r w:rsidRPr="00864F62">
              <w:rPr>
                <w:rFonts w:ascii="Arial Narrow" w:hAnsi="Arial Narrow"/>
                <w:sz w:val="18"/>
                <w:szCs w:val="18"/>
              </w:rPr>
              <w:t>Not reached</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3A2EA3">
              <w:rPr>
                <w:rFonts w:ascii="Arial Narrow" w:hAnsi="Arial Narrow"/>
                <w:sz w:val="18"/>
                <w:szCs w:val="18"/>
              </w:rPr>
              <w:t>Not reached (NE)</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Not reached</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(29.5, NE)</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048D9" w:rsidRPr="003A2EA3" w:rsidRDefault="00F144AD" w:rsidP="008556E2">
            <w:pPr>
              <w:jc w:val="center"/>
              <w:rPr>
                <w:rFonts w:ascii="Arial Narrow" w:hAnsi="Arial Narrow"/>
                <w:sz w:val="18"/>
                <w:szCs w:val="18"/>
              </w:rPr>
            </w:pPr>
            <w:r w:rsidRPr="00C27F96">
              <w:rPr>
                <w:rFonts w:ascii="Arial Narrow" w:hAnsi="Arial Narrow"/>
                <w:sz w:val="18"/>
                <w:szCs w:val="18"/>
              </w:rPr>
              <w:t>Not reached  (NE)</w:t>
            </w:r>
          </w:p>
        </w:tc>
      </w:tr>
      <w:tr w:rsidR="00F144AD" w:rsidRPr="003A2EA3" w:rsidTr="00836475">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3A2EA3" w:rsidRDefault="00F144AD" w:rsidP="00F144AD">
            <w:pPr>
              <w:rPr>
                <w:rFonts w:ascii="Arial Narrow" w:hAnsi="Arial Narrow"/>
                <w:sz w:val="18"/>
                <w:szCs w:val="18"/>
              </w:rPr>
            </w:pPr>
            <w:r w:rsidRPr="00D05FB9">
              <w:rPr>
                <w:rFonts w:ascii="Arial Narrow" w:hAnsi="Arial Narrow"/>
                <w:sz w:val="18"/>
                <w:szCs w:val="18"/>
              </w:rPr>
              <w:t>KM estimate of OS</w:t>
            </w:r>
          </w:p>
          <w:p w:rsidR="00F144AD" w:rsidRPr="003A2EA3" w:rsidRDefault="00F144AD" w:rsidP="00F144AD">
            <w:pPr>
              <w:rPr>
                <w:rFonts w:ascii="Arial Narrow" w:hAnsi="Arial Narrow"/>
                <w:sz w:val="18"/>
                <w:szCs w:val="18"/>
              </w:rPr>
            </w:pPr>
            <w:r w:rsidRPr="00D05FB9">
              <w:rPr>
                <w:rFonts w:ascii="Arial Narrow" w:hAnsi="Arial Narrow"/>
                <w:sz w:val="18"/>
                <w:szCs w:val="18"/>
              </w:rPr>
              <w:t xml:space="preserve">- 6 months, % (95% CI) </w:t>
            </w:r>
          </w:p>
          <w:p w:rsidR="00F048D9" w:rsidRPr="003A2EA3" w:rsidRDefault="00F144AD" w:rsidP="00F144AD">
            <w:pPr>
              <w:rPr>
                <w:rFonts w:ascii="Arial Narrow" w:hAnsi="Arial Narrow"/>
                <w:sz w:val="18"/>
                <w:szCs w:val="18"/>
              </w:rPr>
            </w:pPr>
            <w:r w:rsidRPr="00D05FB9">
              <w:rPr>
                <w:rFonts w:ascii="Arial Narrow" w:hAnsi="Arial Narrow"/>
                <w:sz w:val="18"/>
                <w:szCs w:val="18"/>
              </w:rPr>
              <w:t>- 12 months, % (95% CI)</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p>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864F62" w:rsidRDefault="00F144AD" w:rsidP="008556E2">
            <w:pPr>
              <w:jc w:val="center"/>
              <w:rPr>
                <w:rFonts w:ascii="Arial Narrow" w:hAnsi="Arial Narrow"/>
                <w:sz w:val="18"/>
                <w:szCs w:val="18"/>
              </w:rPr>
            </w:pPr>
          </w:p>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p w:rsidR="00F048D9" w:rsidRPr="00864F62" w:rsidRDefault="00F144AD" w:rsidP="008556E2">
            <w:pPr>
              <w:jc w:val="center"/>
              <w:rPr>
                <w:rFonts w:ascii="Arial Narrow" w:hAnsi="Arial Narrow"/>
                <w:sz w:val="18"/>
                <w:szCs w:val="18"/>
              </w:rPr>
            </w:pPr>
            <w:r w:rsidRPr="00864F62">
              <w:rPr>
                <w:rFonts w:ascii="Arial Narrow" w:hAnsi="Arial Narrow"/>
                <w:sz w:val="18"/>
                <w:szCs w:val="18"/>
              </w:rPr>
              <w:t>87 (80, 91)</w:t>
            </w:r>
          </w:p>
        </w:tc>
        <w:tc>
          <w:tcPr>
            <w:tcW w:w="6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FD1374" w:rsidRDefault="00F144AD" w:rsidP="008556E2">
            <w:pPr>
              <w:jc w:val="center"/>
              <w:rPr>
                <w:rFonts w:ascii="Arial Narrow" w:hAnsi="Arial Narrow"/>
                <w:sz w:val="18"/>
                <w:szCs w:val="18"/>
              </w:rPr>
            </w:pPr>
          </w:p>
          <w:p w:rsidR="00F144AD"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p w:rsidR="00F048D9" w:rsidRPr="00A5328F" w:rsidRDefault="00A5328F" w:rsidP="008556E2">
            <w:pPr>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C27F96" w:rsidRDefault="00F144AD" w:rsidP="008556E2">
            <w:pPr>
              <w:jc w:val="center"/>
              <w:rPr>
                <w:rFonts w:ascii="Arial Narrow" w:hAnsi="Arial Narrow"/>
                <w:sz w:val="18"/>
                <w:szCs w:val="18"/>
              </w:rPr>
            </w:pPr>
          </w:p>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NR</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90 (NR)</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C27F96" w:rsidRDefault="00F144AD" w:rsidP="008556E2">
            <w:pPr>
              <w:jc w:val="center"/>
              <w:rPr>
                <w:rFonts w:ascii="Arial Narrow" w:hAnsi="Arial Narrow"/>
                <w:sz w:val="18"/>
                <w:szCs w:val="18"/>
              </w:rPr>
            </w:pPr>
          </w:p>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NR</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84 (NR)</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44AD" w:rsidRPr="00C27F96" w:rsidRDefault="00F144AD" w:rsidP="008556E2">
            <w:pPr>
              <w:jc w:val="center"/>
              <w:rPr>
                <w:rFonts w:ascii="Arial Narrow" w:hAnsi="Arial Narrow"/>
                <w:sz w:val="18"/>
                <w:szCs w:val="18"/>
              </w:rPr>
            </w:pPr>
          </w:p>
          <w:p w:rsidR="00F144AD" w:rsidRPr="003A2EA3" w:rsidRDefault="00F144AD" w:rsidP="008556E2">
            <w:pPr>
              <w:jc w:val="center"/>
              <w:rPr>
                <w:rFonts w:ascii="Arial Narrow" w:hAnsi="Arial Narrow"/>
                <w:sz w:val="18"/>
                <w:szCs w:val="18"/>
              </w:rPr>
            </w:pPr>
            <w:r w:rsidRPr="00D05FB9">
              <w:rPr>
                <w:rFonts w:ascii="Arial Narrow" w:hAnsi="Arial Narrow"/>
                <w:sz w:val="18"/>
                <w:szCs w:val="18"/>
              </w:rPr>
              <w:t>NR</w:t>
            </w:r>
          </w:p>
          <w:p w:rsidR="00F048D9" w:rsidRPr="003A2EA3" w:rsidRDefault="00F144AD" w:rsidP="008556E2">
            <w:pPr>
              <w:jc w:val="center"/>
              <w:rPr>
                <w:rFonts w:ascii="Arial Narrow" w:hAnsi="Arial Narrow"/>
                <w:sz w:val="18"/>
                <w:szCs w:val="18"/>
              </w:rPr>
            </w:pPr>
            <w:r w:rsidRPr="00D05FB9">
              <w:rPr>
                <w:rFonts w:ascii="Arial Narrow" w:hAnsi="Arial Narrow"/>
                <w:sz w:val="18"/>
                <w:szCs w:val="18"/>
              </w:rPr>
              <w:t>89 (NR)</w:t>
            </w:r>
          </w:p>
        </w:tc>
      </w:tr>
    </w:tbl>
    <w:p w:rsidR="00851918" w:rsidRPr="003A2EA3" w:rsidRDefault="00851918" w:rsidP="00851918">
      <w:pPr>
        <w:rPr>
          <w:rFonts w:ascii="Arial Narrow" w:hAnsi="Arial Narrow"/>
          <w:sz w:val="18"/>
          <w:szCs w:val="18"/>
        </w:rPr>
      </w:pPr>
      <w:r w:rsidRPr="003A2EA3">
        <w:rPr>
          <w:rFonts w:ascii="Arial Narrow" w:hAnsi="Arial Narrow"/>
          <w:sz w:val="18"/>
          <w:szCs w:val="18"/>
        </w:rPr>
        <w:t xml:space="preserve">Abbreviations: CI, confidence interval; KM, Kaplan-Meier; NE, not evaluable; NR, not reported; OS, overall survival; PBO, placebo; PFS, progression free survival; RITU, rituximab; VEN, </w:t>
      </w:r>
      <w:proofErr w:type="spellStart"/>
      <w:r w:rsidRPr="003A2EA3">
        <w:rPr>
          <w:rFonts w:ascii="Arial Narrow" w:hAnsi="Arial Narrow"/>
          <w:sz w:val="18"/>
          <w:szCs w:val="18"/>
        </w:rPr>
        <w:t>venetoclax</w:t>
      </w:r>
      <w:proofErr w:type="spellEnd"/>
      <w:r w:rsidR="007E38B1" w:rsidRPr="003A2EA3">
        <w:rPr>
          <w:rFonts w:ascii="Arial Narrow" w:hAnsi="Arial Narrow"/>
          <w:sz w:val="18"/>
          <w:szCs w:val="18"/>
        </w:rPr>
        <w:t xml:space="preserve">; IDEL, </w:t>
      </w:r>
      <w:proofErr w:type="spellStart"/>
      <w:r w:rsidR="007E38B1" w:rsidRPr="003A2EA3">
        <w:rPr>
          <w:rFonts w:ascii="Arial Narrow" w:hAnsi="Arial Narrow"/>
          <w:sz w:val="18"/>
          <w:szCs w:val="18"/>
        </w:rPr>
        <w:t>idelalisib</w:t>
      </w:r>
      <w:proofErr w:type="spellEnd"/>
      <w:r w:rsidR="007E38B1" w:rsidRPr="003A2EA3">
        <w:rPr>
          <w:rFonts w:ascii="Arial Narrow" w:hAnsi="Arial Narrow"/>
          <w:sz w:val="18"/>
          <w:szCs w:val="18"/>
        </w:rPr>
        <w:t>.</w:t>
      </w:r>
    </w:p>
    <w:p w:rsidR="00E800EF" w:rsidRPr="003A2EA3" w:rsidRDefault="00E800EF" w:rsidP="00851918">
      <w:pPr>
        <w:rPr>
          <w:rFonts w:ascii="Arial Narrow" w:hAnsi="Arial Narrow"/>
          <w:sz w:val="18"/>
          <w:szCs w:val="18"/>
        </w:rPr>
      </w:pPr>
      <w:r w:rsidRPr="003A2EA3">
        <w:rPr>
          <w:rFonts w:ascii="Arial Narrow" w:hAnsi="Arial Narrow"/>
          <w:sz w:val="18"/>
          <w:szCs w:val="18"/>
          <w:vertAlign w:val="superscript"/>
        </w:rPr>
        <w:t>1</w:t>
      </w:r>
      <w:r w:rsidRPr="003A2EA3">
        <w:rPr>
          <w:rFonts w:ascii="Arial Narrow" w:hAnsi="Arial Narrow"/>
          <w:sz w:val="18"/>
          <w:szCs w:val="18"/>
        </w:rPr>
        <w:t xml:space="preserve"> Complete </w:t>
      </w:r>
      <w:proofErr w:type="spellStart"/>
      <w:r w:rsidRPr="003A2EA3">
        <w:rPr>
          <w:rFonts w:ascii="Arial Narrow" w:hAnsi="Arial Narrow"/>
          <w:sz w:val="18"/>
          <w:szCs w:val="18"/>
        </w:rPr>
        <w:t>ibrutinib</w:t>
      </w:r>
      <w:proofErr w:type="spellEnd"/>
      <w:r w:rsidRPr="003A2EA3">
        <w:rPr>
          <w:rFonts w:ascii="Arial Narrow" w:hAnsi="Arial Narrow"/>
          <w:sz w:val="18"/>
          <w:szCs w:val="18"/>
        </w:rPr>
        <w:t xml:space="preserve"> arm of the RESONATE trial.</w:t>
      </w:r>
    </w:p>
    <w:p w:rsidR="00851918" w:rsidRPr="003A2EA3" w:rsidRDefault="00851918" w:rsidP="00851918">
      <w:pPr>
        <w:rPr>
          <w:rFonts w:asciiTheme="minorHAnsi" w:hAnsiTheme="minorHAnsi"/>
          <w:sz w:val="22"/>
          <w:szCs w:val="22"/>
        </w:rPr>
      </w:pPr>
      <w:r w:rsidRPr="003A2EA3">
        <w:rPr>
          <w:rFonts w:ascii="Arial Narrow" w:hAnsi="Arial Narrow"/>
          <w:sz w:val="18"/>
          <w:szCs w:val="18"/>
        </w:rPr>
        <w:t>Source: C</w:t>
      </w:r>
      <w:r w:rsidR="007E38B1" w:rsidRPr="003A2EA3">
        <w:rPr>
          <w:rFonts w:ascii="Arial Narrow" w:hAnsi="Arial Narrow"/>
          <w:sz w:val="18"/>
          <w:szCs w:val="18"/>
        </w:rPr>
        <w:t>ompiled during consideration.</w:t>
      </w:r>
    </w:p>
    <w:p w:rsidR="00851918" w:rsidRPr="003A2EA3" w:rsidRDefault="00851918" w:rsidP="00E517B1">
      <w:pPr>
        <w:rPr>
          <w:rFonts w:asciiTheme="minorHAnsi" w:hAnsiTheme="minorHAnsi"/>
          <w:sz w:val="22"/>
          <w:szCs w:val="22"/>
        </w:rPr>
      </w:pPr>
    </w:p>
    <w:p w:rsidR="00836475" w:rsidRPr="003A2EA3" w:rsidRDefault="00AB1720" w:rsidP="00836475">
      <w:pPr>
        <w:pStyle w:val="ListParagraph"/>
        <w:numPr>
          <w:ilvl w:val="1"/>
          <w:numId w:val="5"/>
        </w:numPr>
        <w:rPr>
          <w:rFonts w:asciiTheme="minorHAnsi" w:hAnsiTheme="minorHAnsi"/>
          <w:sz w:val="24"/>
          <w:szCs w:val="24"/>
        </w:rPr>
      </w:pPr>
      <w:r w:rsidRPr="003A2EA3">
        <w:rPr>
          <w:rFonts w:asciiTheme="minorHAnsi" w:hAnsiTheme="minorHAnsi"/>
          <w:sz w:val="24"/>
          <w:szCs w:val="24"/>
        </w:rPr>
        <w:t>The</w:t>
      </w:r>
      <w:r w:rsidR="00836475" w:rsidRPr="003A2EA3">
        <w:rPr>
          <w:rFonts w:asciiTheme="minorHAnsi" w:hAnsiTheme="minorHAnsi"/>
          <w:sz w:val="24"/>
          <w:szCs w:val="24"/>
        </w:rPr>
        <w:t xml:space="preserve"> PBAC noted that</w:t>
      </w:r>
      <w:r w:rsidR="003430FC" w:rsidRPr="003A2EA3">
        <w:rPr>
          <w:rFonts w:asciiTheme="minorHAnsi" w:hAnsiTheme="minorHAnsi"/>
          <w:sz w:val="24"/>
          <w:szCs w:val="24"/>
        </w:rPr>
        <w:t xml:space="preserve"> the </w:t>
      </w:r>
      <w:r w:rsidR="00040068" w:rsidRPr="003A2EA3">
        <w:rPr>
          <w:rFonts w:asciiTheme="minorHAnsi" w:hAnsiTheme="minorHAnsi"/>
          <w:sz w:val="24"/>
          <w:szCs w:val="24"/>
        </w:rPr>
        <w:t>naïve comparison</w:t>
      </w:r>
      <w:r w:rsidR="002C5931" w:rsidRPr="003A2EA3">
        <w:rPr>
          <w:rFonts w:asciiTheme="minorHAnsi" w:hAnsiTheme="minorHAnsi"/>
          <w:sz w:val="24"/>
          <w:szCs w:val="24"/>
        </w:rPr>
        <w:t>s</w:t>
      </w:r>
      <w:r w:rsidR="00040068" w:rsidRPr="003A2EA3">
        <w:rPr>
          <w:rFonts w:asciiTheme="minorHAnsi" w:hAnsiTheme="minorHAnsi"/>
          <w:sz w:val="24"/>
          <w:szCs w:val="24"/>
        </w:rPr>
        <w:t xml:space="preserve"> across </w:t>
      </w:r>
      <w:r w:rsidR="00532814" w:rsidRPr="003A2EA3">
        <w:rPr>
          <w:rFonts w:asciiTheme="minorHAnsi" w:hAnsiTheme="minorHAnsi"/>
          <w:sz w:val="24"/>
          <w:szCs w:val="24"/>
        </w:rPr>
        <w:t xml:space="preserve">the </w:t>
      </w:r>
      <w:proofErr w:type="spellStart"/>
      <w:r w:rsidR="00532814" w:rsidRPr="003A2EA3">
        <w:rPr>
          <w:rFonts w:asciiTheme="minorHAnsi" w:hAnsiTheme="minorHAnsi"/>
          <w:sz w:val="24"/>
          <w:szCs w:val="24"/>
        </w:rPr>
        <w:t>venetoclax</w:t>
      </w:r>
      <w:proofErr w:type="spellEnd"/>
      <w:r w:rsidR="00532814" w:rsidRPr="003A2EA3">
        <w:rPr>
          <w:rFonts w:asciiTheme="minorHAnsi" w:hAnsiTheme="minorHAnsi"/>
          <w:sz w:val="24"/>
          <w:szCs w:val="24"/>
        </w:rPr>
        <w:t xml:space="preserve"> and </w:t>
      </w:r>
      <w:proofErr w:type="spellStart"/>
      <w:r w:rsidR="00532814" w:rsidRPr="003A2EA3">
        <w:rPr>
          <w:rFonts w:asciiTheme="minorHAnsi" w:hAnsiTheme="minorHAnsi"/>
          <w:sz w:val="24"/>
          <w:szCs w:val="24"/>
        </w:rPr>
        <w:t>idelalisib</w:t>
      </w:r>
      <w:proofErr w:type="spellEnd"/>
      <w:r w:rsidR="00532814" w:rsidRPr="003A2EA3">
        <w:rPr>
          <w:rFonts w:asciiTheme="minorHAnsi" w:hAnsiTheme="minorHAnsi"/>
          <w:sz w:val="24"/>
          <w:szCs w:val="24"/>
        </w:rPr>
        <w:t xml:space="preserve"> with rituximab </w:t>
      </w:r>
      <w:r w:rsidR="00040068" w:rsidRPr="003A2EA3">
        <w:rPr>
          <w:rFonts w:asciiTheme="minorHAnsi" w:hAnsiTheme="minorHAnsi"/>
          <w:sz w:val="24"/>
          <w:szCs w:val="24"/>
        </w:rPr>
        <w:t xml:space="preserve">studies gave numerically varying </w:t>
      </w:r>
      <w:r w:rsidR="009D2CF6" w:rsidRPr="003A2EA3">
        <w:rPr>
          <w:rFonts w:asciiTheme="minorHAnsi" w:hAnsiTheme="minorHAnsi"/>
          <w:sz w:val="24"/>
          <w:szCs w:val="24"/>
        </w:rPr>
        <w:t>incremental results depending on whether th</w:t>
      </w:r>
      <w:r w:rsidR="002C5931" w:rsidRPr="003A2EA3">
        <w:rPr>
          <w:rFonts w:asciiTheme="minorHAnsi" w:hAnsiTheme="minorHAnsi"/>
          <w:sz w:val="24"/>
          <w:szCs w:val="24"/>
        </w:rPr>
        <w:t>ese comparison</w:t>
      </w:r>
      <w:r w:rsidR="009D2CF6" w:rsidRPr="003A2EA3">
        <w:rPr>
          <w:rFonts w:asciiTheme="minorHAnsi" w:hAnsiTheme="minorHAnsi"/>
          <w:sz w:val="24"/>
          <w:szCs w:val="24"/>
        </w:rPr>
        <w:t xml:space="preserve">s </w:t>
      </w:r>
      <w:r w:rsidR="002C5931" w:rsidRPr="003A2EA3">
        <w:rPr>
          <w:rFonts w:asciiTheme="minorHAnsi" w:hAnsiTheme="minorHAnsi"/>
          <w:sz w:val="24"/>
          <w:szCs w:val="24"/>
        </w:rPr>
        <w:t xml:space="preserve">were </w:t>
      </w:r>
      <w:r w:rsidR="009D2CF6" w:rsidRPr="003A2EA3">
        <w:rPr>
          <w:rFonts w:asciiTheme="minorHAnsi" w:hAnsiTheme="minorHAnsi"/>
          <w:sz w:val="24"/>
          <w:szCs w:val="24"/>
        </w:rPr>
        <w:t xml:space="preserve">based on </w:t>
      </w:r>
      <w:r w:rsidR="00836475" w:rsidRPr="003A2EA3">
        <w:rPr>
          <w:rFonts w:asciiTheme="minorHAnsi" w:hAnsiTheme="minorHAnsi"/>
          <w:sz w:val="24"/>
          <w:szCs w:val="24"/>
        </w:rPr>
        <w:t>overall respon</w:t>
      </w:r>
      <w:r w:rsidR="009D2CF6" w:rsidRPr="003A2EA3">
        <w:rPr>
          <w:rFonts w:asciiTheme="minorHAnsi" w:hAnsiTheme="minorHAnsi"/>
          <w:sz w:val="24"/>
          <w:szCs w:val="24"/>
        </w:rPr>
        <w:t>se rates</w:t>
      </w:r>
      <w:r w:rsidR="00836475" w:rsidRPr="003A2EA3">
        <w:rPr>
          <w:rFonts w:asciiTheme="minorHAnsi" w:hAnsiTheme="minorHAnsi"/>
          <w:sz w:val="24"/>
          <w:szCs w:val="24"/>
        </w:rPr>
        <w:t xml:space="preserve"> (complete plus partial</w:t>
      </w:r>
      <w:r w:rsidR="009D2CF6" w:rsidRPr="003A2EA3">
        <w:rPr>
          <w:rFonts w:asciiTheme="minorHAnsi" w:hAnsiTheme="minorHAnsi"/>
          <w:sz w:val="24"/>
          <w:szCs w:val="24"/>
        </w:rPr>
        <w:t xml:space="preserve"> responses</w:t>
      </w:r>
      <w:r w:rsidR="00836475" w:rsidRPr="003A2EA3">
        <w:rPr>
          <w:rFonts w:asciiTheme="minorHAnsi" w:hAnsiTheme="minorHAnsi"/>
          <w:sz w:val="24"/>
          <w:szCs w:val="24"/>
        </w:rPr>
        <w:t>)</w:t>
      </w:r>
      <w:r w:rsidR="009D2CF6" w:rsidRPr="003A2EA3">
        <w:rPr>
          <w:rFonts w:asciiTheme="minorHAnsi" w:hAnsiTheme="minorHAnsi"/>
          <w:sz w:val="24"/>
          <w:szCs w:val="24"/>
        </w:rPr>
        <w:t xml:space="preserve">, which numerically favoured </w:t>
      </w:r>
      <w:proofErr w:type="spellStart"/>
      <w:r w:rsidR="009D2CF6" w:rsidRPr="003A2EA3">
        <w:rPr>
          <w:rFonts w:asciiTheme="minorHAnsi" w:hAnsiTheme="minorHAnsi"/>
          <w:sz w:val="24"/>
          <w:szCs w:val="24"/>
        </w:rPr>
        <w:t>idelalisib</w:t>
      </w:r>
      <w:proofErr w:type="spellEnd"/>
      <w:r w:rsidR="009D2CF6" w:rsidRPr="003A2EA3">
        <w:rPr>
          <w:rFonts w:asciiTheme="minorHAnsi" w:hAnsiTheme="minorHAnsi"/>
          <w:sz w:val="24"/>
          <w:szCs w:val="24"/>
        </w:rPr>
        <w:t xml:space="preserve"> with rituximab, or </w:t>
      </w:r>
      <w:r w:rsidR="002C5931" w:rsidRPr="003A2EA3">
        <w:rPr>
          <w:rFonts w:asciiTheme="minorHAnsi" w:hAnsiTheme="minorHAnsi"/>
          <w:sz w:val="24"/>
          <w:szCs w:val="24"/>
        </w:rPr>
        <w:t xml:space="preserve">on </w:t>
      </w:r>
      <w:r w:rsidR="009D2CF6" w:rsidRPr="003A2EA3">
        <w:rPr>
          <w:rFonts w:asciiTheme="minorHAnsi" w:hAnsiTheme="minorHAnsi"/>
          <w:sz w:val="24"/>
          <w:szCs w:val="24"/>
        </w:rPr>
        <w:t xml:space="preserve">complete response rates only, which numerically favoured </w:t>
      </w:r>
      <w:proofErr w:type="spellStart"/>
      <w:r w:rsidR="009D2CF6" w:rsidRPr="003A2EA3">
        <w:rPr>
          <w:rFonts w:asciiTheme="minorHAnsi" w:hAnsiTheme="minorHAnsi"/>
          <w:sz w:val="24"/>
          <w:szCs w:val="24"/>
        </w:rPr>
        <w:t>venetoclax</w:t>
      </w:r>
      <w:proofErr w:type="spellEnd"/>
      <w:r w:rsidR="00836475" w:rsidRPr="003A2EA3">
        <w:rPr>
          <w:rFonts w:asciiTheme="minorHAnsi" w:hAnsiTheme="minorHAnsi"/>
          <w:sz w:val="24"/>
          <w:szCs w:val="24"/>
        </w:rPr>
        <w:t xml:space="preserve">.  Additionally, </w:t>
      </w:r>
      <w:r w:rsidR="008556E2" w:rsidRPr="003A2EA3">
        <w:rPr>
          <w:rFonts w:asciiTheme="minorHAnsi" w:hAnsiTheme="minorHAnsi"/>
          <w:sz w:val="24"/>
          <w:szCs w:val="24"/>
        </w:rPr>
        <w:t xml:space="preserve">the likely more biased </w:t>
      </w:r>
      <w:r w:rsidR="00836475" w:rsidRPr="003A2EA3">
        <w:rPr>
          <w:rFonts w:asciiTheme="minorHAnsi" w:hAnsiTheme="minorHAnsi"/>
          <w:sz w:val="24"/>
          <w:szCs w:val="24"/>
        </w:rPr>
        <w:t xml:space="preserve">investigator-assessed outcomes were generally more favourable than </w:t>
      </w:r>
      <w:r w:rsidR="008556E2" w:rsidRPr="003A2EA3">
        <w:rPr>
          <w:rFonts w:asciiTheme="minorHAnsi" w:hAnsiTheme="minorHAnsi"/>
          <w:sz w:val="24"/>
          <w:szCs w:val="24"/>
        </w:rPr>
        <w:t xml:space="preserve">the likely less biased </w:t>
      </w:r>
      <w:r w:rsidR="00836475" w:rsidRPr="003A2EA3">
        <w:rPr>
          <w:rFonts w:asciiTheme="minorHAnsi" w:hAnsiTheme="minorHAnsi"/>
          <w:sz w:val="24"/>
          <w:szCs w:val="24"/>
        </w:rPr>
        <w:t xml:space="preserve">centrally-assessed outcomes for </w:t>
      </w:r>
      <w:proofErr w:type="spellStart"/>
      <w:r w:rsidR="00836475" w:rsidRPr="003A2EA3">
        <w:rPr>
          <w:rFonts w:asciiTheme="minorHAnsi" w:hAnsiTheme="minorHAnsi"/>
          <w:sz w:val="24"/>
          <w:szCs w:val="24"/>
        </w:rPr>
        <w:t>venetoclax</w:t>
      </w:r>
      <w:proofErr w:type="spellEnd"/>
      <w:r w:rsidR="00836475" w:rsidRPr="003A2EA3">
        <w:rPr>
          <w:rFonts w:asciiTheme="minorHAnsi" w:hAnsiTheme="minorHAnsi"/>
          <w:sz w:val="24"/>
          <w:szCs w:val="24"/>
        </w:rPr>
        <w:t xml:space="preserve">. </w:t>
      </w:r>
      <w:r w:rsidRPr="003A2EA3">
        <w:rPr>
          <w:rFonts w:asciiTheme="minorHAnsi" w:hAnsiTheme="minorHAnsi"/>
          <w:sz w:val="24"/>
          <w:szCs w:val="24"/>
        </w:rPr>
        <w:t xml:space="preserve"> </w:t>
      </w:r>
      <w:r w:rsidR="00040068" w:rsidRPr="003A2EA3">
        <w:rPr>
          <w:rFonts w:asciiTheme="minorHAnsi" w:hAnsiTheme="minorHAnsi"/>
          <w:sz w:val="24"/>
          <w:szCs w:val="24"/>
        </w:rPr>
        <w:t>For example, l</w:t>
      </w:r>
      <w:r w:rsidR="00836475" w:rsidRPr="003A2EA3">
        <w:rPr>
          <w:rFonts w:asciiTheme="minorHAnsi" w:hAnsiTheme="minorHAnsi"/>
          <w:sz w:val="24"/>
          <w:szCs w:val="24"/>
        </w:rPr>
        <w:t xml:space="preserve">imiting the analysis </w:t>
      </w:r>
      <w:r w:rsidR="00532814" w:rsidRPr="003A2EA3">
        <w:rPr>
          <w:rFonts w:asciiTheme="minorHAnsi" w:hAnsiTheme="minorHAnsi"/>
          <w:sz w:val="24"/>
          <w:szCs w:val="24"/>
        </w:rPr>
        <w:t xml:space="preserve">of M13-982 </w:t>
      </w:r>
      <w:r w:rsidR="00800566" w:rsidRPr="003A2EA3">
        <w:rPr>
          <w:rFonts w:asciiTheme="minorHAnsi" w:hAnsiTheme="minorHAnsi"/>
          <w:sz w:val="24"/>
          <w:szCs w:val="24"/>
        </w:rPr>
        <w:t xml:space="preserve">at the April 2015 data cut </w:t>
      </w:r>
      <w:r w:rsidR="00836475" w:rsidRPr="003A2EA3">
        <w:rPr>
          <w:rFonts w:asciiTheme="minorHAnsi" w:hAnsiTheme="minorHAnsi"/>
          <w:sz w:val="24"/>
          <w:szCs w:val="24"/>
        </w:rPr>
        <w:t xml:space="preserve">to centrally-assessed </w:t>
      </w:r>
      <w:r w:rsidR="00040068" w:rsidRPr="003A2EA3">
        <w:rPr>
          <w:rFonts w:asciiTheme="minorHAnsi" w:hAnsiTheme="minorHAnsi"/>
          <w:sz w:val="24"/>
          <w:szCs w:val="24"/>
        </w:rPr>
        <w:t xml:space="preserve">complete response rates </w:t>
      </w:r>
      <w:r w:rsidR="00836475" w:rsidRPr="003A2EA3">
        <w:rPr>
          <w:rFonts w:asciiTheme="minorHAnsi" w:hAnsiTheme="minorHAnsi"/>
          <w:sz w:val="24"/>
          <w:szCs w:val="24"/>
        </w:rPr>
        <w:t xml:space="preserve">reduced the complete response rates </w:t>
      </w:r>
      <w:r w:rsidR="00040068" w:rsidRPr="003A2EA3">
        <w:rPr>
          <w:rFonts w:asciiTheme="minorHAnsi" w:hAnsiTheme="minorHAnsi"/>
          <w:sz w:val="24"/>
          <w:szCs w:val="24"/>
        </w:rPr>
        <w:t xml:space="preserve">for </w:t>
      </w:r>
      <w:proofErr w:type="spellStart"/>
      <w:r w:rsidR="00040068" w:rsidRPr="003A2EA3">
        <w:rPr>
          <w:rFonts w:asciiTheme="minorHAnsi" w:hAnsiTheme="minorHAnsi"/>
          <w:sz w:val="24"/>
          <w:szCs w:val="24"/>
        </w:rPr>
        <w:t>venetoclax</w:t>
      </w:r>
      <w:proofErr w:type="spellEnd"/>
      <w:r w:rsidR="00040068" w:rsidRPr="003A2EA3">
        <w:rPr>
          <w:rFonts w:asciiTheme="minorHAnsi" w:hAnsiTheme="minorHAnsi"/>
          <w:sz w:val="24"/>
          <w:szCs w:val="24"/>
        </w:rPr>
        <w:t xml:space="preserve"> (</w:t>
      </w:r>
      <w:r w:rsidR="00800566" w:rsidRPr="003A2EA3">
        <w:rPr>
          <w:rFonts w:asciiTheme="minorHAnsi" w:hAnsiTheme="minorHAnsi"/>
          <w:sz w:val="24"/>
          <w:szCs w:val="24"/>
        </w:rPr>
        <w:t>15.9%</w:t>
      </w:r>
      <w:r w:rsidR="00040068" w:rsidRPr="003A2EA3">
        <w:rPr>
          <w:rFonts w:asciiTheme="minorHAnsi" w:hAnsiTheme="minorHAnsi"/>
          <w:sz w:val="24"/>
          <w:szCs w:val="24"/>
        </w:rPr>
        <w:t xml:space="preserve"> vs. 7.5% for investigator-assessed)</w:t>
      </w:r>
      <w:r w:rsidR="00836475" w:rsidRPr="003A2EA3">
        <w:rPr>
          <w:rFonts w:asciiTheme="minorHAnsi" w:hAnsiTheme="minorHAnsi"/>
          <w:sz w:val="24"/>
          <w:szCs w:val="24"/>
        </w:rPr>
        <w:t>.</w:t>
      </w:r>
    </w:p>
    <w:p w:rsidR="00F144AD" w:rsidRPr="003A2EA3" w:rsidRDefault="00F144AD" w:rsidP="00E517B1">
      <w:pPr>
        <w:rPr>
          <w:rFonts w:asciiTheme="minorHAnsi" w:hAnsiTheme="minorHAnsi"/>
        </w:rPr>
      </w:pPr>
    </w:p>
    <w:p w:rsidR="00D504CB" w:rsidRDefault="00D504CB" w:rsidP="00B1059E">
      <w:pPr>
        <w:pStyle w:val="Heading2"/>
        <w:rPr>
          <w:rFonts w:asciiTheme="minorHAnsi" w:hAnsiTheme="minorHAnsi"/>
          <w:sz w:val="28"/>
          <w:szCs w:val="28"/>
        </w:rPr>
      </w:pPr>
      <w:r>
        <w:rPr>
          <w:rFonts w:asciiTheme="minorHAnsi" w:hAnsiTheme="minorHAnsi"/>
          <w:sz w:val="28"/>
          <w:szCs w:val="28"/>
        </w:rPr>
        <w:br w:type="page"/>
      </w:r>
    </w:p>
    <w:p w:rsidR="005A3173" w:rsidRPr="003A2EA3" w:rsidRDefault="005A3173" w:rsidP="00B1059E">
      <w:pPr>
        <w:pStyle w:val="Heading2"/>
        <w:rPr>
          <w:rFonts w:asciiTheme="minorHAnsi" w:hAnsiTheme="minorHAnsi"/>
          <w:sz w:val="28"/>
          <w:szCs w:val="28"/>
        </w:rPr>
      </w:pPr>
      <w:r w:rsidRPr="003A2EA3">
        <w:rPr>
          <w:rFonts w:asciiTheme="minorHAnsi" w:hAnsiTheme="minorHAnsi"/>
          <w:sz w:val="28"/>
          <w:szCs w:val="28"/>
        </w:rPr>
        <w:t>Comparative harms</w:t>
      </w:r>
    </w:p>
    <w:p w:rsidR="005A3173" w:rsidRPr="003A2EA3" w:rsidRDefault="005A3173" w:rsidP="00882085">
      <w:pPr>
        <w:ind w:left="720" w:hanging="720"/>
        <w:jc w:val="both"/>
        <w:rPr>
          <w:rFonts w:asciiTheme="minorHAnsi" w:hAnsiTheme="minorHAnsi"/>
        </w:rPr>
      </w:pPr>
    </w:p>
    <w:p w:rsidR="000B558D" w:rsidRPr="003A2EA3" w:rsidRDefault="00EF080F" w:rsidP="00EF080F">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FD62E5" w:rsidRPr="003A2EA3">
        <w:rPr>
          <w:rFonts w:asciiTheme="minorHAnsi" w:hAnsiTheme="minorHAnsi"/>
          <w:sz w:val="24"/>
          <w:szCs w:val="24"/>
        </w:rPr>
        <w:t>re</w:t>
      </w:r>
      <w:r w:rsidRPr="003A2EA3">
        <w:rPr>
          <w:rFonts w:asciiTheme="minorHAnsi" w:hAnsiTheme="minorHAnsi"/>
          <w:sz w:val="24"/>
          <w:szCs w:val="24"/>
        </w:rPr>
        <w:t xml:space="preserve">submission again claimed that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has a different and likely non</w:t>
      </w:r>
      <w:r w:rsidR="003E77F8">
        <w:rPr>
          <w:rFonts w:asciiTheme="minorHAnsi" w:hAnsiTheme="minorHAnsi"/>
          <w:sz w:val="24"/>
          <w:szCs w:val="24"/>
        </w:rPr>
        <w:t>-</w:t>
      </w:r>
      <w:r w:rsidRPr="003A2EA3">
        <w:rPr>
          <w:rFonts w:asciiTheme="minorHAnsi" w:hAnsiTheme="minorHAnsi"/>
          <w:sz w:val="24"/>
          <w:szCs w:val="24"/>
        </w:rPr>
        <w:t xml:space="preserve">inferior adverse event profile compared to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No new data was provided to support this claim.</w:t>
      </w:r>
    </w:p>
    <w:p w:rsidR="00AB1720" w:rsidRPr="003A2EA3" w:rsidRDefault="00AB1720" w:rsidP="00AB1720">
      <w:pPr>
        <w:rPr>
          <w:rFonts w:asciiTheme="minorHAnsi" w:hAnsiTheme="minorHAnsi"/>
        </w:rPr>
      </w:pPr>
    </w:p>
    <w:p w:rsidR="00AB1720" w:rsidRPr="003A2EA3" w:rsidRDefault="00AB1720" w:rsidP="00AB1720">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recalled its previous consideration of </w:t>
      </w:r>
      <w:proofErr w:type="spellStart"/>
      <w:r w:rsidRPr="003A2EA3">
        <w:rPr>
          <w:rFonts w:asciiTheme="minorHAnsi" w:hAnsiTheme="minorHAnsi"/>
          <w:sz w:val="24"/>
          <w:szCs w:val="24"/>
        </w:rPr>
        <w:t>venetoclax</w:t>
      </w:r>
      <w:proofErr w:type="spellEnd"/>
      <w:r w:rsidR="00680AEF" w:rsidRPr="003A2EA3">
        <w:rPr>
          <w:rFonts w:asciiTheme="minorHAnsi" w:hAnsiTheme="minorHAnsi"/>
          <w:sz w:val="24"/>
          <w:szCs w:val="24"/>
        </w:rPr>
        <w:t>,</w:t>
      </w:r>
      <w:r w:rsidRPr="003A2EA3">
        <w:rPr>
          <w:rFonts w:asciiTheme="minorHAnsi" w:hAnsiTheme="minorHAnsi"/>
          <w:sz w:val="24"/>
          <w:szCs w:val="24"/>
        </w:rPr>
        <w:t xml:space="preserve"> where treatment appeared to be associated with higher rates of </w:t>
      </w:r>
      <w:proofErr w:type="spellStart"/>
      <w:r w:rsidRPr="003A2EA3">
        <w:rPr>
          <w:rFonts w:asciiTheme="minorHAnsi" w:hAnsiTheme="minorHAnsi"/>
          <w:sz w:val="24"/>
          <w:szCs w:val="24"/>
        </w:rPr>
        <w:t>cytopenias</w:t>
      </w:r>
      <w:proofErr w:type="spellEnd"/>
      <w:r w:rsidR="00680AEF" w:rsidRPr="003A2EA3">
        <w:rPr>
          <w:rFonts w:asciiTheme="minorHAnsi" w:hAnsiTheme="minorHAnsi"/>
          <w:sz w:val="24"/>
          <w:szCs w:val="24"/>
        </w:rPr>
        <w:t>,</w:t>
      </w:r>
      <w:r w:rsidRPr="003A2EA3">
        <w:rPr>
          <w:rFonts w:asciiTheme="minorHAnsi" w:hAnsiTheme="minorHAnsi"/>
          <w:sz w:val="24"/>
          <w:szCs w:val="24"/>
        </w:rPr>
        <w:t xml:space="preserve"> with the following data highlighted:</w:t>
      </w:r>
    </w:p>
    <w:p w:rsidR="00AB1720" w:rsidRPr="00E40DA7" w:rsidRDefault="00AB1720" w:rsidP="00AB1720">
      <w:pPr>
        <w:pStyle w:val="ListParagraph"/>
        <w:numPr>
          <w:ilvl w:val="0"/>
          <w:numId w:val="24"/>
        </w:numPr>
        <w:rPr>
          <w:rFonts w:asciiTheme="minorHAnsi" w:hAnsiTheme="minorHAnsi"/>
          <w:sz w:val="24"/>
          <w:szCs w:val="24"/>
        </w:rPr>
      </w:pPr>
      <w:r w:rsidRPr="003A2EA3">
        <w:rPr>
          <w:rFonts w:asciiTheme="minorHAnsi" w:hAnsiTheme="minorHAnsi"/>
          <w:sz w:val="24"/>
          <w:szCs w:val="24"/>
        </w:rPr>
        <w:t xml:space="preserve">neutropenia ranged from </w:t>
      </w:r>
      <w:r w:rsidR="00A5328F">
        <w:rPr>
          <w:rFonts w:asciiTheme="minorHAnsi" w:hAnsiTheme="minorHAnsi"/>
          <w:noProof/>
          <w:color w:val="000000"/>
          <w:sz w:val="24"/>
          <w:szCs w:val="24"/>
          <w:highlight w:val="black"/>
        </w:rPr>
        <w:t>''''''''''</w:t>
      </w:r>
      <w:r w:rsidRPr="00E40DA7">
        <w:rPr>
          <w:rFonts w:asciiTheme="minorHAnsi" w:hAnsiTheme="minorHAnsi"/>
          <w:sz w:val="24"/>
          <w:szCs w:val="24"/>
        </w:rPr>
        <w:t xml:space="preserve">% for </w:t>
      </w:r>
      <w:proofErr w:type="spellStart"/>
      <w:r w:rsidRPr="00E40DA7">
        <w:rPr>
          <w:rFonts w:asciiTheme="minorHAnsi" w:hAnsiTheme="minorHAnsi"/>
          <w:sz w:val="24"/>
          <w:szCs w:val="24"/>
        </w:rPr>
        <w:t>venetoclax</w:t>
      </w:r>
      <w:proofErr w:type="spellEnd"/>
      <w:r w:rsidRPr="00E40DA7">
        <w:rPr>
          <w:rFonts w:asciiTheme="minorHAnsi" w:hAnsiTheme="minorHAnsi"/>
          <w:sz w:val="24"/>
          <w:szCs w:val="24"/>
        </w:rPr>
        <w:t xml:space="preserve"> compared to 16% for </w:t>
      </w:r>
      <w:proofErr w:type="spellStart"/>
      <w:r w:rsidRPr="00E40DA7">
        <w:rPr>
          <w:rFonts w:asciiTheme="minorHAnsi" w:hAnsiTheme="minorHAnsi"/>
          <w:sz w:val="24"/>
          <w:szCs w:val="24"/>
        </w:rPr>
        <w:t>ibrutinib</w:t>
      </w:r>
      <w:proofErr w:type="spellEnd"/>
      <w:r w:rsidRPr="00E40DA7">
        <w:rPr>
          <w:rFonts w:asciiTheme="minorHAnsi" w:hAnsiTheme="minorHAnsi"/>
          <w:sz w:val="24"/>
          <w:szCs w:val="24"/>
        </w:rPr>
        <w:t xml:space="preserve"> and 23% for </w:t>
      </w:r>
      <w:proofErr w:type="spellStart"/>
      <w:r w:rsidRPr="00E40DA7">
        <w:rPr>
          <w:rFonts w:asciiTheme="minorHAnsi" w:hAnsiTheme="minorHAnsi"/>
          <w:sz w:val="24"/>
          <w:szCs w:val="24"/>
        </w:rPr>
        <w:t>idelalisib</w:t>
      </w:r>
      <w:proofErr w:type="spellEnd"/>
      <w:r w:rsidRPr="00E40DA7">
        <w:rPr>
          <w:rFonts w:asciiTheme="minorHAnsi" w:hAnsiTheme="minorHAnsi"/>
          <w:sz w:val="24"/>
          <w:szCs w:val="24"/>
        </w:rPr>
        <w:t xml:space="preserve"> with rituximab;</w:t>
      </w:r>
    </w:p>
    <w:p w:rsidR="00AB1720" w:rsidRPr="003A2EA3" w:rsidRDefault="00AB1720" w:rsidP="00AB1720">
      <w:pPr>
        <w:pStyle w:val="ListParagraph"/>
        <w:numPr>
          <w:ilvl w:val="0"/>
          <w:numId w:val="24"/>
        </w:numPr>
        <w:rPr>
          <w:rFonts w:asciiTheme="minorHAnsi" w:hAnsiTheme="minorHAnsi"/>
          <w:sz w:val="24"/>
          <w:szCs w:val="24"/>
        </w:rPr>
      </w:pPr>
      <w:r w:rsidRPr="00E40DA7">
        <w:rPr>
          <w:rFonts w:asciiTheme="minorHAnsi" w:hAnsiTheme="minorHAnsi"/>
          <w:sz w:val="24"/>
          <w:szCs w:val="24"/>
        </w:rPr>
        <w:t xml:space="preserve">anaemia ranged from </w:t>
      </w:r>
      <w:r w:rsidR="00A5328F">
        <w:rPr>
          <w:rFonts w:asciiTheme="minorHAnsi" w:hAnsiTheme="minorHAnsi"/>
          <w:noProof/>
          <w:color w:val="000000"/>
          <w:sz w:val="24"/>
          <w:szCs w:val="24"/>
          <w:highlight w:val="black"/>
        </w:rPr>
        <w:t>''''''''</w:t>
      </w:r>
      <w:r w:rsidRPr="00E40DA7">
        <w:rPr>
          <w:rFonts w:asciiTheme="minorHAnsi" w:hAnsiTheme="minorHAnsi"/>
          <w:sz w:val="24"/>
          <w:szCs w:val="24"/>
        </w:rPr>
        <w:t>%</w:t>
      </w:r>
      <w:r w:rsidRPr="003A2EA3">
        <w:rPr>
          <w:rFonts w:asciiTheme="minorHAnsi" w:hAnsiTheme="minorHAnsi"/>
          <w:sz w:val="24"/>
          <w:szCs w:val="24"/>
        </w:rPr>
        <w:t xml:space="preserve"> for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compared to 5% for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and 7% for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with rituximab;</w:t>
      </w:r>
    </w:p>
    <w:p w:rsidR="00AB1720" w:rsidRPr="003A2EA3" w:rsidRDefault="00AB1720" w:rsidP="00AB1720">
      <w:pPr>
        <w:pStyle w:val="ListParagraph"/>
        <w:numPr>
          <w:ilvl w:val="0"/>
          <w:numId w:val="24"/>
        </w:numPr>
        <w:rPr>
          <w:rFonts w:asciiTheme="minorHAnsi" w:hAnsiTheme="minorHAnsi"/>
          <w:sz w:val="24"/>
          <w:szCs w:val="24"/>
        </w:rPr>
      </w:pPr>
      <w:r w:rsidRPr="003A2EA3">
        <w:rPr>
          <w:rFonts w:asciiTheme="minorHAnsi" w:hAnsiTheme="minorHAnsi"/>
          <w:sz w:val="24"/>
          <w:szCs w:val="24"/>
        </w:rPr>
        <w:t xml:space="preserve">thrombocytopenia ranged from </w:t>
      </w:r>
      <w:r w:rsidR="00A5328F">
        <w:rPr>
          <w:rFonts w:asciiTheme="minorHAnsi" w:hAnsiTheme="minorHAnsi"/>
          <w:noProof/>
          <w:color w:val="000000"/>
          <w:sz w:val="24"/>
          <w:szCs w:val="24"/>
          <w:highlight w:val="black"/>
        </w:rPr>
        <w:t>''''''''''''</w:t>
      </w:r>
      <w:r w:rsidRPr="003A2EA3">
        <w:rPr>
          <w:rFonts w:asciiTheme="minorHAnsi" w:hAnsiTheme="minorHAnsi"/>
          <w:sz w:val="24"/>
          <w:szCs w:val="24"/>
        </w:rPr>
        <w:t xml:space="preserve">% for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compared to 6% for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and 4% for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with rituximab;</w:t>
      </w:r>
    </w:p>
    <w:p w:rsidR="00FA6055" w:rsidRPr="00A55E88" w:rsidRDefault="00AB1720" w:rsidP="00B6773F">
      <w:pPr>
        <w:pStyle w:val="ListParagraph"/>
        <w:numPr>
          <w:ilvl w:val="0"/>
          <w:numId w:val="24"/>
        </w:numPr>
        <w:rPr>
          <w:rFonts w:asciiTheme="minorHAnsi" w:hAnsiTheme="minorHAnsi"/>
          <w:sz w:val="24"/>
          <w:szCs w:val="24"/>
        </w:rPr>
      </w:pPr>
      <w:proofErr w:type="gramStart"/>
      <w:r w:rsidRPr="00A55E88">
        <w:rPr>
          <w:rFonts w:asciiTheme="minorHAnsi" w:hAnsiTheme="minorHAnsi"/>
          <w:sz w:val="24"/>
          <w:szCs w:val="24"/>
        </w:rPr>
        <w:t>deaths</w:t>
      </w:r>
      <w:proofErr w:type="gramEnd"/>
      <w:r w:rsidRPr="00A55E88">
        <w:rPr>
          <w:rFonts w:asciiTheme="minorHAnsi" w:hAnsiTheme="minorHAnsi"/>
          <w:sz w:val="24"/>
          <w:szCs w:val="24"/>
        </w:rPr>
        <w:t xml:space="preserve"> due to tumour lysis syndrome (TLS) were reported in Study M12-175 which resulted in the development of a TLS monitoring program.</w:t>
      </w:r>
    </w:p>
    <w:p w:rsidR="00AB1720" w:rsidRPr="003A2EA3" w:rsidRDefault="00AB1720" w:rsidP="0047714C">
      <w:pPr>
        <w:rPr>
          <w:rFonts w:asciiTheme="minorHAnsi" w:hAnsiTheme="minorHAnsi"/>
        </w:rPr>
      </w:pPr>
    </w:p>
    <w:p w:rsidR="00AB1720" w:rsidRPr="003A2EA3" w:rsidRDefault="00AB1720" w:rsidP="00D25796">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32430E" w:rsidRPr="003A2EA3">
        <w:rPr>
          <w:rFonts w:asciiTheme="minorHAnsi" w:hAnsiTheme="minorHAnsi"/>
          <w:sz w:val="24"/>
          <w:szCs w:val="24"/>
        </w:rPr>
        <w:t xml:space="preserve">resubmission </w:t>
      </w:r>
      <w:r w:rsidR="00D25796" w:rsidRPr="003A2EA3">
        <w:rPr>
          <w:rFonts w:asciiTheme="minorHAnsi" w:hAnsiTheme="minorHAnsi"/>
          <w:sz w:val="24"/>
          <w:szCs w:val="24"/>
        </w:rPr>
        <w:t xml:space="preserve">acknowledged the heightened risk of TLS </w:t>
      </w:r>
      <w:r w:rsidR="009D2CF6" w:rsidRPr="003A2EA3">
        <w:rPr>
          <w:rFonts w:asciiTheme="minorHAnsi" w:hAnsiTheme="minorHAnsi"/>
          <w:sz w:val="24"/>
          <w:szCs w:val="24"/>
        </w:rPr>
        <w:t xml:space="preserve">following </w:t>
      </w:r>
      <w:proofErr w:type="spellStart"/>
      <w:r w:rsidR="009D2CF6" w:rsidRPr="003A2EA3">
        <w:rPr>
          <w:rFonts w:asciiTheme="minorHAnsi" w:hAnsiTheme="minorHAnsi"/>
          <w:sz w:val="24"/>
          <w:szCs w:val="24"/>
        </w:rPr>
        <w:t>venetoclax</w:t>
      </w:r>
      <w:proofErr w:type="spellEnd"/>
      <w:r w:rsidR="009D2CF6" w:rsidRPr="003A2EA3">
        <w:rPr>
          <w:rFonts w:asciiTheme="minorHAnsi" w:hAnsiTheme="minorHAnsi"/>
          <w:sz w:val="24"/>
          <w:szCs w:val="24"/>
        </w:rPr>
        <w:t xml:space="preserve">, which </w:t>
      </w:r>
      <w:r w:rsidR="00D25796" w:rsidRPr="003A2EA3">
        <w:rPr>
          <w:rFonts w:asciiTheme="minorHAnsi" w:hAnsiTheme="minorHAnsi"/>
          <w:sz w:val="24"/>
          <w:szCs w:val="24"/>
        </w:rPr>
        <w:t>requir</w:t>
      </w:r>
      <w:r w:rsidR="009D2CF6" w:rsidRPr="003A2EA3">
        <w:rPr>
          <w:rFonts w:asciiTheme="minorHAnsi" w:hAnsiTheme="minorHAnsi"/>
          <w:sz w:val="24"/>
          <w:szCs w:val="24"/>
        </w:rPr>
        <w:t>es</w:t>
      </w:r>
      <w:r w:rsidR="00D25796" w:rsidRPr="003A2EA3">
        <w:rPr>
          <w:rFonts w:asciiTheme="minorHAnsi" w:hAnsiTheme="minorHAnsi"/>
          <w:sz w:val="24"/>
          <w:szCs w:val="24"/>
        </w:rPr>
        <w:t xml:space="preserve"> patients to be near a hospital in the first month of treatment with a need for intense monitoring and prophylaxis.</w:t>
      </w:r>
    </w:p>
    <w:p w:rsidR="00AB1720" w:rsidRPr="003A2EA3" w:rsidRDefault="00AB1720" w:rsidP="00AB1720">
      <w:pPr>
        <w:rPr>
          <w:rFonts w:asciiTheme="minorHAnsi" w:hAnsiTheme="minorHAnsi"/>
        </w:rPr>
      </w:pPr>
    </w:p>
    <w:p w:rsidR="006436CD" w:rsidRPr="003A2EA3" w:rsidRDefault="006436CD" w:rsidP="00B6773F">
      <w:pPr>
        <w:jc w:val="both"/>
        <w:rPr>
          <w:rFonts w:asciiTheme="minorHAnsi" w:hAnsiTheme="minorHAnsi"/>
          <w:b/>
          <w:i/>
          <w:sz w:val="28"/>
          <w:szCs w:val="28"/>
        </w:rPr>
      </w:pPr>
      <w:r w:rsidRPr="003A2EA3">
        <w:rPr>
          <w:rFonts w:asciiTheme="minorHAnsi" w:hAnsiTheme="minorHAnsi"/>
          <w:b/>
          <w:i/>
          <w:sz w:val="28"/>
          <w:szCs w:val="28"/>
        </w:rPr>
        <w:t>Benefits and harms</w:t>
      </w:r>
    </w:p>
    <w:p w:rsidR="006436CD" w:rsidRPr="003A2EA3" w:rsidRDefault="006436CD" w:rsidP="00B6773F">
      <w:pPr>
        <w:jc w:val="both"/>
        <w:rPr>
          <w:rFonts w:asciiTheme="minorHAnsi" w:hAnsiTheme="minorHAnsi"/>
        </w:rPr>
      </w:pPr>
    </w:p>
    <w:p w:rsidR="006436CD" w:rsidRPr="003A2EA3" w:rsidRDefault="006D7118" w:rsidP="009564F3">
      <w:pPr>
        <w:pStyle w:val="ListParagraph"/>
        <w:numPr>
          <w:ilvl w:val="1"/>
          <w:numId w:val="5"/>
        </w:numPr>
        <w:rPr>
          <w:rFonts w:asciiTheme="minorHAnsi" w:hAnsiTheme="minorHAnsi"/>
          <w:sz w:val="24"/>
          <w:szCs w:val="24"/>
        </w:rPr>
      </w:pPr>
      <w:r w:rsidRPr="003A2EA3">
        <w:rPr>
          <w:rFonts w:asciiTheme="minorHAnsi" w:hAnsiTheme="minorHAnsi"/>
          <w:sz w:val="24"/>
          <w:szCs w:val="24"/>
        </w:rPr>
        <w:t>In March 2017, t</w:t>
      </w:r>
      <w:r w:rsidR="009564F3" w:rsidRPr="003A2EA3">
        <w:rPr>
          <w:rFonts w:asciiTheme="minorHAnsi" w:hAnsiTheme="minorHAnsi"/>
          <w:sz w:val="24"/>
          <w:szCs w:val="24"/>
        </w:rPr>
        <w:t xml:space="preserve">he PBAC considered </w:t>
      </w:r>
      <w:r w:rsidRPr="003A2EA3">
        <w:rPr>
          <w:rFonts w:asciiTheme="minorHAnsi" w:hAnsiTheme="minorHAnsi"/>
          <w:sz w:val="24"/>
          <w:szCs w:val="24"/>
        </w:rPr>
        <w:t>that the trial results presented were</w:t>
      </w:r>
      <w:r w:rsidR="009564F3" w:rsidRPr="003A2EA3">
        <w:rPr>
          <w:rFonts w:asciiTheme="minorHAnsi" w:hAnsiTheme="minorHAnsi"/>
          <w:sz w:val="24"/>
          <w:szCs w:val="24"/>
        </w:rPr>
        <w:t xml:space="preserve"> insufficient information to reliably quantify the benefits and harms of </w:t>
      </w:r>
      <w:proofErr w:type="spellStart"/>
      <w:r w:rsidR="009564F3" w:rsidRPr="003A2EA3">
        <w:rPr>
          <w:rFonts w:asciiTheme="minorHAnsi" w:hAnsiTheme="minorHAnsi"/>
          <w:sz w:val="24"/>
          <w:szCs w:val="24"/>
        </w:rPr>
        <w:t>venetoclax</w:t>
      </w:r>
      <w:proofErr w:type="spellEnd"/>
      <w:r w:rsidR="009564F3" w:rsidRPr="003A2EA3">
        <w:rPr>
          <w:rFonts w:asciiTheme="minorHAnsi" w:hAnsiTheme="minorHAnsi"/>
          <w:sz w:val="24"/>
          <w:szCs w:val="24"/>
        </w:rPr>
        <w:t xml:space="preserve"> compared to </w:t>
      </w:r>
      <w:r w:rsidR="008D2DF2" w:rsidRPr="003A2EA3">
        <w:rPr>
          <w:rFonts w:asciiTheme="minorHAnsi" w:hAnsiTheme="minorHAnsi"/>
          <w:sz w:val="24"/>
          <w:szCs w:val="24"/>
        </w:rPr>
        <w:t>its</w:t>
      </w:r>
      <w:r w:rsidR="009564F3" w:rsidRPr="003A2EA3">
        <w:rPr>
          <w:rFonts w:asciiTheme="minorHAnsi" w:hAnsiTheme="minorHAnsi"/>
          <w:sz w:val="24"/>
          <w:szCs w:val="24"/>
        </w:rPr>
        <w:t xml:space="preserve"> nominated comparators (</w:t>
      </w:r>
      <w:proofErr w:type="spellStart"/>
      <w:r w:rsidR="009564F3" w:rsidRPr="003A2EA3">
        <w:rPr>
          <w:rFonts w:asciiTheme="minorHAnsi" w:hAnsiTheme="minorHAnsi"/>
          <w:sz w:val="24"/>
          <w:szCs w:val="24"/>
        </w:rPr>
        <w:t>ofatumumab</w:t>
      </w:r>
      <w:proofErr w:type="spellEnd"/>
      <w:r w:rsidR="009564F3" w:rsidRPr="003A2EA3">
        <w:rPr>
          <w:rFonts w:asciiTheme="minorHAnsi" w:hAnsiTheme="minorHAnsi"/>
          <w:sz w:val="24"/>
          <w:szCs w:val="24"/>
        </w:rPr>
        <w:t xml:space="preserve"> monotherapy, rituximab monotherapy; </w:t>
      </w:r>
      <w:proofErr w:type="spellStart"/>
      <w:r w:rsidR="009564F3" w:rsidRPr="003A2EA3">
        <w:rPr>
          <w:rFonts w:asciiTheme="minorHAnsi" w:hAnsiTheme="minorHAnsi"/>
          <w:sz w:val="24"/>
          <w:szCs w:val="24"/>
        </w:rPr>
        <w:t>ibrutinib</w:t>
      </w:r>
      <w:proofErr w:type="spellEnd"/>
      <w:r w:rsidR="009564F3" w:rsidRPr="003A2EA3">
        <w:rPr>
          <w:rFonts w:asciiTheme="minorHAnsi" w:hAnsiTheme="minorHAnsi"/>
          <w:sz w:val="24"/>
          <w:szCs w:val="24"/>
        </w:rPr>
        <w:t xml:space="preserve">; </w:t>
      </w:r>
      <w:proofErr w:type="spellStart"/>
      <w:r w:rsidR="009564F3" w:rsidRPr="003A2EA3">
        <w:rPr>
          <w:rFonts w:asciiTheme="minorHAnsi" w:hAnsiTheme="minorHAnsi"/>
          <w:sz w:val="24"/>
          <w:szCs w:val="24"/>
        </w:rPr>
        <w:t>idelalisib</w:t>
      </w:r>
      <w:proofErr w:type="spellEnd"/>
      <w:r w:rsidR="009564F3" w:rsidRPr="003A2EA3">
        <w:rPr>
          <w:rFonts w:asciiTheme="minorHAnsi" w:hAnsiTheme="minorHAnsi"/>
          <w:sz w:val="24"/>
          <w:szCs w:val="24"/>
        </w:rPr>
        <w:t xml:space="preserve"> with rituximab).</w:t>
      </w:r>
    </w:p>
    <w:p w:rsidR="006436CD" w:rsidRPr="003A2EA3" w:rsidRDefault="006436CD" w:rsidP="006436CD">
      <w:pPr>
        <w:rPr>
          <w:rFonts w:asciiTheme="minorHAnsi" w:hAnsiTheme="minorHAnsi"/>
        </w:rPr>
      </w:pPr>
    </w:p>
    <w:p w:rsidR="005A3173" w:rsidRPr="003A2EA3" w:rsidRDefault="005A3173" w:rsidP="00B1059E">
      <w:pPr>
        <w:pStyle w:val="Heading2"/>
        <w:rPr>
          <w:rFonts w:asciiTheme="minorHAnsi" w:hAnsiTheme="minorHAnsi"/>
          <w:sz w:val="28"/>
          <w:szCs w:val="28"/>
        </w:rPr>
      </w:pPr>
      <w:r w:rsidRPr="003A2EA3">
        <w:rPr>
          <w:rFonts w:asciiTheme="minorHAnsi" w:hAnsiTheme="minorHAnsi"/>
          <w:sz w:val="28"/>
          <w:szCs w:val="28"/>
        </w:rPr>
        <w:t>Clinical claim</w:t>
      </w:r>
    </w:p>
    <w:p w:rsidR="005A3173" w:rsidRPr="003A2EA3" w:rsidRDefault="005A3173" w:rsidP="00882085">
      <w:pPr>
        <w:ind w:left="720" w:hanging="720"/>
        <w:jc w:val="both"/>
        <w:rPr>
          <w:rFonts w:asciiTheme="minorHAnsi" w:hAnsiTheme="minorHAnsi"/>
        </w:rPr>
      </w:pPr>
    </w:p>
    <w:p w:rsidR="009564F3" w:rsidRPr="003A2EA3" w:rsidRDefault="00FF2801" w:rsidP="009B0F67">
      <w:pPr>
        <w:pStyle w:val="ListParagraph"/>
        <w:numPr>
          <w:ilvl w:val="1"/>
          <w:numId w:val="5"/>
        </w:numPr>
        <w:ind w:left="709"/>
        <w:rPr>
          <w:rFonts w:asciiTheme="minorHAnsi" w:hAnsiTheme="minorHAnsi"/>
          <w:sz w:val="24"/>
          <w:szCs w:val="24"/>
        </w:rPr>
      </w:pPr>
      <w:r w:rsidRPr="003A2EA3">
        <w:rPr>
          <w:rFonts w:asciiTheme="minorHAnsi" w:hAnsiTheme="minorHAnsi"/>
          <w:sz w:val="24"/>
          <w:szCs w:val="24"/>
        </w:rPr>
        <w:t xml:space="preserve">The </w:t>
      </w:r>
      <w:r w:rsidR="00FD62E5" w:rsidRPr="003A2EA3">
        <w:rPr>
          <w:rFonts w:asciiTheme="minorHAnsi" w:hAnsiTheme="minorHAnsi"/>
          <w:sz w:val="24"/>
          <w:szCs w:val="24"/>
        </w:rPr>
        <w:t>re</w:t>
      </w:r>
      <w:r w:rsidRPr="003A2EA3">
        <w:rPr>
          <w:rFonts w:asciiTheme="minorHAnsi" w:hAnsiTheme="minorHAnsi"/>
          <w:sz w:val="24"/>
          <w:szCs w:val="24"/>
        </w:rPr>
        <w:t>submission claimed</w:t>
      </w:r>
      <w:r w:rsidR="00BB7EC3" w:rsidRPr="003A2EA3">
        <w:rPr>
          <w:rFonts w:asciiTheme="minorHAnsi" w:hAnsiTheme="minorHAnsi"/>
          <w:sz w:val="24"/>
          <w:szCs w:val="24"/>
        </w:rPr>
        <w:t xml:space="preserve"> non</w:t>
      </w:r>
      <w:r w:rsidR="003E77F8">
        <w:rPr>
          <w:rFonts w:asciiTheme="minorHAnsi" w:hAnsiTheme="minorHAnsi"/>
          <w:sz w:val="24"/>
          <w:szCs w:val="24"/>
        </w:rPr>
        <w:t>-</w:t>
      </w:r>
      <w:r w:rsidR="00BB7EC3" w:rsidRPr="003A2EA3">
        <w:rPr>
          <w:rFonts w:asciiTheme="minorHAnsi" w:hAnsiTheme="minorHAnsi"/>
          <w:sz w:val="24"/>
          <w:szCs w:val="24"/>
        </w:rPr>
        <w:t xml:space="preserve">inferior comparative effectiveness and </w:t>
      </w:r>
      <w:r w:rsidR="00A51516" w:rsidRPr="003A2EA3">
        <w:rPr>
          <w:rFonts w:asciiTheme="minorHAnsi" w:hAnsiTheme="minorHAnsi"/>
          <w:sz w:val="24"/>
          <w:szCs w:val="24"/>
        </w:rPr>
        <w:t>non</w:t>
      </w:r>
      <w:r w:rsidR="003E77F8">
        <w:rPr>
          <w:rFonts w:asciiTheme="minorHAnsi" w:hAnsiTheme="minorHAnsi"/>
          <w:sz w:val="24"/>
          <w:szCs w:val="24"/>
        </w:rPr>
        <w:t>-</w:t>
      </w:r>
      <w:r w:rsidR="00A51516" w:rsidRPr="003A2EA3">
        <w:rPr>
          <w:rFonts w:asciiTheme="minorHAnsi" w:hAnsiTheme="minorHAnsi"/>
          <w:sz w:val="24"/>
          <w:szCs w:val="24"/>
        </w:rPr>
        <w:t>inferior</w:t>
      </w:r>
      <w:r w:rsidR="00BB7EC3" w:rsidRPr="003A2EA3">
        <w:rPr>
          <w:rFonts w:asciiTheme="minorHAnsi" w:hAnsiTheme="minorHAnsi"/>
          <w:sz w:val="24"/>
          <w:szCs w:val="24"/>
        </w:rPr>
        <w:t xml:space="preserve"> comparative safety of </w:t>
      </w:r>
      <w:proofErr w:type="spellStart"/>
      <w:r w:rsidR="00A51516" w:rsidRPr="003A2EA3">
        <w:rPr>
          <w:rFonts w:asciiTheme="minorHAnsi" w:hAnsiTheme="minorHAnsi"/>
          <w:sz w:val="24"/>
          <w:szCs w:val="24"/>
        </w:rPr>
        <w:t>venetoclax</w:t>
      </w:r>
      <w:proofErr w:type="spellEnd"/>
      <w:r w:rsidR="00A51516" w:rsidRPr="003A2EA3">
        <w:rPr>
          <w:rFonts w:asciiTheme="minorHAnsi" w:hAnsiTheme="minorHAnsi"/>
          <w:sz w:val="24"/>
          <w:szCs w:val="24"/>
        </w:rPr>
        <w:t xml:space="preserve"> </w:t>
      </w:r>
      <w:r w:rsidR="00BB7EC3" w:rsidRPr="003A2EA3">
        <w:rPr>
          <w:rFonts w:asciiTheme="minorHAnsi" w:hAnsiTheme="minorHAnsi"/>
          <w:sz w:val="24"/>
          <w:szCs w:val="24"/>
        </w:rPr>
        <w:t xml:space="preserve">compared with </w:t>
      </w:r>
      <w:proofErr w:type="spellStart"/>
      <w:r w:rsidR="00A51516" w:rsidRPr="003A2EA3">
        <w:rPr>
          <w:rFonts w:asciiTheme="minorHAnsi" w:hAnsiTheme="minorHAnsi"/>
          <w:sz w:val="24"/>
          <w:szCs w:val="24"/>
        </w:rPr>
        <w:t>ibrutinib</w:t>
      </w:r>
      <w:proofErr w:type="spellEnd"/>
      <w:r w:rsidR="00BB7EC3" w:rsidRPr="003A2EA3">
        <w:rPr>
          <w:rFonts w:asciiTheme="minorHAnsi" w:hAnsiTheme="minorHAnsi"/>
          <w:i/>
          <w:sz w:val="24"/>
          <w:szCs w:val="24"/>
        </w:rPr>
        <w:t>.</w:t>
      </w:r>
    </w:p>
    <w:p w:rsidR="009564F3" w:rsidRPr="003A2EA3" w:rsidRDefault="009564F3" w:rsidP="006D7118">
      <w:pPr>
        <w:ind w:left="-11"/>
        <w:rPr>
          <w:rFonts w:asciiTheme="minorHAnsi" w:hAnsiTheme="minorHAnsi"/>
        </w:rPr>
      </w:pPr>
    </w:p>
    <w:p w:rsidR="009564F3" w:rsidRPr="003A2EA3" w:rsidRDefault="009564F3" w:rsidP="006660EC">
      <w:pPr>
        <w:pStyle w:val="ListParagraph"/>
        <w:numPr>
          <w:ilvl w:val="1"/>
          <w:numId w:val="5"/>
        </w:numPr>
        <w:ind w:left="709"/>
        <w:rPr>
          <w:rFonts w:asciiTheme="minorHAnsi" w:hAnsiTheme="minorHAnsi"/>
          <w:sz w:val="24"/>
          <w:szCs w:val="24"/>
        </w:rPr>
      </w:pPr>
      <w:r w:rsidRPr="003A2EA3">
        <w:rPr>
          <w:rFonts w:asciiTheme="minorHAnsi" w:hAnsiTheme="minorHAnsi"/>
          <w:sz w:val="24"/>
          <w:szCs w:val="24"/>
        </w:rPr>
        <w:t xml:space="preserve">The PBAC </w:t>
      </w:r>
      <w:r w:rsidR="009D2CF6" w:rsidRPr="003A2EA3">
        <w:rPr>
          <w:rFonts w:asciiTheme="minorHAnsi" w:hAnsiTheme="minorHAnsi"/>
          <w:sz w:val="24"/>
          <w:szCs w:val="24"/>
        </w:rPr>
        <w:t xml:space="preserve">recalled that it had </w:t>
      </w:r>
      <w:r w:rsidRPr="003A2EA3">
        <w:rPr>
          <w:rFonts w:asciiTheme="minorHAnsi" w:hAnsiTheme="minorHAnsi"/>
          <w:sz w:val="24"/>
          <w:szCs w:val="24"/>
        </w:rPr>
        <w:t xml:space="preserve">considered in March 2017 that the claims of comparative effectiveness and safety between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and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or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were not adequately supported by the data.</w:t>
      </w:r>
    </w:p>
    <w:p w:rsidR="006660EC" w:rsidRPr="003A2EA3" w:rsidRDefault="006660EC" w:rsidP="0047714C">
      <w:pPr>
        <w:ind w:left="-11"/>
        <w:rPr>
          <w:rFonts w:asciiTheme="minorHAnsi" w:hAnsiTheme="minorHAnsi"/>
        </w:rPr>
      </w:pPr>
    </w:p>
    <w:p w:rsidR="009B7AAD" w:rsidRPr="003A2EA3" w:rsidRDefault="009B7AAD" w:rsidP="006660EC">
      <w:pPr>
        <w:pStyle w:val="ListParagraph"/>
        <w:numPr>
          <w:ilvl w:val="1"/>
          <w:numId w:val="5"/>
        </w:numPr>
        <w:ind w:left="709"/>
        <w:rPr>
          <w:rFonts w:asciiTheme="minorHAnsi" w:hAnsiTheme="minorHAnsi"/>
          <w:sz w:val="24"/>
          <w:szCs w:val="24"/>
        </w:rPr>
      </w:pPr>
      <w:r w:rsidRPr="003A2EA3">
        <w:rPr>
          <w:rFonts w:asciiTheme="minorHAnsi" w:hAnsiTheme="minorHAnsi"/>
          <w:sz w:val="24"/>
          <w:szCs w:val="24"/>
        </w:rPr>
        <w:t>The PBAC considered that</w:t>
      </w:r>
      <w:r w:rsidR="00F11F7E" w:rsidRPr="00F11F7E">
        <w:rPr>
          <w:rFonts w:asciiTheme="minorHAnsi" w:hAnsiTheme="minorHAnsi"/>
          <w:sz w:val="24"/>
          <w:szCs w:val="24"/>
        </w:rPr>
        <w:t xml:space="preserve"> </w:t>
      </w:r>
      <w:r w:rsidR="00F11F7E">
        <w:rPr>
          <w:rFonts w:asciiTheme="minorHAnsi" w:hAnsiTheme="minorHAnsi"/>
          <w:sz w:val="24"/>
          <w:szCs w:val="24"/>
        </w:rPr>
        <w:t xml:space="preserve">it was not currently </w:t>
      </w:r>
      <w:r w:rsidR="00F11F7E" w:rsidRPr="003A2EA3">
        <w:rPr>
          <w:rFonts w:asciiTheme="minorHAnsi" w:hAnsiTheme="minorHAnsi"/>
          <w:sz w:val="24"/>
          <w:szCs w:val="24"/>
        </w:rPr>
        <w:t>possible to reliably assess the claim of non</w:t>
      </w:r>
      <w:r w:rsidR="00F11F7E">
        <w:rPr>
          <w:rFonts w:asciiTheme="minorHAnsi" w:hAnsiTheme="minorHAnsi"/>
          <w:sz w:val="24"/>
          <w:szCs w:val="24"/>
        </w:rPr>
        <w:t>-</w:t>
      </w:r>
      <w:r w:rsidR="00F11F7E" w:rsidRPr="003A2EA3">
        <w:rPr>
          <w:rFonts w:asciiTheme="minorHAnsi" w:hAnsiTheme="minorHAnsi"/>
          <w:sz w:val="24"/>
          <w:szCs w:val="24"/>
        </w:rPr>
        <w:t xml:space="preserve">inferior comparative effectiveness to </w:t>
      </w:r>
      <w:proofErr w:type="spellStart"/>
      <w:r w:rsidR="00F11F7E" w:rsidRPr="003A2EA3">
        <w:rPr>
          <w:rFonts w:asciiTheme="minorHAnsi" w:hAnsiTheme="minorHAnsi"/>
          <w:sz w:val="24"/>
          <w:szCs w:val="24"/>
        </w:rPr>
        <w:t>ibrutinib</w:t>
      </w:r>
      <w:proofErr w:type="spellEnd"/>
      <w:r w:rsidR="00F11F7E">
        <w:rPr>
          <w:rFonts w:asciiTheme="minorHAnsi" w:hAnsiTheme="minorHAnsi"/>
          <w:sz w:val="24"/>
          <w:szCs w:val="24"/>
        </w:rPr>
        <w:t>. Rather</w:t>
      </w:r>
      <w:r w:rsidR="0042709B">
        <w:rPr>
          <w:rFonts w:asciiTheme="minorHAnsi" w:hAnsiTheme="minorHAnsi"/>
          <w:sz w:val="24"/>
          <w:szCs w:val="24"/>
        </w:rPr>
        <w:t>,</w:t>
      </w:r>
      <w:r w:rsidR="00F11F7E">
        <w:rPr>
          <w:rFonts w:asciiTheme="minorHAnsi" w:hAnsiTheme="minorHAnsi"/>
          <w:sz w:val="24"/>
          <w:szCs w:val="24"/>
        </w:rPr>
        <w:t xml:space="preserve"> </w:t>
      </w:r>
      <w:r w:rsidR="002135D4" w:rsidRPr="003A2EA3">
        <w:rPr>
          <w:rFonts w:asciiTheme="minorHAnsi" w:hAnsiTheme="minorHAnsi"/>
          <w:sz w:val="24"/>
          <w:szCs w:val="24"/>
        </w:rPr>
        <w:t xml:space="preserve">the </w:t>
      </w:r>
      <w:r w:rsidR="00F11F7E">
        <w:rPr>
          <w:rFonts w:asciiTheme="minorHAnsi" w:hAnsiTheme="minorHAnsi"/>
          <w:sz w:val="24"/>
          <w:szCs w:val="24"/>
        </w:rPr>
        <w:t xml:space="preserve">available </w:t>
      </w:r>
      <w:r w:rsidR="002135D4" w:rsidRPr="003A2EA3">
        <w:rPr>
          <w:rFonts w:asciiTheme="minorHAnsi" w:hAnsiTheme="minorHAnsi"/>
          <w:sz w:val="24"/>
          <w:szCs w:val="24"/>
        </w:rPr>
        <w:t xml:space="preserve">evidence suggests that </w:t>
      </w:r>
      <w:proofErr w:type="spellStart"/>
      <w:r w:rsidR="002135D4" w:rsidRPr="003A2EA3">
        <w:rPr>
          <w:rFonts w:asciiTheme="minorHAnsi" w:hAnsiTheme="minorHAnsi"/>
          <w:sz w:val="24"/>
          <w:szCs w:val="24"/>
        </w:rPr>
        <w:t>venetoclax</w:t>
      </w:r>
      <w:proofErr w:type="spellEnd"/>
      <w:r w:rsidR="002135D4" w:rsidRPr="003A2EA3">
        <w:rPr>
          <w:rFonts w:asciiTheme="minorHAnsi" w:hAnsiTheme="minorHAnsi"/>
          <w:sz w:val="24"/>
          <w:szCs w:val="24"/>
        </w:rPr>
        <w:t xml:space="preserve"> may be clinically inferior to </w:t>
      </w:r>
      <w:proofErr w:type="spellStart"/>
      <w:r w:rsidR="002135D4" w:rsidRPr="003A2EA3">
        <w:rPr>
          <w:rFonts w:asciiTheme="minorHAnsi" w:hAnsiTheme="minorHAnsi"/>
          <w:sz w:val="24"/>
          <w:szCs w:val="24"/>
        </w:rPr>
        <w:t>ibrutinib</w:t>
      </w:r>
      <w:proofErr w:type="spellEnd"/>
      <w:r w:rsidR="00F11F7E">
        <w:rPr>
          <w:rFonts w:asciiTheme="minorHAnsi" w:hAnsiTheme="minorHAnsi"/>
          <w:sz w:val="24"/>
          <w:szCs w:val="24"/>
        </w:rPr>
        <w:t xml:space="preserve">. </w:t>
      </w:r>
      <w:r w:rsidR="0042709B">
        <w:rPr>
          <w:rFonts w:asciiTheme="minorHAnsi" w:hAnsiTheme="minorHAnsi"/>
          <w:sz w:val="24"/>
          <w:szCs w:val="24"/>
        </w:rPr>
        <w:t xml:space="preserve">The </w:t>
      </w:r>
      <w:r w:rsidR="00F11F7E">
        <w:rPr>
          <w:rFonts w:asciiTheme="minorHAnsi" w:hAnsiTheme="minorHAnsi"/>
          <w:sz w:val="24"/>
          <w:szCs w:val="24"/>
        </w:rPr>
        <w:t xml:space="preserve">PBAC considered it </w:t>
      </w:r>
      <w:r w:rsidR="00F144AD" w:rsidRPr="003A2EA3">
        <w:rPr>
          <w:rFonts w:asciiTheme="minorHAnsi" w:hAnsiTheme="minorHAnsi"/>
          <w:sz w:val="24"/>
          <w:szCs w:val="24"/>
        </w:rPr>
        <w:t xml:space="preserve">was important </w:t>
      </w:r>
      <w:r w:rsidR="00F11F7E">
        <w:rPr>
          <w:rFonts w:asciiTheme="minorHAnsi" w:hAnsiTheme="minorHAnsi"/>
          <w:sz w:val="24"/>
          <w:szCs w:val="24"/>
        </w:rPr>
        <w:t xml:space="preserve">that the </w:t>
      </w:r>
      <w:r w:rsidR="00A428E9">
        <w:rPr>
          <w:rFonts w:asciiTheme="minorHAnsi" w:hAnsiTheme="minorHAnsi"/>
          <w:sz w:val="24"/>
          <w:szCs w:val="24"/>
        </w:rPr>
        <w:t>comparative</w:t>
      </w:r>
      <w:r w:rsidR="00F11F7E">
        <w:rPr>
          <w:rFonts w:asciiTheme="minorHAnsi" w:hAnsiTheme="minorHAnsi"/>
          <w:sz w:val="24"/>
          <w:szCs w:val="24"/>
        </w:rPr>
        <w:t xml:space="preserve"> effectiveness was reliably determined </w:t>
      </w:r>
      <w:r w:rsidR="00F144AD" w:rsidRPr="003A2EA3">
        <w:rPr>
          <w:rFonts w:asciiTheme="minorHAnsi" w:hAnsiTheme="minorHAnsi"/>
          <w:sz w:val="24"/>
          <w:szCs w:val="24"/>
        </w:rPr>
        <w:t xml:space="preserve">given </w:t>
      </w:r>
      <w:r w:rsidR="00F11F7E">
        <w:rPr>
          <w:rFonts w:asciiTheme="minorHAnsi" w:hAnsiTheme="minorHAnsi"/>
          <w:sz w:val="24"/>
          <w:szCs w:val="24"/>
        </w:rPr>
        <w:t xml:space="preserve">that the cancer </w:t>
      </w:r>
      <w:r w:rsidR="0042709B">
        <w:rPr>
          <w:rFonts w:asciiTheme="minorHAnsi" w:hAnsiTheme="minorHAnsi"/>
          <w:sz w:val="24"/>
          <w:szCs w:val="24"/>
        </w:rPr>
        <w:t>i</w:t>
      </w:r>
      <w:r w:rsidR="00F11F7E">
        <w:rPr>
          <w:rFonts w:asciiTheme="minorHAnsi" w:hAnsiTheme="minorHAnsi"/>
          <w:sz w:val="24"/>
          <w:szCs w:val="24"/>
        </w:rPr>
        <w:t xml:space="preserve">s </w:t>
      </w:r>
      <w:r w:rsidR="00F144AD" w:rsidRPr="003A2EA3">
        <w:rPr>
          <w:rFonts w:asciiTheme="minorHAnsi" w:hAnsiTheme="minorHAnsi"/>
          <w:sz w:val="24"/>
          <w:szCs w:val="24"/>
        </w:rPr>
        <w:t>relatively common</w:t>
      </w:r>
      <w:r w:rsidR="00F11F7E">
        <w:rPr>
          <w:rFonts w:asciiTheme="minorHAnsi" w:hAnsiTheme="minorHAnsi"/>
          <w:sz w:val="24"/>
          <w:szCs w:val="24"/>
        </w:rPr>
        <w:t xml:space="preserve"> and two </w:t>
      </w:r>
      <w:r w:rsidR="002135D4" w:rsidRPr="003A2EA3">
        <w:rPr>
          <w:rFonts w:asciiTheme="minorHAnsi" w:hAnsiTheme="minorHAnsi"/>
          <w:sz w:val="24"/>
          <w:szCs w:val="24"/>
        </w:rPr>
        <w:t>kinase inhibitor</w:t>
      </w:r>
      <w:r w:rsidR="00F11F7E">
        <w:rPr>
          <w:rFonts w:asciiTheme="minorHAnsi" w:hAnsiTheme="minorHAnsi"/>
          <w:sz w:val="24"/>
          <w:szCs w:val="24"/>
        </w:rPr>
        <w:t>s</w:t>
      </w:r>
      <w:r w:rsidR="002135D4" w:rsidRPr="003A2EA3">
        <w:rPr>
          <w:rFonts w:asciiTheme="minorHAnsi" w:hAnsiTheme="minorHAnsi"/>
          <w:sz w:val="24"/>
          <w:szCs w:val="24"/>
        </w:rPr>
        <w:t xml:space="preserve"> </w:t>
      </w:r>
      <w:r w:rsidR="009D2CF6" w:rsidRPr="003A2EA3">
        <w:rPr>
          <w:rFonts w:asciiTheme="minorHAnsi" w:hAnsiTheme="minorHAnsi"/>
          <w:sz w:val="24"/>
          <w:szCs w:val="24"/>
        </w:rPr>
        <w:t>(</w:t>
      </w:r>
      <w:proofErr w:type="spellStart"/>
      <w:r w:rsidR="009D2CF6" w:rsidRPr="003A2EA3">
        <w:rPr>
          <w:rFonts w:asciiTheme="minorHAnsi" w:hAnsiTheme="minorHAnsi"/>
          <w:sz w:val="24"/>
          <w:szCs w:val="24"/>
        </w:rPr>
        <w:t>ibrutinib</w:t>
      </w:r>
      <w:proofErr w:type="spellEnd"/>
      <w:r w:rsidR="009D2CF6" w:rsidRPr="003A2EA3">
        <w:rPr>
          <w:rFonts w:asciiTheme="minorHAnsi" w:hAnsiTheme="minorHAnsi"/>
          <w:sz w:val="24"/>
          <w:szCs w:val="24"/>
        </w:rPr>
        <w:t xml:space="preserve"> and </w:t>
      </w:r>
      <w:proofErr w:type="spellStart"/>
      <w:r w:rsidR="009D2CF6" w:rsidRPr="003A2EA3">
        <w:rPr>
          <w:rFonts w:asciiTheme="minorHAnsi" w:hAnsiTheme="minorHAnsi"/>
          <w:sz w:val="24"/>
          <w:szCs w:val="24"/>
        </w:rPr>
        <w:t>idelalisib</w:t>
      </w:r>
      <w:proofErr w:type="spellEnd"/>
      <w:r w:rsidR="009D2CF6" w:rsidRPr="003A2EA3">
        <w:rPr>
          <w:rFonts w:asciiTheme="minorHAnsi" w:hAnsiTheme="minorHAnsi"/>
          <w:sz w:val="24"/>
          <w:szCs w:val="24"/>
        </w:rPr>
        <w:t xml:space="preserve">) have recently </w:t>
      </w:r>
      <w:r w:rsidR="0042709B" w:rsidRPr="0042709B">
        <w:rPr>
          <w:rFonts w:asciiTheme="minorHAnsi" w:hAnsiTheme="minorHAnsi"/>
          <w:sz w:val="24"/>
          <w:szCs w:val="24"/>
        </w:rPr>
        <w:t xml:space="preserve">been recommended for </w:t>
      </w:r>
      <w:r w:rsidR="00A428E9">
        <w:rPr>
          <w:rFonts w:asciiTheme="minorHAnsi" w:hAnsiTheme="minorHAnsi"/>
          <w:sz w:val="24"/>
          <w:szCs w:val="24"/>
        </w:rPr>
        <w:t xml:space="preserve">PBS </w:t>
      </w:r>
      <w:r w:rsidR="0042709B" w:rsidRPr="0042709B">
        <w:rPr>
          <w:rFonts w:asciiTheme="minorHAnsi" w:hAnsiTheme="minorHAnsi"/>
          <w:sz w:val="24"/>
          <w:szCs w:val="24"/>
        </w:rPr>
        <w:t xml:space="preserve">listing </w:t>
      </w:r>
      <w:r w:rsidR="00F11F7E">
        <w:rPr>
          <w:rFonts w:asciiTheme="minorHAnsi" w:hAnsiTheme="minorHAnsi"/>
          <w:sz w:val="24"/>
          <w:szCs w:val="24"/>
        </w:rPr>
        <w:t>for use in this disease</w:t>
      </w:r>
      <w:r w:rsidR="00F144AD" w:rsidRPr="003A2EA3">
        <w:rPr>
          <w:rFonts w:asciiTheme="minorHAnsi" w:hAnsiTheme="minorHAnsi"/>
          <w:sz w:val="24"/>
          <w:szCs w:val="24"/>
        </w:rPr>
        <w:t xml:space="preserve">. </w:t>
      </w:r>
      <w:r w:rsidR="00EA177E" w:rsidRPr="003A2EA3">
        <w:rPr>
          <w:rFonts w:asciiTheme="minorHAnsi" w:hAnsiTheme="minorHAnsi"/>
          <w:sz w:val="24"/>
          <w:szCs w:val="24"/>
        </w:rPr>
        <w:t>The PBAC also considered that i</w:t>
      </w:r>
      <w:r w:rsidR="00F144AD" w:rsidRPr="003A2EA3">
        <w:rPr>
          <w:rFonts w:asciiTheme="minorHAnsi" w:hAnsiTheme="minorHAnsi"/>
          <w:sz w:val="24"/>
          <w:szCs w:val="24"/>
        </w:rPr>
        <w:t xml:space="preserve">t was likely that there are potentially important differences across these therapies, and </w:t>
      </w:r>
      <w:r w:rsidR="00EA177E" w:rsidRPr="003A2EA3">
        <w:rPr>
          <w:rFonts w:asciiTheme="minorHAnsi" w:hAnsiTheme="minorHAnsi"/>
          <w:sz w:val="24"/>
          <w:szCs w:val="24"/>
        </w:rPr>
        <w:t xml:space="preserve">thus </w:t>
      </w:r>
      <w:r w:rsidR="00F144AD" w:rsidRPr="003A2EA3">
        <w:rPr>
          <w:rFonts w:asciiTheme="minorHAnsi" w:hAnsiTheme="minorHAnsi"/>
          <w:sz w:val="24"/>
          <w:szCs w:val="24"/>
        </w:rPr>
        <w:t xml:space="preserve">stronger evidence was needed to support listing of this </w:t>
      </w:r>
      <w:r w:rsidR="009D2CF6" w:rsidRPr="003A2EA3">
        <w:rPr>
          <w:rFonts w:asciiTheme="minorHAnsi" w:hAnsiTheme="minorHAnsi"/>
          <w:sz w:val="24"/>
          <w:szCs w:val="24"/>
        </w:rPr>
        <w:t xml:space="preserve">subsequent </w:t>
      </w:r>
      <w:r w:rsidR="00F144AD" w:rsidRPr="003A2EA3">
        <w:rPr>
          <w:rFonts w:asciiTheme="minorHAnsi" w:hAnsiTheme="minorHAnsi"/>
          <w:sz w:val="24"/>
          <w:szCs w:val="24"/>
        </w:rPr>
        <w:t>medication</w:t>
      </w:r>
      <w:r w:rsidR="00EA177E" w:rsidRPr="003A2EA3">
        <w:rPr>
          <w:rFonts w:asciiTheme="minorHAnsi" w:hAnsiTheme="minorHAnsi"/>
          <w:sz w:val="24"/>
          <w:szCs w:val="24"/>
        </w:rPr>
        <w:t xml:space="preserve"> as an earlier line of treatment</w:t>
      </w:r>
      <w:r w:rsidRPr="003A2EA3">
        <w:rPr>
          <w:rFonts w:asciiTheme="minorHAnsi" w:hAnsiTheme="minorHAnsi"/>
          <w:sz w:val="24"/>
          <w:szCs w:val="24"/>
        </w:rPr>
        <w:t>.</w:t>
      </w:r>
      <w:r w:rsidR="0009171E" w:rsidRPr="003A2EA3">
        <w:rPr>
          <w:rFonts w:asciiTheme="minorHAnsi" w:hAnsiTheme="minorHAnsi"/>
          <w:sz w:val="24"/>
          <w:szCs w:val="24"/>
        </w:rPr>
        <w:t xml:space="preserve"> The PBAC considered that</w:t>
      </w:r>
      <w:r w:rsidR="006E2007" w:rsidRPr="003A2EA3">
        <w:rPr>
          <w:rFonts w:asciiTheme="minorHAnsi" w:hAnsiTheme="minorHAnsi"/>
          <w:sz w:val="24"/>
          <w:szCs w:val="24"/>
        </w:rPr>
        <w:t>, in terms of effectiveness,</w:t>
      </w:r>
      <w:r w:rsidR="0009171E" w:rsidRPr="003A2EA3">
        <w:rPr>
          <w:rFonts w:asciiTheme="minorHAnsi" w:hAnsiTheme="minorHAnsi"/>
          <w:sz w:val="24"/>
          <w:szCs w:val="24"/>
        </w:rPr>
        <w:t xml:space="preserve"> </w:t>
      </w:r>
      <w:proofErr w:type="spellStart"/>
      <w:r w:rsidR="0009171E" w:rsidRPr="003A2EA3">
        <w:rPr>
          <w:rFonts w:asciiTheme="minorHAnsi" w:hAnsiTheme="minorHAnsi"/>
          <w:sz w:val="24"/>
          <w:szCs w:val="24"/>
        </w:rPr>
        <w:t>venetoclax</w:t>
      </w:r>
      <w:proofErr w:type="spellEnd"/>
      <w:r w:rsidR="0009171E" w:rsidRPr="003A2EA3">
        <w:rPr>
          <w:rFonts w:asciiTheme="minorHAnsi" w:hAnsiTheme="minorHAnsi"/>
          <w:sz w:val="24"/>
          <w:szCs w:val="24"/>
        </w:rPr>
        <w:t xml:space="preserve"> </w:t>
      </w:r>
      <w:r w:rsidR="009D2CF6" w:rsidRPr="003A2EA3">
        <w:rPr>
          <w:rFonts w:asciiTheme="minorHAnsi" w:hAnsiTheme="minorHAnsi"/>
          <w:sz w:val="24"/>
          <w:szCs w:val="24"/>
        </w:rPr>
        <w:t xml:space="preserve">was </w:t>
      </w:r>
      <w:r w:rsidR="0009171E" w:rsidRPr="003A2EA3">
        <w:rPr>
          <w:rFonts w:asciiTheme="minorHAnsi" w:hAnsiTheme="minorHAnsi"/>
          <w:sz w:val="24"/>
          <w:szCs w:val="24"/>
        </w:rPr>
        <w:t xml:space="preserve">likely </w:t>
      </w:r>
      <w:r w:rsidR="006E2007" w:rsidRPr="003A2EA3">
        <w:rPr>
          <w:rFonts w:asciiTheme="minorHAnsi" w:hAnsiTheme="minorHAnsi"/>
          <w:sz w:val="24"/>
          <w:szCs w:val="24"/>
        </w:rPr>
        <w:t xml:space="preserve">to be </w:t>
      </w:r>
      <w:r w:rsidR="009D2CF6" w:rsidRPr="003A2EA3">
        <w:rPr>
          <w:rFonts w:asciiTheme="minorHAnsi" w:hAnsiTheme="minorHAnsi"/>
          <w:sz w:val="24"/>
          <w:szCs w:val="24"/>
        </w:rPr>
        <w:t>non</w:t>
      </w:r>
      <w:r w:rsidR="00F11F7E">
        <w:rPr>
          <w:rFonts w:asciiTheme="minorHAnsi" w:hAnsiTheme="minorHAnsi"/>
          <w:sz w:val="24"/>
          <w:szCs w:val="24"/>
        </w:rPr>
        <w:t>-</w:t>
      </w:r>
      <w:r w:rsidR="009D2CF6" w:rsidRPr="003A2EA3">
        <w:rPr>
          <w:rFonts w:asciiTheme="minorHAnsi" w:hAnsiTheme="minorHAnsi"/>
          <w:sz w:val="24"/>
          <w:szCs w:val="24"/>
        </w:rPr>
        <w:t xml:space="preserve">inferior </w:t>
      </w:r>
      <w:r w:rsidR="0009171E" w:rsidRPr="003A2EA3">
        <w:rPr>
          <w:rFonts w:asciiTheme="minorHAnsi" w:hAnsiTheme="minorHAnsi"/>
          <w:sz w:val="24"/>
          <w:szCs w:val="24"/>
        </w:rPr>
        <w:t xml:space="preserve">to </w:t>
      </w:r>
      <w:proofErr w:type="spellStart"/>
      <w:r w:rsidR="0009171E" w:rsidRPr="003A2EA3">
        <w:rPr>
          <w:rFonts w:asciiTheme="minorHAnsi" w:hAnsiTheme="minorHAnsi"/>
          <w:sz w:val="24"/>
          <w:szCs w:val="24"/>
        </w:rPr>
        <w:t>idelalisib</w:t>
      </w:r>
      <w:proofErr w:type="spellEnd"/>
      <w:r w:rsidR="0009171E" w:rsidRPr="003A2EA3">
        <w:rPr>
          <w:rFonts w:asciiTheme="minorHAnsi" w:hAnsiTheme="minorHAnsi"/>
          <w:sz w:val="24"/>
          <w:szCs w:val="24"/>
        </w:rPr>
        <w:t xml:space="preserve"> with rituximab after failure of a </w:t>
      </w:r>
      <w:r w:rsidR="00C5518B" w:rsidRPr="003A2EA3">
        <w:rPr>
          <w:rFonts w:asciiTheme="minorHAnsi" w:hAnsiTheme="minorHAnsi"/>
          <w:sz w:val="24"/>
          <w:szCs w:val="24"/>
        </w:rPr>
        <w:t>kinase inhibitor</w:t>
      </w:r>
      <w:r w:rsidR="0009171E" w:rsidRPr="003A2EA3">
        <w:rPr>
          <w:rFonts w:asciiTheme="minorHAnsi" w:hAnsiTheme="minorHAnsi"/>
          <w:sz w:val="24"/>
          <w:szCs w:val="24"/>
        </w:rPr>
        <w:t xml:space="preserve"> in relapsed or refractory CLL</w:t>
      </w:r>
      <w:r w:rsidR="00A428E9">
        <w:rPr>
          <w:rFonts w:asciiTheme="minorHAnsi" w:hAnsiTheme="minorHAnsi"/>
          <w:sz w:val="24"/>
          <w:szCs w:val="24"/>
        </w:rPr>
        <w:t xml:space="preserve">, with </w:t>
      </w:r>
      <w:proofErr w:type="spellStart"/>
      <w:r w:rsidR="00A428E9">
        <w:rPr>
          <w:rFonts w:asciiTheme="minorHAnsi" w:hAnsiTheme="minorHAnsi"/>
          <w:sz w:val="24"/>
          <w:szCs w:val="24"/>
        </w:rPr>
        <w:t>ibrutinib</w:t>
      </w:r>
      <w:proofErr w:type="spellEnd"/>
      <w:r w:rsidR="00A428E9">
        <w:rPr>
          <w:rFonts w:asciiTheme="minorHAnsi" w:hAnsiTheme="minorHAnsi"/>
          <w:sz w:val="24"/>
          <w:szCs w:val="24"/>
        </w:rPr>
        <w:t xml:space="preserve"> more likely to be used before either of these options</w:t>
      </w:r>
      <w:r w:rsidR="0009171E" w:rsidRPr="003A2EA3">
        <w:rPr>
          <w:rFonts w:asciiTheme="minorHAnsi" w:hAnsiTheme="minorHAnsi"/>
          <w:sz w:val="24"/>
          <w:szCs w:val="24"/>
        </w:rPr>
        <w:t>.</w:t>
      </w:r>
    </w:p>
    <w:p w:rsidR="006660EC" w:rsidRPr="003A2EA3" w:rsidRDefault="006660EC" w:rsidP="0047714C">
      <w:pPr>
        <w:ind w:left="-11"/>
        <w:rPr>
          <w:rFonts w:asciiTheme="minorHAnsi" w:hAnsiTheme="minorHAnsi"/>
        </w:rPr>
      </w:pPr>
    </w:p>
    <w:p w:rsidR="00D25796" w:rsidRPr="003A2EA3" w:rsidRDefault="00D25796" w:rsidP="006660EC">
      <w:pPr>
        <w:pStyle w:val="ListParagraph"/>
        <w:numPr>
          <w:ilvl w:val="1"/>
          <w:numId w:val="5"/>
        </w:numPr>
        <w:ind w:left="709"/>
        <w:rPr>
          <w:rFonts w:asciiTheme="minorHAnsi" w:hAnsiTheme="minorHAnsi"/>
          <w:sz w:val="24"/>
          <w:szCs w:val="24"/>
        </w:rPr>
      </w:pPr>
      <w:r w:rsidRPr="003A2EA3">
        <w:rPr>
          <w:rFonts w:asciiTheme="minorHAnsi" w:hAnsiTheme="minorHAnsi"/>
          <w:sz w:val="24"/>
          <w:szCs w:val="24"/>
        </w:rPr>
        <w:t xml:space="preserve">The PBAC again considered that the claims of </w:t>
      </w:r>
      <w:r w:rsidR="009D2CF6" w:rsidRPr="003A2EA3">
        <w:rPr>
          <w:rFonts w:asciiTheme="minorHAnsi" w:hAnsiTheme="minorHAnsi"/>
          <w:sz w:val="24"/>
          <w:szCs w:val="24"/>
        </w:rPr>
        <w:t>non</w:t>
      </w:r>
      <w:r w:rsidR="00F16F04">
        <w:rPr>
          <w:rFonts w:asciiTheme="minorHAnsi" w:hAnsiTheme="minorHAnsi"/>
          <w:sz w:val="24"/>
          <w:szCs w:val="24"/>
        </w:rPr>
        <w:t>-</w:t>
      </w:r>
      <w:r w:rsidR="009D2CF6" w:rsidRPr="003A2EA3">
        <w:rPr>
          <w:rFonts w:asciiTheme="minorHAnsi" w:hAnsiTheme="minorHAnsi"/>
          <w:sz w:val="24"/>
          <w:szCs w:val="24"/>
        </w:rPr>
        <w:t xml:space="preserve">inferior </w:t>
      </w:r>
      <w:r w:rsidRPr="003A2EA3">
        <w:rPr>
          <w:rFonts w:asciiTheme="minorHAnsi" w:hAnsiTheme="minorHAnsi"/>
          <w:sz w:val="24"/>
          <w:szCs w:val="24"/>
        </w:rPr>
        <w:t xml:space="preserve">safety between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and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t>
      </w:r>
      <w:r w:rsidR="009D2CF6" w:rsidRPr="003A2EA3">
        <w:rPr>
          <w:rFonts w:asciiTheme="minorHAnsi" w:hAnsiTheme="minorHAnsi"/>
          <w:sz w:val="24"/>
          <w:szCs w:val="24"/>
        </w:rPr>
        <w:t xml:space="preserve">with rituximab </w:t>
      </w:r>
      <w:r w:rsidRPr="003A2EA3">
        <w:rPr>
          <w:rFonts w:asciiTheme="minorHAnsi" w:hAnsiTheme="minorHAnsi"/>
          <w:sz w:val="24"/>
          <w:szCs w:val="24"/>
        </w:rPr>
        <w:t xml:space="preserve">or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were not adequately supported by the data.</w:t>
      </w:r>
    </w:p>
    <w:p w:rsidR="00F57A6D" w:rsidRPr="003A2EA3" w:rsidRDefault="00F57A6D" w:rsidP="00882085">
      <w:pPr>
        <w:ind w:left="720" w:hanging="720"/>
        <w:jc w:val="both"/>
        <w:rPr>
          <w:rFonts w:asciiTheme="minorHAnsi" w:hAnsiTheme="minorHAnsi"/>
        </w:rPr>
      </w:pPr>
    </w:p>
    <w:p w:rsidR="005A3173" w:rsidRPr="003A2EA3" w:rsidRDefault="005A3173" w:rsidP="00B1059E">
      <w:pPr>
        <w:pStyle w:val="Heading2"/>
        <w:rPr>
          <w:rFonts w:asciiTheme="minorHAnsi" w:hAnsiTheme="minorHAnsi"/>
          <w:sz w:val="28"/>
          <w:szCs w:val="28"/>
        </w:rPr>
      </w:pPr>
      <w:r w:rsidRPr="003A2EA3">
        <w:rPr>
          <w:rFonts w:asciiTheme="minorHAnsi" w:hAnsiTheme="minorHAnsi"/>
          <w:sz w:val="28"/>
          <w:szCs w:val="28"/>
        </w:rPr>
        <w:t>Economic analysis</w:t>
      </w:r>
    </w:p>
    <w:p w:rsidR="005A3173" w:rsidRPr="003A2EA3" w:rsidRDefault="005A3173" w:rsidP="00D84934">
      <w:pPr>
        <w:pStyle w:val="NoSpacing"/>
        <w:rPr>
          <w:rFonts w:asciiTheme="minorHAnsi" w:hAnsiTheme="minorHAnsi"/>
          <w:sz w:val="24"/>
          <w:szCs w:val="24"/>
        </w:rPr>
      </w:pPr>
    </w:p>
    <w:p w:rsidR="00A51516" w:rsidRPr="003A2EA3" w:rsidRDefault="00A51516" w:rsidP="009B0F67">
      <w:pPr>
        <w:pStyle w:val="ListParagraph"/>
        <w:numPr>
          <w:ilvl w:val="1"/>
          <w:numId w:val="5"/>
        </w:numPr>
        <w:ind w:left="709"/>
        <w:rPr>
          <w:rFonts w:asciiTheme="minorHAnsi" w:hAnsiTheme="minorHAnsi"/>
          <w:sz w:val="24"/>
          <w:szCs w:val="24"/>
        </w:rPr>
      </w:pPr>
      <w:r w:rsidRPr="003A2EA3">
        <w:rPr>
          <w:rFonts w:asciiTheme="minorHAnsi" w:hAnsiTheme="minorHAnsi"/>
          <w:sz w:val="24"/>
          <w:szCs w:val="24"/>
        </w:rPr>
        <w:t>The</w:t>
      </w:r>
      <w:r w:rsidR="00FF2801" w:rsidRPr="003A2EA3">
        <w:rPr>
          <w:rFonts w:asciiTheme="minorHAnsi" w:hAnsiTheme="minorHAnsi"/>
          <w:sz w:val="24"/>
          <w:szCs w:val="24"/>
        </w:rPr>
        <w:t xml:space="preserve"> minor </w:t>
      </w:r>
      <w:r w:rsidRPr="003A2EA3">
        <w:rPr>
          <w:rFonts w:asciiTheme="minorHAnsi" w:hAnsiTheme="minorHAnsi"/>
          <w:sz w:val="24"/>
          <w:szCs w:val="24"/>
        </w:rPr>
        <w:t>resubmission</w:t>
      </w:r>
      <w:r w:rsidR="00FF2801" w:rsidRPr="003A2EA3">
        <w:rPr>
          <w:rFonts w:asciiTheme="minorHAnsi" w:hAnsiTheme="minorHAnsi"/>
          <w:sz w:val="24"/>
          <w:szCs w:val="24"/>
        </w:rPr>
        <w:t xml:space="preserve"> </w:t>
      </w:r>
      <w:r w:rsidR="009B0F67" w:rsidRPr="003A2EA3">
        <w:rPr>
          <w:rFonts w:asciiTheme="minorHAnsi" w:hAnsiTheme="minorHAnsi"/>
          <w:sz w:val="24"/>
          <w:szCs w:val="24"/>
        </w:rPr>
        <w:t>presented</w:t>
      </w:r>
      <w:r w:rsidRPr="003A2EA3">
        <w:rPr>
          <w:rFonts w:asciiTheme="minorHAnsi" w:hAnsiTheme="minorHAnsi"/>
          <w:sz w:val="24"/>
          <w:szCs w:val="24"/>
        </w:rPr>
        <w:t xml:space="preserve"> </w:t>
      </w:r>
      <w:r w:rsidR="00166405" w:rsidRPr="003A2EA3">
        <w:rPr>
          <w:rFonts w:asciiTheme="minorHAnsi" w:hAnsiTheme="minorHAnsi"/>
          <w:sz w:val="24"/>
          <w:szCs w:val="24"/>
        </w:rPr>
        <w:t>a cost-</w:t>
      </w:r>
      <w:r w:rsidR="00C23918" w:rsidRPr="003A2EA3">
        <w:rPr>
          <w:rFonts w:asciiTheme="minorHAnsi" w:hAnsiTheme="minorHAnsi"/>
          <w:sz w:val="24"/>
          <w:szCs w:val="24"/>
        </w:rPr>
        <w:t xml:space="preserve">minimisation analysis (CMA) against </w:t>
      </w:r>
      <w:proofErr w:type="spellStart"/>
      <w:r w:rsidR="00C23918" w:rsidRPr="003A2EA3">
        <w:rPr>
          <w:rFonts w:asciiTheme="minorHAnsi" w:hAnsiTheme="minorHAnsi"/>
          <w:sz w:val="24"/>
          <w:szCs w:val="24"/>
        </w:rPr>
        <w:t>ibrutinib</w:t>
      </w:r>
      <w:proofErr w:type="spellEnd"/>
      <w:r w:rsidR="00C23918" w:rsidRPr="003A2EA3">
        <w:rPr>
          <w:rFonts w:asciiTheme="minorHAnsi" w:hAnsiTheme="minorHAnsi"/>
          <w:sz w:val="24"/>
          <w:szCs w:val="24"/>
        </w:rPr>
        <w:t xml:space="preserve"> </w:t>
      </w:r>
      <w:r w:rsidR="003C2A32" w:rsidRPr="003A2EA3">
        <w:rPr>
          <w:rFonts w:asciiTheme="minorHAnsi" w:hAnsiTheme="minorHAnsi"/>
          <w:sz w:val="24"/>
          <w:szCs w:val="24"/>
        </w:rPr>
        <w:t xml:space="preserve">in the 17p deletion population </w:t>
      </w:r>
      <w:r w:rsidR="00C23918" w:rsidRPr="003A2EA3">
        <w:rPr>
          <w:rFonts w:asciiTheme="minorHAnsi" w:hAnsiTheme="minorHAnsi"/>
          <w:sz w:val="24"/>
          <w:szCs w:val="24"/>
        </w:rPr>
        <w:t xml:space="preserve">over </w:t>
      </w:r>
      <w:proofErr w:type="gramStart"/>
      <w:r w:rsidR="00C23918" w:rsidRPr="003A2EA3">
        <w:rPr>
          <w:rFonts w:asciiTheme="minorHAnsi" w:hAnsiTheme="minorHAnsi"/>
          <w:sz w:val="24"/>
          <w:szCs w:val="24"/>
        </w:rPr>
        <w:t>a 24</w:t>
      </w:r>
      <w:proofErr w:type="gramEnd"/>
      <w:r w:rsidR="00FD62E5" w:rsidRPr="003A2EA3">
        <w:rPr>
          <w:rFonts w:asciiTheme="minorHAnsi" w:hAnsiTheme="minorHAnsi"/>
          <w:sz w:val="24"/>
          <w:szCs w:val="24"/>
        </w:rPr>
        <w:t>-</w:t>
      </w:r>
      <w:r w:rsidR="00C23918" w:rsidRPr="003A2EA3">
        <w:rPr>
          <w:rFonts w:asciiTheme="minorHAnsi" w:hAnsiTheme="minorHAnsi"/>
          <w:sz w:val="24"/>
          <w:szCs w:val="24"/>
        </w:rPr>
        <w:t xml:space="preserve">month treatment duration. The assumptions that form the basis for the CMA are presented in </w:t>
      </w:r>
      <w:r w:rsidR="008D2DF2" w:rsidRPr="003A2EA3">
        <w:rPr>
          <w:rFonts w:asciiTheme="minorHAnsi" w:hAnsiTheme="minorHAnsi"/>
          <w:sz w:val="24"/>
          <w:szCs w:val="24"/>
        </w:rPr>
        <w:t>T</w:t>
      </w:r>
      <w:r w:rsidR="00C23918" w:rsidRPr="003A2EA3">
        <w:rPr>
          <w:rFonts w:asciiTheme="minorHAnsi" w:hAnsiTheme="minorHAnsi"/>
          <w:sz w:val="24"/>
          <w:szCs w:val="24"/>
        </w:rPr>
        <w:t xml:space="preserve">able </w:t>
      </w:r>
      <w:r w:rsidR="008D2DF2" w:rsidRPr="003A2EA3">
        <w:rPr>
          <w:rFonts w:asciiTheme="minorHAnsi" w:hAnsiTheme="minorHAnsi"/>
          <w:sz w:val="24"/>
          <w:szCs w:val="24"/>
        </w:rPr>
        <w:t>5</w:t>
      </w:r>
      <w:r w:rsidR="009B0F67" w:rsidRPr="003A2EA3">
        <w:rPr>
          <w:rFonts w:asciiTheme="minorHAnsi" w:hAnsiTheme="minorHAnsi"/>
          <w:sz w:val="24"/>
          <w:szCs w:val="24"/>
        </w:rPr>
        <w:t>.</w:t>
      </w:r>
    </w:p>
    <w:p w:rsidR="00C23918" w:rsidRPr="003A2EA3" w:rsidRDefault="00C23918" w:rsidP="0047714C">
      <w:pPr>
        <w:ind w:left="-11"/>
        <w:rPr>
          <w:rFonts w:asciiTheme="minorHAnsi" w:hAnsiTheme="minorHAnsi"/>
        </w:rPr>
      </w:pPr>
    </w:p>
    <w:p w:rsidR="000F0D8A" w:rsidRDefault="000F0D8A" w:rsidP="000F0D8A">
      <w:pPr>
        <w:pStyle w:val="Caption"/>
      </w:pPr>
      <w:proofErr w:type="gramStart"/>
      <w:r>
        <w:t xml:space="preserve">Table </w:t>
      </w:r>
      <w:r>
        <w:rPr>
          <w:noProof/>
        </w:rPr>
        <w:t>5</w:t>
      </w:r>
      <w:r w:rsidRPr="003433A3">
        <w:t>.</w:t>
      </w:r>
      <w:proofErr w:type="gramEnd"/>
      <w:r w:rsidRPr="003433A3">
        <w:t xml:space="preserve"> Key assumptions of the cost-minimisation analysis for patients with a 17p deletion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6663"/>
      </w:tblGrid>
      <w:tr w:rsidR="00C23918" w:rsidRPr="003A2EA3" w:rsidTr="00C23918">
        <w:trPr>
          <w:trHeight w:val="225"/>
        </w:trPr>
        <w:tc>
          <w:tcPr>
            <w:tcW w:w="1395" w:type="pct"/>
            <w:shd w:val="clear" w:color="auto" w:fill="auto"/>
            <w:noWrap/>
            <w:hideMark/>
          </w:tcPr>
          <w:p w:rsidR="00C23918" w:rsidRPr="003A2EA3" w:rsidRDefault="00C23918" w:rsidP="006372C6">
            <w:pPr>
              <w:pStyle w:val="TableText0"/>
              <w:keepNext/>
              <w:spacing w:before="0" w:after="0"/>
              <w:rPr>
                <w:rFonts w:ascii="Arial Narrow" w:hAnsi="Arial Narrow" w:cstheme="minorHAnsi"/>
                <w:b/>
              </w:rPr>
            </w:pPr>
            <w:r w:rsidRPr="003A2EA3">
              <w:rPr>
                <w:rFonts w:ascii="Arial Narrow" w:hAnsi="Arial Narrow" w:cstheme="minorHAnsi"/>
                <w:b/>
              </w:rPr>
              <w:t>Component</w:t>
            </w:r>
          </w:p>
        </w:tc>
        <w:tc>
          <w:tcPr>
            <w:tcW w:w="3605" w:type="pct"/>
            <w:shd w:val="clear" w:color="auto" w:fill="auto"/>
            <w:noWrap/>
          </w:tcPr>
          <w:p w:rsidR="00C23918" w:rsidRPr="003A2EA3" w:rsidRDefault="00C23918" w:rsidP="006372C6">
            <w:pPr>
              <w:pStyle w:val="TableText0"/>
              <w:keepNext/>
              <w:spacing w:before="0" w:after="0"/>
              <w:rPr>
                <w:rFonts w:ascii="Arial Narrow" w:hAnsi="Arial Narrow" w:cstheme="minorHAnsi"/>
                <w:b/>
              </w:rPr>
            </w:pPr>
            <w:r w:rsidRPr="003A2EA3">
              <w:rPr>
                <w:rFonts w:ascii="Arial Narrow" w:hAnsi="Arial Narrow" w:cstheme="minorHAnsi"/>
                <w:b/>
              </w:rPr>
              <w:t>Claim or assumption</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Therapeutic claim: efficacy</w:t>
            </w:r>
          </w:p>
        </w:tc>
        <w:tc>
          <w:tcPr>
            <w:tcW w:w="3605" w:type="pct"/>
            <w:shd w:val="clear" w:color="auto" w:fill="auto"/>
            <w:noWrap/>
          </w:tcPr>
          <w:p w:rsidR="00C23918" w:rsidRPr="003A2EA3" w:rsidRDefault="00C23918" w:rsidP="003430FC">
            <w:pPr>
              <w:pStyle w:val="TableText0"/>
              <w:keepNext/>
              <w:spacing w:before="0" w:after="0"/>
              <w:rPr>
                <w:rFonts w:ascii="Arial Narrow" w:hAnsi="Arial Narrow" w:cstheme="minorHAnsi"/>
              </w:rPr>
            </w:pPr>
            <w:r w:rsidRPr="003A2EA3">
              <w:rPr>
                <w:rFonts w:ascii="Arial Narrow" w:hAnsi="Arial Narrow" w:cstheme="minorHAnsi"/>
              </w:rPr>
              <w:t xml:space="preserve">Based on the evidence presented in this </w:t>
            </w:r>
            <w:r w:rsidR="00FD62E5" w:rsidRPr="003A2EA3">
              <w:rPr>
                <w:rFonts w:ascii="Arial Narrow" w:hAnsi="Arial Narrow" w:cstheme="minorHAnsi"/>
              </w:rPr>
              <w:t>re</w:t>
            </w:r>
            <w:r w:rsidRPr="003A2EA3">
              <w:rPr>
                <w:rFonts w:ascii="Arial Narrow" w:hAnsi="Arial Narrow" w:cstheme="minorHAnsi"/>
              </w:rPr>
              <w:t xml:space="preserve">submission,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 is assumed to be non</w:t>
            </w:r>
            <w:r w:rsidR="00BD2D25">
              <w:rPr>
                <w:rFonts w:ascii="Arial Narrow" w:hAnsi="Arial Narrow" w:cstheme="minorHAnsi"/>
              </w:rPr>
              <w:t>-</w:t>
            </w:r>
            <w:r w:rsidRPr="003A2EA3">
              <w:rPr>
                <w:rFonts w:ascii="Arial Narrow" w:hAnsi="Arial Narrow" w:cstheme="minorHAnsi"/>
              </w:rPr>
              <w:t xml:space="preserve">inferior to </w:t>
            </w:r>
            <w:proofErr w:type="spellStart"/>
            <w:r w:rsidRPr="003A2EA3">
              <w:rPr>
                <w:rFonts w:ascii="Arial Narrow" w:hAnsi="Arial Narrow" w:cstheme="minorHAnsi"/>
              </w:rPr>
              <w:t>ibrutinib</w:t>
            </w:r>
            <w:proofErr w:type="spellEnd"/>
            <w:r w:rsidRPr="003A2EA3">
              <w:rPr>
                <w:rFonts w:ascii="Arial Narrow" w:hAnsi="Arial Narrow" w:cstheme="minorHAnsi"/>
              </w:rPr>
              <w:t xml:space="preserve"> with respect to efficacy</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Therapeutic claim: safety</w:t>
            </w:r>
          </w:p>
        </w:tc>
        <w:tc>
          <w:tcPr>
            <w:tcW w:w="3605" w:type="pct"/>
            <w:shd w:val="clear" w:color="auto" w:fill="auto"/>
            <w:noWrap/>
          </w:tcPr>
          <w:p w:rsidR="00C23918" w:rsidRPr="003A2EA3" w:rsidRDefault="00C23918" w:rsidP="003430FC">
            <w:pPr>
              <w:pStyle w:val="TableText0"/>
              <w:keepNext/>
              <w:spacing w:before="0" w:after="0"/>
              <w:rPr>
                <w:rFonts w:ascii="Arial Narrow" w:hAnsi="Arial Narrow" w:cstheme="minorHAnsi"/>
              </w:rPr>
            </w:pPr>
            <w:r w:rsidRPr="003A2EA3">
              <w:rPr>
                <w:rFonts w:ascii="Arial Narrow" w:hAnsi="Arial Narrow" w:cstheme="minorHAnsi"/>
              </w:rPr>
              <w:t xml:space="preserve">Based on the evidence presented in this </w:t>
            </w:r>
            <w:r w:rsidR="00FD62E5" w:rsidRPr="003A2EA3">
              <w:rPr>
                <w:rFonts w:ascii="Arial Narrow" w:hAnsi="Arial Narrow" w:cstheme="minorHAnsi"/>
              </w:rPr>
              <w:t>re</w:t>
            </w:r>
            <w:r w:rsidRPr="003A2EA3">
              <w:rPr>
                <w:rFonts w:ascii="Arial Narrow" w:hAnsi="Arial Narrow" w:cstheme="minorHAnsi"/>
              </w:rPr>
              <w:t xml:space="preserve">submission,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 is assumed to be non</w:t>
            </w:r>
            <w:r w:rsidR="00BD2D25">
              <w:rPr>
                <w:rFonts w:ascii="Arial Narrow" w:hAnsi="Arial Narrow" w:cstheme="minorHAnsi"/>
              </w:rPr>
              <w:t>-</w:t>
            </w:r>
            <w:r w:rsidRPr="003A2EA3">
              <w:rPr>
                <w:rFonts w:ascii="Arial Narrow" w:hAnsi="Arial Narrow" w:cstheme="minorHAnsi"/>
              </w:rPr>
              <w:t xml:space="preserve">inferior to </w:t>
            </w:r>
            <w:proofErr w:type="spellStart"/>
            <w:r w:rsidRPr="003A2EA3">
              <w:rPr>
                <w:rFonts w:ascii="Arial Narrow" w:hAnsi="Arial Narrow" w:cstheme="minorHAnsi"/>
              </w:rPr>
              <w:t>ibrutinib</w:t>
            </w:r>
            <w:proofErr w:type="spellEnd"/>
            <w:r w:rsidRPr="003A2EA3">
              <w:rPr>
                <w:rFonts w:ascii="Arial Narrow" w:hAnsi="Arial Narrow" w:cstheme="minorHAnsi"/>
              </w:rPr>
              <w:t xml:space="preserve"> with respect to safety </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Evidence base</w:t>
            </w:r>
          </w:p>
        </w:tc>
        <w:tc>
          <w:tcPr>
            <w:tcW w:w="360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Naïve comparison of clinical trials</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proofErr w:type="spellStart"/>
            <w:r w:rsidRPr="003A2EA3">
              <w:rPr>
                <w:rFonts w:ascii="Arial Narrow" w:hAnsi="Arial Narrow" w:cstheme="minorHAnsi"/>
              </w:rPr>
              <w:t>Equi</w:t>
            </w:r>
            <w:proofErr w:type="spellEnd"/>
            <w:r w:rsidRPr="003A2EA3">
              <w:rPr>
                <w:rFonts w:ascii="Arial Narrow" w:hAnsi="Arial Narrow" w:cstheme="minorHAnsi"/>
              </w:rPr>
              <w:t>-effective doses</w:t>
            </w:r>
          </w:p>
        </w:tc>
        <w:tc>
          <w:tcPr>
            <w:tcW w:w="3605" w:type="pct"/>
            <w:shd w:val="clear" w:color="auto" w:fill="auto"/>
            <w:noWrap/>
          </w:tcPr>
          <w:p w:rsidR="00C23918" w:rsidRPr="003A2EA3" w:rsidRDefault="00C23918" w:rsidP="00F573B4">
            <w:pPr>
              <w:pStyle w:val="TableText0"/>
              <w:keepNext/>
              <w:spacing w:before="0" w:after="0"/>
              <w:rPr>
                <w:rFonts w:ascii="Arial Narrow" w:hAnsi="Arial Narrow" w:cstheme="minorHAnsi"/>
              </w:rPr>
            </w:pPr>
            <w:r w:rsidRPr="003A2EA3">
              <w:rPr>
                <w:rFonts w:ascii="Arial Narrow" w:hAnsi="Arial Narrow" w:cstheme="minorHAnsi"/>
              </w:rPr>
              <w:t>400</w:t>
            </w:r>
            <w:r w:rsidR="009439C5" w:rsidRPr="003A2EA3">
              <w:rPr>
                <w:rFonts w:ascii="Arial Narrow" w:hAnsi="Arial Narrow" w:cstheme="minorHAnsi"/>
              </w:rPr>
              <w:t> </w:t>
            </w:r>
            <w:r w:rsidRPr="003A2EA3">
              <w:rPr>
                <w:rFonts w:ascii="Arial Narrow" w:hAnsi="Arial Narrow" w:cstheme="minorHAnsi"/>
              </w:rPr>
              <w:t>mg once</w:t>
            </w:r>
            <w:r w:rsidR="00F4070F" w:rsidRPr="003A2EA3">
              <w:rPr>
                <w:rFonts w:ascii="Arial Narrow" w:hAnsi="Arial Narrow" w:cstheme="minorHAnsi"/>
              </w:rPr>
              <w:t xml:space="preserve"> </w:t>
            </w:r>
            <w:r w:rsidRPr="003A2EA3">
              <w:rPr>
                <w:rFonts w:ascii="Arial Narrow" w:hAnsi="Arial Narrow" w:cstheme="minorHAnsi"/>
              </w:rPr>
              <w:t xml:space="preserve">daily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 is </w:t>
            </w:r>
            <w:proofErr w:type="spellStart"/>
            <w:r w:rsidRPr="003A2EA3">
              <w:rPr>
                <w:rFonts w:ascii="Arial Narrow" w:hAnsi="Arial Narrow" w:cstheme="minorHAnsi"/>
              </w:rPr>
              <w:t>equi</w:t>
            </w:r>
            <w:proofErr w:type="spellEnd"/>
            <w:r w:rsidRPr="003A2EA3">
              <w:rPr>
                <w:rFonts w:ascii="Arial Narrow" w:hAnsi="Arial Narrow" w:cstheme="minorHAnsi"/>
              </w:rPr>
              <w:t>-effective to 420</w:t>
            </w:r>
            <w:r w:rsidR="009439C5" w:rsidRPr="003A2EA3">
              <w:rPr>
                <w:rFonts w:ascii="Arial Narrow" w:hAnsi="Arial Narrow" w:cstheme="minorHAnsi"/>
              </w:rPr>
              <w:t> </w:t>
            </w:r>
            <w:r w:rsidRPr="003A2EA3">
              <w:rPr>
                <w:rFonts w:ascii="Arial Narrow" w:hAnsi="Arial Narrow" w:cstheme="minorHAnsi"/>
              </w:rPr>
              <w:t xml:space="preserve">mg </w:t>
            </w:r>
            <w:proofErr w:type="spellStart"/>
            <w:r w:rsidRPr="003A2EA3">
              <w:rPr>
                <w:rFonts w:ascii="Arial Narrow" w:hAnsi="Arial Narrow" w:cstheme="minorHAnsi"/>
              </w:rPr>
              <w:t>ibrutinib</w:t>
            </w:r>
            <w:proofErr w:type="spellEnd"/>
            <w:r w:rsidRPr="003A2EA3">
              <w:rPr>
                <w:rFonts w:ascii="Arial Narrow" w:hAnsi="Arial Narrow" w:cstheme="minorHAnsi"/>
              </w:rPr>
              <w:t xml:space="preserve"> once</w:t>
            </w:r>
            <w:r w:rsidR="00F4070F" w:rsidRPr="003A2EA3">
              <w:rPr>
                <w:rFonts w:ascii="Arial Narrow" w:hAnsi="Arial Narrow" w:cstheme="minorHAnsi"/>
              </w:rPr>
              <w:t xml:space="preserve"> </w:t>
            </w:r>
            <w:r w:rsidRPr="003A2EA3">
              <w:rPr>
                <w:rFonts w:ascii="Arial Narrow" w:hAnsi="Arial Narrow" w:cstheme="minorHAnsi"/>
              </w:rPr>
              <w:t>daily</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Direct medicine costs</w:t>
            </w:r>
          </w:p>
        </w:tc>
        <w:tc>
          <w:tcPr>
            <w:tcW w:w="360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 xml:space="preserve">The per-patient drug cost of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 is lower than the per-patient cost of </w:t>
            </w:r>
            <w:proofErr w:type="spellStart"/>
            <w:r w:rsidRPr="003A2EA3">
              <w:rPr>
                <w:rFonts w:ascii="Arial Narrow" w:hAnsi="Arial Narrow" w:cstheme="minorHAnsi"/>
              </w:rPr>
              <w:t>ibrutinib</w:t>
            </w:r>
            <w:proofErr w:type="spellEnd"/>
            <w:r w:rsidRPr="003A2EA3">
              <w:rPr>
                <w:rFonts w:ascii="Arial Narrow" w:hAnsi="Arial Narrow" w:cstheme="minorHAnsi"/>
              </w:rPr>
              <w:t xml:space="preserve"> (to offset the increased cost associated with monitoring TLS in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 patients)</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Other costs or cost offsets</w:t>
            </w:r>
          </w:p>
        </w:tc>
        <w:tc>
          <w:tcPr>
            <w:tcW w:w="3605" w:type="pct"/>
            <w:shd w:val="clear" w:color="auto" w:fill="auto"/>
            <w:noWrap/>
          </w:tcPr>
          <w:p w:rsidR="00C23918" w:rsidRPr="003A2EA3" w:rsidRDefault="00C23918" w:rsidP="009D2CF6">
            <w:pPr>
              <w:pStyle w:val="TableText0"/>
              <w:keepNext/>
              <w:spacing w:before="0" w:after="0"/>
              <w:rPr>
                <w:rFonts w:ascii="Arial Narrow" w:hAnsi="Arial Narrow" w:cstheme="minorHAnsi"/>
              </w:rPr>
            </w:pPr>
            <w:r w:rsidRPr="003A2EA3">
              <w:rPr>
                <w:rFonts w:ascii="Arial Narrow" w:hAnsi="Arial Narrow" w:cstheme="minorHAnsi"/>
              </w:rPr>
              <w:t xml:space="preserve">The costs of monitoring and preventing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-induced TLS during the </w:t>
            </w:r>
            <w:r w:rsidR="003C2A32" w:rsidRPr="003A2EA3">
              <w:rPr>
                <w:rFonts w:ascii="Arial Narrow" w:hAnsi="Arial Narrow" w:cstheme="minorHAnsi"/>
              </w:rPr>
              <w:t>titration</w:t>
            </w:r>
            <w:r w:rsidRPr="003A2EA3">
              <w:rPr>
                <w:rFonts w:ascii="Arial Narrow" w:hAnsi="Arial Narrow" w:cstheme="minorHAnsi"/>
              </w:rPr>
              <w:t xml:space="preserve"> month have been included</w:t>
            </w:r>
          </w:p>
        </w:tc>
      </w:tr>
      <w:tr w:rsidR="00C23918" w:rsidRPr="003A2EA3" w:rsidTr="006372C6">
        <w:trPr>
          <w:trHeight w:val="225"/>
        </w:trPr>
        <w:tc>
          <w:tcPr>
            <w:tcW w:w="139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Basis of cost-minimisation</w:t>
            </w:r>
          </w:p>
        </w:tc>
        <w:tc>
          <w:tcPr>
            <w:tcW w:w="3605" w:type="pct"/>
            <w:shd w:val="clear" w:color="auto" w:fill="auto"/>
            <w:noWrap/>
          </w:tcPr>
          <w:p w:rsidR="00C23918" w:rsidRPr="003A2EA3" w:rsidRDefault="00C23918" w:rsidP="006372C6">
            <w:pPr>
              <w:pStyle w:val="TableText0"/>
              <w:keepNext/>
              <w:spacing w:before="0" w:after="0"/>
              <w:rPr>
                <w:rFonts w:ascii="Arial Narrow" w:hAnsi="Arial Narrow" w:cstheme="minorHAnsi"/>
              </w:rPr>
            </w:pPr>
            <w:r w:rsidRPr="003A2EA3">
              <w:rPr>
                <w:rFonts w:ascii="Arial Narrow" w:hAnsi="Arial Narrow" w:cstheme="minorHAnsi"/>
              </w:rPr>
              <w:t xml:space="preserve">24 months treatment duration with </w:t>
            </w:r>
            <w:proofErr w:type="spellStart"/>
            <w:r w:rsidR="003C2A32" w:rsidRPr="003A2EA3">
              <w:rPr>
                <w:rFonts w:ascii="Arial Narrow" w:hAnsi="Arial Narrow" w:cstheme="minorHAnsi"/>
              </w:rPr>
              <w:t>venetoclax</w:t>
            </w:r>
            <w:proofErr w:type="spellEnd"/>
            <w:r w:rsidRPr="003A2EA3">
              <w:rPr>
                <w:rFonts w:ascii="Arial Narrow" w:hAnsi="Arial Narrow" w:cstheme="minorHAnsi"/>
              </w:rPr>
              <w:t xml:space="preserve"> is equivalent to 24 months treatment duration with </w:t>
            </w:r>
            <w:proofErr w:type="spellStart"/>
            <w:r w:rsidRPr="003A2EA3">
              <w:rPr>
                <w:rFonts w:ascii="Arial Narrow" w:hAnsi="Arial Narrow" w:cstheme="minorHAnsi"/>
              </w:rPr>
              <w:t>ibrutinib</w:t>
            </w:r>
            <w:proofErr w:type="spellEnd"/>
          </w:p>
        </w:tc>
      </w:tr>
    </w:tbl>
    <w:p w:rsidR="00C23918" w:rsidRPr="003A2EA3" w:rsidRDefault="00C23918" w:rsidP="00C23918">
      <w:pPr>
        <w:pStyle w:val="TableText0"/>
        <w:spacing w:before="0" w:after="0"/>
        <w:rPr>
          <w:rFonts w:ascii="Arial Narrow" w:hAnsi="Arial Narrow" w:cstheme="minorHAnsi"/>
        </w:rPr>
      </w:pPr>
      <w:r w:rsidRPr="003A2EA3">
        <w:rPr>
          <w:rFonts w:ascii="Arial Narrow" w:hAnsi="Arial Narrow" w:cstheme="minorHAnsi"/>
        </w:rPr>
        <w:t>Abbreviations: TLS = tumour lysis syndrome</w:t>
      </w:r>
    </w:p>
    <w:p w:rsidR="00EF080F" w:rsidRPr="003A2EA3" w:rsidRDefault="00EF080F" w:rsidP="00355AB8">
      <w:pPr>
        <w:rPr>
          <w:rFonts w:asciiTheme="minorHAnsi" w:hAnsiTheme="minorHAnsi"/>
        </w:rPr>
      </w:pPr>
    </w:p>
    <w:p w:rsidR="00115464" w:rsidRPr="003A2EA3" w:rsidRDefault="00115464" w:rsidP="00115464">
      <w:pPr>
        <w:pStyle w:val="ListParagraph"/>
        <w:numPr>
          <w:ilvl w:val="1"/>
          <w:numId w:val="5"/>
        </w:numPr>
        <w:ind w:left="709"/>
        <w:rPr>
          <w:rFonts w:asciiTheme="minorHAnsi" w:hAnsiTheme="minorHAnsi"/>
          <w:sz w:val="24"/>
          <w:szCs w:val="24"/>
        </w:rPr>
      </w:pPr>
      <w:r w:rsidRPr="003A2EA3">
        <w:rPr>
          <w:rFonts w:asciiTheme="minorHAnsi" w:hAnsiTheme="minorHAnsi"/>
          <w:sz w:val="24"/>
          <w:szCs w:val="24"/>
        </w:rPr>
        <w:t xml:space="preserve">As a minor </w:t>
      </w:r>
      <w:r w:rsidR="00FD62E5" w:rsidRPr="003A2EA3">
        <w:rPr>
          <w:rFonts w:asciiTheme="minorHAnsi" w:hAnsiTheme="minorHAnsi"/>
          <w:sz w:val="24"/>
          <w:szCs w:val="24"/>
        </w:rPr>
        <w:t>re</w:t>
      </w:r>
      <w:r w:rsidRPr="003A2EA3">
        <w:rPr>
          <w:rFonts w:asciiTheme="minorHAnsi" w:hAnsiTheme="minorHAnsi"/>
          <w:sz w:val="24"/>
          <w:szCs w:val="24"/>
        </w:rPr>
        <w:t>submission</w:t>
      </w:r>
      <w:r w:rsidR="00FD62E5" w:rsidRPr="003A2EA3">
        <w:rPr>
          <w:rFonts w:asciiTheme="minorHAnsi" w:hAnsiTheme="minorHAnsi"/>
          <w:sz w:val="24"/>
          <w:szCs w:val="24"/>
        </w:rPr>
        <w:t>,</w:t>
      </w:r>
      <w:r w:rsidRPr="003A2EA3">
        <w:rPr>
          <w:rFonts w:asciiTheme="minorHAnsi" w:hAnsiTheme="minorHAnsi"/>
          <w:sz w:val="24"/>
          <w:szCs w:val="24"/>
        </w:rPr>
        <w:t xml:space="preserve"> the </w:t>
      </w:r>
      <w:r w:rsidR="00F4070F" w:rsidRPr="003A2EA3">
        <w:rPr>
          <w:rFonts w:asciiTheme="minorHAnsi" w:hAnsiTheme="minorHAnsi"/>
          <w:sz w:val="24"/>
          <w:szCs w:val="24"/>
        </w:rPr>
        <w:t xml:space="preserve">cost-minimisation </w:t>
      </w:r>
      <w:r w:rsidRPr="003A2EA3">
        <w:rPr>
          <w:rFonts w:asciiTheme="minorHAnsi" w:hAnsiTheme="minorHAnsi"/>
          <w:sz w:val="24"/>
          <w:szCs w:val="24"/>
        </w:rPr>
        <w:t xml:space="preserve">analysis </w:t>
      </w:r>
      <w:r w:rsidR="0027436D" w:rsidRPr="003A2EA3">
        <w:rPr>
          <w:rFonts w:asciiTheme="minorHAnsi" w:hAnsiTheme="minorHAnsi"/>
          <w:sz w:val="24"/>
          <w:szCs w:val="24"/>
        </w:rPr>
        <w:t>w</w:t>
      </w:r>
      <w:r w:rsidRPr="003A2EA3">
        <w:rPr>
          <w:rFonts w:asciiTheme="minorHAnsi" w:hAnsiTheme="minorHAnsi"/>
          <w:sz w:val="24"/>
          <w:szCs w:val="24"/>
        </w:rPr>
        <w:t xml:space="preserve">as not </w:t>
      </w:r>
      <w:r w:rsidR="00FD62E5" w:rsidRPr="003A2EA3">
        <w:rPr>
          <w:rFonts w:asciiTheme="minorHAnsi" w:hAnsiTheme="minorHAnsi"/>
          <w:sz w:val="24"/>
          <w:szCs w:val="24"/>
        </w:rPr>
        <w:t xml:space="preserve">independently </w:t>
      </w:r>
      <w:r w:rsidRPr="003A2EA3">
        <w:rPr>
          <w:rFonts w:asciiTheme="minorHAnsi" w:hAnsiTheme="minorHAnsi"/>
          <w:sz w:val="24"/>
          <w:szCs w:val="24"/>
        </w:rPr>
        <w:t>verified.</w:t>
      </w:r>
    </w:p>
    <w:p w:rsidR="00C23918" w:rsidRPr="003A2EA3" w:rsidRDefault="00C23918" w:rsidP="00355AB8">
      <w:pPr>
        <w:rPr>
          <w:rFonts w:asciiTheme="minorHAnsi" w:hAnsiTheme="minorHAnsi"/>
        </w:rPr>
      </w:pPr>
    </w:p>
    <w:p w:rsidR="009B0F67" w:rsidRPr="00C27F96" w:rsidRDefault="009B0F67" w:rsidP="009960FB">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In the previous major submission considered by PBAC in </w:t>
      </w:r>
      <w:r w:rsidR="000267BB" w:rsidRPr="003A2EA3">
        <w:rPr>
          <w:rFonts w:asciiTheme="minorHAnsi" w:hAnsiTheme="minorHAnsi"/>
          <w:sz w:val="24"/>
          <w:szCs w:val="24"/>
        </w:rPr>
        <w:t>March 2017</w:t>
      </w:r>
      <w:r w:rsidRPr="003A2EA3">
        <w:rPr>
          <w:rFonts w:asciiTheme="minorHAnsi" w:hAnsiTheme="minorHAnsi"/>
          <w:sz w:val="24"/>
          <w:szCs w:val="24"/>
        </w:rPr>
        <w:t xml:space="preserve">, the submission presented a cost-effectiveness analysis against </w:t>
      </w:r>
      <w:r w:rsidR="000267BB" w:rsidRPr="003A2EA3">
        <w:rPr>
          <w:rFonts w:asciiTheme="minorHAnsi" w:hAnsiTheme="minorHAnsi"/>
          <w:sz w:val="24"/>
          <w:szCs w:val="24"/>
        </w:rPr>
        <w:t>best supportive care</w:t>
      </w:r>
      <w:r w:rsidR="00F4070F" w:rsidRPr="003A2EA3">
        <w:rPr>
          <w:rFonts w:asciiTheme="minorHAnsi" w:hAnsiTheme="minorHAnsi"/>
          <w:sz w:val="24"/>
          <w:szCs w:val="24"/>
        </w:rPr>
        <w:t xml:space="preserve"> for the </w:t>
      </w:r>
      <w:r w:rsidR="00F573B4" w:rsidRPr="003A2EA3">
        <w:rPr>
          <w:rFonts w:asciiTheme="minorHAnsi" w:hAnsiTheme="minorHAnsi"/>
          <w:sz w:val="24"/>
          <w:szCs w:val="24"/>
        </w:rPr>
        <w:t>highly refractory third</w:t>
      </w:r>
      <w:r w:rsidR="00F4070F" w:rsidRPr="003A2EA3">
        <w:rPr>
          <w:rFonts w:asciiTheme="minorHAnsi" w:hAnsiTheme="minorHAnsi"/>
          <w:sz w:val="24"/>
          <w:szCs w:val="24"/>
        </w:rPr>
        <w:t>-line population</w:t>
      </w:r>
      <w:r w:rsidRPr="003A2EA3">
        <w:rPr>
          <w:rFonts w:asciiTheme="minorHAnsi" w:hAnsiTheme="minorHAnsi"/>
          <w:sz w:val="24"/>
          <w:szCs w:val="24"/>
        </w:rPr>
        <w:t xml:space="preserve">. The minor resubmission </w:t>
      </w:r>
      <w:r w:rsidR="00FF2801" w:rsidRPr="003A2EA3">
        <w:rPr>
          <w:rFonts w:asciiTheme="minorHAnsi" w:hAnsiTheme="minorHAnsi"/>
          <w:sz w:val="24"/>
          <w:szCs w:val="24"/>
        </w:rPr>
        <w:t>did</w:t>
      </w:r>
      <w:r w:rsidRPr="003A2EA3">
        <w:rPr>
          <w:rFonts w:asciiTheme="minorHAnsi" w:hAnsiTheme="minorHAnsi"/>
          <w:sz w:val="24"/>
          <w:szCs w:val="24"/>
        </w:rPr>
        <w:t xml:space="preserve"> not alter the economic model structure from </w:t>
      </w:r>
      <w:r w:rsidR="000267BB" w:rsidRPr="003A2EA3">
        <w:rPr>
          <w:rFonts w:asciiTheme="minorHAnsi" w:hAnsiTheme="minorHAnsi"/>
          <w:sz w:val="24"/>
          <w:szCs w:val="24"/>
        </w:rPr>
        <w:t>March 2017</w:t>
      </w:r>
      <w:r w:rsidR="00F4070F" w:rsidRPr="003A2EA3">
        <w:rPr>
          <w:rFonts w:asciiTheme="minorHAnsi" w:hAnsiTheme="minorHAnsi"/>
          <w:sz w:val="24"/>
          <w:szCs w:val="24"/>
        </w:rPr>
        <w:t xml:space="preserve"> or the requested </w:t>
      </w:r>
      <w:r w:rsidR="003A2EA3">
        <w:rPr>
          <w:rFonts w:asciiTheme="minorHAnsi" w:hAnsiTheme="minorHAnsi"/>
          <w:sz w:val="24"/>
          <w:szCs w:val="24"/>
        </w:rPr>
        <w:t xml:space="preserve">effective </w:t>
      </w:r>
      <w:r w:rsidR="00F4070F" w:rsidRPr="003A2EA3">
        <w:rPr>
          <w:rFonts w:asciiTheme="minorHAnsi" w:hAnsiTheme="minorHAnsi"/>
          <w:sz w:val="24"/>
          <w:szCs w:val="24"/>
        </w:rPr>
        <w:t>price of $</w:t>
      </w:r>
      <w:r w:rsidR="00A5328F">
        <w:rPr>
          <w:rFonts w:asciiTheme="minorHAnsi" w:hAnsiTheme="minorHAnsi"/>
          <w:noProof/>
          <w:color w:val="000000"/>
          <w:sz w:val="24"/>
          <w:szCs w:val="24"/>
          <w:highlight w:val="black"/>
        </w:rPr>
        <w:t>''''''''''''''''</w:t>
      </w:r>
      <w:r w:rsidR="00F4070F" w:rsidRPr="003A2EA3">
        <w:rPr>
          <w:rFonts w:asciiTheme="minorHAnsi" w:hAnsiTheme="minorHAnsi"/>
          <w:sz w:val="24"/>
          <w:szCs w:val="24"/>
        </w:rPr>
        <w:t xml:space="preserve"> for </w:t>
      </w:r>
      <w:proofErr w:type="spellStart"/>
      <w:r w:rsidR="00F4070F" w:rsidRPr="003A2EA3">
        <w:rPr>
          <w:rFonts w:asciiTheme="minorHAnsi" w:hAnsiTheme="minorHAnsi"/>
          <w:sz w:val="24"/>
          <w:szCs w:val="24"/>
        </w:rPr>
        <w:t>venetoclax</w:t>
      </w:r>
      <w:proofErr w:type="spellEnd"/>
      <w:r w:rsidR="00F4070F" w:rsidRPr="003A2EA3">
        <w:rPr>
          <w:rFonts w:asciiTheme="minorHAnsi" w:hAnsiTheme="minorHAnsi"/>
          <w:sz w:val="24"/>
          <w:szCs w:val="24"/>
        </w:rPr>
        <w:t xml:space="preserve"> for this population</w:t>
      </w:r>
      <w:r w:rsidR="0057762D" w:rsidRPr="003A2EA3">
        <w:rPr>
          <w:rFonts w:asciiTheme="minorHAnsi" w:hAnsiTheme="minorHAnsi"/>
          <w:sz w:val="24"/>
          <w:szCs w:val="24"/>
        </w:rPr>
        <w:t xml:space="preserve">. </w:t>
      </w:r>
      <w:r w:rsidR="00FD62E5" w:rsidRPr="003A2EA3">
        <w:rPr>
          <w:rFonts w:asciiTheme="minorHAnsi" w:hAnsiTheme="minorHAnsi"/>
          <w:sz w:val="24"/>
          <w:szCs w:val="24"/>
        </w:rPr>
        <w:t>H</w:t>
      </w:r>
      <w:r w:rsidR="00E47005" w:rsidRPr="003A2EA3">
        <w:rPr>
          <w:rFonts w:asciiTheme="minorHAnsi" w:hAnsiTheme="minorHAnsi"/>
          <w:sz w:val="24"/>
          <w:szCs w:val="24"/>
        </w:rPr>
        <w:t>owever</w:t>
      </w:r>
      <w:r w:rsidR="003A2EA3">
        <w:rPr>
          <w:rFonts w:asciiTheme="minorHAnsi" w:hAnsiTheme="minorHAnsi"/>
          <w:sz w:val="24"/>
          <w:szCs w:val="24"/>
        </w:rPr>
        <w:t>,</w:t>
      </w:r>
      <w:r w:rsidR="00E47005" w:rsidRPr="003A2EA3">
        <w:rPr>
          <w:rFonts w:asciiTheme="minorHAnsi" w:hAnsiTheme="minorHAnsi"/>
          <w:sz w:val="24"/>
          <w:szCs w:val="24"/>
        </w:rPr>
        <w:t xml:space="preserve"> several </w:t>
      </w:r>
      <w:r w:rsidR="00F4070F" w:rsidRPr="003A2EA3">
        <w:rPr>
          <w:rFonts w:asciiTheme="minorHAnsi" w:hAnsiTheme="minorHAnsi"/>
          <w:sz w:val="24"/>
          <w:szCs w:val="24"/>
        </w:rPr>
        <w:t xml:space="preserve">other </w:t>
      </w:r>
      <w:r w:rsidR="00E47005" w:rsidRPr="003A2EA3">
        <w:rPr>
          <w:rFonts w:asciiTheme="minorHAnsi" w:hAnsiTheme="minorHAnsi"/>
          <w:sz w:val="24"/>
          <w:szCs w:val="24"/>
        </w:rPr>
        <w:t xml:space="preserve">input costs have changed since the original submission </w:t>
      </w:r>
      <w:r w:rsidR="00F4070F" w:rsidRPr="003A2EA3">
        <w:rPr>
          <w:rFonts w:asciiTheme="minorHAnsi" w:hAnsiTheme="minorHAnsi"/>
          <w:sz w:val="24"/>
          <w:szCs w:val="24"/>
        </w:rPr>
        <w:t xml:space="preserve">and </w:t>
      </w:r>
      <w:r w:rsidR="00E47005" w:rsidRPr="003A2EA3">
        <w:rPr>
          <w:rFonts w:asciiTheme="minorHAnsi" w:hAnsiTheme="minorHAnsi"/>
          <w:sz w:val="24"/>
          <w:szCs w:val="24"/>
        </w:rPr>
        <w:t xml:space="preserve">the </w:t>
      </w:r>
      <w:r w:rsidR="00FD62E5" w:rsidRPr="003A2EA3">
        <w:rPr>
          <w:rFonts w:asciiTheme="minorHAnsi" w:hAnsiTheme="minorHAnsi"/>
          <w:sz w:val="24"/>
          <w:szCs w:val="24"/>
        </w:rPr>
        <w:t>re</w:t>
      </w:r>
      <w:r w:rsidR="00E47005" w:rsidRPr="003A2EA3">
        <w:rPr>
          <w:rFonts w:asciiTheme="minorHAnsi" w:hAnsiTheme="minorHAnsi"/>
          <w:sz w:val="24"/>
          <w:szCs w:val="24"/>
        </w:rPr>
        <w:t>submission</w:t>
      </w:r>
      <w:r w:rsidRPr="003A2EA3">
        <w:rPr>
          <w:rFonts w:asciiTheme="minorHAnsi" w:hAnsiTheme="minorHAnsi"/>
          <w:sz w:val="24"/>
          <w:szCs w:val="24"/>
        </w:rPr>
        <w:t xml:space="preserve"> </w:t>
      </w:r>
      <w:r w:rsidR="00FF2801" w:rsidRPr="003A2EA3">
        <w:rPr>
          <w:rFonts w:asciiTheme="minorHAnsi" w:hAnsiTheme="minorHAnsi"/>
          <w:sz w:val="24"/>
          <w:szCs w:val="24"/>
        </w:rPr>
        <w:t>sought</w:t>
      </w:r>
      <w:r w:rsidR="00C00DA7" w:rsidRPr="003A2EA3">
        <w:rPr>
          <w:rFonts w:asciiTheme="minorHAnsi" w:hAnsiTheme="minorHAnsi"/>
          <w:sz w:val="24"/>
          <w:szCs w:val="24"/>
        </w:rPr>
        <w:t xml:space="preserve"> to respecify the best estimate of the base case ICER by</w:t>
      </w:r>
      <w:r w:rsidR="00E47005" w:rsidRPr="00C27F96">
        <w:rPr>
          <w:rFonts w:asciiTheme="minorHAnsi" w:hAnsiTheme="minorHAnsi"/>
          <w:sz w:val="24"/>
          <w:szCs w:val="24"/>
        </w:rPr>
        <w:t xml:space="preserve"> s</w:t>
      </w:r>
      <w:r w:rsidR="00E47005" w:rsidRPr="003A2EA3">
        <w:rPr>
          <w:rFonts w:asciiTheme="minorHAnsi" w:hAnsiTheme="minorHAnsi"/>
          <w:sz w:val="24"/>
          <w:szCs w:val="24"/>
        </w:rPr>
        <w:t xml:space="preserve">ubstituting these values, along with using the most efficient combination of rituximab vials in the initial dose, into the previously submitted model. The resultant ICER increased from </w:t>
      </w:r>
      <w:r w:rsidR="009960FB" w:rsidRPr="009960FB">
        <w:rPr>
          <w:rFonts w:asciiTheme="minorHAnsi" w:hAnsiTheme="minorHAnsi"/>
          <w:sz w:val="24"/>
          <w:szCs w:val="24"/>
        </w:rPr>
        <w:t>$75,000/QALY – $105,000/QALY</w:t>
      </w:r>
      <w:r w:rsidR="004D18F9">
        <w:rPr>
          <w:rFonts w:asciiTheme="minorHAnsi" w:hAnsiTheme="minorHAnsi"/>
          <w:sz w:val="24"/>
          <w:szCs w:val="24"/>
        </w:rPr>
        <w:t xml:space="preserve"> </w:t>
      </w:r>
      <w:r w:rsidR="00E47005" w:rsidRPr="003A2EA3">
        <w:rPr>
          <w:rFonts w:asciiTheme="minorHAnsi" w:hAnsiTheme="minorHAnsi"/>
          <w:sz w:val="24"/>
          <w:szCs w:val="24"/>
        </w:rPr>
        <w:t xml:space="preserve">in the March 2017 submission to </w:t>
      </w:r>
      <w:r w:rsidR="009960FB" w:rsidRPr="009960FB">
        <w:rPr>
          <w:rFonts w:asciiTheme="minorHAnsi" w:hAnsiTheme="minorHAnsi"/>
          <w:sz w:val="24"/>
          <w:szCs w:val="24"/>
        </w:rPr>
        <w:t>$75,000/QALY – $105,000/QALY</w:t>
      </w:r>
      <w:r w:rsidR="00E47005" w:rsidRPr="003A2EA3">
        <w:rPr>
          <w:rFonts w:asciiTheme="minorHAnsi" w:hAnsiTheme="minorHAnsi"/>
          <w:sz w:val="24"/>
          <w:szCs w:val="24"/>
        </w:rPr>
        <w:t>.</w:t>
      </w:r>
      <w:r w:rsidR="00C00DA7" w:rsidRPr="003A2EA3">
        <w:rPr>
          <w:rFonts w:asciiTheme="minorHAnsi" w:hAnsiTheme="minorHAnsi"/>
          <w:sz w:val="24"/>
          <w:szCs w:val="24"/>
        </w:rPr>
        <w:t xml:space="preserve"> The respecified base case ICER </w:t>
      </w:r>
      <w:r w:rsidR="00FF2801" w:rsidRPr="003A2EA3">
        <w:rPr>
          <w:rFonts w:asciiTheme="minorHAnsi" w:hAnsiTheme="minorHAnsi"/>
          <w:sz w:val="24"/>
          <w:szCs w:val="24"/>
        </w:rPr>
        <w:t xml:space="preserve">was </w:t>
      </w:r>
      <w:r w:rsidR="00C00DA7" w:rsidRPr="003A2EA3">
        <w:rPr>
          <w:rFonts w:asciiTheme="minorHAnsi" w:hAnsiTheme="minorHAnsi"/>
          <w:sz w:val="24"/>
          <w:szCs w:val="24"/>
        </w:rPr>
        <w:t xml:space="preserve">not </w:t>
      </w:r>
      <w:r w:rsidR="0027436D" w:rsidRPr="003A2EA3">
        <w:rPr>
          <w:rFonts w:asciiTheme="minorHAnsi" w:hAnsiTheme="minorHAnsi"/>
          <w:sz w:val="24"/>
          <w:szCs w:val="24"/>
        </w:rPr>
        <w:t xml:space="preserve">independently </w:t>
      </w:r>
      <w:r w:rsidR="00C00DA7" w:rsidRPr="003A2EA3">
        <w:rPr>
          <w:rFonts w:asciiTheme="minorHAnsi" w:hAnsiTheme="minorHAnsi"/>
          <w:sz w:val="24"/>
          <w:szCs w:val="24"/>
        </w:rPr>
        <w:t>verified</w:t>
      </w:r>
      <w:r w:rsidR="0019263E" w:rsidRPr="003A2EA3">
        <w:rPr>
          <w:rFonts w:asciiTheme="minorHAnsi" w:hAnsiTheme="minorHAnsi"/>
          <w:sz w:val="24"/>
          <w:szCs w:val="24"/>
        </w:rPr>
        <w:t>.</w:t>
      </w:r>
      <w:r w:rsidR="009564F3" w:rsidRPr="003A2EA3">
        <w:rPr>
          <w:rFonts w:asciiTheme="minorHAnsi" w:hAnsiTheme="minorHAnsi"/>
          <w:sz w:val="24"/>
          <w:szCs w:val="24"/>
        </w:rPr>
        <w:t xml:space="preserve"> </w:t>
      </w:r>
      <w:r w:rsidR="0019263E" w:rsidRPr="003A2EA3">
        <w:rPr>
          <w:rFonts w:asciiTheme="minorHAnsi" w:hAnsiTheme="minorHAnsi"/>
          <w:sz w:val="24"/>
          <w:szCs w:val="24"/>
        </w:rPr>
        <w:t>T</w:t>
      </w:r>
      <w:r w:rsidR="009564F3" w:rsidRPr="003A2EA3">
        <w:rPr>
          <w:rFonts w:asciiTheme="minorHAnsi" w:hAnsiTheme="minorHAnsi"/>
          <w:sz w:val="24"/>
          <w:szCs w:val="24"/>
        </w:rPr>
        <w:t xml:space="preserve">he PBAC </w:t>
      </w:r>
      <w:r w:rsidR="0027436D" w:rsidRPr="003A2EA3">
        <w:rPr>
          <w:rFonts w:asciiTheme="minorHAnsi" w:hAnsiTheme="minorHAnsi"/>
          <w:sz w:val="24"/>
          <w:szCs w:val="24"/>
        </w:rPr>
        <w:t xml:space="preserve">recalled that it had </w:t>
      </w:r>
      <w:r w:rsidR="009564F3" w:rsidRPr="003A2EA3">
        <w:rPr>
          <w:rFonts w:asciiTheme="minorHAnsi" w:hAnsiTheme="minorHAnsi"/>
          <w:sz w:val="24"/>
          <w:szCs w:val="24"/>
        </w:rPr>
        <w:t xml:space="preserve">considered that the March 2017 ICER </w:t>
      </w:r>
      <w:r w:rsidR="0027436D" w:rsidRPr="003A2EA3">
        <w:rPr>
          <w:rFonts w:asciiTheme="minorHAnsi" w:hAnsiTheme="minorHAnsi"/>
          <w:sz w:val="24"/>
          <w:szCs w:val="24"/>
        </w:rPr>
        <w:t xml:space="preserve">could </w:t>
      </w:r>
      <w:r w:rsidR="00FE42B6" w:rsidRPr="003A2EA3">
        <w:rPr>
          <w:rFonts w:asciiTheme="minorHAnsi" w:hAnsiTheme="minorHAnsi"/>
          <w:sz w:val="24"/>
          <w:szCs w:val="24"/>
        </w:rPr>
        <w:t xml:space="preserve">not </w:t>
      </w:r>
      <w:r w:rsidR="0027436D" w:rsidRPr="003A2EA3">
        <w:rPr>
          <w:rFonts w:asciiTheme="minorHAnsi" w:hAnsiTheme="minorHAnsi"/>
          <w:sz w:val="24"/>
          <w:szCs w:val="24"/>
        </w:rPr>
        <w:t>be relied upon</w:t>
      </w:r>
      <w:r w:rsidR="009564F3" w:rsidRPr="003A2EA3">
        <w:rPr>
          <w:rFonts w:asciiTheme="minorHAnsi" w:hAnsiTheme="minorHAnsi"/>
          <w:sz w:val="24"/>
          <w:szCs w:val="24"/>
        </w:rPr>
        <w:t xml:space="preserve"> </w:t>
      </w:r>
      <w:r w:rsidR="0019263E" w:rsidRPr="003A2EA3">
        <w:rPr>
          <w:rFonts w:asciiTheme="minorHAnsi" w:hAnsiTheme="minorHAnsi"/>
          <w:sz w:val="24"/>
          <w:szCs w:val="24"/>
        </w:rPr>
        <w:t>due to uncertainty regarding modelled survival data (particularly treatment efficacy estimates)</w:t>
      </w:r>
      <w:r w:rsidR="00C00DA7" w:rsidRPr="003A2EA3">
        <w:rPr>
          <w:rFonts w:asciiTheme="minorHAnsi" w:hAnsiTheme="minorHAnsi"/>
          <w:sz w:val="24"/>
          <w:szCs w:val="24"/>
        </w:rPr>
        <w:t>.</w:t>
      </w:r>
      <w:r w:rsidR="008756DA" w:rsidRPr="003A2EA3">
        <w:rPr>
          <w:rFonts w:asciiTheme="minorHAnsi" w:hAnsiTheme="minorHAnsi"/>
          <w:sz w:val="24"/>
          <w:szCs w:val="24"/>
        </w:rPr>
        <w:t xml:space="preserve"> In addition, the PBAC considered that this economic evaluation was no longer relevant given its view that </w:t>
      </w:r>
      <w:proofErr w:type="spellStart"/>
      <w:r w:rsidR="008756DA" w:rsidRPr="003A2EA3">
        <w:rPr>
          <w:rFonts w:asciiTheme="minorHAnsi" w:hAnsiTheme="minorHAnsi"/>
          <w:sz w:val="24"/>
          <w:szCs w:val="24"/>
        </w:rPr>
        <w:t>idelalisib</w:t>
      </w:r>
      <w:proofErr w:type="spellEnd"/>
      <w:r w:rsidR="008756DA" w:rsidRPr="003A2EA3">
        <w:rPr>
          <w:rFonts w:asciiTheme="minorHAnsi" w:hAnsiTheme="minorHAnsi"/>
          <w:sz w:val="24"/>
          <w:szCs w:val="24"/>
        </w:rPr>
        <w:t xml:space="preserve"> is now the appropriate comparator in this setting rather than BSC.</w:t>
      </w:r>
    </w:p>
    <w:p w:rsidR="00F4070F" w:rsidRPr="003A2EA3" w:rsidRDefault="00F4070F" w:rsidP="00F4070F">
      <w:pPr>
        <w:rPr>
          <w:rFonts w:asciiTheme="minorHAnsi" w:hAnsiTheme="minorHAnsi"/>
        </w:rPr>
      </w:pPr>
    </w:p>
    <w:p w:rsidR="00F4070F" w:rsidRPr="003A2EA3" w:rsidRDefault="00F4070F" w:rsidP="0019263E">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27436D" w:rsidRPr="003A2EA3">
        <w:rPr>
          <w:rFonts w:asciiTheme="minorHAnsi" w:hAnsiTheme="minorHAnsi"/>
          <w:sz w:val="24"/>
          <w:szCs w:val="24"/>
        </w:rPr>
        <w:t xml:space="preserve">minor </w:t>
      </w:r>
      <w:r w:rsidRPr="003A2EA3">
        <w:rPr>
          <w:rFonts w:asciiTheme="minorHAnsi" w:hAnsiTheme="minorHAnsi"/>
          <w:sz w:val="24"/>
          <w:szCs w:val="24"/>
        </w:rPr>
        <w:t xml:space="preserve">resubmission did not </w:t>
      </w:r>
      <w:r w:rsidR="00F573B4" w:rsidRPr="003A2EA3">
        <w:rPr>
          <w:rFonts w:asciiTheme="minorHAnsi" w:hAnsiTheme="minorHAnsi"/>
          <w:sz w:val="24"/>
          <w:szCs w:val="24"/>
        </w:rPr>
        <w:t xml:space="preserve">indicate whether the revised effective price from a fully informed cost-minimisation approach would then also be applied to this second population (which would produce a more acceptable ICER). Alternatively, the resubmission did not </w:t>
      </w:r>
      <w:r w:rsidRPr="003A2EA3">
        <w:rPr>
          <w:rFonts w:asciiTheme="minorHAnsi" w:hAnsiTheme="minorHAnsi"/>
          <w:sz w:val="24"/>
          <w:szCs w:val="24"/>
        </w:rPr>
        <w:t xml:space="preserve">specify how the requested </w:t>
      </w:r>
      <w:r w:rsidR="003A2EA3">
        <w:rPr>
          <w:rFonts w:asciiTheme="minorHAnsi" w:hAnsiTheme="minorHAnsi"/>
          <w:sz w:val="24"/>
          <w:szCs w:val="24"/>
        </w:rPr>
        <w:t>S</w:t>
      </w:r>
      <w:r w:rsidR="003A2EA3" w:rsidRPr="003A2EA3">
        <w:rPr>
          <w:rFonts w:asciiTheme="minorHAnsi" w:hAnsiTheme="minorHAnsi"/>
          <w:sz w:val="24"/>
          <w:szCs w:val="24"/>
        </w:rPr>
        <w:t xml:space="preserve">pecial </w:t>
      </w:r>
      <w:r w:rsidR="003A2EA3">
        <w:rPr>
          <w:rFonts w:asciiTheme="minorHAnsi" w:hAnsiTheme="minorHAnsi"/>
          <w:sz w:val="24"/>
          <w:szCs w:val="24"/>
        </w:rPr>
        <w:t>P</w:t>
      </w:r>
      <w:r w:rsidR="003A2EA3" w:rsidRPr="003A2EA3">
        <w:rPr>
          <w:rFonts w:asciiTheme="minorHAnsi" w:hAnsiTheme="minorHAnsi"/>
          <w:sz w:val="24"/>
          <w:szCs w:val="24"/>
        </w:rPr>
        <w:t xml:space="preserve">ricing </w:t>
      </w:r>
      <w:r w:rsidR="003A2EA3">
        <w:rPr>
          <w:rFonts w:asciiTheme="minorHAnsi" w:hAnsiTheme="minorHAnsi"/>
          <w:sz w:val="24"/>
          <w:szCs w:val="24"/>
        </w:rPr>
        <w:t>A</w:t>
      </w:r>
      <w:r w:rsidR="003A2EA3" w:rsidRPr="003A2EA3">
        <w:rPr>
          <w:rFonts w:asciiTheme="minorHAnsi" w:hAnsiTheme="minorHAnsi"/>
          <w:sz w:val="24"/>
          <w:szCs w:val="24"/>
        </w:rPr>
        <w:t xml:space="preserve">rrangement </w:t>
      </w:r>
      <w:r w:rsidRPr="00C27F96">
        <w:rPr>
          <w:rFonts w:asciiTheme="minorHAnsi" w:hAnsiTheme="minorHAnsi"/>
          <w:sz w:val="24"/>
          <w:szCs w:val="24"/>
        </w:rPr>
        <w:t>would resolve having two effective prices across two populations.</w:t>
      </w:r>
      <w:r w:rsidR="00D33C24" w:rsidRPr="003A2EA3">
        <w:rPr>
          <w:rFonts w:asciiTheme="minorHAnsi" w:hAnsiTheme="minorHAnsi"/>
          <w:sz w:val="24"/>
          <w:szCs w:val="24"/>
        </w:rPr>
        <w:t xml:space="preserve"> In </w:t>
      </w:r>
      <w:r w:rsidR="003742DB" w:rsidRPr="003A2EA3">
        <w:rPr>
          <w:rFonts w:asciiTheme="minorHAnsi" w:hAnsiTheme="minorHAnsi"/>
          <w:sz w:val="24"/>
          <w:szCs w:val="24"/>
        </w:rPr>
        <w:t>its</w:t>
      </w:r>
      <w:r w:rsidR="00D33C24" w:rsidRPr="003A2EA3">
        <w:rPr>
          <w:rFonts w:asciiTheme="minorHAnsi" w:hAnsiTheme="minorHAnsi"/>
          <w:sz w:val="24"/>
          <w:szCs w:val="24"/>
        </w:rPr>
        <w:t xml:space="preserve"> pre-PBAC response</w:t>
      </w:r>
      <w:r w:rsidR="003742DB" w:rsidRPr="003A2EA3">
        <w:rPr>
          <w:rFonts w:asciiTheme="minorHAnsi" w:hAnsiTheme="minorHAnsi"/>
          <w:sz w:val="24"/>
          <w:szCs w:val="24"/>
        </w:rPr>
        <w:t>,</w:t>
      </w:r>
      <w:r w:rsidR="00D33C24" w:rsidRPr="003A2EA3">
        <w:rPr>
          <w:rFonts w:asciiTheme="minorHAnsi" w:hAnsiTheme="minorHAnsi"/>
          <w:sz w:val="24"/>
          <w:szCs w:val="24"/>
        </w:rPr>
        <w:t xml:space="preserve"> the sponsor indicated that </w:t>
      </w:r>
      <w:r w:rsidR="0027436D" w:rsidRPr="003A2EA3">
        <w:rPr>
          <w:rFonts w:asciiTheme="minorHAnsi" w:hAnsiTheme="minorHAnsi"/>
          <w:sz w:val="24"/>
          <w:szCs w:val="24"/>
        </w:rPr>
        <w:t>it was</w:t>
      </w:r>
      <w:r w:rsidR="00D33C24" w:rsidRPr="003A2EA3">
        <w:rPr>
          <w:rFonts w:asciiTheme="minorHAnsi" w:hAnsiTheme="minorHAnsi"/>
          <w:sz w:val="24"/>
          <w:szCs w:val="24"/>
        </w:rPr>
        <w:t xml:space="preserve"> willing to accept the cost</w:t>
      </w:r>
      <w:r w:rsidR="0027436D" w:rsidRPr="003A2EA3">
        <w:rPr>
          <w:rFonts w:asciiTheme="minorHAnsi" w:hAnsiTheme="minorHAnsi"/>
          <w:sz w:val="24"/>
          <w:szCs w:val="24"/>
        </w:rPr>
        <w:t>-</w:t>
      </w:r>
      <w:r w:rsidR="00D33C24" w:rsidRPr="003A2EA3">
        <w:rPr>
          <w:rFonts w:asciiTheme="minorHAnsi" w:hAnsiTheme="minorHAnsi"/>
          <w:sz w:val="24"/>
          <w:szCs w:val="24"/>
        </w:rPr>
        <w:t xml:space="preserve">minimised price against </w:t>
      </w:r>
      <w:proofErr w:type="spellStart"/>
      <w:r w:rsidR="00D33C24" w:rsidRPr="003A2EA3">
        <w:rPr>
          <w:rFonts w:asciiTheme="minorHAnsi" w:hAnsiTheme="minorHAnsi"/>
          <w:sz w:val="24"/>
          <w:szCs w:val="24"/>
        </w:rPr>
        <w:t>ibrutinib</w:t>
      </w:r>
      <w:proofErr w:type="spellEnd"/>
      <w:r w:rsidR="00D33C24" w:rsidRPr="003A2EA3">
        <w:rPr>
          <w:rFonts w:asciiTheme="minorHAnsi" w:hAnsiTheme="minorHAnsi"/>
          <w:sz w:val="24"/>
          <w:szCs w:val="24"/>
        </w:rPr>
        <w:t xml:space="preserve"> in both populations for which listing was proposed.</w:t>
      </w:r>
    </w:p>
    <w:p w:rsidR="0009171E" w:rsidRPr="003A2EA3" w:rsidRDefault="0009171E" w:rsidP="0009171E">
      <w:pPr>
        <w:rPr>
          <w:rFonts w:asciiTheme="minorHAnsi" w:hAnsiTheme="minorHAnsi"/>
        </w:rPr>
      </w:pPr>
    </w:p>
    <w:p w:rsidR="0009171E" w:rsidRPr="003A2EA3" w:rsidRDefault="0009171E" w:rsidP="0019263E">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did not support the cost-minimisation </w:t>
      </w:r>
      <w:r w:rsidR="0027436D" w:rsidRPr="003A2EA3">
        <w:rPr>
          <w:rFonts w:asciiTheme="minorHAnsi" w:hAnsiTheme="minorHAnsi"/>
          <w:sz w:val="24"/>
          <w:szCs w:val="24"/>
        </w:rPr>
        <w:t>approach against</w:t>
      </w:r>
      <w:r w:rsidRPr="003A2EA3">
        <w:rPr>
          <w:rFonts w:asciiTheme="minorHAnsi" w:hAnsiTheme="minorHAnsi"/>
          <w:sz w:val="24"/>
          <w:szCs w:val="24"/>
        </w:rPr>
        <w:t xml:space="preserve">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 xml:space="preserve"> as the</w:t>
      </w:r>
      <w:r w:rsidR="0047714C" w:rsidRPr="003A2EA3">
        <w:rPr>
          <w:rFonts w:asciiTheme="minorHAnsi" w:hAnsiTheme="minorHAnsi"/>
          <w:sz w:val="24"/>
          <w:szCs w:val="24"/>
        </w:rPr>
        <w:t xml:space="preserve"> Committee</w:t>
      </w:r>
      <w:r w:rsidRPr="003A2EA3">
        <w:rPr>
          <w:rFonts w:asciiTheme="minorHAnsi" w:hAnsiTheme="minorHAnsi"/>
          <w:sz w:val="24"/>
          <w:szCs w:val="24"/>
        </w:rPr>
        <w:t xml:space="preserve"> did not consider that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was non</w:t>
      </w:r>
      <w:r w:rsidR="00F16F04">
        <w:rPr>
          <w:rFonts w:asciiTheme="minorHAnsi" w:hAnsiTheme="minorHAnsi"/>
          <w:sz w:val="24"/>
          <w:szCs w:val="24"/>
        </w:rPr>
        <w:t>-</w:t>
      </w:r>
      <w:r w:rsidRPr="003A2EA3">
        <w:rPr>
          <w:rFonts w:asciiTheme="minorHAnsi" w:hAnsiTheme="minorHAnsi"/>
          <w:sz w:val="24"/>
          <w:szCs w:val="24"/>
        </w:rPr>
        <w:t xml:space="preserve">inferior to </w:t>
      </w:r>
      <w:proofErr w:type="spellStart"/>
      <w:r w:rsidRPr="003A2EA3">
        <w:rPr>
          <w:rFonts w:asciiTheme="minorHAnsi" w:hAnsiTheme="minorHAnsi"/>
          <w:sz w:val="24"/>
          <w:szCs w:val="24"/>
        </w:rPr>
        <w:t>ibrutinib</w:t>
      </w:r>
      <w:proofErr w:type="spellEnd"/>
      <w:r w:rsidRPr="003A2EA3">
        <w:rPr>
          <w:rFonts w:asciiTheme="minorHAnsi" w:hAnsiTheme="minorHAnsi"/>
          <w:sz w:val="24"/>
          <w:szCs w:val="24"/>
        </w:rPr>
        <w:t>.</w:t>
      </w:r>
    </w:p>
    <w:p w:rsidR="00D33C24" w:rsidRPr="003A2EA3" w:rsidRDefault="00D33C24" w:rsidP="00D33C24">
      <w:pPr>
        <w:rPr>
          <w:rFonts w:asciiTheme="minorHAnsi" w:hAnsiTheme="minorHAnsi"/>
        </w:rPr>
      </w:pPr>
    </w:p>
    <w:p w:rsidR="00D33C24" w:rsidRPr="003A2EA3" w:rsidRDefault="00D33C24" w:rsidP="00C85E84">
      <w:pPr>
        <w:pStyle w:val="ListParagraph"/>
        <w:numPr>
          <w:ilvl w:val="1"/>
          <w:numId w:val="5"/>
        </w:numPr>
        <w:rPr>
          <w:rFonts w:asciiTheme="minorHAnsi" w:hAnsiTheme="minorHAnsi"/>
          <w:sz w:val="24"/>
          <w:szCs w:val="24"/>
        </w:rPr>
      </w:pPr>
      <w:r w:rsidRPr="003A2EA3">
        <w:rPr>
          <w:rFonts w:asciiTheme="minorHAnsi" w:hAnsiTheme="minorHAnsi"/>
          <w:sz w:val="24"/>
          <w:szCs w:val="24"/>
        </w:rPr>
        <w:t>The PBAC considered that</w:t>
      </w:r>
      <w:r w:rsidR="00FE42B6" w:rsidRPr="003A2EA3">
        <w:rPr>
          <w:rFonts w:asciiTheme="minorHAnsi" w:hAnsiTheme="minorHAnsi"/>
          <w:sz w:val="24"/>
          <w:szCs w:val="24"/>
        </w:rPr>
        <w:t xml:space="preserve">, on the basis of the clinical studies provided,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should be cost minimised against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t>
      </w:r>
      <w:r w:rsidR="008756DA" w:rsidRPr="003A2EA3">
        <w:rPr>
          <w:rFonts w:asciiTheme="minorHAnsi" w:hAnsiTheme="minorHAnsi"/>
          <w:sz w:val="24"/>
          <w:szCs w:val="24"/>
        </w:rPr>
        <w:t xml:space="preserve">with rituximab </w:t>
      </w:r>
      <w:r w:rsidR="00FE42B6" w:rsidRPr="003A2EA3">
        <w:rPr>
          <w:rFonts w:asciiTheme="minorHAnsi" w:hAnsiTheme="minorHAnsi"/>
          <w:sz w:val="24"/>
          <w:szCs w:val="24"/>
        </w:rPr>
        <w:t>on the basis</w:t>
      </w:r>
      <w:r w:rsidR="0032430E" w:rsidRPr="003A2EA3">
        <w:rPr>
          <w:rFonts w:asciiTheme="minorHAnsi" w:hAnsiTheme="minorHAnsi"/>
          <w:sz w:val="24"/>
          <w:szCs w:val="24"/>
        </w:rPr>
        <w:t xml:space="preserve"> </w:t>
      </w:r>
      <w:r w:rsidR="00851918" w:rsidRPr="003A2EA3">
        <w:rPr>
          <w:rFonts w:asciiTheme="minorHAnsi" w:hAnsiTheme="minorHAnsi"/>
          <w:sz w:val="24"/>
          <w:szCs w:val="24"/>
        </w:rPr>
        <w:t xml:space="preserve">that 400 mg/day </w:t>
      </w:r>
      <w:proofErr w:type="spellStart"/>
      <w:r w:rsidR="00851918" w:rsidRPr="003A2EA3">
        <w:rPr>
          <w:rFonts w:asciiTheme="minorHAnsi" w:hAnsiTheme="minorHAnsi"/>
          <w:sz w:val="24"/>
          <w:szCs w:val="24"/>
        </w:rPr>
        <w:t>venetoclax</w:t>
      </w:r>
      <w:proofErr w:type="spellEnd"/>
      <w:r w:rsidR="00851918" w:rsidRPr="003A2EA3">
        <w:rPr>
          <w:rFonts w:asciiTheme="minorHAnsi" w:hAnsiTheme="minorHAnsi"/>
          <w:sz w:val="24"/>
          <w:szCs w:val="24"/>
        </w:rPr>
        <w:t xml:space="preserve"> </w:t>
      </w:r>
      <w:r w:rsidR="00017DFD" w:rsidRPr="003A2EA3">
        <w:rPr>
          <w:rFonts w:asciiTheme="minorHAnsi" w:hAnsiTheme="minorHAnsi"/>
          <w:sz w:val="24"/>
          <w:szCs w:val="24"/>
        </w:rPr>
        <w:t>for 2</w:t>
      </w:r>
      <w:r w:rsidR="008E01E3" w:rsidRPr="003A2EA3">
        <w:rPr>
          <w:rFonts w:asciiTheme="minorHAnsi" w:hAnsiTheme="minorHAnsi"/>
          <w:sz w:val="24"/>
          <w:szCs w:val="24"/>
        </w:rPr>
        <w:t>4</w:t>
      </w:r>
      <w:r w:rsidR="00017DFD" w:rsidRPr="003A2EA3">
        <w:rPr>
          <w:rFonts w:asciiTheme="minorHAnsi" w:hAnsiTheme="minorHAnsi"/>
          <w:sz w:val="24"/>
          <w:szCs w:val="24"/>
        </w:rPr>
        <w:t xml:space="preserve"> months </w:t>
      </w:r>
      <w:r w:rsidR="00FE42B6" w:rsidRPr="003A2EA3">
        <w:rPr>
          <w:rFonts w:asciiTheme="minorHAnsi" w:hAnsiTheme="minorHAnsi"/>
          <w:sz w:val="24"/>
          <w:szCs w:val="24"/>
        </w:rPr>
        <w:t xml:space="preserve">and </w:t>
      </w:r>
      <w:r w:rsidR="00851918" w:rsidRPr="003A2EA3">
        <w:rPr>
          <w:rFonts w:asciiTheme="minorHAnsi" w:hAnsiTheme="minorHAnsi"/>
          <w:sz w:val="24"/>
          <w:szCs w:val="24"/>
        </w:rPr>
        <w:t xml:space="preserve">300 mg/day </w:t>
      </w:r>
      <w:proofErr w:type="spellStart"/>
      <w:r w:rsidR="00851918" w:rsidRPr="003A2EA3">
        <w:rPr>
          <w:rFonts w:asciiTheme="minorHAnsi" w:hAnsiTheme="minorHAnsi"/>
          <w:sz w:val="24"/>
          <w:szCs w:val="24"/>
        </w:rPr>
        <w:t>idelalisib</w:t>
      </w:r>
      <w:proofErr w:type="spellEnd"/>
      <w:r w:rsidR="00851918" w:rsidRPr="003A2EA3">
        <w:rPr>
          <w:rFonts w:asciiTheme="minorHAnsi" w:hAnsiTheme="minorHAnsi"/>
          <w:sz w:val="24"/>
          <w:szCs w:val="24"/>
        </w:rPr>
        <w:t xml:space="preserve"> </w:t>
      </w:r>
      <w:r w:rsidR="00017DFD" w:rsidRPr="003A2EA3">
        <w:rPr>
          <w:rFonts w:asciiTheme="minorHAnsi" w:hAnsiTheme="minorHAnsi"/>
          <w:sz w:val="24"/>
          <w:szCs w:val="24"/>
        </w:rPr>
        <w:t xml:space="preserve">for </w:t>
      </w:r>
      <w:r w:rsidR="00024A0B">
        <w:rPr>
          <w:rFonts w:asciiTheme="minorHAnsi" w:hAnsiTheme="minorHAnsi"/>
          <w:noProof/>
          <w:color w:val="000000"/>
          <w:sz w:val="24"/>
          <w:szCs w:val="24"/>
          <w:highlight w:val="black"/>
        </w:rPr>
        <w:t>'''''''''</w:t>
      </w:r>
      <w:r w:rsidR="00017DFD" w:rsidRPr="003A2EA3">
        <w:rPr>
          <w:rFonts w:asciiTheme="minorHAnsi" w:hAnsiTheme="minorHAnsi"/>
          <w:sz w:val="24"/>
          <w:szCs w:val="24"/>
        </w:rPr>
        <w:t xml:space="preserve"> months</w:t>
      </w:r>
      <w:r w:rsidR="00851918" w:rsidRPr="003A2EA3">
        <w:rPr>
          <w:rFonts w:asciiTheme="minorHAnsi" w:hAnsiTheme="minorHAnsi"/>
          <w:sz w:val="24"/>
          <w:szCs w:val="24"/>
        </w:rPr>
        <w:t xml:space="preserve"> </w:t>
      </w:r>
      <w:r w:rsidR="00960B25">
        <w:rPr>
          <w:rFonts w:asciiTheme="minorHAnsi" w:hAnsiTheme="minorHAnsi"/>
          <w:sz w:val="24"/>
          <w:szCs w:val="24"/>
        </w:rPr>
        <w:t xml:space="preserve">with </w:t>
      </w:r>
      <w:r w:rsidR="00851918" w:rsidRPr="003A2EA3">
        <w:rPr>
          <w:rFonts w:asciiTheme="minorHAnsi" w:hAnsiTheme="minorHAnsi"/>
          <w:sz w:val="24"/>
          <w:szCs w:val="24"/>
        </w:rPr>
        <w:t>rituximab 500 mg/m</w:t>
      </w:r>
      <w:r w:rsidR="00851918" w:rsidRPr="003A2EA3">
        <w:rPr>
          <w:rFonts w:asciiTheme="minorHAnsi" w:hAnsiTheme="minorHAnsi"/>
          <w:sz w:val="24"/>
          <w:szCs w:val="24"/>
          <w:vertAlign w:val="superscript"/>
        </w:rPr>
        <w:t>2</w:t>
      </w:r>
      <w:r w:rsidR="00851918" w:rsidRPr="003A2EA3">
        <w:rPr>
          <w:rFonts w:asciiTheme="minorHAnsi" w:hAnsiTheme="minorHAnsi"/>
          <w:sz w:val="24"/>
          <w:szCs w:val="24"/>
        </w:rPr>
        <w:t xml:space="preserve"> every 4 weeks for 6 months </w:t>
      </w:r>
      <w:r w:rsidR="00FE42B6" w:rsidRPr="003A2EA3">
        <w:rPr>
          <w:rFonts w:asciiTheme="minorHAnsi" w:hAnsiTheme="minorHAnsi"/>
          <w:sz w:val="24"/>
          <w:szCs w:val="24"/>
        </w:rPr>
        <w:t xml:space="preserve">are </w:t>
      </w:r>
      <w:proofErr w:type="spellStart"/>
      <w:r w:rsidR="00FE42B6" w:rsidRPr="003A2EA3">
        <w:rPr>
          <w:rFonts w:asciiTheme="minorHAnsi" w:hAnsiTheme="minorHAnsi"/>
          <w:sz w:val="24"/>
          <w:szCs w:val="24"/>
        </w:rPr>
        <w:t>equi</w:t>
      </w:r>
      <w:proofErr w:type="spellEnd"/>
      <w:r w:rsidR="00FE42B6" w:rsidRPr="003A2EA3">
        <w:rPr>
          <w:rFonts w:asciiTheme="minorHAnsi" w:hAnsiTheme="minorHAnsi"/>
          <w:sz w:val="24"/>
          <w:szCs w:val="24"/>
        </w:rPr>
        <w:t>-effective.</w:t>
      </w:r>
      <w:r w:rsidR="00851918" w:rsidRPr="003A2EA3">
        <w:rPr>
          <w:rFonts w:asciiTheme="minorHAnsi" w:hAnsiTheme="minorHAnsi"/>
          <w:sz w:val="24"/>
          <w:szCs w:val="24"/>
        </w:rPr>
        <w:t xml:space="preserve"> </w:t>
      </w:r>
      <w:r w:rsidR="008E01E3" w:rsidRPr="003A2EA3">
        <w:rPr>
          <w:rFonts w:asciiTheme="minorHAnsi" w:hAnsiTheme="minorHAnsi"/>
          <w:sz w:val="24"/>
          <w:szCs w:val="24"/>
        </w:rPr>
        <w:t>The</w:t>
      </w:r>
      <w:r w:rsidR="00017DFD" w:rsidRPr="003A2EA3">
        <w:rPr>
          <w:rFonts w:asciiTheme="minorHAnsi" w:hAnsiTheme="minorHAnsi"/>
          <w:sz w:val="24"/>
          <w:szCs w:val="24"/>
        </w:rPr>
        <w:t xml:space="preserve"> estimated d</w:t>
      </w:r>
      <w:r w:rsidR="007E38B1" w:rsidRPr="003A2EA3">
        <w:rPr>
          <w:rFonts w:asciiTheme="minorHAnsi" w:hAnsiTheme="minorHAnsi"/>
          <w:sz w:val="24"/>
          <w:szCs w:val="24"/>
        </w:rPr>
        <w:t>uration</w:t>
      </w:r>
      <w:r w:rsidR="00017DFD" w:rsidRPr="003A2EA3">
        <w:rPr>
          <w:rFonts w:asciiTheme="minorHAnsi" w:hAnsiTheme="minorHAnsi"/>
          <w:sz w:val="24"/>
          <w:szCs w:val="24"/>
        </w:rPr>
        <w:t>s</w:t>
      </w:r>
      <w:r w:rsidR="007E38B1" w:rsidRPr="003A2EA3">
        <w:rPr>
          <w:rFonts w:asciiTheme="minorHAnsi" w:hAnsiTheme="minorHAnsi"/>
          <w:sz w:val="24"/>
          <w:szCs w:val="24"/>
        </w:rPr>
        <w:t xml:space="preserve"> of treatment </w:t>
      </w:r>
      <w:r w:rsidR="00017DFD" w:rsidRPr="003A2EA3">
        <w:rPr>
          <w:rFonts w:asciiTheme="minorHAnsi" w:hAnsiTheme="minorHAnsi"/>
          <w:sz w:val="24"/>
          <w:szCs w:val="24"/>
        </w:rPr>
        <w:t xml:space="preserve">were </w:t>
      </w:r>
      <w:r w:rsidR="007E38B1" w:rsidRPr="003A2EA3">
        <w:rPr>
          <w:rFonts w:asciiTheme="minorHAnsi" w:hAnsiTheme="minorHAnsi"/>
          <w:sz w:val="24"/>
          <w:szCs w:val="24"/>
        </w:rPr>
        <w:t xml:space="preserve">derived from the </w:t>
      </w:r>
      <w:r w:rsidR="00017DFD" w:rsidRPr="003A2EA3">
        <w:rPr>
          <w:rFonts w:asciiTheme="minorHAnsi" w:hAnsiTheme="minorHAnsi"/>
          <w:sz w:val="24"/>
          <w:szCs w:val="24"/>
        </w:rPr>
        <w:t>sponsors’ modelled extrapolations from these studies</w:t>
      </w:r>
      <w:r w:rsidR="00733C83" w:rsidRPr="003A2EA3">
        <w:rPr>
          <w:rFonts w:asciiTheme="minorHAnsi" w:hAnsiTheme="minorHAnsi"/>
          <w:sz w:val="24"/>
          <w:szCs w:val="24"/>
        </w:rPr>
        <w:t>, with the numerical difference in duration</w:t>
      </w:r>
      <w:r w:rsidR="008E01E3" w:rsidRPr="003A2EA3">
        <w:rPr>
          <w:rFonts w:asciiTheme="minorHAnsi" w:hAnsiTheme="minorHAnsi"/>
          <w:sz w:val="24"/>
          <w:szCs w:val="24"/>
        </w:rPr>
        <w:t xml:space="preserve">s </w:t>
      </w:r>
      <w:r w:rsidR="00FE42B6" w:rsidRPr="003A2EA3">
        <w:rPr>
          <w:rFonts w:asciiTheme="minorHAnsi" w:hAnsiTheme="minorHAnsi"/>
          <w:sz w:val="24"/>
          <w:szCs w:val="24"/>
        </w:rPr>
        <w:t xml:space="preserve">falling </w:t>
      </w:r>
      <w:r w:rsidR="008E01E3" w:rsidRPr="003A2EA3">
        <w:rPr>
          <w:rFonts w:asciiTheme="minorHAnsi" w:hAnsiTheme="minorHAnsi"/>
          <w:sz w:val="24"/>
          <w:szCs w:val="24"/>
        </w:rPr>
        <w:t xml:space="preserve">within the variation that could be expected from the quality of the evidence available for the cost-minimisation </w:t>
      </w:r>
      <w:r w:rsidR="00FE42B6" w:rsidRPr="003A2EA3">
        <w:rPr>
          <w:rFonts w:asciiTheme="minorHAnsi" w:hAnsiTheme="minorHAnsi"/>
          <w:sz w:val="24"/>
          <w:szCs w:val="24"/>
        </w:rPr>
        <w:t xml:space="preserve">approach </w:t>
      </w:r>
      <w:r w:rsidR="008E01E3" w:rsidRPr="003A2EA3">
        <w:rPr>
          <w:rFonts w:asciiTheme="minorHAnsi" w:hAnsiTheme="minorHAnsi"/>
          <w:sz w:val="24"/>
          <w:szCs w:val="24"/>
        </w:rPr>
        <w:t>and a necessary consequence of needing to determine a basis for its calculation</w:t>
      </w:r>
      <w:r w:rsidR="00017DFD" w:rsidRPr="003A2EA3">
        <w:rPr>
          <w:rFonts w:asciiTheme="minorHAnsi" w:hAnsiTheme="minorHAnsi"/>
          <w:sz w:val="24"/>
          <w:szCs w:val="24"/>
        </w:rPr>
        <w:t>.</w:t>
      </w:r>
      <w:r w:rsidR="007E38B1" w:rsidRPr="003A2EA3">
        <w:rPr>
          <w:rFonts w:asciiTheme="minorHAnsi" w:hAnsiTheme="minorHAnsi"/>
          <w:sz w:val="24"/>
          <w:szCs w:val="24"/>
        </w:rPr>
        <w:t xml:space="preserve"> </w:t>
      </w:r>
      <w:r w:rsidR="0018238F" w:rsidRPr="003A2EA3">
        <w:rPr>
          <w:rFonts w:asciiTheme="minorHAnsi" w:hAnsiTheme="minorHAnsi"/>
          <w:sz w:val="24"/>
          <w:szCs w:val="24"/>
        </w:rPr>
        <w:t xml:space="preserve">The cost-minimisation approach should also take into consideration for </w:t>
      </w:r>
      <w:proofErr w:type="spellStart"/>
      <w:r w:rsidR="0018238F" w:rsidRPr="003A2EA3">
        <w:rPr>
          <w:rFonts w:asciiTheme="minorHAnsi" w:hAnsiTheme="minorHAnsi"/>
          <w:sz w:val="24"/>
          <w:szCs w:val="24"/>
        </w:rPr>
        <w:t>venetoclax</w:t>
      </w:r>
      <w:proofErr w:type="spellEnd"/>
      <w:r w:rsidR="0018238F" w:rsidRPr="003A2EA3">
        <w:rPr>
          <w:rFonts w:asciiTheme="minorHAnsi" w:hAnsiTheme="minorHAnsi"/>
          <w:sz w:val="24"/>
          <w:szCs w:val="24"/>
        </w:rPr>
        <w:t xml:space="preserve"> </w:t>
      </w:r>
      <w:r w:rsidR="00D05FB9">
        <w:rPr>
          <w:rFonts w:asciiTheme="minorHAnsi" w:hAnsiTheme="minorHAnsi"/>
          <w:sz w:val="24"/>
          <w:szCs w:val="24"/>
        </w:rPr>
        <w:t xml:space="preserve">both </w:t>
      </w:r>
      <w:r w:rsidR="0018238F" w:rsidRPr="00C27F96">
        <w:rPr>
          <w:rFonts w:asciiTheme="minorHAnsi" w:hAnsiTheme="minorHAnsi"/>
          <w:sz w:val="24"/>
          <w:szCs w:val="24"/>
        </w:rPr>
        <w:t xml:space="preserve">the need for a titration pack </w:t>
      </w:r>
      <w:r w:rsidR="0018238F" w:rsidRPr="003A2EA3">
        <w:rPr>
          <w:rFonts w:asciiTheme="minorHAnsi" w:hAnsiTheme="minorHAnsi"/>
          <w:sz w:val="24"/>
          <w:szCs w:val="24"/>
        </w:rPr>
        <w:t xml:space="preserve">and </w:t>
      </w:r>
      <w:r w:rsidR="00D05FB9">
        <w:rPr>
          <w:rFonts w:asciiTheme="minorHAnsi" w:hAnsiTheme="minorHAnsi"/>
          <w:sz w:val="24"/>
          <w:szCs w:val="24"/>
        </w:rPr>
        <w:t xml:space="preserve">also </w:t>
      </w:r>
      <w:r w:rsidR="0018238F" w:rsidRPr="003A2EA3">
        <w:rPr>
          <w:rFonts w:asciiTheme="minorHAnsi" w:hAnsiTheme="minorHAnsi"/>
          <w:sz w:val="24"/>
          <w:szCs w:val="24"/>
        </w:rPr>
        <w:t>an offset for the increased cost associated with monitoring and managing TLS.</w:t>
      </w:r>
    </w:p>
    <w:p w:rsidR="005963BB" w:rsidRPr="003A2EA3" w:rsidRDefault="005963BB" w:rsidP="00C00DA7">
      <w:pPr>
        <w:jc w:val="both"/>
        <w:rPr>
          <w:rFonts w:asciiTheme="minorHAnsi" w:hAnsiTheme="minorHAnsi"/>
        </w:rPr>
      </w:pPr>
    </w:p>
    <w:p w:rsidR="00A55FEE" w:rsidRPr="003A2EA3" w:rsidRDefault="00B2210B" w:rsidP="00B1059E">
      <w:pPr>
        <w:pStyle w:val="Heading2"/>
        <w:rPr>
          <w:rFonts w:asciiTheme="minorHAnsi" w:hAnsiTheme="minorHAnsi"/>
          <w:sz w:val="28"/>
          <w:szCs w:val="28"/>
        </w:rPr>
      </w:pPr>
      <w:r w:rsidRPr="003A2EA3">
        <w:rPr>
          <w:rFonts w:asciiTheme="minorHAnsi" w:hAnsiTheme="minorHAnsi"/>
          <w:sz w:val="28"/>
          <w:szCs w:val="28"/>
        </w:rPr>
        <w:t>Drug cost/patient/</w:t>
      </w:r>
      <w:r w:rsidR="006D7118" w:rsidRPr="003A2EA3">
        <w:rPr>
          <w:rFonts w:asciiTheme="minorHAnsi" w:hAnsiTheme="minorHAnsi"/>
          <w:sz w:val="28"/>
          <w:szCs w:val="28"/>
        </w:rPr>
        <w:t>course:</w:t>
      </w:r>
    </w:p>
    <w:p w:rsidR="00A55FEE" w:rsidRPr="003A2EA3" w:rsidRDefault="00A55FEE" w:rsidP="00A55FEE">
      <w:pPr>
        <w:ind w:left="720" w:hanging="720"/>
        <w:jc w:val="both"/>
        <w:rPr>
          <w:rFonts w:asciiTheme="minorHAnsi" w:hAnsiTheme="minorHAnsi"/>
        </w:rPr>
      </w:pPr>
    </w:p>
    <w:p w:rsidR="00A55FEE" w:rsidRPr="003A2EA3" w:rsidRDefault="00B2210B" w:rsidP="008A50F1">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w:t>
      </w:r>
      <w:r w:rsidR="00FD62E5" w:rsidRPr="003A2EA3">
        <w:rPr>
          <w:rFonts w:asciiTheme="minorHAnsi" w:hAnsiTheme="minorHAnsi"/>
          <w:sz w:val="24"/>
          <w:szCs w:val="24"/>
        </w:rPr>
        <w:t>re</w:t>
      </w:r>
      <w:r w:rsidRPr="003A2EA3">
        <w:rPr>
          <w:rFonts w:asciiTheme="minorHAnsi" w:hAnsiTheme="minorHAnsi"/>
          <w:sz w:val="24"/>
          <w:szCs w:val="24"/>
        </w:rPr>
        <w:t>submission used the same proposed DPMQ as the March 2017 major submission to calculate the cost to the PBS below. Based on the proposed DPMQ</w:t>
      </w:r>
      <w:r w:rsidR="0032430E" w:rsidRPr="003A2EA3">
        <w:rPr>
          <w:rFonts w:asciiTheme="minorHAnsi" w:hAnsiTheme="minorHAnsi"/>
          <w:sz w:val="24"/>
          <w:szCs w:val="24"/>
        </w:rPr>
        <w:t>,</w:t>
      </w:r>
      <w:r w:rsidRPr="003A2EA3">
        <w:rPr>
          <w:rFonts w:asciiTheme="minorHAnsi" w:hAnsiTheme="minorHAnsi"/>
          <w:sz w:val="24"/>
          <w:szCs w:val="24"/>
        </w:rPr>
        <w:t xml:space="preserve"> the cost per patient per course is presented in </w:t>
      </w:r>
      <w:r w:rsidR="006D7118" w:rsidRPr="003A2EA3">
        <w:rPr>
          <w:rFonts w:asciiTheme="minorHAnsi" w:hAnsiTheme="minorHAnsi"/>
          <w:sz w:val="24"/>
          <w:szCs w:val="24"/>
        </w:rPr>
        <w:t xml:space="preserve">the </w:t>
      </w:r>
      <w:r w:rsidRPr="003A2EA3">
        <w:rPr>
          <w:rFonts w:asciiTheme="minorHAnsi" w:hAnsiTheme="minorHAnsi"/>
          <w:sz w:val="24"/>
          <w:szCs w:val="24"/>
        </w:rPr>
        <w:t>table</w:t>
      </w:r>
      <w:r w:rsidR="000B3B69" w:rsidRPr="003A2EA3">
        <w:rPr>
          <w:rFonts w:asciiTheme="minorHAnsi" w:hAnsiTheme="minorHAnsi"/>
          <w:sz w:val="24"/>
          <w:szCs w:val="24"/>
        </w:rPr>
        <w:t xml:space="preserve"> below</w:t>
      </w:r>
      <w:r w:rsidRPr="003A2EA3">
        <w:rPr>
          <w:rFonts w:asciiTheme="minorHAnsi" w:hAnsiTheme="minorHAnsi"/>
          <w:sz w:val="24"/>
          <w:szCs w:val="24"/>
        </w:rPr>
        <w:t>.</w:t>
      </w:r>
    </w:p>
    <w:p w:rsidR="00B2210B" w:rsidRPr="00D504CB" w:rsidRDefault="00B2210B" w:rsidP="00B2210B">
      <w:pPr>
        <w:rPr>
          <w:rFonts w:asciiTheme="minorHAnsi" w:hAnsiTheme="minorHAnsi"/>
          <w:sz w:val="20"/>
          <w:szCs w:val="20"/>
        </w:rPr>
      </w:pPr>
    </w:p>
    <w:p w:rsidR="000F0D8A" w:rsidRDefault="000F0D8A" w:rsidP="000F0D8A">
      <w:pPr>
        <w:pStyle w:val="Caption"/>
      </w:pPr>
      <w:proofErr w:type="gramStart"/>
      <w:r>
        <w:t xml:space="preserve">Table </w:t>
      </w:r>
      <w:r>
        <w:rPr>
          <w:noProof/>
        </w:rPr>
        <w:t>6</w:t>
      </w:r>
      <w:r w:rsidRPr="00D57DBF">
        <w:t>.</w:t>
      </w:r>
      <w:proofErr w:type="gramEnd"/>
      <w:r w:rsidRPr="00D57DBF">
        <w:t xml:space="preserve"> Drug cost per patient for initial and subsequent 24 weeks of treatment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gridCol w:w="1537"/>
      </w:tblGrid>
      <w:tr w:rsidR="00B2210B" w:rsidRPr="003A2EA3" w:rsidTr="006D7118">
        <w:tc>
          <w:tcPr>
            <w:tcW w:w="1843" w:type="dxa"/>
            <w:vAlign w:val="center"/>
          </w:tcPr>
          <w:p w:rsidR="00B2210B" w:rsidRPr="003A2EA3" w:rsidRDefault="00B2210B" w:rsidP="00A3481F">
            <w:pPr>
              <w:pStyle w:val="ListParagraph"/>
              <w:keepNext/>
              <w:widowControl/>
              <w:ind w:left="0"/>
              <w:rPr>
                <w:rFonts w:ascii="Arial Narrow" w:hAnsi="Arial Narrow"/>
                <w:sz w:val="20"/>
              </w:rPr>
            </w:pPr>
            <w:r w:rsidRPr="003A2EA3">
              <w:rPr>
                <w:rFonts w:ascii="Arial Narrow" w:hAnsi="Arial Narrow"/>
                <w:sz w:val="20"/>
              </w:rPr>
              <w:t>Treatment regimen</w:t>
            </w:r>
          </w:p>
        </w:tc>
        <w:tc>
          <w:tcPr>
            <w:tcW w:w="5670" w:type="dxa"/>
            <w:vAlign w:val="center"/>
          </w:tcPr>
          <w:p w:rsidR="00B2210B" w:rsidRPr="003A2EA3" w:rsidRDefault="00B2210B" w:rsidP="00A3481F">
            <w:pPr>
              <w:pStyle w:val="ListParagraph"/>
              <w:keepNext/>
              <w:widowControl/>
              <w:ind w:left="0"/>
              <w:jc w:val="center"/>
              <w:rPr>
                <w:rFonts w:ascii="Arial Narrow" w:hAnsi="Arial Narrow"/>
                <w:sz w:val="20"/>
              </w:rPr>
            </w:pPr>
            <w:r w:rsidRPr="003A2EA3">
              <w:rPr>
                <w:rFonts w:ascii="Arial Narrow" w:hAnsi="Arial Narrow"/>
                <w:sz w:val="20"/>
              </w:rPr>
              <w:t>Calculation</w:t>
            </w:r>
          </w:p>
        </w:tc>
        <w:tc>
          <w:tcPr>
            <w:tcW w:w="1537" w:type="dxa"/>
            <w:vAlign w:val="center"/>
          </w:tcPr>
          <w:p w:rsidR="00B2210B" w:rsidRPr="003A2EA3" w:rsidRDefault="00B2210B" w:rsidP="00A3481F">
            <w:pPr>
              <w:pStyle w:val="ListParagraph"/>
              <w:keepNext/>
              <w:widowControl/>
              <w:ind w:left="0"/>
              <w:jc w:val="center"/>
              <w:rPr>
                <w:rFonts w:ascii="Arial Narrow" w:hAnsi="Arial Narrow"/>
                <w:b/>
                <w:sz w:val="20"/>
              </w:rPr>
            </w:pPr>
            <w:r w:rsidRPr="003A2EA3">
              <w:rPr>
                <w:rFonts w:ascii="Arial Narrow" w:hAnsi="Arial Narrow"/>
                <w:b/>
                <w:sz w:val="20"/>
              </w:rPr>
              <w:t>Cost per patient</w:t>
            </w:r>
          </w:p>
        </w:tc>
      </w:tr>
      <w:tr w:rsidR="00B2210B" w:rsidRPr="003A2EA3" w:rsidTr="006D7118">
        <w:tc>
          <w:tcPr>
            <w:tcW w:w="9050" w:type="dxa"/>
            <w:gridSpan w:val="3"/>
            <w:vAlign w:val="center"/>
          </w:tcPr>
          <w:p w:rsidR="00B2210B" w:rsidRPr="003A2EA3" w:rsidRDefault="00B2210B" w:rsidP="00A3481F">
            <w:pPr>
              <w:pStyle w:val="ListParagraph"/>
              <w:keepNext/>
              <w:widowControl/>
              <w:ind w:left="0"/>
              <w:jc w:val="left"/>
              <w:rPr>
                <w:rFonts w:ascii="Arial Narrow" w:hAnsi="Arial Narrow"/>
                <w:b/>
                <w:sz w:val="20"/>
              </w:rPr>
            </w:pPr>
            <w:r w:rsidRPr="003A2EA3">
              <w:rPr>
                <w:rFonts w:ascii="Arial Narrow" w:hAnsi="Arial Narrow"/>
                <w:b/>
                <w:sz w:val="20"/>
              </w:rPr>
              <w:t>Initial 24 weeks</w:t>
            </w:r>
          </w:p>
        </w:tc>
      </w:tr>
      <w:tr w:rsidR="00B2210B" w:rsidRPr="003A2EA3" w:rsidTr="006D7118">
        <w:tc>
          <w:tcPr>
            <w:tcW w:w="1843" w:type="dxa"/>
            <w:vAlign w:val="center"/>
          </w:tcPr>
          <w:p w:rsidR="00B2210B" w:rsidRPr="003A2EA3" w:rsidRDefault="00B2210B" w:rsidP="00A3481F">
            <w:pPr>
              <w:pStyle w:val="ListParagraph"/>
              <w:keepNext/>
              <w:widowControl/>
              <w:ind w:left="0"/>
              <w:jc w:val="left"/>
              <w:rPr>
                <w:rFonts w:ascii="Arial Narrow" w:hAnsi="Arial Narrow"/>
                <w:sz w:val="20"/>
              </w:rPr>
            </w:pPr>
            <w:proofErr w:type="spellStart"/>
            <w:r w:rsidRPr="003A2EA3">
              <w:rPr>
                <w:rFonts w:ascii="Arial Narrow" w:hAnsi="Arial Narrow"/>
                <w:sz w:val="20"/>
              </w:rPr>
              <w:t>Venetoclax</w:t>
            </w:r>
            <w:proofErr w:type="spellEnd"/>
          </w:p>
        </w:tc>
        <w:tc>
          <w:tcPr>
            <w:tcW w:w="5670" w:type="dxa"/>
            <w:vAlign w:val="center"/>
          </w:tcPr>
          <w:p w:rsidR="00B2210B" w:rsidRPr="003A2EA3" w:rsidRDefault="00B2210B" w:rsidP="00A3481F">
            <w:pPr>
              <w:pStyle w:val="ListParagraph"/>
              <w:keepNext/>
              <w:widowControl/>
              <w:ind w:left="0"/>
              <w:jc w:val="center"/>
              <w:rPr>
                <w:rFonts w:ascii="Arial Narrow" w:hAnsi="Arial Narrow"/>
                <w:sz w:val="20"/>
              </w:rPr>
            </w:pPr>
            <w:r w:rsidRPr="003A2EA3">
              <w:rPr>
                <w:rFonts w:ascii="Arial Narrow" w:hAnsi="Arial Narrow"/>
                <w:sz w:val="20"/>
              </w:rPr>
              <w:t>Weeks 1-4 = $</w:t>
            </w:r>
            <w:r w:rsidR="00A5328F">
              <w:rPr>
                <w:rFonts w:ascii="Arial Narrow" w:hAnsi="Arial Narrow"/>
                <w:noProof/>
                <w:color w:val="000000"/>
                <w:sz w:val="20"/>
                <w:highlight w:val="black"/>
              </w:rPr>
              <w:t>'''''''''''''''''''''</w:t>
            </w:r>
            <w:r w:rsidRPr="003A2EA3">
              <w:rPr>
                <w:rFonts w:ascii="Arial Narrow" w:hAnsi="Arial Narrow"/>
                <w:sz w:val="20"/>
              </w:rPr>
              <w:t xml:space="preserve"> (effective DPMQ for titration pack)</w:t>
            </w:r>
          </w:p>
          <w:p w:rsidR="00B2210B" w:rsidRPr="003A2EA3" w:rsidRDefault="00B2210B" w:rsidP="00A3481F">
            <w:pPr>
              <w:pStyle w:val="ListParagraph"/>
              <w:keepNext/>
              <w:widowControl/>
              <w:ind w:left="0"/>
              <w:jc w:val="center"/>
              <w:rPr>
                <w:rFonts w:ascii="Arial Narrow" w:hAnsi="Arial Narrow"/>
                <w:sz w:val="20"/>
                <w:vertAlign w:val="superscript"/>
              </w:rPr>
            </w:pPr>
            <w:r w:rsidRPr="003A2EA3">
              <w:rPr>
                <w:rFonts w:ascii="Arial Narrow" w:hAnsi="Arial Narrow"/>
                <w:sz w:val="20"/>
              </w:rPr>
              <w:t>Weeks 5-8 = $</w:t>
            </w:r>
            <w:r w:rsidR="00A5328F">
              <w:rPr>
                <w:rFonts w:ascii="Arial Narrow" w:hAnsi="Arial Narrow"/>
                <w:noProof/>
                <w:color w:val="000000"/>
                <w:sz w:val="20"/>
                <w:highlight w:val="black"/>
              </w:rPr>
              <w:t>'''''''''''''''''''''''</w:t>
            </w:r>
            <w:r w:rsidRPr="003A2EA3">
              <w:rPr>
                <w:rFonts w:ascii="Arial Narrow" w:hAnsi="Arial Narrow"/>
                <w:sz w:val="20"/>
              </w:rPr>
              <w:t xml:space="preserve"> (based on weighted effective DPMQ for maintenance pack, 10 mg dose hold pack, and 50 mg dose hold pack with distribution assumptions from </w:t>
            </w:r>
            <w:r w:rsidR="00FD62E5" w:rsidRPr="003A2EA3">
              <w:rPr>
                <w:rFonts w:ascii="Arial Narrow" w:hAnsi="Arial Narrow"/>
                <w:sz w:val="20"/>
              </w:rPr>
              <w:t>the re</w:t>
            </w:r>
            <w:r w:rsidRPr="003A2EA3">
              <w:rPr>
                <w:rFonts w:ascii="Arial Narrow" w:hAnsi="Arial Narrow"/>
                <w:sz w:val="20"/>
              </w:rPr>
              <w:t>submission)</w:t>
            </w:r>
            <w:r w:rsidRPr="003A2EA3">
              <w:rPr>
                <w:rFonts w:ascii="Arial Narrow" w:hAnsi="Arial Narrow"/>
                <w:sz w:val="20"/>
                <w:vertAlign w:val="superscript"/>
              </w:rPr>
              <w:t>a</w:t>
            </w:r>
          </w:p>
          <w:p w:rsidR="00B2210B" w:rsidRPr="003A2EA3" w:rsidRDefault="00B2210B" w:rsidP="00A3481F">
            <w:pPr>
              <w:pStyle w:val="ListParagraph"/>
              <w:keepNext/>
              <w:widowControl/>
              <w:ind w:left="0"/>
              <w:jc w:val="center"/>
              <w:rPr>
                <w:rFonts w:ascii="Arial Narrow" w:hAnsi="Arial Narrow"/>
                <w:sz w:val="20"/>
              </w:rPr>
            </w:pPr>
            <w:r w:rsidRPr="003A2EA3">
              <w:rPr>
                <w:rFonts w:ascii="Arial Narrow" w:hAnsi="Arial Narrow"/>
                <w:sz w:val="20"/>
              </w:rPr>
              <w:t>Weeks 9-24 = $</w:t>
            </w:r>
            <w:r w:rsidR="00A5328F">
              <w:rPr>
                <w:rFonts w:ascii="Arial Narrow" w:hAnsi="Arial Narrow"/>
                <w:noProof/>
                <w:color w:val="000000"/>
                <w:sz w:val="20"/>
                <w:highlight w:val="black"/>
              </w:rPr>
              <w:t>''''''''''''''''''''''''</w:t>
            </w:r>
            <w:r w:rsidRPr="003A2EA3">
              <w:rPr>
                <w:rFonts w:ascii="Arial Narrow" w:hAnsi="Arial Narrow"/>
                <w:sz w:val="20"/>
              </w:rPr>
              <w:t xml:space="preserve"> (calculated using effective DPMQ for maintenance pack x 112 days per 16 weeks/30 days treatment per pack)</w:t>
            </w:r>
          </w:p>
        </w:tc>
        <w:tc>
          <w:tcPr>
            <w:tcW w:w="1537" w:type="dxa"/>
            <w:vAlign w:val="center"/>
          </w:tcPr>
          <w:p w:rsidR="00B2210B" w:rsidRPr="003A2EA3" w:rsidRDefault="00B2210B" w:rsidP="00A3481F">
            <w:pPr>
              <w:pStyle w:val="ListParagraph"/>
              <w:keepNext/>
              <w:widowControl/>
              <w:ind w:left="0"/>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p>
        </w:tc>
      </w:tr>
      <w:tr w:rsidR="00B2210B" w:rsidRPr="003A2EA3" w:rsidTr="006D7118">
        <w:tc>
          <w:tcPr>
            <w:tcW w:w="9050" w:type="dxa"/>
            <w:gridSpan w:val="3"/>
            <w:vAlign w:val="center"/>
          </w:tcPr>
          <w:p w:rsidR="00B2210B" w:rsidRPr="003A2EA3" w:rsidRDefault="00B2210B" w:rsidP="00A3481F">
            <w:pPr>
              <w:pStyle w:val="ListParagraph"/>
              <w:keepNext/>
              <w:widowControl/>
              <w:ind w:left="0"/>
              <w:jc w:val="left"/>
              <w:rPr>
                <w:rFonts w:ascii="Arial Narrow" w:hAnsi="Arial Narrow"/>
                <w:b/>
                <w:sz w:val="20"/>
              </w:rPr>
            </w:pPr>
            <w:r w:rsidRPr="003A2EA3">
              <w:rPr>
                <w:rFonts w:ascii="Arial Narrow" w:hAnsi="Arial Narrow"/>
                <w:b/>
                <w:sz w:val="20"/>
              </w:rPr>
              <w:t>Subsequent 24 weeks</w:t>
            </w:r>
          </w:p>
        </w:tc>
      </w:tr>
      <w:tr w:rsidR="00B2210B" w:rsidRPr="003A2EA3" w:rsidTr="006D7118">
        <w:tc>
          <w:tcPr>
            <w:tcW w:w="1843" w:type="dxa"/>
            <w:vAlign w:val="center"/>
          </w:tcPr>
          <w:p w:rsidR="00B2210B" w:rsidRPr="003A2EA3" w:rsidRDefault="00B2210B" w:rsidP="00A3481F">
            <w:pPr>
              <w:pStyle w:val="ListParagraph"/>
              <w:keepNext/>
              <w:widowControl/>
              <w:ind w:left="0"/>
              <w:jc w:val="left"/>
              <w:rPr>
                <w:rFonts w:ascii="Arial Narrow" w:hAnsi="Arial Narrow"/>
                <w:sz w:val="20"/>
              </w:rPr>
            </w:pPr>
            <w:proofErr w:type="spellStart"/>
            <w:r w:rsidRPr="003A2EA3">
              <w:rPr>
                <w:rFonts w:ascii="Arial Narrow" w:hAnsi="Arial Narrow"/>
                <w:sz w:val="20"/>
              </w:rPr>
              <w:t>Venetoclax</w:t>
            </w:r>
            <w:proofErr w:type="spellEnd"/>
          </w:p>
        </w:tc>
        <w:tc>
          <w:tcPr>
            <w:tcW w:w="5670" w:type="dxa"/>
            <w:vAlign w:val="center"/>
          </w:tcPr>
          <w:p w:rsidR="00B2210B" w:rsidRPr="003A2EA3" w:rsidRDefault="00B2210B" w:rsidP="00A3481F">
            <w:pPr>
              <w:pStyle w:val="ListParagraph"/>
              <w:keepNext/>
              <w:widowControl/>
              <w:ind w:left="0"/>
              <w:jc w:val="center"/>
              <w:rPr>
                <w:rFonts w:ascii="Arial Narrow" w:hAnsi="Arial Narrow"/>
                <w:sz w:val="20"/>
              </w:rPr>
            </w:pPr>
            <w:r w:rsidRPr="003A2EA3">
              <w:rPr>
                <w:rFonts w:ascii="Arial Narrow" w:hAnsi="Arial Narrow"/>
                <w:sz w:val="20"/>
              </w:rPr>
              <w:t>Effective DPMQ for maintenance pack x 168 days per 24 weeks/30 days treatment per pack</w:t>
            </w:r>
          </w:p>
        </w:tc>
        <w:tc>
          <w:tcPr>
            <w:tcW w:w="1537" w:type="dxa"/>
            <w:vAlign w:val="center"/>
          </w:tcPr>
          <w:p w:rsidR="00B2210B" w:rsidRPr="003A2EA3" w:rsidRDefault="00B2210B" w:rsidP="00A3481F">
            <w:pPr>
              <w:pStyle w:val="ListParagraph"/>
              <w:keepNext/>
              <w:widowControl/>
              <w:ind w:left="0"/>
              <w:jc w:val="center"/>
              <w:rPr>
                <w:rFonts w:ascii="Arial Narrow" w:hAnsi="Arial Narrow"/>
                <w:sz w:val="20"/>
              </w:rPr>
            </w:pPr>
            <w:r w:rsidRPr="003A2EA3">
              <w:rPr>
                <w:rFonts w:ascii="Arial Narrow" w:hAnsi="Arial Narrow"/>
                <w:sz w:val="20"/>
              </w:rPr>
              <w:t>$</w:t>
            </w:r>
            <w:r w:rsidR="00A5328F">
              <w:rPr>
                <w:rFonts w:ascii="Arial Narrow" w:hAnsi="Arial Narrow"/>
                <w:noProof/>
                <w:color w:val="000000"/>
                <w:sz w:val="20"/>
                <w:highlight w:val="black"/>
              </w:rPr>
              <w:t>'''''''''''''''</w:t>
            </w:r>
          </w:p>
        </w:tc>
      </w:tr>
    </w:tbl>
    <w:p w:rsidR="00B2210B" w:rsidRPr="00D504CB" w:rsidRDefault="00B2210B" w:rsidP="00FD62E5">
      <w:pPr>
        <w:rPr>
          <w:rFonts w:asciiTheme="minorHAnsi" w:hAnsiTheme="minorHAnsi"/>
          <w:sz w:val="20"/>
          <w:szCs w:val="20"/>
        </w:rPr>
      </w:pPr>
    </w:p>
    <w:p w:rsidR="0064219F" w:rsidRPr="003A2EA3" w:rsidRDefault="0064219F" w:rsidP="0064219F">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did not support the above price proposal and considered that </w:t>
      </w:r>
      <w:r w:rsidR="00204346" w:rsidRPr="003A2EA3">
        <w:rPr>
          <w:rFonts w:asciiTheme="minorHAnsi" w:hAnsiTheme="minorHAnsi"/>
          <w:sz w:val="24"/>
          <w:szCs w:val="24"/>
        </w:rPr>
        <w:t xml:space="preserve">the alternative </w:t>
      </w:r>
      <w:r w:rsidR="00166405" w:rsidRPr="003A2EA3">
        <w:rPr>
          <w:rFonts w:asciiTheme="minorHAnsi" w:hAnsiTheme="minorHAnsi"/>
          <w:sz w:val="24"/>
          <w:szCs w:val="24"/>
        </w:rPr>
        <w:t>cost-</w:t>
      </w:r>
      <w:r w:rsidRPr="003A2EA3">
        <w:rPr>
          <w:rFonts w:asciiTheme="minorHAnsi" w:hAnsiTheme="minorHAnsi"/>
          <w:sz w:val="24"/>
          <w:szCs w:val="24"/>
        </w:rPr>
        <w:t xml:space="preserve">minimisation approach </w:t>
      </w:r>
      <w:r w:rsidR="0032430E" w:rsidRPr="003A2EA3">
        <w:rPr>
          <w:rFonts w:asciiTheme="minorHAnsi" w:hAnsiTheme="minorHAnsi"/>
          <w:sz w:val="24"/>
          <w:szCs w:val="24"/>
        </w:rPr>
        <w:t>against</w:t>
      </w:r>
      <w:r w:rsidRPr="003A2EA3">
        <w:rPr>
          <w:rFonts w:asciiTheme="minorHAnsi" w:hAnsiTheme="minorHAnsi"/>
          <w:sz w:val="24"/>
          <w:szCs w:val="24"/>
        </w:rPr>
        <w:t xml:space="preserve"> </w:t>
      </w:r>
      <w:proofErr w:type="spellStart"/>
      <w:r w:rsidRPr="003A2EA3">
        <w:rPr>
          <w:rFonts w:asciiTheme="minorHAnsi" w:hAnsiTheme="minorHAnsi"/>
          <w:sz w:val="24"/>
          <w:szCs w:val="24"/>
        </w:rPr>
        <w:t>idelalisib</w:t>
      </w:r>
      <w:proofErr w:type="spellEnd"/>
      <w:r w:rsidR="00380CA9">
        <w:rPr>
          <w:rFonts w:asciiTheme="minorHAnsi" w:hAnsiTheme="minorHAnsi"/>
          <w:sz w:val="24"/>
          <w:szCs w:val="24"/>
        </w:rPr>
        <w:t xml:space="preserve"> + rituximab</w:t>
      </w:r>
      <w:r w:rsidRPr="003A2EA3">
        <w:rPr>
          <w:rFonts w:asciiTheme="minorHAnsi" w:hAnsiTheme="minorHAnsi"/>
          <w:sz w:val="24"/>
          <w:szCs w:val="24"/>
        </w:rPr>
        <w:t xml:space="preserve"> was more appropriate. </w:t>
      </w:r>
    </w:p>
    <w:p w:rsidR="0064219F" w:rsidRPr="00D504CB" w:rsidRDefault="0064219F" w:rsidP="0064219F">
      <w:pPr>
        <w:rPr>
          <w:rFonts w:asciiTheme="minorHAnsi" w:hAnsiTheme="minorHAnsi"/>
          <w:sz w:val="20"/>
          <w:szCs w:val="20"/>
        </w:rPr>
      </w:pPr>
    </w:p>
    <w:p w:rsidR="005A3173" w:rsidRPr="003A2EA3" w:rsidRDefault="005A3173" w:rsidP="00B1059E">
      <w:pPr>
        <w:pStyle w:val="Heading2"/>
        <w:rPr>
          <w:rFonts w:asciiTheme="minorHAnsi" w:hAnsiTheme="minorHAnsi"/>
          <w:sz w:val="28"/>
          <w:szCs w:val="28"/>
        </w:rPr>
      </w:pPr>
      <w:r w:rsidRPr="003A2EA3">
        <w:rPr>
          <w:rFonts w:asciiTheme="minorHAnsi" w:hAnsiTheme="minorHAnsi"/>
          <w:sz w:val="28"/>
          <w:szCs w:val="28"/>
        </w:rPr>
        <w:t>Estimated PBS usage &amp; financial implications</w:t>
      </w:r>
    </w:p>
    <w:p w:rsidR="005A3173" w:rsidRPr="00D504CB" w:rsidRDefault="005A3173" w:rsidP="00882085">
      <w:pPr>
        <w:ind w:left="720" w:hanging="720"/>
        <w:jc w:val="both"/>
        <w:rPr>
          <w:rFonts w:asciiTheme="minorHAnsi" w:hAnsiTheme="minorHAnsi"/>
          <w:sz w:val="16"/>
          <w:szCs w:val="16"/>
        </w:rPr>
      </w:pPr>
    </w:p>
    <w:p w:rsidR="00C00DA7" w:rsidRPr="003A2EA3" w:rsidRDefault="00FF2801" w:rsidP="00B813FE">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minor </w:t>
      </w:r>
      <w:r w:rsidR="00FD62E5" w:rsidRPr="003A2EA3">
        <w:rPr>
          <w:rFonts w:asciiTheme="minorHAnsi" w:hAnsiTheme="minorHAnsi"/>
          <w:sz w:val="24"/>
          <w:szCs w:val="24"/>
        </w:rPr>
        <w:t>re</w:t>
      </w:r>
      <w:r w:rsidRPr="003A2EA3">
        <w:rPr>
          <w:rFonts w:asciiTheme="minorHAnsi" w:hAnsiTheme="minorHAnsi"/>
          <w:sz w:val="24"/>
          <w:szCs w:val="24"/>
        </w:rPr>
        <w:t>submission</w:t>
      </w:r>
      <w:r w:rsidR="000E112D" w:rsidRPr="003A2EA3">
        <w:rPr>
          <w:rFonts w:asciiTheme="minorHAnsi" w:hAnsiTheme="minorHAnsi"/>
          <w:sz w:val="24"/>
          <w:szCs w:val="24"/>
        </w:rPr>
        <w:t>, based on the March 2017 DPMQ,</w:t>
      </w:r>
      <w:r w:rsidRPr="003A2EA3">
        <w:rPr>
          <w:rFonts w:asciiTheme="minorHAnsi" w:hAnsiTheme="minorHAnsi"/>
          <w:sz w:val="24"/>
          <w:szCs w:val="24"/>
        </w:rPr>
        <w:t xml:space="preserve"> estimated</w:t>
      </w:r>
      <w:r w:rsidR="00C00DA7" w:rsidRPr="003A2EA3">
        <w:rPr>
          <w:rFonts w:asciiTheme="minorHAnsi" w:hAnsiTheme="minorHAnsi"/>
          <w:sz w:val="24"/>
          <w:szCs w:val="24"/>
        </w:rPr>
        <w:t xml:space="preserve"> a net cost to the PBS of </w:t>
      </w:r>
      <w:r w:rsidR="00B813FE" w:rsidRPr="00B813FE">
        <w:rPr>
          <w:rFonts w:asciiTheme="minorHAnsi" w:hAnsiTheme="minorHAnsi"/>
          <w:sz w:val="24"/>
          <w:szCs w:val="24"/>
        </w:rPr>
        <w:t>$</w:t>
      </w:r>
      <w:r w:rsidR="00AE7C9F">
        <w:rPr>
          <w:rFonts w:asciiTheme="minorHAnsi" w:hAnsiTheme="minorHAnsi"/>
          <w:sz w:val="24"/>
          <w:szCs w:val="24"/>
        </w:rPr>
        <w:t>10 - $</w:t>
      </w:r>
      <w:r w:rsidR="00B813FE" w:rsidRPr="00B813FE">
        <w:rPr>
          <w:rFonts w:asciiTheme="minorHAnsi" w:hAnsiTheme="minorHAnsi"/>
          <w:sz w:val="24"/>
          <w:szCs w:val="24"/>
        </w:rPr>
        <w:t xml:space="preserve">20 million </w:t>
      </w:r>
      <w:r w:rsidR="002F2B13" w:rsidRPr="003A2EA3">
        <w:rPr>
          <w:rFonts w:asciiTheme="minorHAnsi" w:hAnsiTheme="minorHAnsi"/>
          <w:sz w:val="24"/>
          <w:szCs w:val="24"/>
        </w:rPr>
        <w:t xml:space="preserve">in Year 1 </w:t>
      </w:r>
      <w:r w:rsidR="00C00DA7" w:rsidRPr="003A2EA3">
        <w:rPr>
          <w:rFonts w:asciiTheme="minorHAnsi" w:hAnsiTheme="minorHAnsi"/>
          <w:sz w:val="24"/>
          <w:szCs w:val="24"/>
        </w:rPr>
        <w:t>of listing,</w:t>
      </w:r>
      <w:r w:rsidR="002F2B13" w:rsidRPr="003A2EA3">
        <w:rPr>
          <w:rFonts w:asciiTheme="minorHAnsi" w:hAnsiTheme="minorHAnsi"/>
          <w:sz w:val="24"/>
          <w:szCs w:val="24"/>
        </w:rPr>
        <w:t xml:space="preserve"> increasing to </w:t>
      </w:r>
      <w:r w:rsidR="00B813FE" w:rsidRPr="00B813FE">
        <w:rPr>
          <w:rFonts w:asciiTheme="minorHAnsi" w:hAnsiTheme="minorHAnsi"/>
          <w:sz w:val="24"/>
          <w:szCs w:val="24"/>
        </w:rPr>
        <w:t xml:space="preserve">$30 – $60 million </w:t>
      </w:r>
      <w:r w:rsidR="002F2B13" w:rsidRPr="003A2EA3">
        <w:rPr>
          <w:rFonts w:asciiTheme="minorHAnsi" w:hAnsiTheme="minorHAnsi"/>
          <w:sz w:val="24"/>
          <w:szCs w:val="24"/>
        </w:rPr>
        <w:t xml:space="preserve">in year 2 then decreasing to </w:t>
      </w:r>
      <w:r w:rsidR="00B813FE" w:rsidRPr="00B813FE">
        <w:rPr>
          <w:rFonts w:asciiTheme="minorHAnsi" w:hAnsiTheme="minorHAnsi"/>
          <w:sz w:val="24"/>
          <w:szCs w:val="24"/>
        </w:rPr>
        <w:t xml:space="preserve">$10 – $20 million </w:t>
      </w:r>
      <w:r w:rsidR="002F2B13" w:rsidRPr="003A2EA3">
        <w:rPr>
          <w:rFonts w:asciiTheme="minorHAnsi" w:hAnsiTheme="minorHAnsi"/>
          <w:sz w:val="24"/>
          <w:szCs w:val="24"/>
        </w:rPr>
        <w:t>in year 5,</w:t>
      </w:r>
      <w:r w:rsidR="00C00DA7" w:rsidRPr="003A2EA3">
        <w:rPr>
          <w:rFonts w:asciiTheme="minorHAnsi" w:hAnsiTheme="minorHAnsi"/>
          <w:sz w:val="24"/>
          <w:szCs w:val="24"/>
        </w:rPr>
        <w:t xml:space="preserve"> with a total net </w:t>
      </w:r>
      <w:r w:rsidR="002F2B13" w:rsidRPr="003A2EA3">
        <w:rPr>
          <w:rFonts w:asciiTheme="minorHAnsi" w:hAnsiTheme="minorHAnsi"/>
          <w:sz w:val="24"/>
          <w:szCs w:val="24"/>
        </w:rPr>
        <w:t>cost</w:t>
      </w:r>
      <w:r w:rsidR="00C00DA7" w:rsidRPr="003A2EA3">
        <w:rPr>
          <w:rFonts w:asciiTheme="minorHAnsi" w:hAnsiTheme="minorHAnsi"/>
          <w:sz w:val="24"/>
          <w:szCs w:val="24"/>
        </w:rPr>
        <w:t xml:space="preserve"> to the PBS of </w:t>
      </w:r>
      <w:r w:rsidR="00B813FE" w:rsidRPr="00B813FE">
        <w:rPr>
          <w:rFonts w:asciiTheme="minorHAnsi" w:hAnsiTheme="minorHAnsi"/>
          <w:sz w:val="24"/>
          <w:szCs w:val="24"/>
        </w:rPr>
        <w:t>more than $100 million</w:t>
      </w:r>
      <w:r w:rsidR="00B813FE" w:rsidRPr="00B813FE" w:rsidDel="00B813FE">
        <w:rPr>
          <w:rFonts w:asciiTheme="minorHAnsi" w:hAnsiTheme="minorHAnsi"/>
          <w:sz w:val="24"/>
          <w:szCs w:val="24"/>
        </w:rPr>
        <w:t xml:space="preserve"> </w:t>
      </w:r>
      <w:r w:rsidR="00C00DA7" w:rsidRPr="003A2EA3">
        <w:rPr>
          <w:rFonts w:asciiTheme="minorHAnsi" w:hAnsiTheme="minorHAnsi"/>
          <w:sz w:val="24"/>
          <w:szCs w:val="24"/>
        </w:rPr>
        <w:t>over the first 5 years of listing.</w:t>
      </w:r>
    </w:p>
    <w:p w:rsidR="00C7487C" w:rsidRPr="00D504CB" w:rsidRDefault="00C7487C" w:rsidP="0047714C">
      <w:pPr>
        <w:ind w:left="-11"/>
        <w:rPr>
          <w:rFonts w:asciiTheme="minorHAnsi" w:hAnsiTheme="minorHAnsi"/>
          <w:sz w:val="18"/>
          <w:szCs w:val="18"/>
        </w:rPr>
      </w:pPr>
    </w:p>
    <w:p w:rsidR="00C7487C" w:rsidRPr="003A2EA3" w:rsidRDefault="00C7487C" w:rsidP="00F95057">
      <w:pPr>
        <w:pStyle w:val="ListParagraph"/>
        <w:numPr>
          <w:ilvl w:val="1"/>
          <w:numId w:val="5"/>
        </w:numPr>
        <w:rPr>
          <w:rFonts w:asciiTheme="minorHAnsi" w:hAnsiTheme="minorHAnsi"/>
          <w:sz w:val="24"/>
          <w:szCs w:val="24"/>
        </w:rPr>
      </w:pPr>
      <w:r w:rsidRPr="003A2EA3">
        <w:rPr>
          <w:rFonts w:asciiTheme="minorHAnsi" w:hAnsiTheme="minorHAnsi"/>
          <w:sz w:val="24"/>
          <w:szCs w:val="24"/>
        </w:rPr>
        <w:t xml:space="preserve">The PBAC did not consider that the patient numbers or the financial estimates proposed by the sponsor were informative based on the recommendation to list after failure of a kinase inhibitor.  The PBAC considered that the use of </w:t>
      </w:r>
      <w:proofErr w:type="spellStart"/>
      <w:r w:rsidRPr="003A2EA3">
        <w:rPr>
          <w:rFonts w:asciiTheme="minorHAnsi" w:hAnsiTheme="minorHAnsi"/>
          <w:sz w:val="24"/>
          <w:szCs w:val="24"/>
        </w:rPr>
        <w:t>venetoclax</w:t>
      </w:r>
      <w:proofErr w:type="spellEnd"/>
      <w:r w:rsidRPr="003A2EA3">
        <w:rPr>
          <w:rFonts w:asciiTheme="minorHAnsi" w:hAnsiTheme="minorHAnsi"/>
          <w:sz w:val="24"/>
          <w:szCs w:val="24"/>
        </w:rPr>
        <w:t xml:space="preserve"> as recommended would substitute for </w:t>
      </w:r>
      <w:proofErr w:type="spellStart"/>
      <w:r w:rsidRPr="003A2EA3">
        <w:rPr>
          <w:rFonts w:asciiTheme="minorHAnsi" w:hAnsiTheme="minorHAnsi"/>
          <w:sz w:val="24"/>
          <w:szCs w:val="24"/>
        </w:rPr>
        <w:t>idelalisib</w:t>
      </w:r>
      <w:proofErr w:type="spellEnd"/>
      <w:r w:rsidRPr="003A2EA3">
        <w:rPr>
          <w:rFonts w:asciiTheme="minorHAnsi" w:hAnsiTheme="minorHAnsi"/>
          <w:sz w:val="24"/>
          <w:szCs w:val="24"/>
        </w:rPr>
        <w:t xml:space="preserve"> with rituximab on the PBS on a cost</w:t>
      </w:r>
      <w:r w:rsidR="00886189" w:rsidRPr="003A2EA3">
        <w:rPr>
          <w:rFonts w:asciiTheme="minorHAnsi" w:hAnsiTheme="minorHAnsi"/>
          <w:sz w:val="24"/>
          <w:szCs w:val="24"/>
        </w:rPr>
        <w:t>-</w:t>
      </w:r>
      <w:r w:rsidRPr="003A2EA3">
        <w:rPr>
          <w:rFonts w:asciiTheme="minorHAnsi" w:hAnsiTheme="minorHAnsi"/>
          <w:sz w:val="24"/>
          <w:szCs w:val="24"/>
        </w:rPr>
        <w:t>minimisation basis</w:t>
      </w:r>
      <w:r w:rsidRPr="00C27F96">
        <w:rPr>
          <w:rFonts w:asciiTheme="minorHAnsi" w:hAnsiTheme="minorHAnsi"/>
          <w:sz w:val="24"/>
          <w:szCs w:val="24"/>
        </w:rPr>
        <w:t>.</w:t>
      </w:r>
      <w:r w:rsidR="00F95057" w:rsidRPr="00C27F96">
        <w:rPr>
          <w:rFonts w:asciiTheme="minorHAnsi" w:hAnsiTheme="minorHAnsi"/>
          <w:sz w:val="24"/>
          <w:szCs w:val="24"/>
        </w:rPr>
        <w:t xml:space="preserve">  The PBAC considered that the financial implications of listing </w:t>
      </w:r>
      <w:proofErr w:type="spellStart"/>
      <w:r w:rsidR="00013F05" w:rsidRPr="003A2EA3">
        <w:rPr>
          <w:rFonts w:asciiTheme="minorHAnsi" w:hAnsiTheme="minorHAnsi"/>
          <w:sz w:val="24"/>
          <w:szCs w:val="24"/>
        </w:rPr>
        <w:t>venetoclax</w:t>
      </w:r>
      <w:proofErr w:type="spellEnd"/>
      <w:r w:rsidR="00013F05" w:rsidRPr="003A2EA3">
        <w:rPr>
          <w:rFonts w:asciiTheme="minorHAnsi" w:hAnsiTheme="minorHAnsi"/>
          <w:sz w:val="24"/>
          <w:szCs w:val="24"/>
        </w:rPr>
        <w:t xml:space="preserve"> </w:t>
      </w:r>
      <w:r w:rsidR="00F95057" w:rsidRPr="003A2EA3">
        <w:rPr>
          <w:rFonts w:asciiTheme="minorHAnsi" w:hAnsiTheme="minorHAnsi"/>
          <w:sz w:val="24"/>
          <w:szCs w:val="24"/>
        </w:rPr>
        <w:t>would need further negotiation between the Department and the sponsor</w:t>
      </w:r>
      <w:r w:rsidR="00204346" w:rsidRPr="003A2EA3">
        <w:rPr>
          <w:rFonts w:asciiTheme="minorHAnsi" w:hAnsiTheme="minorHAnsi"/>
          <w:sz w:val="24"/>
          <w:szCs w:val="24"/>
        </w:rPr>
        <w:t xml:space="preserve">, but </w:t>
      </w:r>
      <w:r w:rsidR="00013F05" w:rsidRPr="003A2EA3">
        <w:rPr>
          <w:rFonts w:asciiTheme="minorHAnsi" w:hAnsiTheme="minorHAnsi"/>
          <w:sz w:val="24"/>
          <w:szCs w:val="24"/>
        </w:rPr>
        <w:t xml:space="preserve">advised </w:t>
      </w:r>
      <w:r w:rsidR="00204346" w:rsidRPr="003A2EA3">
        <w:rPr>
          <w:rFonts w:asciiTheme="minorHAnsi" w:hAnsiTheme="minorHAnsi"/>
          <w:sz w:val="24"/>
          <w:szCs w:val="24"/>
        </w:rPr>
        <w:t xml:space="preserve">that these should not greatly add to the costs to the PBS of </w:t>
      </w:r>
      <w:proofErr w:type="spellStart"/>
      <w:r w:rsidR="00204346" w:rsidRPr="003A2EA3">
        <w:rPr>
          <w:rFonts w:asciiTheme="minorHAnsi" w:hAnsiTheme="minorHAnsi"/>
          <w:sz w:val="24"/>
          <w:szCs w:val="24"/>
        </w:rPr>
        <w:t>idelalisib</w:t>
      </w:r>
      <w:proofErr w:type="spellEnd"/>
      <w:r w:rsidR="00F95057" w:rsidRPr="003A2EA3">
        <w:rPr>
          <w:rFonts w:asciiTheme="minorHAnsi" w:hAnsiTheme="minorHAnsi"/>
          <w:sz w:val="24"/>
          <w:szCs w:val="24"/>
        </w:rPr>
        <w:t>.</w:t>
      </w:r>
    </w:p>
    <w:p w:rsidR="00ED3390" w:rsidRPr="00D504CB" w:rsidRDefault="00ED3390" w:rsidP="00ED3390">
      <w:pPr>
        <w:rPr>
          <w:rFonts w:asciiTheme="minorHAnsi" w:hAnsiTheme="minorHAnsi"/>
          <w:sz w:val="18"/>
          <w:szCs w:val="18"/>
        </w:rPr>
      </w:pPr>
    </w:p>
    <w:p w:rsidR="00A43C7A" w:rsidRPr="003A2EA3" w:rsidRDefault="00A43C7A" w:rsidP="00A43C7A">
      <w:pPr>
        <w:pStyle w:val="Heading2"/>
        <w:rPr>
          <w:rFonts w:asciiTheme="minorHAnsi" w:hAnsiTheme="minorHAnsi"/>
          <w:i w:val="0"/>
          <w:sz w:val="28"/>
          <w:szCs w:val="28"/>
        </w:rPr>
      </w:pPr>
      <w:bookmarkStart w:id="2" w:name="_Toc392858203"/>
      <w:bookmarkStart w:id="3" w:name="_Toc472494407"/>
      <w:r w:rsidRPr="003A2EA3">
        <w:rPr>
          <w:rFonts w:asciiTheme="minorHAnsi" w:hAnsiTheme="minorHAnsi"/>
          <w:sz w:val="28"/>
          <w:szCs w:val="28"/>
        </w:rPr>
        <w:t>Financial Management – Risk Sharing Arrangements</w:t>
      </w:r>
      <w:bookmarkEnd w:id="2"/>
      <w:bookmarkEnd w:id="3"/>
    </w:p>
    <w:p w:rsidR="00A43C7A" w:rsidRPr="00D504CB" w:rsidRDefault="00A43C7A" w:rsidP="00A43C7A">
      <w:pPr>
        <w:rPr>
          <w:rFonts w:asciiTheme="minorHAnsi" w:hAnsiTheme="minorHAnsi"/>
          <w:sz w:val="16"/>
          <w:szCs w:val="16"/>
        </w:rPr>
      </w:pPr>
    </w:p>
    <w:p w:rsidR="00A43C7A" w:rsidRPr="003A2EA3" w:rsidRDefault="00A43C7A" w:rsidP="00A43C7A">
      <w:pPr>
        <w:pStyle w:val="ListParagraph"/>
        <w:widowControl/>
        <w:numPr>
          <w:ilvl w:val="1"/>
          <w:numId w:val="5"/>
        </w:numPr>
        <w:rPr>
          <w:rFonts w:asciiTheme="minorHAnsi" w:hAnsiTheme="minorHAnsi"/>
          <w:sz w:val="24"/>
          <w:szCs w:val="24"/>
        </w:rPr>
      </w:pPr>
      <w:r w:rsidRPr="003A2EA3">
        <w:rPr>
          <w:rFonts w:asciiTheme="minorHAnsi" w:hAnsiTheme="minorHAnsi"/>
          <w:sz w:val="24"/>
          <w:szCs w:val="24"/>
        </w:rPr>
        <w:t xml:space="preserve">The sponsor expressed a willingness to enter into a </w:t>
      </w:r>
      <w:r w:rsidR="00C27F96">
        <w:rPr>
          <w:rFonts w:asciiTheme="minorHAnsi" w:hAnsiTheme="minorHAnsi"/>
          <w:sz w:val="24"/>
          <w:szCs w:val="24"/>
        </w:rPr>
        <w:t>R</w:t>
      </w:r>
      <w:r w:rsidR="00C27F96" w:rsidRPr="00C27F96">
        <w:rPr>
          <w:rFonts w:asciiTheme="minorHAnsi" w:hAnsiTheme="minorHAnsi"/>
          <w:sz w:val="24"/>
          <w:szCs w:val="24"/>
        </w:rPr>
        <w:t xml:space="preserve">isk </w:t>
      </w:r>
      <w:r w:rsidR="00C27F96">
        <w:rPr>
          <w:rFonts w:asciiTheme="minorHAnsi" w:hAnsiTheme="minorHAnsi"/>
          <w:sz w:val="24"/>
          <w:szCs w:val="24"/>
        </w:rPr>
        <w:t>S</w:t>
      </w:r>
      <w:r w:rsidR="00C27F96" w:rsidRPr="00C27F96">
        <w:rPr>
          <w:rFonts w:asciiTheme="minorHAnsi" w:hAnsiTheme="minorHAnsi"/>
          <w:sz w:val="24"/>
          <w:szCs w:val="24"/>
        </w:rPr>
        <w:t xml:space="preserve">haring </w:t>
      </w:r>
      <w:r w:rsidR="00C27F96">
        <w:rPr>
          <w:rFonts w:asciiTheme="minorHAnsi" w:hAnsiTheme="minorHAnsi"/>
          <w:sz w:val="24"/>
          <w:szCs w:val="24"/>
        </w:rPr>
        <w:t>A</w:t>
      </w:r>
      <w:r w:rsidR="00C27F96" w:rsidRPr="00C27F96">
        <w:rPr>
          <w:rFonts w:asciiTheme="minorHAnsi" w:hAnsiTheme="minorHAnsi"/>
          <w:sz w:val="24"/>
          <w:szCs w:val="24"/>
        </w:rPr>
        <w:t xml:space="preserve">rrangement </w:t>
      </w:r>
      <w:r w:rsidRPr="00C27F96">
        <w:rPr>
          <w:rFonts w:asciiTheme="minorHAnsi" w:hAnsiTheme="minorHAnsi"/>
          <w:sz w:val="24"/>
          <w:szCs w:val="24"/>
        </w:rPr>
        <w:t xml:space="preserve">to address the financial uncertainty associated with the PBS listing of </w:t>
      </w:r>
      <w:proofErr w:type="spellStart"/>
      <w:r w:rsidRPr="00C27F96">
        <w:rPr>
          <w:rFonts w:asciiTheme="minorHAnsi" w:hAnsiTheme="minorHAnsi"/>
          <w:sz w:val="24"/>
          <w:szCs w:val="24"/>
        </w:rPr>
        <w:t>venetoclax</w:t>
      </w:r>
      <w:proofErr w:type="spellEnd"/>
      <w:r w:rsidR="006D7118" w:rsidRPr="003A2EA3">
        <w:rPr>
          <w:rFonts w:asciiTheme="minorHAnsi" w:hAnsiTheme="minorHAnsi"/>
          <w:sz w:val="24"/>
          <w:szCs w:val="24"/>
        </w:rPr>
        <w:t xml:space="preserve"> in its March 2017 submission</w:t>
      </w:r>
      <w:r w:rsidRPr="003A2EA3">
        <w:rPr>
          <w:rFonts w:asciiTheme="minorHAnsi" w:hAnsiTheme="minorHAnsi"/>
          <w:sz w:val="24"/>
          <w:szCs w:val="24"/>
        </w:rPr>
        <w:t>.</w:t>
      </w:r>
    </w:p>
    <w:p w:rsidR="00A43C7A" w:rsidRPr="00D504CB" w:rsidRDefault="00A43C7A" w:rsidP="00A43C7A">
      <w:pPr>
        <w:rPr>
          <w:rFonts w:asciiTheme="minorHAnsi" w:hAnsiTheme="minorHAnsi"/>
          <w:sz w:val="18"/>
          <w:szCs w:val="18"/>
        </w:rPr>
      </w:pPr>
    </w:p>
    <w:p w:rsidR="00A43C7A" w:rsidRPr="00C27F96" w:rsidRDefault="00A43C7A" w:rsidP="00A43C7A">
      <w:pPr>
        <w:pStyle w:val="ListParagraph"/>
        <w:widowControl/>
        <w:numPr>
          <w:ilvl w:val="1"/>
          <w:numId w:val="5"/>
        </w:numPr>
        <w:rPr>
          <w:rFonts w:asciiTheme="minorHAnsi" w:hAnsiTheme="minorHAnsi"/>
          <w:sz w:val="24"/>
          <w:szCs w:val="24"/>
        </w:rPr>
      </w:pPr>
      <w:r w:rsidRPr="003A2EA3">
        <w:rPr>
          <w:rFonts w:asciiTheme="minorHAnsi" w:hAnsiTheme="minorHAnsi"/>
          <w:sz w:val="24"/>
          <w:szCs w:val="24"/>
        </w:rPr>
        <w:t xml:space="preserve">The sponsor </w:t>
      </w:r>
      <w:r w:rsidR="000F3CA9" w:rsidRPr="003A2EA3">
        <w:rPr>
          <w:rFonts w:asciiTheme="minorHAnsi" w:hAnsiTheme="minorHAnsi"/>
          <w:sz w:val="24"/>
          <w:szCs w:val="24"/>
        </w:rPr>
        <w:t xml:space="preserve">also </w:t>
      </w:r>
      <w:r w:rsidRPr="003A2EA3">
        <w:rPr>
          <w:rFonts w:asciiTheme="minorHAnsi" w:hAnsiTheme="minorHAnsi"/>
          <w:sz w:val="24"/>
          <w:szCs w:val="24"/>
        </w:rPr>
        <w:t xml:space="preserve">requested a </w:t>
      </w:r>
      <w:r w:rsidR="00C27F96">
        <w:rPr>
          <w:rFonts w:asciiTheme="minorHAnsi" w:hAnsiTheme="minorHAnsi"/>
          <w:sz w:val="24"/>
          <w:szCs w:val="24"/>
        </w:rPr>
        <w:t>S</w:t>
      </w:r>
      <w:r w:rsidR="00C27F96" w:rsidRPr="00C27F96">
        <w:rPr>
          <w:rFonts w:asciiTheme="minorHAnsi" w:hAnsiTheme="minorHAnsi"/>
          <w:sz w:val="24"/>
          <w:szCs w:val="24"/>
        </w:rPr>
        <w:t xml:space="preserve">pecial </w:t>
      </w:r>
      <w:r w:rsidR="00C27F96">
        <w:rPr>
          <w:rFonts w:asciiTheme="minorHAnsi" w:hAnsiTheme="minorHAnsi"/>
          <w:sz w:val="24"/>
          <w:szCs w:val="24"/>
        </w:rPr>
        <w:t>P</w:t>
      </w:r>
      <w:r w:rsidR="00C27F96" w:rsidRPr="00C27F96">
        <w:rPr>
          <w:rFonts w:asciiTheme="minorHAnsi" w:hAnsiTheme="minorHAnsi"/>
          <w:sz w:val="24"/>
          <w:szCs w:val="24"/>
        </w:rPr>
        <w:t xml:space="preserve">ricing </w:t>
      </w:r>
      <w:r w:rsidR="00C27F96">
        <w:rPr>
          <w:rFonts w:asciiTheme="minorHAnsi" w:hAnsiTheme="minorHAnsi"/>
          <w:sz w:val="24"/>
          <w:szCs w:val="24"/>
        </w:rPr>
        <w:t>A</w:t>
      </w:r>
      <w:r w:rsidR="00C27F96" w:rsidRPr="00C27F96">
        <w:rPr>
          <w:rFonts w:asciiTheme="minorHAnsi" w:hAnsiTheme="minorHAnsi"/>
          <w:sz w:val="24"/>
          <w:szCs w:val="24"/>
        </w:rPr>
        <w:t>rrangement</w:t>
      </w:r>
      <w:r w:rsidRPr="00C27F96">
        <w:rPr>
          <w:rFonts w:asciiTheme="minorHAnsi" w:hAnsiTheme="minorHAnsi"/>
          <w:sz w:val="24"/>
          <w:szCs w:val="24"/>
        </w:rPr>
        <w:t xml:space="preserve">, where the sponsor would provide a confidential rebate to the published price of </w:t>
      </w:r>
      <w:proofErr w:type="spellStart"/>
      <w:r w:rsidRPr="00C27F96">
        <w:rPr>
          <w:rFonts w:asciiTheme="minorHAnsi" w:hAnsiTheme="minorHAnsi"/>
          <w:sz w:val="24"/>
          <w:szCs w:val="24"/>
        </w:rPr>
        <w:t>venetoclax</w:t>
      </w:r>
      <w:proofErr w:type="spellEnd"/>
      <w:r w:rsidRPr="00C27F96">
        <w:rPr>
          <w:rFonts w:asciiTheme="minorHAnsi" w:hAnsiTheme="minorHAnsi"/>
          <w:sz w:val="24"/>
          <w:szCs w:val="24"/>
        </w:rPr>
        <w:t>.</w:t>
      </w:r>
    </w:p>
    <w:p w:rsidR="00E970AF" w:rsidRPr="00D504CB" w:rsidRDefault="00E970AF" w:rsidP="00E970AF">
      <w:pPr>
        <w:rPr>
          <w:rFonts w:asciiTheme="minorHAnsi" w:hAnsiTheme="minorHAnsi"/>
          <w:sz w:val="18"/>
          <w:szCs w:val="18"/>
        </w:rPr>
      </w:pPr>
    </w:p>
    <w:p w:rsidR="00D504CB" w:rsidRDefault="009F73B2" w:rsidP="00D504CB">
      <w:pPr>
        <w:pStyle w:val="ListParagraph"/>
        <w:widowControl/>
        <w:numPr>
          <w:ilvl w:val="1"/>
          <w:numId w:val="5"/>
        </w:numPr>
        <w:rPr>
          <w:rFonts w:asciiTheme="minorHAnsi" w:hAnsiTheme="minorHAnsi"/>
          <w:sz w:val="24"/>
          <w:szCs w:val="24"/>
        </w:rPr>
      </w:pPr>
      <w:r w:rsidRPr="003A2EA3">
        <w:rPr>
          <w:rFonts w:asciiTheme="minorHAnsi" w:hAnsiTheme="minorHAnsi"/>
          <w:sz w:val="24"/>
          <w:szCs w:val="24"/>
        </w:rPr>
        <w:t xml:space="preserve">The PBAC considered that a </w:t>
      </w:r>
      <w:r w:rsidR="00C27F96">
        <w:rPr>
          <w:rFonts w:asciiTheme="minorHAnsi" w:hAnsiTheme="minorHAnsi"/>
          <w:sz w:val="24"/>
          <w:szCs w:val="24"/>
        </w:rPr>
        <w:t>R</w:t>
      </w:r>
      <w:r w:rsidR="00C27F96" w:rsidRPr="00C27F96">
        <w:rPr>
          <w:rFonts w:asciiTheme="minorHAnsi" w:hAnsiTheme="minorHAnsi"/>
          <w:sz w:val="24"/>
          <w:szCs w:val="24"/>
        </w:rPr>
        <w:t xml:space="preserve">isk </w:t>
      </w:r>
      <w:r w:rsidR="00C27F96">
        <w:rPr>
          <w:rFonts w:asciiTheme="minorHAnsi" w:hAnsiTheme="minorHAnsi"/>
          <w:sz w:val="24"/>
          <w:szCs w:val="24"/>
        </w:rPr>
        <w:t>S</w:t>
      </w:r>
      <w:r w:rsidR="00C27F96" w:rsidRPr="00C27F96">
        <w:rPr>
          <w:rFonts w:asciiTheme="minorHAnsi" w:hAnsiTheme="minorHAnsi"/>
          <w:sz w:val="24"/>
          <w:szCs w:val="24"/>
        </w:rPr>
        <w:t xml:space="preserve">haring </w:t>
      </w:r>
      <w:r w:rsidR="00C27F96">
        <w:rPr>
          <w:rFonts w:asciiTheme="minorHAnsi" w:hAnsiTheme="minorHAnsi"/>
          <w:sz w:val="24"/>
          <w:szCs w:val="24"/>
        </w:rPr>
        <w:t>A</w:t>
      </w:r>
      <w:r w:rsidR="00C27F96" w:rsidRPr="00C27F96">
        <w:rPr>
          <w:rFonts w:asciiTheme="minorHAnsi" w:hAnsiTheme="minorHAnsi"/>
          <w:sz w:val="24"/>
          <w:szCs w:val="24"/>
        </w:rPr>
        <w:t xml:space="preserve">rrangement </w:t>
      </w:r>
      <w:r w:rsidRPr="00C27F96">
        <w:rPr>
          <w:rFonts w:asciiTheme="minorHAnsi" w:hAnsiTheme="minorHAnsi"/>
          <w:sz w:val="24"/>
          <w:szCs w:val="24"/>
        </w:rPr>
        <w:t xml:space="preserve">was required to </w:t>
      </w:r>
      <w:r w:rsidR="00E970AF" w:rsidRPr="003A2EA3">
        <w:rPr>
          <w:rFonts w:asciiTheme="minorHAnsi" w:hAnsiTheme="minorHAnsi"/>
          <w:sz w:val="24"/>
          <w:szCs w:val="24"/>
        </w:rPr>
        <w:t>be negotiated with the Department to reduce the risk of use outside the specified restriction</w:t>
      </w:r>
      <w:r w:rsidR="00013F05" w:rsidRPr="003A2EA3">
        <w:rPr>
          <w:rFonts w:asciiTheme="minorHAnsi" w:hAnsiTheme="minorHAnsi"/>
          <w:sz w:val="24"/>
          <w:szCs w:val="24"/>
        </w:rPr>
        <w:t xml:space="preserve"> and to take into account the PBAC’s advice about the overall costs to the PBS</w:t>
      </w:r>
      <w:r w:rsidR="00E970AF" w:rsidRPr="003A2EA3">
        <w:rPr>
          <w:rFonts w:asciiTheme="minorHAnsi" w:hAnsiTheme="minorHAnsi"/>
          <w:sz w:val="24"/>
          <w:szCs w:val="24"/>
        </w:rPr>
        <w:t>.</w:t>
      </w:r>
    </w:p>
    <w:p w:rsidR="00D504CB" w:rsidRPr="00D504CB" w:rsidRDefault="00D504CB" w:rsidP="00D504CB">
      <w:pPr>
        <w:pStyle w:val="ListParagraph"/>
        <w:rPr>
          <w:rFonts w:asciiTheme="minorHAnsi" w:hAnsiTheme="minorHAnsi"/>
          <w:i/>
          <w:sz w:val="18"/>
          <w:szCs w:val="18"/>
        </w:rPr>
      </w:pPr>
    </w:p>
    <w:p w:rsidR="009B7AAD" w:rsidRPr="00D504CB" w:rsidRDefault="009B7AAD" w:rsidP="00D504CB">
      <w:pPr>
        <w:pStyle w:val="ListParagraph"/>
        <w:widowControl/>
        <w:rPr>
          <w:rFonts w:asciiTheme="minorHAnsi" w:hAnsiTheme="minorHAnsi"/>
          <w:sz w:val="24"/>
          <w:szCs w:val="24"/>
        </w:rPr>
      </w:pPr>
      <w:r w:rsidRPr="00D504CB">
        <w:rPr>
          <w:rFonts w:asciiTheme="minorHAnsi" w:hAnsiTheme="minorHAnsi"/>
          <w:i/>
          <w:sz w:val="24"/>
          <w:szCs w:val="24"/>
        </w:rPr>
        <w:t>For more detail on PBAC’s view, see section 7 “PBAC outcome.”</w:t>
      </w:r>
    </w:p>
    <w:p w:rsidR="009B7AAD" w:rsidRPr="00D504CB" w:rsidRDefault="009B7AAD" w:rsidP="00957A0E">
      <w:pPr>
        <w:widowControl w:val="0"/>
        <w:numPr>
          <w:ilvl w:val="0"/>
          <w:numId w:val="5"/>
        </w:numPr>
        <w:spacing w:before="240" w:after="120"/>
        <w:jc w:val="both"/>
        <w:outlineLvl w:val="0"/>
        <w:rPr>
          <w:rFonts w:asciiTheme="minorHAnsi" w:hAnsiTheme="minorHAnsi" w:cs="Arial"/>
          <w:b/>
          <w:bCs/>
          <w:snapToGrid w:val="0"/>
          <w:sz w:val="32"/>
          <w:szCs w:val="32"/>
        </w:rPr>
      </w:pPr>
      <w:r w:rsidRPr="00D504CB">
        <w:rPr>
          <w:rFonts w:asciiTheme="minorHAnsi" w:hAnsiTheme="minorHAnsi" w:cs="Arial"/>
          <w:b/>
          <w:bCs/>
          <w:snapToGrid w:val="0"/>
          <w:sz w:val="32"/>
          <w:szCs w:val="32"/>
        </w:rPr>
        <w:t>PBAC Outcome</w:t>
      </w:r>
    </w:p>
    <w:p w:rsidR="009B7AAD" w:rsidRPr="00D05FB9" w:rsidRDefault="009B7AAD" w:rsidP="0044673C">
      <w:pPr>
        <w:widowControl w:val="0"/>
        <w:numPr>
          <w:ilvl w:val="1"/>
          <w:numId w:val="5"/>
        </w:numPr>
        <w:jc w:val="both"/>
        <w:rPr>
          <w:rFonts w:asciiTheme="minorHAnsi" w:hAnsiTheme="minorHAnsi" w:cs="Arial"/>
          <w:bCs/>
          <w:snapToGrid w:val="0"/>
        </w:rPr>
      </w:pPr>
      <w:r w:rsidRPr="00D05FB9">
        <w:rPr>
          <w:rFonts w:asciiTheme="minorHAnsi" w:hAnsiTheme="minorHAnsi" w:cs="Arial"/>
          <w:bCs/>
          <w:snapToGrid w:val="0"/>
        </w:rPr>
        <w:t xml:space="preserve">The PBAC recommended the listing of </w:t>
      </w:r>
      <w:proofErr w:type="spellStart"/>
      <w:r w:rsidR="0087529B" w:rsidRPr="00D05FB9">
        <w:rPr>
          <w:rFonts w:asciiTheme="minorHAnsi" w:hAnsiTheme="minorHAnsi" w:cs="Arial"/>
          <w:bCs/>
          <w:snapToGrid w:val="0"/>
        </w:rPr>
        <w:t>venetoclax</w:t>
      </w:r>
      <w:proofErr w:type="spellEnd"/>
      <w:r w:rsidRPr="00D05FB9">
        <w:rPr>
          <w:rFonts w:asciiTheme="minorHAnsi" w:hAnsiTheme="minorHAnsi" w:cs="Arial"/>
          <w:bCs/>
          <w:snapToGrid w:val="0"/>
        </w:rPr>
        <w:t xml:space="preserve">, on </w:t>
      </w:r>
      <w:r w:rsidR="0087529B" w:rsidRPr="00D05FB9">
        <w:rPr>
          <w:rFonts w:asciiTheme="minorHAnsi" w:hAnsiTheme="minorHAnsi" w:cs="Arial"/>
          <w:bCs/>
          <w:snapToGrid w:val="0"/>
        </w:rPr>
        <w:t xml:space="preserve">a cost-minimisation basis with </w:t>
      </w:r>
      <w:proofErr w:type="spellStart"/>
      <w:r w:rsidR="0087529B" w:rsidRPr="00D05FB9">
        <w:rPr>
          <w:rFonts w:asciiTheme="minorHAnsi" w:hAnsiTheme="minorHAnsi" w:cs="Arial"/>
          <w:bCs/>
          <w:snapToGrid w:val="0"/>
        </w:rPr>
        <w:t>idelalisib</w:t>
      </w:r>
      <w:proofErr w:type="spellEnd"/>
      <w:r w:rsidR="0087529B" w:rsidRPr="00D05FB9">
        <w:rPr>
          <w:rFonts w:asciiTheme="minorHAnsi" w:hAnsiTheme="minorHAnsi" w:cs="Arial"/>
          <w:bCs/>
          <w:snapToGrid w:val="0"/>
        </w:rPr>
        <w:t xml:space="preserve"> in combination with rituximab for the treatment of relapsed or refractory chronic lymphocytic leukaemia (CLL) in patients who have failed a kinase inhibitor</w:t>
      </w:r>
      <w:r w:rsidR="00EA4128" w:rsidRPr="003A2EA3">
        <w:rPr>
          <w:rFonts w:asciiTheme="minorHAnsi" w:hAnsiTheme="minorHAnsi"/>
        </w:rPr>
        <w:t>, without necessarily requiring evidence that these patients have a 17p deletion</w:t>
      </w:r>
      <w:r w:rsidR="000D435E" w:rsidRPr="00D05FB9">
        <w:rPr>
          <w:rFonts w:asciiTheme="minorHAnsi" w:hAnsiTheme="minorHAnsi" w:cs="Arial"/>
          <w:bCs/>
          <w:snapToGrid w:val="0"/>
        </w:rPr>
        <w:t>.</w:t>
      </w:r>
    </w:p>
    <w:p w:rsidR="000D435E" w:rsidRPr="00D05FB9" w:rsidRDefault="000D435E" w:rsidP="000D435E">
      <w:pPr>
        <w:widowControl w:val="0"/>
        <w:jc w:val="both"/>
        <w:rPr>
          <w:rFonts w:asciiTheme="minorHAnsi" w:hAnsiTheme="minorHAnsi" w:cs="Arial"/>
          <w:bCs/>
          <w:snapToGrid w:val="0"/>
        </w:rPr>
      </w:pPr>
    </w:p>
    <w:p w:rsidR="00EA4128" w:rsidRPr="00D05FB9" w:rsidRDefault="00EA4128" w:rsidP="00EA4128">
      <w:pPr>
        <w:widowControl w:val="0"/>
        <w:numPr>
          <w:ilvl w:val="1"/>
          <w:numId w:val="5"/>
        </w:numPr>
        <w:jc w:val="both"/>
        <w:rPr>
          <w:rFonts w:asciiTheme="minorHAnsi" w:hAnsiTheme="minorHAnsi" w:cs="Arial"/>
          <w:bCs/>
          <w:snapToGrid w:val="0"/>
        </w:rPr>
      </w:pPr>
      <w:r w:rsidRPr="003A2EA3">
        <w:rPr>
          <w:rFonts w:asciiTheme="minorHAnsi" w:hAnsiTheme="minorHAnsi"/>
        </w:rPr>
        <w:t xml:space="preserve">The PBAC advised that the clinical place of </w:t>
      </w:r>
      <w:proofErr w:type="spellStart"/>
      <w:r w:rsidRPr="003A2EA3">
        <w:rPr>
          <w:rFonts w:asciiTheme="minorHAnsi" w:hAnsiTheme="minorHAnsi"/>
        </w:rPr>
        <w:t>venetoclax</w:t>
      </w:r>
      <w:proofErr w:type="spellEnd"/>
      <w:r w:rsidRPr="003A2EA3">
        <w:rPr>
          <w:rFonts w:asciiTheme="minorHAnsi" w:hAnsiTheme="minorHAnsi"/>
        </w:rPr>
        <w:t xml:space="preserve"> would be as a third-line treatment option </w:t>
      </w:r>
      <w:r w:rsidR="00680AEF" w:rsidRPr="00C27F96">
        <w:rPr>
          <w:rFonts w:asciiTheme="minorHAnsi" w:hAnsiTheme="minorHAnsi"/>
        </w:rPr>
        <w:t xml:space="preserve">for patients with relapsed or refractory CLL, </w:t>
      </w:r>
      <w:r w:rsidRPr="00C27F96">
        <w:rPr>
          <w:rFonts w:asciiTheme="minorHAnsi" w:hAnsiTheme="minorHAnsi"/>
        </w:rPr>
        <w:t>following treatment failure with a kinase inhibitor.</w:t>
      </w:r>
      <w:r w:rsidR="0044673C" w:rsidRPr="00C27F96">
        <w:rPr>
          <w:rFonts w:asciiTheme="minorHAnsi" w:hAnsiTheme="minorHAnsi"/>
        </w:rPr>
        <w:t xml:space="preserve"> </w:t>
      </w:r>
      <w:r w:rsidR="0044673C" w:rsidRPr="00D05FB9">
        <w:rPr>
          <w:rFonts w:asciiTheme="minorHAnsi" w:hAnsiTheme="minorHAnsi" w:cs="Arial"/>
          <w:bCs/>
          <w:snapToGrid w:val="0"/>
        </w:rPr>
        <w:t xml:space="preserve">As </w:t>
      </w:r>
      <w:proofErr w:type="spellStart"/>
      <w:r w:rsidR="0044673C" w:rsidRPr="00D05FB9">
        <w:rPr>
          <w:rFonts w:asciiTheme="minorHAnsi" w:hAnsiTheme="minorHAnsi" w:cs="Arial"/>
          <w:bCs/>
          <w:snapToGrid w:val="0"/>
        </w:rPr>
        <w:t>ibrutinib</w:t>
      </w:r>
      <w:proofErr w:type="spellEnd"/>
      <w:r w:rsidR="0044673C" w:rsidRPr="00D05FB9">
        <w:rPr>
          <w:rFonts w:asciiTheme="minorHAnsi" w:hAnsiTheme="minorHAnsi" w:cs="Arial"/>
          <w:bCs/>
          <w:snapToGrid w:val="0"/>
        </w:rPr>
        <w:t xml:space="preserve"> is the most likely kinase inhibitor to be used for relapsed or refractory </w:t>
      </w:r>
      <w:r w:rsidR="00C27F96">
        <w:rPr>
          <w:rFonts w:asciiTheme="minorHAnsi" w:hAnsiTheme="minorHAnsi" w:cs="Arial"/>
          <w:bCs/>
          <w:snapToGrid w:val="0"/>
        </w:rPr>
        <w:t>CLL</w:t>
      </w:r>
      <w:r w:rsidR="0044673C" w:rsidRPr="00D05FB9">
        <w:rPr>
          <w:rFonts w:asciiTheme="minorHAnsi" w:hAnsiTheme="minorHAnsi" w:cs="Arial"/>
          <w:bCs/>
          <w:snapToGrid w:val="0"/>
        </w:rPr>
        <w:t xml:space="preserve">, eligibility for </w:t>
      </w:r>
      <w:proofErr w:type="spellStart"/>
      <w:r w:rsidR="0044673C" w:rsidRPr="00D05FB9">
        <w:rPr>
          <w:rFonts w:asciiTheme="minorHAnsi" w:hAnsiTheme="minorHAnsi" w:cs="Arial"/>
          <w:bCs/>
          <w:snapToGrid w:val="0"/>
        </w:rPr>
        <w:t>ibrutinib</w:t>
      </w:r>
      <w:proofErr w:type="spellEnd"/>
      <w:r w:rsidR="0044673C" w:rsidRPr="00D05FB9">
        <w:rPr>
          <w:rFonts w:asciiTheme="minorHAnsi" w:hAnsiTheme="minorHAnsi" w:cs="Arial"/>
          <w:bCs/>
          <w:snapToGrid w:val="0"/>
        </w:rPr>
        <w:t xml:space="preserve"> on the basis of a 17p deletion would have been established before considering </w:t>
      </w:r>
      <w:proofErr w:type="spellStart"/>
      <w:r w:rsidR="0044673C" w:rsidRPr="00D05FB9">
        <w:rPr>
          <w:rFonts w:asciiTheme="minorHAnsi" w:hAnsiTheme="minorHAnsi" w:cs="Arial"/>
          <w:bCs/>
          <w:snapToGrid w:val="0"/>
        </w:rPr>
        <w:t>venetoclax</w:t>
      </w:r>
      <w:proofErr w:type="spellEnd"/>
      <w:r w:rsidR="0044673C" w:rsidRPr="00D05FB9">
        <w:rPr>
          <w:rFonts w:asciiTheme="minorHAnsi" w:hAnsiTheme="minorHAnsi" w:cs="Arial"/>
          <w:bCs/>
          <w:snapToGrid w:val="0"/>
        </w:rPr>
        <w:t xml:space="preserve">, so there is no need for the </w:t>
      </w:r>
      <w:proofErr w:type="spellStart"/>
      <w:r w:rsidR="0044673C" w:rsidRPr="00D05FB9">
        <w:rPr>
          <w:rFonts w:asciiTheme="minorHAnsi" w:hAnsiTheme="minorHAnsi" w:cs="Arial"/>
          <w:bCs/>
          <w:snapToGrid w:val="0"/>
        </w:rPr>
        <w:t>venetoclax</w:t>
      </w:r>
      <w:proofErr w:type="spellEnd"/>
      <w:r w:rsidR="0044673C" w:rsidRPr="00D05FB9">
        <w:rPr>
          <w:rFonts w:asciiTheme="minorHAnsi" w:hAnsiTheme="minorHAnsi" w:cs="Arial"/>
          <w:bCs/>
          <w:snapToGrid w:val="0"/>
        </w:rPr>
        <w:t xml:space="preserve"> PBS restriction to include an option for determining eligibility on the basis of 17p deletion, nor for the corresponding MBS item to mention </w:t>
      </w:r>
      <w:proofErr w:type="spellStart"/>
      <w:r w:rsidR="0044673C" w:rsidRPr="00D05FB9">
        <w:rPr>
          <w:rFonts w:asciiTheme="minorHAnsi" w:hAnsiTheme="minorHAnsi" w:cs="Arial"/>
          <w:bCs/>
          <w:snapToGrid w:val="0"/>
        </w:rPr>
        <w:t>venetoclax</w:t>
      </w:r>
      <w:proofErr w:type="spellEnd"/>
      <w:r w:rsidR="0044673C" w:rsidRPr="00D05FB9">
        <w:rPr>
          <w:rFonts w:asciiTheme="minorHAnsi" w:hAnsiTheme="minorHAnsi" w:cs="Arial"/>
          <w:bCs/>
          <w:snapToGrid w:val="0"/>
        </w:rPr>
        <w:t xml:space="preserve">. The reference to 17p deletion in relation to the kinase inhibitors </w:t>
      </w:r>
      <w:proofErr w:type="spellStart"/>
      <w:r w:rsidR="0044673C" w:rsidRPr="00D05FB9">
        <w:rPr>
          <w:rFonts w:asciiTheme="minorHAnsi" w:hAnsiTheme="minorHAnsi" w:cs="Arial"/>
          <w:bCs/>
          <w:snapToGrid w:val="0"/>
        </w:rPr>
        <w:t>ibrutinib</w:t>
      </w:r>
      <w:proofErr w:type="spellEnd"/>
      <w:r w:rsidR="0044673C" w:rsidRPr="00D05FB9">
        <w:rPr>
          <w:rFonts w:asciiTheme="minorHAnsi" w:hAnsiTheme="minorHAnsi" w:cs="Arial"/>
          <w:bCs/>
          <w:snapToGrid w:val="0"/>
        </w:rPr>
        <w:t xml:space="preserve"> and </w:t>
      </w:r>
      <w:proofErr w:type="spellStart"/>
      <w:r w:rsidR="0044673C" w:rsidRPr="00D05FB9">
        <w:rPr>
          <w:rFonts w:asciiTheme="minorHAnsi" w:hAnsiTheme="minorHAnsi" w:cs="Arial"/>
          <w:bCs/>
          <w:snapToGrid w:val="0"/>
        </w:rPr>
        <w:t>idelalisib</w:t>
      </w:r>
      <w:proofErr w:type="spellEnd"/>
      <w:r w:rsidR="0044673C" w:rsidRPr="00D05FB9">
        <w:rPr>
          <w:rFonts w:asciiTheme="minorHAnsi" w:hAnsiTheme="minorHAnsi" w:cs="Arial"/>
          <w:bCs/>
          <w:snapToGrid w:val="0"/>
        </w:rPr>
        <w:t xml:space="preserve"> should remain for both their PBS restrictions and the corresponding MBS item.</w:t>
      </w:r>
    </w:p>
    <w:p w:rsidR="00EA4128" w:rsidRPr="00D05FB9" w:rsidRDefault="00EA4128" w:rsidP="00680AEF">
      <w:pPr>
        <w:rPr>
          <w:rFonts w:asciiTheme="minorHAnsi" w:hAnsiTheme="minorHAnsi"/>
          <w:bCs/>
          <w:snapToGrid w:val="0"/>
        </w:rPr>
      </w:pPr>
    </w:p>
    <w:p w:rsidR="00EA4128" w:rsidRPr="00D05FB9" w:rsidRDefault="00EA4128" w:rsidP="00EA4128">
      <w:pPr>
        <w:widowControl w:val="0"/>
        <w:numPr>
          <w:ilvl w:val="1"/>
          <w:numId w:val="5"/>
        </w:numPr>
        <w:jc w:val="both"/>
        <w:rPr>
          <w:rFonts w:asciiTheme="minorHAnsi" w:hAnsiTheme="minorHAnsi" w:cs="Arial"/>
          <w:bCs/>
          <w:snapToGrid w:val="0"/>
        </w:rPr>
      </w:pPr>
      <w:r w:rsidRPr="00D05FB9">
        <w:rPr>
          <w:rFonts w:asciiTheme="minorHAnsi" w:hAnsiTheme="minorHAnsi" w:cs="Arial"/>
          <w:bCs/>
          <w:snapToGrid w:val="0"/>
        </w:rPr>
        <w:t xml:space="preserve">The PBAC based </w:t>
      </w:r>
      <w:r w:rsidR="0044673C" w:rsidRPr="00D05FB9">
        <w:rPr>
          <w:rFonts w:asciiTheme="minorHAnsi" w:hAnsiTheme="minorHAnsi" w:cs="Arial"/>
          <w:bCs/>
          <w:snapToGrid w:val="0"/>
        </w:rPr>
        <w:t xml:space="preserve">its </w:t>
      </w:r>
      <w:r w:rsidRPr="00D05FB9">
        <w:rPr>
          <w:rFonts w:asciiTheme="minorHAnsi" w:hAnsiTheme="minorHAnsi" w:cs="Arial"/>
          <w:bCs/>
          <w:snapToGrid w:val="0"/>
        </w:rPr>
        <w:t xml:space="preserve">advice </w:t>
      </w:r>
      <w:r w:rsidR="0044673C" w:rsidRPr="00D05FB9">
        <w:rPr>
          <w:rFonts w:asciiTheme="minorHAnsi" w:hAnsiTheme="minorHAnsi" w:cs="Arial"/>
          <w:bCs/>
          <w:snapToGrid w:val="0"/>
        </w:rPr>
        <w:t xml:space="preserve">relating to the clinical place of </w:t>
      </w:r>
      <w:proofErr w:type="spellStart"/>
      <w:r w:rsidR="0044673C" w:rsidRPr="00D05FB9">
        <w:rPr>
          <w:rFonts w:asciiTheme="minorHAnsi" w:hAnsiTheme="minorHAnsi" w:cs="Arial"/>
          <w:bCs/>
          <w:snapToGrid w:val="0"/>
        </w:rPr>
        <w:t>venetoclax</w:t>
      </w:r>
      <w:proofErr w:type="spellEnd"/>
      <w:r w:rsidR="0044673C" w:rsidRPr="00D05FB9">
        <w:rPr>
          <w:rFonts w:asciiTheme="minorHAnsi" w:hAnsiTheme="minorHAnsi" w:cs="Arial"/>
          <w:bCs/>
          <w:snapToGrid w:val="0"/>
        </w:rPr>
        <w:t xml:space="preserve"> </w:t>
      </w:r>
      <w:r w:rsidRPr="003A2EA3">
        <w:rPr>
          <w:rFonts w:asciiTheme="minorHAnsi" w:hAnsiTheme="minorHAnsi"/>
        </w:rPr>
        <w:t xml:space="preserve">on the clinical evidence available to it and the fact that the optimal sequencing of </w:t>
      </w:r>
      <w:proofErr w:type="spellStart"/>
      <w:r w:rsidRPr="003A2EA3">
        <w:rPr>
          <w:rFonts w:asciiTheme="minorHAnsi" w:hAnsiTheme="minorHAnsi"/>
        </w:rPr>
        <w:t>ibrutinib</w:t>
      </w:r>
      <w:proofErr w:type="spellEnd"/>
      <w:r w:rsidRPr="003A2EA3">
        <w:rPr>
          <w:rFonts w:asciiTheme="minorHAnsi" w:hAnsiTheme="minorHAnsi"/>
        </w:rPr>
        <w:t xml:space="preserve">, </w:t>
      </w:r>
      <w:proofErr w:type="spellStart"/>
      <w:r w:rsidRPr="003A2EA3">
        <w:rPr>
          <w:rFonts w:asciiTheme="minorHAnsi" w:hAnsiTheme="minorHAnsi"/>
        </w:rPr>
        <w:t>idelali</w:t>
      </w:r>
      <w:r w:rsidRPr="00C27F96">
        <w:rPr>
          <w:rFonts w:asciiTheme="minorHAnsi" w:hAnsiTheme="minorHAnsi"/>
        </w:rPr>
        <w:t>sib</w:t>
      </w:r>
      <w:proofErr w:type="spellEnd"/>
      <w:r w:rsidRPr="00C27F96">
        <w:rPr>
          <w:rFonts w:asciiTheme="minorHAnsi" w:hAnsiTheme="minorHAnsi"/>
        </w:rPr>
        <w:t xml:space="preserve"> and </w:t>
      </w:r>
      <w:proofErr w:type="spellStart"/>
      <w:r w:rsidRPr="00C27F96">
        <w:rPr>
          <w:rFonts w:asciiTheme="minorHAnsi" w:hAnsiTheme="minorHAnsi"/>
        </w:rPr>
        <w:t>venetoclax</w:t>
      </w:r>
      <w:proofErr w:type="spellEnd"/>
      <w:r w:rsidRPr="00C27F96">
        <w:rPr>
          <w:rFonts w:asciiTheme="minorHAnsi" w:hAnsiTheme="minorHAnsi"/>
        </w:rPr>
        <w:t xml:space="preserve"> is still being determined</w:t>
      </w:r>
      <w:r w:rsidR="006E2007" w:rsidRPr="00C27F96">
        <w:rPr>
          <w:rFonts w:asciiTheme="minorHAnsi" w:hAnsiTheme="minorHAnsi"/>
        </w:rPr>
        <w:t xml:space="preserve">. The PBAC noted other published comparative evidence suggesting </w:t>
      </w:r>
      <w:proofErr w:type="spellStart"/>
      <w:r w:rsidR="006E2007" w:rsidRPr="00C27F96">
        <w:rPr>
          <w:rFonts w:asciiTheme="minorHAnsi" w:hAnsiTheme="minorHAnsi"/>
        </w:rPr>
        <w:t>ibrutinib</w:t>
      </w:r>
      <w:proofErr w:type="spellEnd"/>
      <w:r w:rsidR="006E2007" w:rsidRPr="00C27F96">
        <w:rPr>
          <w:rFonts w:asciiTheme="minorHAnsi" w:hAnsiTheme="minorHAnsi"/>
        </w:rPr>
        <w:t xml:space="preserve"> to be the preferred kinase inhibitor, and suggesting </w:t>
      </w:r>
      <w:r w:rsidR="008756DA" w:rsidRPr="003A2EA3">
        <w:rPr>
          <w:rFonts w:asciiTheme="minorHAnsi" w:hAnsiTheme="minorHAnsi"/>
        </w:rPr>
        <w:t xml:space="preserve">an </w:t>
      </w:r>
      <w:r w:rsidR="006E2007" w:rsidRPr="003A2EA3">
        <w:rPr>
          <w:rFonts w:asciiTheme="minorHAnsi" w:hAnsiTheme="minorHAnsi"/>
        </w:rPr>
        <w:t xml:space="preserve">alternative kinase inhibitor or </w:t>
      </w:r>
      <w:proofErr w:type="spellStart"/>
      <w:r w:rsidR="006E2007" w:rsidRPr="003A2EA3">
        <w:rPr>
          <w:rFonts w:asciiTheme="minorHAnsi" w:hAnsiTheme="minorHAnsi"/>
        </w:rPr>
        <w:t>venetoclax</w:t>
      </w:r>
      <w:proofErr w:type="spellEnd"/>
      <w:r w:rsidR="006E2007" w:rsidRPr="003A2EA3">
        <w:rPr>
          <w:rFonts w:asciiTheme="minorHAnsi" w:hAnsiTheme="minorHAnsi"/>
        </w:rPr>
        <w:t xml:space="preserve"> to be used after initial kinase inhibitor failure</w:t>
      </w:r>
      <w:r w:rsidRPr="003A2EA3">
        <w:rPr>
          <w:rFonts w:asciiTheme="minorHAnsi" w:hAnsiTheme="minorHAnsi"/>
        </w:rPr>
        <w:t>.</w:t>
      </w:r>
      <w:r w:rsidR="00EA177E" w:rsidRPr="003A2EA3">
        <w:rPr>
          <w:rStyle w:val="FootnoteReference"/>
          <w:rFonts w:asciiTheme="minorHAnsi" w:hAnsiTheme="minorHAnsi"/>
        </w:rPr>
        <w:footnoteReference w:id="1"/>
      </w:r>
    </w:p>
    <w:p w:rsidR="00EA4128" w:rsidRPr="00D05FB9" w:rsidRDefault="00EA4128" w:rsidP="00EA4128">
      <w:pPr>
        <w:widowControl w:val="0"/>
        <w:jc w:val="both"/>
        <w:rPr>
          <w:rFonts w:asciiTheme="minorHAnsi" w:hAnsiTheme="minorHAnsi" w:cs="Arial"/>
          <w:bCs/>
          <w:snapToGrid w:val="0"/>
        </w:rPr>
      </w:pPr>
    </w:p>
    <w:p w:rsidR="001651C9" w:rsidRPr="00D05FB9" w:rsidRDefault="004F04D3" w:rsidP="004F04D3">
      <w:pPr>
        <w:widowControl w:val="0"/>
        <w:numPr>
          <w:ilvl w:val="1"/>
          <w:numId w:val="5"/>
        </w:numPr>
        <w:jc w:val="both"/>
        <w:rPr>
          <w:rFonts w:asciiTheme="minorHAnsi" w:hAnsiTheme="minorHAnsi" w:cs="Arial"/>
          <w:bCs/>
          <w:snapToGrid w:val="0"/>
        </w:rPr>
      </w:pPr>
      <w:r w:rsidRPr="003A2EA3">
        <w:rPr>
          <w:rFonts w:asciiTheme="minorHAnsi" w:hAnsiTheme="minorHAnsi"/>
        </w:rPr>
        <w:t xml:space="preserve">The PBAC </w:t>
      </w:r>
      <w:r w:rsidR="00A00259" w:rsidRPr="00161938">
        <w:rPr>
          <w:rFonts w:asciiTheme="minorHAnsi" w:hAnsiTheme="minorHAnsi"/>
        </w:rPr>
        <w:t xml:space="preserve">therefore </w:t>
      </w:r>
      <w:r w:rsidRPr="00161938">
        <w:rPr>
          <w:rFonts w:asciiTheme="minorHAnsi" w:hAnsiTheme="minorHAnsi"/>
        </w:rPr>
        <w:t xml:space="preserve">rejected the request to list </w:t>
      </w:r>
      <w:proofErr w:type="spellStart"/>
      <w:r w:rsidRPr="00161938">
        <w:rPr>
          <w:rFonts w:asciiTheme="minorHAnsi" w:hAnsiTheme="minorHAnsi"/>
        </w:rPr>
        <w:t>venetoclax</w:t>
      </w:r>
      <w:proofErr w:type="spellEnd"/>
      <w:r w:rsidRPr="00161938">
        <w:rPr>
          <w:rFonts w:asciiTheme="minorHAnsi" w:hAnsiTheme="minorHAnsi"/>
        </w:rPr>
        <w:t xml:space="preserve"> as a second-line treatment option in patients with relapsed or refractory CLL who have a 17p deletion. </w:t>
      </w:r>
      <w:r w:rsidR="00EA177E" w:rsidRPr="00161938">
        <w:rPr>
          <w:rFonts w:asciiTheme="minorHAnsi" w:hAnsiTheme="minorHAnsi"/>
        </w:rPr>
        <w:t xml:space="preserve">The PBAC considered that, from the evidence currently available, </w:t>
      </w:r>
      <w:r w:rsidR="0044673C" w:rsidRPr="00161938">
        <w:rPr>
          <w:rFonts w:asciiTheme="minorHAnsi" w:hAnsiTheme="minorHAnsi"/>
        </w:rPr>
        <w:t xml:space="preserve">there was an insufficient basis to justify that </w:t>
      </w:r>
      <w:proofErr w:type="spellStart"/>
      <w:r w:rsidR="00EA177E" w:rsidRPr="00161938">
        <w:rPr>
          <w:rFonts w:asciiTheme="minorHAnsi" w:hAnsiTheme="minorHAnsi"/>
        </w:rPr>
        <w:t>venetoclax</w:t>
      </w:r>
      <w:proofErr w:type="spellEnd"/>
      <w:r w:rsidR="00EA177E" w:rsidRPr="00161938">
        <w:rPr>
          <w:rFonts w:asciiTheme="minorHAnsi" w:hAnsiTheme="minorHAnsi"/>
        </w:rPr>
        <w:t xml:space="preserve"> </w:t>
      </w:r>
      <w:r w:rsidR="006E2007" w:rsidRPr="00161938">
        <w:rPr>
          <w:rFonts w:asciiTheme="minorHAnsi" w:hAnsiTheme="minorHAnsi"/>
        </w:rPr>
        <w:t>c</w:t>
      </w:r>
      <w:r w:rsidR="00EA177E" w:rsidRPr="00161938">
        <w:rPr>
          <w:rFonts w:asciiTheme="minorHAnsi" w:hAnsiTheme="minorHAnsi"/>
        </w:rPr>
        <w:t xml:space="preserve">ould substitute for </w:t>
      </w:r>
      <w:proofErr w:type="spellStart"/>
      <w:r w:rsidR="00EA177E" w:rsidRPr="00161938">
        <w:rPr>
          <w:rFonts w:asciiTheme="minorHAnsi" w:hAnsiTheme="minorHAnsi"/>
        </w:rPr>
        <w:t>ibrutinib</w:t>
      </w:r>
      <w:proofErr w:type="spellEnd"/>
      <w:r w:rsidRPr="00161938">
        <w:rPr>
          <w:rFonts w:asciiTheme="minorHAnsi" w:hAnsiTheme="minorHAnsi"/>
        </w:rPr>
        <w:t xml:space="preserve"> in this population</w:t>
      </w:r>
      <w:r w:rsidR="00EA177E" w:rsidRPr="00161938">
        <w:rPr>
          <w:rFonts w:asciiTheme="minorHAnsi" w:hAnsiTheme="minorHAnsi"/>
        </w:rPr>
        <w:t>.</w:t>
      </w:r>
      <w:r w:rsidR="00EA177E" w:rsidRPr="003A2EA3">
        <w:rPr>
          <w:rFonts w:asciiTheme="minorHAnsi" w:hAnsiTheme="minorHAnsi"/>
        </w:rPr>
        <w:t xml:space="preserve"> </w:t>
      </w:r>
      <w:r w:rsidR="0044673C" w:rsidRPr="003A2EA3">
        <w:rPr>
          <w:rFonts w:asciiTheme="minorHAnsi" w:hAnsiTheme="minorHAnsi"/>
        </w:rPr>
        <w:t xml:space="preserve">Based on earlier clinical evidence, </w:t>
      </w:r>
      <w:proofErr w:type="spellStart"/>
      <w:r w:rsidR="0044673C" w:rsidRPr="003A2EA3">
        <w:rPr>
          <w:rFonts w:asciiTheme="minorHAnsi" w:hAnsiTheme="minorHAnsi"/>
        </w:rPr>
        <w:t>i</w:t>
      </w:r>
      <w:r w:rsidR="006E2007" w:rsidRPr="003A2EA3">
        <w:rPr>
          <w:rFonts w:asciiTheme="minorHAnsi" w:hAnsiTheme="minorHAnsi"/>
        </w:rPr>
        <w:t>brutinib</w:t>
      </w:r>
      <w:proofErr w:type="spellEnd"/>
      <w:r w:rsidR="006E2007" w:rsidRPr="003A2EA3">
        <w:rPr>
          <w:rFonts w:asciiTheme="minorHAnsi" w:hAnsiTheme="minorHAnsi"/>
        </w:rPr>
        <w:t xml:space="preserve"> is already more established as a therapy in relapsed or refractory CLL</w:t>
      </w:r>
      <w:r w:rsidR="00EA177E" w:rsidRPr="003A2EA3">
        <w:rPr>
          <w:rFonts w:asciiTheme="minorHAnsi" w:hAnsiTheme="minorHAnsi"/>
        </w:rPr>
        <w:t>. This has reduced the residual unmet clinical need in relapsed or refractory CLL</w:t>
      </w:r>
      <w:r w:rsidR="006E2007" w:rsidRPr="003A2EA3">
        <w:rPr>
          <w:rFonts w:asciiTheme="minorHAnsi" w:hAnsiTheme="minorHAnsi"/>
        </w:rPr>
        <w:t>,</w:t>
      </w:r>
      <w:r w:rsidR="00EA177E" w:rsidRPr="003A2EA3">
        <w:rPr>
          <w:rFonts w:asciiTheme="minorHAnsi" w:hAnsiTheme="minorHAnsi"/>
        </w:rPr>
        <w:t xml:space="preserve"> thus weakening </w:t>
      </w:r>
      <w:r w:rsidR="006E2007" w:rsidRPr="003A2EA3">
        <w:rPr>
          <w:rFonts w:asciiTheme="minorHAnsi" w:hAnsiTheme="minorHAnsi"/>
        </w:rPr>
        <w:t xml:space="preserve">the </w:t>
      </w:r>
      <w:r w:rsidR="0044673C" w:rsidRPr="003A2EA3">
        <w:rPr>
          <w:rFonts w:asciiTheme="minorHAnsi" w:hAnsiTheme="minorHAnsi"/>
        </w:rPr>
        <w:t xml:space="preserve">current </w:t>
      </w:r>
      <w:r w:rsidR="006E2007" w:rsidRPr="003A2EA3">
        <w:rPr>
          <w:rFonts w:asciiTheme="minorHAnsi" w:hAnsiTheme="minorHAnsi"/>
        </w:rPr>
        <w:t xml:space="preserve">submission’s </w:t>
      </w:r>
      <w:r w:rsidR="002135D4" w:rsidRPr="003A2EA3">
        <w:rPr>
          <w:rFonts w:asciiTheme="minorHAnsi" w:hAnsiTheme="minorHAnsi"/>
        </w:rPr>
        <w:t xml:space="preserve">request </w:t>
      </w:r>
      <w:r w:rsidR="00EA177E" w:rsidRPr="003A2EA3">
        <w:rPr>
          <w:rFonts w:asciiTheme="minorHAnsi" w:hAnsiTheme="minorHAnsi"/>
        </w:rPr>
        <w:t xml:space="preserve">for </w:t>
      </w:r>
      <w:r w:rsidR="006E2007" w:rsidRPr="003A2EA3">
        <w:rPr>
          <w:rFonts w:asciiTheme="minorHAnsi" w:hAnsiTheme="minorHAnsi"/>
        </w:rPr>
        <w:t xml:space="preserve">the PBAC to </w:t>
      </w:r>
      <w:r w:rsidR="00EA177E" w:rsidRPr="003A2EA3">
        <w:rPr>
          <w:rFonts w:asciiTheme="minorHAnsi" w:hAnsiTheme="minorHAnsi"/>
        </w:rPr>
        <w:t xml:space="preserve">rely on </w:t>
      </w:r>
      <w:r w:rsidR="002135D4" w:rsidRPr="003A2EA3">
        <w:rPr>
          <w:rFonts w:asciiTheme="minorHAnsi" w:hAnsiTheme="minorHAnsi"/>
        </w:rPr>
        <w:t xml:space="preserve">arguably </w:t>
      </w:r>
      <w:r w:rsidR="00EA177E" w:rsidRPr="003A2EA3">
        <w:rPr>
          <w:rFonts w:asciiTheme="minorHAnsi" w:hAnsiTheme="minorHAnsi"/>
        </w:rPr>
        <w:t xml:space="preserve">similarly weak evidence for </w:t>
      </w:r>
      <w:proofErr w:type="spellStart"/>
      <w:r w:rsidR="00EA177E" w:rsidRPr="003A2EA3">
        <w:rPr>
          <w:rFonts w:asciiTheme="minorHAnsi" w:hAnsiTheme="minorHAnsi"/>
        </w:rPr>
        <w:t>venetoclax</w:t>
      </w:r>
      <w:proofErr w:type="spellEnd"/>
      <w:r w:rsidR="00EA177E" w:rsidRPr="003A2EA3">
        <w:rPr>
          <w:rFonts w:asciiTheme="minorHAnsi" w:hAnsiTheme="minorHAnsi"/>
        </w:rPr>
        <w:t xml:space="preserve"> as the next presented </w:t>
      </w:r>
      <w:r w:rsidR="002135D4" w:rsidRPr="003A2EA3">
        <w:rPr>
          <w:rFonts w:asciiTheme="minorHAnsi" w:hAnsiTheme="minorHAnsi"/>
        </w:rPr>
        <w:t>therapy</w:t>
      </w:r>
      <w:r w:rsidR="00EA177E" w:rsidRPr="003A2EA3">
        <w:rPr>
          <w:rFonts w:asciiTheme="minorHAnsi" w:hAnsiTheme="minorHAnsi"/>
        </w:rPr>
        <w:t>. The PBAC remained of the view that it was impossible to reliably assess the claim of non</w:t>
      </w:r>
      <w:r w:rsidR="00B059CE">
        <w:rPr>
          <w:rFonts w:asciiTheme="minorHAnsi" w:hAnsiTheme="minorHAnsi"/>
        </w:rPr>
        <w:t>-</w:t>
      </w:r>
      <w:r w:rsidR="00EA177E" w:rsidRPr="003A2EA3">
        <w:rPr>
          <w:rFonts w:asciiTheme="minorHAnsi" w:hAnsiTheme="minorHAnsi"/>
        </w:rPr>
        <w:t xml:space="preserve">inferior comparative effectiveness </w:t>
      </w:r>
      <w:r w:rsidR="006E2007" w:rsidRPr="003A2EA3">
        <w:rPr>
          <w:rFonts w:asciiTheme="minorHAnsi" w:hAnsiTheme="minorHAnsi"/>
        </w:rPr>
        <w:t xml:space="preserve">between </w:t>
      </w:r>
      <w:proofErr w:type="spellStart"/>
      <w:r w:rsidR="006E2007" w:rsidRPr="003A2EA3">
        <w:rPr>
          <w:rFonts w:asciiTheme="minorHAnsi" w:hAnsiTheme="minorHAnsi"/>
        </w:rPr>
        <w:t>venetoclax</w:t>
      </w:r>
      <w:proofErr w:type="spellEnd"/>
      <w:r w:rsidR="006E2007" w:rsidRPr="003A2EA3">
        <w:rPr>
          <w:rFonts w:asciiTheme="minorHAnsi" w:hAnsiTheme="minorHAnsi"/>
        </w:rPr>
        <w:t xml:space="preserve"> and </w:t>
      </w:r>
      <w:proofErr w:type="spellStart"/>
      <w:r w:rsidR="00EA177E" w:rsidRPr="003A2EA3">
        <w:rPr>
          <w:rFonts w:asciiTheme="minorHAnsi" w:hAnsiTheme="minorHAnsi"/>
        </w:rPr>
        <w:t>ibrutinib</w:t>
      </w:r>
      <w:proofErr w:type="spellEnd"/>
      <w:r w:rsidR="00EA177E" w:rsidRPr="003A2EA3">
        <w:rPr>
          <w:rFonts w:asciiTheme="minorHAnsi" w:hAnsiTheme="minorHAnsi"/>
        </w:rPr>
        <w:t xml:space="preserve">, and </w:t>
      </w:r>
      <w:r w:rsidR="0044673C" w:rsidRPr="003A2EA3">
        <w:rPr>
          <w:rFonts w:asciiTheme="minorHAnsi" w:hAnsiTheme="minorHAnsi"/>
        </w:rPr>
        <w:t xml:space="preserve">considered </w:t>
      </w:r>
      <w:r w:rsidR="00EA177E" w:rsidRPr="003A2EA3">
        <w:rPr>
          <w:rFonts w:asciiTheme="minorHAnsi" w:hAnsiTheme="minorHAnsi"/>
        </w:rPr>
        <w:t>that this was important given the context of a relatively common cancer, where alternative therapies (</w:t>
      </w:r>
      <w:proofErr w:type="spellStart"/>
      <w:r w:rsidR="00EA177E" w:rsidRPr="003A2EA3">
        <w:rPr>
          <w:rFonts w:asciiTheme="minorHAnsi" w:hAnsiTheme="minorHAnsi"/>
        </w:rPr>
        <w:t>ibrutinib</w:t>
      </w:r>
      <w:proofErr w:type="spellEnd"/>
      <w:r w:rsidR="00EA177E" w:rsidRPr="003A2EA3">
        <w:rPr>
          <w:rFonts w:asciiTheme="minorHAnsi" w:hAnsiTheme="minorHAnsi"/>
        </w:rPr>
        <w:t xml:space="preserve"> and </w:t>
      </w:r>
      <w:proofErr w:type="spellStart"/>
      <w:r w:rsidR="00EA177E" w:rsidRPr="003A2EA3">
        <w:rPr>
          <w:rFonts w:asciiTheme="minorHAnsi" w:hAnsiTheme="minorHAnsi"/>
        </w:rPr>
        <w:t>idelalisib</w:t>
      </w:r>
      <w:proofErr w:type="spellEnd"/>
      <w:r w:rsidR="00EA177E" w:rsidRPr="003A2EA3">
        <w:rPr>
          <w:rFonts w:asciiTheme="minorHAnsi" w:hAnsiTheme="minorHAnsi"/>
        </w:rPr>
        <w:t xml:space="preserve">) have recently </w:t>
      </w:r>
      <w:r w:rsidR="00500CD2" w:rsidRPr="003A2EA3">
        <w:rPr>
          <w:rFonts w:asciiTheme="minorHAnsi" w:hAnsiTheme="minorHAnsi"/>
        </w:rPr>
        <w:t>been recommended</w:t>
      </w:r>
      <w:r w:rsidR="00905ED7" w:rsidRPr="003A2EA3">
        <w:rPr>
          <w:rFonts w:asciiTheme="minorHAnsi" w:hAnsiTheme="minorHAnsi"/>
        </w:rPr>
        <w:t xml:space="preserve"> for listing</w:t>
      </w:r>
      <w:r w:rsidR="00EA177E" w:rsidRPr="003A2EA3">
        <w:rPr>
          <w:rFonts w:asciiTheme="minorHAnsi" w:hAnsiTheme="minorHAnsi"/>
        </w:rPr>
        <w:t xml:space="preserve">. </w:t>
      </w:r>
      <w:r w:rsidR="00EA177E" w:rsidRPr="00C27F96">
        <w:rPr>
          <w:rFonts w:asciiTheme="minorHAnsi" w:hAnsiTheme="minorHAnsi"/>
        </w:rPr>
        <w:t xml:space="preserve">The PBAC also considered that it was likely that there are potentially important differences across these therapies, and thus stronger evidence was needed to </w:t>
      </w:r>
      <w:r w:rsidR="006E2007" w:rsidRPr="003A2EA3">
        <w:rPr>
          <w:rFonts w:asciiTheme="minorHAnsi" w:hAnsiTheme="minorHAnsi"/>
        </w:rPr>
        <w:t xml:space="preserve">subsequently </w:t>
      </w:r>
      <w:r w:rsidR="00EA177E" w:rsidRPr="003A2EA3">
        <w:rPr>
          <w:rFonts w:asciiTheme="minorHAnsi" w:hAnsiTheme="minorHAnsi"/>
        </w:rPr>
        <w:t xml:space="preserve">support listing of </w:t>
      </w:r>
      <w:proofErr w:type="spellStart"/>
      <w:r w:rsidR="006E2007" w:rsidRPr="003A2EA3">
        <w:rPr>
          <w:rFonts w:asciiTheme="minorHAnsi" w:hAnsiTheme="minorHAnsi"/>
        </w:rPr>
        <w:t>venetoclax</w:t>
      </w:r>
      <w:proofErr w:type="spellEnd"/>
      <w:r w:rsidR="006E2007" w:rsidRPr="003A2EA3">
        <w:rPr>
          <w:rFonts w:asciiTheme="minorHAnsi" w:hAnsiTheme="minorHAnsi"/>
        </w:rPr>
        <w:t xml:space="preserve"> </w:t>
      </w:r>
      <w:r w:rsidR="002135D4" w:rsidRPr="003A2EA3">
        <w:rPr>
          <w:rFonts w:asciiTheme="minorHAnsi" w:hAnsiTheme="minorHAnsi"/>
        </w:rPr>
        <w:t xml:space="preserve">for the same </w:t>
      </w:r>
      <w:r w:rsidR="00EA177E" w:rsidRPr="003A2EA3">
        <w:rPr>
          <w:rFonts w:asciiTheme="minorHAnsi" w:hAnsiTheme="minorHAnsi"/>
        </w:rPr>
        <w:t>earlier line of treatment.</w:t>
      </w:r>
    </w:p>
    <w:p w:rsidR="000D435E" w:rsidRPr="00D05FB9" w:rsidRDefault="000D435E" w:rsidP="000D435E">
      <w:pPr>
        <w:widowControl w:val="0"/>
        <w:jc w:val="both"/>
        <w:rPr>
          <w:rFonts w:asciiTheme="minorHAnsi" w:hAnsiTheme="minorHAnsi" w:cs="Arial"/>
          <w:bCs/>
          <w:snapToGrid w:val="0"/>
        </w:rPr>
      </w:pPr>
    </w:p>
    <w:p w:rsidR="001651C9" w:rsidRPr="00D05FB9" w:rsidRDefault="00D75125" w:rsidP="000D435E">
      <w:pPr>
        <w:widowControl w:val="0"/>
        <w:numPr>
          <w:ilvl w:val="1"/>
          <w:numId w:val="5"/>
        </w:numPr>
        <w:jc w:val="both"/>
        <w:rPr>
          <w:rFonts w:asciiTheme="minorHAnsi" w:hAnsiTheme="minorHAnsi" w:cs="Arial"/>
          <w:bCs/>
          <w:snapToGrid w:val="0"/>
        </w:rPr>
      </w:pPr>
      <w:r w:rsidRPr="00D05FB9">
        <w:rPr>
          <w:rFonts w:asciiTheme="minorHAnsi" w:hAnsiTheme="minorHAnsi" w:cs="Arial"/>
          <w:bCs/>
          <w:snapToGrid w:val="0"/>
        </w:rPr>
        <w:t xml:space="preserve">The PBAC confirmed that there </w:t>
      </w:r>
      <w:r w:rsidR="00A00259" w:rsidRPr="00D05FB9">
        <w:rPr>
          <w:rFonts w:asciiTheme="minorHAnsi" w:hAnsiTheme="minorHAnsi" w:cs="Arial"/>
          <w:bCs/>
          <w:snapToGrid w:val="0"/>
        </w:rPr>
        <w:t>would remain</w:t>
      </w:r>
      <w:r w:rsidRPr="00D05FB9">
        <w:rPr>
          <w:rFonts w:asciiTheme="minorHAnsi" w:hAnsiTheme="minorHAnsi" w:cs="Arial"/>
          <w:bCs/>
          <w:snapToGrid w:val="0"/>
        </w:rPr>
        <w:t xml:space="preserve"> a </w:t>
      </w:r>
      <w:r w:rsidR="00EA177E" w:rsidRPr="00D05FB9">
        <w:rPr>
          <w:rFonts w:asciiTheme="minorHAnsi" w:hAnsiTheme="minorHAnsi" w:cs="Arial"/>
          <w:bCs/>
          <w:snapToGrid w:val="0"/>
        </w:rPr>
        <w:t xml:space="preserve">residual unmet </w:t>
      </w:r>
      <w:r w:rsidRPr="00D05FB9">
        <w:rPr>
          <w:rFonts w:asciiTheme="minorHAnsi" w:hAnsiTheme="minorHAnsi" w:cs="Arial"/>
          <w:bCs/>
          <w:snapToGrid w:val="0"/>
        </w:rPr>
        <w:t>clinical need for further treatment options in relapsed or refractory CLL</w:t>
      </w:r>
      <w:r w:rsidR="0044673C" w:rsidRPr="00D05FB9">
        <w:rPr>
          <w:rFonts w:asciiTheme="minorHAnsi" w:hAnsiTheme="minorHAnsi" w:cs="Arial"/>
          <w:bCs/>
          <w:snapToGrid w:val="0"/>
        </w:rPr>
        <w:t xml:space="preserve"> following failure with an initial kinase inhibitor</w:t>
      </w:r>
      <w:r w:rsidR="004F04D3" w:rsidRPr="00D05FB9">
        <w:rPr>
          <w:rFonts w:asciiTheme="minorHAnsi" w:hAnsiTheme="minorHAnsi" w:cs="Arial"/>
          <w:bCs/>
          <w:snapToGrid w:val="0"/>
        </w:rPr>
        <w:t>,</w:t>
      </w:r>
      <w:r w:rsidRPr="00D05FB9">
        <w:rPr>
          <w:rFonts w:asciiTheme="minorHAnsi" w:hAnsiTheme="minorHAnsi" w:cs="Arial"/>
          <w:bCs/>
          <w:snapToGrid w:val="0"/>
        </w:rPr>
        <w:t xml:space="preserve"> and that </w:t>
      </w:r>
      <w:r w:rsidR="00EA177E" w:rsidRPr="00D05FB9">
        <w:rPr>
          <w:rFonts w:asciiTheme="minorHAnsi" w:hAnsiTheme="minorHAnsi" w:cs="Arial"/>
          <w:bCs/>
          <w:snapToGrid w:val="0"/>
        </w:rPr>
        <w:t xml:space="preserve">the place of </w:t>
      </w:r>
      <w:proofErr w:type="spellStart"/>
      <w:r w:rsidRPr="00D05FB9">
        <w:rPr>
          <w:rFonts w:asciiTheme="minorHAnsi" w:hAnsiTheme="minorHAnsi" w:cs="Arial"/>
          <w:bCs/>
          <w:snapToGrid w:val="0"/>
        </w:rPr>
        <w:t>venetoclax</w:t>
      </w:r>
      <w:proofErr w:type="spellEnd"/>
      <w:r w:rsidRPr="00D05FB9">
        <w:rPr>
          <w:rFonts w:asciiTheme="minorHAnsi" w:hAnsiTheme="minorHAnsi" w:cs="Arial"/>
          <w:bCs/>
          <w:snapToGrid w:val="0"/>
        </w:rPr>
        <w:t xml:space="preserve"> treatment </w:t>
      </w:r>
      <w:r w:rsidR="00EA177E" w:rsidRPr="00D05FB9">
        <w:rPr>
          <w:rFonts w:asciiTheme="minorHAnsi" w:hAnsiTheme="minorHAnsi" w:cs="Arial"/>
          <w:bCs/>
          <w:snapToGrid w:val="0"/>
        </w:rPr>
        <w:t xml:space="preserve">would </w:t>
      </w:r>
      <w:r w:rsidR="002135D4" w:rsidRPr="00D05FB9">
        <w:rPr>
          <w:rFonts w:asciiTheme="minorHAnsi" w:hAnsiTheme="minorHAnsi" w:cs="Arial"/>
          <w:bCs/>
          <w:snapToGrid w:val="0"/>
        </w:rPr>
        <w:t xml:space="preserve">be </w:t>
      </w:r>
      <w:r w:rsidR="00EA177E" w:rsidRPr="00D05FB9">
        <w:rPr>
          <w:rFonts w:asciiTheme="minorHAnsi" w:hAnsiTheme="minorHAnsi" w:cs="Arial"/>
          <w:bCs/>
          <w:snapToGrid w:val="0"/>
        </w:rPr>
        <w:t xml:space="preserve">more likely </w:t>
      </w:r>
      <w:r w:rsidR="002135D4" w:rsidRPr="00D05FB9">
        <w:rPr>
          <w:rFonts w:asciiTheme="minorHAnsi" w:hAnsiTheme="minorHAnsi" w:cs="Arial"/>
          <w:bCs/>
          <w:snapToGrid w:val="0"/>
        </w:rPr>
        <w:t xml:space="preserve">to </w:t>
      </w:r>
      <w:r w:rsidR="00EA177E" w:rsidRPr="00D05FB9">
        <w:rPr>
          <w:rFonts w:asciiTheme="minorHAnsi" w:hAnsiTheme="minorHAnsi" w:cs="Arial"/>
          <w:bCs/>
          <w:snapToGrid w:val="0"/>
        </w:rPr>
        <w:t xml:space="preserve">be </w:t>
      </w:r>
      <w:r w:rsidRPr="00D05FB9">
        <w:rPr>
          <w:rFonts w:asciiTheme="minorHAnsi" w:hAnsiTheme="minorHAnsi" w:cs="Arial"/>
          <w:bCs/>
          <w:snapToGrid w:val="0"/>
        </w:rPr>
        <w:t xml:space="preserve">in this </w:t>
      </w:r>
      <w:r w:rsidR="004F04D3" w:rsidRPr="00D05FB9">
        <w:rPr>
          <w:rFonts w:asciiTheme="minorHAnsi" w:hAnsiTheme="minorHAnsi" w:cs="Arial"/>
          <w:bCs/>
          <w:snapToGrid w:val="0"/>
        </w:rPr>
        <w:t>other requested population</w:t>
      </w:r>
      <w:r w:rsidR="00680AEF" w:rsidRPr="00D05FB9">
        <w:rPr>
          <w:rFonts w:asciiTheme="minorHAnsi" w:hAnsiTheme="minorHAnsi" w:cs="Arial"/>
          <w:bCs/>
          <w:snapToGrid w:val="0"/>
        </w:rPr>
        <w:t xml:space="preserve"> as an alternative to </w:t>
      </w:r>
      <w:proofErr w:type="spellStart"/>
      <w:r w:rsidR="00680AEF" w:rsidRPr="00D05FB9">
        <w:rPr>
          <w:rFonts w:asciiTheme="minorHAnsi" w:hAnsiTheme="minorHAnsi" w:cs="Arial"/>
          <w:bCs/>
          <w:snapToGrid w:val="0"/>
        </w:rPr>
        <w:t>idelalisib</w:t>
      </w:r>
      <w:proofErr w:type="spellEnd"/>
      <w:r w:rsidR="00680AEF" w:rsidRPr="00D05FB9">
        <w:rPr>
          <w:rFonts w:asciiTheme="minorHAnsi" w:hAnsiTheme="minorHAnsi" w:cs="Arial"/>
          <w:bCs/>
          <w:snapToGrid w:val="0"/>
        </w:rPr>
        <w:t xml:space="preserve"> with rituximab</w:t>
      </w:r>
      <w:r w:rsidRPr="00D05FB9">
        <w:rPr>
          <w:rFonts w:asciiTheme="minorHAnsi" w:hAnsiTheme="minorHAnsi" w:cs="Arial"/>
          <w:bCs/>
          <w:snapToGrid w:val="0"/>
        </w:rPr>
        <w:t>.</w:t>
      </w:r>
      <w:r w:rsidR="002135D4" w:rsidRPr="00D05FB9">
        <w:rPr>
          <w:rFonts w:asciiTheme="minorHAnsi" w:hAnsiTheme="minorHAnsi" w:cs="Arial"/>
          <w:bCs/>
          <w:snapToGrid w:val="0"/>
        </w:rPr>
        <w:t xml:space="preserve"> </w:t>
      </w:r>
      <w:r w:rsidR="00EA177E" w:rsidRPr="003A2EA3">
        <w:rPr>
          <w:rFonts w:asciiTheme="minorHAnsi" w:hAnsiTheme="minorHAnsi"/>
        </w:rPr>
        <w:t xml:space="preserve">The PBAC further considered that, from the </w:t>
      </w:r>
      <w:r w:rsidR="00167125">
        <w:rPr>
          <w:rFonts w:asciiTheme="minorHAnsi" w:hAnsiTheme="minorHAnsi"/>
        </w:rPr>
        <w:t xml:space="preserve">limited </w:t>
      </w:r>
      <w:r w:rsidR="00EA177E" w:rsidRPr="003A2EA3">
        <w:rPr>
          <w:rFonts w:asciiTheme="minorHAnsi" w:hAnsiTheme="minorHAnsi"/>
        </w:rPr>
        <w:t>evidence currently available,</w:t>
      </w:r>
      <w:r w:rsidR="00EA177E" w:rsidRPr="00C27F96">
        <w:rPr>
          <w:rFonts w:asciiTheme="minorHAnsi" w:hAnsiTheme="minorHAnsi"/>
        </w:rPr>
        <w:t xml:space="preserve"> </w:t>
      </w:r>
      <w:proofErr w:type="spellStart"/>
      <w:r w:rsidR="00EA177E" w:rsidRPr="00C27F96">
        <w:rPr>
          <w:rFonts w:asciiTheme="minorHAnsi" w:hAnsiTheme="minorHAnsi"/>
        </w:rPr>
        <w:t>venetoclax</w:t>
      </w:r>
      <w:proofErr w:type="spellEnd"/>
      <w:r w:rsidR="00EA177E" w:rsidRPr="00C27F96">
        <w:rPr>
          <w:rFonts w:asciiTheme="minorHAnsi" w:hAnsiTheme="minorHAnsi"/>
        </w:rPr>
        <w:t xml:space="preserve"> was likely to be clinically non</w:t>
      </w:r>
      <w:r w:rsidR="00B059CE">
        <w:rPr>
          <w:rFonts w:asciiTheme="minorHAnsi" w:hAnsiTheme="minorHAnsi"/>
        </w:rPr>
        <w:t>-</w:t>
      </w:r>
      <w:r w:rsidR="00EA177E" w:rsidRPr="00C27F96">
        <w:rPr>
          <w:rFonts w:asciiTheme="minorHAnsi" w:hAnsiTheme="minorHAnsi"/>
        </w:rPr>
        <w:t xml:space="preserve">inferior to </w:t>
      </w:r>
      <w:proofErr w:type="spellStart"/>
      <w:r w:rsidR="00EA177E" w:rsidRPr="00C27F96">
        <w:rPr>
          <w:rFonts w:asciiTheme="minorHAnsi" w:hAnsiTheme="minorHAnsi"/>
        </w:rPr>
        <w:t>idelalisib</w:t>
      </w:r>
      <w:proofErr w:type="spellEnd"/>
      <w:r w:rsidR="00EA177E" w:rsidRPr="00C27F96">
        <w:rPr>
          <w:rFonts w:asciiTheme="minorHAnsi" w:hAnsiTheme="minorHAnsi"/>
        </w:rPr>
        <w:t xml:space="preserve"> with rituximab after failure of a kinase inhibitor in relapsed or refractory CLL.</w:t>
      </w:r>
    </w:p>
    <w:p w:rsidR="000D435E" w:rsidRPr="00D05FB9" w:rsidRDefault="000D435E" w:rsidP="000D435E">
      <w:pPr>
        <w:widowControl w:val="0"/>
        <w:jc w:val="both"/>
        <w:rPr>
          <w:rFonts w:asciiTheme="minorHAnsi" w:hAnsiTheme="minorHAnsi" w:cs="Arial"/>
          <w:bCs/>
          <w:snapToGrid w:val="0"/>
        </w:rPr>
      </w:pPr>
    </w:p>
    <w:p w:rsidR="001651C9" w:rsidRPr="00346199" w:rsidRDefault="001651C9" w:rsidP="0032430E">
      <w:pPr>
        <w:widowControl w:val="0"/>
        <w:numPr>
          <w:ilvl w:val="1"/>
          <w:numId w:val="5"/>
        </w:numPr>
        <w:jc w:val="both"/>
        <w:rPr>
          <w:rFonts w:asciiTheme="minorHAnsi" w:hAnsiTheme="minorHAnsi" w:cs="Arial"/>
          <w:bCs/>
          <w:snapToGrid w:val="0"/>
        </w:rPr>
      </w:pPr>
      <w:r w:rsidRPr="00D05FB9">
        <w:rPr>
          <w:rFonts w:asciiTheme="minorHAnsi" w:hAnsiTheme="minorHAnsi" w:cs="Arial"/>
          <w:bCs/>
          <w:snapToGrid w:val="0"/>
        </w:rPr>
        <w:t xml:space="preserve">The PBAC recommended that </w:t>
      </w:r>
      <w:proofErr w:type="spellStart"/>
      <w:r w:rsidRPr="00D05FB9">
        <w:rPr>
          <w:rFonts w:asciiTheme="minorHAnsi" w:hAnsiTheme="minorHAnsi" w:cs="Arial"/>
          <w:bCs/>
          <w:snapToGrid w:val="0"/>
        </w:rPr>
        <w:t>venetoclax</w:t>
      </w:r>
      <w:proofErr w:type="spellEnd"/>
      <w:r w:rsidRPr="00D05FB9">
        <w:rPr>
          <w:rFonts w:asciiTheme="minorHAnsi" w:hAnsiTheme="minorHAnsi" w:cs="Arial"/>
          <w:bCs/>
          <w:snapToGrid w:val="0"/>
        </w:rPr>
        <w:t xml:space="preserve"> be cost minimised against </w:t>
      </w:r>
      <w:proofErr w:type="spellStart"/>
      <w:r w:rsidRPr="00D05FB9">
        <w:rPr>
          <w:rFonts w:asciiTheme="minorHAnsi" w:hAnsiTheme="minorHAnsi" w:cs="Arial"/>
          <w:bCs/>
          <w:snapToGrid w:val="0"/>
        </w:rPr>
        <w:t>idelalisib</w:t>
      </w:r>
      <w:proofErr w:type="spellEnd"/>
      <w:r w:rsidRPr="00D05FB9">
        <w:rPr>
          <w:rFonts w:asciiTheme="minorHAnsi" w:hAnsiTheme="minorHAnsi" w:cs="Arial"/>
          <w:bCs/>
          <w:snapToGrid w:val="0"/>
        </w:rPr>
        <w:t xml:space="preserve"> on the basis </w:t>
      </w:r>
      <w:r w:rsidR="0032430E" w:rsidRPr="003A2EA3">
        <w:rPr>
          <w:rFonts w:asciiTheme="minorHAnsi" w:hAnsiTheme="minorHAnsi"/>
        </w:rPr>
        <w:t>of the clinical studies provided</w:t>
      </w:r>
      <w:r w:rsidR="00017DFD" w:rsidRPr="003A2EA3">
        <w:rPr>
          <w:rFonts w:asciiTheme="minorHAnsi" w:hAnsiTheme="minorHAnsi"/>
        </w:rPr>
        <w:t xml:space="preserve"> with sponsor-sourced modelled extrapolations of treatment duration</w:t>
      </w:r>
      <w:r w:rsidR="00C27F96">
        <w:rPr>
          <w:rFonts w:asciiTheme="minorHAnsi" w:hAnsiTheme="minorHAnsi"/>
        </w:rPr>
        <w:t>. The PBAC a</w:t>
      </w:r>
      <w:r w:rsidR="00D05FB9">
        <w:rPr>
          <w:rFonts w:asciiTheme="minorHAnsi" w:hAnsiTheme="minorHAnsi"/>
        </w:rPr>
        <w:t>dvised</w:t>
      </w:r>
      <w:r w:rsidR="0032430E" w:rsidRPr="003A2EA3">
        <w:rPr>
          <w:rFonts w:asciiTheme="minorHAnsi" w:hAnsiTheme="minorHAnsi"/>
        </w:rPr>
        <w:t xml:space="preserve"> </w:t>
      </w:r>
      <w:r w:rsidRPr="00346199">
        <w:rPr>
          <w:rFonts w:asciiTheme="minorHAnsi" w:hAnsiTheme="minorHAnsi" w:cs="Arial"/>
          <w:bCs/>
          <w:snapToGrid w:val="0"/>
        </w:rPr>
        <w:t xml:space="preserve">that 400 mg/day </w:t>
      </w:r>
      <w:proofErr w:type="spellStart"/>
      <w:r w:rsidRPr="00346199">
        <w:rPr>
          <w:rFonts w:asciiTheme="minorHAnsi" w:hAnsiTheme="minorHAnsi" w:cs="Arial"/>
          <w:bCs/>
          <w:snapToGrid w:val="0"/>
        </w:rPr>
        <w:t>venetoclax</w:t>
      </w:r>
      <w:proofErr w:type="spellEnd"/>
      <w:r w:rsidRPr="00346199">
        <w:rPr>
          <w:rFonts w:asciiTheme="minorHAnsi" w:hAnsiTheme="minorHAnsi" w:cs="Arial"/>
          <w:bCs/>
          <w:snapToGrid w:val="0"/>
        </w:rPr>
        <w:t xml:space="preserve"> </w:t>
      </w:r>
      <w:r w:rsidR="001E6E3E" w:rsidRPr="00346199">
        <w:rPr>
          <w:rFonts w:asciiTheme="minorHAnsi" w:hAnsiTheme="minorHAnsi" w:cs="Arial"/>
          <w:bCs/>
          <w:snapToGrid w:val="0"/>
        </w:rPr>
        <w:t>for 2</w:t>
      </w:r>
      <w:r w:rsidR="008E01E3" w:rsidRPr="00346199">
        <w:rPr>
          <w:rFonts w:asciiTheme="minorHAnsi" w:hAnsiTheme="minorHAnsi" w:cs="Arial"/>
          <w:bCs/>
          <w:snapToGrid w:val="0"/>
        </w:rPr>
        <w:t>4</w:t>
      </w:r>
      <w:r w:rsidR="001E6E3E" w:rsidRPr="00346199">
        <w:rPr>
          <w:rFonts w:asciiTheme="minorHAnsi" w:hAnsiTheme="minorHAnsi" w:cs="Arial"/>
          <w:bCs/>
          <w:snapToGrid w:val="0"/>
        </w:rPr>
        <w:t xml:space="preserve"> months </w:t>
      </w:r>
      <w:r w:rsidR="00346199">
        <w:rPr>
          <w:rFonts w:asciiTheme="minorHAnsi" w:hAnsiTheme="minorHAnsi" w:cs="Arial"/>
          <w:bCs/>
          <w:snapToGrid w:val="0"/>
        </w:rPr>
        <w:t xml:space="preserve">and </w:t>
      </w:r>
      <w:r w:rsidRPr="00346199">
        <w:rPr>
          <w:rFonts w:asciiTheme="minorHAnsi" w:hAnsiTheme="minorHAnsi" w:cs="Arial"/>
          <w:bCs/>
          <w:snapToGrid w:val="0"/>
        </w:rPr>
        <w:t xml:space="preserve">300 mg/day </w:t>
      </w:r>
      <w:proofErr w:type="spellStart"/>
      <w:r w:rsidRPr="00346199">
        <w:rPr>
          <w:rFonts w:asciiTheme="minorHAnsi" w:hAnsiTheme="minorHAnsi" w:cs="Arial"/>
          <w:bCs/>
          <w:snapToGrid w:val="0"/>
        </w:rPr>
        <w:t>idelalisib</w:t>
      </w:r>
      <w:proofErr w:type="spellEnd"/>
      <w:r w:rsidRPr="00346199">
        <w:rPr>
          <w:rFonts w:asciiTheme="minorHAnsi" w:hAnsiTheme="minorHAnsi" w:cs="Arial"/>
          <w:bCs/>
          <w:snapToGrid w:val="0"/>
        </w:rPr>
        <w:t xml:space="preserve"> </w:t>
      </w:r>
      <w:r w:rsidR="001E6E3E" w:rsidRPr="00346199">
        <w:rPr>
          <w:rFonts w:asciiTheme="minorHAnsi" w:hAnsiTheme="minorHAnsi" w:cs="Arial"/>
          <w:bCs/>
          <w:snapToGrid w:val="0"/>
        </w:rPr>
        <w:t xml:space="preserve">for </w:t>
      </w:r>
      <w:r w:rsidR="00024A0B">
        <w:rPr>
          <w:rFonts w:asciiTheme="minorHAnsi" w:hAnsiTheme="minorHAnsi" w:cs="Arial"/>
          <w:bCs/>
          <w:noProof/>
          <w:snapToGrid w:val="0"/>
          <w:color w:val="000000"/>
          <w:highlight w:val="black"/>
        </w:rPr>
        <w:t>''''''''</w:t>
      </w:r>
      <w:r w:rsidR="001E6E3E" w:rsidRPr="00346199">
        <w:rPr>
          <w:rFonts w:asciiTheme="minorHAnsi" w:hAnsiTheme="minorHAnsi" w:cs="Arial"/>
          <w:bCs/>
          <w:snapToGrid w:val="0"/>
        </w:rPr>
        <w:t xml:space="preserve"> months</w:t>
      </w:r>
      <w:r w:rsidR="00931423" w:rsidRPr="00346199">
        <w:rPr>
          <w:rFonts w:asciiTheme="minorHAnsi" w:hAnsiTheme="minorHAnsi" w:cs="Arial"/>
          <w:bCs/>
          <w:snapToGrid w:val="0"/>
        </w:rPr>
        <w:t xml:space="preserve"> </w:t>
      </w:r>
      <w:r w:rsidR="00960B25">
        <w:rPr>
          <w:rFonts w:asciiTheme="minorHAnsi" w:hAnsiTheme="minorHAnsi" w:cs="Arial"/>
          <w:bCs/>
          <w:snapToGrid w:val="0"/>
        </w:rPr>
        <w:t>with</w:t>
      </w:r>
      <w:r w:rsidRPr="00346199">
        <w:rPr>
          <w:rFonts w:asciiTheme="minorHAnsi" w:hAnsiTheme="minorHAnsi" w:cs="Arial"/>
          <w:bCs/>
          <w:snapToGrid w:val="0"/>
        </w:rPr>
        <w:t xml:space="preserve"> rituximab 500 mg/m</w:t>
      </w:r>
      <w:r w:rsidRPr="00346199">
        <w:rPr>
          <w:rFonts w:asciiTheme="minorHAnsi" w:hAnsiTheme="minorHAnsi" w:cs="Arial"/>
          <w:bCs/>
          <w:snapToGrid w:val="0"/>
          <w:vertAlign w:val="superscript"/>
        </w:rPr>
        <w:t>2</w:t>
      </w:r>
      <w:r w:rsidRPr="00346199">
        <w:rPr>
          <w:rFonts w:asciiTheme="minorHAnsi" w:hAnsiTheme="minorHAnsi" w:cs="Arial"/>
          <w:bCs/>
          <w:snapToGrid w:val="0"/>
        </w:rPr>
        <w:t xml:space="preserve"> every 4 weeks for 6 months</w:t>
      </w:r>
      <w:r w:rsidR="00346199">
        <w:rPr>
          <w:rFonts w:asciiTheme="minorHAnsi" w:hAnsiTheme="minorHAnsi" w:cs="Arial"/>
          <w:bCs/>
          <w:snapToGrid w:val="0"/>
        </w:rPr>
        <w:t xml:space="preserve"> are </w:t>
      </w:r>
      <w:proofErr w:type="spellStart"/>
      <w:r w:rsidR="00346199">
        <w:rPr>
          <w:rFonts w:asciiTheme="minorHAnsi" w:hAnsiTheme="minorHAnsi" w:cs="Arial"/>
          <w:bCs/>
          <w:snapToGrid w:val="0"/>
        </w:rPr>
        <w:t>equi</w:t>
      </w:r>
      <w:proofErr w:type="spellEnd"/>
      <w:r w:rsidR="00346199">
        <w:rPr>
          <w:rFonts w:asciiTheme="minorHAnsi" w:hAnsiTheme="minorHAnsi" w:cs="Arial"/>
          <w:bCs/>
          <w:snapToGrid w:val="0"/>
        </w:rPr>
        <w:t>-effec</w:t>
      </w:r>
      <w:r w:rsidR="00346199" w:rsidRPr="00346199">
        <w:rPr>
          <w:rFonts w:asciiTheme="minorHAnsi" w:hAnsiTheme="minorHAnsi" w:cs="Arial"/>
          <w:bCs/>
          <w:snapToGrid w:val="0"/>
        </w:rPr>
        <w:t>t</w:t>
      </w:r>
      <w:r w:rsidR="00346199">
        <w:rPr>
          <w:rFonts w:asciiTheme="minorHAnsi" w:hAnsiTheme="minorHAnsi" w:cs="Arial"/>
          <w:bCs/>
          <w:snapToGrid w:val="0"/>
        </w:rPr>
        <w:t xml:space="preserve">ive; and that the cost-minimisation should </w:t>
      </w:r>
      <w:r w:rsidR="00C27F96">
        <w:rPr>
          <w:rFonts w:asciiTheme="minorHAnsi" w:hAnsiTheme="minorHAnsi" w:cs="Arial"/>
          <w:bCs/>
          <w:snapToGrid w:val="0"/>
        </w:rPr>
        <w:t xml:space="preserve">also </w:t>
      </w:r>
      <w:r w:rsidR="00931423" w:rsidRPr="00346199">
        <w:rPr>
          <w:rFonts w:asciiTheme="minorHAnsi" w:hAnsiTheme="minorHAnsi" w:cs="Arial"/>
          <w:bCs/>
          <w:snapToGrid w:val="0"/>
        </w:rPr>
        <w:t>tak</w:t>
      </w:r>
      <w:r w:rsidR="00346199">
        <w:rPr>
          <w:rFonts w:asciiTheme="minorHAnsi" w:hAnsiTheme="minorHAnsi" w:cs="Arial"/>
          <w:bCs/>
          <w:snapToGrid w:val="0"/>
        </w:rPr>
        <w:t>e</w:t>
      </w:r>
      <w:r w:rsidR="00931423" w:rsidRPr="00346199">
        <w:rPr>
          <w:rFonts w:asciiTheme="minorHAnsi" w:hAnsiTheme="minorHAnsi" w:cs="Arial"/>
          <w:bCs/>
          <w:snapToGrid w:val="0"/>
        </w:rPr>
        <w:t xml:space="preserve"> into consideration for </w:t>
      </w:r>
      <w:proofErr w:type="spellStart"/>
      <w:r w:rsidR="00931423" w:rsidRPr="00346199">
        <w:rPr>
          <w:rFonts w:asciiTheme="minorHAnsi" w:hAnsiTheme="minorHAnsi" w:cs="Arial"/>
          <w:bCs/>
          <w:snapToGrid w:val="0"/>
        </w:rPr>
        <w:t>venetoclax</w:t>
      </w:r>
      <w:proofErr w:type="spellEnd"/>
      <w:r w:rsidR="00931423" w:rsidRPr="00346199">
        <w:rPr>
          <w:rFonts w:asciiTheme="minorHAnsi" w:hAnsiTheme="minorHAnsi" w:cs="Arial"/>
          <w:bCs/>
          <w:snapToGrid w:val="0"/>
        </w:rPr>
        <w:t xml:space="preserve"> </w:t>
      </w:r>
      <w:r w:rsidR="00346199">
        <w:rPr>
          <w:rFonts w:asciiTheme="minorHAnsi" w:hAnsiTheme="minorHAnsi" w:cs="Arial"/>
          <w:bCs/>
          <w:snapToGrid w:val="0"/>
        </w:rPr>
        <w:t xml:space="preserve">both </w:t>
      </w:r>
      <w:r w:rsidR="00931423" w:rsidRPr="00346199">
        <w:rPr>
          <w:rFonts w:asciiTheme="minorHAnsi" w:hAnsiTheme="minorHAnsi" w:cs="Arial"/>
          <w:bCs/>
          <w:snapToGrid w:val="0"/>
        </w:rPr>
        <w:t xml:space="preserve">the need for a titration pack and </w:t>
      </w:r>
      <w:r w:rsidR="00346199">
        <w:rPr>
          <w:rFonts w:asciiTheme="minorHAnsi" w:hAnsiTheme="minorHAnsi" w:cs="Arial"/>
          <w:bCs/>
          <w:snapToGrid w:val="0"/>
        </w:rPr>
        <w:t xml:space="preserve">also </w:t>
      </w:r>
      <w:r w:rsidR="00931423" w:rsidRPr="00346199">
        <w:rPr>
          <w:rFonts w:asciiTheme="minorHAnsi" w:hAnsiTheme="minorHAnsi" w:cs="Arial"/>
          <w:bCs/>
          <w:snapToGrid w:val="0"/>
        </w:rPr>
        <w:t>an offset for the increased cost associated with monitoring and managing TLS.</w:t>
      </w:r>
    </w:p>
    <w:p w:rsidR="000D435E" w:rsidRPr="00346199" w:rsidRDefault="000D435E" w:rsidP="000D435E">
      <w:pPr>
        <w:widowControl w:val="0"/>
        <w:jc w:val="both"/>
        <w:rPr>
          <w:rFonts w:asciiTheme="minorHAnsi" w:hAnsiTheme="minorHAnsi" w:cs="Arial"/>
          <w:bCs/>
          <w:snapToGrid w:val="0"/>
        </w:rPr>
      </w:pPr>
    </w:p>
    <w:p w:rsidR="00F95057" w:rsidRPr="00346199" w:rsidRDefault="00F95057" w:rsidP="000D435E">
      <w:pPr>
        <w:widowControl w:val="0"/>
        <w:numPr>
          <w:ilvl w:val="1"/>
          <w:numId w:val="5"/>
        </w:numPr>
        <w:jc w:val="both"/>
        <w:rPr>
          <w:rFonts w:asciiTheme="minorHAnsi" w:hAnsiTheme="minorHAnsi" w:cs="Arial"/>
          <w:bCs/>
          <w:snapToGrid w:val="0"/>
        </w:rPr>
      </w:pPr>
      <w:r w:rsidRPr="00346199">
        <w:rPr>
          <w:rFonts w:asciiTheme="minorHAnsi" w:hAnsiTheme="minorHAnsi" w:cs="Arial"/>
          <w:bCs/>
          <w:snapToGrid w:val="0"/>
        </w:rPr>
        <w:t xml:space="preserve">The PBAC did not consider that the financial estimates proposed by the sponsor were informative for the recommended population. </w:t>
      </w:r>
      <w:r w:rsidRPr="003A2EA3">
        <w:rPr>
          <w:rFonts w:asciiTheme="minorHAnsi" w:hAnsiTheme="minorHAnsi"/>
          <w:szCs w:val="22"/>
        </w:rPr>
        <w:t xml:space="preserve">The PBAC considered that the financial implications of listing </w:t>
      </w:r>
      <w:proofErr w:type="spellStart"/>
      <w:r w:rsidR="00013F05" w:rsidRPr="00C27F96">
        <w:rPr>
          <w:rFonts w:asciiTheme="minorHAnsi" w:hAnsiTheme="minorHAnsi"/>
          <w:szCs w:val="22"/>
        </w:rPr>
        <w:t>venetoclax</w:t>
      </w:r>
      <w:proofErr w:type="spellEnd"/>
      <w:r w:rsidR="00013F05" w:rsidRPr="00C27F96">
        <w:rPr>
          <w:rFonts w:asciiTheme="minorHAnsi" w:hAnsiTheme="minorHAnsi"/>
          <w:szCs w:val="22"/>
        </w:rPr>
        <w:t xml:space="preserve"> </w:t>
      </w:r>
      <w:r w:rsidRPr="00C27F96">
        <w:rPr>
          <w:rFonts w:asciiTheme="minorHAnsi" w:hAnsiTheme="minorHAnsi"/>
          <w:szCs w:val="22"/>
        </w:rPr>
        <w:t xml:space="preserve">would need further negotiation between the Department </w:t>
      </w:r>
      <w:r w:rsidRPr="003A2EA3">
        <w:rPr>
          <w:rFonts w:asciiTheme="minorHAnsi" w:hAnsiTheme="minorHAnsi"/>
          <w:szCs w:val="22"/>
        </w:rPr>
        <w:t>and the sponsor</w:t>
      </w:r>
      <w:r w:rsidR="00013F05" w:rsidRPr="003A2EA3">
        <w:rPr>
          <w:rFonts w:asciiTheme="minorHAnsi" w:hAnsiTheme="minorHAnsi"/>
        </w:rPr>
        <w:t xml:space="preserve">, but advised that these should not greatly add to the costs to the PBS of </w:t>
      </w:r>
      <w:proofErr w:type="spellStart"/>
      <w:r w:rsidR="00013F05" w:rsidRPr="003A2EA3">
        <w:rPr>
          <w:rFonts w:asciiTheme="minorHAnsi" w:hAnsiTheme="minorHAnsi"/>
        </w:rPr>
        <w:t>idelalisib</w:t>
      </w:r>
      <w:proofErr w:type="spellEnd"/>
      <w:r w:rsidRPr="003A2EA3">
        <w:rPr>
          <w:rFonts w:asciiTheme="minorHAnsi" w:hAnsiTheme="minorHAnsi"/>
          <w:szCs w:val="22"/>
        </w:rPr>
        <w:t>.</w:t>
      </w:r>
    </w:p>
    <w:p w:rsidR="000D435E" w:rsidRPr="00346199" w:rsidRDefault="000D435E" w:rsidP="000D435E">
      <w:pPr>
        <w:widowControl w:val="0"/>
        <w:jc w:val="both"/>
        <w:rPr>
          <w:rFonts w:asciiTheme="minorHAnsi" w:hAnsiTheme="minorHAnsi" w:cs="Arial"/>
          <w:bCs/>
          <w:snapToGrid w:val="0"/>
        </w:rPr>
      </w:pPr>
    </w:p>
    <w:p w:rsidR="00E970AF" w:rsidRPr="00346199" w:rsidRDefault="00E970AF" w:rsidP="000D435E">
      <w:pPr>
        <w:widowControl w:val="0"/>
        <w:numPr>
          <w:ilvl w:val="1"/>
          <w:numId w:val="5"/>
        </w:numPr>
        <w:jc w:val="both"/>
        <w:rPr>
          <w:rFonts w:asciiTheme="minorHAnsi" w:hAnsiTheme="minorHAnsi" w:cs="Arial"/>
          <w:bCs/>
          <w:snapToGrid w:val="0"/>
        </w:rPr>
      </w:pPr>
      <w:r w:rsidRPr="003A2EA3">
        <w:rPr>
          <w:rFonts w:asciiTheme="minorHAnsi" w:hAnsiTheme="minorHAnsi"/>
        </w:rPr>
        <w:t xml:space="preserve">The PBAC considered that a </w:t>
      </w:r>
      <w:r w:rsidR="00C27F96">
        <w:rPr>
          <w:rFonts w:asciiTheme="minorHAnsi" w:hAnsiTheme="minorHAnsi"/>
        </w:rPr>
        <w:t>R</w:t>
      </w:r>
      <w:r w:rsidR="00C27F96" w:rsidRPr="003A2EA3">
        <w:rPr>
          <w:rFonts w:asciiTheme="minorHAnsi" w:hAnsiTheme="minorHAnsi"/>
        </w:rPr>
        <w:t xml:space="preserve">isk </w:t>
      </w:r>
      <w:r w:rsidR="00C27F96">
        <w:rPr>
          <w:rFonts w:asciiTheme="minorHAnsi" w:hAnsiTheme="minorHAnsi"/>
        </w:rPr>
        <w:t>S</w:t>
      </w:r>
      <w:r w:rsidR="00C27F96" w:rsidRPr="00C27F96">
        <w:rPr>
          <w:rFonts w:asciiTheme="minorHAnsi" w:hAnsiTheme="minorHAnsi"/>
        </w:rPr>
        <w:t xml:space="preserve">haring </w:t>
      </w:r>
      <w:r w:rsidR="00C27F96">
        <w:rPr>
          <w:rFonts w:asciiTheme="minorHAnsi" w:hAnsiTheme="minorHAnsi"/>
        </w:rPr>
        <w:t>A</w:t>
      </w:r>
      <w:r w:rsidR="00C27F96" w:rsidRPr="00C27F96">
        <w:rPr>
          <w:rFonts w:asciiTheme="minorHAnsi" w:hAnsiTheme="minorHAnsi"/>
        </w:rPr>
        <w:t xml:space="preserve">rrangement </w:t>
      </w:r>
      <w:r w:rsidRPr="00C27F96">
        <w:rPr>
          <w:rFonts w:asciiTheme="minorHAnsi" w:hAnsiTheme="minorHAnsi"/>
        </w:rPr>
        <w:t>was required to be negotiated with the Department to reduce the risk of use outside the specified restriction</w:t>
      </w:r>
      <w:r w:rsidR="00013F05" w:rsidRPr="00C27F96">
        <w:rPr>
          <w:rFonts w:asciiTheme="minorHAnsi" w:hAnsiTheme="minorHAnsi"/>
        </w:rPr>
        <w:t xml:space="preserve"> and to take into account the PBAC’s advice about the overall costs to the PBS</w:t>
      </w:r>
      <w:r w:rsidRPr="00C27F96">
        <w:rPr>
          <w:rFonts w:asciiTheme="minorHAnsi" w:hAnsiTheme="minorHAnsi"/>
        </w:rPr>
        <w:t>.</w:t>
      </w:r>
    </w:p>
    <w:p w:rsidR="000D435E" w:rsidRPr="00346199" w:rsidRDefault="000D435E" w:rsidP="000D435E">
      <w:pPr>
        <w:widowControl w:val="0"/>
        <w:jc w:val="both"/>
        <w:rPr>
          <w:rFonts w:asciiTheme="minorHAnsi" w:hAnsiTheme="minorHAnsi" w:cs="Arial"/>
          <w:bCs/>
          <w:snapToGrid w:val="0"/>
        </w:rPr>
      </w:pPr>
    </w:p>
    <w:p w:rsidR="00D75125" w:rsidRPr="00346199" w:rsidRDefault="00D75125" w:rsidP="000D435E">
      <w:pPr>
        <w:widowControl w:val="0"/>
        <w:numPr>
          <w:ilvl w:val="1"/>
          <w:numId w:val="5"/>
        </w:numPr>
        <w:jc w:val="both"/>
        <w:rPr>
          <w:rFonts w:asciiTheme="minorHAnsi" w:hAnsiTheme="minorHAnsi" w:cs="Arial"/>
          <w:bCs/>
          <w:snapToGrid w:val="0"/>
        </w:rPr>
      </w:pPr>
      <w:r w:rsidRPr="00346199">
        <w:rPr>
          <w:rFonts w:asciiTheme="minorHAnsi" w:hAnsiTheme="minorHAnsi" w:cs="Arial"/>
          <w:bCs/>
          <w:snapToGrid w:val="0"/>
        </w:rPr>
        <w:t xml:space="preserve">The PBAC did not consider that there was sufficient data to support retreatment with </w:t>
      </w:r>
      <w:proofErr w:type="spellStart"/>
      <w:r w:rsidRPr="00346199">
        <w:rPr>
          <w:rFonts w:asciiTheme="minorHAnsi" w:hAnsiTheme="minorHAnsi" w:cs="Arial"/>
          <w:bCs/>
          <w:snapToGrid w:val="0"/>
        </w:rPr>
        <w:t>venetoclax</w:t>
      </w:r>
      <w:proofErr w:type="spellEnd"/>
      <w:r w:rsidRPr="00346199">
        <w:rPr>
          <w:rFonts w:asciiTheme="minorHAnsi" w:hAnsiTheme="minorHAnsi" w:cs="Arial"/>
          <w:bCs/>
          <w:snapToGrid w:val="0"/>
        </w:rPr>
        <w:t xml:space="preserve"> and that this was also the case for </w:t>
      </w:r>
      <w:proofErr w:type="spellStart"/>
      <w:r w:rsidRPr="00346199">
        <w:rPr>
          <w:rFonts w:asciiTheme="minorHAnsi" w:hAnsiTheme="minorHAnsi" w:cs="Arial"/>
          <w:bCs/>
          <w:snapToGrid w:val="0"/>
        </w:rPr>
        <w:t>ibrutinib</w:t>
      </w:r>
      <w:proofErr w:type="spellEnd"/>
      <w:r w:rsidRPr="00346199">
        <w:rPr>
          <w:rFonts w:asciiTheme="minorHAnsi" w:hAnsiTheme="minorHAnsi" w:cs="Arial"/>
          <w:bCs/>
          <w:snapToGrid w:val="0"/>
        </w:rPr>
        <w:t xml:space="preserve"> and </w:t>
      </w:r>
      <w:proofErr w:type="spellStart"/>
      <w:r w:rsidRPr="00346199">
        <w:rPr>
          <w:rFonts w:asciiTheme="minorHAnsi" w:hAnsiTheme="minorHAnsi" w:cs="Arial"/>
          <w:bCs/>
          <w:snapToGrid w:val="0"/>
        </w:rPr>
        <w:t>idelalisib</w:t>
      </w:r>
      <w:proofErr w:type="spellEnd"/>
      <w:r w:rsidR="00EA4128" w:rsidRPr="00346199">
        <w:rPr>
          <w:rFonts w:asciiTheme="minorHAnsi" w:hAnsiTheme="minorHAnsi" w:cs="Arial"/>
          <w:bCs/>
          <w:snapToGrid w:val="0"/>
        </w:rPr>
        <w:t>,</w:t>
      </w:r>
      <w:r w:rsidRPr="00346199">
        <w:rPr>
          <w:rFonts w:asciiTheme="minorHAnsi" w:hAnsiTheme="minorHAnsi" w:cs="Arial"/>
          <w:bCs/>
          <w:snapToGrid w:val="0"/>
        </w:rPr>
        <w:t xml:space="preserve"> and the following wording should be included in the initial restriction for all </w:t>
      </w:r>
      <w:r w:rsidR="00EA4128" w:rsidRPr="00346199">
        <w:rPr>
          <w:rFonts w:asciiTheme="minorHAnsi" w:hAnsiTheme="minorHAnsi" w:cs="Arial"/>
          <w:bCs/>
          <w:snapToGrid w:val="0"/>
        </w:rPr>
        <w:t>three of these medicines</w:t>
      </w:r>
      <w:r w:rsidRPr="00346199">
        <w:rPr>
          <w:rFonts w:asciiTheme="minorHAnsi" w:hAnsiTheme="minorHAnsi" w:cs="Arial"/>
          <w:bCs/>
          <w:snapToGrid w:val="0"/>
        </w:rPr>
        <w:t>: “Patient must not have previously received PBS-subsidised treatment with this drug for this condition.”</w:t>
      </w:r>
    </w:p>
    <w:p w:rsidR="000D435E" w:rsidRPr="00346199" w:rsidRDefault="000D435E" w:rsidP="000D435E">
      <w:pPr>
        <w:widowControl w:val="0"/>
        <w:jc w:val="both"/>
        <w:rPr>
          <w:rFonts w:asciiTheme="minorHAnsi" w:hAnsiTheme="minorHAnsi" w:cs="Arial"/>
          <w:bCs/>
          <w:snapToGrid w:val="0"/>
        </w:rPr>
      </w:pPr>
    </w:p>
    <w:p w:rsidR="00E970AF" w:rsidRPr="00346199" w:rsidRDefault="00E970AF" w:rsidP="000D435E">
      <w:pPr>
        <w:widowControl w:val="0"/>
        <w:numPr>
          <w:ilvl w:val="1"/>
          <w:numId w:val="5"/>
        </w:numPr>
        <w:jc w:val="both"/>
        <w:rPr>
          <w:rFonts w:asciiTheme="minorHAnsi" w:hAnsiTheme="minorHAnsi" w:cs="Arial"/>
          <w:bCs/>
          <w:snapToGrid w:val="0"/>
        </w:rPr>
      </w:pPr>
      <w:r w:rsidRPr="00346199">
        <w:rPr>
          <w:rFonts w:asciiTheme="minorHAnsi" w:hAnsiTheme="minorHAnsi" w:cs="Arial"/>
          <w:bCs/>
          <w:snapToGrid w:val="0"/>
        </w:rPr>
        <w:t xml:space="preserve">The PBAC advised that </w:t>
      </w:r>
      <w:proofErr w:type="spellStart"/>
      <w:r w:rsidRPr="00346199">
        <w:rPr>
          <w:rFonts w:asciiTheme="minorHAnsi" w:hAnsiTheme="minorHAnsi" w:cs="Arial"/>
          <w:bCs/>
          <w:snapToGrid w:val="0"/>
        </w:rPr>
        <w:t>venetoclax</w:t>
      </w:r>
      <w:proofErr w:type="spellEnd"/>
      <w:r w:rsidRPr="00346199">
        <w:rPr>
          <w:rFonts w:asciiTheme="minorHAnsi" w:hAnsiTheme="minorHAnsi" w:cs="Arial"/>
          <w:bCs/>
          <w:snapToGrid w:val="0"/>
        </w:rPr>
        <w:t xml:space="preserve"> is not suitable for prescribing by nurse practitioners.</w:t>
      </w:r>
    </w:p>
    <w:p w:rsidR="000D435E" w:rsidRPr="00346199" w:rsidRDefault="000D435E" w:rsidP="000D435E">
      <w:pPr>
        <w:widowControl w:val="0"/>
        <w:jc w:val="both"/>
        <w:rPr>
          <w:rFonts w:asciiTheme="minorHAnsi" w:hAnsiTheme="minorHAnsi" w:cs="Arial"/>
          <w:bCs/>
          <w:snapToGrid w:val="0"/>
        </w:rPr>
      </w:pPr>
    </w:p>
    <w:p w:rsidR="00E970AF" w:rsidRPr="00346199" w:rsidRDefault="00E970AF" w:rsidP="000D435E">
      <w:pPr>
        <w:widowControl w:val="0"/>
        <w:numPr>
          <w:ilvl w:val="1"/>
          <w:numId w:val="5"/>
        </w:numPr>
        <w:jc w:val="both"/>
        <w:rPr>
          <w:rFonts w:asciiTheme="minorHAnsi" w:hAnsiTheme="minorHAnsi" w:cs="Arial"/>
          <w:bCs/>
          <w:snapToGrid w:val="0"/>
        </w:rPr>
      </w:pPr>
      <w:r w:rsidRPr="00346199">
        <w:rPr>
          <w:rFonts w:asciiTheme="minorHAnsi" w:hAnsiTheme="minorHAnsi" w:cs="Arial"/>
          <w:bCs/>
          <w:snapToGrid w:val="0"/>
        </w:rPr>
        <w:t xml:space="preserve">The PBAC recommended that </w:t>
      </w:r>
      <w:proofErr w:type="spellStart"/>
      <w:r w:rsidRPr="00346199">
        <w:rPr>
          <w:rFonts w:asciiTheme="minorHAnsi" w:hAnsiTheme="minorHAnsi" w:cs="Arial"/>
          <w:bCs/>
          <w:snapToGrid w:val="0"/>
        </w:rPr>
        <w:t>venetoclax</w:t>
      </w:r>
      <w:proofErr w:type="spellEnd"/>
      <w:r w:rsidRPr="00346199">
        <w:rPr>
          <w:rFonts w:asciiTheme="minorHAnsi" w:hAnsiTheme="minorHAnsi" w:cs="Arial"/>
          <w:bCs/>
          <w:snapToGrid w:val="0"/>
        </w:rPr>
        <w:t xml:space="preserve"> should not be treated as interchangeable on an individual patient basis with any other drugs</w:t>
      </w:r>
      <w:r w:rsidR="00680AEF" w:rsidRPr="00346199">
        <w:rPr>
          <w:rFonts w:asciiTheme="minorHAnsi" w:hAnsiTheme="minorHAnsi" w:cs="Arial"/>
          <w:bCs/>
          <w:snapToGrid w:val="0"/>
        </w:rPr>
        <w:t xml:space="preserve">, particularly noting the different mechanism of action of </w:t>
      </w:r>
      <w:proofErr w:type="spellStart"/>
      <w:r w:rsidR="00680AEF" w:rsidRPr="00346199">
        <w:rPr>
          <w:rFonts w:asciiTheme="minorHAnsi" w:hAnsiTheme="minorHAnsi" w:cs="Arial"/>
          <w:bCs/>
          <w:snapToGrid w:val="0"/>
        </w:rPr>
        <w:t>venetoclax</w:t>
      </w:r>
      <w:proofErr w:type="spellEnd"/>
      <w:r w:rsidR="00680AEF" w:rsidRPr="00346199">
        <w:rPr>
          <w:rFonts w:asciiTheme="minorHAnsi" w:hAnsiTheme="minorHAnsi" w:cs="Arial"/>
          <w:bCs/>
          <w:snapToGrid w:val="0"/>
        </w:rPr>
        <w:t xml:space="preserve"> to other available drugs</w:t>
      </w:r>
      <w:r w:rsidRPr="00346199">
        <w:rPr>
          <w:rFonts w:asciiTheme="minorHAnsi" w:hAnsiTheme="minorHAnsi" w:cs="Arial"/>
          <w:bCs/>
          <w:snapToGrid w:val="0"/>
        </w:rPr>
        <w:t>.</w:t>
      </w:r>
    </w:p>
    <w:p w:rsidR="000D435E" w:rsidRPr="00346199" w:rsidRDefault="000D435E" w:rsidP="000D435E">
      <w:pPr>
        <w:widowControl w:val="0"/>
        <w:jc w:val="both"/>
        <w:rPr>
          <w:rFonts w:asciiTheme="minorHAnsi" w:hAnsiTheme="minorHAnsi" w:cs="Arial"/>
          <w:bCs/>
          <w:snapToGrid w:val="0"/>
        </w:rPr>
      </w:pPr>
    </w:p>
    <w:p w:rsidR="00E970AF" w:rsidRPr="00346199" w:rsidRDefault="00E970AF" w:rsidP="000D435E">
      <w:pPr>
        <w:widowControl w:val="0"/>
        <w:numPr>
          <w:ilvl w:val="1"/>
          <w:numId w:val="5"/>
        </w:numPr>
        <w:jc w:val="both"/>
        <w:rPr>
          <w:rFonts w:asciiTheme="minorHAnsi" w:hAnsiTheme="minorHAnsi" w:cs="Arial"/>
          <w:bCs/>
          <w:snapToGrid w:val="0"/>
        </w:rPr>
      </w:pPr>
      <w:r w:rsidRPr="00346199">
        <w:rPr>
          <w:rFonts w:asciiTheme="minorHAnsi" w:hAnsiTheme="minorHAnsi" w:cs="Arial"/>
          <w:bCs/>
          <w:snapToGrid w:val="0"/>
        </w:rPr>
        <w:t>The PBAC recommended that the Early Supply Rule should apply.</w:t>
      </w:r>
    </w:p>
    <w:p w:rsidR="000D435E" w:rsidRPr="00346199" w:rsidRDefault="000D435E" w:rsidP="000D435E">
      <w:pPr>
        <w:rPr>
          <w:rFonts w:asciiTheme="minorHAnsi" w:hAnsiTheme="minorHAnsi"/>
          <w:bCs/>
        </w:rPr>
      </w:pPr>
    </w:p>
    <w:p w:rsidR="00E970AF" w:rsidRPr="00346199" w:rsidRDefault="00E970AF" w:rsidP="000D435E">
      <w:pPr>
        <w:pStyle w:val="ListParagraph"/>
        <w:numPr>
          <w:ilvl w:val="1"/>
          <w:numId w:val="5"/>
        </w:numPr>
        <w:rPr>
          <w:rFonts w:asciiTheme="minorHAnsi" w:hAnsiTheme="minorHAnsi"/>
          <w:bCs/>
          <w:sz w:val="24"/>
          <w:szCs w:val="24"/>
          <w:lang w:eastAsia="en-AU"/>
        </w:rPr>
      </w:pPr>
      <w:r w:rsidRPr="00346199">
        <w:rPr>
          <w:rFonts w:asciiTheme="minorHAnsi" w:hAnsiTheme="minorHAnsi"/>
          <w:bCs/>
          <w:sz w:val="24"/>
          <w:szCs w:val="24"/>
          <w:lang w:eastAsia="en-AU"/>
        </w:rPr>
        <w:t>The PBAC noted that this submission was not eligible for an Independent Review as it was a positive recommendation.</w:t>
      </w:r>
    </w:p>
    <w:p w:rsidR="009B7AAD" w:rsidRPr="00346199" w:rsidRDefault="009B7AAD" w:rsidP="00957A0E">
      <w:pPr>
        <w:spacing w:before="240"/>
        <w:jc w:val="both"/>
        <w:outlineLvl w:val="1"/>
        <w:rPr>
          <w:rFonts w:asciiTheme="minorHAnsi" w:hAnsiTheme="minorHAnsi" w:cs="Arial"/>
          <w:b/>
          <w:bCs/>
          <w:snapToGrid w:val="0"/>
          <w:sz w:val="28"/>
          <w:szCs w:val="28"/>
        </w:rPr>
      </w:pPr>
      <w:r w:rsidRPr="00346199">
        <w:rPr>
          <w:rFonts w:asciiTheme="minorHAnsi" w:hAnsiTheme="minorHAnsi" w:cs="Arial"/>
          <w:b/>
          <w:bCs/>
          <w:snapToGrid w:val="0"/>
          <w:sz w:val="28"/>
          <w:szCs w:val="28"/>
        </w:rPr>
        <w:t>Outcome:</w:t>
      </w:r>
    </w:p>
    <w:p w:rsidR="009B7AAD" w:rsidRPr="00346199" w:rsidRDefault="009B7AAD" w:rsidP="00F95057">
      <w:pPr>
        <w:jc w:val="both"/>
        <w:rPr>
          <w:rFonts w:asciiTheme="minorHAnsi" w:hAnsiTheme="minorHAnsi" w:cs="Arial"/>
          <w:bCs/>
          <w:snapToGrid w:val="0"/>
        </w:rPr>
      </w:pPr>
      <w:r w:rsidRPr="00346199">
        <w:rPr>
          <w:rFonts w:asciiTheme="minorHAnsi" w:hAnsiTheme="minorHAnsi" w:cs="Arial"/>
          <w:bCs/>
          <w:snapToGrid w:val="0"/>
        </w:rPr>
        <w:t>Recommended</w:t>
      </w:r>
    </w:p>
    <w:p w:rsidR="000D435E" w:rsidRPr="00346199" w:rsidRDefault="000D435E" w:rsidP="000D435E">
      <w:pPr>
        <w:widowControl w:val="0"/>
        <w:jc w:val="both"/>
        <w:rPr>
          <w:rFonts w:asciiTheme="minorHAnsi" w:hAnsiTheme="minorHAnsi" w:cs="Arial"/>
          <w:bCs/>
          <w:snapToGrid w:val="0"/>
        </w:rPr>
      </w:pPr>
    </w:p>
    <w:p w:rsidR="009B7AAD" w:rsidRPr="00346199" w:rsidRDefault="009B7AAD" w:rsidP="00957A0E">
      <w:pPr>
        <w:widowControl w:val="0"/>
        <w:numPr>
          <w:ilvl w:val="0"/>
          <w:numId w:val="5"/>
        </w:numPr>
        <w:spacing w:before="240" w:after="120"/>
        <w:jc w:val="both"/>
        <w:outlineLvl w:val="0"/>
        <w:rPr>
          <w:rFonts w:asciiTheme="minorHAnsi" w:hAnsiTheme="minorHAnsi" w:cs="Arial"/>
          <w:b/>
          <w:bCs/>
          <w:snapToGrid w:val="0"/>
          <w:sz w:val="32"/>
          <w:szCs w:val="32"/>
        </w:rPr>
      </w:pPr>
      <w:r w:rsidRPr="00346199">
        <w:rPr>
          <w:rFonts w:asciiTheme="minorHAnsi" w:hAnsiTheme="minorHAnsi" w:cs="Arial"/>
          <w:b/>
          <w:bCs/>
          <w:snapToGrid w:val="0"/>
          <w:sz w:val="32"/>
          <w:szCs w:val="32"/>
        </w:rPr>
        <w:t>Recommended listing</w:t>
      </w:r>
    </w:p>
    <w:p w:rsidR="009B7AAD" w:rsidRPr="00C27F96" w:rsidRDefault="009B7AAD" w:rsidP="00166405">
      <w:pPr>
        <w:widowControl w:val="0"/>
        <w:numPr>
          <w:ilvl w:val="1"/>
          <w:numId w:val="5"/>
        </w:numPr>
        <w:spacing w:after="120"/>
        <w:jc w:val="both"/>
        <w:rPr>
          <w:rFonts w:asciiTheme="minorHAnsi" w:hAnsiTheme="minorHAnsi" w:cs="Arial"/>
          <w:b/>
          <w:bCs/>
          <w:snapToGrid w:val="0"/>
        </w:rPr>
      </w:pPr>
      <w:r w:rsidRPr="003A2EA3">
        <w:rPr>
          <w:rFonts w:asciiTheme="minorHAnsi" w:hAnsiTheme="minorHAnsi" w:cs="Arial"/>
          <w:bCs/>
          <w:snapToGrid w:val="0"/>
        </w:rPr>
        <w:t>Add new item</w:t>
      </w:r>
      <w:r w:rsidRPr="00C27F96">
        <w:rPr>
          <w:rFonts w:asciiTheme="minorHAnsi" w:hAnsiTheme="minorHAnsi" w:cs="Arial"/>
          <w:bCs/>
          <w:snapToGrid w:val="0"/>
        </w:rPr>
        <w:t>:</w:t>
      </w:r>
    </w:p>
    <w:p w:rsidR="00F9214B" w:rsidRPr="003A2EA3" w:rsidRDefault="00F9214B" w:rsidP="00F9214B">
      <w:pPr>
        <w:rPr>
          <w:rFonts w:asciiTheme="minorHAnsi" w:hAnsiTheme="minorHAnsi"/>
        </w:rPr>
      </w:pPr>
    </w:p>
    <w:tbl>
      <w:tblPr>
        <w:tblW w:w="5088" w:type="pct"/>
        <w:tblInd w:w="-80" w:type="dxa"/>
        <w:tblCellMar>
          <w:left w:w="28" w:type="dxa"/>
          <w:right w:w="28" w:type="dxa"/>
        </w:tblCellMar>
        <w:tblLook w:val="0000" w:firstRow="0" w:lastRow="0" w:firstColumn="0" w:lastColumn="0" w:noHBand="0" w:noVBand="0"/>
      </w:tblPr>
      <w:tblGrid>
        <w:gridCol w:w="79"/>
        <w:gridCol w:w="2115"/>
        <w:gridCol w:w="1081"/>
        <w:gridCol w:w="518"/>
        <w:gridCol w:w="904"/>
        <w:gridCol w:w="1420"/>
        <w:gridCol w:w="1523"/>
        <w:gridCol w:w="1521"/>
        <w:gridCol w:w="81"/>
      </w:tblGrid>
      <w:tr w:rsidR="00F9214B" w:rsidRPr="003A2EA3" w:rsidTr="00F9214B">
        <w:trPr>
          <w:gridBefore w:val="1"/>
          <w:gridAfter w:val="1"/>
          <w:wBefore w:w="43" w:type="pct"/>
          <w:wAfter w:w="44" w:type="pct"/>
          <w:cantSplit/>
          <w:trHeight w:val="463"/>
        </w:trPr>
        <w:tc>
          <w:tcPr>
            <w:tcW w:w="1729" w:type="pct"/>
            <w:gridSpan w:val="2"/>
            <w:tcBorders>
              <w:bottom w:val="single" w:sz="4" w:space="0" w:color="auto"/>
            </w:tcBorders>
            <w:vAlign w:val="center"/>
          </w:tcPr>
          <w:p w:rsidR="00F9214B" w:rsidRPr="003A2EA3" w:rsidRDefault="00F9214B" w:rsidP="0047714C">
            <w:pPr>
              <w:keepNext/>
              <w:rPr>
                <w:rFonts w:ascii="Arial Narrow" w:hAnsi="Arial Narrow"/>
                <w:sz w:val="20"/>
              </w:rPr>
            </w:pPr>
            <w:r w:rsidRPr="003A2EA3">
              <w:rPr>
                <w:rFonts w:ascii="Arial Narrow" w:hAnsi="Arial Narrow"/>
                <w:sz w:val="20"/>
              </w:rPr>
              <w:t>Name, Restriction,</w:t>
            </w:r>
          </w:p>
          <w:p w:rsidR="00F9214B" w:rsidRPr="003A2EA3" w:rsidRDefault="00F9214B" w:rsidP="0047714C">
            <w:pPr>
              <w:keepNext/>
              <w:rPr>
                <w:rFonts w:ascii="Arial Narrow" w:hAnsi="Arial Narrow"/>
                <w:sz w:val="20"/>
              </w:rPr>
            </w:pPr>
            <w:r w:rsidRPr="003A2EA3">
              <w:rPr>
                <w:rFonts w:ascii="Arial Narrow" w:hAnsi="Arial Narrow"/>
                <w:sz w:val="20"/>
              </w:rPr>
              <w:t>Manner of administration and form</w:t>
            </w:r>
          </w:p>
        </w:tc>
        <w:tc>
          <w:tcPr>
            <w:tcW w:w="280" w:type="pct"/>
            <w:tcBorders>
              <w:bottom w:val="single" w:sz="4" w:space="0" w:color="auto"/>
            </w:tcBorders>
            <w:vAlign w:val="center"/>
          </w:tcPr>
          <w:p w:rsidR="00F9214B" w:rsidRPr="003A2EA3" w:rsidRDefault="00F9214B" w:rsidP="0047714C">
            <w:pPr>
              <w:keepNext/>
              <w:jc w:val="center"/>
              <w:rPr>
                <w:rFonts w:ascii="Arial Narrow" w:hAnsi="Arial Narrow"/>
                <w:sz w:val="20"/>
              </w:rPr>
            </w:pPr>
            <w:r w:rsidRPr="003A2EA3">
              <w:rPr>
                <w:rFonts w:ascii="Arial Narrow" w:hAnsi="Arial Narrow"/>
                <w:sz w:val="20"/>
              </w:rPr>
              <w:t>Max.</w:t>
            </w:r>
          </w:p>
          <w:p w:rsidR="00F9214B" w:rsidRPr="003A2EA3" w:rsidRDefault="00F9214B" w:rsidP="0047714C">
            <w:pPr>
              <w:keepNext/>
              <w:jc w:val="center"/>
              <w:rPr>
                <w:rFonts w:ascii="Arial Narrow" w:hAnsi="Arial Narrow"/>
                <w:sz w:val="20"/>
              </w:rPr>
            </w:pPr>
            <w:proofErr w:type="spellStart"/>
            <w:r w:rsidRPr="003A2EA3">
              <w:rPr>
                <w:rFonts w:ascii="Arial Narrow" w:hAnsi="Arial Narrow"/>
                <w:sz w:val="20"/>
              </w:rPr>
              <w:t>Qty</w:t>
            </w:r>
            <w:proofErr w:type="spellEnd"/>
          </w:p>
        </w:tc>
        <w:tc>
          <w:tcPr>
            <w:tcW w:w="489" w:type="pct"/>
            <w:tcBorders>
              <w:bottom w:val="single" w:sz="4" w:space="0" w:color="auto"/>
            </w:tcBorders>
            <w:vAlign w:val="center"/>
          </w:tcPr>
          <w:p w:rsidR="00F9214B" w:rsidRPr="003A2EA3" w:rsidRDefault="00F9214B" w:rsidP="0047714C">
            <w:pPr>
              <w:keepNext/>
              <w:jc w:val="center"/>
              <w:rPr>
                <w:rFonts w:ascii="Arial Narrow" w:hAnsi="Arial Narrow"/>
                <w:sz w:val="20"/>
              </w:rPr>
            </w:pPr>
            <w:r w:rsidRPr="003A2EA3">
              <w:rPr>
                <w:rFonts w:ascii="Arial Narrow" w:hAnsi="Arial Narrow"/>
                <w:sz w:val="20"/>
              </w:rPr>
              <w:t>№.of</w:t>
            </w:r>
          </w:p>
          <w:p w:rsidR="00F9214B" w:rsidRPr="003A2EA3" w:rsidRDefault="00F9214B" w:rsidP="0047714C">
            <w:pPr>
              <w:keepNext/>
              <w:jc w:val="center"/>
              <w:rPr>
                <w:rFonts w:ascii="Arial Narrow" w:hAnsi="Arial Narrow"/>
                <w:sz w:val="20"/>
              </w:rPr>
            </w:pPr>
            <w:proofErr w:type="spellStart"/>
            <w:r w:rsidRPr="003A2EA3">
              <w:rPr>
                <w:rFonts w:ascii="Arial Narrow" w:hAnsi="Arial Narrow"/>
                <w:sz w:val="20"/>
              </w:rPr>
              <w:t>Rpts</w:t>
            </w:r>
            <w:proofErr w:type="spellEnd"/>
          </w:p>
        </w:tc>
        <w:tc>
          <w:tcPr>
            <w:tcW w:w="768" w:type="pct"/>
            <w:tcBorders>
              <w:bottom w:val="single" w:sz="4" w:space="0" w:color="auto"/>
            </w:tcBorders>
            <w:vAlign w:val="center"/>
          </w:tcPr>
          <w:p w:rsidR="00F9214B" w:rsidRPr="003A2EA3" w:rsidRDefault="00F9214B" w:rsidP="0047714C">
            <w:pPr>
              <w:keepNext/>
              <w:jc w:val="center"/>
              <w:rPr>
                <w:rFonts w:ascii="Arial Narrow" w:hAnsi="Arial Narrow"/>
                <w:sz w:val="20"/>
              </w:rPr>
            </w:pPr>
          </w:p>
        </w:tc>
        <w:tc>
          <w:tcPr>
            <w:tcW w:w="824" w:type="pct"/>
            <w:tcBorders>
              <w:bottom w:val="single" w:sz="4" w:space="0" w:color="auto"/>
            </w:tcBorders>
            <w:vAlign w:val="center"/>
          </w:tcPr>
          <w:p w:rsidR="00F9214B" w:rsidRPr="00346199" w:rsidRDefault="00F9214B" w:rsidP="0047714C">
            <w:pPr>
              <w:keepNext/>
              <w:jc w:val="center"/>
              <w:rPr>
                <w:rFonts w:ascii="Arial Narrow" w:hAnsi="Arial Narrow"/>
                <w:sz w:val="20"/>
              </w:rPr>
            </w:pPr>
            <w:r w:rsidRPr="003A2EA3">
              <w:rPr>
                <w:rFonts w:ascii="Arial Narrow" w:hAnsi="Arial Narrow"/>
                <w:sz w:val="20"/>
              </w:rPr>
              <w:t xml:space="preserve">Proprietary Name </w:t>
            </w:r>
          </w:p>
        </w:tc>
        <w:tc>
          <w:tcPr>
            <w:tcW w:w="823" w:type="pct"/>
            <w:tcBorders>
              <w:bottom w:val="single" w:sz="4" w:space="0" w:color="auto"/>
            </w:tcBorders>
            <w:vAlign w:val="center"/>
          </w:tcPr>
          <w:p w:rsidR="00F9214B" w:rsidRPr="003A2EA3" w:rsidRDefault="00F9214B" w:rsidP="0047714C">
            <w:pPr>
              <w:keepNext/>
              <w:jc w:val="center"/>
              <w:rPr>
                <w:rFonts w:ascii="Arial Narrow" w:hAnsi="Arial Narrow"/>
                <w:sz w:val="20"/>
              </w:rPr>
            </w:pPr>
            <w:r w:rsidRPr="003A2EA3">
              <w:rPr>
                <w:rFonts w:ascii="Arial Narrow" w:hAnsi="Arial Narrow"/>
                <w:sz w:val="20"/>
              </w:rPr>
              <w:t>Manufacturer</w:t>
            </w:r>
          </w:p>
        </w:tc>
      </w:tr>
      <w:tr w:rsidR="00FE37A4" w:rsidRPr="003A2EA3" w:rsidTr="00FE37A4">
        <w:trPr>
          <w:gridBefore w:val="1"/>
          <w:gridAfter w:val="1"/>
          <w:wBefore w:w="43" w:type="pct"/>
          <w:wAfter w:w="44" w:type="pct"/>
          <w:cantSplit/>
          <w:trHeight w:val="876"/>
        </w:trPr>
        <w:tc>
          <w:tcPr>
            <w:tcW w:w="1729" w:type="pct"/>
            <w:gridSpan w:val="2"/>
            <w:tcBorders>
              <w:top w:val="single" w:sz="4" w:space="0" w:color="auto"/>
            </w:tcBorders>
            <w:vAlign w:val="center"/>
          </w:tcPr>
          <w:p w:rsidR="00FE37A4" w:rsidRPr="003A2EA3" w:rsidRDefault="00FE37A4" w:rsidP="0047714C">
            <w:pPr>
              <w:keepNext/>
              <w:rPr>
                <w:rFonts w:ascii="Arial Narrow" w:hAnsi="Arial Narrow"/>
                <w:sz w:val="20"/>
              </w:rPr>
            </w:pPr>
            <w:proofErr w:type="spellStart"/>
            <w:r w:rsidRPr="003A2EA3">
              <w:rPr>
                <w:rFonts w:ascii="Arial Narrow" w:hAnsi="Arial Narrow"/>
                <w:smallCaps/>
                <w:sz w:val="20"/>
              </w:rPr>
              <w:t>Venetoclax</w:t>
            </w:r>
            <w:proofErr w:type="spellEnd"/>
          </w:p>
          <w:p w:rsidR="00FE37A4" w:rsidRPr="003A2EA3" w:rsidRDefault="00FE37A4" w:rsidP="00FE37A4">
            <w:pPr>
              <w:rPr>
                <w:rFonts w:ascii="Arial Narrow" w:hAnsi="Arial Narrow"/>
                <w:sz w:val="20"/>
              </w:rPr>
            </w:pPr>
            <w:r w:rsidRPr="003A2EA3">
              <w:rPr>
                <w:rFonts w:ascii="Arial Narrow" w:hAnsi="Arial Narrow"/>
                <w:sz w:val="20"/>
              </w:rPr>
              <w:t>Tablets, 10 mg, 14, 50 mg, 7, 100 mg, 21</w:t>
            </w:r>
          </w:p>
        </w:tc>
        <w:tc>
          <w:tcPr>
            <w:tcW w:w="280" w:type="pct"/>
            <w:tcBorders>
              <w:top w:val="single" w:sz="4" w:space="0" w:color="auto"/>
            </w:tcBorders>
            <w:vAlign w:val="center"/>
          </w:tcPr>
          <w:p w:rsidR="00FE37A4" w:rsidRPr="003A2EA3" w:rsidRDefault="00FE37A4" w:rsidP="0047714C">
            <w:pPr>
              <w:keepNext/>
              <w:jc w:val="center"/>
              <w:rPr>
                <w:rFonts w:ascii="Arial Narrow" w:hAnsi="Arial Narrow"/>
                <w:sz w:val="20"/>
              </w:rPr>
            </w:pPr>
            <w:r w:rsidRPr="003A2EA3">
              <w:rPr>
                <w:rFonts w:ascii="Arial Narrow" w:hAnsi="Arial Narrow"/>
                <w:sz w:val="20"/>
              </w:rPr>
              <w:t>1</w:t>
            </w:r>
          </w:p>
        </w:tc>
        <w:tc>
          <w:tcPr>
            <w:tcW w:w="489" w:type="pct"/>
            <w:tcBorders>
              <w:top w:val="single" w:sz="4" w:space="0" w:color="auto"/>
            </w:tcBorders>
            <w:vAlign w:val="center"/>
          </w:tcPr>
          <w:p w:rsidR="00FE37A4" w:rsidRPr="003A2EA3" w:rsidRDefault="00FE37A4" w:rsidP="0047714C">
            <w:pPr>
              <w:keepNext/>
              <w:jc w:val="center"/>
              <w:rPr>
                <w:rFonts w:ascii="Arial Narrow" w:hAnsi="Arial Narrow"/>
                <w:sz w:val="20"/>
              </w:rPr>
            </w:pPr>
            <w:r w:rsidRPr="003A2EA3">
              <w:rPr>
                <w:rFonts w:ascii="Arial Narrow" w:hAnsi="Arial Narrow"/>
                <w:sz w:val="20"/>
              </w:rPr>
              <w:t>0</w:t>
            </w:r>
          </w:p>
        </w:tc>
        <w:tc>
          <w:tcPr>
            <w:tcW w:w="768" w:type="pct"/>
            <w:tcBorders>
              <w:top w:val="single" w:sz="4" w:space="0" w:color="auto"/>
            </w:tcBorders>
            <w:vAlign w:val="center"/>
          </w:tcPr>
          <w:p w:rsidR="00FE37A4" w:rsidRPr="00C27F96" w:rsidRDefault="00FE37A4" w:rsidP="0047714C">
            <w:pPr>
              <w:keepNext/>
              <w:jc w:val="center"/>
              <w:rPr>
                <w:rFonts w:ascii="Arial Narrow" w:hAnsi="Arial Narrow"/>
                <w:sz w:val="20"/>
              </w:rPr>
            </w:pPr>
          </w:p>
        </w:tc>
        <w:tc>
          <w:tcPr>
            <w:tcW w:w="824" w:type="pct"/>
            <w:tcBorders>
              <w:top w:val="single" w:sz="4" w:space="0" w:color="auto"/>
            </w:tcBorders>
            <w:vAlign w:val="center"/>
          </w:tcPr>
          <w:p w:rsidR="00FE37A4" w:rsidRPr="00C27F96" w:rsidRDefault="00FE37A4" w:rsidP="0047714C">
            <w:pPr>
              <w:keepNext/>
              <w:jc w:val="center"/>
              <w:rPr>
                <w:rFonts w:ascii="Arial Narrow" w:hAnsi="Arial Narrow"/>
                <w:sz w:val="20"/>
              </w:rPr>
            </w:pPr>
            <w:proofErr w:type="spellStart"/>
            <w:r w:rsidRPr="00C27F96">
              <w:rPr>
                <w:rFonts w:ascii="Arial Narrow" w:hAnsi="Arial Narrow"/>
                <w:sz w:val="20"/>
              </w:rPr>
              <w:t>Venclexta</w:t>
            </w:r>
            <w:proofErr w:type="spellEnd"/>
            <w:r w:rsidRPr="00C27F96">
              <w:rPr>
                <w:rFonts w:ascii="Arial Narrow" w:hAnsi="Arial Narrow"/>
                <w:sz w:val="20"/>
              </w:rPr>
              <w:t>®</w:t>
            </w:r>
          </w:p>
        </w:tc>
        <w:tc>
          <w:tcPr>
            <w:tcW w:w="823" w:type="pct"/>
            <w:tcBorders>
              <w:top w:val="single" w:sz="4" w:space="0" w:color="auto"/>
            </w:tcBorders>
            <w:vAlign w:val="center"/>
          </w:tcPr>
          <w:p w:rsidR="00FE37A4" w:rsidRPr="003A2EA3" w:rsidRDefault="00FE37A4" w:rsidP="0047714C">
            <w:pPr>
              <w:keepNext/>
              <w:jc w:val="center"/>
              <w:rPr>
                <w:rFonts w:ascii="Arial Narrow" w:hAnsi="Arial Narrow"/>
                <w:sz w:val="20"/>
              </w:rPr>
            </w:pPr>
            <w:r w:rsidRPr="003A2EA3">
              <w:rPr>
                <w:rFonts w:ascii="Arial Narrow" w:hAnsi="Arial Narrow"/>
                <w:sz w:val="20"/>
              </w:rPr>
              <w:t>AbbVie Pty Ltd.</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Category / Program</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GENERAL – General Schedule (Code GE)</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Prescriber type:</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 xml:space="preserve">Dental  </w:t>
            </w:r>
            <w:r w:rsidRPr="00FE37A4">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 xml:space="preserve">Medical Practitioners  </w:t>
            </w:r>
            <w:r w:rsidRPr="00FE37A4">
              <w:rPr>
                <w:rFonts w:ascii="Arial Narrow" w:hAnsi="Arial Narrow" w:cs="Arial"/>
                <w:sz w:val="20"/>
                <w:szCs w:val="20"/>
              </w:rPr>
              <w:fldChar w:fldCharType="begin">
                <w:ffData>
                  <w:name w:val="Check3"/>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 xml:space="preserve">Nurse practitioners  </w:t>
            </w:r>
            <w:r w:rsidRPr="00FE37A4">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Optometrists</w:t>
            </w:r>
          </w:p>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Midwives</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Severity:</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Relapsed or refractory</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Condition:</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Chronic lymphocytic leukaemia</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PBS Indication:</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Relapsed or refractory chronic lymphocytic leukaemia</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Treatment phase:</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Initial treatment</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Restriction Level / Method:</w:t>
            </w:r>
          </w:p>
          <w:p w:rsidR="00F9214B" w:rsidRPr="003A2EA3" w:rsidRDefault="00F9214B" w:rsidP="0047714C">
            <w:pPr>
              <w:rPr>
                <w:rFonts w:ascii="Arial Narrow" w:hAnsi="Arial Narrow" w:cs="Arial"/>
                <w:sz w:val="20"/>
                <w:szCs w:val="20"/>
              </w:rPr>
            </w:pP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Restricted benefit</w:t>
            </w:r>
          </w:p>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Authority Required - In Writing</w:t>
            </w:r>
          </w:p>
          <w:p w:rsidR="00F9214B" w:rsidRPr="003A2EA3" w:rsidRDefault="0044673C" w:rsidP="0047714C">
            <w:pPr>
              <w:rPr>
                <w:rFonts w:ascii="Arial Narrow" w:hAnsi="Arial Narrow" w:cs="Arial"/>
                <w:sz w:val="20"/>
                <w:szCs w:val="20"/>
              </w:rPr>
            </w:pPr>
            <w:r w:rsidRPr="00FE37A4">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00F9214B" w:rsidRPr="003A2EA3">
              <w:rPr>
                <w:rFonts w:ascii="Arial Narrow" w:hAnsi="Arial Narrow" w:cs="Arial"/>
                <w:sz w:val="20"/>
                <w:szCs w:val="20"/>
              </w:rPr>
              <w:t>Authority Required - Telephone</w:t>
            </w:r>
          </w:p>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Authority Required – Emergency</w:t>
            </w:r>
          </w:p>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Authority Required - Electronic</w:t>
            </w:r>
          </w:p>
          <w:p w:rsidR="00F9214B" w:rsidRPr="003A2EA3" w:rsidRDefault="00F9214B" w:rsidP="0047714C">
            <w:pPr>
              <w:rPr>
                <w:rFonts w:ascii="Arial Narrow" w:hAnsi="Arial Narrow" w:cs="Arial"/>
                <w:sz w:val="20"/>
                <w:szCs w:val="20"/>
              </w:rPr>
            </w:pPr>
            <w:r w:rsidRPr="00FE37A4">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FE37A4">
              <w:rPr>
                <w:rFonts w:ascii="Arial Narrow" w:hAnsi="Arial Narrow" w:cs="Arial"/>
                <w:sz w:val="20"/>
                <w:szCs w:val="20"/>
              </w:rPr>
              <w:fldChar w:fldCharType="end"/>
            </w:r>
            <w:r w:rsidRPr="003A2EA3">
              <w:rPr>
                <w:rFonts w:ascii="Arial Narrow" w:hAnsi="Arial Narrow" w:cs="Arial"/>
                <w:sz w:val="20"/>
                <w:szCs w:val="20"/>
              </w:rPr>
              <w:t>Streamlined</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sz w:val="20"/>
                <w:szCs w:val="20"/>
              </w:rPr>
            </w:pPr>
            <w:r w:rsidRPr="003A2EA3">
              <w:rPr>
                <w:rFonts w:ascii="Arial Narrow" w:hAnsi="Arial Narrow" w:cs="Arial"/>
                <w:b/>
                <w:sz w:val="20"/>
                <w:szCs w:val="20"/>
              </w:rPr>
              <w:t>Clinical criteria:</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The condition must have relapsed or be refractory to at least a line of treatment with a kinase inhibitor.</w:t>
            </w:r>
          </w:p>
          <w:p w:rsidR="00F9214B" w:rsidRPr="00C27F96" w:rsidRDefault="00F9214B" w:rsidP="0047714C">
            <w:pPr>
              <w:rPr>
                <w:rFonts w:ascii="Arial Narrow" w:hAnsi="Arial Narrow" w:cs="Arial"/>
                <w:sz w:val="20"/>
                <w:szCs w:val="20"/>
              </w:rPr>
            </w:pPr>
          </w:p>
          <w:p w:rsidR="00F9214B" w:rsidRPr="00C27F96" w:rsidRDefault="00F9214B" w:rsidP="0047714C">
            <w:pPr>
              <w:rPr>
                <w:rFonts w:ascii="Arial Narrow" w:hAnsi="Arial Narrow" w:cs="Arial"/>
                <w:sz w:val="20"/>
                <w:szCs w:val="20"/>
              </w:rPr>
            </w:pPr>
            <w:r w:rsidRPr="00C27F96">
              <w:rPr>
                <w:rFonts w:ascii="Arial Narrow" w:hAnsi="Arial Narrow" w:cs="Arial"/>
                <w:sz w:val="20"/>
                <w:szCs w:val="20"/>
              </w:rPr>
              <w:t>AND</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The treatment must be as monotherapy</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AND</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Patient must not have previously received PBS-subsidised treatment with this drug for this condition.</w:t>
            </w:r>
          </w:p>
        </w:tc>
      </w:tr>
      <w:tr w:rsidR="006F7E94"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6F7E94" w:rsidRPr="003A2EA3" w:rsidRDefault="006F7E94" w:rsidP="0047714C">
            <w:pPr>
              <w:jc w:val="both"/>
              <w:rPr>
                <w:rFonts w:ascii="Arial Narrow" w:hAnsi="Arial Narrow" w:cs="Arial"/>
                <w:b/>
                <w:sz w:val="20"/>
                <w:szCs w:val="20"/>
              </w:rPr>
            </w:pPr>
            <w:r w:rsidRPr="003A2EA3">
              <w:rPr>
                <w:rFonts w:ascii="Arial Narrow" w:hAnsi="Arial Narrow" w:cs="Arial"/>
                <w:b/>
                <w:sz w:val="20"/>
                <w:szCs w:val="20"/>
              </w:rPr>
              <w:t>Prescriber Instructions</w:t>
            </w:r>
          </w:p>
        </w:tc>
        <w:tc>
          <w:tcPr>
            <w:tcW w:w="3813" w:type="pct"/>
            <w:gridSpan w:val="7"/>
            <w:tcBorders>
              <w:top w:val="single" w:sz="4" w:space="0" w:color="auto"/>
              <w:left w:val="single" w:sz="4" w:space="0" w:color="auto"/>
              <w:bottom w:val="single" w:sz="4" w:space="0" w:color="auto"/>
              <w:right w:val="single" w:sz="4" w:space="0" w:color="auto"/>
            </w:tcBorders>
          </w:tcPr>
          <w:p w:rsidR="00D63B31" w:rsidRPr="003A2EA3" w:rsidRDefault="00D63B31" w:rsidP="00D63B31">
            <w:pPr>
              <w:rPr>
                <w:rFonts w:ascii="Arial Narrow" w:hAnsi="Arial Narrow"/>
                <w:sz w:val="20"/>
                <w:szCs w:val="20"/>
              </w:rPr>
            </w:pPr>
            <w:r w:rsidRPr="003A2EA3">
              <w:rPr>
                <w:rFonts w:ascii="Arial Narrow" w:hAnsi="Arial Narrow"/>
                <w:sz w:val="20"/>
                <w:szCs w:val="20"/>
              </w:rPr>
              <w:t xml:space="preserve">The authority application must be made in writing and must include: </w:t>
            </w:r>
          </w:p>
          <w:p w:rsidR="00D63B31" w:rsidRPr="003A2EA3" w:rsidRDefault="00D63B31" w:rsidP="00D63B31">
            <w:pPr>
              <w:rPr>
                <w:rFonts w:ascii="Arial Narrow" w:hAnsi="Arial Narrow"/>
                <w:sz w:val="20"/>
                <w:szCs w:val="20"/>
              </w:rPr>
            </w:pPr>
            <w:r w:rsidRPr="003A2EA3">
              <w:rPr>
                <w:rFonts w:ascii="Arial Narrow" w:hAnsi="Arial Narrow"/>
                <w:sz w:val="20"/>
                <w:szCs w:val="20"/>
              </w:rPr>
              <w:t>a)</w:t>
            </w:r>
            <w:r w:rsidRPr="003A2EA3">
              <w:rPr>
                <w:rFonts w:ascii="Arial Narrow" w:hAnsi="Arial Narrow"/>
                <w:sz w:val="20"/>
                <w:szCs w:val="20"/>
              </w:rPr>
              <w:tab/>
              <w:t xml:space="preserve">A completed authority prescription form; </w:t>
            </w:r>
          </w:p>
          <w:p w:rsidR="006F7E94" w:rsidRPr="003A2EA3" w:rsidRDefault="002F022E" w:rsidP="00D63B31">
            <w:pPr>
              <w:rPr>
                <w:rFonts w:ascii="Arial Narrow" w:hAnsi="Arial Narrow"/>
                <w:sz w:val="20"/>
                <w:szCs w:val="20"/>
              </w:rPr>
            </w:pPr>
            <w:r>
              <w:rPr>
                <w:rFonts w:ascii="Arial Narrow" w:hAnsi="Arial Narrow"/>
                <w:sz w:val="20"/>
                <w:szCs w:val="20"/>
              </w:rPr>
              <w:t>b)</w:t>
            </w:r>
            <w:r>
              <w:rPr>
                <w:rFonts w:ascii="Arial Narrow" w:hAnsi="Arial Narrow"/>
                <w:sz w:val="20"/>
                <w:szCs w:val="20"/>
              </w:rPr>
              <w:tab/>
              <w:t>A completed CLL</w:t>
            </w:r>
            <w:r w:rsidR="00D63B31" w:rsidRPr="003A2EA3">
              <w:rPr>
                <w:rFonts w:ascii="Arial Narrow" w:hAnsi="Arial Narrow"/>
                <w:sz w:val="20"/>
                <w:szCs w:val="20"/>
              </w:rPr>
              <w:t xml:space="preserve"> PBS Authority Application – Supporting information form;</w:t>
            </w:r>
          </w:p>
        </w:tc>
      </w:tr>
      <w:tr w:rsidR="00F9214B" w:rsidRPr="003A2EA3" w:rsidTr="00F9214B">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Administrative Advice</w:t>
            </w:r>
          </w:p>
        </w:tc>
        <w:tc>
          <w:tcPr>
            <w:tcW w:w="3813" w:type="pct"/>
            <w:gridSpan w:val="7"/>
            <w:tcBorders>
              <w:top w:val="single" w:sz="4" w:space="0" w:color="auto"/>
              <w:left w:val="single" w:sz="4" w:space="0" w:color="auto"/>
              <w:bottom w:val="single" w:sz="4" w:space="0" w:color="auto"/>
              <w:right w:val="single" w:sz="4" w:space="0" w:color="auto"/>
            </w:tcBorders>
          </w:tcPr>
          <w:p w:rsidR="00CC07BF" w:rsidRPr="003A2EA3" w:rsidRDefault="00CC07BF" w:rsidP="00CC07BF">
            <w:pPr>
              <w:rPr>
                <w:rFonts w:ascii="Arial Narrow" w:hAnsi="Arial Narrow"/>
                <w:sz w:val="20"/>
              </w:rPr>
            </w:pPr>
            <w:r w:rsidRPr="003A2EA3">
              <w:rPr>
                <w:rFonts w:ascii="Arial Narrow" w:hAnsi="Arial Narrow"/>
                <w:sz w:val="20"/>
              </w:rPr>
              <w:t xml:space="preserve">Any queries concerning the arrangements to prescribe may be direct to the Department of Human Services on 1800 700 270 (hours of operation 8 a.m. to 5 p.m. EST Monday to Friday). </w:t>
            </w:r>
          </w:p>
          <w:p w:rsidR="00CC07BF" w:rsidRPr="003A2EA3" w:rsidRDefault="00CC07BF" w:rsidP="00CC07BF">
            <w:pPr>
              <w:rPr>
                <w:rFonts w:ascii="Arial Narrow" w:hAnsi="Arial Narrow"/>
                <w:sz w:val="20"/>
              </w:rPr>
            </w:pPr>
          </w:p>
          <w:p w:rsidR="00CC07BF" w:rsidRPr="003A2EA3" w:rsidRDefault="00CC07BF" w:rsidP="00CC07BF">
            <w:pPr>
              <w:rPr>
                <w:rFonts w:ascii="Arial Narrow" w:hAnsi="Arial Narrow"/>
                <w:sz w:val="20"/>
              </w:rPr>
            </w:pPr>
            <w:r w:rsidRPr="003A2EA3">
              <w:rPr>
                <w:rFonts w:ascii="Arial Narrow" w:hAnsi="Arial Narrow"/>
                <w:sz w:val="20"/>
              </w:rPr>
              <w:t xml:space="preserve">Prescribing information (including Authority Application forms and other relevant documentation as applicable) is available on the Department of Human Services website at </w:t>
            </w:r>
            <w:r w:rsidRPr="00024A0B">
              <w:rPr>
                <w:rFonts w:ascii="Arial Narrow" w:eastAsiaTheme="majorEastAsia" w:hAnsi="Arial Narrow"/>
                <w:sz w:val="20"/>
              </w:rPr>
              <w:t>www.humanservices.gov.au</w:t>
            </w:r>
            <w:r w:rsidRPr="003A2EA3">
              <w:rPr>
                <w:rFonts w:ascii="Arial Narrow" w:hAnsi="Arial Narrow"/>
                <w:sz w:val="20"/>
              </w:rPr>
              <w:t xml:space="preserve"> </w:t>
            </w:r>
          </w:p>
          <w:p w:rsidR="00CC07BF" w:rsidRPr="00C27F96" w:rsidRDefault="00CC07BF" w:rsidP="00CC07BF">
            <w:pPr>
              <w:rPr>
                <w:rFonts w:ascii="Arial Narrow" w:hAnsi="Arial Narrow"/>
                <w:sz w:val="20"/>
              </w:rPr>
            </w:pPr>
          </w:p>
          <w:p w:rsidR="00CC07BF" w:rsidRPr="00C27F96" w:rsidRDefault="00CC07BF" w:rsidP="00CC07BF">
            <w:pPr>
              <w:rPr>
                <w:rFonts w:ascii="Arial Narrow" w:hAnsi="Arial Narrow"/>
                <w:sz w:val="20"/>
              </w:rPr>
            </w:pPr>
            <w:r w:rsidRPr="00C27F96">
              <w:rPr>
                <w:rFonts w:ascii="Arial Narrow" w:hAnsi="Arial Narrow"/>
                <w:sz w:val="20"/>
              </w:rPr>
              <w:t xml:space="preserve">Applications for authority to prescribe should be forwarded to: </w:t>
            </w:r>
          </w:p>
          <w:p w:rsidR="00CC07BF" w:rsidRPr="003A2EA3" w:rsidRDefault="00CC07BF" w:rsidP="00CC07BF">
            <w:pPr>
              <w:rPr>
                <w:rFonts w:ascii="Arial Narrow" w:hAnsi="Arial Narrow"/>
                <w:sz w:val="20"/>
              </w:rPr>
            </w:pPr>
            <w:r w:rsidRPr="003A2EA3">
              <w:rPr>
                <w:rFonts w:ascii="Arial Narrow" w:hAnsi="Arial Narrow"/>
                <w:sz w:val="20"/>
              </w:rPr>
              <w:t xml:space="preserve">Department of Human Services </w:t>
            </w:r>
          </w:p>
          <w:p w:rsidR="00CC07BF" w:rsidRPr="003A2EA3" w:rsidRDefault="00CC07BF" w:rsidP="00CC07BF">
            <w:pPr>
              <w:rPr>
                <w:rFonts w:ascii="Arial Narrow" w:hAnsi="Arial Narrow"/>
                <w:sz w:val="20"/>
              </w:rPr>
            </w:pPr>
            <w:r w:rsidRPr="003A2EA3">
              <w:rPr>
                <w:rFonts w:ascii="Arial Narrow" w:hAnsi="Arial Narrow"/>
                <w:sz w:val="20"/>
              </w:rPr>
              <w:t xml:space="preserve">Complex Drugs </w:t>
            </w:r>
          </w:p>
          <w:p w:rsidR="00CC07BF" w:rsidRPr="003A2EA3" w:rsidRDefault="00CC07BF" w:rsidP="00CC07BF">
            <w:pPr>
              <w:rPr>
                <w:rFonts w:ascii="Arial Narrow" w:hAnsi="Arial Narrow"/>
                <w:sz w:val="20"/>
              </w:rPr>
            </w:pPr>
            <w:r w:rsidRPr="003A2EA3">
              <w:rPr>
                <w:rFonts w:ascii="Arial Narrow" w:hAnsi="Arial Narrow"/>
                <w:sz w:val="20"/>
              </w:rPr>
              <w:t>Reply Paid 9826</w:t>
            </w:r>
          </w:p>
          <w:p w:rsidR="00CC07BF" w:rsidRPr="003A2EA3" w:rsidRDefault="00CC07BF" w:rsidP="00CC07BF">
            <w:pPr>
              <w:rPr>
                <w:rFonts w:ascii="Arial Narrow" w:hAnsi="Arial Narrow"/>
                <w:sz w:val="20"/>
              </w:rPr>
            </w:pPr>
            <w:r w:rsidRPr="003A2EA3">
              <w:rPr>
                <w:rFonts w:ascii="Arial Narrow" w:hAnsi="Arial Narrow"/>
                <w:sz w:val="20"/>
              </w:rPr>
              <w:t>HOBART TAS 7001</w:t>
            </w:r>
          </w:p>
          <w:p w:rsidR="00CC07BF" w:rsidRPr="003A2EA3" w:rsidRDefault="00CC07BF" w:rsidP="00CC07BF">
            <w:pPr>
              <w:rPr>
                <w:rFonts w:ascii="Arial Narrow" w:hAnsi="Arial Narrow"/>
                <w:sz w:val="20"/>
                <w:szCs w:val="20"/>
              </w:rPr>
            </w:pPr>
          </w:p>
          <w:p w:rsidR="00CC07BF" w:rsidRPr="003A2EA3" w:rsidRDefault="00CC07BF" w:rsidP="00CC07BF">
            <w:pPr>
              <w:rPr>
                <w:rFonts w:ascii="Arial Narrow" w:hAnsi="Arial Narrow"/>
                <w:sz w:val="20"/>
                <w:szCs w:val="20"/>
              </w:rPr>
            </w:pPr>
            <w:r w:rsidRPr="003A2EA3">
              <w:rPr>
                <w:rFonts w:ascii="Arial Narrow" w:hAnsi="Arial Narrow"/>
                <w:sz w:val="20"/>
                <w:szCs w:val="20"/>
              </w:rPr>
              <w:t xml:space="preserve">No increase in the maximum quantity or number of units may be authorised. </w:t>
            </w:r>
          </w:p>
          <w:p w:rsidR="00CC07BF" w:rsidRPr="003A2EA3" w:rsidRDefault="00CC07BF" w:rsidP="00CC07BF">
            <w:pPr>
              <w:rPr>
                <w:rFonts w:ascii="Arial Narrow" w:hAnsi="Arial Narrow"/>
                <w:sz w:val="20"/>
                <w:szCs w:val="20"/>
              </w:rPr>
            </w:pPr>
          </w:p>
          <w:p w:rsidR="00CC07BF" w:rsidRPr="003A2EA3" w:rsidRDefault="00CC07BF" w:rsidP="00CC07BF">
            <w:pPr>
              <w:rPr>
                <w:rFonts w:ascii="Arial Narrow" w:hAnsi="Arial Narrow"/>
                <w:sz w:val="20"/>
                <w:szCs w:val="20"/>
              </w:rPr>
            </w:pPr>
            <w:r w:rsidRPr="003A2EA3">
              <w:rPr>
                <w:rFonts w:ascii="Arial Narrow" w:hAnsi="Arial Narrow"/>
                <w:sz w:val="20"/>
                <w:szCs w:val="20"/>
              </w:rPr>
              <w:t xml:space="preserve">No increase in the maximum number of repeats may be authorised. </w:t>
            </w:r>
          </w:p>
          <w:p w:rsidR="00CC07BF" w:rsidRPr="003A2EA3" w:rsidRDefault="00CC07BF" w:rsidP="0047714C">
            <w:pPr>
              <w:rPr>
                <w:rFonts w:ascii="Arial Narrow" w:hAnsi="Arial Narrow"/>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sz w:val="20"/>
                <w:szCs w:val="20"/>
              </w:rPr>
              <w:t>Special Pricing Arrangements apply.</w:t>
            </w:r>
          </w:p>
        </w:tc>
      </w:tr>
    </w:tbl>
    <w:p w:rsidR="00F9214B" w:rsidRPr="003A2EA3" w:rsidRDefault="00F9214B" w:rsidP="00F9214B">
      <w:pPr>
        <w:rPr>
          <w:rFonts w:asciiTheme="minorHAnsi" w:hAnsiTheme="minorHAnsi" w:cs="Arial"/>
          <w:b/>
          <w:sz w:val="22"/>
          <w:szCs w:val="22"/>
          <w:u w:val="single"/>
        </w:rPr>
      </w:pPr>
    </w:p>
    <w:p w:rsidR="00D504CB" w:rsidRDefault="00D504CB">
      <w:r>
        <w:br w:type="page"/>
      </w:r>
    </w:p>
    <w:tbl>
      <w:tblPr>
        <w:tblW w:w="5088" w:type="pct"/>
        <w:tblInd w:w="-80" w:type="dxa"/>
        <w:tblCellMar>
          <w:left w:w="28" w:type="dxa"/>
          <w:right w:w="28" w:type="dxa"/>
        </w:tblCellMar>
        <w:tblLook w:val="0000" w:firstRow="0" w:lastRow="0" w:firstColumn="0" w:lastColumn="0" w:noHBand="0" w:noVBand="0"/>
      </w:tblPr>
      <w:tblGrid>
        <w:gridCol w:w="79"/>
        <w:gridCol w:w="2115"/>
        <w:gridCol w:w="1083"/>
        <w:gridCol w:w="518"/>
        <w:gridCol w:w="906"/>
        <w:gridCol w:w="1420"/>
        <w:gridCol w:w="1521"/>
        <w:gridCol w:w="1519"/>
        <w:gridCol w:w="81"/>
      </w:tblGrid>
      <w:tr w:rsidR="009865FE" w:rsidRPr="003A2EA3" w:rsidTr="00FE37A4">
        <w:trPr>
          <w:gridBefore w:val="1"/>
          <w:gridAfter w:val="1"/>
          <w:wBefore w:w="43" w:type="pct"/>
          <w:wAfter w:w="44" w:type="pct"/>
          <w:cantSplit/>
          <w:trHeight w:val="463"/>
        </w:trPr>
        <w:tc>
          <w:tcPr>
            <w:tcW w:w="1730" w:type="pct"/>
            <w:gridSpan w:val="2"/>
            <w:tcBorders>
              <w:bottom w:val="single" w:sz="4" w:space="0" w:color="auto"/>
            </w:tcBorders>
            <w:vAlign w:val="center"/>
          </w:tcPr>
          <w:p w:rsidR="009865FE" w:rsidRPr="003A2EA3" w:rsidRDefault="009865FE" w:rsidP="003A2EA3">
            <w:pPr>
              <w:keepNext/>
              <w:rPr>
                <w:rFonts w:ascii="Arial Narrow" w:hAnsi="Arial Narrow"/>
                <w:sz w:val="20"/>
              </w:rPr>
            </w:pPr>
            <w:r w:rsidRPr="003A2EA3">
              <w:rPr>
                <w:rFonts w:ascii="Arial Narrow" w:hAnsi="Arial Narrow"/>
                <w:sz w:val="20"/>
              </w:rPr>
              <w:t>Name, Restriction,</w:t>
            </w:r>
          </w:p>
          <w:p w:rsidR="009865FE" w:rsidRPr="003A2EA3" w:rsidRDefault="009865FE" w:rsidP="003A2EA3">
            <w:pPr>
              <w:keepNext/>
              <w:rPr>
                <w:rFonts w:ascii="Arial Narrow" w:hAnsi="Arial Narrow"/>
                <w:sz w:val="20"/>
              </w:rPr>
            </w:pPr>
            <w:r w:rsidRPr="003A2EA3">
              <w:rPr>
                <w:rFonts w:ascii="Arial Narrow" w:hAnsi="Arial Narrow"/>
                <w:sz w:val="20"/>
              </w:rPr>
              <w:t>Manner of administration and form</w:t>
            </w:r>
          </w:p>
        </w:tc>
        <w:tc>
          <w:tcPr>
            <w:tcW w:w="280" w:type="pct"/>
            <w:tcBorders>
              <w:bottom w:val="single" w:sz="4" w:space="0" w:color="auto"/>
            </w:tcBorders>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Max.</w:t>
            </w:r>
          </w:p>
          <w:p w:rsidR="009865FE" w:rsidRPr="003A2EA3" w:rsidRDefault="009865FE" w:rsidP="003A2EA3">
            <w:pPr>
              <w:keepNext/>
              <w:jc w:val="center"/>
              <w:rPr>
                <w:rFonts w:ascii="Arial Narrow" w:hAnsi="Arial Narrow"/>
                <w:sz w:val="20"/>
              </w:rPr>
            </w:pPr>
            <w:proofErr w:type="spellStart"/>
            <w:r w:rsidRPr="003A2EA3">
              <w:rPr>
                <w:rFonts w:ascii="Arial Narrow" w:hAnsi="Arial Narrow"/>
                <w:sz w:val="20"/>
              </w:rPr>
              <w:t>Qty</w:t>
            </w:r>
            <w:proofErr w:type="spellEnd"/>
          </w:p>
        </w:tc>
        <w:tc>
          <w:tcPr>
            <w:tcW w:w="490" w:type="pct"/>
            <w:tcBorders>
              <w:bottom w:val="single" w:sz="4" w:space="0" w:color="auto"/>
            </w:tcBorders>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№.of</w:t>
            </w:r>
          </w:p>
          <w:p w:rsidR="009865FE" w:rsidRPr="003A2EA3" w:rsidRDefault="009865FE" w:rsidP="003A2EA3">
            <w:pPr>
              <w:keepNext/>
              <w:jc w:val="center"/>
              <w:rPr>
                <w:rFonts w:ascii="Arial Narrow" w:hAnsi="Arial Narrow"/>
                <w:sz w:val="20"/>
              </w:rPr>
            </w:pPr>
            <w:proofErr w:type="spellStart"/>
            <w:r w:rsidRPr="003A2EA3">
              <w:rPr>
                <w:rFonts w:ascii="Arial Narrow" w:hAnsi="Arial Narrow"/>
                <w:sz w:val="20"/>
              </w:rPr>
              <w:t>Rpts</w:t>
            </w:r>
            <w:proofErr w:type="spellEnd"/>
          </w:p>
        </w:tc>
        <w:tc>
          <w:tcPr>
            <w:tcW w:w="768" w:type="pct"/>
            <w:tcBorders>
              <w:bottom w:val="single" w:sz="4" w:space="0" w:color="auto"/>
            </w:tcBorders>
            <w:vAlign w:val="center"/>
          </w:tcPr>
          <w:p w:rsidR="009865FE" w:rsidRPr="003A2EA3" w:rsidRDefault="009865FE" w:rsidP="003A2EA3">
            <w:pPr>
              <w:keepNext/>
              <w:jc w:val="center"/>
              <w:rPr>
                <w:rFonts w:ascii="Arial Narrow" w:hAnsi="Arial Narrow"/>
                <w:sz w:val="20"/>
              </w:rPr>
            </w:pPr>
          </w:p>
        </w:tc>
        <w:tc>
          <w:tcPr>
            <w:tcW w:w="823" w:type="pct"/>
            <w:tcBorders>
              <w:bottom w:val="single" w:sz="4" w:space="0" w:color="auto"/>
            </w:tcBorders>
            <w:vAlign w:val="center"/>
          </w:tcPr>
          <w:p w:rsidR="009865FE" w:rsidRPr="00346199" w:rsidRDefault="009865FE" w:rsidP="003A2EA3">
            <w:pPr>
              <w:keepNext/>
              <w:jc w:val="center"/>
              <w:rPr>
                <w:rFonts w:ascii="Arial Narrow" w:hAnsi="Arial Narrow"/>
                <w:sz w:val="20"/>
              </w:rPr>
            </w:pPr>
            <w:r w:rsidRPr="003A2EA3">
              <w:rPr>
                <w:rFonts w:ascii="Arial Narrow" w:hAnsi="Arial Narrow"/>
                <w:sz w:val="20"/>
              </w:rPr>
              <w:t xml:space="preserve">Proprietary Name </w:t>
            </w:r>
          </w:p>
        </w:tc>
        <w:tc>
          <w:tcPr>
            <w:tcW w:w="822" w:type="pct"/>
            <w:tcBorders>
              <w:bottom w:val="single" w:sz="4" w:space="0" w:color="auto"/>
            </w:tcBorders>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Manufacturer</w:t>
            </w:r>
          </w:p>
        </w:tc>
      </w:tr>
      <w:tr w:rsidR="009865FE" w:rsidRPr="003A2EA3" w:rsidTr="00FE37A4">
        <w:trPr>
          <w:gridBefore w:val="1"/>
          <w:gridAfter w:val="1"/>
          <w:wBefore w:w="43" w:type="pct"/>
          <w:wAfter w:w="44" w:type="pct"/>
          <w:cantSplit/>
          <w:trHeight w:val="567"/>
        </w:trPr>
        <w:tc>
          <w:tcPr>
            <w:tcW w:w="1730" w:type="pct"/>
            <w:gridSpan w:val="2"/>
            <w:vAlign w:val="center"/>
          </w:tcPr>
          <w:p w:rsidR="006D6711" w:rsidRPr="003A2EA3" w:rsidRDefault="006D6711" w:rsidP="006D6711">
            <w:pPr>
              <w:keepNext/>
              <w:rPr>
                <w:rFonts w:ascii="Arial Narrow" w:hAnsi="Arial Narrow"/>
                <w:sz w:val="20"/>
              </w:rPr>
            </w:pPr>
            <w:proofErr w:type="spellStart"/>
            <w:r w:rsidRPr="003A2EA3">
              <w:rPr>
                <w:rFonts w:ascii="Arial Narrow" w:hAnsi="Arial Narrow"/>
                <w:smallCaps/>
                <w:sz w:val="20"/>
              </w:rPr>
              <w:t>Venetoclax</w:t>
            </w:r>
            <w:proofErr w:type="spellEnd"/>
          </w:p>
          <w:p w:rsidR="009865FE" w:rsidRPr="00346199" w:rsidRDefault="00824808" w:rsidP="003A2EA3">
            <w:pPr>
              <w:keepNext/>
              <w:rPr>
                <w:rFonts w:ascii="Arial Narrow" w:hAnsi="Arial Narrow"/>
                <w:sz w:val="20"/>
              </w:rPr>
            </w:pPr>
            <w:r w:rsidRPr="003A2EA3">
              <w:rPr>
                <w:rFonts w:ascii="Arial Narrow" w:hAnsi="Arial Narrow"/>
                <w:sz w:val="20"/>
              </w:rPr>
              <w:t>Tablets, 10 mg</w:t>
            </w:r>
            <w:r w:rsidR="008F7F3D" w:rsidRPr="003A2EA3">
              <w:rPr>
                <w:rFonts w:ascii="Arial Narrow" w:hAnsi="Arial Narrow"/>
                <w:sz w:val="20"/>
              </w:rPr>
              <w:t>,</w:t>
            </w:r>
            <w:r w:rsidR="00346199">
              <w:rPr>
                <w:rFonts w:ascii="Arial Narrow" w:hAnsi="Arial Narrow"/>
                <w:sz w:val="20"/>
              </w:rPr>
              <w:t xml:space="preserve"> </w:t>
            </w:r>
            <w:r w:rsidR="009865FE" w:rsidRPr="003A2EA3">
              <w:rPr>
                <w:rFonts w:ascii="Arial Narrow" w:hAnsi="Arial Narrow"/>
                <w:sz w:val="20"/>
              </w:rPr>
              <w:t>14</w:t>
            </w:r>
          </w:p>
        </w:tc>
        <w:tc>
          <w:tcPr>
            <w:tcW w:w="280" w:type="pct"/>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1</w:t>
            </w:r>
          </w:p>
        </w:tc>
        <w:tc>
          <w:tcPr>
            <w:tcW w:w="490" w:type="pct"/>
            <w:vAlign w:val="center"/>
          </w:tcPr>
          <w:p w:rsidR="009865FE" w:rsidRPr="00C27F96" w:rsidRDefault="009865FE" w:rsidP="003A2EA3">
            <w:pPr>
              <w:keepNext/>
              <w:jc w:val="center"/>
              <w:rPr>
                <w:rFonts w:ascii="Arial Narrow" w:hAnsi="Arial Narrow"/>
                <w:sz w:val="20"/>
              </w:rPr>
            </w:pPr>
            <w:r w:rsidRPr="00C27F96">
              <w:rPr>
                <w:rFonts w:ascii="Arial Narrow" w:hAnsi="Arial Narrow"/>
                <w:sz w:val="20"/>
              </w:rPr>
              <w:t>0</w:t>
            </w:r>
          </w:p>
        </w:tc>
        <w:tc>
          <w:tcPr>
            <w:tcW w:w="768" w:type="pct"/>
            <w:vAlign w:val="center"/>
          </w:tcPr>
          <w:p w:rsidR="009865FE" w:rsidRPr="00C27F96" w:rsidRDefault="009865FE" w:rsidP="003A2EA3">
            <w:pPr>
              <w:keepNext/>
              <w:jc w:val="center"/>
              <w:rPr>
                <w:rFonts w:ascii="Arial Narrow" w:hAnsi="Arial Narrow"/>
                <w:sz w:val="20"/>
              </w:rPr>
            </w:pPr>
          </w:p>
        </w:tc>
        <w:tc>
          <w:tcPr>
            <w:tcW w:w="823" w:type="pct"/>
            <w:vMerge w:val="restart"/>
            <w:vAlign w:val="center"/>
          </w:tcPr>
          <w:p w:rsidR="009865FE" w:rsidRPr="003A2EA3" w:rsidRDefault="009865FE" w:rsidP="003A2EA3">
            <w:pPr>
              <w:keepNext/>
              <w:jc w:val="center"/>
              <w:rPr>
                <w:rFonts w:ascii="Arial Narrow" w:hAnsi="Arial Narrow"/>
                <w:sz w:val="20"/>
              </w:rPr>
            </w:pPr>
          </w:p>
        </w:tc>
        <w:tc>
          <w:tcPr>
            <w:tcW w:w="822" w:type="pct"/>
            <w:vMerge w:val="restart"/>
          </w:tcPr>
          <w:p w:rsidR="009865FE" w:rsidRPr="003A2EA3" w:rsidRDefault="009865FE" w:rsidP="003A2EA3">
            <w:pPr>
              <w:keepNext/>
              <w:jc w:val="center"/>
              <w:rPr>
                <w:rFonts w:ascii="Arial Narrow" w:hAnsi="Arial Narrow"/>
                <w:sz w:val="20"/>
              </w:rPr>
            </w:pPr>
          </w:p>
        </w:tc>
      </w:tr>
      <w:tr w:rsidR="009865FE" w:rsidRPr="003A2EA3" w:rsidTr="00FE37A4">
        <w:trPr>
          <w:gridBefore w:val="1"/>
          <w:gridAfter w:val="1"/>
          <w:wBefore w:w="43" w:type="pct"/>
          <w:wAfter w:w="44" w:type="pct"/>
          <w:cantSplit/>
          <w:trHeight w:val="567"/>
        </w:trPr>
        <w:tc>
          <w:tcPr>
            <w:tcW w:w="1730" w:type="pct"/>
            <w:gridSpan w:val="2"/>
            <w:vAlign w:val="center"/>
          </w:tcPr>
          <w:p w:rsidR="009865FE" w:rsidRPr="003A2EA3" w:rsidRDefault="00824808" w:rsidP="003A2EA3">
            <w:pPr>
              <w:keepNext/>
              <w:rPr>
                <w:rFonts w:ascii="Arial Narrow" w:hAnsi="Arial Narrow"/>
                <w:sz w:val="20"/>
              </w:rPr>
            </w:pPr>
            <w:r w:rsidRPr="003A2EA3">
              <w:rPr>
                <w:rFonts w:ascii="Arial Narrow" w:hAnsi="Arial Narrow"/>
                <w:sz w:val="20"/>
              </w:rPr>
              <w:t>Tablets, 50 mg</w:t>
            </w:r>
            <w:r w:rsidR="00230166" w:rsidRPr="003A2EA3">
              <w:rPr>
                <w:rFonts w:ascii="Arial Narrow" w:hAnsi="Arial Narrow"/>
                <w:sz w:val="20"/>
              </w:rPr>
              <w:t>,</w:t>
            </w:r>
            <w:r w:rsidR="00346199">
              <w:rPr>
                <w:rFonts w:ascii="Arial Narrow" w:hAnsi="Arial Narrow"/>
                <w:sz w:val="20"/>
              </w:rPr>
              <w:t xml:space="preserve"> </w:t>
            </w:r>
            <w:r w:rsidR="008F7F3D" w:rsidRPr="003A2EA3">
              <w:rPr>
                <w:rFonts w:ascii="Arial Narrow" w:hAnsi="Arial Narrow"/>
                <w:sz w:val="20"/>
              </w:rPr>
              <w:t>7</w:t>
            </w:r>
          </w:p>
        </w:tc>
        <w:tc>
          <w:tcPr>
            <w:tcW w:w="280" w:type="pct"/>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1</w:t>
            </w:r>
          </w:p>
        </w:tc>
        <w:tc>
          <w:tcPr>
            <w:tcW w:w="490" w:type="pct"/>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0</w:t>
            </w:r>
          </w:p>
        </w:tc>
        <w:tc>
          <w:tcPr>
            <w:tcW w:w="768" w:type="pct"/>
            <w:vAlign w:val="center"/>
          </w:tcPr>
          <w:p w:rsidR="009865FE" w:rsidRPr="003A2EA3" w:rsidRDefault="009865FE" w:rsidP="003A2EA3">
            <w:pPr>
              <w:keepNext/>
              <w:jc w:val="center"/>
              <w:rPr>
                <w:rFonts w:ascii="Arial Narrow" w:hAnsi="Arial Narrow"/>
                <w:sz w:val="20"/>
              </w:rPr>
            </w:pPr>
          </w:p>
        </w:tc>
        <w:tc>
          <w:tcPr>
            <w:tcW w:w="823" w:type="pct"/>
            <w:vMerge/>
            <w:vAlign w:val="center"/>
          </w:tcPr>
          <w:p w:rsidR="009865FE" w:rsidRPr="003A2EA3" w:rsidRDefault="009865FE" w:rsidP="003A2EA3">
            <w:pPr>
              <w:keepNext/>
              <w:jc w:val="center"/>
              <w:rPr>
                <w:rFonts w:ascii="Arial Narrow" w:hAnsi="Arial Narrow"/>
                <w:sz w:val="20"/>
              </w:rPr>
            </w:pPr>
          </w:p>
        </w:tc>
        <w:tc>
          <w:tcPr>
            <w:tcW w:w="822" w:type="pct"/>
            <w:vMerge/>
          </w:tcPr>
          <w:p w:rsidR="009865FE" w:rsidRPr="003A2EA3" w:rsidRDefault="009865FE" w:rsidP="003A2EA3">
            <w:pPr>
              <w:keepNext/>
              <w:jc w:val="center"/>
              <w:rPr>
                <w:rFonts w:ascii="Arial Narrow" w:hAnsi="Arial Narrow"/>
                <w:sz w:val="20"/>
              </w:rPr>
            </w:pPr>
          </w:p>
        </w:tc>
      </w:tr>
      <w:tr w:rsidR="009865FE" w:rsidRPr="003A2EA3" w:rsidTr="00FE37A4">
        <w:trPr>
          <w:gridBefore w:val="1"/>
          <w:gridAfter w:val="1"/>
          <w:wBefore w:w="43" w:type="pct"/>
          <w:wAfter w:w="44" w:type="pct"/>
          <w:cantSplit/>
          <w:trHeight w:val="567"/>
        </w:trPr>
        <w:tc>
          <w:tcPr>
            <w:tcW w:w="1730" w:type="pct"/>
            <w:gridSpan w:val="2"/>
            <w:vAlign w:val="center"/>
          </w:tcPr>
          <w:p w:rsidR="009865FE" w:rsidRPr="003A2EA3" w:rsidRDefault="009865FE" w:rsidP="00346199">
            <w:pPr>
              <w:rPr>
                <w:rFonts w:ascii="Arial Narrow" w:hAnsi="Arial Narrow"/>
                <w:sz w:val="20"/>
              </w:rPr>
            </w:pPr>
            <w:r w:rsidRPr="003A2EA3">
              <w:rPr>
                <w:rFonts w:ascii="Arial Narrow" w:hAnsi="Arial Narrow"/>
                <w:sz w:val="20"/>
              </w:rPr>
              <w:t>Tablet</w:t>
            </w:r>
            <w:r w:rsidR="008F7F3D" w:rsidRPr="003A2EA3">
              <w:rPr>
                <w:rFonts w:ascii="Arial Narrow" w:hAnsi="Arial Narrow"/>
                <w:sz w:val="20"/>
              </w:rPr>
              <w:t xml:space="preserve">s, 100 mg, </w:t>
            </w:r>
            <w:r w:rsidR="00FE37A4">
              <w:rPr>
                <w:rFonts w:ascii="Arial Narrow" w:hAnsi="Arial Narrow"/>
                <w:sz w:val="20"/>
              </w:rPr>
              <w:t>1</w:t>
            </w:r>
            <w:r w:rsidR="008F7F3D" w:rsidRPr="003A2EA3">
              <w:rPr>
                <w:rFonts w:ascii="Arial Narrow" w:hAnsi="Arial Narrow"/>
                <w:sz w:val="20"/>
              </w:rPr>
              <w:t>20</w:t>
            </w:r>
          </w:p>
        </w:tc>
        <w:tc>
          <w:tcPr>
            <w:tcW w:w="280" w:type="pct"/>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1</w:t>
            </w:r>
          </w:p>
        </w:tc>
        <w:tc>
          <w:tcPr>
            <w:tcW w:w="490" w:type="pct"/>
            <w:vAlign w:val="center"/>
          </w:tcPr>
          <w:p w:rsidR="009865FE" w:rsidRPr="003A2EA3" w:rsidRDefault="009865FE" w:rsidP="003A2EA3">
            <w:pPr>
              <w:keepNext/>
              <w:jc w:val="center"/>
              <w:rPr>
                <w:rFonts w:ascii="Arial Narrow" w:hAnsi="Arial Narrow"/>
                <w:sz w:val="20"/>
              </w:rPr>
            </w:pPr>
            <w:r w:rsidRPr="003A2EA3">
              <w:rPr>
                <w:rFonts w:ascii="Arial Narrow" w:hAnsi="Arial Narrow"/>
                <w:sz w:val="20"/>
              </w:rPr>
              <w:t>5</w:t>
            </w:r>
          </w:p>
        </w:tc>
        <w:tc>
          <w:tcPr>
            <w:tcW w:w="768" w:type="pct"/>
            <w:vAlign w:val="center"/>
          </w:tcPr>
          <w:p w:rsidR="009865FE" w:rsidRPr="003A2EA3" w:rsidRDefault="009865FE" w:rsidP="003A2EA3">
            <w:pPr>
              <w:keepNext/>
              <w:jc w:val="center"/>
              <w:rPr>
                <w:rFonts w:ascii="Arial Narrow" w:hAnsi="Arial Narrow"/>
                <w:sz w:val="20"/>
              </w:rPr>
            </w:pPr>
          </w:p>
        </w:tc>
        <w:tc>
          <w:tcPr>
            <w:tcW w:w="823" w:type="pct"/>
            <w:vMerge/>
            <w:vAlign w:val="center"/>
          </w:tcPr>
          <w:p w:rsidR="009865FE" w:rsidRPr="003A2EA3" w:rsidRDefault="009865FE" w:rsidP="003A2EA3">
            <w:pPr>
              <w:keepNext/>
              <w:jc w:val="center"/>
              <w:rPr>
                <w:rFonts w:ascii="Arial Narrow" w:hAnsi="Arial Narrow"/>
                <w:sz w:val="20"/>
              </w:rPr>
            </w:pPr>
          </w:p>
        </w:tc>
        <w:tc>
          <w:tcPr>
            <w:tcW w:w="822" w:type="pct"/>
            <w:vMerge/>
          </w:tcPr>
          <w:p w:rsidR="009865FE" w:rsidRPr="003A2EA3" w:rsidRDefault="009865FE" w:rsidP="003A2EA3">
            <w:pPr>
              <w:keepNext/>
              <w:jc w:val="center"/>
              <w:rPr>
                <w:rFonts w:ascii="Arial Narrow" w:hAnsi="Arial Narrow"/>
                <w:sz w:val="20"/>
              </w:rPr>
            </w:pP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Category / Program</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GENERAL – General Schedule (Code GE)</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Prescriber type:</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 xml:space="preserve">Dental  </w:t>
            </w:r>
            <w:r w:rsidRPr="00346199">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 xml:space="preserve">Medical Practitioners  </w:t>
            </w:r>
            <w:r w:rsidRPr="00346199">
              <w:rPr>
                <w:rFonts w:ascii="Arial Narrow" w:hAnsi="Arial Narrow" w:cs="Arial"/>
                <w:sz w:val="20"/>
                <w:szCs w:val="20"/>
              </w:rPr>
              <w:fldChar w:fldCharType="begin">
                <w:ffData>
                  <w:name w:val="Check3"/>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 xml:space="preserve">Nurse practitioners  </w:t>
            </w:r>
            <w:r w:rsidRPr="00346199">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Optometrists</w:t>
            </w:r>
          </w:p>
          <w:p w:rsidR="00F9214B" w:rsidRPr="003A2EA3"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Midwives</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Severity:</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Relapsed or refractory</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Condition:</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Chronic lymphocytic leukaemia</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PBS Indication:</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Relapsed or refractory chronic lymphocytic leukaemia</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Treatment phase:</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Continuing treatment</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346199">
            <w:pPr>
              <w:jc w:val="both"/>
              <w:rPr>
                <w:rFonts w:ascii="Arial Narrow" w:hAnsi="Arial Narrow" w:cs="Arial"/>
                <w:sz w:val="20"/>
                <w:szCs w:val="20"/>
              </w:rPr>
            </w:pPr>
            <w:r w:rsidRPr="003A2EA3">
              <w:rPr>
                <w:rFonts w:ascii="Arial Narrow" w:hAnsi="Arial Narrow" w:cs="Arial"/>
                <w:b/>
                <w:sz w:val="20"/>
                <w:szCs w:val="20"/>
              </w:rPr>
              <w:t>Restriction Level / Method:</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Check1"/>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Restricted benefit</w:t>
            </w:r>
          </w:p>
          <w:p w:rsidR="00F9214B" w:rsidRPr="003A2EA3"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Authority Required - In Writing</w:t>
            </w:r>
          </w:p>
          <w:p w:rsidR="00F9214B" w:rsidRPr="003A2EA3" w:rsidRDefault="009865FE" w:rsidP="0047714C">
            <w:pPr>
              <w:rPr>
                <w:rFonts w:ascii="Arial Narrow" w:hAnsi="Arial Narrow" w:cs="Arial"/>
                <w:sz w:val="20"/>
                <w:szCs w:val="20"/>
              </w:rPr>
            </w:pPr>
            <w:r w:rsidRPr="00346199">
              <w:rPr>
                <w:rFonts w:ascii="Arial Narrow" w:hAnsi="Arial Narrow" w:cs="Arial"/>
                <w:sz w:val="20"/>
                <w:szCs w:val="20"/>
              </w:rPr>
              <w:fldChar w:fldCharType="begin">
                <w:ffData>
                  <w:name w:val=""/>
                  <w:enabled/>
                  <w:calcOnExit w:val="0"/>
                  <w:checkBox>
                    <w:sizeAuto/>
                    <w:default w:val="1"/>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00F9214B" w:rsidRPr="003A2EA3">
              <w:rPr>
                <w:rFonts w:ascii="Arial Narrow" w:hAnsi="Arial Narrow" w:cs="Arial"/>
                <w:sz w:val="20"/>
                <w:szCs w:val="20"/>
              </w:rPr>
              <w:t>Authority Required - Telephone</w:t>
            </w:r>
          </w:p>
          <w:p w:rsidR="00F9214B" w:rsidRPr="00C27F96"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Authority Required – Emergency</w:t>
            </w:r>
          </w:p>
          <w:p w:rsidR="00F9214B" w:rsidRPr="003A2EA3"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Authority Required - Electronic</w:t>
            </w:r>
          </w:p>
          <w:p w:rsidR="00F9214B" w:rsidRPr="003A2EA3" w:rsidRDefault="00F9214B" w:rsidP="0047714C">
            <w:pPr>
              <w:rPr>
                <w:rFonts w:ascii="Arial Narrow" w:hAnsi="Arial Narrow" w:cs="Arial"/>
                <w:sz w:val="20"/>
                <w:szCs w:val="20"/>
              </w:rPr>
            </w:pPr>
            <w:r w:rsidRPr="00346199">
              <w:rPr>
                <w:rFonts w:ascii="Arial Narrow" w:hAnsi="Arial Narrow" w:cs="Arial"/>
                <w:sz w:val="20"/>
                <w:szCs w:val="20"/>
              </w:rPr>
              <w:fldChar w:fldCharType="begin">
                <w:ffData>
                  <w:name w:val="Check5"/>
                  <w:enabled/>
                  <w:calcOnExit w:val="0"/>
                  <w:checkBox>
                    <w:sizeAuto/>
                    <w:default w:val="0"/>
                  </w:checkBox>
                </w:ffData>
              </w:fldChar>
            </w:r>
            <w:r w:rsidRPr="003A2EA3">
              <w:rPr>
                <w:rFonts w:ascii="Arial Narrow" w:hAnsi="Arial Narrow" w:cs="Arial"/>
                <w:sz w:val="20"/>
                <w:szCs w:val="20"/>
              </w:rPr>
              <w:instrText xml:space="preserve"> FORMCHECKBOX </w:instrText>
            </w:r>
            <w:r w:rsidR="00973368">
              <w:rPr>
                <w:rFonts w:ascii="Arial Narrow" w:hAnsi="Arial Narrow" w:cs="Arial"/>
                <w:sz w:val="20"/>
                <w:szCs w:val="20"/>
              </w:rPr>
            </w:r>
            <w:r w:rsidR="00973368">
              <w:rPr>
                <w:rFonts w:ascii="Arial Narrow" w:hAnsi="Arial Narrow" w:cs="Arial"/>
                <w:sz w:val="20"/>
                <w:szCs w:val="20"/>
              </w:rPr>
              <w:fldChar w:fldCharType="separate"/>
            </w:r>
            <w:r w:rsidRPr="00346199">
              <w:rPr>
                <w:rFonts w:ascii="Arial Narrow" w:hAnsi="Arial Narrow" w:cs="Arial"/>
                <w:sz w:val="20"/>
                <w:szCs w:val="20"/>
              </w:rPr>
              <w:fldChar w:fldCharType="end"/>
            </w:r>
            <w:r w:rsidRPr="003A2EA3">
              <w:rPr>
                <w:rFonts w:ascii="Arial Narrow" w:hAnsi="Arial Narrow" w:cs="Arial"/>
                <w:sz w:val="20"/>
                <w:szCs w:val="20"/>
              </w:rPr>
              <w:t>Streamlined</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sz w:val="20"/>
                <w:szCs w:val="20"/>
              </w:rPr>
            </w:pPr>
            <w:r w:rsidRPr="003A2EA3">
              <w:rPr>
                <w:rFonts w:ascii="Arial Narrow" w:hAnsi="Arial Narrow" w:cs="Arial"/>
                <w:b/>
                <w:sz w:val="20"/>
                <w:szCs w:val="20"/>
              </w:rPr>
              <w:t>Clinical criteria:</w:t>
            </w:r>
          </w:p>
        </w:tc>
        <w:tc>
          <w:tcPr>
            <w:tcW w:w="3813" w:type="pct"/>
            <w:gridSpan w:val="7"/>
            <w:tcBorders>
              <w:top w:val="single" w:sz="4" w:space="0" w:color="auto"/>
              <w:left w:val="single" w:sz="4" w:space="0" w:color="auto"/>
              <w:bottom w:val="single" w:sz="4" w:space="0" w:color="auto"/>
              <w:right w:val="single" w:sz="4" w:space="0" w:color="auto"/>
            </w:tcBorders>
          </w:tcPr>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The treatment must be as monotherapy</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AND</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Patient must not develop progressive disease whilst receiving PBS-subsidised treatment with this drug for this condition</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AND</w:t>
            </w:r>
          </w:p>
          <w:p w:rsidR="00F9214B" w:rsidRPr="003A2EA3" w:rsidRDefault="00F9214B" w:rsidP="0047714C">
            <w:pPr>
              <w:rPr>
                <w:rFonts w:ascii="Arial Narrow" w:hAnsi="Arial Narrow" w:cs="Arial"/>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cs="Arial"/>
                <w:sz w:val="20"/>
                <w:szCs w:val="20"/>
              </w:rPr>
              <w:t>Patient must have previously received PBS-subsidised treatment with this drug for this condition</w:t>
            </w:r>
          </w:p>
        </w:tc>
      </w:tr>
      <w:tr w:rsidR="00F9214B" w:rsidRPr="003A2EA3" w:rsidTr="00FE37A4">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F9214B" w:rsidRPr="003A2EA3" w:rsidRDefault="00F9214B" w:rsidP="0047714C">
            <w:pPr>
              <w:jc w:val="both"/>
              <w:rPr>
                <w:rFonts w:ascii="Arial Narrow" w:hAnsi="Arial Narrow" w:cs="Arial"/>
                <w:b/>
                <w:sz w:val="20"/>
                <w:szCs w:val="20"/>
              </w:rPr>
            </w:pPr>
            <w:r w:rsidRPr="003A2EA3">
              <w:rPr>
                <w:rFonts w:ascii="Arial Narrow" w:hAnsi="Arial Narrow" w:cs="Arial"/>
                <w:b/>
                <w:sz w:val="20"/>
                <w:szCs w:val="20"/>
              </w:rPr>
              <w:t>Administrative Advice</w:t>
            </w:r>
          </w:p>
        </w:tc>
        <w:tc>
          <w:tcPr>
            <w:tcW w:w="3813" w:type="pct"/>
            <w:gridSpan w:val="7"/>
            <w:tcBorders>
              <w:top w:val="single" w:sz="4" w:space="0" w:color="auto"/>
              <w:left w:val="single" w:sz="4" w:space="0" w:color="auto"/>
              <w:bottom w:val="single" w:sz="4" w:space="0" w:color="auto"/>
              <w:right w:val="single" w:sz="4" w:space="0" w:color="auto"/>
            </w:tcBorders>
          </w:tcPr>
          <w:p w:rsidR="00993A3B" w:rsidRPr="003A2EA3" w:rsidRDefault="00993A3B" w:rsidP="00993A3B">
            <w:pPr>
              <w:rPr>
                <w:rFonts w:ascii="Arial Narrow" w:hAnsi="Arial Narrow"/>
                <w:sz w:val="20"/>
                <w:szCs w:val="20"/>
              </w:rPr>
            </w:pPr>
            <w:r w:rsidRPr="003A2EA3">
              <w:rPr>
                <w:rFonts w:ascii="Arial Narrow" w:hAnsi="Arial Narrow"/>
                <w:sz w:val="20"/>
                <w:szCs w:val="20"/>
              </w:rPr>
              <w:t>No increase in the maximum quantity or num</w:t>
            </w:r>
            <w:r w:rsidR="00BD2D25">
              <w:rPr>
                <w:rFonts w:ascii="Arial Narrow" w:hAnsi="Arial Narrow"/>
                <w:sz w:val="20"/>
                <w:szCs w:val="20"/>
              </w:rPr>
              <w:t>ber of units may be authorised.</w:t>
            </w:r>
          </w:p>
          <w:p w:rsidR="00993A3B" w:rsidRPr="003A2EA3" w:rsidRDefault="00993A3B" w:rsidP="00993A3B">
            <w:pPr>
              <w:rPr>
                <w:rFonts w:ascii="Arial Narrow" w:hAnsi="Arial Narrow"/>
                <w:sz w:val="20"/>
                <w:szCs w:val="20"/>
              </w:rPr>
            </w:pPr>
          </w:p>
          <w:p w:rsidR="00993A3B" w:rsidRPr="003A2EA3" w:rsidRDefault="00993A3B" w:rsidP="00993A3B">
            <w:pPr>
              <w:rPr>
                <w:rFonts w:ascii="Arial Narrow" w:hAnsi="Arial Narrow"/>
                <w:sz w:val="20"/>
                <w:szCs w:val="20"/>
              </w:rPr>
            </w:pPr>
            <w:r w:rsidRPr="003A2EA3">
              <w:rPr>
                <w:rFonts w:ascii="Arial Narrow" w:hAnsi="Arial Narrow"/>
                <w:sz w:val="20"/>
                <w:szCs w:val="20"/>
              </w:rPr>
              <w:t>No increase in the maximum number of repeats may be authorised.</w:t>
            </w:r>
          </w:p>
          <w:p w:rsidR="00BC13BE" w:rsidRPr="003A2EA3" w:rsidRDefault="00BC13BE" w:rsidP="0047714C">
            <w:pPr>
              <w:rPr>
                <w:rFonts w:ascii="Arial Narrow" w:hAnsi="Arial Narrow"/>
                <w:sz w:val="20"/>
                <w:szCs w:val="20"/>
              </w:rPr>
            </w:pPr>
          </w:p>
          <w:p w:rsidR="00F9214B" w:rsidRPr="003A2EA3" w:rsidRDefault="00F9214B" w:rsidP="0047714C">
            <w:pPr>
              <w:rPr>
                <w:rFonts w:ascii="Arial Narrow" w:hAnsi="Arial Narrow" w:cs="Arial"/>
                <w:sz w:val="20"/>
                <w:szCs w:val="20"/>
              </w:rPr>
            </w:pPr>
            <w:r w:rsidRPr="003A2EA3">
              <w:rPr>
                <w:rFonts w:ascii="Arial Narrow" w:hAnsi="Arial Narrow"/>
                <w:sz w:val="20"/>
                <w:szCs w:val="20"/>
              </w:rPr>
              <w:t>Special Pricing Arrangements apply.</w:t>
            </w:r>
          </w:p>
        </w:tc>
      </w:tr>
    </w:tbl>
    <w:p w:rsidR="009B7AAD" w:rsidRPr="00462383" w:rsidRDefault="009B7AAD" w:rsidP="009B7AAD">
      <w:pPr>
        <w:pStyle w:val="NoSpacing"/>
        <w:rPr>
          <w:rFonts w:asciiTheme="minorHAnsi" w:hAnsiTheme="minorHAnsi"/>
          <w:sz w:val="24"/>
          <w:szCs w:val="24"/>
        </w:rPr>
      </w:pPr>
    </w:p>
    <w:p w:rsidR="004141B2" w:rsidRPr="004141B2" w:rsidRDefault="004141B2" w:rsidP="004141B2">
      <w:pPr>
        <w:spacing w:after="200" w:line="276" w:lineRule="auto"/>
        <w:ind w:left="426"/>
        <w:rPr>
          <w:rFonts w:asciiTheme="minorHAnsi" w:eastAsiaTheme="minorHAnsi" w:hAnsiTheme="minorHAnsi" w:cstheme="minorBidi"/>
          <w:b/>
          <w:sz w:val="32"/>
          <w:szCs w:val="32"/>
          <w:lang w:eastAsia="en-US"/>
        </w:rPr>
      </w:pPr>
      <w:r w:rsidRPr="004141B2">
        <w:rPr>
          <w:rFonts w:asciiTheme="minorHAnsi" w:eastAsiaTheme="minorHAnsi" w:hAnsiTheme="minorHAnsi" w:cstheme="minorBidi"/>
          <w:b/>
          <w:sz w:val="32"/>
          <w:szCs w:val="32"/>
          <w:lang w:eastAsia="en-US"/>
        </w:rPr>
        <w:t>9</w:t>
      </w:r>
      <w:r w:rsidRPr="004141B2">
        <w:rPr>
          <w:rFonts w:asciiTheme="minorHAnsi" w:eastAsiaTheme="minorHAnsi" w:hAnsiTheme="minorHAnsi" w:cstheme="minorBidi"/>
          <w:b/>
          <w:sz w:val="32"/>
          <w:szCs w:val="32"/>
          <w:lang w:eastAsia="en-US"/>
        </w:rPr>
        <w:tab/>
        <w:t>Context for Decision</w:t>
      </w:r>
    </w:p>
    <w:p w:rsidR="004141B2" w:rsidRPr="004141B2" w:rsidRDefault="004141B2" w:rsidP="004141B2">
      <w:pPr>
        <w:spacing w:line="276" w:lineRule="auto"/>
        <w:ind w:left="426"/>
        <w:jc w:val="both"/>
        <w:rPr>
          <w:rFonts w:asciiTheme="minorHAnsi" w:eastAsiaTheme="minorHAnsi" w:hAnsiTheme="minorHAnsi" w:cs="Arial"/>
          <w:lang w:eastAsia="en-US"/>
        </w:rPr>
      </w:pPr>
    </w:p>
    <w:p w:rsidR="004141B2" w:rsidRPr="004141B2" w:rsidRDefault="004141B2" w:rsidP="004141B2">
      <w:pPr>
        <w:spacing w:line="276" w:lineRule="auto"/>
        <w:ind w:left="426"/>
        <w:jc w:val="both"/>
        <w:rPr>
          <w:rFonts w:asciiTheme="minorHAnsi" w:eastAsiaTheme="minorHAnsi" w:hAnsiTheme="minorHAnsi" w:cs="Arial"/>
          <w:lang w:eastAsia="en-US"/>
        </w:rPr>
      </w:pPr>
      <w:r w:rsidRPr="004141B2">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41B2" w:rsidRPr="004141B2" w:rsidRDefault="004141B2" w:rsidP="004141B2">
      <w:pPr>
        <w:spacing w:after="200" w:line="276" w:lineRule="auto"/>
        <w:ind w:left="426"/>
        <w:jc w:val="both"/>
        <w:rPr>
          <w:rFonts w:asciiTheme="minorHAnsi" w:eastAsiaTheme="minorHAnsi" w:hAnsiTheme="minorHAnsi" w:cs="Arial"/>
          <w:lang w:eastAsia="en-US"/>
        </w:rPr>
      </w:pPr>
    </w:p>
    <w:p w:rsidR="004141B2" w:rsidRPr="004141B2" w:rsidRDefault="004141B2" w:rsidP="004141B2">
      <w:pPr>
        <w:spacing w:after="200" w:line="276" w:lineRule="auto"/>
        <w:ind w:left="426"/>
        <w:rPr>
          <w:rFonts w:asciiTheme="minorHAnsi" w:eastAsiaTheme="minorHAnsi" w:hAnsiTheme="minorHAnsi" w:cstheme="minorBidi"/>
          <w:b/>
          <w:sz w:val="32"/>
          <w:szCs w:val="32"/>
          <w:lang w:eastAsia="en-US"/>
        </w:rPr>
      </w:pPr>
      <w:r w:rsidRPr="004141B2">
        <w:rPr>
          <w:rFonts w:asciiTheme="minorHAnsi" w:eastAsiaTheme="minorHAnsi" w:hAnsiTheme="minorHAnsi" w:cstheme="minorBidi"/>
          <w:b/>
          <w:sz w:val="32"/>
          <w:szCs w:val="32"/>
          <w:lang w:eastAsia="en-US"/>
        </w:rPr>
        <w:t>10</w:t>
      </w:r>
      <w:r w:rsidRPr="004141B2">
        <w:rPr>
          <w:rFonts w:asciiTheme="minorHAnsi" w:eastAsiaTheme="minorHAnsi" w:hAnsiTheme="minorHAnsi" w:cstheme="minorBidi"/>
          <w:b/>
          <w:sz w:val="32"/>
          <w:szCs w:val="32"/>
          <w:lang w:eastAsia="en-US"/>
        </w:rPr>
        <w:tab/>
        <w:t xml:space="preserve"> Sponsor’s Comment</w:t>
      </w:r>
    </w:p>
    <w:p w:rsidR="003962FC" w:rsidRDefault="003962FC" w:rsidP="003962FC">
      <w:pPr>
        <w:pStyle w:val="PlainText"/>
        <w:rPr>
          <w:iCs/>
          <w:sz w:val="24"/>
        </w:rPr>
      </w:pPr>
      <w:r w:rsidRPr="0094387D">
        <w:rPr>
          <w:iCs/>
          <w:sz w:val="24"/>
        </w:rPr>
        <w:t>AbbVie appreciates the Pharmaceutical Benefits Advisory Committee’s (PBAC) decision to recommend the listing of VENCLEXTA (</w:t>
      </w:r>
      <w:proofErr w:type="spellStart"/>
      <w:r w:rsidRPr="0094387D">
        <w:rPr>
          <w:iCs/>
          <w:sz w:val="24"/>
        </w:rPr>
        <w:t>venetoclax</w:t>
      </w:r>
      <w:proofErr w:type="spellEnd"/>
      <w:r w:rsidRPr="0094387D">
        <w:rPr>
          <w:iCs/>
          <w:sz w:val="24"/>
        </w:rPr>
        <w:t xml:space="preserve">) for the treatment of relapsed or refractory chronic lymphocytic </w:t>
      </w:r>
      <w:proofErr w:type="spellStart"/>
      <w:r w:rsidRPr="0094387D">
        <w:rPr>
          <w:iCs/>
          <w:sz w:val="24"/>
        </w:rPr>
        <w:t>leukemia</w:t>
      </w:r>
      <w:proofErr w:type="spellEnd"/>
      <w:r w:rsidRPr="0094387D">
        <w:rPr>
          <w:iCs/>
          <w:sz w:val="24"/>
        </w:rPr>
        <w:t xml:space="preserve"> (CLL) in patients who have failed a kinase inhibitor*. </w:t>
      </w:r>
    </w:p>
    <w:p w:rsidR="003962FC" w:rsidRPr="0094387D" w:rsidRDefault="003962FC" w:rsidP="003962FC">
      <w:pPr>
        <w:pStyle w:val="PlainText"/>
        <w:rPr>
          <w:iCs/>
          <w:sz w:val="24"/>
        </w:rPr>
      </w:pPr>
    </w:p>
    <w:p w:rsidR="003962FC" w:rsidRPr="0094387D" w:rsidRDefault="003962FC" w:rsidP="003962FC">
      <w:pPr>
        <w:pStyle w:val="PlainText"/>
        <w:rPr>
          <w:iCs/>
          <w:sz w:val="24"/>
        </w:rPr>
      </w:pPr>
      <w:r w:rsidRPr="0094387D">
        <w:rPr>
          <w:iCs/>
          <w:sz w:val="24"/>
        </w:rPr>
        <w:t>AbbVie does not agree with PBAC’s assessment that venetoclax was likely to be similar in terms of effectiveness to idelalisib with rituximab in patients who have failed a kinase inhibitor and will continue to work with the PBAC and Department of Health on ensuring provision of access to patients in this area of high unmet need.</w:t>
      </w:r>
    </w:p>
    <w:p w:rsidR="004141B2" w:rsidRPr="004141B2" w:rsidRDefault="004141B2" w:rsidP="004141B2">
      <w:pPr>
        <w:spacing w:line="276" w:lineRule="auto"/>
        <w:ind w:left="426"/>
        <w:jc w:val="both"/>
        <w:rPr>
          <w:rFonts w:asciiTheme="minorHAnsi" w:eastAsiaTheme="minorHAnsi" w:hAnsiTheme="minorHAnsi" w:cs="Arial"/>
          <w:bCs/>
          <w:highlight w:val="yellow"/>
          <w:lang w:val="en-GB" w:eastAsia="en-US"/>
        </w:rPr>
      </w:pPr>
    </w:p>
    <w:p w:rsidR="000F3CA9" w:rsidRPr="003A2EA3" w:rsidRDefault="000F3CA9">
      <w:pPr>
        <w:rPr>
          <w:rFonts w:asciiTheme="minorHAnsi" w:hAnsiTheme="minorHAnsi"/>
        </w:rPr>
      </w:pPr>
    </w:p>
    <w:sectPr w:rsidR="000F3CA9" w:rsidRPr="003A2EA3" w:rsidSect="00905856">
      <w:pgSz w:w="11906" w:h="16838"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74ED3" w15:done="0"/>
  <w15:commentEx w15:paraId="6B2F5084" w15:done="0"/>
  <w15:commentEx w15:paraId="1130C248" w15:done="0"/>
  <w15:commentEx w15:paraId="1699EE0B" w15:done="0"/>
  <w15:commentEx w15:paraId="1FC2303A" w15:paraIdParent="1699EE0B" w15:done="0"/>
  <w15:commentEx w15:paraId="2A4DE414" w15:done="0"/>
  <w15:commentEx w15:paraId="265F8CA1" w15:done="0"/>
  <w15:commentEx w15:paraId="1D0387D0" w15:done="0"/>
  <w15:commentEx w15:paraId="2B7DF8BA" w15:done="0"/>
  <w15:commentEx w15:paraId="1ABBB9F6" w15:done="0"/>
  <w15:commentEx w15:paraId="73260589" w15:done="0"/>
  <w15:commentEx w15:paraId="11F2605D" w15:done="0"/>
  <w15:commentEx w15:paraId="75349A2F" w15:paraIdParent="11F2605D" w15:done="0"/>
  <w15:commentEx w15:paraId="13EF90D6" w15:done="0"/>
  <w15:commentEx w15:paraId="5416FFA1" w15:done="0"/>
  <w15:commentEx w15:paraId="1159AB44" w15:done="0"/>
  <w15:commentEx w15:paraId="380C19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74ED3" w16cid:durableId="1D250421"/>
  <w16cid:commentId w16cid:paraId="6B2F5084" w16cid:durableId="1D250422"/>
  <w16cid:commentId w16cid:paraId="1130C248" w16cid:durableId="1D250423"/>
  <w16cid:commentId w16cid:paraId="1699EE0B" w16cid:durableId="1D250424"/>
  <w16cid:commentId w16cid:paraId="1FC2303A" w16cid:durableId="1D250425"/>
  <w16cid:commentId w16cid:paraId="2A4DE414" w16cid:durableId="1D250426"/>
  <w16cid:commentId w16cid:paraId="265F8CA1" w16cid:durableId="1D250427"/>
  <w16cid:commentId w16cid:paraId="1D0387D0" w16cid:durableId="1D250428"/>
  <w16cid:commentId w16cid:paraId="2B7DF8BA" w16cid:durableId="1D250429"/>
  <w16cid:commentId w16cid:paraId="1ABBB9F6" w16cid:durableId="1D25042A"/>
  <w16cid:commentId w16cid:paraId="73260589" w16cid:durableId="1D25042B"/>
  <w16cid:commentId w16cid:paraId="11F2605D" w16cid:durableId="1D25042C"/>
  <w16cid:commentId w16cid:paraId="75349A2F" w16cid:durableId="1D25042D"/>
  <w16cid:commentId w16cid:paraId="13EF90D6" w16cid:durableId="1D25042E"/>
  <w16cid:commentId w16cid:paraId="5416FFA1" w16cid:durableId="1D25042F"/>
  <w16cid:commentId w16cid:paraId="1159AB44" w16cid:durableId="1D250430"/>
  <w16cid:commentId w16cid:paraId="380C1922" w16cid:durableId="1D2504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8F" w:rsidRDefault="00A5328F">
      <w:r>
        <w:separator/>
      </w:r>
    </w:p>
    <w:p w:rsidR="00A5328F" w:rsidRDefault="00A5328F"/>
  </w:endnote>
  <w:endnote w:type="continuationSeparator" w:id="0">
    <w:p w:rsidR="00A5328F" w:rsidRDefault="00A5328F">
      <w:r>
        <w:continuationSeparator/>
      </w:r>
    </w:p>
    <w:p w:rsidR="00A5328F" w:rsidRDefault="00A53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8F" w:rsidRDefault="00A53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095227"/>
      <w:docPartObj>
        <w:docPartGallery w:val="Page Numbers (Bottom of Page)"/>
        <w:docPartUnique/>
      </w:docPartObj>
    </w:sdtPr>
    <w:sdtEndPr>
      <w:rPr>
        <w:rFonts w:asciiTheme="minorHAnsi" w:hAnsiTheme="minorHAnsi"/>
        <w:noProof/>
      </w:rPr>
    </w:sdtEndPr>
    <w:sdtContent>
      <w:p w:rsidR="0062768F" w:rsidRPr="00FE352E" w:rsidRDefault="0062768F">
        <w:pPr>
          <w:pStyle w:val="Footer"/>
          <w:jc w:val="center"/>
          <w:rPr>
            <w:rFonts w:asciiTheme="minorHAnsi" w:hAnsiTheme="minorHAnsi"/>
          </w:rPr>
        </w:pPr>
        <w:r w:rsidRPr="00FE352E">
          <w:rPr>
            <w:rFonts w:asciiTheme="minorHAnsi" w:hAnsiTheme="minorHAnsi"/>
          </w:rPr>
          <w:fldChar w:fldCharType="begin"/>
        </w:r>
        <w:r w:rsidRPr="00FE352E">
          <w:rPr>
            <w:rFonts w:asciiTheme="minorHAnsi" w:hAnsiTheme="minorHAnsi"/>
          </w:rPr>
          <w:instrText xml:space="preserve"> PAGE   \* MERGEFORMAT </w:instrText>
        </w:r>
        <w:r w:rsidRPr="00FE352E">
          <w:rPr>
            <w:rFonts w:asciiTheme="minorHAnsi" w:hAnsiTheme="minorHAnsi"/>
          </w:rPr>
          <w:fldChar w:fldCharType="separate"/>
        </w:r>
        <w:r w:rsidR="00973368">
          <w:rPr>
            <w:rFonts w:asciiTheme="minorHAnsi" w:hAnsiTheme="minorHAnsi"/>
            <w:noProof/>
          </w:rPr>
          <w:t>24</w:t>
        </w:r>
        <w:r w:rsidRPr="00FE352E">
          <w:rPr>
            <w:rFonts w:asciiTheme="minorHAnsi" w:hAnsiTheme="minorHAnsi"/>
            <w:noProof/>
          </w:rPr>
          <w:fldChar w:fldCharType="end"/>
        </w:r>
      </w:p>
    </w:sdtContent>
  </w:sdt>
  <w:p w:rsidR="0062768F" w:rsidRPr="00FE352E" w:rsidRDefault="0062768F" w:rsidP="007D043E">
    <w:pPr>
      <w:pStyle w:val="Footer"/>
      <w:jc w:val="center"/>
      <w:rPr>
        <w:rFonts w:asciiTheme="minorHAnsi" w:hAnsiTheme="minorHAnsi"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8F" w:rsidRDefault="00A532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6379"/>
      <w:gridCol w:w="1417"/>
      <w:gridCol w:w="6378"/>
    </w:tblGrid>
    <w:tr w:rsidR="0062768F" w:rsidTr="005A3173">
      <w:trPr>
        <w:trHeight w:val="151"/>
      </w:trPr>
      <w:tc>
        <w:tcPr>
          <w:tcW w:w="2250" w:type="pct"/>
          <w:tcBorders>
            <w:top w:val="nil"/>
            <w:left w:val="nil"/>
            <w:bottom w:val="single" w:sz="4" w:space="0" w:color="4F81BD"/>
            <w:right w:val="nil"/>
          </w:tcBorders>
        </w:tcPr>
        <w:p w:rsidR="0062768F" w:rsidRPr="005A3173" w:rsidRDefault="006276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2768F" w:rsidRPr="005A3173" w:rsidRDefault="006276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2768F" w:rsidRPr="005A3173" w:rsidRDefault="0062768F" w:rsidP="005A3173">
          <w:pPr>
            <w:pStyle w:val="Header"/>
            <w:spacing w:line="276" w:lineRule="auto"/>
            <w:rPr>
              <w:rFonts w:ascii="Calibri" w:eastAsia="MS Gothic" w:hAnsi="Calibri"/>
              <w:b/>
              <w:bCs/>
              <w:color w:val="4F81BD"/>
            </w:rPr>
          </w:pPr>
        </w:p>
      </w:tc>
    </w:tr>
    <w:tr w:rsidR="0062768F" w:rsidTr="005A3173">
      <w:trPr>
        <w:trHeight w:val="150"/>
      </w:trPr>
      <w:tc>
        <w:tcPr>
          <w:tcW w:w="2250" w:type="pct"/>
          <w:tcBorders>
            <w:top w:val="single" w:sz="4" w:space="0" w:color="4F81BD"/>
            <w:left w:val="nil"/>
            <w:bottom w:val="nil"/>
            <w:right w:val="nil"/>
          </w:tcBorders>
        </w:tcPr>
        <w:p w:rsidR="0062768F" w:rsidRPr="005A3173" w:rsidRDefault="0062768F" w:rsidP="005A3173">
          <w:pPr>
            <w:pStyle w:val="Header"/>
            <w:spacing w:line="276" w:lineRule="auto"/>
            <w:rPr>
              <w:rFonts w:ascii="Calibri" w:eastAsia="MS Gothic" w:hAnsi="Calibri"/>
              <w:b/>
              <w:bCs/>
              <w:color w:val="4F81BD"/>
            </w:rPr>
          </w:pPr>
        </w:p>
      </w:tc>
      <w:tc>
        <w:tcPr>
          <w:tcW w:w="0" w:type="auto"/>
          <w:vMerge/>
          <w:vAlign w:val="center"/>
          <w:hideMark/>
        </w:tcPr>
        <w:p w:rsidR="0062768F" w:rsidRPr="005A3173" w:rsidRDefault="006276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62768F" w:rsidRPr="005A3173" w:rsidRDefault="0062768F" w:rsidP="005A3173">
          <w:pPr>
            <w:pStyle w:val="Header"/>
            <w:spacing w:line="276" w:lineRule="auto"/>
            <w:rPr>
              <w:rFonts w:ascii="Calibri" w:eastAsia="MS Gothic" w:hAnsi="Calibri"/>
              <w:b/>
              <w:bCs/>
              <w:color w:val="4F81BD"/>
            </w:rPr>
          </w:pPr>
        </w:p>
      </w:tc>
    </w:tr>
  </w:tbl>
  <w:p w:rsidR="0062768F" w:rsidRDefault="006276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68F" w:rsidRDefault="0062768F">
    <w:pPr>
      <w:pStyle w:val="Footer"/>
    </w:pPr>
  </w:p>
  <w:p w:rsidR="0062768F" w:rsidRDefault="0062768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379"/>
      <w:gridCol w:w="1417"/>
      <w:gridCol w:w="6378"/>
    </w:tblGrid>
    <w:tr w:rsidR="0062768F" w:rsidTr="005A3173">
      <w:trPr>
        <w:trHeight w:val="151"/>
      </w:trPr>
      <w:tc>
        <w:tcPr>
          <w:tcW w:w="2250" w:type="pct"/>
          <w:tcBorders>
            <w:top w:val="nil"/>
            <w:left w:val="nil"/>
            <w:bottom w:val="single" w:sz="4" w:space="0" w:color="4F81BD"/>
            <w:right w:val="nil"/>
          </w:tcBorders>
        </w:tcPr>
        <w:p w:rsidR="0062768F" w:rsidRPr="005A3173" w:rsidRDefault="006276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2768F" w:rsidRPr="005A3173" w:rsidRDefault="006276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2768F" w:rsidRPr="005A3173" w:rsidRDefault="0062768F" w:rsidP="005A3173">
          <w:pPr>
            <w:pStyle w:val="Header"/>
            <w:spacing w:line="276" w:lineRule="auto"/>
            <w:rPr>
              <w:rFonts w:ascii="Calibri" w:eastAsia="MS Gothic" w:hAnsi="Calibri"/>
              <w:b/>
              <w:bCs/>
              <w:color w:val="4F81BD"/>
            </w:rPr>
          </w:pPr>
        </w:p>
      </w:tc>
    </w:tr>
    <w:tr w:rsidR="0062768F" w:rsidTr="005A3173">
      <w:trPr>
        <w:trHeight w:val="150"/>
      </w:trPr>
      <w:tc>
        <w:tcPr>
          <w:tcW w:w="2250" w:type="pct"/>
          <w:tcBorders>
            <w:top w:val="single" w:sz="4" w:space="0" w:color="4F81BD"/>
            <w:left w:val="nil"/>
            <w:bottom w:val="nil"/>
            <w:right w:val="nil"/>
          </w:tcBorders>
        </w:tcPr>
        <w:p w:rsidR="0062768F" w:rsidRPr="005A3173" w:rsidRDefault="0062768F" w:rsidP="005A3173">
          <w:pPr>
            <w:pStyle w:val="Header"/>
            <w:spacing w:line="276" w:lineRule="auto"/>
            <w:rPr>
              <w:rFonts w:ascii="Calibri" w:eastAsia="MS Gothic" w:hAnsi="Calibri"/>
              <w:b/>
              <w:bCs/>
              <w:color w:val="4F81BD"/>
            </w:rPr>
          </w:pPr>
        </w:p>
      </w:tc>
      <w:tc>
        <w:tcPr>
          <w:tcW w:w="0" w:type="auto"/>
          <w:vMerge/>
          <w:vAlign w:val="center"/>
          <w:hideMark/>
        </w:tcPr>
        <w:p w:rsidR="0062768F" w:rsidRPr="005A3173" w:rsidRDefault="006276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62768F" w:rsidRPr="005A3173" w:rsidRDefault="0062768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6379"/>
      <w:gridCol w:w="1417"/>
      <w:gridCol w:w="6378"/>
    </w:tblGrid>
    <w:tr w:rsidR="0062768F" w:rsidTr="005A3173">
      <w:trPr>
        <w:trHeight w:val="151"/>
      </w:trPr>
      <w:tc>
        <w:tcPr>
          <w:tcW w:w="2250" w:type="pct"/>
          <w:tcBorders>
            <w:top w:val="nil"/>
            <w:left w:val="nil"/>
            <w:bottom w:val="single" w:sz="4" w:space="0" w:color="4F81BD"/>
            <w:right w:val="nil"/>
          </w:tcBorders>
        </w:tcPr>
        <w:p w:rsidR="0062768F" w:rsidRPr="005A3173" w:rsidRDefault="006276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2768F" w:rsidRPr="005A3173" w:rsidRDefault="006276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2768F" w:rsidRPr="005A3173" w:rsidRDefault="0062768F" w:rsidP="005A3173">
          <w:pPr>
            <w:pStyle w:val="Header"/>
            <w:spacing w:line="276" w:lineRule="auto"/>
            <w:rPr>
              <w:rFonts w:ascii="Calibri" w:eastAsia="MS Gothic" w:hAnsi="Calibri"/>
              <w:b/>
              <w:bCs/>
              <w:color w:val="4F81BD"/>
            </w:rPr>
          </w:pPr>
        </w:p>
      </w:tc>
    </w:tr>
    <w:tr w:rsidR="0062768F" w:rsidTr="005A3173">
      <w:trPr>
        <w:trHeight w:val="150"/>
      </w:trPr>
      <w:tc>
        <w:tcPr>
          <w:tcW w:w="2250" w:type="pct"/>
          <w:tcBorders>
            <w:top w:val="single" w:sz="4" w:space="0" w:color="4F81BD"/>
            <w:left w:val="nil"/>
            <w:bottom w:val="nil"/>
            <w:right w:val="nil"/>
          </w:tcBorders>
        </w:tcPr>
        <w:p w:rsidR="0062768F" w:rsidRPr="005A3173" w:rsidRDefault="0062768F" w:rsidP="005A3173">
          <w:pPr>
            <w:pStyle w:val="Header"/>
            <w:spacing w:line="276" w:lineRule="auto"/>
            <w:rPr>
              <w:rFonts w:ascii="Calibri" w:eastAsia="MS Gothic" w:hAnsi="Calibri"/>
              <w:b/>
              <w:bCs/>
              <w:color w:val="4F81BD"/>
            </w:rPr>
          </w:pPr>
        </w:p>
      </w:tc>
      <w:tc>
        <w:tcPr>
          <w:tcW w:w="0" w:type="auto"/>
          <w:vMerge/>
          <w:vAlign w:val="center"/>
          <w:hideMark/>
        </w:tcPr>
        <w:p w:rsidR="0062768F" w:rsidRPr="005A3173" w:rsidRDefault="006276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62768F" w:rsidRPr="005A3173" w:rsidRDefault="0062768F" w:rsidP="005A3173">
          <w:pPr>
            <w:pStyle w:val="Header"/>
            <w:spacing w:line="276" w:lineRule="auto"/>
            <w:rPr>
              <w:rFonts w:ascii="Calibri" w:eastAsia="MS Gothic" w:hAnsi="Calibri"/>
              <w:b/>
              <w:bCs/>
              <w:color w:val="4F81BD"/>
            </w:rPr>
          </w:pPr>
        </w:p>
      </w:tc>
    </w:tr>
  </w:tbl>
  <w:p w:rsidR="0062768F" w:rsidRPr="007C0F57" w:rsidRDefault="0062768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2768F" w:rsidRPr="007C0F57" w:rsidRDefault="0062768F" w:rsidP="007C0F57">
    <w:pPr>
      <w:pStyle w:val="Footer"/>
      <w:jc w:val="center"/>
      <w:rPr>
        <w:b/>
        <w:i/>
        <w:sz w:val="20"/>
        <w:szCs w:val="20"/>
      </w:rPr>
    </w:pPr>
    <w:r w:rsidRPr="007C0F57">
      <w:rPr>
        <w:b/>
        <w:i/>
        <w:sz w:val="20"/>
        <w:szCs w:val="20"/>
      </w:rPr>
      <w:t>Commercial-in-Confidence</w:t>
    </w:r>
  </w:p>
  <w:p w:rsidR="0062768F" w:rsidRDefault="006276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8F" w:rsidRDefault="00A5328F">
      <w:r>
        <w:separator/>
      </w:r>
    </w:p>
    <w:p w:rsidR="00A5328F" w:rsidRDefault="00A5328F"/>
  </w:footnote>
  <w:footnote w:type="continuationSeparator" w:id="0">
    <w:p w:rsidR="00A5328F" w:rsidRDefault="00A5328F">
      <w:r>
        <w:continuationSeparator/>
      </w:r>
    </w:p>
    <w:p w:rsidR="00A5328F" w:rsidRDefault="00A5328F"/>
  </w:footnote>
  <w:footnote w:id="1">
    <w:p w:rsidR="0062768F" w:rsidRDefault="0062768F">
      <w:pPr>
        <w:pStyle w:val="FootnoteText"/>
      </w:pPr>
      <w:r>
        <w:rPr>
          <w:rStyle w:val="FootnoteReference"/>
        </w:rPr>
        <w:footnoteRef/>
      </w:r>
      <w:r>
        <w:t xml:space="preserve"> </w:t>
      </w:r>
      <w:proofErr w:type="spellStart"/>
      <w:r>
        <w:t>Mato</w:t>
      </w:r>
      <w:proofErr w:type="spellEnd"/>
      <w:r>
        <w:t xml:space="preserve"> AR et al. Annals of Oncology 2017; 28:1050-6.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8F" w:rsidRDefault="00A53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971458"/>
      <w:docPartObj>
        <w:docPartGallery w:val="Page Numbers (Top of Page)"/>
        <w:docPartUnique/>
      </w:docPartObj>
    </w:sdtPr>
    <w:sdtEndPr>
      <w:rPr>
        <w:rFonts w:ascii="Arial" w:hAnsi="Arial" w:cs="Arial"/>
        <w:noProof/>
        <w:sz w:val="22"/>
        <w:szCs w:val="22"/>
      </w:rPr>
    </w:sdtEndPr>
    <w:sdtContent>
      <w:p w:rsidR="0062768F" w:rsidRPr="00131387" w:rsidRDefault="0062768F" w:rsidP="00FE352E">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Pr="00131387">
          <w:rPr>
            <w:rFonts w:asciiTheme="minorHAnsi" w:hAnsiTheme="minorHAnsi" w:cs="Arial"/>
            <w:i/>
            <w:color w:val="808080"/>
          </w:rPr>
          <w:t xml:space="preserve"> – </w:t>
        </w:r>
        <w:r>
          <w:rPr>
            <w:rFonts w:asciiTheme="minorHAnsi" w:hAnsiTheme="minorHAnsi" w:cs="Arial"/>
            <w:i/>
            <w:color w:val="808080"/>
          </w:rPr>
          <w:t>July 2017</w:t>
        </w:r>
        <w:r w:rsidRPr="00131387">
          <w:rPr>
            <w:rFonts w:asciiTheme="minorHAnsi" w:hAnsiTheme="minorHAnsi" w:cs="Arial"/>
            <w:i/>
            <w:color w:val="808080"/>
          </w:rPr>
          <w:t xml:space="preserve"> PBAC Meeting</w:t>
        </w:r>
      </w:p>
      <w:p w:rsidR="0062768F" w:rsidRPr="00F935AB" w:rsidRDefault="00973368" w:rsidP="002C642F">
        <w:pPr>
          <w:pStyle w:val="Header"/>
          <w:ind w:left="360"/>
          <w:jc w:val="center"/>
          <w:rPr>
            <w:rFonts w:ascii="Arial" w:hAnsi="Arial" w:cs="Arial"/>
            <w:sz w:val="22"/>
            <w:szCs w:val="22"/>
          </w:rPr>
        </w:pPr>
      </w:p>
    </w:sdtContent>
  </w:sdt>
  <w:p w:rsidR="0062768F" w:rsidRDefault="00627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8F" w:rsidRDefault="00A532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6527"/>
      <w:gridCol w:w="1252"/>
      <w:gridCol w:w="6216"/>
    </w:tblGrid>
    <w:tr w:rsidR="0062768F" w:rsidRPr="008E0D90" w:rsidTr="00A06225">
      <w:trPr>
        <w:trHeight w:val="151"/>
      </w:trPr>
      <w:tc>
        <w:tcPr>
          <w:tcW w:w="2389" w:type="pct"/>
          <w:tcBorders>
            <w:top w:val="nil"/>
            <w:left w:val="nil"/>
            <w:bottom w:val="single" w:sz="4" w:space="0" w:color="4F81BD"/>
            <w:right w:val="nil"/>
          </w:tcBorders>
        </w:tcPr>
        <w:p w:rsidR="0062768F" w:rsidRPr="00A06225" w:rsidRDefault="0062768F">
          <w:pPr>
            <w:pStyle w:val="Header"/>
            <w:spacing w:line="276" w:lineRule="auto"/>
            <w:rPr>
              <w:rFonts w:ascii="Cambria" w:eastAsia="MS Gothic" w:hAnsi="Cambria"/>
              <w:b/>
              <w:bCs/>
              <w:color w:val="4F81BD"/>
            </w:rPr>
          </w:pPr>
        </w:p>
      </w:tc>
      <w:tc>
        <w:tcPr>
          <w:tcW w:w="333" w:type="pct"/>
          <w:vMerge w:val="restart"/>
          <w:noWrap/>
          <w:vAlign w:val="center"/>
          <w:hideMark/>
        </w:tcPr>
        <w:p w:rsidR="0062768F" w:rsidRPr="00A06225" w:rsidRDefault="006276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2768F" w:rsidRPr="00A06225" w:rsidRDefault="0062768F">
          <w:pPr>
            <w:pStyle w:val="Header"/>
            <w:spacing w:line="276" w:lineRule="auto"/>
            <w:rPr>
              <w:rFonts w:ascii="Cambria" w:eastAsia="MS Gothic" w:hAnsi="Cambria"/>
              <w:b/>
              <w:bCs/>
              <w:color w:val="4F81BD"/>
            </w:rPr>
          </w:pPr>
        </w:p>
      </w:tc>
    </w:tr>
    <w:tr w:rsidR="0062768F" w:rsidRPr="008E0D90" w:rsidTr="00A06225">
      <w:trPr>
        <w:trHeight w:val="150"/>
      </w:trPr>
      <w:tc>
        <w:tcPr>
          <w:tcW w:w="2389" w:type="pct"/>
          <w:tcBorders>
            <w:top w:val="single" w:sz="4" w:space="0" w:color="4F81BD"/>
            <w:left w:val="nil"/>
            <w:bottom w:val="nil"/>
            <w:right w:val="nil"/>
          </w:tcBorders>
        </w:tcPr>
        <w:p w:rsidR="0062768F" w:rsidRPr="00A06225" w:rsidRDefault="0062768F">
          <w:pPr>
            <w:pStyle w:val="Header"/>
            <w:spacing w:line="276" w:lineRule="auto"/>
            <w:rPr>
              <w:rFonts w:ascii="Cambria" w:eastAsia="MS Gothic" w:hAnsi="Cambria"/>
              <w:b/>
              <w:bCs/>
              <w:color w:val="4F81BD"/>
            </w:rPr>
          </w:pPr>
        </w:p>
      </w:tc>
      <w:tc>
        <w:tcPr>
          <w:tcW w:w="0" w:type="auto"/>
          <w:vMerge/>
          <w:vAlign w:val="center"/>
          <w:hideMark/>
        </w:tcPr>
        <w:p w:rsidR="0062768F" w:rsidRPr="00A06225" w:rsidRDefault="0062768F">
          <w:pPr>
            <w:rPr>
              <w:rFonts w:ascii="Cambria" w:hAnsi="Cambria"/>
              <w:color w:val="4F81BD"/>
              <w:sz w:val="22"/>
              <w:szCs w:val="22"/>
            </w:rPr>
          </w:pPr>
        </w:p>
      </w:tc>
      <w:tc>
        <w:tcPr>
          <w:tcW w:w="2278" w:type="pct"/>
          <w:tcBorders>
            <w:top w:val="single" w:sz="4" w:space="0" w:color="4F81BD"/>
            <w:left w:val="nil"/>
            <w:bottom w:val="nil"/>
            <w:right w:val="nil"/>
          </w:tcBorders>
        </w:tcPr>
        <w:p w:rsidR="0062768F" w:rsidRPr="00A06225" w:rsidRDefault="0062768F">
          <w:pPr>
            <w:pStyle w:val="Header"/>
            <w:spacing w:line="276" w:lineRule="auto"/>
            <w:rPr>
              <w:rFonts w:ascii="Cambria" w:eastAsia="MS Gothic" w:hAnsi="Cambria"/>
              <w:b/>
              <w:bCs/>
              <w:color w:val="4F81BD"/>
            </w:rPr>
          </w:pPr>
        </w:p>
      </w:tc>
    </w:tr>
  </w:tbl>
  <w:p w:rsidR="0062768F" w:rsidRDefault="0062768F">
    <w:pPr>
      <w:pStyle w:val="Header"/>
    </w:pPr>
  </w:p>
  <w:p w:rsidR="0062768F" w:rsidRDefault="006276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7D5783B"/>
    <w:multiLevelType w:val="hybridMultilevel"/>
    <w:tmpl w:val="6B065E6C"/>
    <w:lvl w:ilvl="0" w:tplc="38322712">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E02FD9"/>
    <w:multiLevelType w:val="hybridMultilevel"/>
    <w:tmpl w:val="BBBC8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E5167E"/>
    <w:multiLevelType w:val="hybridMultilevel"/>
    <w:tmpl w:val="157C98AE"/>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20">
    <w:nsid w:val="6C6418BB"/>
    <w:multiLevelType w:val="hybridMultilevel"/>
    <w:tmpl w:val="0CE612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D8E3191"/>
    <w:multiLevelType w:val="hybridMultilevel"/>
    <w:tmpl w:val="A5EC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FE827678"/>
    <w:lvl w:ilvl="0">
      <w:start w:val="1"/>
      <w:numFmt w:val="decimal"/>
      <w:pStyle w:val="PBACHeading1"/>
      <w:lvlText w:val="%1"/>
      <w:lvlJc w:val="left"/>
      <w:pPr>
        <w:ind w:left="720" w:hanging="720"/>
      </w:pPr>
      <w:rPr>
        <w:rFonts w:ascii="Calibri" w:hAnsi="Calibri"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7"/>
  </w:num>
  <w:num w:numId="5">
    <w:abstractNumId w:val="22"/>
  </w:num>
  <w:num w:numId="6">
    <w:abstractNumId w:val="8"/>
  </w:num>
  <w:num w:numId="7">
    <w:abstractNumId w:val="16"/>
  </w:num>
  <w:num w:numId="8">
    <w:abstractNumId w:val="4"/>
  </w:num>
  <w:num w:numId="9">
    <w:abstractNumId w:val="15"/>
  </w:num>
  <w:num w:numId="10">
    <w:abstractNumId w:val="13"/>
  </w:num>
  <w:num w:numId="11">
    <w:abstractNumId w:val="12"/>
  </w:num>
  <w:num w:numId="12">
    <w:abstractNumId w:val="1"/>
  </w:num>
  <w:num w:numId="13">
    <w:abstractNumId w:val="0"/>
  </w:num>
  <w:num w:numId="14">
    <w:abstractNumId w:val="22"/>
  </w:num>
  <w:num w:numId="15">
    <w:abstractNumId w:val="19"/>
  </w:num>
  <w:num w:numId="16">
    <w:abstractNumId w:val="11"/>
  </w:num>
  <w:num w:numId="17">
    <w:abstractNumId w:val="14"/>
  </w:num>
  <w:num w:numId="18">
    <w:abstractNumId w:val="7"/>
  </w:num>
  <w:num w:numId="19">
    <w:abstractNumId w:val="22"/>
  </w:num>
  <w:num w:numId="20">
    <w:abstractNumId w:val="18"/>
  </w:num>
  <w:num w:numId="21">
    <w:abstractNumId w:val="5"/>
  </w:num>
  <w:num w:numId="22">
    <w:abstractNumId w:val="2"/>
  </w:num>
  <w:num w:numId="23">
    <w:abstractNumId w:val="10"/>
  </w:num>
  <w:num w:numId="24">
    <w:abstractNumId w:val="2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3F05"/>
    <w:rsid w:val="00015591"/>
    <w:rsid w:val="00017DFD"/>
    <w:rsid w:val="00023108"/>
    <w:rsid w:val="0002464A"/>
    <w:rsid w:val="00024A0B"/>
    <w:rsid w:val="000267BB"/>
    <w:rsid w:val="000278A9"/>
    <w:rsid w:val="0003106B"/>
    <w:rsid w:val="000376B2"/>
    <w:rsid w:val="00040068"/>
    <w:rsid w:val="000421A1"/>
    <w:rsid w:val="0004240E"/>
    <w:rsid w:val="00043D5E"/>
    <w:rsid w:val="00045E26"/>
    <w:rsid w:val="000514B5"/>
    <w:rsid w:val="00051A41"/>
    <w:rsid w:val="000548E1"/>
    <w:rsid w:val="00054A6E"/>
    <w:rsid w:val="000606E5"/>
    <w:rsid w:val="00060E64"/>
    <w:rsid w:val="0006605D"/>
    <w:rsid w:val="00066755"/>
    <w:rsid w:val="00076406"/>
    <w:rsid w:val="0007653D"/>
    <w:rsid w:val="00077143"/>
    <w:rsid w:val="0009171E"/>
    <w:rsid w:val="000969AD"/>
    <w:rsid w:val="000A0E9F"/>
    <w:rsid w:val="000B2267"/>
    <w:rsid w:val="000B3B69"/>
    <w:rsid w:val="000B558D"/>
    <w:rsid w:val="000C1D3B"/>
    <w:rsid w:val="000C6996"/>
    <w:rsid w:val="000C6C9D"/>
    <w:rsid w:val="000D0042"/>
    <w:rsid w:val="000D23BA"/>
    <w:rsid w:val="000D435E"/>
    <w:rsid w:val="000E112D"/>
    <w:rsid w:val="000E681E"/>
    <w:rsid w:val="000F0D8A"/>
    <w:rsid w:val="000F3CA9"/>
    <w:rsid w:val="000F4E6A"/>
    <w:rsid w:val="00101FCE"/>
    <w:rsid w:val="00106D52"/>
    <w:rsid w:val="001107BF"/>
    <w:rsid w:val="00112ED8"/>
    <w:rsid w:val="00114DA1"/>
    <w:rsid w:val="001153E9"/>
    <w:rsid w:val="00115464"/>
    <w:rsid w:val="0012107B"/>
    <w:rsid w:val="001223B1"/>
    <w:rsid w:val="0012417C"/>
    <w:rsid w:val="00125F2D"/>
    <w:rsid w:val="00140003"/>
    <w:rsid w:val="00142395"/>
    <w:rsid w:val="00142714"/>
    <w:rsid w:val="001443C9"/>
    <w:rsid w:val="001452ED"/>
    <w:rsid w:val="00153ABB"/>
    <w:rsid w:val="001547B3"/>
    <w:rsid w:val="00161938"/>
    <w:rsid w:val="0016260F"/>
    <w:rsid w:val="00163D5B"/>
    <w:rsid w:val="001651C9"/>
    <w:rsid w:val="001660B1"/>
    <w:rsid w:val="00166405"/>
    <w:rsid w:val="00167125"/>
    <w:rsid w:val="00167BB6"/>
    <w:rsid w:val="00171681"/>
    <w:rsid w:val="0018238F"/>
    <w:rsid w:val="001830CE"/>
    <w:rsid w:val="0018643B"/>
    <w:rsid w:val="00186C95"/>
    <w:rsid w:val="001915D3"/>
    <w:rsid w:val="0019263E"/>
    <w:rsid w:val="00196307"/>
    <w:rsid w:val="001A33EA"/>
    <w:rsid w:val="001B017F"/>
    <w:rsid w:val="001B5129"/>
    <w:rsid w:val="001C1195"/>
    <w:rsid w:val="001D3E05"/>
    <w:rsid w:val="001E6E3E"/>
    <w:rsid w:val="001F2090"/>
    <w:rsid w:val="001F7DB7"/>
    <w:rsid w:val="002005D4"/>
    <w:rsid w:val="002031D8"/>
    <w:rsid w:val="00204058"/>
    <w:rsid w:val="00204346"/>
    <w:rsid w:val="00206F82"/>
    <w:rsid w:val="00212F42"/>
    <w:rsid w:val="002135D4"/>
    <w:rsid w:val="00213CFB"/>
    <w:rsid w:val="0022226F"/>
    <w:rsid w:val="00222753"/>
    <w:rsid w:val="002242F1"/>
    <w:rsid w:val="00227F71"/>
    <w:rsid w:val="00230022"/>
    <w:rsid w:val="00230166"/>
    <w:rsid w:val="002304C5"/>
    <w:rsid w:val="00233B0B"/>
    <w:rsid w:val="00253DEE"/>
    <w:rsid w:val="00271158"/>
    <w:rsid w:val="00271BA1"/>
    <w:rsid w:val="0027436D"/>
    <w:rsid w:val="002762FA"/>
    <w:rsid w:val="00277505"/>
    <w:rsid w:val="00281C1F"/>
    <w:rsid w:val="0029458F"/>
    <w:rsid w:val="00296AEE"/>
    <w:rsid w:val="002A104C"/>
    <w:rsid w:val="002A30B3"/>
    <w:rsid w:val="002A4960"/>
    <w:rsid w:val="002A75F8"/>
    <w:rsid w:val="002B1AE6"/>
    <w:rsid w:val="002B30F8"/>
    <w:rsid w:val="002C00B2"/>
    <w:rsid w:val="002C212F"/>
    <w:rsid w:val="002C4F2C"/>
    <w:rsid w:val="002C5931"/>
    <w:rsid w:val="002C642F"/>
    <w:rsid w:val="002C7EDB"/>
    <w:rsid w:val="002D298F"/>
    <w:rsid w:val="002D59E2"/>
    <w:rsid w:val="002E3153"/>
    <w:rsid w:val="002E72CA"/>
    <w:rsid w:val="002F022E"/>
    <w:rsid w:val="002F2B13"/>
    <w:rsid w:val="0030049E"/>
    <w:rsid w:val="00300AD6"/>
    <w:rsid w:val="003112B7"/>
    <w:rsid w:val="00311559"/>
    <w:rsid w:val="003227C8"/>
    <w:rsid w:val="0032430E"/>
    <w:rsid w:val="00326E79"/>
    <w:rsid w:val="00330F8E"/>
    <w:rsid w:val="003367EF"/>
    <w:rsid w:val="00337210"/>
    <w:rsid w:val="00341AE4"/>
    <w:rsid w:val="003430FC"/>
    <w:rsid w:val="00343F96"/>
    <w:rsid w:val="00346199"/>
    <w:rsid w:val="00347ACB"/>
    <w:rsid w:val="00352682"/>
    <w:rsid w:val="00354CDD"/>
    <w:rsid w:val="003558E1"/>
    <w:rsid w:val="00355AB8"/>
    <w:rsid w:val="0036766D"/>
    <w:rsid w:val="003679F0"/>
    <w:rsid w:val="003742DB"/>
    <w:rsid w:val="00380CA9"/>
    <w:rsid w:val="00386A5C"/>
    <w:rsid w:val="003872CF"/>
    <w:rsid w:val="00387356"/>
    <w:rsid w:val="00393FD5"/>
    <w:rsid w:val="003962FC"/>
    <w:rsid w:val="0039782C"/>
    <w:rsid w:val="003A04B4"/>
    <w:rsid w:val="003A2EA3"/>
    <w:rsid w:val="003A5B4A"/>
    <w:rsid w:val="003B23C5"/>
    <w:rsid w:val="003B2A75"/>
    <w:rsid w:val="003B6233"/>
    <w:rsid w:val="003C2A32"/>
    <w:rsid w:val="003D101E"/>
    <w:rsid w:val="003D4AC4"/>
    <w:rsid w:val="003D63B7"/>
    <w:rsid w:val="003E468B"/>
    <w:rsid w:val="003E5B7D"/>
    <w:rsid w:val="003E77F8"/>
    <w:rsid w:val="003F5C8C"/>
    <w:rsid w:val="00406B2B"/>
    <w:rsid w:val="004141B2"/>
    <w:rsid w:val="00414568"/>
    <w:rsid w:val="00414EE6"/>
    <w:rsid w:val="00415BDB"/>
    <w:rsid w:val="0042709B"/>
    <w:rsid w:val="00436757"/>
    <w:rsid w:val="00436905"/>
    <w:rsid w:val="00441126"/>
    <w:rsid w:val="004465BD"/>
    <w:rsid w:val="0044673C"/>
    <w:rsid w:val="0045330B"/>
    <w:rsid w:val="004613C6"/>
    <w:rsid w:val="00462383"/>
    <w:rsid w:val="0046308F"/>
    <w:rsid w:val="00466ADA"/>
    <w:rsid w:val="004743A7"/>
    <w:rsid w:val="00476245"/>
    <w:rsid w:val="0047714C"/>
    <w:rsid w:val="00481DE2"/>
    <w:rsid w:val="00485940"/>
    <w:rsid w:val="004938BB"/>
    <w:rsid w:val="004A2484"/>
    <w:rsid w:val="004A5A85"/>
    <w:rsid w:val="004A63AD"/>
    <w:rsid w:val="004B5465"/>
    <w:rsid w:val="004B5640"/>
    <w:rsid w:val="004B6263"/>
    <w:rsid w:val="004B6840"/>
    <w:rsid w:val="004B6A8C"/>
    <w:rsid w:val="004C1BD7"/>
    <w:rsid w:val="004C2808"/>
    <w:rsid w:val="004C29AB"/>
    <w:rsid w:val="004C4863"/>
    <w:rsid w:val="004C691D"/>
    <w:rsid w:val="004D18F9"/>
    <w:rsid w:val="004D6A6A"/>
    <w:rsid w:val="004E1A64"/>
    <w:rsid w:val="004E27E2"/>
    <w:rsid w:val="004E692D"/>
    <w:rsid w:val="004F04D3"/>
    <w:rsid w:val="00500CD2"/>
    <w:rsid w:val="00501554"/>
    <w:rsid w:val="00514CD7"/>
    <w:rsid w:val="005300E7"/>
    <w:rsid w:val="005319B2"/>
    <w:rsid w:val="00532814"/>
    <w:rsid w:val="00532C74"/>
    <w:rsid w:val="00534E2E"/>
    <w:rsid w:val="00537E4D"/>
    <w:rsid w:val="00542DCD"/>
    <w:rsid w:val="00544552"/>
    <w:rsid w:val="005726D1"/>
    <w:rsid w:val="00574205"/>
    <w:rsid w:val="0057762D"/>
    <w:rsid w:val="00581932"/>
    <w:rsid w:val="00581E8C"/>
    <w:rsid w:val="005963BB"/>
    <w:rsid w:val="005A3173"/>
    <w:rsid w:val="005A3223"/>
    <w:rsid w:val="005A3DA3"/>
    <w:rsid w:val="005A52C4"/>
    <w:rsid w:val="005D03AB"/>
    <w:rsid w:val="005D5017"/>
    <w:rsid w:val="005E1263"/>
    <w:rsid w:val="005E2FFD"/>
    <w:rsid w:val="00601A91"/>
    <w:rsid w:val="00602799"/>
    <w:rsid w:val="00602BA3"/>
    <w:rsid w:val="0061331D"/>
    <w:rsid w:val="00614159"/>
    <w:rsid w:val="00617C00"/>
    <w:rsid w:val="00620E98"/>
    <w:rsid w:val="00621F80"/>
    <w:rsid w:val="006263BF"/>
    <w:rsid w:val="0062748A"/>
    <w:rsid w:val="0062768F"/>
    <w:rsid w:val="00630A2C"/>
    <w:rsid w:val="00635925"/>
    <w:rsid w:val="006372C6"/>
    <w:rsid w:val="0064219F"/>
    <w:rsid w:val="006436CD"/>
    <w:rsid w:val="00651169"/>
    <w:rsid w:val="00653D69"/>
    <w:rsid w:val="006660EC"/>
    <w:rsid w:val="00670A76"/>
    <w:rsid w:val="006711AA"/>
    <w:rsid w:val="00672B57"/>
    <w:rsid w:val="006736DB"/>
    <w:rsid w:val="00675622"/>
    <w:rsid w:val="0067793A"/>
    <w:rsid w:val="00680AEF"/>
    <w:rsid w:val="00681389"/>
    <w:rsid w:val="006906DB"/>
    <w:rsid w:val="00694CFD"/>
    <w:rsid w:val="006A12A5"/>
    <w:rsid w:val="006A60EE"/>
    <w:rsid w:val="006B0D94"/>
    <w:rsid w:val="006B2018"/>
    <w:rsid w:val="006B485D"/>
    <w:rsid w:val="006C708E"/>
    <w:rsid w:val="006D6711"/>
    <w:rsid w:val="006D6EC7"/>
    <w:rsid w:val="006D7118"/>
    <w:rsid w:val="006E2007"/>
    <w:rsid w:val="006F5125"/>
    <w:rsid w:val="006F7E94"/>
    <w:rsid w:val="0070278D"/>
    <w:rsid w:val="0070335D"/>
    <w:rsid w:val="007174BB"/>
    <w:rsid w:val="00731100"/>
    <w:rsid w:val="00733C83"/>
    <w:rsid w:val="00760FF3"/>
    <w:rsid w:val="0076420C"/>
    <w:rsid w:val="00766AD9"/>
    <w:rsid w:val="00773EFD"/>
    <w:rsid w:val="007753C2"/>
    <w:rsid w:val="007818BC"/>
    <w:rsid w:val="007838B8"/>
    <w:rsid w:val="00790E0B"/>
    <w:rsid w:val="007C0F57"/>
    <w:rsid w:val="007C40B6"/>
    <w:rsid w:val="007C729F"/>
    <w:rsid w:val="007C7625"/>
    <w:rsid w:val="007D043E"/>
    <w:rsid w:val="007D075C"/>
    <w:rsid w:val="007E1D28"/>
    <w:rsid w:val="007E38B1"/>
    <w:rsid w:val="007F2641"/>
    <w:rsid w:val="007F33C2"/>
    <w:rsid w:val="007F7C36"/>
    <w:rsid w:val="00800566"/>
    <w:rsid w:val="00800639"/>
    <w:rsid w:val="00806796"/>
    <w:rsid w:val="00811726"/>
    <w:rsid w:val="008145BB"/>
    <w:rsid w:val="008151D6"/>
    <w:rsid w:val="008217F0"/>
    <w:rsid w:val="00824808"/>
    <w:rsid w:val="00826F6D"/>
    <w:rsid w:val="00827D32"/>
    <w:rsid w:val="00830F36"/>
    <w:rsid w:val="00836475"/>
    <w:rsid w:val="00844B7B"/>
    <w:rsid w:val="008455C6"/>
    <w:rsid w:val="00851918"/>
    <w:rsid w:val="008556E2"/>
    <w:rsid w:val="00856DDD"/>
    <w:rsid w:val="00863E68"/>
    <w:rsid w:val="00864F62"/>
    <w:rsid w:val="00867A58"/>
    <w:rsid w:val="00873138"/>
    <w:rsid w:val="0087529B"/>
    <w:rsid w:val="008756DA"/>
    <w:rsid w:val="0088062D"/>
    <w:rsid w:val="00882085"/>
    <w:rsid w:val="00883188"/>
    <w:rsid w:val="00885CA6"/>
    <w:rsid w:val="00886189"/>
    <w:rsid w:val="0089143B"/>
    <w:rsid w:val="00897D58"/>
    <w:rsid w:val="008A1956"/>
    <w:rsid w:val="008A4937"/>
    <w:rsid w:val="008A50F1"/>
    <w:rsid w:val="008B43C0"/>
    <w:rsid w:val="008D1B5C"/>
    <w:rsid w:val="008D2DF2"/>
    <w:rsid w:val="008D3C82"/>
    <w:rsid w:val="008D447E"/>
    <w:rsid w:val="008D7A41"/>
    <w:rsid w:val="008D7E75"/>
    <w:rsid w:val="008E01E3"/>
    <w:rsid w:val="008E3680"/>
    <w:rsid w:val="008E5870"/>
    <w:rsid w:val="008E79E4"/>
    <w:rsid w:val="008F1434"/>
    <w:rsid w:val="008F7355"/>
    <w:rsid w:val="008F7E92"/>
    <w:rsid w:val="008F7F3D"/>
    <w:rsid w:val="00905856"/>
    <w:rsid w:val="00905ED7"/>
    <w:rsid w:val="009067B7"/>
    <w:rsid w:val="00930937"/>
    <w:rsid w:val="00931423"/>
    <w:rsid w:val="00933E6C"/>
    <w:rsid w:val="00942160"/>
    <w:rsid w:val="009439C5"/>
    <w:rsid w:val="0095146F"/>
    <w:rsid w:val="00953B16"/>
    <w:rsid w:val="00954B3C"/>
    <w:rsid w:val="009564F3"/>
    <w:rsid w:val="00957A0E"/>
    <w:rsid w:val="009602C5"/>
    <w:rsid w:val="00960B25"/>
    <w:rsid w:val="00962223"/>
    <w:rsid w:val="00973368"/>
    <w:rsid w:val="00974C21"/>
    <w:rsid w:val="009865FE"/>
    <w:rsid w:val="00986740"/>
    <w:rsid w:val="00993A3B"/>
    <w:rsid w:val="009960FB"/>
    <w:rsid w:val="009A2B17"/>
    <w:rsid w:val="009B0F67"/>
    <w:rsid w:val="009B77C6"/>
    <w:rsid w:val="009B79A8"/>
    <w:rsid w:val="009B7AAD"/>
    <w:rsid w:val="009C1C33"/>
    <w:rsid w:val="009C522B"/>
    <w:rsid w:val="009C703C"/>
    <w:rsid w:val="009D2CF6"/>
    <w:rsid w:val="009D3CAA"/>
    <w:rsid w:val="009D603E"/>
    <w:rsid w:val="009E596A"/>
    <w:rsid w:val="009F015F"/>
    <w:rsid w:val="009F4E46"/>
    <w:rsid w:val="009F5B65"/>
    <w:rsid w:val="009F5F2E"/>
    <w:rsid w:val="009F73B2"/>
    <w:rsid w:val="009F7B0B"/>
    <w:rsid w:val="00A00259"/>
    <w:rsid w:val="00A00E64"/>
    <w:rsid w:val="00A06225"/>
    <w:rsid w:val="00A1274D"/>
    <w:rsid w:val="00A128E6"/>
    <w:rsid w:val="00A3481F"/>
    <w:rsid w:val="00A37926"/>
    <w:rsid w:val="00A37C8D"/>
    <w:rsid w:val="00A428E9"/>
    <w:rsid w:val="00A43C7A"/>
    <w:rsid w:val="00A500C2"/>
    <w:rsid w:val="00A51516"/>
    <w:rsid w:val="00A5273B"/>
    <w:rsid w:val="00A5328F"/>
    <w:rsid w:val="00A53A9D"/>
    <w:rsid w:val="00A55E88"/>
    <w:rsid w:val="00A55FEE"/>
    <w:rsid w:val="00A61A30"/>
    <w:rsid w:val="00A62C1A"/>
    <w:rsid w:val="00A6426D"/>
    <w:rsid w:val="00A661CB"/>
    <w:rsid w:val="00A70622"/>
    <w:rsid w:val="00A70977"/>
    <w:rsid w:val="00A73EF9"/>
    <w:rsid w:val="00A74879"/>
    <w:rsid w:val="00A77613"/>
    <w:rsid w:val="00A8390C"/>
    <w:rsid w:val="00A903B3"/>
    <w:rsid w:val="00A9169E"/>
    <w:rsid w:val="00A91B08"/>
    <w:rsid w:val="00A928BD"/>
    <w:rsid w:val="00A94168"/>
    <w:rsid w:val="00AA4D1C"/>
    <w:rsid w:val="00AB1720"/>
    <w:rsid w:val="00AB5D2B"/>
    <w:rsid w:val="00AB713A"/>
    <w:rsid w:val="00AC193C"/>
    <w:rsid w:val="00AC5206"/>
    <w:rsid w:val="00AD5749"/>
    <w:rsid w:val="00AE11A5"/>
    <w:rsid w:val="00AE13E2"/>
    <w:rsid w:val="00AE1A61"/>
    <w:rsid w:val="00AE7C9F"/>
    <w:rsid w:val="00AF2405"/>
    <w:rsid w:val="00AF2BD7"/>
    <w:rsid w:val="00AF4896"/>
    <w:rsid w:val="00AF68CC"/>
    <w:rsid w:val="00B04427"/>
    <w:rsid w:val="00B059CE"/>
    <w:rsid w:val="00B1059E"/>
    <w:rsid w:val="00B205AA"/>
    <w:rsid w:val="00B2210B"/>
    <w:rsid w:val="00B22E84"/>
    <w:rsid w:val="00B25F75"/>
    <w:rsid w:val="00B320CF"/>
    <w:rsid w:val="00B3422C"/>
    <w:rsid w:val="00B425C8"/>
    <w:rsid w:val="00B43E90"/>
    <w:rsid w:val="00B4619F"/>
    <w:rsid w:val="00B467DC"/>
    <w:rsid w:val="00B46B52"/>
    <w:rsid w:val="00B51A1C"/>
    <w:rsid w:val="00B56118"/>
    <w:rsid w:val="00B5611B"/>
    <w:rsid w:val="00B6773F"/>
    <w:rsid w:val="00B801BA"/>
    <w:rsid w:val="00B813FE"/>
    <w:rsid w:val="00B85D88"/>
    <w:rsid w:val="00B93D7B"/>
    <w:rsid w:val="00BA56F7"/>
    <w:rsid w:val="00BB5AFD"/>
    <w:rsid w:val="00BB69F5"/>
    <w:rsid w:val="00BB7EC3"/>
    <w:rsid w:val="00BC0C42"/>
    <w:rsid w:val="00BC13BE"/>
    <w:rsid w:val="00BC4B9A"/>
    <w:rsid w:val="00BD2D25"/>
    <w:rsid w:val="00BD6D70"/>
    <w:rsid w:val="00BD784C"/>
    <w:rsid w:val="00BF4CB6"/>
    <w:rsid w:val="00C00DA7"/>
    <w:rsid w:val="00C02E52"/>
    <w:rsid w:val="00C12768"/>
    <w:rsid w:val="00C23918"/>
    <w:rsid w:val="00C24366"/>
    <w:rsid w:val="00C27B58"/>
    <w:rsid w:val="00C27F96"/>
    <w:rsid w:val="00C301D0"/>
    <w:rsid w:val="00C35996"/>
    <w:rsid w:val="00C427AA"/>
    <w:rsid w:val="00C441E6"/>
    <w:rsid w:val="00C5342C"/>
    <w:rsid w:val="00C5518B"/>
    <w:rsid w:val="00C56001"/>
    <w:rsid w:val="00C57A96"/>
    <w:rsid w:val="00C603D4"/>
    <w:rsid w:val="00C608CC"/>
    <w:rsid w:val="00C6256A"/>
    <w:rsid w:val="00C64565"/>
    <w:rsid w:val="00C7487C"/>
    <w:rsid w:val="00C82447"/>
    <w:rsid w:val="00C85E84"/>
    <w:rsid w:val="00C867C7"/>
    <w:rsid w:val="00C91449"/>
    <w:rsid w:val="00C92D10"/>
    <w:rsid w:val="00CA3230"/>
    <w:rsid w:val="00CB7CB9"/>
    <w:rsid w:val="00CC07BF"/>
    <w:rsid w:val="00CC1A3C"/>
    <w:rsid w:val="00CD18F9"/>
    <w:rsid w:val="00CD475E"/>
    <w:rsid w:val="00CD5BCB"/>
    <w:rsid w:val="00CE10C4"/>
    <w:rsid w:val="00CE27B5"/>
    <w:rsid w:val="00CE5E9B"/>
    <w:rsid w:val="00CF2254"/>
    <w:rsid w:val="00D0321E"/>
    <w:rsid w:val="00D05968"/>
    <w:rsid w:val="00D05FB9"/>
    <w:rsid w:val="00D1455A"/>
    <w:rsid w:val="00D14F8A"/>
    <w:rsid w:val="00D25796"/>
    <w:rsid w:val="00D3138B"/>
    <w:rsid w:val="00D3280C"/>
    <w:rsid w:val="00D3345A"/>
    <w:rsid w:val="00D33C24"/>
    <w:rsid w:val="00D3406A"/>
    <w:rsid w:val="00D36BA9"/>
    <w:rsid w:val="00D469B2"/>
    <w:rsid w:val="00D504CB"/>
    <w:rsid w:val="00D63B31"/>
    <w:rsid w:val="00D70DC8"/>
    <w:rsid w:val="00D741EB"/>
    <w:rsid w:val="00D75125"/>
    <w:rsid w:val="00D75237"/>
    <w:rsid w:val="00D75680"/>
    <w:rsid w:val="00D77795"/>
    <w:rsid w:val="00D83605"/>
    <w:rsid w:val="00D84934"/>
    <w:rsid w:val="00D91271"/>
    <w:rsid w:val="00DA2CB5"/>
    <w:rsid w:val="00DA4BAC"/>
    <w:rsid w:val="00DC1A47"/>
    <w:rsid w:val="00DC4FC2"/>
    <w:rsid w:val="00DD7AB1"/>
    <w:rsid w:val="00DE6D27"/>
    <w:rsid w:val="00DF0AC6"/>
    <w:rsid w:val="00DF217D"/>
    <w:rsid w:val="00DF26A7"/>
    <w:rsid w:val="00E01A8D"/>
    <w:rsid w:val="00E10054"/>
    <w:rsid w:val="00E14787"/>
    <w:rsid w:val="00E15627"/>
    <w:rsid w:val="00E15B48"/>
    <w:rsid w:val="00E164B3"/>
    <w:rsid w:val="00E16910"/>
    <w:rsid w:val="00E206C3"/>
    <w:rsid w:val="00E22F33"/>
    <w:rsid w:val="00E24DD2"/>
    <w:rsid w:val="00E31CB3"/>
    <w:rsid w:val="00E37175"/>
    <w:rsid w:val="00E40DA7"/>
    <w:rsid w:val="00E45C48"/>
    <w:rsid w:val="00E47005"/>
    <w:rsid w:val="00E517B1"/>
    <w:rsid w:val="00E63890"/>
    <w:rsid w:val="00E65E54"/>
    <w:rsid w:val="00E800EF"/>
    <w:rsid w:val="00E80155"/>
    <w:rsid w:val="00E8217C"/>
    <w:rsid w:val="00E848C0"/>
    <w:rsid w:val="00E91B96"/>
    <w:rsid w:val="00E941A1"/>
    <w:rsid w:val="00E955DD"/>
    <w:rsid w:val="00E95CE3"/>
    <w:rsid w:val="00E970AF"/>
    <w:rsid w:val="00EA177E"/>
    <w:rsid w:val="00EA2825"/>
    <w:rsid w:val="00EA4128"/>
    <w:rsid w:val="00EB404A"/>
    <w:rsid w:val="00EB5088"/>
    <w:rsid w:val="00ED1644"/>
    <w:rsid w:val="00ED2593"/>
    <w:rsid w:val="00ED3390"/>
    <w:rsid w:val="00EE3BF7"/>
    <w:rsid w:val="00EF080F"/>
    <w:rsid w:val="00EF44A0"/>
    <w:rsid w:val="00EF4FED"/>
    <w:rsid w:val="00F00850"/>
    <w:rsid w:val="00F037D7"/>
    <w:rsid w:val="00F048D9"/>
    <w:rsid w:val="00F050BD"/>
    <w:rsid w:val="00F05657"/>
    <w:rsid w:val="00F0670A"/>
    <w:rsid w:val="00F11F7E"/>
    <w:rsid w:val="00F144AD"/>
    <w:rsid w:val="00F16F04"/>
    <w:rsid w:val="00F17DBF"/>
    <w:rsid w:val="00F2311F"/>
    <w:rsid w:val="00F23D76"/>
    <w:rsid w:val="00F23E8E"/>
    <w:rsid w:val="00F25578"/>
    <w:rsid w:val="00F258E5"/>
    <w:rsid w:val="00F300BC"/>
    <w:rsid w:val="00F3095D"/>
    <w:rsid w:val="00F3334E"/>
    <w:rsid w:val="00F36CCB"/>
    <w:rsid w:val="00F4070F"/>
    <w:rsid w:val="00F45B6F"/>
    <w:rsid w:val="00F50CA5"/>
    <w:rsid w:val="00F50EC4"/>
    <w:rsid w:val="00F52DFF"/>
    <w:rsid w:val="00F573B4"/>
    <w:rsid w:val="00F57A6D"/>
    <w:rsid w:val="00F57F4F"/>
    <w:rsid w:val="00F638CC"/>
    <w:rsid w:val="00F64CC1"/>
    <w:rsid w:val="00F8247A"/>
    <w:rsid w:val="00F9214B"/>
    <w:rsid w:val="00F95057"/>
    <w:rsid w:val="00F9629A"/>
    <w:rsid w:val="00FA5883"/>
    <w:rsid w:val="00FA6055"/>
    <w:rsid w:val="00FB322F"/>
    <w:rsid w:val="00FB3518"/>
    <w:rsid w:val="00FB442F"/>
    <w:rsid w:val="00FB6573"/>
    <w:rsid w:val="00FC1929"/>
    <w:rsid w:val="00FC485F"/>
    <w:rsid w:val="00FC582D"/>
    <w:rsid w:val="00FC5B46"/>
    <w:rsid w:val="00FC6DF0"/>
    <w:rsid w:val="00FD1374"/>
    <w:rsid w:val="00FD62E5"/>
    <w:rsid w:val="00FE0E94"/>
    <w:rsid w:val="00FE352E"/>
    <w:rsid w:val="00FE37A4"/>
    <w:rsid w:val="00FE42B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Plain Text" w:uiPriority="99"/>
    <w:lsdException w:name="Normal Table" w:semiHidden="0" w:unhideWhenUsed="0"/>
    <w:lsdException w:name="Table Web 1" w:semiHidden="0"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CMA Table Template,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textcentred">
    <w:name w:val="Table text centred"/>
    <w:basedOn w:val="Normal"/>
    <w:link w:val="TabletextcentredChar"/>
    <w:qFormat/>
    <w:rsid w:val="00867A58"/>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867A58"/>
    <w:rPr>
      <w:rFonts w:ascii="Arial Narrow" w:hAnsi="Arial Narrow" w:cs="Arial Narrow"/>
      <w:lang w:eastAsia="en-US"/>
    </w:rPr>
  </w:style>
  <w:style w:type="paragraph" w:customStyle="1" w:styleId="TableText0">
    <w:name w:val="TableText"/>
    <w:basedOn w:val="Normal"/>
    <w:link w:val="TableTextChar"/>
    <w:qFormat/>
    <w:rsid w:val="00867A58"/>
    <w:pPr>
      <w:spacing w:before="40" w:after="40"/>
    </w:pPr>
    <w:rPr>
      <w:rFonts w:ascii="Calibri" w:hAnsi="Calibri"/>
      <w:iCs/>
      <w:sz w:val="20"/>
      <w:szCs w:val="18"/>
      <w:lang w:eastAsia="en-US"/>
    </w:rPr>
  </w:style>
  <w:style w:type="character" w:customStyle="1" w:styleId="TableTextChar">
    <w:name w:val="TableText Char"/>
    <w:link w:val="TableText0"/>
    <w:rsid w:val="00867A58"/>
    <w:rPr>
      <w:rFonts w:ascii="Calibri" w:hAnsi="Calibri"/>
      <w:iCs/>
      <w:szCs w:val="18"/>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Bayer Capti"/>
    <w:basedOn w:val="Normal"/>
    <w:next w:val="Normal"/>
    <w:link w:val="CaptionChar1"/>
    <w:uiPriority w:val="35"/>
    <w:unhideWhenUsed/>
    <w:qFormat/>
    <w:rsid w:val="000F0D8A"/>
    <w:pPr>
      <w:keepNext/>
    </w:pPr>
    <w:rPr>
      <w:rFonts w:ascii="Arial Narrow" w:hAnsi="Arial Narrow"/>
      <w:b/>
      <w:bCs/>
      <w:sz w:val="20"/>
      <w:szCs w:val="22"/>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uiPriority w:val="35"/>
    <w:rsid w:val="000F0D8A"/>
    <w:rPr>
      <w:rFonts w:ascii="Arial Narrow" w:hAnsi="Arial Narrow"/>
      <w:b/>
      <w:bCs/>
      <w:szCs w:val="22"/>
    </w:rPr>
  </w:style>
  <w:style w:type="paragraph" w:customStyle="1" w:styleId="TABLETEXT2">
    <w:name w:val="TABLE TEXT 2"/>
    <w:basedOn w:val="Normal"/>
    <w:qFormat/>
    <w:rsid w:val="006372C6"/>
    <w:rPr>
      <w:rFonts w:ascii="Arial Narrow" w:hAnsi="Arial Narrow" w:cs="Tahoma"/>
      <w:sz w:val="20"/>
      <w:szCs w:val="20"/>
    </w:rPr>
  </w:style>
  <w:style w:type="paragraph" w:styleId="FootnoteText">
    <w:name w:val="footnote text"/>
    <w:basedOn w:val="Normal"/>
    <w:link w:val="FootnoteTextChar"/>
    <w:rsid w:val="00EA177E"/>
    <w:rPr>
      <w:sz w:val="20"/>
      <w:szCs w:val="20"/>
    </w:rPr>
  </w:style>
  <w:style w:type="character" w:customStyle="1" w:styleId="FootnoteTextChar">
    <w:name w:val="Footnote Text Char"/>
    <w:basedOn w:val="DefaultParagraphFont"/>
    <w:link w:val="FootnoteText"/>
    <w:rsid w:val="00EA177E"/>
  </w:style>
  <w:style w:type="character" w:styleId="FootnoteReference">
    <w:name w:val="footnote reference"/>
    <w:basedOn w:val="DefaultParagraphFont"/>
    <w:rsid w:val="00EA177E"/>
    <w:rPr>
      <w:vertAlign w:val="superscript"/>
    </w:rPr>
  </w:style>
  <w:style w:type="paragraph" w:styleId="PlainText">
    <w:name w:val="Plain Text"/>
    <w:basedOn w:val="Normal"/>
    <w:link w:val="PlainTextChar"/>
    <w:uiPriority w:val="99"/>
    <w:semiHidden/>
    <w:unhideWhenUsed/>
    <w:rsid w:val="003962F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962FC"/>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Plain Text" w:uiPriority="99"/>
    <w:lsdException w:name="Normal Table" w:semiHidden="0" w:unhideWhenUsed="0"/>
    <w:lsdException w:name="Table Web 1" w:semiHidden="0"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CMA Table Template,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textcentred">
    <w:name w:val="Table text centred"/>
    <w:basedOn w:val="Normal"/>
    <w:link w:val="TabletextcentredChar"/>
    <w:qFormat/>
    <w:rsid w:val="00867A58"/>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867A58"/>
    <w:rPr>
      <w:rFonts w:ascii="Arial Narrow" w:hAnsi="Arial Narrow" w:cs="Arial Narrow"/>
      <w:lang w:eastAsia="en-US"/>
    </w:rPr>
  </w:style>
  <w:style w:type="paragraph" w:customStyle="1" w:styleId="TableText0">
    <w:name w:val="TableText"/>
    <w:basedOn w:val="Normal"/>
    <w:link w:val="TableTextChar"/>
    <w:qFormat/>
    <w:rsid w:val="00867A58"/>
    <w:pPr>
      <w:spacing w:before="40" w:after="40"/>
    </w:pPr>
    <w:rPr>
      <w:rFonts w:ascii="Calibri" w:hAnsi="Calibri"/>
      <w:iCs/>
      <w:sz w:val="20"/>
      <w:szCs w:val="18"/>
      <w:lang w:eastAsia="en-US"/>
    </w:rPr>
  </w:style>
  <w:style w:type="character" w:customStyle="1" w:styleId="TableTextChar">
    <w:name w:val="TableText Char"/>
    <w:link w:val="TableText0"/>
    <w:rsid w:val="00867A58"/>
    <w:rPr>
      <w:rFonts w:ascii="Calibri" w:hAnsi="Calibri"/>
      <w:iCs/>
      <w:szCs w:val="18"/>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Bayer Capti"/>
    <w:basedOn w:val="Normal"/>
    <w:next w:val="Normal"/>
    <w:link w:val="CaptionChar1"/>
    <w:uiPriority w:val="35"/>
    <w:unhideWhenUsed/>
    <w:qFormat/>
    <w:rsid w:val="000F0D8A"/>
    <w:pPr>
      <w:keepNext/>
    </w:pPr>
    <w:rPr>
      <w:rFonts w:ascii="Arial Narrow" w:hAnsi="Arial Narrow"/>
      <w:b/>
      <w:bCs/>
      <w:sz w:val="20"/>
      <w:szCs w:val="22"/>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uiPriority w:val="35"/>
    <w:rsid w:val="000F0D8A"/>
    <w:rPr>
      <w:rFonts w:ascii="Arial Narrow" w:hAnsi="Arial Narrow"/>
      <w:b/>
      <w:bCs/>
      <w:szCs w:val="22"/>
    </w:rPr>
  </w:style>
  <w:style w:type="paragraph" w:customStyle="1" w:styleId="TABLETEXT2">
    <w:name w:val="TABLE TEXT 2"/>
    <w:basedOn w:val="Normal"/>
    <w:qFormat/>
    <w:rsid w:val="006372C6"/>
    <w:rPr>
      <w:rFonts w:ascii="Arial Narrow" w:hAnsi="Arial Narrow" w:cs="Tahoma"/>
      <w:sz w:val="20"/>
      <w:szCs w:val="20"/>
    </w:rPr>
  </w:style>
  <w:style w:type="paragraph" w:styleId="FootnoteText">
    <w:name w:val="footnote text"/>
    <w:basedOn w:val="Normal"/>
    <w:link w:val="FootnoteTextChar"/>
    <w:rsid w:val="00EA177E"/>
    <w:rPr>
      <w:sz w:val="20"/>
      <w:szCs w:val="20"/>
    </w:rPr>
  </w:style>
  <w:style w:type="character" w:customStyle="1" w:styleId="FootnoteTextChar">
    <w:name w:val="Footnote Text Char"/>
    <w:basedOn w:val="DefaultParagraphFont"/>
    <w:link w:val="FootnoteText"/>
    <w:rsid w:val="00EA177E"/>
  </w:style>
  <w:style w:type="character" w:styleId="FootnoteReference">
    <w:name w:val="footnote reference"/>
    <w:basedOn w:val="DefaultParagraphFont"/>
    <w:rsid w:val="00EA177E"/>
    <w:rPr>
      <w:vertAlign w:val="superscript"/>
    </w:rPr>
  </w:style>
  <w:style w:type="paragraph" w:styleId="PlainText">
    <w:name w:val="Plain Text"/>
    <w:basedOn w:val="Normal"/>
    <w:link w:val="PlainTextChar"/>
    <w:uiPriority w:val="99"/>
    <w:semiHidden/>
    <w:unhideWhenUsed/>
    <w:rsid w:val="003962F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962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093091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2982-E9B9-4606-AD6D-6E32C8C8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7159</Words>
  <Characters>42304</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2017-10-17T03:17:00Z</dcterms:created>
  <dcterms:modified xsi:type="dcterms:W3CDTF">2017-10-17T03:26:00Z</dcterms:modified>
</cp:coreProperties>
</file>