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76" w:rsidRPr="00007680" w:rsidRDefault="00065AC6" w:rsidP="007E27D4">
      <w:pPr>
        <w:widowControl/>
        <w:ind w:left="1418" w:hanging="1418"/>
        <w:jc w:val="left"/>
        <w:outlineLvl w:val="0"/>
        <w:rPr>
          <w:rFonts w:cstheme="minorHAnsi"/>
          <w:b/>
          <w:sz w:val="36"/>
          <w:szCs w:val="36"/>
        </w:rPr>
      </w:pPr>
      <w:bookmarkStart w:id="0" w:name="_Toc341702043"/>
      <w:bookmarkStart w:id="1" w:name="_Toc380742621"/>
      <w:bookmarkStart w:id="2" w:name="_Toc380746188"/>
      <w:bookmarkStart w:id="3" w:name="_Toc380746314"/>
      <w:bookmarkStart w:id="4" w:name="_Toc380746595"/>
      <w:r w:rsidRPr="00C8621E">
        <w:rPr>
          <w:b/>
          <w:sz w:val="36"/>
          <w:szCs w:val="36"/>
        </w:rPr>
        <w:t>7</w:t>
      </w:r>
      <w:r w:rsidR="0020138A" w:rsidRPr="00C8621E">
        <w:rPr>
          <w:b/>
          <w:sz w:val="36"/>
          <w:szCs w:val="36"/>
        </w:rPr>
        <w:t>.</w:t>
      </w:r>
      <w:r w:rsidRPr="00C8621E">
        <w:rPr>
          <w:b/>
          <w:sz w:val="36"/>
          <w:szCs w:val="36"/>
        </w:rPr>
        <w:t>09</w:t>
      </w:r>
      <w:r w:rsidR="0020138A" w:rsidRPr="00C8621E">
        <w:rPr>
          <w:b/>
          <w:sz w:val="36"/>
          <w:szCs w:val="36"/>
        </w:rPr>
        <w:tab/>
      </w:r>
      <w:r w:rsidR="0020138A" w:rsidRPr="00C8621E">
        <w:rPr>
          <w:rFonts w:cstheme="minorHAnsi"/>
          <w:b/>
          <w:sz w:val="36"/>
          <w:szCs w:val="36"/>
        </w:rPr>
        <w:t>VINFLUNINE,</w:t>
      </w:r>
      <w:r w:rsidR="0020138A" w:rsidRPr="00C8621E">
        <w:rPr>
          <w:rFonts w:cstheme="minorHAnsi"/>
          <w:b/>
          <w:sz w:val="36"/>
          <w:szCs w:val="36"/>
        </w:rPr>
        <w:br/>
        <w:t>Concentrate solution for intravenous injection, 50</w:t>
      </w:r>
      <w:r w:rsidR="00E64F7D" w:rsidRPr="00C8621E">
        <w:rPr>
          <w:rFonts w:cstheme="minorHAnsi"/>
          <w:b/>
          <w:sz w:val="36"/>
          <w:szCs w:val="36"/>
        </w:rPr>
        <w:t> </w:t>
      </w:r>
      <w:r w:rsidR="0020138A" w:rsidRPr="00C8621E">
        <w:rPr>
          <w:rFonts w:cstheme="minorHAnsi"/>
          <w:b/>
          <w:sz w:val="36"/>
          <w:szCs w:val="36"/>
        </w:rPr>
        <w:t xml:space="preserve">mg in 2 mL and 250 mg in 10 mL (as </w:t>
      </w:r>
      <w:proofErr w:type="spellStart"/>
      <w:r w:rsidR="0020138A" w:rsidRPr="00C8621E">
        <w:rPr>
          <w:rFonts w:cstheme="minorHAnsi"/>
          <w:b/>
          <w:sz w:val="36"/>
          <w:szCs w:val="36"/>
        </w:rPr>
        <w:t>ditartrate</w:t>
      </w:r>
      <w:proofErr w:type="spellEnd"/>
      <w:r w:rsidR="0020138A" w:rsidRPr="00C8621E">
        <w:rPr>
          <w:rFonts w:cstheme="minorHAnsi"/>
          <w:b/>
          <w:sz w:val="36"/>
          <w:szCs w:val="36"/>
        </w:rPr>
        <w:t xml:space="preserve">), </w:t>
      </w:r>
      <w:r w:rsidR="0020138A" w:rsidRPr="00C8621E">
        <w:rPr>
          <w:rFonts w:cstheme="minorHAnsi"/>
          <w:b/>
          <w:sz w:val="36"/>
          <w:szCs w:val="36"/>
        </w:rPr>
        <w:br/>
      </w:r>
      <w:proofErr w:type="spellStart"/>
      <w:r w:rsidR="0020138A" w:rsidRPr="00C8621E">
        <w:rPr>
          <w:rFonts w:cstheme="minorHAnsi"/>
          <w:b/>
          <w:sz w:val="36"/>
          <w:szCs w:val="36"/>
        </w:rPr>
        <w:t>Javlor</w:t>
      </w:r>
      <w:proofErr w:type="spellEnd"/>
      <w:r w:rsidR="0020138A" w:rsidRPr="00C8621E">
        <w:rPr>
          <w:rFonts w:cstheme="minorHAnsi"/>
          <w:b/>
          <w:sz w:val="36"/>
          <w:szCs w:val="36"/>
        </w:rPr>
        <w:t>®, Pierre Fabre Medicament Australia</w:t>
      </w:r>
    </w:p>
    <w:p w:rsidR="0020138A" w:rsidRPr="00C8621E" w:rsidRDefault="00035233" w:rsidP="004919B2">
      <w:pPr>
        <w:pStyle w:val="Heading1"/>
        <w:keepNext/>
        <w:keepLines/>
        <w:widowControl/>
        <w:numPr>
          <w:ilvl w:val="0"/>
          <w:numId w:val="32"/>
        </w:numPr>
        <w:spacing w:before="400" w:after="120"/>
        <w:ind w:left="709" w:hanging="709"/>
        <w:jc w:val="left"/>
        <w:rPr>
          <w:rFonts w:asciiTheme="minorHAnsi" w:hAnsiTheme="minorHAnsi" w:cstheme="minorHAnsi"/>
          <w:sz w:val="32"/>
        </w:rPr>
      </w:pPr>
      <w:bookmarkStart w:id="5" w:name="_Toc413139271"/>
      <w:bookmarkStart w:id="6" w:name="_Toc476306881"/>
      <w:bookmarkStart w:id="7" w:name="_Toc482713159"/>
      <w:r w:rsidRPr="00C8621E">
        <w:rPr>
          <w:rFonts w:asciiTheme="minorHAnsi" w:hAnsiTheme="minorHAnsi" w:cstheme="minorHAnsi"/>
          <w:caps w:val="0"/>
          <w:sz w:val="32"/>
        </w:rPr>
        <w:t>Purpose of application</w:t>
      </w:r>
      <w:bookmarkEnd w:id="5"/>
      <w:bookmarkEnd w:id="6"/>
      <w:bookmarkEnd w:id="7"/>
    </w:p>
    <w:p w:rsidR="0020138A" w:rsidRPr="00C8621E" w:rsidRDefault="0020138A" w:rsidP="004919B2">
      <w:pPr>
        <w:pStyle w:val="ListParagraph"/>
        <w:widowControl/>
        <w:numPr>
          <w:ilvl w:val="1"/>
          <w:numId w:val="9"/>
        </w:numPr>
        <w:spacing w:after="120"/>
        <w:contextualSpacing w:val="0"/>
        <w:rPr>
          <w:rFonts w:cstheme="minorHAnsi"/>
        </w:rPr>
      </w:pPr>
      <w:r w:rsidRPr="00C8621E">
        <w:rPr>
          <w:rFonts w:cstheme="minorHAnsi"/>
        </w:rPr>
        <w:t xml:space="preserve">Section 100 Efficient Funding of Chemotherapy program listing for </w:t>
      </w:r>
      <w:proofErr w:type="spellStart"/>
      <w:r w:rsidRPr="00C8621E">
        <w:rPr>
          <w:rFonts w:cstheme="minorHAnsi"/>
        </w:rPr>
        <w:t>vinflunine</w:t>
      </w:r>
      <w:proofErr w:type="spellEnd"/>
      <w:r w:rsidRPr="00C8621E">
        <w:rPr>
          <w:rFonts w:cstheme="minorHAnsi"/>
        </w:rPr>
        <w:t xml:space="preserve"> for the treatment of adult patients with advanced or metastatic</w:t>
      </w:r>
      <w:r w:rsidR="00F47CFC" w:rsidRPr="00C8621E">
        <w:rPr>
          <w:rFonts w:cstheme="minorHAnsi"/>
        </w:rPr>
        <w:t xml:space="preserve"> transitional cell carcinoma of the urothelial tract</w:t>
      </w:r>
      <w:r w:rsidRPr="00C8621E">
        <w:rPr>
          <w:rFonts w:cstheme="minorHAnsi"/>
        </w:rPr>
        <w:t xml:space="preserve"> </w:t>
      </w:r>
      <w:r w:rsidR="00F47CFC" w:rsidRPr="00C8621E">
        <w:rPr>
          <w:rFonts w:cstheme="minorHAnsi"/>
        </w:rPr>
        <w:t>(</w:t>
      </w:r>
      <w:r w:rsidRPr="00C8621E">
        <w:rPr>
          <w:rFonts w:cstheme="minorHAnsi"/>
        </w:rPr>
        <w:t>TCCU</w:t>
      </w:r>
      <w:r w:rsidR="00F47CFC" w:rsidRPr="00C8621E">
        <w:rPr>
          <w:rFonts w:cstheme="minorHAnsi"/>
        </w:rPr>
        <w:t>)</w:t>
      </w:r>
      <w:r w:rsidRPr="00C8621E">
        <w:rPr>
          <w:rFonts w:cstheme="minorHAnsi"/>
        </w:rPr>
        <w:t xml:space="preserve"> after failure of a prior platinum-containing regimen. This is the third submission. T</w:t>
      </w:r>
      <w:r w:rsidR="00F47CFC" w:rsidRPr="00C8621E">
        <w:rPr>
          <w:rFonts w:cstheme="minorHAnsi"/>
        </w:rPr>
        <w:t>he first submission was considered by PBAC</w:t>
      </w:r>
      <w:r w:rsidRPr="00C8621E">
        <w:rPr>
          <w:rFonts w:cstheme="minorHAnsi"/>
        </w:rPr>
        <w:t xml:space="preserve"> in November </w:t>
      </w:r>
      <w:r w:rsidR="00F47CFC" w:rsidRPr="00C8621E">
        <w:rPr>
          <w:rFonts w:cstheme="minorHAnsi"/>
        </w:rPr>
        <w:t>2011 and the second</w:t>
      </w:r>
      <w:r w:rsidRPr="00C8621E">
        <w:rPr>
          <w:rFonts w:cstheme="minorHAnsi"/>
        </w:rPr>
        <w:t xml:space="preserve"> in November 2015.</w:t>
      </w:r>
    </w:p>
    <w:p w:rsidR="0085585D" w:rsidRDefault="0085585D" w:rsidP="0085585D">
      <w:pPr>
        <w:pStyle w:val="Caption"/>
      </w:pPr>
      <w:r>
        <w:t xml:space="preserve">Table </w:t>
      </w:r>
      <w:r>
        <w:rPr>
          <w:noProof/>
        </w:rPr>
        <w:t>1</w:t>
      </w:r>
      <w:r w:rsidRPr="00B10603">
        <w:t>: Key components of the clinical issue addressed by the submission</w:t>
      </w:r>
    </w:p>
    <w:tbl>
      <w:tblPr>
        <w:tblStyle w:val="TableGrid"/>
        <w:tblW w:w="9072" w:type="dxa"/>
        <w:tblInd w:w="108" w:type="dxa"/>
        <w:tblLook w:val="04A0" w:firstRow="1" w:lastRow="0" w:firstColumn="1" w:lastColumn="0" w:noHBand="0" w:noVBand="1"/>
        <w:tblCaption w:val="Key components of the clinical issue addressed by the submission"/>
      </w:tblPr>
      <w:tblGrid>
        <w:gridCol w:w="1276"/>
        <w:gridCol w:w="7796"/>
      </w:tblGrid>
      <w:tr w:rsidR="0020138A" w:rsidRPr="00C8621E" w:rsidTr="00426F8C">
        <w:trPr>
          <w:cantSplit/>
          <w:tblHeader/>
        </w:trPr>
        <w:tc>
          <w:tcPr>
            <w:tcW w:w="1276" w:type="dxa"/>
            <w:shd w:val="clear" w:color="auto" w:fill="auto"/>
          </w:tcPr>
          <w:p w:rsidR="0020138A" w:rsidRPr="00C8621E" w:rsidRDefault="0020138A" w:rsidP="00295FF8">
            <w:pPr>
              <w:pStyle w:val="TableText1"/>
              <w:rPr>
                <w:i w:val="0"/>
              </w:rPr>
            </w:pPr>
            <w:r w:rsidRPr="00C8621E">
              <w:rPr>
                <w:i w:val="0"/>
              </w:rPr>
              <w:t>Component</w:t>
            </w:r>
          </w:p>
        </w:tc>
        <w:tc>
          <w:tcPr>
            <w:tcW w:w="7796" w:type="dxa"/>
            <w:shd w:val="clear" w:color="auto" w:fill="auto"/>
          </w:tcPr>
          <w:p w:rsidR="0020138A" w:rsidRPr="00C8621E" w:rsidRDefault="0020138A" w:rsidP="00295FF8">
            <w:pPr>
              <w:pStyle w:val="TableText1"/>
              <w:rPr>
                <w:i w:val="0"/>
              </w:rPr>
            </w:pPr>
            <w:r w:rsidRPr="00C8621E">
              <w:rPr>
                <w:i w:val="0"/>
              </w:rPr>
              <w:t>Description</w:t>
            </w:r>
          </w:p>
        </w:tc>
      </w:tr>
      <w:tr w:rsidR="0020138A" w:rsidRPr="00C8621E" w:rsidTr="00426F8C">
        <w:trPr>
          <w:cantSplit/>
        </w:trPr>
        <w:tc>
          <w:tcPr>
            <w:tcW w:w="1276" w:type="dxa"/>
            <w:shd w:val="clear" w:color="auto" w:fill="auto"/>
          </w:tcPr>
          <w:p w:rsidR="0020138A" w:rsidRPr="00C8621E" w:rsidRDefault="0020138A" w:rsidP="00295FF8">
            <w:pPr>
              <w:pStyle w:val="TableText1"/>
              <w:rPr>
                <w:i w:val="0"/>
              </w:rPr>
            </w:pPr>
            <w:r w:rsidRPr="00C8621E">
              <w:rPr>
                <w:i w:val="0"/>
              </w:rPr>
              <w:t>Population</w:t>
            </w:r>
          </w:p>
        </w:tc>
        <w:tc>
          <w:tcPr>
            <w:tcW w:w="7796" w:type="dxa"/>
            <w:shd w:val="clear" w:color="auto" w:fill="auto"/>
          </w:tcPr>
          <w:p w:rsidR="0020138A" w:rsidRPr="00C8621E" w:rsidRDefault="0020138A" w:rsidP="00295FF8">
            <w:pPr>
              <w:pStyle w:val="TableText1"/>
              <w:rPr>
                <w:i w:val="0"/>
              </w:rPr>
            </w:pPr>
            <w:r w:rsidRPr="00C8621E">
              <w:rPr>
                <w:i w:val="0"/>
              </w:rPr>
              <w:t>Adult patients with locally advanced or metastatic transitional cell carcinoma of the urothelial tract.</w:t>
            </w:r>
          </w:p>
        </w:tc>
      </w:tr>
      <w:tr w:rsidR="0020138A" w:rsidRPr="00C8621E" w:rsidTr="00426F8C">
        <w:trPr>
          <w:cantSplit/>
        </w:trPr>
        <w:tc>
          <w:tcPr>
            <w:tcW w:w="1276" w:type="dxa"/>
            <w:shd w:val="clear" w:color="auto" w:fill="auto"/>
          </w:tcPr>
          <w:p w:rsidR="0020138A" w:rsidRPr="00C8621E" w:rsidRDefault="0020138A" w:rsidP="00295FF8">
            <w:pPr>
              <w:pStyle w:val="TableText1"/>
              <w:rPr>
                <w:i w:val="0"/>
              </w:rPr>
            </w:pPr>
            <w:r w:rsidRPr="00C8621E">
              <w:rPr>
                <w:i w:val="0"/>
              </w:rPr>
              <w:t>Intervention</w:t>
            </w:r>
          </w:p>
        </w:tc>
        <w:tc>
          <w:tcPr>
            <w:tcW w:w="7796" w:type="dxa"/>
            <w:shd w:val="clear" w:color="auto" w:fill="auto"/>
          </w:tcPr>
          <w:p w:rsidR="0020138A" w:rsidRPr="00C8621E" w:rsidRDefault="0020138A" w:rsidP="00295FF8">
            <w:pPr>
              <w:pStyle w:val="TableText1"/>
              <w:rPr>
                <w:i w:val="0"/>
              </w:rPr>
            </w:pPr>
            <w:r w:rsidRPr="00C8621E">
              <w:rPr>
                <w:i w:val="0"/>
              </w:rPr>
              <w:t>Treatment of adult patients with advanced or metastatic TCCU after failure of a prior platinum-containing regimen. A dose of 320 mg/</w:t>
            </w:r>
            <w:proofErr w:type="gramStart"/>
            <w:r w:rsidRPr="00C8621E">
              <w:rPr>
                <w:i w:val="0"/>
              </w:rPr>
              <w:t>m</w:t>
            </w:r>
            <w:r w:rsidRPr="00C8621E">
              <w:rPr>
                <w:i w:val="0"/>
                <w:vertAlign w:val="superscript"/>
              </w:rPr>
              <w:t>2</w:t>
            </w:r>
            <w:r w:rsidRPr="00C8621E">
              <w:rPr>
                <w:i w:val="0"/>
              </w:rPr>
              <w:t>,</w:t>
            </w:r>
            <w:proofErr w:type="gramEnd"/>
            <w:r w:rsidRPr="00C8621E">
              <w:rPr>
                <w:i w:val="0"/>
              </w:rPr>
              <w:t xml:space="preserve"> is administered via a 20 minute intravenous (IV) infusion, on day 1 of a 21-day cycle.</w:t>
            </w:r>
          </w:p>
        </w:tc>
      </w:tr>
      <w:tr w:rsidR="0020138A" w:rsidRPr="00C8621E" w:rsidTr="00426F8C">
        <w:trPr>
          <w:cantSplit/>
        </w:trPr>
        <w:tc>
          <w:tcPr>
            <w:tcW w:w="1276" w:type="dxa"/>
            <w:shd w:val="clear" w:color="auto" w:fill="auto"/>
          </w:tcPr>
          <w:p w:rsidR="0020138A" w:rsidRPr="00C8621E" w:rsidRDefault="0020138A" w:rsidP="00295FF8">
            <w:pPr>
              <w:pStyle w:val="TableText1"/>
              <w:rPr>
                <w:i w:val="0"/>
              </w:rPr>
            </w:pPr>
            <w:r w:rsidRPr="00C8621E">
              <w:rPr>
                <w:i w:val="0"/>
              </w:rPr>
              <w:t>Comparator</w:t>
            </w:r>
          </w:p>
        </w:tc>
        <w:tc>
          <w:tcPr>
            <w:tcW w:w="7796" w:type="dxa"/>
            <w:shd w:val="clear" w:color="auto" w:fill="auto"/>
          </w:tcPr>
          <w:p w:rsidR="0020138A" w:rsidRPr="00C8621E" w:rsidRDefault="0020138A" w:rsidP="00295FF8">
            <w:pPr>
              <w:pStyle w:val="TableText1"/>
              <w:rPr>
                <w:i w:val="0"/>
              </w:rPr>
            </w:pPr>
            <w:r w:rsidRPr="00C8621E">
              <w:rPr>
                <w:i w:val="0"/>
              </w:rPr>
              <w:t xml:space="preserve">Best </w:t>
            </w:r>
            <w:r w:rsidR="00E77BF6" w:rsidRPr="00C8621E">
              <w:rPr>
                <w:i w:val="0"/>
              </w:rPr>
              <w:t>s</w:t>
            </w:r>
            <w:r w:rsidRPr="00C8621E">
              <w:rPr>
                <w:i w:val="0"/>
              </w:rPr>
              <w:t xml:space="preserve">upportive </w:t>
            </w:r>
            <w:r w:rsidR="00E77BF6" w:rsidRPr="00C8621E">
              <w:rPr>
                <w:i w:val="0"/>
              </w:rPr>
              <w:t>c</w:t>
            </w:r>
            <w:r w:rsidRPr="00C8621E">
              <w:rPr>
                <w:i w:val="0"/>
              </w:rPr>
              <w:t xml:space="preserve">are (BSC). </w:t>
            </w:r>
          </w:p>
        </w:tc>
      </w:tr>
      <w:tr w:rsidR="0020138A" w:rsidRPr="00C8621E" w:rsidTr="00426F8C">
        <w:trPr>
          <w:cantSplit/>
        </w:trPr>
        <w:tc>
          <w:tcPr>
            <w:tcW w:w="1276" w:type="dxa"/>
            <w:shd w:val="clear" w:color="auto" w:fill="auto"/>
          </w:tcPr>
          <w:p w:rsidR="0020138A" w:rsidRPr="00C8621E" w:rsidRDefault="0020138A" w:rsidP="00295FF8">
            <w:pPr>
              <w:pStyle w:val="TableText1"/>
              <w:rPr>
                <w:i w:val="0"/>
              </w:rPr>
            </w:pPr>
            <w:r w:rsidRPr="00C8621E">
              <w:rPr>
                <w:i w:val="0"/>
              </w:rPr>
              <w:t>Outcomes</w:t>
            </w:r>
          </w:p>
        </w:tc>
        <w:tc>
          <w:tcPr>
            <w:tcW w:w="7796" w:type="dxa"/>
            <w:shd w:val="clear" w:color="auto" w:fill="auto"/>
          </w:tcPr>
          <w:p w:rsidR="0020138A" w:rsidRPr="00C8621E" w:rsidRDefault="0020138A" w:rsidP="00295FF8">
            <w:pPr>
              <w:pStyle w:val="TableText1"/>
              <w:rPr>
                <w:i w:val="0"/>
              </w:rPr>
            </w:pPr>
            <w:r w:rsidRPr="00C8621E">
              <w:rPr>
                <w:i w:val="0"/>
              </w:rPr>
              <w:t xml:space="preserve">Progression-free survival, </w:t>
            </w:r>
            <w:r w:rsidR="00E77BF6" w:rsidRPr="00C8621E">
              <w:rPr>
                <w:i w:val="0"/>
              </w:rPr>
              <w:t>o</w:t>
            </w:r>
            <w:r w:rsidRPr="00C8621E">
              <w:rPr>
                <w:i w:val="0"/>
              </w:rPr>
              <w:t xml:space="preserve">verall </w:t>
            </w:r>
            <w:r w:rsidR="00E77BF6" w:rsidRPr="00C8621E">
              <w:rPr>
                <w:i w:val="0"/>
              </w:rPr>
              <w:t>s</w:t>
            </w:r>
            <w:r w:rsidRPr="00C8621E">
              <w:rPr>
                <w:i w:val="0"/>
              </w:rPr>
              <w:t>urvival and tolerability.</w:t>
            </w:r>
          </w:p>
        </w:tc>
      </w:tr>
      <w:tr w:rsidR="0020138A" w:rsidRPr="00C8621E" w:rsidTr="00426F8C">
        <w:trPr>
          <w:cantSplit/>
        </w:trPr>
        <w:tc>
          <w:tcPr>
            <w:tcW w:w="1276" w:type="dxa"/>
            <w:shd w:val="clear" w:color="auto" w:fill="auto"/>
          </w:tcPr>
          <w:p w:rsidR="0020138A" w:rsidRPr="00C8621E" w:rsidRDefault="0020138A" w:rsidP="00295FF8">
            <w:pPr>
              <w:pStyle w:val="TableText1"/>
              <w:rPr>
                <w:i w:val="0"/>
              </w:rPr>
            </w:pPr>
            <w:r w:rsidRPr="00C8621E">
              <w:rPr>
                <w:i w:val="0"/>
              </w:rPr>
              <w:t>Clinical claim</w:t>
            </w:r>
          </w:p>
        </w:tc>
        <w:tc>
          <w:tcPr>
            <w:tcW w:w="7796" w:type="dxa"/>
            <w:shd w:val="clear" w:color="auto" w:fill="auto"/>
          </w:tcPr>
          <w:p w:rsidR="0020138A" w:rsidRPr="00C8621E" w:rsidRDefault="0020138A" w:rsidP="00295FF8">
            <w:pPr>
              <w:pStyle w:val="TableText1"/>
              <w:rPr>
                <w:i w:val="0"/>
              </w:rPr>
            </w:pPr>
            <w:r w:rsidRPr="00C8621E">
              <w:rPr>
                <w:i w:val="0"/>
              </w:rPr>
              <w:t xml:space="preserve">The resubmission described </w:t>
            </w:r>
            <w:proofErr w:type="spellStart"/>
            <w:r w:rsidRPr="00C8621E">
              <w:rPr>
                <w:i w:val="0"/>
              </w:rPr>
              <w:t>vinflunine</w:t>
            </w:r>
            <w:proofErr w:type="spellEnd"/>
            <w:r w:rsidRPr="00C8621E">
              <w:rPr>
                <w:i w:val="0"/>
              </w:rPr>
              <w:t xml:space="preserve"> + BSC as superior in terms of comparative effectiveness and inferior in terms of comparative safety over BSC.</w:t>
            </w:r>
          </w:p>
        </w:tc>
      </w:tr>
    </w:tbl>
    <w:p w:rsidR="0020138A" w:rsidRPr="00C8621E" w:rsidRDefault="0020138A" w:rsidP="004919B2">
      <w:pPr>
        <w:pStyle w:val="TableFooter"/>
        <w:widowControl/>
        <w:rPr>
          <w:rFonts w:asciiTheme="minorHAnsi" w:eastAsiaTheme="majorEastAsia" w:hAnsiTheme="minorHAnsi" w:cstheme="majorBidi"/>
          <w:b/>
          <w:snapToGrid/>
          <w:color w:val="4BACC6" w:themeColor="accent5"/>
          <w:sz w:val="32"/>
          <w:szCs w:val="28"/>
        </w:rPr>
      </w:pPr>
      <w:r w:rsidRPr="00C8621E">
        <w:t xml:space="preserve">Source: Compiled during the evaluation. </w:t>
      </w:r>
    </w:p>
    <w:p w:rsidR="0020138A" w:rsidRPr="00C8621E" w:rsidRDefault="00035233" w:rsidP="004919B2">
      <w:pPr>
        <w:pStyle w:val="Heading1"/>
        <w:keepNext/>
        <w:keepLines/>
        <w:widowControl/>
        <w:numPr>
          <w:ilvl w:val="0"/>
          <w:numId w:val="32"/>
        </w:numPr>
        <w:spacing w:before="400" w:after="120"/>
        <w:ind w:left="709" w:hanging="709"/>
        <w:jc w:val="left"/>
        <w:rPr>
          <w:rFonts w:asciiTheme="minorHAnsi" w:hAnsiTheme="minorHAnsi" w:cstheme="minorHAnsi"/>
          <w:sz w:val="32"/>
        </w:rPr>
      </w:pPr>
      <w:bookmarkStart w:id="8" w:name="_Toc413139272"/>
      <w:bookmarkStart w:id="9" w:name="_Toc476306882"/>
      <w:bookmarkStart w:id="10" w:name="_Toc482713160"/>
      <w:r w:rsidRPr="00C8621E">
        <w:rPr>
          <w:rFonts w:asciiTheme="minorHAnsi" w:hAnsiTheme="minorHAnsi" w:cstheme="minorHAnsi"/>
          <w:caps w:val="0"/>
          <w:sz w:val="32"/>
        </w:rPr>
        <w:lastRenderedPageBreak/>
        <w:t>Requested listing</w:t>
      </w:r>
      <w:bookmarkEnd w:id="8"/>
      <w:bookmarkEnd w:id="9"/>
      <w:bookmarkEnd w:id="10"/>
    </w:p>
    <w:p w:rsidR="0020138A" w:rsidRPr="00C8621E" w:rsidRDefault="0020138A" w:rsidP="004919B2">
      <w:pPr>
        <w:pStyle w:val="ListParagraph"/>
        <w:keepNext/>
        <w:widowControl/>
        <w:numPr>
          <w:ilvl w:val="0"/>
          <w:numId w:val="9"/>
        </w:numPr>
        <w:spacing w:before="200" w:after="120"/>
        <w:contextualSpacing w:val="0"/>
        <w:jc w:val="left"/>
        <w:rPr>
          <w:b/>
          <w:vanish/>
        </w:rPr>
      </w:pPr>
    </w:p>
    <w:tbl>
      <w:tblPr>
        <w:tblW w:w="9152" w:type="dxa"/>
        <w:tblInd w:w="28" w:type="dxa"/>
        <w:tblCellMar>
          <w:left w:w="28" w:type="dxa"/>
          <w:right w:w="28" w:type="dxa"/>
        </w:tblCellMar>
        <w:tblLook w:val="0000" w:firstRow="0" w:lastRow="0" w:firstColumn="0" w:lastColumn="0" w:noHBand="0" w:noVBand="0"/>
      </w:tblPr>
      <w:tblGrid>
        <w:gridCol w:w="1701"/>
        <w:gridCol w:w="1134"/>
        <w:gridCol w:w="993"/>
        <w:gridCol w:w="1145"/>
        <w:gridCol w:w="1264"/>
        <w:gridCol w:w="851"/>
        <w:gridCol w:w="2064"/>
      </w:tblGrid>
      <w:tr w:rsidR="00303397" w:rsidRPr="000E1DE3" w:rsidTr="00D80C26">
        <w:trPr>
          <w:cantSplit/>
          <w:trHeight w:val="412"/>
        </w:trPr>
        <w:tc>
          <w:tcPr>
            <w:tcW w:w="1701" w:type="dxa"/>
            <w:vMerge w:val="restart"/>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Name, Restriction,</w:t>
            </w:r>
          </w:p>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Manner of administration and form</w:t>
            </w:r>
          </w:p>
        </w:tc>
        <w:tc>
          <w:tcPr>
            <w:tcW w:w="1134" w:type="dxa"/>
            <w:vMerge w:val="restart"/>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Max.</w:t>
            </w:r>
          </w:p>
          <w:p w:rsidR="00303397" w:rsidRPr="000E1DE3" w:rsidRDefault="00303397" w:rsidP="00295FF8">
            <w:pPr>
              <w:pStyle w:val="TableText1"/>
              <w:rPr>
                <w:rFonts w:ascii="Arial Narrow" w:hAnsi="Arial Narrow"/>
                <w:i w:val="0"/>
                <w:sz w:val="20"/>
              </w:rPr>
            </w:pPr>
            <w:proofErr w:type="spellStart"/>
            <w:r w:rsidRPr="000E1DE3">
              <w:rPr>
                <w:rFonts w:ascii="Arial Narrow" w:hAnsi="Arial Narrow"/>
                <w:i w:val="0"/>
                <w:sz w:val="20"/>
              </w:rPr>
              <w:t>Amt</w:t>
            </w:r>
            <w:proofErr w:type="spellEnd"/>
          </w:p>
        </w:tc>
        <w:tc>
          <w:tcPr>
            <w:tcW w:w="993" w:type="dxa"/>
            <w:vMerge w:val="restart"/>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№.of</w:t>
            </w:r>
          </w:p>
          <w:p w:rsidR="00303397" w:rsidRPr="000E1DE3" w:rsidRDefault="00303397" w:rsidP="00295FF8">
            <w:pPr>
              <w:pStyle w:val="TableText1"/>
              <w:rPr>
                <w:rFonts w:ascii="Arial Narrow" w:hAnsi="Arial Narrow"/>
                <w:i w:val="0"/>
                <w:sz w:val="20"/>
              </w:rPr>
            </w:pPr>
            <w:proofErr w:type="spellStart"/>
            <w:r w:rsidRPr="000E1DE3">
              <w:rPr>
                <w:rFonts w:ascii="Arial Narrow" w:hAnsi="Arial Narrow"/>
                <w:i w:val="0"/>
                <w:sz w:val="20"/>
              </w:rPr>
              <w:t>Rpts</w:t>
            </w:r>
            <w:proofErr w:type="spellEnd"/>
          </w:p>
        </w:tc>
        <w:tc>
          <w:tcPr>
            <w:tcW w:w="2409" w:type="dxa"/>
            <w:gridSpan w:val="2"/>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 xml:space="preserve">Dispensed Price for Max. </w:t>
            </w:r>
            <w:proofErr w:type="spellStart"/>
            <w:r w:rsidRPr="000E1DE3">
              <w:rPr>
                <w:rFonts w:ascii="Arial Narrow" w:hAnsi="Arial Narrow"/>
                <w:i w:val="0"/>
                <w:sz w:val="20"/>
              </w:rPr>
              <w:t>Amt</w:t>
            </w:r>
            <w:proofErr w:type="spellEnd"/>
          </w:p>
        </w:tc>
        <w:tc>
          <w:tcPr>
            <w:tcW w:w="2915" w:type="dxa"/>
            <w:gridSpan w:val="2"/>
            <w:vMerge w:val="restart"/>
            <w:vAlign w:val="center"/>
          </w:tcPr>
          <w:p w:rsidR="00303397" w:rsidRPr="000E1DE3" w:rsidRDefault="00303397" w:rsidP="00295FF8">
            <w:pPr>
              <w:pStyle w:val="TableText1"/>
              <w:rPr>
                <w:rFonts w:ascii="Arial Narrow" w:hAnsi="Arial Narrow"/>
                <w:i w:val="0"/>
                <w:sz w:val="20"/>
                <w:lang w:val="fr-FR"/>
              </w:rPr>
            </w:pPr>
            <w:r w:rsidRPr="000E1DE3">
              <w:rPr>
                <w:rFonts w:ascii="Arial Narrow" w:hAnsi="Arial Narrow"/>
                <w:i w:val="0"/>
                <w:sz w:val="20"/>
              </w:rPr>
              <w:t>Proprietary Name and Manufacturer</w:t>
            </w:r>
          </w:p>
        </w:tc>
      </w:tr>
      <w:tr w:rsidR="00303397" w:rsidRPr="000E1DE3" w:rsidTr="00D80C26">
        <w:trPr>
          <w:cantSplit/>
          <w:trHeight w:val="463"/>
        </w:trPr>
        <w:tc>
          <w:tcPr>
            <w:tcW w:w="1701" w:type="dxa"/>
            <w:vMerge/>
            <w:tcBorders>
              <w:bottom w:val="single" w:sz="4" w:space="0" w:color="auto"/>
            </w:tcBorders>
            <w:vAlign w:val="center"/>
          </w:tcPr>
          <w:p w:rsidR="00303397" w:rsidRPr="000E1DE3" w:rsidRDefault="00303397" w:rsidP="00295FF8">
            <w:pPr>
              <w:pStyle w:val="TableText1"/>
              <w:rPr>
                <w:rFonts w:ascii="Arial Narrow" w:hAnsi="Arial Narrow"/>
                <w:i w:val="0"/>
                <w:sz w:val="20"/>
              </w:rPr>
            </w:pPr>
          </w:p>
        </w:tc>
        <w:tc>
          <w:tcPr>
            <w:tcW w:w="1134" w:type="dxa"/>
            <w:vMerge/>
            <w:tcBorders>
              <w:bottom w:val="single" w:sz="4" w:space="0" w:color="auto"/>
            </w:tcBorders>
            <w:vAlign w:val="center"/>
          </w:tcPr>
          <w:p w:rsidR="00303397" w:rsidRPr="000E1DE3" w:rsidRDefault="00303397" w:rsidP="00295FF8">
            <w:pPr>
              <w:pStyle w:val="TableText1"/>
              <w:rPr>
                <w:rFonts w:ascii="Arial Narrow" w:hAnsi="Arial Narrow"/>
                <w:i w:val="0"/>
                <w:sz w:val="20"/>
              </w:rPr>
            </w:pPr>
          </w:p>
        </w:tc>
        <w:tc>
          <w:tcPr>
            <w:tcW w:w="993" w:type="dxa"/>
            <w:vMerge/>
            <w:tcBorders>
              <w:bottom w:val="single" w:sz="4" w:space="0" w:color="auto"/>
            </w:tcBorders>
            <w:vAlign w:val="center"/>
          </w:tcPr>
          <w:p w:rsidR="00303397" w:rsidRPr="000E1DE3" w:rsidRDefault="00303397" w:rsidP="00295FF8">
            <w:pPr>
              <w:pStyle w:val="TableText1"/>
              <w:rPr>
                <w:rFonts w:ascii="Arial Narrow" w:hAnsi="Arial Narrow"/>
                <w:i w:val="0"/>
                <w:sz w:val="20"/>
              </w:rPr>
            </w:pPr>
          </w:p>
        </w:tc>
        <w:tc>
          <w:tcPr>
            <w:tcW w:w="1145" w:type="dxa"/>
            <w:tcBorders>
              <w:bottom w:val="single" w:sz="4" w:space="0" w:color="auto"/>
            </w:tcBorders>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Published</w:t>
            </w:r>
          </w:p>
        </w:tc>
        <w:tc>
          <w:tcPr>
            <w:tcW w:w="1264" w:type="dxa"/>
            <w:tcBorders>
              <w:bottom w:val="single" w:sz="4" w:space="0" w:color="auto"/>
            </w:tcBorders>
            <w:vAlign w:val="center"/>
          </w:tcPr>
          <w:p w:rsidR="00303397" w:rsidRPr="000E1DE3" w:rsidRDefault="00303397" w:rsidP="00295FF8">
            <w:pPr>
              <w:pStyle w:val="TableText1"/>
              <w:rPr>
                <w:rFonts w:ascii="Arial Narrow" w:hAnsi="Arial Narrow"/>
                <w:i w:val="0"/>
                <w:sz w:val="20"/>
              </w:rPr>
            </w:pPr>
            <w:r w:rsidRPr="000E1DE3">
              <w:rPr>
                <w:rFonts w:ascii="Arial Narrow" w:hAnsi="Arial Narrow"/>
                <w:i w:val="0"/>
                <w:sz w:val="20"/>
              </w:rPr>
              <w:t>Effective</w:t>
            </w:r>
          </w:p>
        </w:tc>
        <w:tc>
          <w:tcPr>
            <w:tcW w:w="2915" w:type="dxa"/>
            <w:gridSpan w:val="2"/>
            <w:vMerge/>
            <w:tcBorders>
              <w:bottom w:val="single" w:sz="4" w:space="0" w:color="auto"/>
            </w:tcBorders>
            <w:vAlign w:val="center"/>
          </w:tcPr>
          <w:p w:rsidR="00303397" w:rsidRPr="000E1DE3" w:rsidRDefault="00303397" w:rsidP="00295FF8">
            <w:pPr>
              <w:pStyle w:val="TableText1"/>
              <w:rPr>
                <w:rFonts w:ascii="Arial Narrow" w:hAnsi="Arial Narrow"/>
                <w:i w:val="0"/>
                <w:sz w:val="20"/>
              </w:rPr>
            </w:pPr>
          </w:p>
        </w:tc>
      </w:tr>
      <w:tr w:rsidR="0020138A" w:rsidRPr="000E1DE3" w:rsidTr="00D80C26">
        <w:trPr>
          <w:cantSplit/>
          <w:trHeight w:val="567"/>
        </w:trPr>
        <w:tc>
          <w:tcPr>
            <w:tcW w:w="1701" w:type="dxa"/>
            <w:vAlign w:val="center"/>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VINFLUNINE DITARTRATE</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Intravenous solution</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50 mg / 2 mL</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250 mg / 10 mL</w:t>
            </w:r>
          </w:p>
        </w:tc>
        <w:tc>
          <w:tcPr>
            <w:tcW w:w="1134" w:type="dxa"/>
            <w:vAlign w:val="center"/>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700 mg</w:t>
            </w:r>
          </w:p>
        </w:tc>
        <w:tc>
          <w:tcPr>
            <w:tcW w:w="993" w:type="dxa"/>
            <w:vAlign w:val="center"/>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4</w:t>
            </w:r>
          </w:p>
        </w:tc>
        <w:tc>
          <w:tcPr>
            <w:tcW w:w="1145" w:type="dxa"/>
            <w:vAlign w:val="center"/>
          </w:tcPr>
          <w:p w:rsidR="0020138A" w:rsidRPr="000E1DE3" w:rsidRDefault="0020138A" w:rsidP="00295FF8">
            <w:pPr>
              <w:pStyle w:val="TableText1"/>
              <w:rPr>
                <w:rFonts w:ascii="Arial Narrow" w:hAnsi="Arial Narrow"/>
                <w:i w:val="0"/>
                <w:sz w:val="20"/>
              </w:rPr>
            </w:pP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w:t>
            </w:r>
            <w:r w:rsidR="0097770C">
              <w:rPr>
                <w:rFonts w:ascii="Arial Narrow" w:hAnsi="Arial Narrow"/>
                <w:i w:val="0"/>
                <w:noProof/>
                <w:color w:val="000000"/>
                <w:sz w:val="20"/>
                <w:highlight w:val="black"/>
              </w:rPr>
              <w:t>''''''''''''''''</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w:t>
            </w:r>
            <w:r w:rsidR="0097770C">
              <w:rPr>
                <w:rFonts w:ascii="Arial Narrow" w:hAnsi="Arial Narrow"/>
                <w:i w:val="0"/>
                <w:noProof/>
                <w:color w:val="000000"/>
                <w:sz w:val="20"/>
                <w:highlight w:val="black"/>
              </w:rPr>
              <w:t>'''''''''''''''''''</w:t>
            </w:r>
          </w:p>
        </w:tc>
        <w:tc>
          <w:tcPr>
            <w:tcW w:w="1264" w:type="dxa"/>
            <w:vAlign w:val="center"/>
          </w:tcPr>
          <w:p w:rsidR="0020138A" w:rsidRPr="000E1DE3" w:rsidRDefault="0020138A" w:rsidP="00295FF8">
            <w:pPr>
              <w:pStyle w:val="TableText1"/>
              <w:rPr>
                <w:rFonts w:ascii="Arial Narrow" w:hAnsi="Arial Narrow"/>
                <w:i w:val="0"/>
                <w:sz w:val="20"/>
              </w:rPr>
            </w:pP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w:t>
            </w:r>
            <w:r w:rsidR="0097770C">
              <w:rPr>
                <w:rFonts w:ascii="Arial Narrow" w:hAnsi="Arial Narrow"/>
                <w:i w:val="0"/>
                <w:noProof/>
                <w:color w:val="000000"/>
                <w:sz w:val="20"/>
                <w:highlight w:val="black"/>
              </w:rPr>
              <w:t>'''''''''</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w:t>
            </w:r>
            <w:r w:rsidR="0097770C">
              <w:rPr>
                <w:rFonts w:ascii="Arial Narrow" w:hAnsi="Arial Narrow"/>
                <w:i w:val="0"/>
                <w:noProof/>
                <w:color w:val="000000"/>
                <w:sz w:val="20"/>
                <w:highlight w:val="black"/>
              </w:rPr>
              <w:t>''''''''</w:t>
            </w:r>
          </w:p>
        </w:tc>
        <w:tc>
          <w:tcPr>
            <w:tcW w:w="851" w:type="dxa"/>
            <w:vAlign w:val="center"/>
          </w:tcPr>
          <w:p w:rsidR="0020138A" w:rsidRPr="000E1DE3" w:rsidRDefault="0020138A" w:rsidP="00295FF8">
            <w:pPr>
              <w:pStyle w:val="TableText1"/>
              <w:rPr>
                <w:rFonts w:ascii="Arial Narrow" w:hAnsi="Arial Narrow"/>
                <w:i w:val="0"/>
                <w:sz w:val="20"/>
              </w:rPr>
            </w:pPr>
            <w:proofErr w:type="spellStart"/>
            <w:r w:rsidRPr="000E1DE3">
              <w:rPr>
                <w:rFonts w:ascii="Arial Narrow" w:hAnsi="Arial Narrow"/>
                <w:i w:val="0"/>
                <w:sz w:val="20"/>
              </w:rPr>
              <w:t>Javlor</w:t>
            </w:r>
            <w:proofErr w:type="spellEnd"/>
          </w:p>
        </w:tc>
        <w:tc>
          <w:tcPr>
            <w:tcW w:w="2064" w:type="dxa"/>
            <w:vAlign w:val="center"/>
          </w:tcPr>
          <w:p w:rsidR="0020138A" w:rsidRPr="000E1DE3" w:rsidRDefault="0020138A" w:rsidP="00295FF8">
            <w:pPr>
              <w:pStyle w:val="TableText1"/>
              <w:rPr>
                <w:rFonts w:ascii="Arial Narrow" w:hAnsi="Arial Narrow"/>
                <w:i w:val="0"/>
                <w:sz w:val="20"/>
              </w:rPr>
            </w:pP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Pierre Fabre Medicament Australia</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Category / Program:</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Chemotherapy (Public/Private)</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lang w:val="en-US"/>
              </w:rPr>
            </w:pPr>
            <w:r w:rsidRPr="000E1DE3">
              <w:rPr>
                <w:rFonts w:ascii="Arial Narrow" w:hAnsi="Arial Narrow"/>
                <w:i w:val="0"/>
                <w:sz w:val="20"/>
              </w:rPr>
              <w:t>PBS Indication:</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Locally advanced or metastatic transitional cell carcinoma of the urothelial tract in an adult patient.</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Treatment phase:</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Patient must have failed a platinum-containing regimen for this condition</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AND</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Patient must not have received neoadjuvant or adjuvant chemotherapy</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Restriction:</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STREAMLINED</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lang w:val="en-US"/>
              </w:rPr>
            </w:pPr>
            <w:r w:rsidRPr="000E1DE3">
              <w:rPr>
                <w:rFonts w:ascii="Arial Narrow" w:hAnsi="Arial Narrow"/>
                <w:i w:val="0"/>
                <w:sz w:val="20"/>
              </w:rPr>
              <w:t>Treatment criteria:</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Treatment must be discontinued in patients who experience disease progression while on treatment</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lang w:val="en-US"/>
              </w:rPr>
            </w:pPr>
            <w:r w:rsidRPr="000E1DE3">
              <w:rPr>
                <w:rFonts w:ascii="Arial Narrow" w:hAnsi="Arial Narrow"/>
                <w:i w:val="0"/>
                <w:sz w:val="20"/>
              </w:rPr>
              <w:t>Clinical criteria:</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Patient must have a World Health Organisation (WHO) Eastern Cooperative Oncology Group (ECOG) performance status score of 1 or less.</w:t>
            </w:r>
          </w:p>
        </w:tc>
      </w:tr>
      <w:tr w:rsidR="0020138A" w:rsidRPr="000E1DE3" w:rsidTr="00D80C26">
        <w:tblPrEx>
          <w:tblCellMar>
            <w:left w:w="108" w:type="dxa"/>
            <w:right w:w="108" w:type="dxa"/>
          </w:tblCellMar>
        </w:tblPrEx>
        <w:trPr>
          <w:cantSplit/>
          <w:trHeight w:val="360"/>
        </w:trPr>
        <w:tc>
          <w:tcPr>
            <w:tcW w:w="1701" w:type="dxa"/>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lang w:val="en-US"/>
              </w:rPr>
            </w:pPr>
            <w:r w:rsidRPr="000E1DE3">
              <w:rPr>
                <w:rFonts w:ascii="Arial Narrow" w:hAnsi="Arial Narrow"/>
                <w:i w:val="0"/>
                <w:sz w:val="20"/>
              </w:rPr>
              <w:t>Prescriber Instructions</w:t>
            </w:r>
          </w:p>
        </w:tc>
        <w:tc>
          <w:tcPr>
            <w:tcW w:w="7451" w:type="dxa"/>
            <w:gridSpan w:val="6"/>
            <w:tcBorders>
              <w:top w:val="single" w:sz="4" w:space="0" w:color="auto"/>
              <w:left w:val="single" w:sz="4" w:space="0" w:color="auto"/>
              <w:bottom w:val="single" w:sz="4" w:space="0" w:color="auto"/>
              <w:right w:val="single" w:sz="4" w:space="0" w:color="auto"/>
            </w:tcBorders>
          </w:tcPr>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Note</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No increase in the maximum number of repeats may be authorised.</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Note</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No increase in the maximum quantity or number of units may be authorised.</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Note</w:t>
            </w:r>
          </w:p>
          <w:p w:rsidR="0020138A" w:rsidRPr="000E1DE3" w:rsidRDefault="0020138A" w:rsidP="00295FF8">
            <w:pPr>
              <w:pStyle w:val="TableText1"/>
              <w:rPr>
                <w:rFonts w:ascii="Arial Narrow" w:hAnsi="Arial Narrow"/>
                <w:i w:val="0"/>
                <w:sz w:val="20"/>
              </w:rPr>
            </w:pPr>
            <w:r w:rsidRPr="000E1DE3">
              <w:rPr>
                <w:rFonts w:ascii="Arial Narrow" w:hAnsi="Arial Narrow"/>
                <w:i w:val="0"/>
                <w:sz w:val="20"/>
              </w:rPr>
              <w:t>Special Pricing Arrangements apply.</w:t>
            </w:r>
          </w:p>
        </w:tc>
      </w:tr>
    </w:tbl>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resubmission presented a cost-effectiveness analysis and a cost-utility analysis compared with </w:t>
      </w:r>
      <w:r w:rsidR="00FF36E7" w:rsidRPr="00C8621E">
        <w:rPr>
          <w:rFonts w:cstheme="minorHAnsi"/>
        </w:rPr>
        <w:t>best supportive care (</w:t>
      </w:r>
      <w:r w:rsidRPr="00C8621E">
        <w:rPr>
          <w:rFonts w:cstheme="minorHAnsi"/>
        </w:rPr>
        <w:t>BSC</w:t>
      </w:r>
      <w:r w:rsidR="00FF36E7" w:rsidRPr="00C8621E">
        <w:rPr>
          <w:rFonts w:cstheme="minorHAnsi"/>
        </w:rPr>
        <w:t>)</w:t>
      </w:r>
      <w:r w:rsidRPr="00C8621E">
        <w:rPr>
          <w:rFonts w:cstheme="minorHAnsi"/>
        </w:rPr>
        <w:t xml:space="preserve">. </w:t>
      </w:r>
    </w:p>
    <w:p w:rsidR="0022280B" w:rsidRPr="00C8621E" w:rsidRDefault="0020138A" w:rsidP="0022280B">
      <w:pPr>
        <w:pStyle w:val="ListParagraph"/>
        <w:widowControl/>
        <w:numPr>
          <w:ilvl w:val="1"/>
          <w:numId w:val="9"/>
        </w:numPr>
        <w:spacing w:before="120" w:after="160"/>
        <w:contextualSpacing w:val="0"/>
        <w:rPr>
          <w:rFonts w:cstheme="minorHAnsi"/>
        </w:rPr>
      </w:pPr>
      <w:r w:rsidRPr="00C8621E">
        <w:rPr>
          <w:rFonts w:cstheme="minorHAnsi"/>
        </w:rPr>
        <w:t xml:space="preserve">The resubmission updated the first clinical criterion to more closely align with the TGA indication for </w:t>
      </w:r>
      <w:proofErr w:type="spellStart"/>
      <w:r w:rsidRPr="00C8621E">
        <w:rPr>
          <w:rFonts w:cstheme="minorHAnsi"/>
        </w:rPr>
        <w:t>vinflunine</w:t>
      </w:r>
      <w:proofErr w:type="spellEnd"/>
      <w:r w:rsidRPr="00C8621E">
        <w:rPr>
          <w:rFonts w:cstheme="minorHAnsi"/>
        </w:rPr>
        <w:t xml:space="preserve">. It was changed from ‘Patients must have disease progression following treatment with a platinum-containing regimen for advanced or metastatic disease’ to ‘Patient must have failed a platinum-containing regimen for this condition’. The resubmission also added the clinical criterion ‘Treatment must be discontinued in patients who experience disease progression while on treatment’. </w:t>
      </w:r>
    </w:p>
    <w:p w:rsidR="0020138A" w:rsidRPr="00C8621E" w:rsidRDefault="0020138A" w:rsidP="0022280B">
      <w:pPr>
        <w:pStyle w:val="ListParagraph"/>
        <w:widowControl/>
        <w:numPr>
          <w:ilvl w:val="1"/>
          <w:numId w:val="9"/>
        </w:numPr>
        <w:spacing w:before="120" w:after="160"/>
        <w:contextualSpacing w:val="0"/>
        <w:rPr>
          <w:rFonts w:cstheme="minorHAnsi"/>
        </w:rPr>
      </w:pPr>
      <w:r w:rsidRPr="00C8621E">
        <w:rPr>
          <w:rFonts w:cstheme="minorHAnsi"/>
        </w:rPr>
        <w:t xml:space="preserve">The restriction ‘Patient must not have received neoadjuvant or adjuvant chemotherapy’ remains unchanged in the current restriction. </w:t>
      </w:r>
      <w:r w:rsidR="00E77BF6" w:rsidRPr="00C8621E">
        <w:rPr>
          <w:rFonts w:cstheme="minorHAnsi"/>
        </w:rPr>
        <w:t xml:space="preserve">The </w:t>
      </w:r>
      <w:r w:rsidRPr="00C8621E">
        <w:rPr>
          <w:rFonts w:cstheme="minorHAnsi"/>
        </w:rPr>
        <w:t>PBAC noted in</w:t>
      </w:r>
      <w:r w:rsidR="00E77BF6" w:rsidRPr="00C8621E">
        <w:rPr>
          <w:rFonts w:cstheme="minorHAnsi"/>
        </w:rPr>
        <w:t xml:space="preserve"> November</w:t>
      </w:r>
      <w:r w:rsidRPr="00C8621E">
        <w:rPr>
          <w:rFonts w:cstheme="minorHAnsi"/>
        </w:rPr>
        <w:t xml:space="preserve"> 2015 that a large number of patients who may benefit from </w:t>
      </w:r>
      <w:proofErr w:type="spellStart"/>
      <w:r w:rsidRPr="00C8621E">
        <w:rPr>
          <w:rFonts w:cstheme="minorHAnsi"/>
        </w:rPr>
        <w:t>vinflunine</w:t>
      </w:r>
      <w:proofErr w:type="spellEnd"/>
      <w:r w:rsidRPr="00C8621E">
        <w:rPr>
          <w:rFonts w:cstheme="minorHAnsi"/>
        </w:rPr>
        <w:t xml:space="preserve"> will be excluded due to this restriction. </w:t>
      </w:r>
      <w:r w:rsidR="0022280B" w:rsidRPr="00C8621E">
        <w:rPr>
          <w:rFonts w:cstheme="minorHAnsi"/>
        </w:rPr>
        <w:t xml:space="preserve">The PSCR (p2) argued that this criterion is consistent with the Study 302 recruitment criteria, which excluded patients who had received adjuvant or neoadjuvant chemotherapy from enrolment. </w:t>
      </w:r>
    </w:p>
    <w:p w:rsidR="0020138A" w:rsidRPr="00C8621E" w:rsidRDefault="0020138A" w:rsidP="004919B2">
      <w:pPr>
        <w:pStyle w:val="ListParagraph"/>
        <w:widowControl/>
        <w:numPr>
          <w:ilvl w:val="1"/>
          <w:numId w:val="9"/>
        </w:numPr>
        <w:spacing w:before="120" w:after="160"/>
        <w:contextualSpacing w:val="0"/>
      </w:pPr>
      <w:r w:rsidRPr="00C8621E">
        <w:rPr>
          <w:rFonts w:cstheme="minorHAnsi"/>
        </w:rPr>
        <w:t>The PBAC</w:t>
      </w:r>
      <w:r w:rsidR="00E77BF6" w:rsidRPr="00C8621E">
        <w:rPr>
          <w:rFonts w:cstheme="minorHAnsi"/>
        </w:rPr>
        <w:t xml:space="preserve"> </w:t>
      </w:r>
      <w:r w:rsidRPr="00C8621E">
        <w:rPr>
          <w:rFonts w:cstheme="minorHAnsi"/>
        </w:rPr>
        <w:t xml:space="preserve">previously considered that realising the possible beneficial effects of </w:t>
      </w:r>
      <w:proofErr w:type="spellStart"/>
      <w:r w:rsidRPr="00C8621E">
        <w:rPr>
          <w:rFonts w:cstheme="minorHAnsi"/>
        </w:rPr>
        <w:t>vinflunine</w:t>
      </w:r>
      <w:proofErr w:type="spellEnd"/>
      <w:r w:rsidRPr="00C8621E">
        <w:rPr>
          <w:rFonts w:cstheme="minorHAnsi"/>
        </w:rPr>
        <w:t xml:space="preserve"> in clinical practice may be challenging because patient’s age (likely to be older in clinical practice), any previous radiotherapy, and impaired performance </w:t>
      </w:r>
      <w:r w:rsidRPr="00C8621E">
        <w:rPr>
          <w:rFonts w:cstheme="minorHAnsi"/>
        </w:rPr>
        <w:lastRenderedPageBreak/>
        <w:t>status may adversely affect ability to adhere to the dose escalation protocols (PSD, November 2015, paragraph 7.5).</w:t>
      </w:r>
    </w:p>
    <w:p w:rsidR="0020138A" w:rsidRPr="00C8621E" w:rsidRDefault="00035233" w:rsidP="004919B2">
      <w:pPr>
        <w:pStyle w:val="Heading1"/>
        <w:keepNext/>
        <w:keepLines/>
        <w:widowControl/>
        <w:numPr>
          <w:ilvl w:val="0"/>
          <w:numId w:val="32"/>
        </w:numPr>
        <w:spacing w:before="400" w:after="120"/>
        <w:ind w:left="709" w:hanging="709"/>
        <w:jc w:val="left"/>
        <w:rPr>
          <w:rFonts w:asciiTheme="minorHAnsi" w:hAnsiTheme="minorHAnsi" w:cstheme="minorHAnsi"/>
          <w:sz w:val="32"/>
        </w:rPr>
      </w:pPr>
      <w:bookmarkStart w:id="11" w:name="_Toc413139273"/>
      <w:bookmarkStart w:id="12" w:name="_Toc476306883"/>
      <w:bookmarkStart w:id="13" w:name="_Toc482713161"/>
      <w:r w:rsidRPr="00C8621E">
        <w:rPr>
          <w:rFonts w:asciiTheme="minorHAnsi" w:hAnsiTheme="minorHAnsi" w:cstheme="minorHAnsi"/>
          <w:caps w:val="0"/>
          <w:sz w:val="32"/>
        </w:rPr>
        <w:t>Background</w:t>
      </w:r>
      <w:bookmarkEnd w:id="11"/>
      <w:bookmarkEnd w:id="12"/>
      <w:bookmarkEnd w:id="13"/>
    </w:p>
    <w:p w:rsidR="0020138A" w:rsidRPr="00C8621E" w:rsidRDefault="0020138A" w:rsidP="004919B2">
      <w:pPr>
        <w:pStyle w:val="ListParagraph"/>
        <w:widowControl/>
        <w:numPr>
          <w:ilvl w:val="0"/>
          <w:numId w:val="9"/>
        </w:numPr>
        <w:spacing w:before="200" w:after="120"/>
        <w:contextualSpacing w:val="0"/>
        <w:jc w:val="left"/>
        <w:rPr>
          <w:b/>
          <w:vanish/>
        </w:rPr>
      </w:pPr>
    </w:p>
    <w:p w:rsidR="0020138A" w:rsidRPr="00C8621E" w:rsidRDefault="00426F8C" w:rsidP="004919B2">
      <w:pPr>
        <w:pStyle w:val="ListParagraph"/>
        <w:widowControl/>
        <w:numPr>
          <w:ilvl w:val="1"/>
          <w:numId w:val="9"/>
        </w:numPr>
        <w:spacing w:after="120"/>
        <w:contextualSpacing w:val="0"/>
        <w:rPr>
          <w:rFonts w:cstheme="minorHAnsi"/>
        </w:rPr>
      </w:pPr>
      <w:r w:rsidRPr="00C8621E">
        <w:rPr>
          <w:rFonts w:cstheme="minorHAnsi"/>
        </w:rPr>
        <w:t xml:space="preserve">TGA status: </w:t>
      </w:r>
      <w:proofErr w:type="spellStart"/>
      <w:r w:rsidR="00F25DE2" w:rsidRPr="00C8621E">
        <w:rPr>
          <w:rFonts w:cstheme="minorHAnsi"/>
        </w:rPr>
        <w:t>v</w:t>
      </w:r>
      <w:r w:rsidR="0020138A" w:rsidRPr="00C8621E">
        <w:rPr>
          <w:rFonts w:cstheme="minorHAnsi"/>
        </w:rPr>
        <w:t>influnine</w:t>
      </w:r>
      <w:proofErr w:type="spellEnd"/>
      <w:r w:rsidR="0020138A" w:rsidRPr="00C8621E">
        <w:rPr>
          <w:rFonts w:cstheme="minorHAnsi"/>
        </w:rPr>
        <w:t xml:space="preserve"> was TGA registered on 22 February 2011 for the treatment of adult patients with advanced or metastatic TCCU af</w:t>
      </w:r>
      <w:r w:rsidRPr="00C8621E">
        <w:rPr>
          <w:rFonts w:cstheme="minorHAnsi"/>
        </w:rPr>
        <w:t>ter failure of a prior platinum</w:t>
      </w:r>
      <w:r w:rsidRPr="00C8621E">
        <w:rPr>
          <w:rFonts w:cstheme="minorHAnsi"/>
        </w:rPr>
        <w:noBreakHyphen/>
      </w:r>
      <w:r w:rsidR="0020138A" w:rsidRPr="00C8621E">
        <w:rPr>
          <w:rFonts w:cstheme="minorHAnsi"/>
        </w:rPr>
        <w:t>containing regimen.</w:t>
      </w:r>
    </w:p>
    <w:p w:rsidR="0020138A" w:rsidRPr="00C8621E" w:rsidRDefault="0020138A" w:rsidP="004919B2">
      <w:pPr>
        <w:pStyle w:val="ListParagraph"/>
        <w:widowControl/>
        <w:numPr>
          <w:ilvl w:val="1"/>
          <w:numId w:val="9"/>
        </w:numPr>
        <w:spacing w:before="120" w:after="160"/>
        <w:contextualSpacing w:val="0"/>
        <w:rPr>
          <w:rFonts w:cstheme="minorHAnsi"/>
        </w:rPr>
      </w:pPr>
      <w:proofErr w:type="spellStart"/>
      <w:r w:rsidRPr="00C8621E">
        <w:rPr>
          <w:rFonts w:cstheme="minorHAnsi"/>
        </w:rPr>
        <w:t>Vinflunine</w:t>
      </w:r>
      <w:proofErr w:type="spellEnd"/>
      <w:r w:rsidRPr="00C8621E">
        <w:rPr>
          <w:rFonts w:cstheme="minorHAnsi"/>
        </w:rPr>
        <w:t xml:space="preserve"> was previously considered by PBAC in November 2011 and November 2015. </w:t>
      </w:r>
    </w:p>
    <w:p w:rsidR="0085585D" w:rsidRDefault="0085585D" w:rsidP="0085585D">
      <w:pPr>
        <w:pStyle w:val="Caption"/>
      </w:pPr>
      <w:r>
        <w:t xml:space="preserve">Table </w:t>
      </w:r>
      <w:r>
        <w:rPr>
          <w:noProof/>
        </w:rPr>
        <w:t>2</w:t>
      </w:r>
      <w:r w:rsidRPr="005C421E">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90"/>
        <w:gridCol w:w="4093"/>
      </w:tblGrid>
      <w:tr w:rsidR="0020138A" w:rsidRPr="00C8621E" w:rsidTr="00022C2D">
        <w:trPr>
          <w:trHeight w:val="240"/>
          <w:tblHeader/>
        </w:trPr>
        <w:tc>
          <w:tcPr>
            <w:tcW w:w="4990" w:type="dxa"/>
            <w:shd w:val="clear" w:color="auto" w:fill="auto"/>
          </w:tcPr>
          <w:p w:rsidR="0020138A" w:rsidRPr="00C8621E" w:rsidRDefault="0020138A" w:rsidP="004919B2">
            <w:pPr>
              <w:widowControl/>
              <w:rPr>
                <w:rFonts w:ascii="Arial Narrow" w:hAnsi="Arial Narrow"/>
                <w:b/>
                <w:sz w:val="20"/>
              </w:rPr>
            </w:pPr>
            <w:r w:rsidRPr="00C8621E">
              <w:rPr>
                <w:rFonts w:ascii="Arial Narrow" w:hAnsi="Arial Narrow"/>
                <w:b/>
                <w:sz w:val="20"/>
              </w:rPr>
              <w:t>Matters of concern</w:t>
            </w:r>
          </w:p>
        </w:tc>
        <w:tc>
          <w:tcPr>
            <w:tcW w:w="4093" w:type="dxa"/>
            <w:shd w:val="clear" w:color="auto" w:fill="auto"/>
          </w:tcPr>
          <w:p w:rsidR="0020138A" w:rsidRPr="00C8621E" w:rsidRDefault="0020138A" w:rsidP="004919B2">
            <w:pPr>
              <w:widowControl/>
              <w:rPr>
                <w:rFonts w:ascii="Arial Narrow" w:hAnsi="Arial Narrow"/>
                <w:b/>
                <w:sz w:val="20"/>
              </w:rPr>
            </w:pPr>
            <w:r w:rsidRPr="00C8621E">
              <w:rPr>
                <w:rFonts w:ascii="Arial Narrow" w:hAnsi="Arial Narrow"/>
                <w:b/>
                <w:sz w:val="20"/>
              </w:rPr>
              <w:t>How the resubmission addressed it</w:t>
            </w:r>
          </w:p>
        </w:tc>
      </w:tr>
      <w:tr w:rsidR="0020138A" w:rsidRPr="00C8621E" w:rsidTr="00022C2D">
        <w:trPr>
          <w:trHeight w:val="240"/>
        </w:trPr>
        <w:tc>
          <w:tcPr>
            <w:tcW w:w="4990" w:type="dxa"/>
            <w:shd w:val="clear" w:color="auto" w:fill="auto"/>
          </w:tcPr>
          <w:p w:rsidR="0020138A" w:rsidRPr="00C8621E" w:rsidRDefault="0020138A" w:rsidP="004919B2">
            <w:pPr>
              <w:widowControl/>
              <w:spacing w:before="60" w:after="60"/>
              <w:ind w:right="232"/>
              <w:rPr>
                <w:rFonts w:ascii="Arial Narrow" w:hAnsi="Arial Narrow"/>
                <w:sz w:val="20"/>
                <w:u w:val="single"/>
              </w:rPr>
            </w:pPr>
            <w:r w:rsidRPr="00C8621E">
              <w:rPr>
                <w:rFonts w:ascii="Arial Narrow" w:hAnsi="Arial Narrow"/>
                <w:sz w:val="20"/>
                <w:u w:val="single"/>
              </w:rPr>
              <w:t>Requested price</w:t>
            </w:r>
          </w:p>
          <w:p w:rsidR="0020138A" w:rsidRPr="00C8621E" w:rsidRDefault="0020138A" w:rsidP="000E1DE3">
            <w:pPr>
              <w:widowControl/>
              <w:spacing w:before="60" w:after="60"/>
              <w:ind w:right="232"/>
              <w:rPr>
                <w:rFonts w:ascii="Arial Narrow" w:hAnsi="Arial Narrow"/>
                <w:sz w:val="20"/>
              </w:rPr>
            </w:pPr>
            <w:r w:rsidRPr="00C8621E">
              <w:rPr>
                <w:rFonts w:ascii="Arial Narrow" w:hAnsi="Arial Narrow"/>
                <w:sz w:val="20"/>
              </w:rPr>
              <w:t xml:space="preserve">PBAC Comment: “The PBAC considered, given uncertainty of clinical benefit compared to BSC and active chemotherapy, that a lower ICER/QALY would likely result in </w:t>
            </w:r>
            <w:proofErr w:type="spellStart"/>
            <w:r w:rsidRPr="00C8621E">
              <w:rPr>
                <w:rFonts w:ascii="Arial Narrow" w:hAnsi="Arial Narrow"/>
                <w:sz w:val="20"/>
              </w:rPr>
              <w:t>vinflunine</w:t>
            </w:r>
            <w:proofErr w:type="spellEnd"/>
            <w:r w:rsidRPr="00C8621E">
              <w:rPr>
                <w:rFonts w:ascii="Arial Narrow" w:hAnsi="Arial Narrow"/>
                <w:sz w:val="20"/>
              </w:rPr>
              <w:t xml:space="preserve"> being considered acceptably cost-effective.” (November 2015, </w:t>
            </w:r>
            <w:r w:rsidR="000E1DE3">
              <w:rPr>
                <w:rFonts w:ascii="Arial Narrow" w:hAnsi="Arial Narrow"/>
                <w:sz w:val="20"/>
              </w:rPr>
              <w:t xml:space="preserve">PSD </w:t>
            </w:r>
            <w:r w:rsidRPr="00C8621E">
              <w:rPr>
                <w:rFonts w:ascii="Arial Narrow" w:hAnsi="Arial Narrow"/>
                <w:sz w:val="20"/>
              </w:rPr>
              <w:t xml:space="preserve">paragraph 7.12). </w:t>
            </w:r>
          </w:p>
        </w:tc>
        <w:tc>
          <w:tcPr>
            <w:tcW w:w="4093" w:type="dxa"/>
            <w:shd w:val="clear" w:color="auto" w:fill="auto"/>
          </w:tcPr>
          <w:p w:rsidR="0020138A" w:rsidRPr="00C8621E" w:rsidRDefault="0020138A" w:rsidP="00E44F20">
            <w:pPr>
              <w:widowControl/>
              <w:spacing w:before="60" w:after="60"/>
              <w:ind w:right="205"/>
              <w:rPr>
                <w:rFonts w:ascii="Arial Narrow" w:hAnsi="Arial Narrow"/>
                <w:b/>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presented a lower incremental cost-effectiveness ratio, which incorporated a reduced price of $</w:t>
            </w:r>
            <w:r w:rsidR="0097770C">
              <w:rPr>
                <w:rFonts w:ascii="Arial Narrow" w:hAnsi="Arial Narrow"/>
                <w:noProof/>
                <w:color w:val="000000"/>
                <w:sz w:val="20"/>
                <w:highlight w:val="black"/>
              </w:rPr>
              <w:t>''''''''''</w:t>
            </w:r>
            <w:r w:rsidRPr="00C8621E">
              <w:rPr>
                <w:rFonts w:ascii="Arial Narrow" w:hAnsi="Arial Narrow"/>
                <w:sz w:val="20"/>
              </w:rPr>
              <w:t xml:space="preserve"> per mg ($</w:t>
            </w:r>
            <w:r w:rsidR="0097770C">
              <w:rPr>
                <w:rFonts w:ascii="Arial Narrow" w:hAnsi="Arial Narrow"/>
                <w:noProof/>
                <w:color w:val="000000"/>
                <w:sz w:val="20"/>
                <w:highlight w:val="black"/>
              </w:rPr>
              <w:t>''''''''''</w:t>
            </w:r>
            <w:r w:rsidRPr="00C8621E">
              <w:rPr>
                <w:rFonts w:ascii="Arial Narrow" w:hAnsi="Arial Narrow"/>
                <w:sz w:val="20"/>
              </w:rPr>
              <w:t xml:space="preserve"> in 2015). Effective ex-man prices: $</w:t>
            </w:r>
            <w:r w:rsidR="0097770C">
              <w:rPr>
                <w:rFonts w:ascii="Arial Narrow" w:hAnsi="Arial Narrow"/>
                <w:noProof/>
                <w:color w:val="000000"/>
                <w:sz w:val="20"/>
                <w:highlight w:val="black"/>
              </w:rPr>
              <w:t>''''''''</w:t>
            </w:r>
            <w:r w:rsidRPr="00C8621E">
              <w:rPr>
                <w:rFonts w:ascii="Arial Narrow" w:hAnsi="Arial Narrow"/>
                <w:sz w:val="20"/>
              </w:rPr>
              <w:t xml:space="preserve"> per 50 mg vial; $</w:t>
            </w:r>
            <w:r w:rsidR="0097770C">
              <w:rPr>
                <w:rFonts w:ascii="Arial Narrow" w:hAnsi="Arial Narrow"/>
                <w:noProof/>
                <w:color w:val="000000"/>
                <w:sz w:val="20"/>
                <w:highlight w:val="black"/>
              </w:rPr>
              <w:t>'''''''''</w:t>
            </w:r>
            <w:r w:rsidRPr="00C8621E">
              <w:rPr>
                <w:rFonts w:ascii="Arial Narrow" w:hAnsi="Arial Narrow"/>
                <w:sz w:val="20"/>
              </w:rPr>
              <w:t xml:space="preserve"> per 250 mg vial. No risk share agreement was proposed.</w:t>
            </w:r>
          </w:p>
        </w:tc>
      </w:tr>
      <w:tr w:rsidR="0020138A" w:rsidRPr="00C8621E" w:rsidTr="00022C2D">
        <w:trPr>
          <w:trHeight w:val="930"/>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Listing</w:t>
            </w:r>
            <w:r w:rsidRPr="00C8621E">
              <w:rPr>
                <w:rFonts w:ascii="Arial Narrow" w:hAnsi="Arial Narrow"/>
                <w:sz w:val="20"/>
              </w:rPr>
              <w:t xml:space="preserve"> (November 2015</w:t>
            </w:r>
            <w:r w:rsidR="000E1DE3">
              <w:rPr>
                <w:rFonts w:ascii="Arial Narrow" w:hAnsi="Arial Narrow"/>
                <w:sz w:val="20"/>
              </w:rPr>
              <w:t xml:space="preserve"> PSD </w:t>
            </w:r>
            <w:r w:rsidRPr="00C8621E">
              <w:rPr>
                <w:rFonts w:ascii="Arial Narrow" w:hAnsi="Arial Narrow"/>
                <w:sz w:val="20"/>
              </w:rPr>
              <w:t xml:space="preserve">paragraph 7.2). </w:t>
            </w:r>
          </w:p>
          <w:p w:rsidR="0020138A" w:rsidRPr="00C8621E" w:rsidDel="00A132FE" w:rsidRDefault="0020138A" w:rsidP="004919B2">
            <w:pPr>
              <w:widowControl/>
              <w:spacing w:before="60" w:after="60"/>
              <w:ind w:right="232"/>
              <w:rPr>
                <w:rFonts w:ascii="Arial Narrow" w:hAnsi="Arial Narrow"/>
                <w:color w:val="3366FF"/>
                <w:sz w:val="20"/>
              </w:rPr>
            </w:pPr>
            <w:r w:rsidRPr="00C8621E">
              <w:rPr>
                <w:rFonts w:ascii="Arial Narrow" w:hAnsi="Arial Narrow"/>
                <w:sz w:val="20"/>
              </w:rPr>
              <w:t xml:space="preserve">The PBAC recalled that patients who had received neoadjuvant or adjuvant treatment were excluded from the trial (Study 302). As neoadjuvant/adjuvant chemotherapy is recommended for the treatment of localised muscle-invasive tumours, the PBAC noted that this PBS criterion would likely exclude otherwise eligible patients in clinical practice who may derive a benefit from the treatment with </w:t>
            </w:r>
            <w:proofErr w:type="spellStart"/>
            <w:r w:rsidRPr="00C8621E">
              <w:rPr>
                <w:rFonts w:ascii="Arial Narrow" w:hAnsi="Arial Narrow"/>
                <w:sz w:val="20"/>
              </w:rPr>
              <w:t>vinflunine</w:t>
            </w:r>
            <w:proofErr w:type="spellEnd"/>
            <w:r w:rsidRPr="00C8621E">
              <w:rPr>
                <w:rFonts w:ascii="Arial Narrow" w:hAnsi="Arial Narrow"/>
                <w:sz w:val="20"/>
              </w:rPr>
              <w:t>.</w:t>
            </w:r>
          </w:p>
        </w:tc>
        <w:tc>
          <w:tcPr>
            <w:tcW w:w="4093" w:type="dxa"/>
            <w:shd w:val="clear" w:color="auto" w:fill="auto"/>
          </w:tcPr>
          <w:p w:rsidR="0020138A" w:rsidRPr="00C8621E" w:rsidRDefault="0020138A" w:rsidP="004919B2">
            <w:pPr>
              <w:widowControl/>
              <w:spacing w:before="60" w:after="60"/>
              <w:ind w:right="205"/>
              <w:rPr>
                <w:rFonts w:ascii="Arial Narrow" w:hAnsi="Arial Narrow"/>
                <w:color w:val="3366FF"/>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did not address this matter. </w:t>
            </w:r>
          </w:p>
        </w:tc>
      </w:tr>
      <w:tr w:rsidR="0020138A" w:rsidRPr="00C8621E" w:rsidTr="00022C2D">
        <w:trPr>
          <w:trHeight w:val="930"/>
        </w:trPr>
        <w:tc>
          <w:tcPr>
            <w:tcW w:w="4990" w:type="dxa"/>
            <w:shd w:val="clear" w:color="auto" w:fill="auto"/>
          </w:tcPr>
          <w:p w:rsidR="0020138A" w:rsidRPr="00C8621E" w:rsidRDefault="0020138A" w:rsidP="004919B2">
            <w:pPr>
              <w:widowControl/>
              <w:spacing w:before="60" w:after="60"/>
              <w:ind w:right="232"/>
              <w:rPr>
                <w:rFonts w:ascii="Arial Narrow" w:hAnsi="Arial Narrow"/>
                <w:sz w:val="20"/>
                <w:u w:val="single"/>
              </w:rPr>
            </w:pPr>
            <w:r w:rsidRPr="00C8621E">
              <w:rPr>
                <w:rFonts w:ascii="Arial Narrow" w:hAnsi="Arial Narrow"/>
                <w:sz w:val="20"/>
                <w:u w:val="single"/>
              </w:rPr>
              <w:t>Comparator</w:t>
            </w:r>
            <w:r w:rsidRPr="00C8621E">
              <w:rPr>
                <w:rFonts w:ascii="Arial Narrow" w:hAnsi="Arial Narrow"/>
                <w:sz w:val="20"/>
              </w:rPr>
              <w:t xml:space="preserve"> (November 2015</w:t>
            </w:r>
            <w:r w:rsidR="000E1DE3">
              <w:rPr>
                <w:rFonts w:ascii="Arial Narrow" w:hAnsi="Arial Narrow"/>
                <w:sz w:val="20"/>
              </w:rPr>
              <w:t xml:space="preserve"> PSD,</w:t>
            </w:r>
            <w:r w:rsidRPr="00C8621E">
              <w:rPr>
                <w:rFonts w:ascii="Arial Narrow" w:hAnsi="Arial Narrow"/>
                <w:sz w:val="20"/>
              </w:rPr>
              <w:t xml:space="preserve"> paragraph 7.3).</w:t>
            </w:r>
          </w:p>
          <w:p w:rsidR="0020138A" w:rsidRPr="00C8621E" w:rsidDel="00A132FE" w:rsidRDefault="0020138A" w:rsidP="004919B2">
            <w:pPr>
              <w:widowControl/>
              <w:spacing w:before="60" w:after="60"/>
              <w:ind w:right="232"/>
              <w:rPr>
                <w:rFonts w:ascii="Arial Narrow" w:hAnsi="Arial Narrow"/>
                <w:color w:val="3366FF"/>
                <w:sz w:val="20"/>
              </w:rPr>
            </w:pPr>
            <w:r w:rsidRPr="00C8621E">
              <w:rPr>
                <w:rFonts w:ascii="Arial Narrow" w:hAnsi="Arial Narrow"/>
                <w:sz w:val="20"/>
              </w:rPr>
              <w:t xml:space="preserve">Whilst BSC is an appropriate comparator in determining the efficacy of </w:t>
            </w:r>
            <w:proofErr w:type="spellStart"/>
            <w:r w:rsidRPr="00C8621E">
              <w:rPr>
                <w:rFonts w:ascii="Arial Narrow" w:hAnsi="Arial Narrow"/>
                <w:sz w:val="20"/>
              </w:rPr>
              <w:t>vinflunine</w:t>
            </w:r>
            <w:proofErr w:type="spellEnd"/>
            <w:r w:rsidRPr="00C8621E">
              <w:rPr>
                <w:rFonts w:ascii="Arial Narrow" w:hAnsi="Arial Narrow"/>
                <w:sz w:val="20"/>
              </w:rPr>
              <w:t xml:space="preserve">, it is not relevant in Australian clinical practice as </w:t>
            </w:r>
            <w:proofErr w:type="spellStart"/>
            <w:r w:rsidRPr="00C8621E">
              <w:rPr>
                <w:rFonts w:ascii="Arial Narrow" w:hAnsi="Arial Narrow"/>
                <w:sz w:val="20"/>
              </w:rPr>
              <w:t>vinflunine</w:t>
            </w:r>
            <w:proofErr w:type="spellEnd"/>
            <w:r w:rsidRPr="00C8621E">
              <w:rPr>
                <w:rFonts w:ascii="Arial Narrow" w:hAnsi="Arial Narrow"/>
                <w:sz w:val="20"/>
              </w:rPr>
              <w:t xml:space="preserve"> will likely replace or </w:t>
            </w:r>
            <w:proofErr w:type="gramStart"/>
            <w:r w:rsidRPr="00C8621E">
              <w:rPr>
                <w:rFonts w:ascii="Arial Narrow" w:hAnsi="Arial Narrow"/>
                <w:sz w:val="20"/>
              </w:rPr>
              <w:t>defer</w:t>
            </w:r>
            <w:proofErr w:type="gramEnd"/>
            <w:r w:rsidRPr="00C8621E">
              <w:rPr>
                <w:rFonts w:ascii="Arial Narrow" w:hAnsi="Arial Narrow"/>
                <w:sz w:val="20"/>
              </w:rPr>
              <w:t xml:space="preserve"> other drugs. The PBAC considered that current standard of care is preferable for the determination of relative effectiveness and therefore the translatability of the trial data to the proposed use in Australia is an area of significant uncertainty.</w:t>
            </w:r>
          </w:p>
        </w:tc>
        <w:tc>
          <w:tcPr>
            <w:tcW w:w="4093" w:type="dxa"/>
            <w:shd w:val="clear" w:color="auto" w:fill="auto"/>
          </w:tcPr>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The current resubmission presented two comparators; active chemotherapy and BSC. However, the effectiveness and cost-effectiveness of active chemotherapy agents in the treatment of TCCU was not presented.</w:t>
            </w:r>
          </w:p>
          <w:p w:rsidR="0020138A" w:rsidRPr="00C8621E" w:rsidRDefault="0020138A" w:rsidP="00E909AB">
            <w:pPr>
              <w:widowControl/>
              <w:spacing w:before="60" w:after="60"/>
              <w:ind w:right="205"/>
              <w:rPr>
                <w:rFonts w:ascii="Arial Narrow" w:hAnsi="Arial Narrow"/>
                <w:color w:val="3366FF"/>
                <w:sz w:val="20"/>
              </w:rPr>
            </w:pPr>
            <w:r w:rsidRPr="00C8621E">
              <w:rPr>
                <w:rFonts w:ascii="Arial Narrow" w:hAnsi="Arial Narrow"/>
                <w:sz w:val="20"/>
              </w:rPr>
              <w:t xml:space="preserve">The economic evaluation in this </w:t>
            </w:r>
            <w:r w:rsidR="00FE4282" w:rsidRPr="00C8621E">
              <w:rPr>
                <w:rFonts w:ascii="Arial Narrow" w:hAnsi="Arial Narrow"/>
                <w:sz w:val="20"/>
              </w:rPr>
              <w:t>resubmission</w:t>
            </w:r>
            <w:r w:rsidRPr="00C8621E">
              <w:rPr>
                <w:rFonts w:ascii="Arial Narrow" w:hAnsi="Arial Narrow"/>
                <w:sz w:val="20"/>
              </w:rPr>
              <w:t xml:space="preserve"> is based on the BSC comparison alone. </w:t>
            </w:r>
          </w:p>
        </w:tc>
      </w:tr>
      <w:tr w:rsidR="0020138A" w:rsidRPr="00C8621E" w:rsidTr="00022C2D">
        <w:trPr>
          <w:trHeight w:val="196"/>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Clinical evidence</w:t>
            </w:r>
            <w:r w:rsidRPr="00C8621E">
              <w:rPr>
                <w:rFonts w:ascii="Arial Narrow" w:hAnsi="Arial Narrow"/>
                <w:sz w:val="20"/>
              </w:rPr>
              <w:t xml:space="preserve"> (November 2015</w:t>
            </w:r>
            <w:r w:rsidR="000E1DE3">
              <w:rPr>
                <w:rFonts w:ascii="Arial Narrow" w:hAnsi="Arial Narrow"/>
                <w:sz w:val="20"/>
              </w:rPr>
              <w:t xml:space="preserve"> PSD</w:t>
            </w:r>
            <w:r w:rsidRPr="00C8621E">
              <w:rPr>
                <w:rFonts w:ascii="Arial Narrow" w:hAnsi="Arial Narrow"/>
                <w:sz w:val="20"/>
              </w:rPr>
              <w:t>, paragraph 7.5).</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clinical evidence in the </w:t>
            </w:r>
            <w:r w:rsidR="00FE4282" w:rsidRPr="00C8621E">
              <w:rPr>
                <w:rFonts w:ascii="Arial Narrow" w:hAnsi="Arial Narrow"/>
                <w:sz w:val="20"/>
              </w:rPr>
              <w:t>resubmission</w:t>
            </w:r>
            <w:r w:rsidRPr="00C8621E">
              <w:rPr>
                <w:rFonts w:ascii="Arial Narrow" w:hAnsi="Arial Narrow"/>
                <w:sz w:val="20"/>
              </w:rPr>
              <w:t xml:space="preserve"> is sourced from one trial (Study 302).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considered that realising the possible beneficial effects of </w:t>
            </w:r>
            <w:proofErr w:type="spellStart"/>
            <w:r w:rsidRPr="00C8621E">
              <w:rPr>
                <w:rFonts w:ascii="Arial Narrow" w:hAnsi="Arial Narrow"/>
                <w:sz w:val="20"/>
              </w:rPr>
              <w:t>vinflunine</w:t>
            </w:r>
            <w:proofErr w:type="spellEnd"/>
            <w:r w:rsidRPr="00C8621E">
              <w:rPr>
                <w:rFonts w:ascii="Arial Narrow" w:hAnsi="Arial Narrow"/>
                <w:sz w:val="20"/>
              </w:rPr>
              <w:t xml:space="preserve"> in clinical practice may be challenging because patient’s age (likely to be older in clinical practice), any previous radiotherapy, and impaired performance status may adversely affect ability to adhere to the dose escalation protocols. In this regard, </w:t>
            </w:r>
            <w:proofErr w:type="spellStart"/>
            <w:r w:rsidRPr="00C8621E">
              <w:rPr>
                <w:rFonts w:ascii="Arial Narrow" w:hAnsi="Arial Narrow"/>
                <w:sz w:val="20"/>
              </w:rPr>
              <w:t>vinflunine</w:t>
            </w:r>
            <w:proofErr w:type="spellEnd"/>
            <w:r w:rsidRPr="00C8621E">
              <w:rPr>
                <w:rFonts w:ascii="Arial Narrow" w:hAnsi="Arial Narrow"/>
                <w:sz w:val="20"/>
              </w:rPr>
              <w:t xml:space="preserve"> also appears to have a narrow therapeutic window. The PBAC acknowledged that although </w:t>
            </w:r>
            <w:proofErr w:type="spellStart"/>
            <w:r w:rsidRPr="00C8621E">
              <w:rPr>
                <w:rFonts w:ascii="Arial Narrow" w:hAnsi="Arial Narrow"/>
                <w:sz w:val="20"/>
              </w:rPr>
              <w:t>vinflunine</w:t>
            </w:r>
            <w:proofErr w:type="spellEnd"/>
            <w:r w:rsidRPr="00C8621E">
              <w:rPr>
                <w:rFonts w:ascii="Arial Narrow" w:hAnsi="Arial Narrow"/>
                <w:sz w:val="20"/>
              </w:rPr>
              <w:t xml:space="preserve"> may have efficacy in some patients with high clinical need, the magnitude of survival gain is uncertain and at best less than 3 months, and this benefit is at the expense of significant toxicity. Therefore, the PBAC considered that there is insufficient evidence of a clinical place for </w:t>
            </w:r>
            <w:proofErr w:type="spellStart"/>
            <w:r w:rsidRPr="00C8621E">
              <w:rPr>
                <w:rFonts w:ascii="Arial Narrow" w:hAnsi="Arial Narrow"/>
                <w:sz w:val="20"/>
              </w:rPr>
              <w:t>vinflunine</w:t>
            </w:r>
            <w:proofErr w:type="spellEnd"/>
            <w:r w:rsidRPr="00C8621E">
              <w:rPr>
                <w:rFonts w:ascii="Arial Narrow" w:hAnsi="Arial Narrow"/>
                <w:sz w:val="20"/>
              </w:rPr>
              <w:t>.</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considered that the resubmission had not supported a claim of superior efficacy of </w:t>
            </w:r>
            <w:proofErr w:type="spellStart"/>
            <w:r w:rsidRPr="00C8621E">
              <w:rPr>
                <w:rFonts w:ascii="Arial Narrow" w:hAnsi="Arial Narrow"/>
                <w:sz w:val="20"/>
              </w:rPr>
              <w:t>vinflunine</w:t>
            </w:r>
            <w:proofErr w:type="spellEnd"/>
            <w:r w:rsidRPr="00C8621E">
              <w:rPr>
                <w:rFonts w:ascii="Arial Narrow" w:hAnsi="Arial Narrow"/>
                <w:sz w:val="20"/>
              </w:rPr>
              <w:t xml:space="preserve"> versus active chemotherapy (November 2015</w:t>
            </w:r>
            <w:r w:rsidR="00524375">
              <w:rPr>
                <w:rFonts w:ascii="Arial Narrow" w:hAnsi="Arial Narrow"/>
                <w:sz w:val="20"/>
              </w:rPr>
              <w:t xml:space="preserve"> PSD</w:t>
            </w:r>
            <w:r w:rsidRPr="00C8621E">
              <w:rPr>
                <w:rFonts w:ascii="Arial Narrow" w:hAnsi="Arial Narrow"/>
                <w:sz w:val="20"/>
              </w:rPr>
              <w:t>, paragraph 7.7).</w:t>
            </w:r>
          </w:p>
        </w:tc>
        <w:tc>
          <w:tcPr>
            <w:tcW w:w="4093" w:type="dxa"/>
            <w:shd w:val="clear" w:color="auto" w:fill="auto"/>
          </w:tcPr>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argued that the literature search for RCTs of </w:t>
            </w:r>
            <w:proofErr w:type="spellStart"/>
            <w:r w:rsidRPr="00C8621E">
              <w:rPr>
                <w:rFonts w:ascii="Arial Narrow" w:hAnsi="Arial Narrow"/>
                <w:sz w:val="20"/>
              </w:rPr>
              <w:t>vinflunine</w:t>
            </w:r>
            <w:proofErr w:type="spellEnd"/>
            <w:r w:rsidRPr="00C8621E">
              <w:rPr>
                <w:rFonts w:ascii="Arial Narrow" w:hAnsi="Arial Narrow"/>
                <w:sz w:val="20"/>
              </w:rPr>
              <w:t xml:space="preserve"> + BSC vs. BSC was updated. No new evidence was identified. Study 302 remains the primary RCT comparing </w:t>
            </w:r>
            <w:proofErr w:type="spellStart"/>
            <w:r w:rsidRPr="00C8621E">
              <w:rPr>
                <w:rFonts w:ascii="Arial Narrow" w:hAnsi="Arial Narrow"/>
                <w:sz w:val="20"/>
              </w:rPr>
              <w:t>vinflunine</w:t>
            </w:r>
            <w:proofErr w:type="spellEnd"/>
            <w:r w:rsidRPr="00C8621E">
              <w:rPr>
                <w:rFonts w:ascii="Arial Narrow" w:hAnsi="Arial Narrow"/>
                <w:sz w:val="20"/>
              </w:rPr>
              <w:t xml:space="preserve"> + BSC and BSC (N=370)</w:t>
            </w:r>
          </w:p>
          <w:p w:rsidR="008512ED"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An additional seven publications were reviewed regarding safety.  </w:t>
            </w:r>
          </w:p>
          <w:p w:rsidR="008512ED" w:rsidRPr="00C8621E" w:rsidRDefault="008512ED" w:rsidP="00E44F20">
            <w:pPr>
              <w:widowControl/>
              <w:spacing w:before="60" w:after="60"/>
              <w:ind w:right="205"/>
              <w:rPr>
                <w:rFonts w:ascii="Arial Narrow" w:hAnsi="Arial Narrow"/>
                <w:color w:val="3366FF"/>
                <w:sz w:val="20"/>
              </w:rPr>
            </w:pPr>
            <w:r w:rsidRPr="00C8621E">
              <w:rPr>
                <w:rFonts w:ascii="Arial Narrow" w:hAnsi="Arial Narrow"/>
                <w:sz w:val="20"/>
              </w:rPr>
              <w:t xml:space="preserve">The PSCR (p1) claimed that recent empirical studies confirmed </w:t>
            </w:r>
            <w:proofErr w:type="spellStart"/>
            <w:r w:rsidRPr="00C8621E">
              <w:rPr>
                <w:rFonts w:ascii="Arial Narrow" w:hAnsi="Arial Narrow"/>
                <w:sz w:val="20"/>
              </w:rPr>
              <w:t>vinflunine</w:t>
            </w:r>
            <w:proofErr w:type="spellEnd"/>
            <w:r w:rsidRPr="00C8621E">
              <w:rPr>
                <w:rFonts w:ascii="Arial Narrow" w:hAnsi="Arial Narrow"/>
                <w:sz w:val="20"/>
              </w:rPr>
              <w:t xml:space="preserve"> to be a safe and effective second line </w:t>
            </w:r>
            <w:r w:rsidR="00E44F20" w:rsidRPr="00C8621E">
              <w:rPr>
                <w:rFonts w:ascii="Arial Narrow" w:hAnsi="Arial Narrow"/>
                <w:sz w:val="20"/>
              </w:rPr>
              <w:t xml:space="preserve">treatment </w:t>
            </w:r>
            <w:r w:rsidRPr="00C8621E">
              <w:rPr>
                <w:rFonts w:ascii="Arial Narrow" w:hAnsi="Arial Narrow"/>
                <w:sz w:val="20"/>
              </w:rPr>
              <w:t>in Spain [n=66 (Castellano et al, 20141)], France [n=134 (</w:t>
            </w:r>
            <w:proofErr w:type="spellStart"/>
            <w:r w:rsidRPr="00C8621E">
              <w:rPr>
                <w:rFonts w:ascii="Arial Narrow" w:hAnsi="Arial Narrow"/>
                <w:sz w:val="20"/>
              </w:rPr>
              <w:t>Medioni</w:t>
            </w:r>
            <w:proofErr w:type="spellEnd"/>
            <w:r w:rsidRPr="00C8621E">
              <w:rPr>
                <w:rFonts w:ascii="Arial Narrow" w:hAnsi="Arial Narrow"/>
                <w:sz w:val="20"/>
              </w:rPr>
              <w:t xml:space="preserve"> et al, 20132)] and Germany [n=77, (Retz et al, 20153)] with reported overall survival of 7.7-10.4 months – consistent with, or slightly better than, overall survival estimates in Study 302 (6.9 months). The PSCR also argued that the</w:t>
            </w:r>
            <w:r w:rsidRPr="00C8621E">
              <w:t xml:space="preserve"> </w:t>
            </w:r>
            <w:r w:rsidRPr="00C8621E">
              <w:rPr>
                <w:rFonts w:ascii="Arial Narrow" w:hAnsi="Arial Narrow"/>
                <w:sz w:val="20"/>
              </w:rPr>
              <w:t xml:space="preserve">utility value collected from patients on </w:t>
            </w:r>
            <w:proofErr w:type="spellStart"/>
            <w:r w:rsidRPr="00C8621E">
              <w:rPr>
                <w:rFonts w:ascii="Arial Narrow" w:hAnsi="Arial Narrow"/>
                <w:sz w:val="20"/>
              </w:rPr>
              <w:t>vinflunine</w:t>
            </w:r>
            <w:proofErr w:type="spellEnd"/>
            <w:r w:rsidRPr="00C8621E">
              <w:rPr>
                <w:rFonts w:ascii="Arial Narrow" w:hAnsi="Arial Narrow"/>
                <w:sz w:val="20"/>
              </w:rPr>
              <w:t xml:space="preserve"> treatment in the Study 302 trial was close to 0.75 and as such does not suggest a level of toxicity or compromised quality of life to the extent that the patient would not continue to seek an extension of life.</w:t>
            </w:r>
          </w:p>
        </w:tc>
      </w:tr>
      <w:tr w:rsidR="0020138A" w:rsidRPr="00C8621E" w:rsidTr="00022C2D">
        <w:trPr>
          <w:trHeight w:val="930"/>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Analysis population</w:t>
            </w:r>
            <w:r w:rsidRPr="00C8621E">
              <w:rPr>
                <w:rFonts w:ascii="Arial Narrow" w:hAnsi="Arial Narrow"/>
                <w:sz w:val="20"/>
              </w:rPr>
              <w:t xml:space="preserve"> (November 2015</w:t>
            </w:r>
            <w:r w:rsidR="00524375">
              <w:rPr>
                <w:rFonts w:ascii="Arial Narrow" w:hAnsi="Arial Narrow"/>
                <w:sz w:val="20"/>
              </w:rPr>
              <w:t xml:space="preserve"> PSD</w:t>
            </w:r>
            <w:r w:rsidRPr="00C8621E">
              <w:rPr>
                <w:rFonts w:ascii="Arial Narrow" w:hAnsi="Arial Narrow"/>
                <w:sz w:val="20"/>
              </w:rPr>
              <w:t>, paragraph 7.6 and 7.9).</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reiterated their view from November 2011 that whilst the eligible ITT population may be reasonable to assess the efficacy of </w:t>
            </w:r>
            <w:proofErr w:type="spellStart"/>
            <w:r w:rsidRPr="00C8621E">
              <w:rPr>
                <w:rFonts w:ascii="Arial Narrow" w:hAnsi="Arial Narrow"/>
                <w:sz w:val="20"/>
              </w:rPr>
              <w:t>vinflunine</w:t>
            </w:r>
            <w:proofErr w:type="spellEnd"/>
            <w:r w:rsidRPr="00C8621E">
              <w:rPr>
                <w:rFonts w:ascii="Arial Narrow" w:hAnsi="Arial Narrow"/>
                <w:sz w:val="20"/>
              </w:rPr>
              <w:t xml:space="preserve">, the ITT population should be used in considering the effectiveness of </w:t>
            </w:r>
            <w:proofErr w:type="spellStart"/>
            <w:r w:rsidRPr="00C8621E">
              <w:rPr>
                <w:rFonts w:ascii="Arial Narrow" w:hAnsi="Arial Narrow"/>
                <w:sz w:val="20"/>
              </w:rPr>
              <w:t>vinflunine</w:t>
            </w:r>
            <w:proofErr w:type="spellEnd"/>
            <w:r w:rsidRPr="00C8621E">
              <w:rPr>
                <w:rFonts w:ascii="Arial Narrow" w:hAnsi="Arial Narrow"/>
                <w:sz w:val="20"/>
              </w:rPr>
              <w:t xml:space="preserve"> as the ITT population more closely approximates the likely PBS population.</w:t>
            </w:r>
          </w:p>
          <w:p w:rsidR="0020138A" w:rsidRPr="00C8621E" w:rsidRDefault="0020138A" w:rsidP="00EF4CD9">
            <w:pPr>
              <w:rPr>
                <w:rFonts w:ascii="Arial Narrow" w:hAnsi="Arial Narrow"/>
                <w:sz w:val="20"/>
              </w:rPr>
            </w:pPr>
            <w:r w:rsidRPr="00C8621E">
              <w:rPr>
                <w:rFonts w:ascii="Arial Narrow" w:hAnsi="Arial Narrow"/>
                <w:sz w:val="20"/>
              </w:rPr>
              <w:t xml:space="preserve">The PBAC considered that the results are highly uncertain as they are based on the eligible ITT population rather than the ITT population. In this resubmission, the PBAC noted that the use of the ITT population in a sensitivity analysis increased the cost/QALYG from </w:t>
            </w:r>
            <w:r w:rsidR="00EF4CD9" w:rsidRPr="00EF4CD9">
              <w:rPr>
                <w:rFonts w:ascii="Arial Narrow" w:hAnsi="Arial Narrow"/>
                <w:sz w:val="20"/>
              </w:rPr>
              <w:t>$45,000 – $75,000</w:t>
            </w:r>
            <w:r w:rsidR="00EF4CD9">
              <w:rPr>
                <w:rFonts w:ascii="Arial Narrow" w:hAnsi="Arial Narrow"/>
                <w:sz w:val="20"/>
              </w:rPr>
              <w:t xml:space="preserve"> </w:t>
            </w:r>
            <w:r w:rsidRPr="00C8621E">
              <w:rPr>
                <w:rFonts w:ascii="Arial Narrow" w:hAnsi="Arial Narrow"/>
                <w:sz w:val="20"/>
              </w:rPr>
              <w:t xml:space="preserve">to </w:t>
            </w:r>
            <w:r w:rsidR="00EF4CD9">
              <w:rPr>
                <w:rFonts w:ascii="Arial Narrow" w:hAnsi="Arial Narrow"/>
                <w:sz w:val="20"/>
              </w:rPr>
              <w:t>$75,000</w:t>
            </w:r>
            <w:r w:rsidR="00EF4CD9" w:rsidRPr="00EF4CD9">
              <w:rPr>
                <w:rFonts w:ascii="Arial Narrow" w:hAnsi="Arial Narrow"/>
                <w:sz w:val="20"/>
              </w:rPr>
              <w:t xml:space="preserve"> – $105,000</w:t>
            </w:r>
            <w:r w:rsidRPr="00C8621E">
              <w:rPr>
                <w:rFonts w:ascii="Arial Narrow" w:hAnsi="Arial Narrow"/>
                <w:sz w:val="20"/>
              </w:rPr>
              <w:t>.</w:t>
            </w:r>
          </w:p>
        </w:tc>
        <w:tc>
          <w:tcPr>
            <w:tcW w:w="4093" w:type="dxa"/>
            <w:shd w:val="clear" w:color="auto" w:fill="auto"/>
          </w:tcPr>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provided a tightened proposed restriction for </w:t>
            </w:r>
            <w:proofErr w:type="spellStart"/>
            <w:r w:rsidRPr="00C8621E">
              <w:rPr>
                <w:rFonts w:ascii="Arial Narrow" w:hAnsi="Arial Narrow"/>
                <w:sz w:val="20"/>
              </w:rPr>
              <w:t>vinflunine</w:t>
            </w:r>
            <w:proofErr w:type="spellEnd"/>
            <w:r w:rsidRPr="00C8621E">
              <w:rPr>
                <w:rFonts w:ascii="Arial Narrow" w:hAnsi="Arial Narrow"/>
                <w:sz w:val="20"/>
              </w:rPr>
              <w:t xml:space="preserve"> </w:t>
            </w:r>
            <w:r w:rsidR="00E44F20" w:rsidRPr="00C8621E">
              <w:rPr>
                <w:rFonts w:ascii="Arial Narrow" w:hAnsi="Arial Narrow"/>
                <w:sz w:val="20"/>
              </w:rPr>
              <w:t>for</w:t>
            </w:r>
            <w:r w:rsidRPr="00C8621E">
              <w:rPr>
                <w:rFonts w:ascii="Arial Narrow" w:hAnsi="Arial Narrow"/>
                <w:sz w:val="20"/>
              </w:rPr>
              <w:t xml:space="preserve"> use </w:t>
            </w:r>
            <w:r w:rsidR="00E44F20" w:rsidRPr="00C8621E">
              <w:rPr>
                <w:rFonts w:ascii="Arial Narrow" w:hAnsi="Arial Narrow"/>
                <w:sz w:val="20"/>
              </w:rPr>
              <w:t>in</w:t>
            </w:r>
            <w:r w:rsidRPr="00C8621E">
              <w:rPr>
                <w:rFonts w:ascii="Arial Narrow" w:hAnsi="Arial Narrow"/>
                <w:sz w:val="20"/>
              </w:rPr>
              <w:t xml:space="preserve"> patients to whom </w:t>
            </w:r>
            <w:proofErr w:type="spellStart"/>
            <w:r w:rsidRPr="00C8621E">
              <w:rPr>
                <w:rFonts w:ascii="Arial Narrow" w:hAnsi="Arial Narrow"/>
                <w:sz w:val="20"/>
              </w:rPr>
              <w:t>vinflunine</w:t>
            </w:r>
            <w:proofErr w:type="spellEnd"/>
            <w:r w:rsidRPr="00C8621E">
              <w:rPr>
                <w:rFonts w:ascii="Arial Narrow" w:hAnsi="Arial Narrow"/>
                <w:sz w:val="20"/>
              </w:rPr>
              <w:t xml:space="preserve"> provided the greater benefit (the </w:t>
            </w:r>
            <w:proofErr w:type="spellStart"/>
            <w:r w:rsidRPr="00C8621E">
              <w:rPr>
                <w:rFonts w:ascii="Arial Narrow" w:hAnsi="Arial Narrow"/>
                <w:sz w:val="20"/>
              </w:rPr>
              <w:t>mITT</w:t>
            </w:r>
            <w:proofErr w:type="spellEnd"/>
            <w:r w:rsidRPr="00C8621E">
              <w:rPr>
                <w:rFonts w:ascii="Arial Narrow" w:hAnsi="Arial Narrow"/>
                <w:sz w:val="20"/>
              </w:rPr>
              <w:t xml:space="preserve"> population). </w:t>
            </w:r>
          </w:p>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resubmission acknowledged </w:t>
            </w:r>
            <w:r w:rsidR="00003415">
              <w:rPr>
                <w:rFonts w:ascii="Arial Narrow" w:hAnsi="Arial Narrow"/>
                <w:sz w:val="20"/>
              </w:rPr>
              <w:t xml:space="preserve">risk of </w:t>
            </w:r>
            <w:r w:rsidRPr="00C8621E">
              <w:rPr>
                <w:rFonts w:ascii="Arial Narrow" w:hAnsi="Arial Narrow"/>
                <w:sz w:val="20"/>
              </w:rPr>
              <w:t>leakage in many patient groups where prognosis is poor, and that benefits from alternative therapies are highly uncertain.</w:t>
            </w:r>
          </w:p>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proposed using a ‘mixed’ estimate of clinical efficacy that lies between the ITT population and the </w:t>
            </w:r>
            <w:proofErr w:type="spellStart"/>
            <w:r w:rsidRPr="00C8621E">
              <w:rPr>
                <w:rFonts w:ascii="Arial Narrow" w:hAnsi="Arial Narrow"/>
                <w:sz w:val="20"/>
              </w:rPr>
              <w:t>mITT</w:t>
            </w:r>
            <w:proofErr w:type="spellEnd"/>
            <w:r w:rsidRPr="00C8621E">
              <w:rPr>
                <w:rFonts w:ascii="Arial Narrow" w:hAnsi="Arial Narrow"/>
                <w:sz w:val="20"/>
              </w:rPr>
              <w:t xml:space="preserve"> population (50:50) (Mean OS ITT: </w:t>
            </w:r>
            <w:proofErr w:type="spellStart"/>
            <w:r w:rsidRPr="00C8621E">
              <w:rPr>
                <w:rFonts w:ascii="Arial Narrow" w:hAnsi="Arial Narrow"/>
                <w:sz w:val="20"/>
              </w:rPr>
              <w:t>vinflunine</w:t>
            </w:r>
            <w:proofErr w:type="spellEnd"/>
            <w:r w:rsidRPr="00C8621E">
              <w:rPr>
                <w:rFonts w:ascii="Arial Narrow" w:hAnsi="Arial Narrow"/>
                <w:sz w:val="20"/>
              </w:rPr>
              <w:t xml:space="preserve"> + BSC=11.0, BSC=9.5; </w:t>
            </w:r>
            <w:proofErr w:type="spellStart"/>
            <w:r w:rsidRPr="00C8621E">
              <w:rPr>
                <w:rFonts w:ascii="Arial Narrow" w:hAnsi="Arial Narrow"/>
                <w:sz w:val="20"/>
              </w:rPr>
              <w:t>mITT</w:t>
            </w:r>
            <w:proofErr w:type="spellEnd"/>
            <w:r w:rsidRPr="00C8621E">
              <w:rPr>
                <w:rFonts w:ascii="Arial Narrow" w:hAnsi="Arial Narrow"/>
                <w:sz w:val="20"/>
              </w:rPr>
              <w:t xml:space="preserve">: </w:t>
            </w:r>
            <w:proofErr w:type="spellStart"/>
            <w:r w:rsidRPr="00C8621E">
              <w:rPr>
                <w:rFonts w:ascii="Arial Narrow" w:hAnsi="Arial Narrow"/>
                <w:sz w:val="20"/>
              </w:rPr>
              <w:t>vinflunine</w:t>
            </w:r>
            <w:proofErr w:type="spellEnd"/>
            <w:r w:rsidRPr="00C8621E">
              <w:rPr>
                <w:rFonts w:ascii="Arial Narrow" w:hAnsi="Arial Narrow"/>
                <w:sz w:val="20"/>
              </w:rPr>
              <w:t xml:space="preserve"> + BSC=11.1, BSC=8.3; 50:50 ITT and </w:t>
            </w:r>
            <w:proofErr w:type="spellStart"/>
            <w:r w:rsidRPr="00C8621E">
              <w:rPr>
                <w:rFonts w:ascii="Arial Narrow" w:hAnsi="Arial Narrow"/>
                <w:sz w:val="20"/>
              </w:rPr>
              <w:t>mITT</w:t>
            </w:r>
            <w:proofErr w:type="spellEnd"/>
            <w:r w:rsidRPr="00C8621E">
              <w:rPr>
                <w:rFonts w:ascii="Arial Narrow" w:hAnsi="Arial Narrow"/>
                <w:sz w:val="20"/>
              </w:rPr>
              <w:t xml:space="preserve">: </w:t>
            </w:r>
            <w:proofErr w:type="spellStart"/>
            <w:r w:rsidRPr="00C8621E">
              <w:rPr>
                <w:rFonts w:ascii="Arial Narrow" w:hAnsi="Arial Narrow"/>
                <w:sz w:val="20"/>
              </w:rPr>
              <w:t>vinflunine</w:t>
            </w:r>
            <w:proofErr w:type="spellEnd"/>
            <w:r w:rsidRPr="00C8621E">
              <w:rPr>
                <w:rFonts w:ascii="Arial Narrow" w:hAnsi="Arial Narrow"/>
                <w:sz w:val="20"/>
              </w:rPr>
              <w:t xml:space="preserve"> + BSC=11.1, BSC=8.9).</w:t>
            </w:r>
          </w:p>
        </w:tc>
      </w:tr>
      <w:tr w:rsidR="0020138A" w:rsidRPr="00C8621E" w:rsidTr="00022C2D">
        <w:trPr>
          <w:trHeight w:val="930"/>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Utility values for progressive disease.</w:t>
            </w:r>
            <w:r w:rsidRPr="00C8621E">
              <w:rPr>
                <w:rFonts w:ascii="Arial Narrow" w:hAnsi="Arial Narrow"/>
                <w:sz w:val="20"/>
              </w:rPr>
              <w:t xml:space="preserve"> (, November 2015</w:t>
            </w:r>
            <w:r w:rsidR="003A7BA6">
              <w:rPr>
                <w:rFonts w:ascii="Arial Narrow" w:hAnsi="Arial Narrow"/>
                <w:sz w:val="20"/>
              </w:rPr>
              <w:t xml:space="preserve"> PSD</w:t>
            </w:r>
            <w:r w:rsidRPr="00C8621E">
              <w:rPr>
                <w:rFonts w:ascii="Arial Narrow" w:hAnsi="Arial Narrow"/>
                <w:sz w:val="20"/>
              </w:rPr>
              <w:t>, paragraph 6.2</w:t>
            </w:r>
            <w:r w:rsidR="003A7BA6">
              <w:rPr>
                <w:rFonts w:ascii="Arial Narrow" w:hAnsi="Arial Narrow"/>
                <w:sz w:val="20"/>
              </w:rPr>
              <w:t>8</w:t>
            </w:r>
            <w:r w:rsidRPr="00C8621E">
              <w:rPr>
                <w:rFonts w:ascii="Arial Narrow" w:hAnsi="Arial Narrow"/>
                <w:sz w:val="20"/>
              </w:rPr>
              <w:t>).</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post-progression utility values were pooled for the two treatment groups.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ESC considered pooling utility data post-progression may not be appropriate, and in this case bias the results in favour of </w:t>
            </w:r>
            <w:proofErr w:type="spellStart"/>
            <w:r w:rsidRPr="00C8621E">
              <w:rPr>
                <w:rFonts w:ascii="Arial Narrow" w:hAnsi="Arial Narrow"/>
                <w:sz w:val="20"/>
              </w:rPr>
              <w:t>vinflunine</w:t>
            </w:r>
            <w:proofErr w:type="spellEnd"/>
            <w:r w:rsidRPr="00C8621E">
              <w:rPr>
                <w:rFonts w:ascii="Arial Narrow" w:hAnsi="Arial Narrow"/>
                <w:sz w:val="20"/>
              </w:rPr>
              <w:t xml:space="preserve">. Treatment-specific utility weights increased the ICER to </w:t>
            </w:r>
            <w:r w:rsidR="00EF4CD9" w:rsidRPr="00EF4CD9">
              <w:rPr>
                <w:rFonts w:ascii="Arial Narrow" w:hAnsi="Arial Narrow"/>
                <w:sz w:val="20"/>
              </w:rPr>
              <w:t>$45,000 – $75,000</w:t>
            </w:r>
            <w:r w:rsidRPr="00C8621E">
              <w:rPr>
                <w:rFonts w:ascii="Arial Narrow" w:hAnsi="Arial Narrow"/>
                <w:sz w:val="20"/>
              </w:rPr>
              <w:t>/QALYG.</w:t>
            </w:r>
          </w:p>
        </w:tc>
        <w:tc>
          <w:tcPr>
            <w:tcW w:w="4093" w:type="dxa"/>
            <w:shd w:val="clear" w:color="auto" w:fill="auto"/>
          </w:tcPr>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justified this on the basis of the mean change in EORTC QLQ-C30 scores from baseline not being statistically significant across the two treatment groups, and the relatively low number of patients with post-progression evaluable observations.</w:t>
            </w:r>
          </w:p>
          <w:p w:rsidR="0020138A" w:rsidRPr="00C8621E" w:rsidRDefault="0020138A" w:rsidP="00E909AB">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argued that </w:t>
            </w:r>
            <w:proofErr w:type="gramStart"/>
            <w:r w:rsidRPr="00C8621E">
              <w:rPr>
                <w:rFonts w:ascii="Arial Narrow" w:hAnsi="Arial Narrow"/>
                <w:sz w:val="20"/>
              </w:rPr>
              <w:t xml:space="preserve">lower post-progression utility values in patients treated with </w:t>
            </w:r>
            <w:proofErr w:type="spellStart"/>
            <w:r w:rsidRPr="00C8621E">
              <w:rPr>
                <w:rFonts w:ascii="Arial Narrow" w:hAnsi="Arial Narrow"/>
                <w:sz w:val="20"/>
              </w:rPr>
              <w:t>vinflunine</w:t>
            </w:r>
            <w:proofErr w:type="spellEnd"/>
            <w:r w:rsidRPr="00C8621E">
              <w:rPr>
                <w:rFonts w:ascii="Arial Narrow" w:hAnsi="Arial Narrow"/>
                <w:sz w:val="20"/>
              </w:rPr>
              <w:t xml:space="preserve"> is</w:t>
            </w:r>
            <w:proofErr w:type="gramEnd"/>
            <w:r w:rsidRPr="00C8621E">
              <w:rPr>
                <w:rFonts w:ascii="Arial Narrow" w:hAnsi="Arial Narrow"/>
                <w:sz w:val="20"/>
              </w:rPr>
              <w:t xml:space="preserve"> almost certainly an artefact of the small patient numbers with evaluable data in each study arm. The difference between </w:t>
            </w:r>
            <w:proofErr w:type="spellStart"/>
            <w:r w:rsidRPr="00C8621E">
              <w:rPr>
                <w:rFonts w:ascii="Arial Narrow" w:hAnsi="Arial Narrow"/>
                <w:sz w:val="20"/>
              </w:rPr>
              <w:t>vinflunine</w:t>
            </w:r>
            <w:proofErr w:type="spellEnd"/>
            <w:r w:rsidRPr="00C8621E">
              <w:rPr>
                <w:rFonts w:ascii="Arial Narrow" w:hAnsi="Arial Narrow"/>
                <w:sz w:val="20"/>
              </w:rPr>
              <w:t xml:space="preserve"> and BSC post-progression was not statistically significant, or supported by other </w:t>
            </w:r>
            <w:proofErr w:type="spellStart"/>
            <w:r w:rsidRPr="00C8621E">
              <w:rPr>
                <w:rFonts w:ascii="Arial Narrow" w:hAnsi="Arial Narrow"/>
                <w:sz w:val="20"/>
              </w:rPr>
              <w:t>HRQoL</w:t>
            </w:r>
            <w:proofErr w:type="spellEnd"/>
            <w:r w:rsidRPr="00C8621E">
              <w:rPr>
                <w:rFonts w:ascii="Arial Narrow" w:hAnsi="Arial Narrow"/>
                <w:sz w:val="20"/>
              </w:rPr>
              <w:t xml:space="preserve"> data captured during the trial. </w:t>
            </w:r>
          </w:p>
        </w:tc>
      </w:tr>
      <w:tr w:rsidR="0020138A" w:rsidRPr="00C8621E" w:rsidTr="00022C2D">
        <w:trPr>
          <w:trHeight w:val="228"/>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Adverse events costs</w:t>
            </w:r>
            <w:r w:rsidRPr="00C8621E">
              <w:rPr>
                <w:rFonts w:ascii="Arial Narrow" w:hAnsi="Arial Narrow"/>
                <w:sz w:val="20"/>
              </w:rPr>
              <w:t xml:space="preserve"> (November 2015</w:t>
            </w:r>
            <w:r w:rsidR="00C85800">
              <w:rPr>
                <w:rFonts w:ascii="Arial Narrow" w:hAnsi="Arial Narrow"/>
                <w:sz w:val="20"/>
              </w:rPr>
              <w:t xml:space="preserve"> PSD</w:t>
            </w:r>
            <w:r w:rsidRPr="00C8621E">
              <w:rPr>
                <w:rFonts w:ascii="Arial Narrow" w:hAnsi="Arial Narrow"/>
                <w:sz w:val="20"/>
              </w:rPr>
              <w:t xml:space="preserve">, paragraph 7.10).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noted the toxicity profile of </w:t>
            </w:r>
            <w:proofErr w:type="spellStart"/>
            <w:r w:rsidRPr="00C8621E">
              <w:rPr>
                <w:rFonts w:ascii="Arial Narrow" w:hAnsi="Arial Narrow"/>
                <w:sz w:val="20"/>
              </w:rPr>
              <w:t>vinflunine</w:t>
            </w:r>
            <w:proofErr w:type="spellEnd"/>
            <w:r w:rsidRPr="00C8621E">
              <w:rPr>
                <w:rFonts w:ascii="Arial Narrow" w:hAnsi="Arial Narrow"/>
                <w:sz w:val="20"/>
              </w:rPr>
              <w:t xml:space="preserve"> and that doubling the cost of treating AEs associated with </w:t>
            </w:r>
            <w:proofErr w:type="spellStart"/>
            <w:r w:rsidRPr="00C8621E">
              <w:rPr>
                <w:rFonts w:ascii="Arial Narrow" w:hAnsi="Arial Narrow"/>
                <w:sz w:val="20"/>
              </w:rPr>
              <w:t>vinflunine</w:t>
            </w:r>
            <w:proofErr w:type="spellEnd"/>
            <w:r w:rsidRPr="00C8621E">
              <w:rPr>
                <w:rFonts w:ascii="Arial Narrow" w:hAnsi="Arial Narrow"/>
                <w:sz w:val="20"/>
              </w:rPr>
              <w:t xml:space="preserve"> + BSC (from $</w:t>
            </w:r>
            <w:r w:rsidR="0097770C">
              <w:rPr>
                <w:rFonts w:ascii="Arial Narrow" w:hAnsi="Arial Narrow"/>
                <w:noProof/>
                <w:color w:val="000000"/>
                <w:sz w:val="20"/>
                <w:highlight w:val="black"/>
              </w:rPr>
              <w:t>''''''''''''''</w:t>
            </w:r>
            <w:r w:rsidRPr="00C8621E">
              <w:rPr>
                <w:rFonts w:ascii="Arial Narrow" w:hAnsi="Arial Narrow"/>
                <w:sz w:val="20"/>
              </w:rPr>
              <w:t xml:space="preserve"> to $</w:t>
            </w:r>
            <w:r w:rsidR="0097770C">
              <w:rPr>
                <w:rFonts w:ascii="Arial Narrow" w:hAnsi="Arial Narrow"/>
                <w:noProof/>
                <w:color w:val="000000"/>
                <w:sz w:val="20"/>
                <w:highlight w:val="black"/>
              </w:rPr>
              <w:t>''''''''''''''</w:t>
            </w:r>
            <w:r w:rsidRPr="00C8621E">
              <w:rPr>
                <w:rFonts w:ascii="Arial Narrow" w:hAnsi="Arial Narrow"/>
                <w:sz w:val="20"/>
              </w:rPr>
              <w:t xml:space="preserve">) but not changing the cost of treating BSC AEs ($5,415), increased the cost/QALYG from </w:t>
            </w:r>
            <w:r w:rsidR="00C85800" w:rsidRPr="00C85800">
              <w:rPr>
                <w:rFonts w:ascii="Arial Narrow" w:hAnsi="Arial Narrow"/>
                <w:sz w:val="20"/>
              </w:rPr>
              <w:t>$45,000 – $75,000</w:t>
            </w:r>
            <w:r w:rsidR="00C85800">
              <w:rPr>
                <w:rFonts w:ascii="Arial Narrow" w:hAnsi="Arial Narrow"/>
                <w:sz w:val="20"/>
              </w:rPr>
              <w:t xml:space="preserve"> </w:t>
            </w:r>
            <w:r w:rsidRPr="00C8621E">
              <w:rPr>
                <w:rFonts w:ascii="Arial Narrow" w:hAnsi="Arial Narrow"/>
                <w:sz w:val="20"/>
              </w:rPr>
              <w:t>to</w:t>
            </w:r>
            <w:r w:rsidR="00C85800">
              <w:rPr>
                <w:rFonts w:ascii="Arial Narrow" w:hAnsi="Arial Narrow"/>
                <w:sz w:val="20"/>
              </w:rPr>
              <w:t xml:space="preserve"> </w:t>
            </w:r>
            <w:r w:rsidR="00C85800" w:rsidRPr="00C85800">
              <w:rPr>
                <w:rFonts w:ascii="Arial Narrow" w:hAnsi="Arial Narrow"/>
                <w:sz w:val="20"/>
              </w:rPr>
              <w:t>$45,000 – $75,000</w:t>
            </w:r>
            <w:r w:rsidRPr="00C8621E">
              <w:rPr>
                <w:rFonts w:ascii="Arial Narrow" w:hAnsi="Arial Narrow"/>
                <w:sz w:val="20"/>
              </w:rPr>
              <w:t xml:space="preserve">.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also noted that: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The proportion of patients hospitalised rather than the number of hospitalisations was used.</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The costs for treating the more serious events were not included.</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Only the cost of specialist visits has been included for AEs treated outside the hospital setting.</w:t>
            </w:r>
          </w:p>
          <w:p w:rsidR="0020138A" w:rsidRPr="00C8621E" w:rsidRDefault="0020138A" w:rsidP="004919B2">
            <w:pPr>
              <w:widowControl/>
              <w:spacing w:before="60" w:after="60"/>
              <w:ind w:right="232"/>
              <w:rPr>
                <w:rFonts w:ascii="Arial Narrow" w:hAnsi="Arial Narrow"/>
                <w:sz w:val="20"/>
              </w:rPr>
            </w:pPr>
            <w:proofErr w:type="gramStart"/>
            <w:r w:rsidRPr="00C8621E">
              <w:rPr>
                <w:rFonts w:ascii="Arial Narrow" w:hAnsi="Arial Narrow"/>
                <w:sz w:val="20"/>
              </w:rPr>
              <w:t>( November</w:t>
            </w:r>
            <w:proofErr w:type="gramEnd"/>
            <w:r w:rsidRPr="00C8621E">
              <w:rPr>
                <w:rFonts w:ascii="Arial Narrow" w:hAnsi="Arial Narrow"/>
                <w:sz w:val="20"/>
              </w:rPr>
              <w:t xml:space="preserve"> 2015</w:t>
            </w:r>
            <w:r w:rsidR="00C85800">
              <w:rPr>
                <w:rFonts w:ascii="Arial Narrow" w:hAnsi="Arial Narrow"/>
                <w:sz w:val="20"/>
              </w:rPr>
              <w:t xml:space="preserve"> PSD</w:t>
            </w:r>
            <w:r w:rsidRPr="00C8621E">
              <w:rPr>
                <w:rFonts w:ascii="Arial Narrow" w:hAnsi="Arial Narrow"/>
                <w:sz w:val="20"/>
              </w:rPr>
              <w:t>, paragraph 6.24 Table 8).</w:t>
            </w:r>
          </w:p>
        </w:tc>
        <w:tc>
          <w:tcPr>
            <w:tcW w:w="4093" w:type="dxa"/>
            <w:shd w:val="clear" w:color="auto" w:fill="auto"/>
          </w:tcPr>
          <w:p w:rsidR="0020138A" w:rsidRPr="00C8621E" w:rsidRDefault="0020138A" w:rsidP="00E909AB">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no longer used treatment specific costs for hospitalised AEs for patients in the different treatment arms. Instead the </w:t>
            </w:r>
            <w:r w:rsidR="00FE4282" w:rsidRPr="00C8621E">
              <w:rPr>
                <w:rFonts w:ascii="Arial Narrow" w:hAnsi="Arial Narrow"/>
                <w:sz w:val="20"/>
              </w:rPr>
              <w:t>resubmission</w:t>
            </w:r>
            <w:r w:rsidRPr="00C8621E">
              <w:rPr>
                <w:rFonts w:ascii="Arial Narrow" w:hAnsi="Arial Narrow"/>
                <w:sz w:val="20"/>
              </w:rPr>
              <w:t xml:space="preserve"> applied the same cost ($</w:t>
            </w:r>
            <w:r w:rsidR="0097770C">
              <w:rPr>
                <w:rFonts w:ascii="Arial Narrow" w:hAnsi="Arial Narrow"/>
                <w:noProof/>
                <w:color w:val="000000"/>
                <w:sz w:val="20"/>
                <w:highlight w:val="black"/>
              </w:rPr>
              <w:t>''''''''''''''''''''</w:t>
            </w:r>
            <w:r w:rsidRPr="00C8621E">
              <w:rPr>
                <w:rFonts w:ascii="Arial Narrow" w:hAnsi="Arial Narrow"/>
                <w:sz w:val="20"/>
              </w:rPr>
              <w:t>) per hospitalised adverse event across the treatment arms.</w:t>
            </w:r>
          </w:p>
        </w:tc>
      </w:tr>
      <w:tr w:rsidR="0020138A" w:rsidRPr="00C8621E" w:rsidTr="00022C2D">
        <w:trPr>
          <w:trHeight w:val="338"/>
        </w:trPr>
        <w:tc>
          <w:tcPr>
            <w:tcW w:w="4990" w:type="dxa"/>
            <w:shd w:val="clear" w:color="auto" w:fill="auto"/>
          </w:tcPr>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u w:val="single"/>
              </w:rPr>
              <w:t>Cost to PBS/MBS</w:t>
            </w:r>
            <w:r w:rsidRPr="00C8621E">
              <w:rPr>
                <w:rFonts w:ascii="Arial Narrow" w:hAnsi="Arial Narrow"/>
                <w:sz w:val="20"/>
              </w:rPr>
              <w:t xml:space="preserve"> (</w:t>
            </w:r>
            <w:r w:rsidR="00C85800">
              <w:rPr>
                <w:rFonts w:ascii="Arial Narrow" w:hAnsi="Arial Narrow"/>
                <w:sz w:val="20"/>
              </w:rPr>
              <w:t xml:space="preserve">PSD </w:t>
            </w:r>
            <w:r w:rsidRPr="00C8621E">
              <w:rPr>
                <w:rFonts w:ascii="Arial Narrow" w:hAnsi="Arial Narrow"/>
                <w:sz w:val="20"/>
              </w:rPr>
              <w:t xml:space="preserve">November 2015, paragraph 7.11). </w:t>
            </w:r>
          </w:p>
          <w:p w:rsidR="0020138A" w:rsidRPr="00C8621E" w:rsidRDefault="0020138A" w:rsidP="004919B2">
            <w:pPr>
              <w:widowControl/>
              <w:spacing w:before="60" w:after="60"/>
              <w:ind w:right="232"/>
              <w:rPr>
                <w:rFonts w:ascii="Arial Narrow" w:hAnsi="Arial Narrow"/>
                <w:sz w:val="20"/>
              </w:rPr>
            </w:pPr>
            <w:r w:rsidRPr="00C8621E">
              <w:rPr>
                <w:rFonts w:ascii="Arial Narrow" w:hAnsi="Arial Narrow"/>
                <w:sz w:val="20"/>
              </w:rPr>
              <w:t xml:space="preserve">The PBAC noted that the resubmission estimated that </w:t>
            </w:r>
            <w:r w:rsidR="0097770C">
              <w:rPr>
                <w:rFonts w:ascii="Arial Narrow" w:hAnsi="Arial Narrow"/>
                <w:noProof/>
                <w:color w:val="000000"/>
                <w:sz w:val="20"/>
                <w:highlight w:val="black"/>
              </w:rPr>
              <w:t>''''''''''''''</w:t>
            </w:r>
            <w:r w:rsidRPr="00C8621E">
              <w:rPr>
                <w:rFonts w:ascii="Arial Narrow" w:hAnsi="Arial Narrow"/>
                <w:sz w:val="20"/>
              </w:rPr>
              <w:t xml:space="preserve"> patients would be treated over 5 years at a cost to PBS/MBS of </w:t>
            </w:r>
            <w:r w:rsidR="00C85800" w:rsidRPr="00C85800">
              <w:rPr>
                <w:rFonts w:ascii="Arial Narrow" w:hAnsi="Arial Narrow"/>
                <w:sz w:val="20"/>
              </w:rPr>
              <w:t>$10 – $20 million</w:t>
            </w:r>
            <w:r w:rsidRPr="00C8621E">
              <w:rPr>
                <w:rFonts w:ascii="Arial Narrow" w:hAnsi="Arial Narrow"/>
                <w:sz w:val="20"/>
              </w:rPr>
              <w:t xml:space="preserve">. The PBAC noted that the DUSC considered that there is potential for the net cost/year for the PBS to be less than the estimate in the resubmission given that the number of eligible patients has potentially been overestimated, based on the proposed restriction. However, countering this, the PBS costs associated with treating </w:t>
            </w:r>
            <w:proofErr w:type="spellStart"/>
            <w:r w:rsidRPr="00C8621E">
              <w:rPr>
                <w:rFonts w:ascii="Arial Narrow" w:hAnsi="Arial Narrow"/>
                <w:sz w:val="20"/>
              </w:rPr>
              <w:t>vinflunine</w:t>
            </w:r>
            <w:proofErr w:type="spellEnd"/>
            <w:r w:rsidRPr="00C8621E">
              <w:rPr>
                <w:rFonts w:ascii="Arial Narrow" w:hAnsi="Arial Narrow"/>
                <w:sz w:val="20"/>
              </w:rPr>
              <w:t xml:space="preserve"> adverse events were not considered.</w:t>
            </w:r>
          </w:p>
        </w:tc>
        <w:tc>
          <w:tcPr>
            <w:tcW w:w="4093" w:type="dxa"/>
            <w:shd w:val="clear" w:color="auto" w:fill="auto"/>
          </w:tcPr>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w:t>
            </w:r>
            <w:r w:rsidR="00FE4282" w:rsidRPr="00C8621E">
              <w:rPr>
                <w:rFonts w:ascii="Arial Narrow" w:hAnsi="Arial Narrow"/>
                <w:sz w:val="20"/>
              </w:rPr>
              <w:t>resubmission</w:t>
            </w:r>
            <w:r w:rsidRPr="00C8621E">
              <w:rPr>
                <w:rFonts w:ascii="Arial Narrow" w:hAnsi="Arial Narrow"/>
                <w:sz w:val="20"/>
              </w:rPr>
              <w:t xml:space="preserve"> argued that among the 2nd-line eligible patient group (i.e., only those who had not previously received adjuvant/neoadjuvant chemotherapy and have a PS of one or less) the uptake rate of </w:t>
            </w:r>
            <w:proofErr w:type="spellStart"/>
            <w:r w:rsidRPr="00C8621E">
              <w:rPr>
                <w:rFonts w:ascii="Arial Narrow" w:hAnsi="Arial Narrow"/>
                <w:sz w:val="20"/>
              </w:rPr>
              <w:t>vinflunine</w:t>
            </w:r>
            <w:proofErr w:type="spellEnd"/>
            <w:r w:rsidRPr="00C8621E">
              <w:rPr>
                <w:rFonts w:ascii="Arial Narrow" w:hAnsi="Arial Narrow"/>
                <w:sz w:val="20"/>
              </w:rPr>
              <w:t xml:space="preserve"> is assumed to be high (90%) because of the lack of other treatment options available.</w:t>
            </w:r>
          </w:p>
          <w:p w:rsidR="0020138A" w:rsidRPr="00C8621E" w:rsidRDefault="0020138A" w:rsidP="004919B2">
            <w:pPr>
              <w:widowControl/>
              <w:spacing w:before="60" w:after="60"/>
              <w:ind w:right="205"/>
              <w:rPr>
                <w:rFonts w:ascii="Arial Narrow" w:hAnsi="Arial Narrow"/>
                <w:sz w:val="20"/>
              </w:rPr>
            </w:pPr>
            <w:r w:rsidRPr="00C8621E">
              <w:rPr>
                <w:rFonts w:ascii="Arial Narrow" w:hAnsi="Arial Narrow"/>
                <w:sz w:val="20"/>
              </w:rPr>
              <w:t xml:space="preserve">The financial model in the </w:t>
            </w:r>
            <w:r w:rsidR="00FE4282" w:rsidRPr="00C8621E">
              <w:rPr>
                <w:rFonts w:ascii="Arial Narrow" w:hAnsi="Arial Narrow"/>
                <w:sz w:val="20"/>
              </w:rPr>
              <w:t>resubmission</w:t>
            </w:r>
            <w:r w:rsidRPr="00C8621E">
              <w:rPr>
                <w:rFonts w:ascii="Arial Narrow" w:hAnsi="Arial Narrow"/>
                <w:sz w:val="20"/>
              </w:rPr>
              <w:t xml:space="preserve"> was updated to reflect ESC and PBAC concerns; price has been lowered.</w:t>
            </w:r>
          </w:p>
        </w:tc>
      </w:tr>
    </w:tbl>
    <w:p w:rsidR="0020138A" w:rsidRPr="00C8621E" w:rsidRDefault="0020138A" w:rsidP="004919B2">
      <w:pPr>
        <w:pStyle w:val="TableFooter"/>
        <w:widowControl/>
        <w:rPr>
          <w:highlight w:val="cyan"/>
        </w:rPr>
      </w:pPr>
      <w:r w:rsidRPr="00C8621E">
        <w:t xml:space="preserve">AE: adverse event; BSC: best supportive care; </w:t>
      </w:r>
      <w:proofErr w:type="spellStart"/>
      <w:r w:rsidRPr="00C8621E">
        <w:t>HRQoL</w:t>
      </w:r>
      <w:proofErr w:type="spellEnd"/>
      <w:r w:rsidRPr="00C8621E">
        <w:t xml:space="preserve">: health related quality of life; ICER: incremental cost-effectiveness ratio; ITT: intention to treat; MBS: Medicare benefits schedule; </w:t>
      </w:r>
      <w:proofErr w:type="spellStart"/>
      <w:r w:rsidRPr="00C8621E">
        <w:t>mITT</w:t>
      </w:r>
      <w:proofErr w:type="spellEnd"/>
      <w:r w:rsidRPr="00C8621E">
        <w:t xml:space="preserve">: modified intention to treat; OS: overall survival; PBS: pharmaceutical benefits scheme; QALY: quality adjusted life year; RCT: randomised controlled trial; TCCU: transitional cell carcinoma of the urothelial tract; VFL: </w:t>
      </w:r>
      <w:proofErr w:type="spellStart"/>
      <w:r w:rsidRPr="00C8621E">
        <w:t>vinflunine</w:t>
      </w:r>
      <w:proofErr w:type="spellEnd"/>
      <w:r w:rsidRPr="00C8621E">
        <w:t>. Source: Complied during the evaluation.</w:t>
      </w:r>
    </w:p>
    <w:p w:rsidR="0020138A" w:rsidRPr="00C8621E" w:rsidRDefault="00035233" w:rsidP="004919B2">
      <w:pPr>
        <w:pStyle w:val="Heading1"/>
        <w:keepNext/>
        <w:keepLines/>
        <w:widowControl/>
        <w:numPr>
          <w:ilvl w:val="0"/>
          <w:numId w:val="32"/>
        </w:numPr>
        <w:spacing w:before="400" w:after="120"/>
        <w:ind w:left="709" w:hanging="709"/>
        <w:jc w:val="left"/>
        <w:rPr>
          <w:rFonts w:asciiTheme="minorHAnsi" w:hAnsiTheme="minorHAnsi" w:cstheme="minorHAnsi"/>
          <w:sz w:val="32"/>
        </w:rPr>
      </w:pPr>
      <w:bookmarkStart w:id="14" w:name="_Toc476306884"/>
      <w:bookmarkStart w:id="15" w:name="_Toc482713162"/>
      <w:r w:rsidRPr="00C8621E">
        <w:rPr>
          <w:rFonts w:asciiTheme="minorHAnsi" w:hAnsiTheme="minorHAnsi" w:cstheme="minorHAnsi"/>
          <w:caps w:val="0"/>
          <w:sz w:val="32"/>
        </w:rPr>
        <w:t>Population and disease</w:t>
      </w:r>
      <w:bookmarkEnd w:id="14"/>
      <w:bookmarkEnd w:id="15"/>
    </w:p>
    <w:p w:rsidR="0020138A" w:rsidRPr="00C8621E" w:rsidRDefault="0020138A" w:rsidP="004919B2">
      <w:pPr>
        <w:pStyle w:val="ListParagraph"/>
        <w:widowControl/>
        <w:numPr>
          <w:ilvl w:val="0"/>
          <w:numId w:val="9"/>
        </w:numPr>
        <w:spacing w:before="200" w:after="120"/>
        <w:contextualSpacing w:val="0"/>
        <w:jc w:val="left"/>
        <w:rPr>
          <w:b/>
          <w:vanish/>
        </w:rPr>
      </w:pP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Cancer of the </w:t>
      </w:r>
      <w:proofErr w:type="spellStart"/>
      <w:r w:rsidRPr="00C8621E">
        <w:rPr>
          <w:rFonts w:cstheme="minorHAnsi"/>
        </w:rPr>
        <w:t>urothelium</w:t>
      </w:r>
      <w:proofErr w:type="spellEnd"/>
      <w:r w:rsidRPr="00C8621E">
        <w:rPr>
          <w:rFonts w:cstheme="minorHAnsi"/>
        </w:rPr>
        <w:t xml:space="preserve">, known as transitional cell carcinoma of the urothelial tract or TCCU, represents greater than 90% of diagnosed bladder cancers. In invasive or metastatic TCCU, cancer that begins in the urothelial cells may spread through the lining of the bladder and invade the muscle wall of the bladder or spread to nearby organs such as the prostate, uterus, vagina, pelvic or abdominal wall and lymph nodes. Clinical management of advanced or metastatic TCCU typically involves surgery, chemotherapy and radiotherapy. </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resubmission proposed </w:t>
      </w:r>
      <w:proofErr w:type="spellStart"/>
      <w:r w:rsidRPr="00C8621E">
        <w:rPr>
          <w:rFonts w:cstheme="minorHAnsi"/>
        </w:rPr>
        <w:t>vinflunine</w:t>
      </w:r>
      <w:proofErr w:type="spellEnd"/>
      <w:r w:rsidRPr="00C8621E">
        <w:rPr>
          <w:rFonts w:cstheme="minorHAnsi"/>
        </w:rPr>
        <w:t xml:space="preserve"> as a treatment option for patients with advanced or metastatic TCCU who have failed treatment with chemotherapy regimens containing a platinum compound.</w:t>
      </w:r>
    </w:p>
    <w:p w:rsidR="0020138A" w:rsidRPr="00C8621E" w:rsidRDefault="00035233" w:rsidP="004919B2">
      <w:pPr>
        <w:pStyle w:val="Heading1"/>
        <w:keepNext/>
        <w:keepLines/>
        <w:widowControl/>
        <w:numPr>
          <w:ilvl w:val="0"/>
          <w:numId w:val="32"/>
        </w:numPr>
        <w:spacing w:before="400" w:after="120"/>
        <w:ind w:left="709" w:hanging="709"/>
        <w:jc w:val="left"/>
        <w:rPr>
          <w:rFonts w:asciiTheme="minorHAnsi" w:hAnsiTheme="minorHAnsi" w:cstheme="minorHAnsi"/>
          <w:sz w:val="32"/>
        </w:rPr>
      </w:pPr>
      <w:bookmarkStart w:id="16" w:name="_Toc413139275"/>
      <w:bookmarkStart w:id="17" w:name="_Toc476306885"/>
      <w:bookmarkStart w:id="18" w:name="_Toc482713163"/>
      <w:r w:rsidRPr="00C8621E">
        <w:rPr>
          <w:rFonts w:asciiTheme="minorHAnsi" w:hAnsiTheme="minorHAnsi" w:cstheme="minorHAnsi"/>
          <w:caps w:val="0"/>
          <w:sz w:val="32"/>
        </w:rPr>
        <w:t>Comparator</w:t>
      </w:r>
      <w:bookmarkEnd w:id="16"/>
      <w:bookmarkEnd w:id="17"/>
      <w:bookmarkEnd w:id="18"/>
    </w:p>
    <w:p w:rsidR="0020138A" w:rsidRPr="00C8621E" w:rsidRDefault="0020138A" w:rsidP="004919B2">
      <w:pPr>
        <w:pStyle w:val="ListParagraph"/>
        <w:widowControl/>
        <w:numPr>
          <w:ilvl w:val="0"/>
          <w:numId w:val="9"/>
        </w:numPr>
        <w:spacing w:before="200" w:after="120"/>
        <w:contextualSpacing w:val="0"/>
        <w:jc w:val="left"/>
        <w:rPr>
          <w:b/>
          <w:vanish/>
        </w:rPr>
      </w:pP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The resubmission nominated two compar</w:t>
      </w:r>
      <w:r w:rsidR="00974340" w:rsidRPr="00C8621E">
        <w:rPr>
          <w:rFonts w:cstheme="minorHAnsi"/>
        </w:rPr>
        <w:t>ators: active chemotherapy and best supportive c</w:t>
      </w:r>
      <w:r w:rsidRPr="00C8621E">
        <w:rPr>
          <w:rFonts w:cstheme="minorHAnsi"/>
        </w:rPr>
        <w:t xml:space="preserve">are (BSC). This is unchanged from the previous submissions. </w:t>
      </w:r>
    </w:p>
    <w:p w:rsidR="0020138A" w:rsidRPr="00C8621E" w:rsidRDefault="001A2F99" w:rsidP="004919B2">
      <w:pPr>
        <w:pStyle w:val="ListParagraph"/>
        <w:widowControl/>
        <w:numPr>
          <w:ilvl w:val="1"/>
          <w:numId w:val="9"/>
        </w:numPr>
        <w:spacing w:before="120" w:after="160"/>
        <w:contextualSpacing w:val="0"/>
        <w:rPr>
          <w:rFonts w:cstheme="minorHAnsi"/>
          <w:iCs/>
          <w:lang w:val="en-GB"/>
        </w:rPr>
      </w:pPr>
      <w:r w:rsidRPr="00C8621E">
        <w:rPr>
          <w:rFonts w:cstheme="minorHAnsi"/>
          <w:iCs/>
          <w:lang w:val="en-GB"/>
        </w:rPr>
        <w:t xml:space="preserve">The </w:t>
      </w:r>
      <w:r w:rsidR="0020138A" w:rsidRPr="00C8621E">
        <w:rPr>
          <w:rFonts w:cstheme="minorHAnsi"/>
          <w:iCs/>
          <w:lang w:val="en-GB"/>
        </w:rPr>
        <w:t xml:space="preserve">PBAC previously considered that “Whilst BSC is an appropriate comparator in determining the efficacy of </w:t>
      </w:r>
      <w:proofErr w:type="spellStart"/>
      <w:proofErr w:type="gramStart"/>
      <w:r w:rsidR="0020138A" w:rsidRPr="00C8621E">
        <w:rPr>
          <w:rFonts w:cstheme="minorHAnsi"/>
          <w:iCs/>
          <w:lang w:val="en-GB"/>
        </w:rPr>
        <w:t>vinflunine</w:t>
      </w:r>
      <w:proofErr w:type="spellEnd"/>
      <w:r w:rsidR="0020138A" w:rsidRPr="00C8621E">
        <w:rPr>
          <w:rFonts w:cstheme="minorHAnsi"/>
          <w:iCs/>
          <w:lang w:val="en-GB"/>
        </w:rPr>
        <w:t>,</w:t>
      </w:r>
      <w:proofErr w:type="gramEnd"/>
      <w:r w:rsidR="0020138A" w:rsidRPr="00C8621E">
        <w:rPr>
          <w:rFonts w:cstheme="minorHAnsi"/>
          <w:iCs/>
          <w:lang w:val="en-GB"/>
        </w:rPr>
        <w:t xml:space="preserve"> it is not relevant in Australian clinical practice as </w:t>
      </w:r>
      <w:proofErr w:type="spellStart"/>
      <w:r w:rsidR="0020138A" w:rsidRPr="00C8621E">
        <w:rPr>
          <w:rFonts w:cstheme="minorHAnsi"/>
          <w:iCs/>
          <w:lang w:val="en-GB"/>
        </w:rPr>
        <w:t>vinflunine</w:t>
      </w:r>
      <w:proofErr w:type="spellEnd"/>
      <w:r w:rsidR="0020138A" w:rsidRPr="00C8621E">
        <w:rPr>
          <w:rFonts w:cstheme="minorHAnsi"/>
          <w:iCs/>
          <w:lang w:val="en-GB"/>
        </w:rPr>
        <w:t xml:space="preserve"> will likely replace or defer other drugs. The PBAC considered that current standard of care is preferable for the determination of relative effectiveness and therefore the translatability of the trial data to the proposed use in Australia is an area of significant uncertainty.” (PSD, November 2015, paragraph 7.3).</w:t>
      </w:r>
    </w:p>
    <w:p w:rsidR="00165E15" w:rsidRPr="00165E15" w:rsidRDefault="0020138A" w:rsidP="00165E15">
      <w:pPr>
        <w:pStyle w:val="ListParagraph"/>
        <w:widowControl/>
        <w:numPr>
          <w:ilvl w:val="1"/>
          <w:numId w:val="9"/>
        </w:numPr>
        <w:spacing w:before="120" w:after="160"/>
        <w:contextualSpacing w:val="0"/>
        <w:rPr>
          <w:rFonts w:cstheme="minorHAnsi"/>
          <w:b/>
          <w:sz w:val="32"/>
        </w:rPr>
      </w:pPr>
      <w:r w:rsidRPr="00165E15">
        <w:rPr>
          <w:rFonts w:cstheme="minorHAnsi"/>
          <w:lang w:val="en-GB"/>
        </w:rPr>
        <w:t xml:space="preserve">The resubmission made no clinical claim </w:t>
      </w:r>
      <w:r w:rsidR="002A7482" w:rsidRPr="00165E15">
        <w:rPr>
          <w:rFonts w:cstheme="minorHAnsi"/>
          <w:lang w:val="en-GB"/>
        </w:rPr>
        <w:t xml:space="preserve">for </w:t>
      </w:r>
      <w:proofErr w:type="spellStart"/>
      <w:r w:rsidRPr="00165E15">
        <w:rPr>
          <w:rFonts w:cstheme="minorHAnsi"/>
          <w:lang w:val="en-GB"/>
        </w:rPr>
        <w:t>vinflunine</w:t>
      </w:r>
      <w:proofErr w:type="spellEnd"/>
      <w:r w:rsidRPr="00165E15">
        <w:rPr>
          <w:rFonts w:cstheme="minorHAnsi"/>
          <w:lang w:val="en-GB"/>
        </w:rPr>
        <w:t xml:space="preserve"> compared to active chemotherapy, and did not present an economic evaluation. The resubmission provided an updated literature search but </w:t>
      </w:r>
      <w:r w:rsidR="000F0597" w:rsidRPr="00165E15">
        <w:rPr>
          <w:rFonts w:cstheme="minorHAnsi"/>
          <w:lang w:val="en-GB"/>
        </w:rPr>
        <w:t>did not</w:t>
      </w:r>
      <w:r w:rsidRPr="00165E15">
        <w:rPr>
          <w:rFonts w:cstheme="minorHAnsi"/>
          <w:lang w:val="en-GB"/>
        </w:rPr>
        <w:t xml:space="preserve"> identify </w:t>
      </w:r>
      <w:r w:rsidR="000F0597" w:rsidRPr="00165E15">
        <w:rPr>
          <w:rFonts w:cstheme="minorHAnsi"/>
          <w:lang w:val="en-GB"/>
        </w:rPr>
        <w:t xml:space="preserve">any </w:t>
      </w:r>
      <w:r w:rsidRPr="00165E15">
        <w:rPr>
          <w:rFonts w:cstheme="minorHAnsi"/>
          <w:lang w:val="en-GB"/>
        </w:rPr>
        <w:t xml:space="preserve">new supporting evidence on chemotherapy comparisons.  </w:t>
      </w:r>
    </w:p>
    <w:p w:rsidR="009E24A7" w:rsidRDefault="009E24A7">
      <w:pPr>
        <w:widowControl/>
        <w:jc w:val="left"/>
        <w:rPr>
          <w:rFonts w:cstheme="minorHAnsi"/>
          <w:b/>
          <w:sz w:val="32"/>
        </w:rPr>
      </w:pPr>
      <w:bookmarkStart w:id="19" w:name="_Toc413139276"/>
      <w:bookmarkStart w:id="20" w:name="_Toc476306886"/>
      <w:bookmarkStart w:id="21" w:name="_Toc482713164"/>
      <w:r>
        <w:rPr>
          <w:rFonts w:cstheme="minorHAnsi"/>
          <w:caps/>
          <w:sz w:val="32"/>
        </w:rPr>
        <w:br w:type="page"/>
      </w:r>
    </w:p>
    <w:p w:rsidR="00165E15" w:rsidRPr="009E24A7" w:rsidRDefault="00035233" w:rsidP="00D1435A">
      <w:pPr>
        <w:pStyle w:val="Heading1"/>
        <w:keepNext/>
        <w:keepLines/>
        <w:widowControl/>
        <w:numPr>
          <w:ilvl w:val="0"/>
          <w:numId w:val="32"/>
        </w:numPr>
        <w:spacing w:before="400" w:after="120"/>
        <w:ind w:left="709" w:hanging="709"/>
        <w:jc w:val="left"/>
        <w:rPr>
          <w:szCs w:val="28"/>
        </w:rPr>
      </w:pPr>
      <w:r w:rsidRPr="009E24A7">
        <w:rPr>
          <w:rFonts w:asciiTheme="minorHAnsi" w:hAnsiTheme="minorHAnsi" w:cstheme="minorHAnsi"/>
          <w:caps w:val="0"/>
          <w:sz w:val="32"/>
        </w:rPr>
        <w:t>Consideration of the evidence</w:t>
      </w:r>
      <w:bookmarkStart w:id="22" w:name="_Toc413139277"/>
      <w:bookmarkStart w:id="23" w:name="_Toc476306887"/>
      <w:bookmarkStart w:id="24" w:name="_Toc482713165"/>
      <w:bookmarkEnd w:id="19"/>
      <w:bookmarkEnd w:id="20"/>
      <w:bookmarkEnd w:id="21"/>
    </w:p>
    <w:p w:rsidR="00D1435A" w:rsidRPr="00C8621E" w:rsidRDefault="00D1435A" w:rsidP="009E24A7">
      <w:pPr>
        <w:pStyle w:val="Heading2"/>
        <w:widowControl/>
        <w:rPr>
          <w:b w:val="0"/>
          <w:szCs w:val="22"/>
        </w:rPr>
      </w:pPr>
      <w:r w:rsidRPr="00C8621E">
        <w:rPr>
          <w:szCs w:val="28"/>
        </w:rPr>
        <w:t xml:space="preserve">Sponsor hearing </w:t>
      </w:r>
    </w:p>
    <w:p w:rsidR="004069E8" w:rsidRPr="004069E8" w:rsidRDefault="004069E8" w:rsidP="004069E8">
      <w:pPr>
        <w:pStyle w:val="ListParagraph"/>
        <w:widowControl/>
        <w:numPr>
          <w:ilvl w:val="0"/>
          <w:numId w:val="9"/>
        </w:numPr>
        <w:contextualSpacing w:val="0"/>
        <w:jc w:val="left"/>
        <w:rPr>
          <w:rFonts w:ascii="Arial" w:hAnsi="Arial"/>
          <w:vanish/>
          <w:sz w:val="22"/>
          <w:szCs w:val="22"/>
        </w:rPr>
      </w:pPr>
    </w:p>
    <w:p w:rsidR="009E24A7" w:rsidRPr="009E24A7" w:rsidRDefault="00D1435A" w:rsidP="009E24A7">
      <w:pPr>
        <w:pStyle w:val="ListParagraph"/>
        <w:widowControl/>
        <w:numPr>
          <w:ilvl w:val="1"/>
          <w:numId w:val="9"/>
        </w:numPr>
        <w:spacing w:before="120" w:after="160"/>
        <w:contextualSpacing w:val="0"/>
        <w:rPr>
          <w:szCs w:val="28"/>
        </w:rPr>
      </w:pPr>
      <w:r w:rsidRPr="009E24A7">
        <w:rPr>
          <w:rFonts w:cstheme="minorHAnsi"/>
          <w:szCs w:val="24"/>
        </w:rPr>
        <w:t>There was no hearing for this item.</w:t>
      </w:r>
    </w:p>
    <w:p w:rsidR="00D1435A" w:rsidRPr="009E24A7" w:rsidRDefault="009E24A7" w:rsidP="009E24A7">
      <w:pPr>
        <w:pStyle w:val="Heading2"/>
        <w:widowControl/>
        <w:rPr>
          <w:szCs w:val="28"/>
        </w:rPr>
      </w:pPr>
      <w:r w:rsidRPr="009E24A7">
        <w:rPr>
          <w:szCs w:val="28"/>
        </w:rPr>
        <w:t xml:space="preserve"> </w:t>
      </w:r>
      <w:r w:rsidR="00D1435A" w:rsidRPr="009E24A7">
        <w:rPr>
          <w:szCs w:val="28"/>
        </w:rPr>
        <w:t xml:space="preserve">Consumer comments </w:t>
      </w:r>
    </w:p>
    <w:p w:rsidR="00D1435A" w:rsidRPr="004069E8" w:rsidRDefault="00D1435A" w:rsidP="004069E8">
      <w:pPr>
        <w:pStyle w:val="ListParagraph"/>
        <w:widowControl/>
        <w:numPr>
          <w:ilvl w:val="1"/>
          <w:numId w:val="9"/>
        </w:numPr>
        <w:spacing w:before="120" w:after="160"/>
        <w:contextualSpacing w:val="0"/>
        <w:rPr>
          <w:rFonts w:cstheme="minorHAnsi"/>
          <w:szCs w:val="24"/>
        </w:rPr>
      </w:pPr>
      <w:r w:rsidRPr="004069E8">
        <w:rPr>
          <w:rFonts w:cstheme="minorHAnsi"/>
          <w:szCs w:val="24"/>
        </w:rPr>
        <w:t>No consumer comments were received for this item.</w:t>
      </w:r>
    </w:p>
    <w:p w:rsidR="0020138A" w:rsidRPr="00C8621E" w:rsidRDefault="0020138A" w:rsidP="004919B2">
      <w:pPr>
        <w:pStyle w:val="Heading2"/>
        <w:widowControl/>
        <w:rPr>
          <w:szCs w:val="28"/>
        </w:rPr>
      </w:pPr>
      <w:r w:rsidRPr="00C8621E">
        <w:rPr>
          <w:szCs w:val="28"/>
        </w:rPr>
        <w:t>Clinical trials</w:t>
      </w:r>
      <w:bookmarkEnd w:id="22"/>
      <w:bookmarkEnd w:id="23"/>
      <w:bookmarkEnd w:id="24"/>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resubmission was based on one direct head-to-head randomised trial (Study 302) comparing </w:t>
      </w:r>
      <w:proofErr w:type="spellStart"/>
      <w:r w:rsidRPr="00C8621E">
        <w:rPr>
          <w:rFonts w:cstheme="minorHAnsi"/>
          <w:szCs w:val="24"/>
        </w:rPr>
        <w:t>vinflunine</w:t>
      </w:r>
      <w:proofErr w:type="spellEnd"/>
      <w:r w:rsidRPr="00C8621E">
        <w:rPr>
          <w:rFonts w:cstheme="minorHAnsi"/>
          <w:szCs w:val="24"/>
        </w:rPr>
        <w:t xml:space="preserve"> + BSC to BSC (n=370). This trial was presented in both previous submissions.  </w:t>
      </w:r>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resubmission presented additional evidence regarding safety. Seven new citations confirmed safety issues previously reported in Study 302 and two single-arm studies (Study 202 and Study CA001). </w:t>
      </w:r>
    </w:p>
    <w:p w:rsidR="0020138A" w:rsidRPr="00C8621E" w:rsidRDefault="0020138A" w:rsidP="004919B2">
      <w:pPr>
        <w:pStyle w:val="ListParagraph"/>
        <w:widowControl/>
        <w:numPr>
          <w:ilvl w:val="1"/>
          <w:numId w:val="9"/>
        </w:numPr>
        <w:spacing w:before="120" w:after="160"/>
        <w:contextualSpacing w:val="0"/>
        <w:rPr>
          <w:rFonts w:cstheme="minorHAnsi"/>
          <w:szCs w:val="24"/>
        </w:rPr>
      </w:pPr>
      <w:proofErr w:type="gramStart"/>
      <w:r w:rsidRPr="00C8621E">
        <w:rPr>
          <w:rFonts w:cstheme="minorHAnsi"/>
          <w:szCs w:val="24"/>
        </w:rPr>
        <w:t xml:space="preserve">Details of the </w:t>
      </w:r>
      <w:r w:rsidR="009418BE" w:rsidRPr="00C8621E">
        <w:rPr>
          <w:rFonts w:cstheme="minorHAnsi"/>
          <w:szCs w:val="24"/>
        </w:rPr>
        <w:t xml:space="preserve">randomised </w:t>
      </w:r>
      <w:r w:rsidRPr="00C8621E">
        <w:rPr>
          <w:rFonts w:cstheme="minorHAnsi"/>
          <w:szCs w:val="24"/>
        </w:rPr>
        <w:t>trial presented in the resu</w:t>
      </w:r>
      <w:r w:rsidR="00FC30D7" w:rsidRPr="00C8621E">
        <w:rPr>
          <w:rFonts w:cstheme="minorHAnsi"/>
          <w:szCs w:val="24"/>
        </w:rPr>
        <w:t xml:space="preserve">bmission </w:t>
      </w:r>
      <w:r w:rsidR="009418BE" w:rsidRPr="00C8621E">
        <w:rPr>
          <w:rFonts w:cstheme="minorHAnsi"/>
          <w:szCs w:val="24"/>
        </w:rPr>
        <w:t>is</w:t>
      </w:r>
      <w:proofErr w:type="gramEnd"/>
      <w:r w:rsidR="009418BE" w:rsidRPr="00C8621E">
        <w:rPr>
          <w:rFonts w:cstheme="minorHAnsi"/>
          <w:szCs w:val="24"/>
        </w:rPr>
        <w:t xml:space="preserve"> </w:t>
      </w:r>
      <w:r w:rsidR="00FC30D7" w:rsidRPr="00C8621E">
        <w:rPr>
          <w:rFonts w:cstheme="minorHAnsi"/>
          <w:szCs w:val="24"/>
        </w:rPr>
        <w:t>provided in Table 3</w:t>
      </w:r>
      <w:r w:rsidRPr="00C8621E">
        <w:rPr>
          <w:rFonts w:cstheme="minorHAnsi"/>
          <w:szCs w:val="24"/>
        </w:rPr>
        <w:t xml:space="preserve">. </w:t>
      </w:r>
    </w:p>
    <w:p w:rsidR="0085585D" w:rsidRDefault="0085585D" w:rsidP="0085585D">
      <w:pPr>
        <w:pStyle w:val="Caption"/>
      </w:pPr>
      <w:r>
        <w:t xml:space="preserve">Table </w:t>
      </w:r>
      <w:r>
        <w:rPr>
          <w:noProof/>
        </w:rPr>
        <w:t>3</w:t>
      </w:r>
      <w:r w:rsidRPr="005F63AE">
        <w:t>: Randomised trial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5"/>
        <w:gridCol w:w="6362"/>
        <w:gridCol w:w="2136"/>
      </w:tblGrid>
      <w:tr w:rsidR="0020138A" w:rsidRPr="00C85800" w:rsidTr="00054116">
        <w:trPr>
          <w:tblHeader/>
        </w:trPr>
        <w:tc>
          <w:tcPr>
            <w:tcW w:w="32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Trial</w:t>
            </w:r>
          </w:p>
        </w:tc>
        <w:tc>
          <w:tcPr>
            <w:tcW w:w="350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Report</w:t>
            </w:r>
          </w:p>
        </w:tc>
        <w:tc>
          <w:tcPr>
            <w:tcW w:w="1176"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Publication citation</w:t>
            </w:r>
          </w:p>
        </w:tc>
      </w:tr>
      <w:tr w:rsidR="0020138A" w:rsidRPr="00C85800" w:rsidTr="00054116">
        <w:tc>
          <w:tcPr>
            <w:tcW w:w="5000" w:type="pct"/>
            <w:gridSpan w:val="3"/>
            <w:tcBorders>
              <w:bottom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Direct randomised trials</w:t>
            </w:r>
          </w:p>
        </w:tc>
      </w:tr>
      <w:tr w:rsidR="0020138A" w:rsidRPr="00C85800" w:rsidTr="00054116">
        <w:tc>
          <w:tcPr>
            <w:tcW w:w="322" w:type="pct"/>
            <w:tcBorders>
              <w:bottom w:val="nil"/>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Study 302</w:t>
            </w:r>
          </w:p>
        </w:tc>
        <w:tc>
          <w:tcPr>
            <w:tcW w:w="3502" w:type="pct"/>
            <w:tcBorders>
              <w:bottom w:val="nil"/>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Study reports</w:t>
            </w:r>
          </w:p>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 xml:space="preserve">Prospective, Randomised phase III Trial of IV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 xml:space="preserve"> plus Best Supportive Care as Second-Line Therapy versus Best Supportive Care after a Platinum-containing Regimen, in Patients with Advanced Transitional Cell Carcinoma of Urothelial Tract: Final Report. </w:t>
            </w:r>
          </w:p>
        </w:tc>
        <w:tc>
          <w:tcPr>
            <w:tcW w:w="1176" w:type="pct"/>
            <w:tcBorders>
              <w:bottom w:val="nil"/>
            </w:tcBorders>
          </w:tcPr>
          <w:p w:rsidR="0020138A" w:rsidRPr="00C85800" w:rsidRDefault="0020138A" w:rsidP="00295FF8">
            <w:pPr>
              <w:pStyle w:val="TableText1"/>
              <w:rPr>
                <w:rFonts w:ascii="Arial Narrow" w:hAnsi="Arial Narrow" w:cs="Arial"/>
                <w:i w:val="0"/>
                <w:sz w:val="20"/>
              </w:rPr>
            </w:pPr>
          </w:p>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December 2007 (November 2006 analysis) CSR</w:t>
            </w:r>
          </w:p>
          <w:p w:rsidR="0020138A" w:rsidRPr="00C85800" w:rsidRDefault="0020138A" w:rsidP="00295FF8">
            <w:pPr>
              <w:pStyle w:val="TableText1"/>
              <w:rPr>
                <w:rFonts w:ascii="Arial Narrow" w:hAnsi="Arial Narrow" w:cs="Arial"/>
                <w:i w:val="0"/>
                <w:sz w:val="20"/>
              </w:rPr>
            </w:pPr>
          </w:p>
        </w:tc>
      </w:tr>
      <w:tr w:rsidR="0020138A" w:rsidRPr="00C85800" w:rsidTr="00054116">
        <w:tc>
          <w:tcPr>
            <w:tcW w:w="322" w:type="pct"/>
            <w:tcBorders>
              <w:bottom w:val="nil"/>
            </w:tcBorders>
          </w:tcPr>
          <w:p w:rsidR="0020138A" w:rsidRPr="00C85800" w:rsidRDefault="0020138A" w:rsidP="00295FF8">
            <w:pPr>
              <w:pStyle w:val="TableText1"/>
              <w:rPr>
                <w:rFonts w:ascii="Arial Narrow" w:hAnsi="Arial Narrow" w:cs="Arial"/>
                <w:i w:val="0"/>
                <w:sz w:val="20"/>
              </w:rPr>
            </w:pPr>
          </w:p>
        </w:tc>
        <w:tc>
          <w:tcPr>
            <w:tcW w:w="3502" w:type="pct"/>
            <w:tcBorders>
              <w:bottom w:val="nil"/>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Publications</w:t>
            </w:r>
          </w:p>
        </w:tc>
        <w:tc>
          <w:tcPr>
            <w:tcW w:w="1176" w:type="pct"/>
            <w:tcBorders>
              <w:bottom w:val="nil"/>
            </w:tcBorders>
          </w:tcPr>
          <w:p w:rsidR="0020138A" w:rsidRPr="00C85800" w:rsidRDefault="0020138A" w:rsidP="00295FF8">
            <w:pPr>
              <w:pStyle w:val="TableText1"/>
              <w:rPr>
                <w:rFonts w:ascii="Arial Narrow" w:hAnsi="Arial Narrow" w:cs="Arial"/>
                <w:i w:val="0"/>
                <w:sz w:val="20"/>
              </w:rPr>
            </w:pPr>
          </w:p>
        </w:tc>
      </w:tr>
      <w:tr w:rsidR="0020138A" w:rsidRPr="00C85800" w:rsidTr="00054116">
        <w:tc>
          <w:tcPr>
            <w:tcW w:w="322" w:type="pct"/>
            <w:tcBorders>
              <w:top w:val="nil"/>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nil"/>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roofErr w:type="spellStart"/>
            <w:r w:rsidRPr="00C85800">
              <w:rPr>
                <w:rFonts w:ascii="Arial Narrow" w:hAnsi="Arial Narrow" w:cs="Arial"/>
                <w:i w:val="0"/>
                <w:sz w:val="20"/>
              </w:rPr>
              <w:t>Bellmunt</w:t>
            </w:r>
            <w:proofErr w:type="spellEnd"/>
            <w:r w:rsidRPr="00C85800">
              <w:rPr>
                <w:rFonts w:ascii="Arial Narrow" w:hAnsi="Arial Narrow" w:cs="Arial"/>
                <w:i w:val="0"/>
                <w:sz w:val="20"/>
              </w:rPr>
              <w:t xml:space="preserve">, J., Theodore, C., et al. "Phase III trial of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 xml:space="preserve"> plus best supportive care compared with best supportive care alone after a platinum-containing regimen in patients with advanced transitional cell carcinoma of the urothelial tract." (November 2006 analysis)</w:t>
            </w:r>
          </w:p>
        </w:tc>
        <w:tc>
          <w:tcPr>
            <w:tcW w:w="1176" w:type="pct"/>
            <w:tcBorders>
              <w:top w:val="nil"/>
              <w:left w:val="single" w:sz="4" w:space="0" w:color="auto"/>
              <w:bottom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Journal of Clinical Oncology (2009) 27(27): 4454-4461</w:t>
            </w:r>
          </w:p>
        </w:tc>
      </w:tr>
      <w:tr w:rsidR="0020138A" w:rsidRPr="00C85800" w:rsidTr="00054116">
        <w:tc>
          <w:tcPr>
            <w:tcW w:w="322" w:type="pct"/>
            <w:tcBorders>
              <w:top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roofErr w:type="spellStart"/>
            <w:r w:rsidRPr="00C85800">
              <w:rPr>
                <w:rFonts w:ascii="Arial Narrow" w:hAnsi="Arial Narrow" w:cs="Arial"/>
                <w:i w:val="0"/>
                <w:sz w:val="20"/>
              </w:rPr>
              <w:t>Bellmunt</w:t>
            </w:r>
            <w:proofErr w:type="spellEnd"/>
            <w:r w:rsidRPr="00C85800">
              <w:rPr>
                <w:rFonts w:ascii="Arial Narrow" w:hAnsi="Arial Narrow" w:cs="Arial"/>
                <w:i w:val="0"/>
                <w:sz w:val="20"/>
              </w:rPr>
              <w:t xml:space="preserve">, J., et al. "Long-term survival results of a randomised phase III trial of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 xml:space="preserve"> plus best supportive care versus best supportive care alone in advanced urothelial carcinoma patients after failure of platinum-based chemotherapy." (November 2008 analysis)</w:t>
            </w:r>
          </w:p>
        </w:tc>
        <w:tc>
          <w:tcPr>
            <w:tcW w:w="1176" w:type="pct"/>
            <w:tcBorders>
              <w:top w:val="single" w:sz="4" w:space="0" w:color="auto"/>
              <w:left w:val="single" w:sz="4" w:space="0" w:color="auto"/>
              <w:bottom w:val="single" w:sz="4" w:space="0" w:color="auto"/>
            </w:tcBorders>
          </w:tcPr>
          <w:p w:rsidR="0020138A" w:rsidRPr="00C85800" w:rsidRDefault="0020138A" w:rsidP="00295FF8">
            <w:pPr>
              <w:pStyle w:val="TableText1"/>
              <w:rPr>
                <w:rFonts w:ascii="Arial Narrow" w:hAnsi="Arial Narrow" w:cs="Arial"/>
                <w:i w:val="0"/>
                <w:sz w:val="20"/>
                <w:vertAlign w:val="superscript"/>
              </w:rPr>
            </w:pPr>
            <w:r w:rsidRPr="00C85800">
              <w:rPr>
                <w:rFonts w:ascii="Arial Narrow" w:hAnsi="Arial Narrow" w:cs="Arial"/>
                <w:i w:val="0"/>
                <w:sz w:val="20"/>
              </w:rPr>
              <w:t>Annals of oncology (2013) 24.6 (2013): 1466-1472</w:t>
            </w:r>
          </w:p>
          <w:p w:rsidR="0020138A" w:rsidRPr="00C85800" w:rsidRDefault="0020138A" w:rsidP="00295FF8">
            <w:pPr>
              <w:pStyle w:val="TableText1"/>
              <w:rPr>
                <w:rFonts w:ascii="Arial Narrow" w:hAnsi="Arial Narrow" w:cs="Arial"/>
                <w:i w:val="0"/>
                <w:sz w:val="20"/>
              </w:rPr>
            </w:pPr>
          </w:p>
        </w:tc>
      </w:tr>
      <w:tr w:rsidR="0020138A" w:rsidRPr="00C85800" w:rsidTr="00054116">
        <w:tc>
          <w:tcPr>
            <w:tcW w:w="322" w:type="pct"/>
            <w:tcBorders>
              <w:top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roofErr w:type="spellStart"/>
            <w:r w:rsidRPr="00C85800">
              <w:rPr>
                <w:rFonts w:ascii="Arial Narrow" w:hAnsi="Arial Narrow" w:cs="Arial"/>
                <w:i w:val="0"/>
                <w:sz w:val="20"/>
              </w:rPr>
              <w:t>Bellmunt</w:t>
            </w:r>
            <w:proofErr w:type="spellEnd"/>
            <w:r w:rsidRPr="00C85800">
              <w:rPr>
                <w:rFonts w:ascii="Arial Narrow" w:hAnsi="Arial Narrow" w:cs="Arial"/>
                <w:i w:val="0"/>
                <w:sz w:val="20"/>
              </w:rPr>
              <w:t xml:space="preserve"> </w:t>
            </w:r>
            <w:proofErr w:type="spellStart"/>
            <w:r w:rsidRPr="00C85800">
              <w:rPr>
                <w:rFonts w:ascii="Arial Narrow" w:hAnsi="Arial Narrow" w:cs="Arial"/>
                <w:i w:val="0"/>
                <w:sz w:val="20"/>
              </w:rPr>
              <w:t>Molins</w:t>
            </w:r>
            <w:proofErr w:type="spellEnd"/>
            <w:r w:rsidRPr="00C85800">
              <w:rPr>
                <w:rFonts w:ascii="Arial Narrow" w:hAnsi="Arial Narrow" w:cs="Arial"/>
                <w:i w:val="0"/>
                <w:sz w:val="20"/>
              </w:rPr>
              <w:t xml:space="preserve">, J., et al. "Randomised phase III trial of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 xml:space="preserve"> (V) plus best supportive care (B) </w:t>
            </w:r>
            <w:r w:rsidR="00286CE2" w:rsidRPr="00C85800">
              <w:rPr>
                <w:rFonts w:ascii="Arial Narrow" w:hAnsi="Arial Narrow" w:cs="Arial"/>
                <w:i w:val="0"/>
                <w:sz w:val="20"/>
              </w:rPr>
              <w:t>vs.</w:t>
            </w:r>
            <w:r w:rsidRPr="00C85800">
              <w:rPr>
                <w:rFonts w:ascii="Arial Narrow" w:hAnsi="Arial Narrow" w:cs="Arial"/>
                <w:i w:val="0"/>
                <w:sz w:val="20"/>
              </w:rPr>
              <w:t xml:space="preserve"> B alone as 2nd line therapy after a platinum-containing regimen in advanced transitional cell carcinoma of the </w:t>
            </w:r>
            <w:proofErr w:type="spellStart"/>
            <w:r w:rsidRPr="00C85800">
              <w:rPr>
                <w:rFonts w:ascii="Arial Narrow" w:hAnsi="Arial Narrow" w:cs="Arial"/>
                <w:i w:val="0"/>
                <w:sz w:val="20"/>
              </w:rPr>
              <w:t>urothelium</w:t>
            </w:r>
            <w:proofErr w:type="spellEnd"/>
            <w:r w:rsidRPr="00C85800">
              <w:rPr>
                <w:rFonts w:ascii="Arial Narrow" w:hAnsi="Arial Narrow" w:cs="Arial"/>
                <w:i w:val="0"/>
                <w:sz w:val="20"/>
              </w:rPr>
              <w:t xml:space="preserve"> (TCCU)." </w:t>
            </w:r>
          </w:p>
        </w:tc>
        <w:tc>
          <w:tcPr>
            <w:tcW w:w="1176" w:type="pct"/>
            <w:tcBorders>
              <w:top w:val="single" w:sz="4" w:space="0" w:color="auto"/>
              <w:left w:val="single" w:sz="4" w:space="0" w:color="auto"/>
              <w:bottom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ASCO Annual Meeting Proceedings (2008) Vol. 26. No. 15_suppl</w:t>
            </w:r>
          </w:p>
        </w:tc>
      </w:tr>
      <w:tr w:rsidR="0020138A" w:rsidRPr="00C85800" w:rsidTr="00054116">
        <w:tc>
          <w:tcPr>
            <w:tcW w:w="322" w:type="pct"/>
            <w:tcBorders>
              <w:top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roofErr w:type="spellStart"/>
            <w:r w:rsidRPr="00C85800">
              <w:rPr>
                <w:rFonts w:ascii="Arial Narrow" w:hAnsi="Arial Narrow" w:cs="Arial"/>
                <w:i w:val="0"/>
                <w:sz w:val="20"/>
              </w:rPr>
              <w:t>Bellmunt</w:t>
            </w:r>
            <w:proofErr w:type="spellEnd"/>
            <w:r w:rsidRPr="00C85800">
              <w:rPr>
                <w:rFonts w:ascii="Arial Narrow" w:hAnsi="Arial Narrow" w:cs="Arial"/>
                <w:i w:val="0"/>
                <w:sz w:val="20"/>
              </w:rPr>
              <w:t xml:space="preserve">, J., Choueiri, T. K., et al. "Prognostic factors in patients with advanced transitional cell carcinoma of the urothelial tract experiencing treatment failure with platinum-containing regimens." </w:t>
            </w:r>
          </w:p>
        </w:tc>
        <w:tc>
          <w:tcPr>
            <w:tcW w:w="1176" w:type="pct"/>
            <w:tcBorders>
              <w:top w:val="single" w:sz="4" w:space="0" w:color="auto"/>
              <w:left w:val="single" w:sz="4" w:space="0" w:color="auto"/>
              <w:bottom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Journal of Clinical Oncology (2010) 28(11): 1850-1855</w:t>
            </w:r>
          </w:p>
        </w:tc>
      </w:tr>
      <w:tr w:rsidR="0020138A" w:rsidRPr="00C85800" w:rsidTr="00054116">
        <w:tc>
          <w:tcPr>
            <w:tcW w:w="322" w:type="pct"/>
            <w:tcBorders>
              <w:top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single" w:sz="4" w:space="0" w:color="auto"/>
              <w:left w:val="single" w:sz="4" w:space="0" w:color="auto"/>
              <w:bottom w:val="single" w:sz="4" w:space="0" w:color="auto"/>
              <w:right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 xml:space="preserve">Von Der </w:t>
            </w:r>
            <w:proofErr w:type="spellStart"/>
            <w:r w:rsidRPr="00C85800">
              <w:rPr>
                <w:rFonts w:ascii="Arial Narrow" w:hAnsi="Arial Narrow" w:cs="Arial"/>
                <w:i w:val="0"/>
                <w:sz w:val="20"/>
              </w:rPr>
              <w:t>Maase</w:t>
            </w:r>
            <w:proofErr w:type="spellEnd"/>
            <w:r w:rsidRPr="00C85800">
              <w:rPr>
                <w:rFonts w:ascii="Arial Narrow" w:hAnsi="Arial Narrow" w:cs="Arial"/>
                <w:i w:val="0"/>
                <w:sz w:val="20"/>
              </w:rPr>
              <w:t xml:space="preserve">, H., James, N., et al. "Multicentre phase III trial comparing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 xml:space="preserve"> (V) plus best supportive care (BSC) </w:t>
            </w:r>
            <w:r w:rsidR="00286CE2" w:rsidRPr="00C85800">
              <w:rPr>
                <w:rFonts w:ascii="Arial Narrow" w:hAnsi="Arial Narrow" w:cs="Arial"/>
                <w:i w:val="0"/>
                <w:sz w:val="20"/>
              </w:rPr>
              <w:t>vs.</w:t>
            </w:r>
            <w:r w:rsidRPr="00C85800">
              <w:rPr>
                <w:rFonts w:ascii="Arial Narrow" w:hAnsi="Arial Narrow" w:cs="Arial"/>
                <w:i w:val="0"/>
                <w:sz w:val="20"/>
              </w:rPr>
              <w:t xml:space="preserve"> BSC alone as 2nd line therapy after a platinum-containing regimen, in advanced transitional cell carcinoma of the </w:t>
            </w:r>
            <w:proofErr w:type="spellStart"/>
            <w:r w:rsidRPr="00C85800">
              <w:rPr>
                <w:rFonts w:ascii="Arial Narrow" w:hAnsi="Arial Narrow" w:cs="Arial"/>
                <w:i w:val="0"/>
                <w:sz w:val="20"/>
              </w:rPr>
              <w:t>urothelium</w:t>
            </w:r>
            <w:proofErr w:type="spellEnd"/>
            <w:r w:rsidRPr="00C85800">
              <w:rPr>
                <w:rFonts w:ascii="Arial Narrow" w:hAnsi="Arial Narrow" w:cs="Arial"/>
                <w:i w:val="0"/>
                <w:sz w:val="20"/>
              </w:rPr>
              <w:t xml:space="preserve"> (TCCU)." </w:t>
            </w:r>
          </w:p>
        </w:tc>
        <w:tc>
          <w:tcPr>
            <w:tcW w:w="1176" w:type="pct"/>
            <w:tcBorders>
              <w:top w:val="single" w:sz="4" w:space="0" w:color="auto"/>
              <w:left w:val="single" w:sz="4" w:space="0" w:color="auto"/>
              <w:bottom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Annals of Oncology (2008) 19(S8): viii202</w:t>
            </w:r>
          </w:p>
          <w:p w:rsidR="0020138A" w:rsidRPr="00C85800" w:rsidRDefault="0020138A" w:rsidP="00295FF8">
            <w:pPr>
              <w:pStyle w:val="TableText1"/>
              <w:rPr>
                <w:rFonts w:ascii="Arial Narrow" w:hAnsi="Arial Narrow" w:cs="Arial"/>
                <w:i w:val="0"/>
                <w:sz w:val="20"/>
              </w:rPr>
            </w:pPr>
          </w:p>
        </w:tc>
      </w:tr>
      <w:tr w:rsidR="0020138A" w:rsidRPr="00C85800" w:rsidTr="00054116">
        <w:tc>
          <w:tcPr>
            <w:tcW w:w="322" w:type="pct"/>
            <w:tcBorders>
              <w:top w:val="single" w:sz="4" w:space="0" w:color="auto"/>
            </w:tcBorders>
          </w:tcPr>
          <w:p w:rsidR="0020138A" w:rsidRPr="00C85800" w:rsidRDefault="0020138A" w:rsidP="00295FF8">
            <w:pPr>
              <w:pStyle w:val="TableText1"/>
              <w:rPr>
                <w:rFonts w:ascii="Arial Narrow" w:hAnsi="Arial Narrow" w:cs="Arial"/>
                <w:i w:val="0"/>
                <w:sz w:val="20"/>
              </w:rPr>
            </w:pPr>
          </w:p>
        </w:tc>
        <w:tc>
          <w:tcPr>
            <w:tcW w:w="3502" w:type="pct"/>
            <w:tcBorders>
              <w:top w:val="single" w:sz="4" w:space="0" w:color="auto"/>
            </w:tcBorders>
          </w:tcPr>
          <w:p w:rsidR="0020138A" w:rsidRPr="00C85800" w:rsidRDefault="0020138A" w:rsidP="00295FF8">
            <w:pPr>
              <w:pStyle w:val="TableText1"/>
              <w:rPr>
                <w:rFonts w:ascii="Arial Narrow" w:hAnsi="Arial Narrow" w:cs="Arial"/>
                <w:i w:val="0"/>
                <w:sz w:val="20"/>
              </w:rPr>
            </w:pPr>
            <w:proofErr w:type="spellStart"/>
            <w:r w:rsidRPr="00C85800">
              <w:rPr>
                <w:rFonts w:ascii="Arial Narrow" w:hAnsi="Arial Narrow" w:cs="Arial"/>
                <w:i w:val="0"/>
                <w:sz w:val="20"/>
              </w:rPr>
              <w:t>Harshman</w:t>
            </w:r>
            <w:proofErr w:type="spellEnd"/>
            <w:r w:rsidRPr="00C85800">
              <w:rPr>
                <w:rFonts w:ascii="Arial Narrow" w:hAnsi="Arial Narrow" w:cs="Arial"/>
                <w:i w:val="0"/>
                <w:sz w:val="20"/>
              </w:rPr>
              <w:t xml:space="preserve">, L. C., et al. "The impact of prior platinum therapy on survival in patients with metastatic urothelial cancer receiving </w:t>
            </w:r>
            <w:proofErr w:type="spellStart"/>
            <w:r w:rsidRPr="00C85800">
              <w:rPr>
                <w:rFonts w:ascii="Arial Narrow" w:hAnsi="Arial Narrow" w:cs="Arial"/>
                <w:i w:val="0"/>
                <w:sz w:val="20"/>
              </w:rPr>
              <w:t>vinflunine</w:t>
            </w:r>
            <w:proofErr w:type="spellEnd"/>
            <w:r w:rsidRPr="00C85800">
              <w:rPr>
                <w:rFonts w:ascii="Arial Narrow" w:hAnsi="Arial Narrow" w:cs="Arial"/>
                <w:i w:val="0"/>
                <w:sz w:val="20"/>
              </w:rPr>
              <w:t>."</w:t>
            </w:r>
          </w:p>
        </w:tc>
        <w:tc>
          <w:tcPr>
            <w:tcW w:w="1176" w:type="pct"/>
            <w:tcBorders>
              <w:top w:val="single" w:sz="4" w:space="0" w:color="auto"/>
            </w:tcBorders>
          </w:tcPr>
          <w:p w:rsidR="0020138A" w:rsidRPr="00C85800" w:rsidRDefault="0020138A" w:rsidP="00295FF8">
            <w:pPr>
              <w:pStyle w:val="TableText1"/>
              <w:rPr>
                <w:rFonts w:ascii="Arial Narrow" w:hAnsi="Arial Narrow" w:cs="Arial"/>
                <w:i w:val="0"/>
                <w:sz w:val="20"/>
              </w:rPr>
            </w:pPr>
            <w:r w:rsidRPr="00C85800">
              <w:rPr>
                <w:rFonts w:ascii="Arial Narrow" w:hAnsi="Arial Narrow" w:cs="Arial"/>
                <w:i w:val="0"/>
                <w:sz w:val="20"/>
              </w:rPr>
              <w:t>British journal of cancer (2013) 109.10: 2548-2553</w:t>
            </w:r>
          </w:p>
        </w:tc>
      </w:tr>
    </w:tbl>
    <w:p w:rsidR="0020138A" w:rsidRPr="00C8621E" w:rsidRDefault="0020138A" w:rsidP="00624A60">
      <w:pPr>
        <w:pStyle w:val="TableFooter"/>
        <w:widowControl/>
      </w:pPr>
      <w:r w:rsidRPr="00C8621E">
        <w:t>Source: Table 2, COM 11-2015</w:t>
      </w:r>
    </w:p>
    <w:p w:rsidR="0020138A" w:rsidRPr="00C8621E" w:rsidRDefault="0020138A" w:rsidP="00624A60">
      <w:pPr>
        <w:pStyle w:val="TableFooter"/>
        <w:widowControl/>
      </w:pPr>
      <w:r w:rsidRPr="00C8621E">
        <w:t xml:space="preserve">Note: No new publications since the 2015 </w:t>
      </w:r>
      <w:r w:rsidR="00FE4282" w:rsidRPr="00C8621E">
        <w:t>resubmission</w:t>
      </w:r>
      <w:r w:rsidRPr="00C8621E">
        <w:t>.</w:t>
      </w:r>
    </w:p>
    <w:p w:rsidR="00A706EB"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Key features of the direct head-to-head randomised trial (Stud</w:t>
      </w:r>
      <w:r w:rsidR="00D13E4D" w:rsidRPr="00C8621E">
        <w:rPr>
          <w:rFonts w:cstheme="minorHAnsi"/>
        </w:rPr>
        <w:t>y 302) are summarised in Table 4</w:t>
      </w:r>
      <w:r w:rsidRPr="00C8621E">
        <w:rPr>
          <w:rFonts w:cstheme="minorHAnsi"/>
        </w:rPr>
        <w:t>.</w:t>
      </w:r>
    </w:p>
    <w:p w:rsidR="0085585D" w:rsidRDefault="0085585D" w:rsidP="0085585D">
      <w:pPr>
        <w:pStyle w:val="Caption"/>
      </w:pPr>
      <w:r>
        <w:t xml:space="preserve">Table </w:t>
      </w:r>
      <w:r>
        <w:rPr>
          <w:noProof/>
        </w:rPr>
        <w:t>4</w:t>
      </w:r>
      <w:r w:rsidRPr="00867C8B">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1"/>
        <w:gridCol w:w="383"/>
        <w:gridCol w:w="2262"/>
        <w:gridCol w:w="916"/>
        <w:gridCol w:w="2927"/>
        <w:gridCol w:w="1008"/>
        <w:gridCol w:w="1026"/>
      </w:tblGrid>
      <w:tr w:rsidR="0020138A" w:rsidRPr="00C85800" w:rsidTr="0085585D">
        <w:tc>
          <w:tcPr>
            <w:tcW w:w="309"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Trial</w:t>
            </w:r>
          </w:p>
        </w:tc>
        <w:tc>
          <w:tcPr>
            <w:tcW w:w="211"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N</w:t>
            </w:r>
          </w:p>
        </w:tc>
        <w:tc>
          <w:tcPr>
            <w:tcW w:w="1245"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Design/ duration</w:t>
            </w:r>
          </w:p>
        </w:tc>
        <w:tc>
          <w:tcPr>
            <w:tcW w:w="504"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Risk of bias</w:t>
            </w:r>
          </w:p>
        </w:tc>
        <w:tc>
          <w:tcPr>
            <w:tcW w:w="1611"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Patient population</w:t>
            </w:r>
          </w:p>
        </w:tc>
        <w:tc>
          <w:tcPr>
            <w:tcW w:w="555"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Outcomes</w:t>
            </w:r>
          </w:p>
        </w:tc>
        <w:tc>
          <w:tcPr>
            <w:tcW w:w="564"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Use in modelled evaluation</w:t>
            </w:r>
          </w:p>
        </w:tc>
      </w:tr>
      <w:tr w:rsidR="0020138A" w:rsidRPr="00C85800" w:rsidTr="00054116">
        <w:tc>
          <w:tcPr>
            <w:tcW w:w="5000" w:type="pct"/>
            <w:gridSpan w:val="7"/>
            <w:shd w:val="clear" w:color="auto" w:fill="auto"/>
            <w:vAlign w:val="center"/>
          </w:tcPr>
          <w:p w:rsidR="0020138A" w:rsidRPr="00C85800" w:rsidRDefault="0020138A" w:rsidP="00295FF8">
            <w:pPr>
              <w:pStyle w:val="TableText1"/>
              <w:rPr>
                <w:rFonts w:ascii="Arial Narrow" w:hAnsi="Arial Narrow" w:cs="Arial"/>
                <w:i w:val="0"/>
                <w:sz w:val="20"/>
                <w:lang w:val="en-US"/>
              </w:rPr>
            </w:pPr>
            <w:proofErr w:type="spellStart"/>
            <w:r w:rsidRPr="00C85800">
              <w:rPr>
                <w:rFonts w:ascii="Arial Narrow" w:hAnsi="Arial Narrow" w:cs="Arial"/>
                <w:i w:val="0"/>
                <w:sz w:val="20"/>
                <w:lang w:val="en-US"/>
              </w:rPr>
              <w:t>Vinflunine</w:t>
            </w:r>
            <w:proofErr w:type="spellEnd"/>
            <w:r w:rsidRPr="00C85800">
              <w:rPr>
                <w:rFonts w:ascii="Arial Narrow" w:hAnsi="Arial Narrow" w:cs="Arial"/>
                <w:i w:val="0"/>
                <w:sz w:val="20"/>
                <w:lang w:val="en-US"/>
              </w:rPr>
              <w:t xml:space="preserve"> + BSC vs. BSC </w:t>
            </w:r>
          </w:p>
        </w:tc>
      </w:tr>
      <w:tr w:rsidR="0020138A" w:rsidRPr="00C85800" w:rsidTr="0085585D">
        <w:tc>
          <w:tcPr>
            <w:tcW w:w="309"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 xml:space="preserve">Study 302 </w:t>
            </w:r>
          </w:p>
        </w:tc>
        <w:tc>
          <w:tcPr>
            <w:tcW w:w="211"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370</w:t>
            </w:r>
          </w:p>
        </w:tc>
        <w:tc>
          <w:tcPr>
            <w:tcW w:w="1245"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R, OL, MC,</w:t>
            </w:r>
          </w:p>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 xml:space="preserve">Median follow- up: </w:t>
            </w:r>
            <w:proofErr w:type="spellStart"/>
            <w:r w:rsidRPr="00C85800">
              <w:rPr>
                <w:rFonts w:ascii="Arial Narrow" w:hAnsi="Arial Narrow" w:cs="Arial"/>
                <w:i w:val="0"/>
                <w:sz w:val="20"/>
                <w:lang w:val="en-US"/>
              </w:rPr>
              <w:t>vinflunine</w:t>
            </w:r>
            <w:proofErr w:type="spellEnd"/>
            <w:r w:rsidRPr="00C85800">
              <w:rPr>
                <w:rFonts w:ascii="Arial Narrow" w:hAnsi="Arial Narrow" w:cs="Arial"/>
                <w:i w:val="0"/>
                <w:sz w:val="20"/>
                <w:lang w:val="en-US"/>
              </w:rPr>
              <w:t xml:space="preserve"> + BSC = 42 months; BSC = 45 months</w:t>
            </w:r>
          </w:p>
        </w:tc>
        <w:tc>
          <w:tcPr>
            <w:tcW w:w="504"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Low</w:t>
            </w:r>
          </w:p>
        </w:tc>
        <w:tc>
          <w:tcPr>
            <w:tcW w:w="1611"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Failed platinum based chemotherapy (first-line); PS 0 or 1; not received adjuvant/neoadjuvant chemotherapy treatment.</w:t>
            </w:r>
          </w:p>
        </w:tc>
        <w:tc>
          <w:tcPr>
            <w:tcW w:w="555"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OS, PFS, EORTC QLQ-C30</w:t>
            </w:r>
          </w:p>
        </w:tc>
        <w:tc>
          <w:tcPr>
            <w:tcW w:w="564" w:type="pct"/>
            <w:shd w:val="clear" w:color="auto" w:fill="auto"/>
            <w:vAlign w:val="center"/>
          </w:tcPr>
          <w:p w:rsidR="0020138A" w:rsidRPr="00C85800" w:rsidRDefault="0020138A" w:rsidP="00295FF8">
            <w:pPr>
              <w:pStyle w:val="TableText1"/>
              <w:rPr>
                <w:rFonts w:ascii="Arial Narrow" w:hAnsi="Arial Narrow" w:cs="Arial"/>
                <w:i w:val="0"/>
                <w:sz w:val="20"/>
                <w:lang w:val="en-US"/>
              </w:rPr>
            </w:pPr>
            <w:r w:rsidRPr="00C85800">
              <w:rPr>
                <w:rFonts w:ascii="Arial Narrow" w:hAnsi="Arial Narrow" w:cs="Arial"/>
                <w:i w:val="0"/>
                <w:sz w:val="20"/>
                <w:lang w:val="en-US"/>
              </w:rPr>
              <w:t>Used</w:t>
            </w:r>
          </w:p>
        </w:tc>
      </w:tr>
    </w:tbl>
    <w:p w:rsidR="0020138A" w:rsidRPr="00C8621E" w:rsidRDefault="0020138A" w:rsidP="004919B2">
      <w:pPr>
        <w:pStyle w:val="TableFooter"/>
        <w:widowControl/>
      </w:pPr>
      <w:r w:rsidRPr="00C8621E">
        <w:t>DB: double blind; MC: multi-centre; OL: open label; OS: overall survival; PFS: progression-free survival; R: randomised.</w:t>
      </w:r>
    </w:p>
    <w:p w:rsidR="0020138A" w:rsidRPr="00C8621E" w:rsidRDefault="0020138A" w:rsidP="004919B2">
      <w:pPr>
        <w:pStyle w:val="TableFooter"/>
        <w:widowControl/>
      </w:pPr>
      <w:r w:rsidRPr="00C8621E">
        <w:t>Source: Compiled during the evaluation and COM 11-2015.</w:t>
      </w:r>
    </w:p>
    <w:p w:rsidR="00A706EB" w:rsidRPr="00C8621E" w:rsidRDefault="00A706EB" w:rsidP="004919B2">
      <w:pPr>
        <w:pStyle w:val="BodyText"/>
        <w:widowControl/>
      </w:pPr>
      <w:bookmarkStart w:id="25" w:name="_Toc413139278"/>
      <w:bookmarkStart w:id="26" w:name="_Toc476306888"/>
    </w:p>
    <w:p w:rsidR="0020138A" w:rsidRPr="00C8621E" w:rsidRDefault="0020138A" w:rsidP="004919B2">
      <w:pPr>
        <w:pStyle w:val="Heading2"/>
        <w:widowControl/>
        <w:rPr>
          <w:szCs w:val="28"/>
        </w:rPr>
      </w:pPr>
      <w:bookmarkStart w:id="27" w:name="_Toc482713166"/>
      <w:r w:rsidRPr="00C8621E">
        <w:rPr>
          <w:szCs w:val="28"/>
        </w:rPr>
        <w:t>Comparative effectiveness</w:t>
      </w:r>
      <w:bookmarkEnd w:id="25"/>
      <w:bookmarkEnd w:id="26"/>
      <w:bookmarkEnd w:id="27"/>
      <w:r w:rsidRPr="00C8621E">
        <w:rPr>
          <w:szCs w:val="28"/>
        </w:rPr>
        <w:t xml:space="preserve"> </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The results presented are unchanged from previous submissions. Progression-free survival and overall survival results from Stu</w:t>
      </w:r>
      <w:r w:rsidR="002B2CD7" w:rsidRPr="00C8621E">
        <w:rPr>
          <w:rFonts w:cstheme="minorHAnsi"/>
        </w:rPr>
        <w:t>dy 302 are summarised in Table 5</w:t>
      </w:r>
      <w:r w:rsidRPr="00C8621E">
        <w:rPr>
          <w:rFonts w:cstheme="minorHAnsi"/>
        </w:rPr>
        <w:t xml:space="preserve"> for the intent-to-treat (ITT) and modified ITT (</w:t>
      </w:r>
      <w:proofErr w:type="spellStart"/>
      <w:r w:rsidRPr="00C8621E">
        <w:rPr>
          <w:rFonts w:cstheme="minorHAnsi"/>
        </w:rPr>
        <w:t>mITT</w:t>
      </w:r>
      <w:proofErr w:type="spellEnd"/>
      <w:r w:rsidRPr="00C8621E">
        <w:rPr>
          <w:rFonts w:cstheme="minorHAnsi"/>
        </w:rPr>
        <w:t xml:space="preserve">) populations. Kaplan-Meier plots are presented in Figure 1 of the section ‘Economic </w:t>
      </w:r>
      <w:proofErr w:type="gramStart"/>
      <w:r w:rsidRPr="00C8621E">
        <w:rPr>
          <w:rFonts w:cstheme="minorHAnsi"/>
        </w:rPr>
        <w:t>analysis’</w:t>
      </w:r>
      <w:proofErr w:type="gramEnd"/>
      <w:r w:rsidRPr="00C8621E">
        <w:rPr>
          <w:rFonts w:cstheme="minorHAnsi"/>
        </w:rPr>
        <w:t xml:space="preserve"> below.  </w:t>
      </w:r>
    </w:p>
    <w:p w:rsidR="0085585D" w:rsidRDefault="0085585D" w:rsidP="0085585D">
      <w:pPr>
        <w:pStyle w:val="Caption"/>
      </w:pPr>
      <w:r>
        <w:t xml:space="preserve">Table </w:t>
      </w:r>
      <w:r>
        <w:rPr>
          <w:noProof/>
        </w:rPr>
        <w:t>5</w:t>
      </w:r>
      <w:r w:rsidRPr="00367BCF">
        <w:t>: Results of overall and progression-free survival in the direct randomised trial (Study 302)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55"/>
        <w:gridCol w:w="1631"/>
        <w:gridCol w:w="1633"/>
        <w:gridCol w:w="1631"/>
        <w:gridCol w:w="1633"/>
      </w:tblGrid>
      <w:tr w:rsidR="0020138A" w:rsidRPr="00C85800" w:rsidTr="00054116">
        <w:tc>
          <w:tcPr>
            <w:tcW w:w="1406" w:type="pct"/>
            <w:vMerge w:val="restart"/>
          </w:tcPr>
          <w:p w:rsidR="0020138A" w:rsidRPr="00C85800" w:rsidRDefault="0020138A" w:rsidP="00295FF8">
            <w:pPr>
              <w:pStyle w:val="TableText1"/>
              <w:rPr>
                <w:rFonts w:ascii="Arial Narrow" w:hAnsi="Arial Narrow"/>
                <w:i w:val="0"/>
                <w:sz w:val="20"/>
              </w:rPr>
            </w:pP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ITT</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Modified ITT</w:t>
            </w:r>
          </w:p>
        </w:tc>
      </w:tr>
      <w:tr w:rsidR="0020138A" w:rsidRPr="00C85800" w:rsidTr="00054116">
        <w:trPr>
          <w:trHeight w:val="58"/>
        </w:trPr>
        <w:tc>
          <w:tcPr>
            <w:tcW w:w="1406" w:type="pct"/>
            <w:vMerge/>
            <w:shd w:val="clear" w:color="auto" w:fill="E6E6E6"/>
          </w:tcPr>
          <w:p w:rsidR="0020138A" w:rsidRPr="00C85800" w:rsidRDefault="0020138A" w:rsidP="00295FF8">
            <w:pPr>
              <w:pStyle w:val="TableText1"/>
              <w:rPr>
                <w:rFonts w:ascii="Arial Narrow" w:hAnsi="Arial Narrow"/>
                <w:i w:val="0"/>
                <w:sz w:val="20"/>
              </w:rPr>
            </w:pPr>
          </w:p>
        </w:tc>
        <w:tc>
          <w:tcPr>
            <w:tcW w:w="898" w:type="pct"/>
            <w:tcBorders>
              <w:bottom w:val="nil"/>
            </w:tcBorders>
          </w:tcPr>
          <w:p w:rsidR="0020138A" w:rsidRPr="00C85800" w:rsidRDefault="0020138A" w:rsidP="00295FF8">
            <w:pPr>
              <w:pStyle w:val="TableText1"/>
              <w:rPr>
                <w:rFonts w:ascii="Arial Narrow" w:hAnsi="Arial Narrow"/>
                <w:i w:val="0"/>
                <w:sz w:val="20"/>
              </w:rPr>
            </w:pPr>
            <w:proofErr w:type="spellStart"/>
            <w:r w:rsidRPr="00C85800">
              <w:rPr>
                <w:rFonts w:ascii="Arial Narrow" w:hAnsi="Arial Narrow"/>
                <w:i w:val="0"/>
                <w:sz w:val="20"/>
              </w:rPr>
              <w:t>Vinflunine</w:t>
            </w:r>
            <w:proofErr w:type="spellEnd"/>
            <w:r w:rsidRPr="00C85800">
              <w:rPr>
                <w:rFonts w:ascii="Arial Narrow" w:hAnsi="Arial Narrow"/>
                <w:i w:val="0"/>
                <w:sz w:val="20"/>
              </w:rPr>
              <w:t xml:space="preserve"> + BSC</w:t>
            </w:r>
          </w:p>
        </w:tc>
        <w:tc>
          <w:tcPr>
            <w:tcW w:w="899" w:type="pct"/>
            <w:tcBorders>
              <w:bottom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c>
          <w:tcPr>
            <w:tcW w:w="898" w:type="pct"/>
            <w:tcBorders>
              <w:bottom w:val="nil"/>
            </w:tcBorders>
          </w:tcPr>
          <w:p w:rsidR="0020138A" w:rsidRPr="00C85800" w:rsidRDefault="0020138A" w:rsidP="00295FF8">
            <w:pPr>
              <w:pStyle w:val="TableText1"/>
              <w:rPr>
                <w:rFonts w:ascii="Arial Narrow" w:hAnsi="Arial Narrow"/>
                <w:i w:val="0"/>
                <w:sz w:val="20"/>
              </w:rPr>
            </w:pPr>
            <w:proofErr w:type="spellStart"/>
            <w:r w:rsidRPr="00C85800">
              <w:rPr>
                <w:rFonts w:ascii="Arial Narrow" w:hAnsi="Arial Narrow"/>
                <w:i w:val="0"/>
                <w:sz w:val="20"/>
              </w:rPr>
              <w:t>Vinflunine</w:t>
            </w:r>
            <w:proofErr w:type="spellEnd"/>
            <w:r w:rsidRPr="00C85800">
              <w:rPr>
                <w:rFonts w:ascii="Arial Narrow" w:hAnsi="Arial Narrow"/>
                <w:i w:val="0"/>
                <w:sz w:val="20"/>
              </w:rPr>
              <w:t xml:space="preserve"> + BSC</w:t>
            </w:r>
          </w:p>
        </w:tc>
        <w:tc>
          <w:tcPr>
            <w:tcW w:w="899" w:type="pct"/>
            <w:tcBorders>
              <w:bottom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r>
      <w:tr w:rsidR="0020138A" w:rsidRPr="00C85800" w:rsidTr="00054116">
        <w:tc>
          <w:tcPr>
            <w:tcW w:w="1406" w:type="pct"/>
            <w:vMerge/>
            <w:shd w:val="clear" w:color="auto" w:fill="E6E6E6"/>
          </w:tcPr>
          <w:p w:rsidR="0020138A" w:rsidRPr="00C85800" w:rsidRDefault="0020138A" w:rsidP="00295FF8">
            <w:pPr>
              <w:pStyle w:val="TableText1"/>
              <w:rPr>
                <w:rFonts w:ascii="Arial Narrow" w:hAnsi="Arial Narrow"/>
                <w:i w:val="0"/>
                <w:sz w:val="20"/>
              </w:rPr>
            </w:pPr>
          </w:p>
        </w:tc>
        <w:tc>
          <w:tcPr>
            <w:tcW w:w="898" w:type="pct"/>
            <w:tcBorders>
              <w:top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N=253</w:t>
            </w:r>
          </w:p>
        </w:tc>
        <w:tc>
          <w:tcPr>
            <w:tcW w:w="899" w:type="pct"/>
            <w:tcBorders>
              <w:top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N=117</w:t>
            </w:r>
          </w:p>
        </w:tc>
        <w:tc>
          <w:tcPr>
            <w:tcW w:w="898" w:type="pct"/>
            <w:tcBorders>
              <w:top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N=249</w:t>
            </w:r>
          </w:p>
        </w:tc>
        <w:tc>
          <w:tcPr>
            <w:tcW w:w="899" w:type="pct"/>
            <w:tcBorders>
              <w:top w:val="nil"/>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N=108</w:t>
            </w:r>
          </w:p>
        </w:tc>
      </w:tr>
      <w:tr w:rsidR="0020138A" w:rsidRPr="00C85800" w:rsidTr="00054116">
        <w:tc>
          <w:tcPr>
            <w:tcW w:w="5000" w:type="pct"/>
            <w:gridSpan w:val="5"/>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OS analysis (Cut-off 30 Nov 2008)</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No. of events</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237</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115</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234</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108</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No. censored (%)</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16 (6.3)</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 (1.7)</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15 (6.0)</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Median (95% CI) (months)</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6.9 (5.7, 8.0)</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4.6 (4.1, 6.6)</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6.9 (5.7, 8.0)</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4.3 (3.8, 5.4)</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HR (95% CI)</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0.88 (0.70, 1.10)</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0.78 (0.61, 0.96)</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p value</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0.2613</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0.0227</w:t>
            </w:r>
          </w:p>
        </w:tc>
      </w:tr>
      <w:tr w:rsidR="0020138A" w:rsidRPr="00C85800" w:rsidTr="00054116">
        <w:tc>
          <w:tcPr>
            <w:tcW w:w="5000" w:type="pct"/>
            <w:gridSpan w:val="5"/>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PFS analysis </w:t>
            </w:r>
          </w:p>
        </w:tc>
      </w:tr>
      <w:tr w:rsidR="0020138A" w:rsidRPr="00C85800" w:rsidTr="00054116">
        <w:tc>
          <w:tcPr>
            <w:tcW w:w="1406" w:type="pct"/>
            <w:vAlign w:val="center"/>
          </w:tcPr>
          <w:p w:rsidR="0020138A" w:rsidRPr="00C85800" w:rsidRDefault="0020138A" w:rsidP="00295FF8">
            <w:pPr>
              <w:pStyle w:val="TableText1"/>
              <w:rPr>
                <w:rFonts w:ascii="Arial Narrow" w:hAnsi="Arial Narrow"/>
                <w:i w:val="0"/>
                <w:sz w:val="20"/>
              </w:rPr>
            </w:pP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ITT</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Response evaluable population </w:t>
            </w:r>
            <w:r w:rsidRPr="00C85800">
              <w:rPr>
                <w:rFonts w:ascii="Arial Narrow" w:hAnsi="Arial Narrow"/>
                <w:i w:val="0"/>
                <w:sz w:val="20"/>
                <w:vertAlign w:val="superscript"/>
              </w:rPr>
              <w:t>a</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No. of events</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237</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115</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203</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93</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No. censored (%)</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16 (6.3)</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 (1.7)</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12 (5.6)</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Median (95% CI) (months)</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2.8 (2.4, 3.4)</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1.4 (1.4, 1.5)</w:t>
            </w:r>
          </w:p>
        </w:tc>
        <w:tc>
          <w:tcPr>
            <w:tcW w:w="89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3.0 (2.7, 4.1)</w:t>
            </w:r>
          </w:p>
        </w:tc>
        <w:tc>
          <w:tcPr>
            <w:tcW w:w="89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1.4 (1.4, 1.5)</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HR (95% CI)</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0.58 (0.47, 0.73)</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0.41 (0.32, 0.53)</w:t>
            </w:r>
          </w:p>
        </w:tc>
      </w:tr>
      <w:tr w:rsidR="0020138A" w:rsidRPr="00C85800" w:rsidTr="00054116">
        <w:tc>
          <w:tcPr>
            <w:tcW w:w="1406"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p value</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&lt;0.0001</w:t>
            </w:r>
          </w:p>
        </w:tc>
        <w:tc>
          <w:tcPr>
            <w:tcW w:w="1797"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&lt;0.0001</w:t>
            </w:r>
          </w:p>
        </w:tc>
      </w:tr>
    </w:tbl>
    <w:p w:rsidR="0020138A" w:rsidRPr="00C8621E" w:rsidRDefault="0020138A" w:rsidP="004919B2">
      <w:pPr>
        <w:pStyle w:val="TableFooter"/>
        <w:widowControl/>
      </w:pPr>
      <w:r w:rsidRPr="00C8621E">
        <w:t xml:space="preserve">BSC: Best Supportive Care; CI: confidence interval; HR: hazard ratio; ITT: intent-to-treat; </w:t>
      </w:r>
      <w:proofErr w:type="spellStart"/>
      <w:r w:rsidRPr="00C8621E">
        <w:t>mITT</w:t>
      </w:r>
      <w:proofErr w:type="spellEnd"/>
      <w:r w:rsidRPr="00C8621E">
        <w:t>: modified intent-to-treat; OS: overall survival. Notes: a. Defined as per protocol plus remained on study until the first evaluation and received a minimum of two cycles/42 days of treatment, unless progression or early death, and all baseline lesions were to have been assessed with the same method of measurement as baseline. Source: Table 4 and Table B.6.2 COM 11-2015.</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A total of 248 patients received at least 1 dose of </w:t>
      </w:r>
      <w:proofErr w:type="spellStart"/>
      <w:r w:rsidR="00F33011" w:rsidRPr="00C8621E">
        <w:rPr>
          <w:rFonts w:cstheme="minorHAnsi"/>
        </w:rPr>
        <w:t>vinflunine</w:t>
      </w:r>
      <w:proofErr w:type="spellEnd"/>
      <w:r w:rsidRPr="00C8621E">
        <w:rPr>
          <w:rFonts w:cstheme="minorHAnsi"/>
        </w:rPr>
        <w:t>. In this group, 182</w:t>
      </w:r>
      <w:r w:rsidR="000F0597" w:rsidRPr="00C8621E">
        <w:rPr>
          <w:rFonts w:cstheme="minorHAnsi"/>
        </w:rPr>
        <w:t xml:space="preserve"> patients</w:t>
      </w:r>
      <w:r w:rsidRPr="00C8621E">
        <w:rPr>
          <w:rFonts w:cstheme="minorHAnsi"/>
        </w:rPr>
        <w:t xml:space="preserve"> received 280 mg/m² as their initial dose and 66 </w:t>
      </w:r>
      <w:r w:rsidR="000F0597" w:rsidRPr="00C8621E">
        <w:rPr>
          <w:rFonts w:cstheme="minorHAnsi"/>
        </w:rPr>
        <w:t xml:space="preserve">patients </w:t>
      </w:r>
      <w:r w:rsidRPr="00C8621E">
        <w:rPr>
          <w:rFonts w:cstheme="minorHAnsi"/>
        </w:rPr>
        <w:t>received 320</w:t>
      </w:r>
      <w:r w:rsidR="007C6DF5" w:rsidRPr="00C8621E">
        <w:rPr>
          <w:rFonts w:cstheme="minorHAnsi"/>
        </w:rPr>
        <w:t> </w:t>
      </w:r>
      <w:r w:rsidRPr="00C8621E">
        <w:rPr>
          <w:rFonts w:cstheme="minorHAnsi"/>
        </w:rPr>
        <w:t xml:space="preserve">mg/m² as their initial dose. The efficacy results in Table 5 combine the results of the two dose groups. </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w:t>
      </w:r>
      <w:proofErr w:type="spellStart"/>
      <w:r w:rsidRPr="00C8621E">
        <w:rPr>
          <w:rFonts w:cstheme="minorHAnsi"/>
        </w:rPr>
        <w:t>mITT</w:t>
      </w:r>
      <w:proofErr w:type="spellEnd"/>
      <w:r w:rsidRPr="00C8621E">
        <w:rPr>
          <w:rFonts w:cstheme="minorHAnsi"/>
        </w:rPr>
        <w:t xml:space="preserve"> population excluded 13 patients (4 [1.6%] from the </w:t>
      </w:r>
      <w:proofErr w:type="spellStart"/>
      <w:r w:rsidRPr="00C8621E">
        <w:rPr>
          <w:rFonts w:cstheme="minorHAnsi"/>
        </w:rPr>
        <w:t>vinflunine</w:t>
      </w:r>
      <w:proofErr w:type="spellEnd"/>
      <w:r w:rsidRPr="00C8621E">
        <w:rPr>
          <w:rFonts w:cstheme="minorHAnsi"/>
        </w:rPr>
        <w:t xml:space="preserve"> + BSC arm and 9 [7.7%] from the BSC arm) post-randomisation who did not meet the key trial inclusion and exclusion criteria. The 2015 resubmission considered the </w:t>
      </w:r>
      <w:proofErr w:type="spellStart"/>
      <w:r w:rsidRPr="00C8621E">
        <w:rPr>
          <w:rFonts w:cstheme="minorHAnsi"/>
        </w:rPr>
        <w:t>mITT</w:t>
      </w:r>
      <w:proofErr w:type="spellEnd"/>
      <w:r w:rsidRPr="00C8621E">
        <w:rPr>
          <w:rFonts w:cstheme="minorHAnsi"/>
        </w:rPr>
        <w:t xml:space="preserve"> population to be the most relevant population because the 13 excluded patients would not be eligible under the proposed PBS listing.</w:t>
      </w:r>
    </w:p>
    <w:p w:rsidR="00B71511" w:rsidRPr="00C8621E" w:rsidRDefault="00B71511" w:rsidP="006C08D9">
      <w:pPr>
        <w:pStyle w:val="ListParagraph"/>
        <w:widowControl/>
        <w:numPr>
          <w:ilvl w:val="1"/>
          <w:numId w:val="9"/>
        </w:numPr>
        <w:contextualSpacing w:val="0"/>
        <w:rPr>
          <w:rFonts w:cstheme="minorHAnsi"/>
        </w:rPr>
      </w:pPr>
      <w:r w:rsidRPr="00C8621E">
        <w:rPr>
          <w:rFonts w:cstheme="minorHAnsi"/>
        </w:rPr>
        <w:t xml:space="preserve">The ESC noted that the 13 patients were excluded from the </w:t>
      </w:r>
      <w:proofErr w:type="spellStart"/>
      <w:r w:rsidRPr="00C8621E">
        <w:rPr>
          <w:rFonts w:cstheme="minorHAnsi"/>
        </w:rPr>
        <w:t>mITT</w:t>
      </w:r>
      <w:proofErr w:type="spellEnd"/>
      <w:r w:rsidRPr="00C8621E">
        <w:rPr>
          <w:rFonts w:cstheme="minorHAnsi"/>
        </w:rPr>
        <w:t xml:space="preserve"> population for at least one of the following reasons</w:t>
      </w:r>
      <w:r w:rsidR="006C08D9" w:rsidRPr="00C8621E">
        <w:rPr>
          <w:rFonts w:cstheme="minorHAnsi"/>
        </w:rPr>
        <w:t xml:space="preserve"> (Table 2, p1469, </w:t>
      </w:r>
      <w:proofErr w:type="spellStart"/>
      <w:r w:rsidR="006C08D9" w:rsidRPr="00C8621E">
        <w:rPr>
          <w:rFonts w:cstheme="minorHAnsi"/>
        </w:rPr>
        <w:t>Bellmunt</w:t>
      </w:r>
      <w:proofErr w:type="spellEnd"/>
      <w:r w:rsidR="006C08D9" w:rsidRPr="00C8621E">
        <w:rPr>
          <w:rFonts w:cstheme="minorHAnsi"/>
        </w:rPr>
        <w:t>, J., et al. 2013):</w:t>
      </w:r>
    </w:p>
    <w:p w:rsidR="00B71511" w:rsidRPr="00C8621E" w:rsidRDefault="00B71511" w:rsidP="00B62681">
      <w:pPr>
        <w:pStyle w:val="ListParagraph"/>
        <w:widowControl/>
        <w:numPr>
          <w:ilvl w:val="0"/>
          <w:numId w:val="40"/>
        </w:numPr>
        <w:ind w:left="1080"/>
        <w:contextualSpacing w:val="0"/>
        <w:rPr>
          <w:rFonts w:cstheme="minorHAnsi"/>
        </w:rPr>
      </w:pPr>
      <w:r w:rsidRPr="00C8621E">
        <w:rPr>
          <w:rFonts w:cstheme="minorHAnsi"/>
        </w:rPr>
        <w:t xml:space="preserve">more than one line of chemo (n=1); </w:t>
      </w:r>
    </w:p>
    <w:p w:rsidR="00B71511" w:rsidRPr="00C8621E" w:rsidRDefault="00B71511" w:rsidP="00B62681">
      <w:pPr>
        <w:pStyle w:val="ListParagraph"/>
        <w:widowControl/>
        <w:numPr>
          <w:ilvl w:val="0"/>
          <w:numId w:val="40"/>
        </w:numPr>
        <w:ind w:left="1080"/>
        <w:contextualSpacing w:val="0"/>
        <w:rPr>
          <w:rFonts w:cstheme="minorHAnsi"/>
        </w:rPr>
      </w:pPr>
      <w:r w:rsidRPr="00C8621E">
        <w:rPr>
          <w:rFonts w:cstheme="minorHAnsi"/>
        </w:rPr>
        <w:t xml:space="preserve">no locally advanced or metastatic histologically proven transitional cell carcinoma of the </w:t>
      </w:r>
      <w:proofErr w:type="spellStart"/>
      <w:r w:rsidRPr="00C8621E">
        <w:rPr>
          <w:rFonts w:cstheme="minorHAnsi"/>
        </w:rPr>
        <w:t>urothelium</w:t>
      </w:r>
      <w:proofErr w:type="spellEnd"/>
      <w:r w:rsidRPr="00C8621E">
        <w:rPr>
          <w:rFonts w:cstheme="minorHAnsi"/>
        </w:rPr>
        <w:t xml:space="preserve"> (TCCU) at study entry</w:t>
      </w:r>
      <w:r w:rsidR="00B9037B" w:rsidRPr="00C8621E">
        <w:rPr>
          <w:rFonts w:cstheme="minorHAnsi"/>
        </w:rPr>
        <w:t xml:space="preserve"> (n=2);</w:t>
      </w:r>
    </w:p>
    <w:p w:rsidR="00B71511" w:rsidRPr="00C8621E" w:rsidRDefault="00B71511" w:rsidP="00B62681">
      <w:pPr>
        <w:pStyle w:val="ListParagraph"/>
        <w:widowControl/>
        <w:numPr>
          <w:ilvl w:val="0"/>
          <w:numId w:val="40"/>
        </w:numPr>
        <w:ind w:left="1080"/>
        <w:contextualSpacing w:val="0"/>
        <w:rPr>
          <w:rFonts w:cstheme="minorHAnsi"/>
        </w:rPr>
      </w:pPr>
      <w:r w:rsidRPr="00C8621E">
        <w:rPr>
          <w:rFonts w:cstheme="minorHAnsi"/>
        </w:rPr>
        <w:t xml:space="preserve">no progression after first-line platinum-containing chemotherapy for advanced disease (n=12); and </w:t>
      </w:r>
    </w:p>
    <w:p w:rsidR="00B71511" w:rsidRPr="00C8621E" w:rsidRDefault="00B71511" w:rsidP="00B62681">
      <w:pPr>
        <w:pStyle w:val="ListParagraph"/>
        <w:widowControl/>
        <w:numPr>
          <w:ilvl w:val="0"/>
          <w:numId w:val="40"/>
        </w:numPr>
        <w:ind w:left="1080"/>
        <w:contextualSpacing w:val="0"/>
        <w:rPr>
          <w:rFonts w:cstheme="minorHAnsi"/>
        </w:rPr>
      </w:pPr>
      <w:proofErr w:type="gramStart"/>
      <w:r w:rsidRPr="00C8621E">
        <w:rPr>
          <w:rFonts w:cstheme="minorHAnsi"/>
        </w:rPr>
        <w:t>received</w:t>
      </w:r>
      <w:proofErr w:type="gramEnd"/>
      <w:r w:rsidRPr="00C8621E">
        <w:rPr>
          <w:rFonts w:cstheme="minorHAnsi"/>
        </w:rPr>
        <w:t xml:space="preserve"> neoadjuvant or adjuvant chemo</w:t>
      </w:r>
      <w:r w:rsidR="007C6DF5" w:rsidRPr="00C8621E">
        <w:rPr>
          <w:rFonts w:cstheme="minorHAnsi"/>
        </w:rPr>
        <w:t>therapy</w:t>
      </w:r>
      <w:r w:rsidRPr="00C8621E">
        <w:rPr>
          <w:rFonts w:cstheme="minorHAnsi"/>
        </w:rPr>
        <w:t xml:space="preserve"> (n=10)</w:t>
      </w:r>
      <w:r w:rsidR="006C08D9" w:rsidRPr="00C8621E">
        <w:rPr>
          <w:rFonts w:cstheme="minorHAnsi"/>
        </w:rPr>
        <w:t>.</w:t>
      </w:r>
    </w:p>
    <w:p w:rsidR="00B71511" w:rsidRPr="00C8621E" w:rsidRDefault="00B71511" w:rsidP="00B62681">
      <w:pPr>
        <w:pStyle w:val="ListParagraph"/>
        <w:widowControl/>
        <w:contextualSpacing w:val="0"/>
        <w:rPr>
          <w:rFonts w:cstheme="minorHAnsi"/>
        </w:rPr>
      </w:pPr>
      <w:r w:rsidRPr="00C8621E">
        <w:rPr>
          <w:rFonts w:cstheme="minorHAnsi"/>
        </w:rPr>
        <w:t>The ESC considered that in the clinical</w:t>
      </w:r>
      <w:r w:rsidR="00B62681" w:rsidRPr="00C8621E">
        <w:rPr>
          <w:rFonts w:cstheme="minorHAnsi"/>
        </w:rPr>
        <w:t xml:space="preserve"> practice</w:t>
      </w:r>
      <w:r w:rsidRPr="00C8621E">
        <w:rPr>
          <w:rFonts w:cstheme="minorHAnsi"/>
        </w:rPr>
        <w:t xml:space="preserve"> setting, patients requiring treatment with </w:t>
      </w:r>
      <w:proofErr w:type="spellStart"/>
      <w:r w:rsidRPr="00C8621E">
        <w:rPr>
          <w:rFonts w:cstheme="minorHAnsi"/>
        </w:rPr>
        <w:t>vinflunine</w:t>
      </w:r>
      <w:proofErr w:type="spellEnd"/>
      <w:r w:rsidRPr="00C8621E">
        <w:rPr>
          <w:rFonts w:cstheme="minorHAnsi"/>
        </w:rPr>
        <w:t xml:space="preserve"> may also fall under one of the above criteria, and as such, the ESC considered the ITT population to be the preferred basis to assess clinical efficacy and cost effectiveness.  </w:t>
      </w:r>
      <w:r w:rsidR="001A2F99" w:rsidRPr="00C8621E">
        <w:rPr>
          <w:rFonts w:cstheme="minorHAnsi"/>
        </w:rPr>
        <w:t>The PBAC agreed with the ESC’s views</w:t>
      </w:r>
      <w:r w:rsidR="00C61561">
        <w:rPr>
          <w:rFonts w:cstheme="minorHAnsi"/>
        </w:rPr>
        <w:t xml:space="preserve">, and also considered that post-hoc exclusion of patients after randomisation </w:t>
      </w:r>
      <w:r w:rsidR="00CF3F8A">
        <w:rPr>
          <w:rFonts w:cstheme="minorHAnsi"/>
        </w:rPr>
        <w:t xml:space="preserve">was </w:t>
      </w:r>
      <w:r w:rsidR="0046591A">
        <w:rPr>
          <w:rFonts w:cstheme="minorHAnsi"/>
        </w:rPr>
        <w:t xml:space="preserve">inappropriate due to the high risk of </w:t>
      </w:r>
      <w:r w:rsidR="00C61561">
        <w:rPr>
          <w:rFonts w:cstheme="minorHAnsi"/>
        </w:rPr>
        <w:t>selection bias</w:t>
      </w:r>
      <w:r w:rsidR="001A2F99" w:rsidRPr="00C8621E">
        <w:rPr>
          <w:rFonts w:cstheme="minorHAnsi"/>
        </w:rPr>
        <w:t>.</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2015 resubmission used the </w:t>
      </w:r>
      <w:proofErr w:type="spellStart"/>
      <w:r w:rsidRPr="00C8621E">
        <w:rPr>
          <w:rFonts w:cstheme="minorHAnsi"/>
        </w:rPr>
        <w:t>mITT</w:t>
      </w:r>
      <w:proofErr w:type="spellEnd"/>
      <w:r w:rsidRPr="00C8621E">
        <w:rPr>
          <w:rFonts w:cstheme="minorHAnsi"/>
        </w:rPr>
        <w:t xml:space="preserve"> population in the economic evaluation. </w:t>
      </w:r>
      <w:r w:rsidR="001A2F99" w:rsidRPr="00C8621E">
        <w:rPr>
          <w:rFonts w:cstheme="minorHAnsi"/>
        </w:rPr>
        <w:t xml:space="preserve">At </w:t>
      </w:r>
      <w:r w:rsidR="004069E8" w:rsidRPr="00C8621E">
        <w:rPr>
          <w:rFonts w:cstheme="minorHAnsi"/>
        </w:rPr>
        <w:t>its</w:t>
      </w:r>
      <w:r w:rsidR="001A2F99" w:rsidRPr="00C8621E">
        <w:rPr>
          <w:rFonts w:cstheme="minorHAnsi"/>
        </w:rPr>
        <w:t xml:space="preserve"> November 2015 meeting, the PBAC considered</w:t>
      </w:r>
      <w:r w:rsidR="00321137" w:rsidRPr="00C8621E">
        <w:rPr>
          <w:rFonts w:cstheme="minorHAnsi"/>
        </w:rPr>
        <w:t xml:space="preserve"> the results were</w:t>
      </w:r>
      <w:r w:rsidRPr="00C8621E">
        <w:rPr>
          <w:rFonts w:cstheme="minorHAnsi"/>
        </w:rPr>
        <w:t xml:space="preserve"> highly uncertai</w:t>
      </w:r>
      <w:r w:rsidR="00321137" w:rsidRPr="00C8621E">
        <w:rPr>
          <w:rFonts w:cstheme="minorHAnsi"/>
        </w:rPr>
        <w:t>n as they were</w:t>
      </w:r>
      <w:r w:rsidRPr="00C8621E">
        <w:rPr>
          <w:rFonts w:cstheme="minorHAnsi"/>
        </w:rPr>
        <w:t xml:space="preserve"> based on the eligible ITT</w:t>
      </w:r>
      <w:r w:rsidR="003A1966" w:rsidRPr="00C8621E">
        <w:rPr>
          <w:rFonts w:cstheme="minorHAnsi"/>
        </w:rPr>
        <w:t xml:space="preserve"> [</w:t>
      </w:r>
      <w:proofErr w:type="spellStart"/>
      <w:r w:rsidR="003A1966" w:rsidRPr="00C8621E">
        <w:rPr>
          <w:rFonts w:cstheme="minorHAnsi"/>
        </w:rPr>
        <w:t>mITT</w:t>
      </w:r>
      <w:proofErr w:type="spellEnd"/>
      <w:r w:rsidR="003A1966" w:rsidRPr="00C8621E">
        <w:rPr>
          <w:rFonts w:cstheme="minorHAnsi"/>
        </w:rPr>
        <w:t>]</w:t>
      </w:r>
      <w:r w:rsidRPr="00C8621E">
        <w:rPr>
          <w:rFonts w:cstheme="minorHAnsi"/>
        </w:rPr>
        <w:t xml:space="preserve"> population rather than the ITT population. </w:t>
      </w:r>
      <w:r w:rsidR="00321137" w:rsidRPr="00C8621E">
        <w:rPr>
          <w:rFonts w:cstheme="minorHAnsi"/>
        </w:rPr>
        <w:t xml:space="preserve">The </w:t>
      </w:r>
      <w:r w:rsidRPr="00C8621E">
        <w:rPr>
          <w:rFonts w:cstheme="minorHAnsi"/>
        </w:rPr>
        <w:t xml:space="preserve">PBAC recommended that a major resubmission would need to apply the assessment of the comparative clinical effectiveness and cost effectiveness of </w:t>
      </w:r>
      <w:proofErr w:type="spellStart"/>
      <w:r w:rsidRPr="00C8621E">
        <w:rPr>
          <w:rFonts w:cstheme="minorHAnsi"/>
        </w:rPr>
        <w:t>vinflunine</w:t>
      </w:r>
      <w:proofErr w:type="spellEnd"/>
      <w:r w:rsidRPr="00C8621E">
        <w:rPr>
          <w:rFonts w:cstheme="minorHAnsi"/>
        </w:rPr>
        <w:t xml:space="preserve"> versus best supportive care using the ITT trial population (</w:t>
      </w:r>
      <w:r w:rsidR="00EF4CD9">
        <w:rPr>
          <w:rFonts w:cstheme="minorHAnsi"/>
        </w:rPr>
        <w:t>PSD</w:t>
      </w:r>
      <w:r w:rsidRPr="00C8621E">
        <w:rPr>
          <w:rFonts w:cstheme="minorHAnsi"/>
        </w:rPr>
        <w:t xml:space="preserve"> November 2015, paragraph 7.12).</w:t>
      </w:r>
    </w:p>
    <w:p w:rsidR="00C714B3" w:rsidRPr="00C8621E" w:rsidRDefault="00C714B3" w:rsidP="004919B2">
      <w:pPr>
        <w:pStyle w:val="ListParagraph"/>
        <w:widowControl/>
        <w:numPr>
          <w:ilvl w:val="1"/>
          <w:numId w:val="9"/>
        </w:numPr>
        <w:spacing w:before="120" w:after="160"/>
        <w:contextualSpacing w:val="0"/>
        <w:rPr>
          <w:rFonts w:cstheme="minorHAnsi"/>
        </w:rPr>
      </w:pPr>
      <w:r w:rsidRPr="00C8621E">
        <w:rPr>
          <w:rFonts w:cstheme="minorHAnsi"/>
        </w:rPr>
        <w:t xml:space="preserve">The pre-PBAC response (p1) argued that despite the PBAC’s concerns regarding bias associated with the </w:t>
      </w:r>
      <w:proofErr w:type="spellStart"/>
      <w:r w:rsidRPr="00C8621E">
        <w:rPr>
          <w:rFonts w:cstheme="minorHAnsi"/>
        </w:rPr>
        <w:t>mITT</w:t>
      </w:r>
      <w:proofErr w:type="spellEnd"/>
      <w:r w:rsidRPr="00C8621E">
        <w:rPr>
          <w:rFonts w:cstheme="minorHAnsi"/>
        </w:rPr>
        <w:t xml:space="preserve"> population, the submission presented an</w:t>
      </w:r>
      <w:r w:rsidR="001A2F99" w:rsidRPr="00C8621E">
        <w:rPr>
          <w:rFonts w:cstheme="minorHAnsi"/>
        </w:rPr>
        <w:t xml:space="preserve"> otherwise robust estimate of the</w:t>
      </w:r>
      <w:r w:rsidRPr="00C8621E">
        <w:rPr>
          <w:rFonts w:cstheme="minorHAnsi"/>
        </w:rPr>
        <w:t xml:space="preserve"> ICER/QALY.  </w:t>
      </w:r>
    </w:p>
    <w:p w:rsidR="00A27D9E" w:rsidRPr="00C8621E" w:rsidRDefault="00A27D9E" w:rsidP="004919B2">
      <w:pPr>
        <w:pStyle w:val="ListParagraph"/>
        <w:widowControl/>
        <w:numPr>
          <w:ilvl w:val="1"/>
          <w:numId w:val="9"/>
        </w:numPr>
        <w:spacing w:before="120" w:after="160"/>
        <w:contextualSpacing w:val="0"/>
        <w:rPr>
          <w:rFonts w:cstheme="minorHAnsi"/>
        </w:rPr>
      </w:pPr>
      <w:r w:rsidRPr="00C8621E">
        <w:rPr>
          <w:rFonts w:cstheme="minorHAnsi"/>
        </w:rPr>
        <w:t xml:space="preserve">The PBAC noted the p value for the ITT results </w:t>
      </w:r>
      <w:r w:rsidR="00E07937">
        <w:rPr>
          <w:rFonts w:cstheme="minorHAnsi"/>
        </w:rPr>
        <w:t xml:space="preserve">showed a non-significant </w:t>
      </w:r>
      <w:r w:rsidRPr="00C8621E">
        <w:rPr>
          <w:rFonts w:cstheme="minorHAnsi"/>
        </w:rPr>
        <w:t>(</w:t>
      </w:r>
      <w:r w:rsidR="00E07937">
        <w:rPr>
          <w:rFonts w:cstheme="minorHAnsi"/>
        </w:rPr>
        <w:t>p=</w:t>
      </w:r>
      <w:r w:rsidRPr="00C8621E">
        <w:rPr>
          <w:rFonts w:cstheme="minorHAnsi"/>
        </w:rPr>
        <w:t xml:space="preserve">0.2613) </w:t>
      </w:r>
      <w:r w:rsidR="00E07937">
        <w:rPr>
          <w:rFonts w:cstheme="minorHAnsi"/>
        </w:rPr>
        <w:t xml:space="preserve">and quantitatively small improvement in median survival. </w:t>
      </w:r>
      <w:r w:rsidR="00CA4BF8">
        <w:rPr>
          <w:rFonts w:cstheme="minorHAnsi"/>
        </w:rPr>
        <w:t xml:space="preserve">The </w:t>
      </w:r>
      <w:r w:rsidR="00E07937">
        <w:rPr>
          <w:rFonts w:cstheme="minorHAnsi"/>
        </w:rPr>
        <w:t xml:space="preserve">PBAC </w:t>
      </w:r>
      <w:r w:rsidRPr="00C8621E">
        <w:rPr>
          <w:rFonts w:cstheme="minorHAnsi"/>
        </w:rPr>
        <w:t>considered that the</w:t>
      </w:r>
      <w:r w:rsidR="00E07937">
        <w:rPr>
          <w:rFonts w:cstheme="minorHAnsi"/>
        </w:rPr>
        <w:t>se</w:t>
      </w:r>
      <w:r w:rsidR="00797642" w:rsidRPr="00C8621E">
        <w:rPr>
          <w:rFonts w:cstheme="minorHAnsi"/>
        </w:rPr>
        <w:t xml:space="preserve"> </w:t>
      </w:r>
      <w:r w:rsidR="00E07937">
        <w:rPr>
          <w:rFonts w:cstheme="minorHAnsi"/>
        </w:rPr>
        <w:t xml:space="preserve">small differences observed in </w:t>
      </w:r>
      <w:r w:rsidR="00797642" w:rsidRPr="00C8621E">
        <w:rPr>
          <w:rFonts w:cstheme="minorHAnsi"/>
        </w:rPr>
        <w:t xml:space="preserve">the ITT analysis may be due to chance and may not be realised in the clinical practice setting. The PBAC considered noted that the </w:t>
      </w:r>
      <w:proofErr w:type="spellStart"/>
      <w:r w:rsidR="00797642" w:rsidRPr="00C8621E">
        <w:rPr>
          <w:rFonts w:cstheme="minorHAnsi"/>
        </w:rPr>
        <w:t>mITT</w:t>
      </w:r>
      <w:proofErr w:type="spellEnd"/>
      <w:r w:rsidR="00797642" w:rsidRPr="00C8621E">
        <w:rPr>
          <w:rFonts w:cstheme="minorHAnsi"/>
        </w:rPr>
        <w:t xml:space="preserve"> analysis was post-hoc and considered that this was subject to bias. </w:t>
      </w:r>
    </w:p>
    <w:p w:rsidR="0020138A" w:rsidRPr="00C8621E" w:rsidRDefault="0020138A" w:rsidP="004919B2">
      <w:pPr>
        <w:pStyle w:val="Heading2"/>
        <w:widowControl/>
        <w:rPr>
          <w:rFonts w:cstheme="minorHAnsi"/>
        </w:rPr>
      </w:pPr>
      <w:bookmarkStart w:id="28" w:name="_Toc413139279"/>
      <w:bookmarkStart w:id="29" w:name="_Toc476306889"/>
      <w:bookmarkStart w:id="30" w:name="_Toc482713167"/>
      <w:r w:rsidRPr="00C8621E">
        <w:rPr>
          <w:rFonts w:cstheme="minorHAnsi"/>
        </w:rPr>
        <w:t>Comparative harms</w:t>
      </w:r>
      <w:bookmarkEnd w:id="28"/>
      <w:bookmarkEnd w:id="29"/>
      <w:bookmarkEnd w:id="30"/>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A summary of the adverse events reported in S</w:t>
      </w:r>
      <w:r w:rsidR="00D13E4D" w:rsidRPr="00C8621E">
        <w:rPr>
          <w:rFonts w:cstheme="minorHAnsi"/>
        </w:rPr>
        <w:t>tudy 302 is presented in Table 6</w:t>
      </w:r>
      <w:r w:rsidRPr="00C8621E">
        <w:rPr>
          <w:rFonts w:cstheme="minorHAnsi"/>
        </w:rPr>
        <w:t>. This is unchanged from the previous resubmission.</w:t>
      </w:r>
    </w:p>
    <w:p w:rsidR="0085585D" w:rsidRDefault="0085585D" w:rsidP="0085585D">
      <w:pPr>
        <w:pStyle w:val="Caption"/>
      </w:pPr>
      <w:r>
        <w:t xml:space="preserve">Table </w:t>
      </w:r>
      <w:r>
        <w:rPr>
          <w:noProof/>
        </w:rPr>
        <w:t>6</w:t>
      </w:r>
      <w:r w:rsidRPr="00AB5097">
        <w:t>: Results of AEs in the direct randomised trial (Study 302)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76"/>
        <w:gridCol w:w="976"/>
        <w:gridCol w:w="1198"/>
        <w:gridCol w:w="1198"/>
        <w:gridCol w:w="1198"/>
        <w:gridCol w:w="1078"/>
        <w:gridCol w:w="989"/>
      </w:tblGrid>
      <w:tr w:rsidR="00752B04" w:rsidRPr="00C85800" w:rsidTr="0085585D">
        <w:tc>
          <w:tcPr>
            <w:tcW w:w="882" w:type="pct"/>
            <w:tcBorders>
              <w:bottom w:val="nil"/>
            </w:tcBorders>
          </w:tcPr>
          <w:p w:rsidR="0020138A" w:rsidRPr="00C85800" w:rsidRDefault="0020138A" w:rsidP="00295FF8">
            <w:pPr>
              <w:pStyle w:val="TableText1"/>
              <w:rPr>
                <w:rFonts w:ascii="Arial Narrow" w:hAnsi="Arial Narrow"/>
                <w:i w:val="0"/>
                <w:sz w:val="20"/>
              </w:rPr>
            </w:pPr>
          </w:p>
        </w:tc>
        <w:tc>
          <w:tcPr>
            <w:tcW w:w="528"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 BSC (N=248)</w:t>
            </w:r>
          </w:p>
        </w:tc>
        <w:tc>
          <w:tcPr>
            <w:tcW w:w="528"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(N=117)</w:t>
            </w:r>
          </w:p>
        </w:tc>
        <w:tc>
          <w:tcPr>
            <w:tcW w:w="1944"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VFL+BSC vs. BSC</w:t>
            </w:r>
          </w:p>
        </w:tc>
        <w:tc>
          <w:tcPr>
            <w:tcW w:w="583"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Initial VFL dose 280 mg/m² (N=182)</w:t>
            </w:r>
          </w:p>
        </w:tc>
        <w:tc>
          <w:tcPr>
            <w:tcW w:w="535"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Initial VFL dose 320 mg/m² (N=66)</w:t>
            </w:r>
          </w:p>
        </w:tc>
      </w:tr>
      <w:tr w:rsidR="00752B04" w:rsidRPr="00C85800" w:rsidTr="0085585D">
        <w:tc>
          <w:tcPr>
            <w:tcW w:w="882" w:type="pct"/>
            <w:tcBorders>
              <w:top w:val="nil"/>
            </w:tcBorders>
          </w:tcPr>
          <w:p w:rsidR="0020138A" w:rsidRPr="00C85800" w:rsidRDefault="0020138A" w:rsidP="00295FF8">
            <w:pPr>
              <w:pStyle w:val="TableText1"/>
              <w:rPr>
                <w:rFonts w:ascii="Arial Narrow" w:hAnsi="Arial Narrow"/>
                <w:i w:val="0"/>
                <w:sz w:val="20"/>
              </w:rPr>
            </w:pPr>
          </w:p>
        </w:tc>
        <w:tc>
          <w:tcPr>
            <w:tcW w:w="528" w:type="pct"/>
            <w:vMerge/>
          </w:tcPr>
          <w:p w:rsidR="0020138A" w:rsidRPr="00C85800" w:rsidRDefault="0020138A" w:rsidP="00295FF8">
            <w:pPr>
              <w:pStyle w:val="TableText1"/>
              <w:rPr>
                <w:rFonts w:ascii="Arial Narrow" w:hAnsi="Arial Narrow"/>
                <w:i w:val="0"/>
                <w:sz w:val="20"/>
              </w:rPr>
            </w:pPr>
          </w:p>
        </w:tc>
        <w:tc>
          <w:tcPr>
            <w:tcW w:w="528" w:type="pct"/>
            <w:vMerge/>
          </w:tcPr>
          <w:p w:rsidR="0020138A" w:rsidRPr="00C85800" w:rsidRDefault="0020138A" w:rsidP="00295FF8">
            <w:pPr>
              <w:pStyle w:val="TableText1"/>
              <w:rPr>
                <w:rFonts w:ascii="Arial Narrow" w:hAnsi="Arial Narrow"/>
                <w:i w:val="0"/>
                <w:sz w:val="20"/>
              </w:rPr>
            </w:pP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RR</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(95% CI)</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RD</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(95% CI)</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NNH</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(95% CI)</w:t>
            </w:r>
          </w:p>
        </w:tc>
        <w:tc>
          <w:tcPr>
            <w:tcW w:w="583" w:type="pct"/>
            <w:vMerge/>
          </w:tcPr>
          <w:p w:rsidR="0020138A" w:rsidRPr="00C85800" w:rsidRDefault="0020138A" w:rsidP="00295FF8">
            <w:pPr>
              <w:pStyle w:val="TableText1"/>
              <w:rPr>
                <w:rFonts w:ascii="Arial Narrow" w:hAnsi="Arial Narrow"/>
                <w:i w:val="0"/>
                <w:sz w:val="20"/>
              </w:rPr>
            </w:pPr>
          </w:p>
        </w:tc>
        <w:tc>
          <w:tcPr>
            <w:tcW w:w="535" w:type="pct"/>
            <w:vMerge/>
          </w:tcPr>
          <w:p w:rsidR="0020138A" w:rsidRPr="00C85800" w:rsidRDefault="0020138A" w:rsidP="00295FF8">
            <w:pPr>
              <w:pStyle w:val="TableText1"/>
              <w:rPr>
                <w:rFonts w:ascii="Arial Narrow" w:hAnsi="Arial Narrow"/>
                <w:i w:val="0"/>
                <w:sz w:val="20"/>
              </w:rPr>
            </w:pPr>
          </w:p>
        </w:tc>
      </w:tr>
      <w:tr w:rsidR="00752B04" w:rsidRPr="00C85800" w:rsidTr="0085585D">
        <w:tc>
          <w:tcPr>
            <w:tcW w:w="88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AEs</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248 (100.0)</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117 (100.0)</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648" w:type="pct"/>
          </w:tcPr>
          <w:p w:rsidR="0020138A" w:rsidRPr="00C85800" w:rsidRDefault="0020138A" w:rsidP="00295FF8">
            <w:pPr>
              <w:pStyle w:val="TableText1"/>
              <w:rPr>
                <w:rFonts w:ascii="Arial Narrow" w:hAnsi="Arial Narrow"/>
                <w:i w:val="0"/>
                <w:sz w:val="20"/>
              </w:rPr>
            </w:pPr>
            <w:proofErr w:type="spellStart"/>
            <w:r w:rsidRPr="00C85800">
              <w:rPr>
                <w:rFonts w:ascii="Arial Narrow" w:hAnsi="Arial Narrow"/>
                <w:i w:val="0"/>
                <w:sz w:val="20"/>
              </w:rPr>
              <w:t>n.c.</w:t>
            </w:r>
            <w:proofErr w:type="spellEnd"/>
          </w:p>
        </w:tc>
        <w:tc>
          <w:tcPr>
            <w:tcW w:w="583"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182</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(100.0)</w:t>
            </w:r>
          </w:p>
        </w:tc>
        <w:tc>
          <w:tcPr>
            <w:tcW w:w="535"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66</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(100.0)</w:t>
            </w:r>
          </w:p>
        </w:tc>
      </w:tr>
      <w:tr w:rsidR="00752B04" w:rsidRPr="00C85800" w:rsidTr="0085585D">
        <w:tc>
          <w:tcPr>
            <w:tcW w:w="88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SAEs</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153 (61.7)</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55 (47.0)</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1.31</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(1.06, 1.63)</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0.15</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(0.04, 0.26)</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6.81</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(26.32, 3.91)</w:t>
            </w:r>
          </w:p>
        </w:tc>
        <w:tc>
          <w:tcPr>
            <w:tcW w:w="583"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113</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(62.1)</w:t>
            </w:r>
          </w:p>
        </w:tc>
        <w:tc>
          <w:tcPr>
            <w:tcW w:w="535"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40</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(60.6)</w:t>
            </w:r>
          </w:p>
        </w:tc>
      </w:tr>
      <w:tr w:rsidR="00752B04" w:rsidRPr="00C85800" w:rsidTr="0085585D">
        <w:tc>
          <w:tcPr>
            <w:tcW w:w="88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Deaths within 30 </w:t>
            </w:r>
            <w:proofErr w:type="spellStart"/>
            <w:r w:rsidRPr="00C85800">
              <w:rPr>
                <w:rFonts w:ascii="Arial Narrow" w:hAnsi="Arial Narrow"/>
                <w:i w:val="0"/>
                <w:sz w:val="20"/>
              </w:rPr>
              <w:t>days</w:t>
            </w:r>
            <w:r w:rsidRPr="00C85800">
              <w:rPr>
                <w:rFonts w:ascii="Arial Narrow" w:hAnsi="Arial Narrow"/>
                <w:i w:val="0"/>
                <w:sz w:val="20"/>
                <w:vertAlign w:val="superscript"/>
              </w:rPr>
              <w:t>a</w:t>
            </w:r>
            <w:proofErr w:type="spellEnd"/>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28 (11.3)</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27 (23.1)</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0.49</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(0.30, 0.79)</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-0.12</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(-0.20, -0.03)</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-8.48</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(-4.90, -31.25)</w:t>
            </w:r>
          </w:p>
        </w:tc>
        <w:tc>
          <w:tcPr>
            <w:tcW w:w="583"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25</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(13.7)</w:t>
            </w:r>
          </w:p>
        </w:tc>
        <w:tc>
          <w:tcPr>
            <w:tcW w:w="535"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3</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(4.5)</w:t>
            </w:r>
          </w:p>
        </w:tc>
      </w:tr>
      <w:tr w:rsidR="00752B04" w:rsidRPr="00C85800" w:rsidTr="0085585D">
        <w:tc>
          <w:tcPr>
            <w:tcW w:w="88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AEs leading to discontinuation</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56 (22.6)</w:t>
            </w:r>
          </w:p>
        </w:tc>
        <w:tc>
          <w:tcPr>
            <w:tcW w:w="52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8</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(6.8)</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3.30</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(1.63,6.70)</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0.16</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(0.09, 0.23)</w:t>
            </w:r>
          </w:p>
        </w:tc>
        <w:tc>
          <w:tcPr>
            <w:tcW w:w="648"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6.35</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(11.36, 4.41)</w:t>
            </w:r>
          </w:p>
        </w:tc>
        <w:tc>
          <w:tcPr>
            <w:tcW w:w="583"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40</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(22.0)</w:t>
            </w:r>
          </w:p>
        </w:tc>
        <w:tc>
          <w:tcPr>
            <w:tcW w:w="535"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16</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(24.2)</w:t>
            </w:r>
          </w:p>
        </w:tc>
      </w:tr>
    </w:tbl>
    <w:p w:rsidR="0020138A" w:rsidRPr="00C8621E" w:rsidRDefault="0020138A" w:rsidP="004919B2">
      <w:pPr>
        <w:pStyle w:val="TableFooter"/>
        <w:widowControl/>
      </w:pPr>
      <w:r w:rsidRPr="00C8621E">
        <w:t xml:space="preserve">AE: adverse event; BSC: best supportive care; CI: Confidence Interval; </w:t>
      </w:r>
      <w:proofErr w:type="spellStart"/>
      <w:proofErr w:type="gramStart"/>
      <w:r w:rsidRPr="00C8621E">
        <w:t>n.c</w:t>
      </w:r>
      <w:proofErr w:type="gramEnd"/>
      <w:r w:rsidRPr="00C8621E">
        <w:t>.</w:t>
      </w:r>
      <w:proofErr w:type="spellEnd"/>
      <w:r w:rsidRPr="00C8621E">
        <w:t xml:space="preserve">: not calculable. NNH: number needed to harm; RR: relative risk; RD: risk difference; SAE: serious adverse event; VFL: </w:t>
      </w:r>
      <w:proofErr w:type="spellStart"/>
      <w:r w:rsidRPr="00C8621E">
        <w:t>vinflunine</w:t>
      </w:r>
      <w:proofErr w:type="spellEnd"/>
      <w:r w:rsidRPr="00C8621E">
        <w:t>. Notes: a. Within 30 days of the last dose (VFL+BSC group) or within 30 days of the last visit (BSC group). Source: Table B.6.3, COM 11-2015</w:t>
      </w:r>
    </w:p>
    <w:p w:rsidR="0020138A" w:rsidRPr="00C8621E" w:rsidRDefault="0020138A" w:rsidP="004919B2">
      <w:pPr>
        <w:pStyle w:val="TableFooter"/>
        <w:widowControl/>
      </w:pP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Adverse events that were experienced by at least 10% of the patient population, and at a statistically significantly higher rate in those receiving </w:t>
      </w:r>
      <w:proofErr w:type="spellStart"/>
      <w:r w:rsidRPr="00C8621E">
        <w:rPr>
          <w:rFonts w:cstheme="minorHAnsi"/>
        </w:rPr>
        <w:t>vinflunine</w:t>
      </w:r>
      <w:proofErr w:type="spellEnd"/>
      <w:r w:rsidRPr="00C8621E">
        <w:rPr>
          <w:rFonts w:cstheme="minorHAnsi"/>
        </w:rPr>
        <w:t xml:space="preserve"> compared with BSC, were abdominal pain, constipation, diarrhoea, nausea, stomatitis, vomiting, fatigue, injection site reactions, weight decrease, anorexia, myalgia, headaches, peripheral sensory neuropathy and alopecia. The Grade III/IV adverse events experienced at higher rates in the </w:t>
      </w:r>
      <w:proofErr w:type="spellStart"/>
      <w:r w:rsidRPr="00C8621E">
        <w:rPr>
          <w:rFonts w:cstheme="minorHAnsi"/>
        </w:rPr>
        <w:t>vinflunine</w:t>
      </w:r>
      <w:proofErr w:type="spellEnd"/>
      <w:r w:rsidRPr="00C8621E">
        <w:rPr>
          <w:rFonts w:cstheme="minorHAnsi"/>
        </w:rPr>
        <w:t xml:space="preserve"> arm were abdominal pain, constipation, nausea, vomiting, fatigue, infestations and infections, anorexia, myalgia and headache.</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One death due to pancytopenia was reported as directly related to </w:t>
      </w:r>
      <w:proofErr w:type="spellStart"/>
      <w:r w:rsidRPr="00C8621E">
        <w:rPr>
          <w:rFonts w:cstheme="minorHAnsi"/>
        </w:rPr>
        <w:t>vinflunine</w:t>
      </w:r>
      <w:proofErr w:type="spellEnd"/>
      <w:r w:rsidRPr="00C8621E">
        <w:rPr>
          <w:rFonts w:cstheme="minorHAnsi"/>
        </w:rPr>
        <w:t xml:space="preserve">. Sixteen patients (6%) in the </w:t>
      </w:r>
      <w:proofErr w:type="spellStart"/>
      <w:r w:rsidRPr="00C8621E">
        <w:rPr>
          <w:rFonts w:cstheme="minorHAnsi"/>
        </w:rPr>
        <w:t>vinflunine</w:t>
      </w:r>
      <w:proofErr w:type="spellEnd"/>
      <w:r w:rsidRPr="00C8621E">
        <w:rPr>
          <w:rFonts w:cstheme="minorHAnsi"/>
        </w:rPr>
        <w:t xml:space="preserve"> group, and 1 patient (1%) in the BSC group, died within 30 days of either the final </w:t>
      </w:r>
      <w:proofErr w:type="spellStart"/>
      <w:r w:rsidRPr="00C8621E">
        <w:rPr>
          <w:rFonts w:cstheme="minorHAnsi"/>
        </w:rPr>
        <w:t>vinflunine</w:t>
      </w:r>
      <w:proofErr w:type="spellEnd"/>
      <w:r w:rsidRPr="00C8621E">
        <w:rPr>
          <w:rFonts w:cstheme="minorHAnsi"/>
        </w:rPr>
        <w:t xml:space="preserve"> dose (for the intervention arm) or the final visit (for the BSC arm) for reasons other than progressive disease.  </w:t>
      </w:r>
    </w:p>
    <w:p w:rsidR="0020138A" w:rsidRPr="00C8621E" w:rsidRDefault="0020138A" w:rsidP="004919B2">
      <w:pPr>
        <w:pStyle w:val="Heading2"/>
        <w:widowControl/>
        <w:rPr>
          <w:rFonts w:cstheme="minorHAnsi"/>
        </w:rPr>
      </w:pPr>
      <w:bookmarkStart w:id="31" w:name="_Toc476306890"/>
      <w:bookmarkStart w:id="32" w:name="_Toc482713168"/>
      <w:bookmarkStart w:id="33" w:name="_Toc413139281"/>
      <w:r w:rsidRPr="00C8621E">
        <w:rPr>
          <w:rFonts w:cstheme="minorHAnsi"/>
        </w:rPr>
        <w:t>Benefits and harms</w:t>
      </w:r>
      <w:bookmarkEnd w:id="31"/>
      <w:bookmarkEnd w:id="32"/>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A summary the comparative benefits and harms for </w:t>
      </w:r>
      <w:proofErr w:type="spellStart"/>
      <w:r w:rsidRPr="00C8621E">
        <w:rPr>
          <w:rFonts w:cstheme="minorHAnsi"/>
        </w:rPr>
        <w:t>vinflunine</w:t>
      </w:r>
      <w:proofErr w:type="spellEnd"/>
      <w:r w:rsidRPr="00C8621E">
        <w:rPr>
          <w:rFonts w:cstheme="minorHAnsi"/>
        </w:rPr>
        <w:t xml:space="preserve"> + BSC versus BSC for the ITT </w:t>
      </w:r>
      <w:r w:rsidR="00D13E4D" w:rsidRPr="00C8621E">
        <w:rPr>
          <w:rFonts w:cstheme="minorHAnsi"/>
        </w:rPr>
        <w:t xml:space="preserve">and </w:t>
      </w:r>
      <w:proofErr w:type="spellStart"/>
      <w:r w:rsidR="00D13E4D" w:rsidRPr="00C8621E">
        <w:rPr>
          <w:rFonts w:cstheme="minorHAnsi"/>
        </w:rPr>
        <w:t>mITT</w:t>
      </w:r>
      <w:proofErr w:type="spellEnd"/>
      <w:r w:rsidR="00D13E4D" w:rsidRPr="00C8621E">
        <w:rPr>
          <w:rFonts w:cstheme="minorHAnsi"/>
        </w:rPr>
        <w:t xml:space="preserve"> is presented in Table 7</w:t>
      </w:r>
      <w:r w:rsidRPr="00C8621E">
        <w:rPr>
          <w:rFonts w:cstheme="minorHAnsi"/>
        </w:rPr>
        <w:t>.</w:t>
      </w:r>
    </w:p>
    <w:p w:rsidR="0085585D" w:rsidRDefault="0085585D" w:rsidP="0085585D">
      <w:pPr>
        <w:pStyle w:val="Caption"/>
      </w:pPr>
      <w:r>
        <w:t xml:space="preserve">Table </w:t>
      </w:r>
      <w:r>
        <w:rPr>
          <w:noProof/>
        </w:rPr>
        <w:t>7</w:t>
      </w:r>
      <w:r w:rsidRPr="00B866C0">
        <w:t xml:space="preserve">: Summary of comparative benefits and harms for </w:t>
      </w:r>
      <w:proofErr w:type="spellStart"/>
      <w:r w:rsidRPr="00B866C0">
        <w:t>vinflunine</w:t>
      </w:r>
      <w:proofErr w:type="spellEnd"/>
      <w:r w:rsidRPr="00B866C0">
        <w:t xml:space="preserve"> + BSC and BSC</w:t>
      </w:r>
    </w:p>
    <w:tbl>
      <w:tblPr>
        <w:tblStyle w:val="TableGrid"/>
        <w:tblW w:w="5000" w:type="pct"/>
        <w:tblCellMar>
          <w:left w:w="28" w:type="dxa"/>
          <w:right w:w="28" w:type="dxa"/>
        </w:tblCellMar>
        <w:tblLook w:val="04A0" w:firstRow="1" w:lastRow="0" w:firstColumn="1" w:lastColumn="0" w:noHBand="0" w:noVBand="1"/>
        <w:tblCaption w:val="Summary of comparative benefits and harms for vinflunine + BSC and BSC"/>
      </w:tblPr>
      <w:tblGrid>
        <w:gridCol w:w="1854"/>
        <w:gridCol w:w="153"/>
        <w:gridCol w:w="752"/>
        <w:gridCol w:w="761"/>
        <w:gridCol w:w="60"/>
        <w:gridCol w:w="1758"/>
        <w:gridCol w:w="1203"/>
        <w:gridCol w:w="669"/>
        <w:gridCol w:w="385"/>
        <w:gridCol w:w="1488"/>
      </w:tblGrid>
      <w:tr w:rsidR="0020138A" w:rsidRPr="00C85800" w:rsidTr="007E27D4">
        <w:trPr>
          <w:tblHeader/>
        </w:trPr>
        <w:tc>
          <w:tcPr>
            <w:tcW w:w="5000" w:type="pct"/>
            <w:gridSpan w:val="10"/>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Benefits</w:t>
            </w:r>
          </w:p>
        </w:tc>
      </w:tr>
      <w:tr w:rsidR="0020138A" w:rsidRPr="00C85800" w:rsidTr="00321137">
        <w:tc>
          <w:tcPr>
            <w:tcW w:w="5000" w:type="pct"/>
            <w:gridSpan w:val="10"/>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OS: Study 302, November 2008 cut-off, ITT</w:t>
            </w:r>
          </w:p>
        </w:tc>
      </w:tr>
      <w:tr w:rsidR="0020138A" w:rsidRPr="00C85800" w:rsidTr="0085585D">
        <w:tc>
          <w:tcPr>
            <w:tcW w:w="1105" w:type="pct"/>
            <w:gridSpan w:val="2"/>
            <w:shd w:val="clear" w:color="auto" w:fill="auto"/>
            <w:vAlign w:val="center"/>
          </w:tcPr>
          <w:p w:rsidR="0020138A" w:rsidRPr="00C85800" w:rsidRDefault="0020138A" w:rsidP="00295FF8">
            <w:pPr>
              <w:pStyle w:val="TableText1"/>
              <w:rPr>
                <w:rFonts w:ascii="Arial Narrow" w:hAnsi="Arial Narrow"/>
                <w:i w:val="0"/>
                <w:sz w:val="20"/>
              </w:rPr>
            </w:pPr>
          </w:p>
        </w:tc>
        <w:tc>
          <w:tcPr>
            <w:tcW w:w="866"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 + BSC</w:t>
            </w:r>
          </w:p>
        </w:tc>
        <w:tc>
          <w:tcPr>
            <w:tcW w:w="967"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c>
          <w:tcPr>
            <w:tcW w:w="103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Absolute Difference</w:t>
            </w:r>
          </w:p>
        </w:tc>
        <w:tc>
          <w:tcPr>
            <w:tcW w:w="103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HR (95% CI)</w:t>
            </w:r>
          </w:p>
        </w:tc>
      </w:tr>
      <w:tr w:rsidR="0020138A" w:rsidRPr="00C85800" w:rsidTr="0085585D">
        <w:tc>
          <w:tcPr>
            <w:tcW w:w="1105" w:type="pct"/>
            <w:gridSpan w:val="2"/>
            <w:shd w:val="clear" w:color="auto" w:fill="auto"/>
            <w:vAlign w:val="center"/>
          </w:tcPr>
          <w:p w:rsidR="0020138A" w:rsidRPr="00C85800" w:rsidRDefault="0020138A" w:rsidP="00295FF8">
            <w:pPr>
              <w:pStyle w:val="TableText1"/>
              <w:rPr>
                <w:rFonts w:ascii="Arial Narrow" w:hAnsi="Arial Narrow"/>
                <w:i w:val="0"/>
                <w:sz w:val="20"/>
              </w:rPr>
            </w:pPr>
            <w:proofErr w:type="spellStart"/>
            <w:r w:rsidRPr="00C85800">
              <w:rPr>
                <w:rFonts w:ascii="Arial Narrow" w:hAnsi="Arial Narrow"/>
                <w:i w:val="0"/>
                <w:sz w:val="20"/>
              </w:rPr>
              <w:t>Survival</w:t>
            </w:r>
            <w:r w:rsidRPr="00C85800">
              <w:rPr>
                <w:rFonts w:ascii="Arial Narrow" w:hAnsi="Arial Narrow"/>
                <w:i w:val="0"/>
                <w:sz w:val="20"/>
                <w:vertAlign w:val="superscript"/>
              </w:rPr>
              <w:t>a</w:t>
            </w:r>
            <w:proofErr w:type="spellEnd"/>
          </w:p>
        </w:tc>
        <w:tc>
          <w:tcPr>
            <w:tcW w:w="866"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237/253</w:t>
            </w:r>
          </w:p>
        </w:tc>
        <w:tc>
          <w:tcPr>
            <w:tcW w:w="967"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115/117</w:t>
            </w:r>
          </w:p>
        </w:tc>
        <w:tc>
          <w:tcPr>
            <w:tcW w:w="103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w:t>
            </w:r>
          </w:p>
        </w:tc>
        <w:tc>
          <w:tcPr>
            <w:tcW w:w="103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0.88 (0.70, 1.10)</w:t>
            </w:r>
          </w:p>
        </w:tc>
      </w:tr>
      <w:tr w:rsidR="0020138A" w:rsidRPr="00C85800" w:rsidTr="0085585D">
        <w:tc>
          <w:tcPr>
            <w:tcW w:w="1105" w:type="pct"/>
            <w:gridSpan w:val="2"/>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Median (months)</w:t>
            </w:r>
          </w:p>
        </w:tc>
        <w:tc>
          <w:tcPr>
            <w:tcW w:w="866"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6.9 (5.7, 8.0)</w:t>
            </w:r>
          </w:p>
        </w:tc>
        <w:tc>
          <w:tcPr>
            <w:tcW w:w="967"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4.6 (4.1, 6.6)</w:t>
            </w:r>
          </w:p>
        </w:tc>
        <w:tc>
          <w:tcPr>
            <w:tcW w:w="103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w:t>
            </w:r>
          </w:p>
        </w:tc>
        <w:tc>
          <w:tcPr>
            <w:tcW w:w="103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w:t>
            </w:r>
          </w:p>
        </w:tc>
      </w:tr>
      <w:tr w:rsidR="0020138A" w:rsidRPr="00C85800" w:rsidTr="00321137">
        <w:tc>
          <w:tcPr>
            <w:tcW w:w="5000" w:type="pct"/>
            <w:gridSpan w:val="10"/>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OS: Study 302, November 2008 cut-off, </w:t>
            </w:r>
            <w:proofErr w:type="spellStart"/>
            <w:r w:rsidRPr="00C85800">
              <w:rPr>
                <w:rFonts w:ascii="Arial Narrow" w:hAnsi="Arial Narrow"/>
                <w:i w:val="0"/>
                <w:sz w:val="20"/>
              </w:rPr>
              <w:t>mITT</w:t>
            </w:r>
            <w:proofErr w:type="spellEnd"/>
          </w:p>
        </w:tc>
      </w:tr>
      <w:tr w:rsidR="0020138A" w:rsidRPr="00C85800" w:rsidTr="0085585D">
        <w:tc>
          <w:tcPr>
            <w:tcW w:w="1105" w:type="pct"/>
            <w:gridSpan w:val="2"/>
            <w:shd w:val="clear" w:color="auto" w:fill="auto"/>
            <w:vAlign w:val="center"/>
          </w:tcPr>
          <w:p w:rsidR="0020138A" w:rsidRPr="00C85800" w:rsidRDefault="0020138A" w:rsidP="00295FF8">
            <w:pPr>
              <w:pStyle w:val="TableText1"/>
              <w:rPr>
                <w:rFonts w:ascii="Arial Narrow" w:hAnsi="Arial Narrow"/>
                <w:i w:val="0"/>
                <w:sz w:val="20"/>
              </w:rPr>
            </w:pPr>
          </w:p>
        </w:tc>
        <w:tc>
          <w:tcPr>
            <w:tcW w:w="866"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 + BSC</w:t>
            </w:r>
          </w:p>
        </w:tc>
        <w:tc>
          <w:tcPr>
            <w:tcW w:w="967"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c>
          <w:tcPr>
            <w:tcW w:w="103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Absolute Difference</w:t>
            </w:r>
          </w:p>
        </w:tc>
        <w:tc>
          <w:tcPr>
            <w:tcW w:w="103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HR (95% CI)</w:t>
            </w:r>
          </w:p>
        </w:tc>
      </w:tr>
      <w:tr w:rsidR="0020138A" w:rsidRPr="00C85800" w:rsidTr="0085585D">
        <w:tc>
          <w:tcPr>
            <w:tcW w:w="1105" w:type="pct"/>
            <w:gridSpan w:val="2"/>
            <w:shd w:val="clear" w:color="auto" w:fill="auto"/>
            <w:vAlign w:val="center"/>
          </w:tcPr>
          <w:p w:rsidR="0020138A" w:rsidRPr="00C85800" w:rsidRDefault="0020138A" w:rsidP="00295FF8">
            <w:pPr>
              <w:pStyle w:val="TableText1"/>
              <w:rPr>
                <w:rFonts w:ascii="Arial Narrow" w:hAnsi="Arial Narrow"/>
                <w:i w:val="0"/>
                <w:sz w:val="20"/>
              </w:rPr>
            </w:pPr>
            <w:proofErr w:type="spellStart"/>
            <w:r w:rsidRPr="00C85800">
              <w:rPr>
                <w:rFonts w:ascii="Arial Narrow" w:hAnsi="Arial Narrow"/>
                <w:i w:val="0"/>
                <w:sz w:val="20"/>
              </w:rPr>
              <w:t>Survival</w:t>
            </w:r>
            <w:r w:rsidRPr="00C85800">
              <w:rPr>
                <w:rFonts w:ascii="Arial Narrow" w:hAnsi="Arial Narrow"/>
                <w:i w:val="0"/>
                <w:sz w:val="20"/>
                <w:vertAlign w:val="superscript"/>
              </w:rPr>
              <w:t>a</w:t>
            </w:r>
            <w:proofErr w:type="spellEnd"/>
          </w:p>
        </w:tc>
        <w:tc>
          <w:tcPr>
            <w:tcW w:w="866"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234/253</w:t>
            </w:r>
          </w:p>
        </w:tc>
        <w:tc>
          <w:tcPr>
            <w:tcW w:w="967"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108/117</w:t>
            </w:r>
          </w:p>
        </w:tc>
        <w:tc>
          <w:tcPr>
            <w:tcW w:w="103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w:t>
            </w:r>
          </w:p>
        </w:tc>
        <w:tc>
          <w:tcPr>
            <w:tcW w:w="103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0.78 (0.61, 0.96)</w:t>
            </w:r>
          </w:p>
        </w:tc>
      </w:tr>
      <w:tr w:rsidR="0020138A" w:rsidRPr="00C85800" w:rsidTr="0085585D">
        <w:tc>
          <w:tcPr>
            <w:tcW w:w="1105" w:type="pct"/>
            <w:gridSpan w:val="2"/>
            <w:tcBorders>
              <w:bottom w:val="double" w:sz="4" w:space="0" w:color="auto"/>
            </w:tcBorders>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Median (months)</w:t>
            </w:r>
          </w:p>
        </w:tc>
        <w:tc>
          <w:tcPr>
            <w:tcW w:w="866" w:type="pct"/>
            <w:gridSpan w:val="3"/>
            <w:tcBorders>
              <w:bottom w:val="double" w:sz="4" w:space="0" w:color="auto"/>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6.9 (5.7, 8.0)</w:t>
            </w:r>
          </w:p>
        </w:tc>
        <w:tc>
          <w:tcPr>
            <w:tcW w:w="967" w:type="pct"/>
            <w:tcBorders>
              <w:bottom w:val="double" w:sz="4" w:space="0" w:color="auto"/>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4.3 (3.8, 5.4)</w:t>
            </w:r>
          </w:p>
        </w:tc>
        <w:tc>
          <w:tcPr>
            <w:tcW w:w="1030" w:type="pct"/>
            <w:gridSpan w:val="2"/>
            <w:tcBorders>
              <w:bottom w:val="double" w:sz="4" w:space="0" w:color="auto"/>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2.6</w:t>
            </w:r>
          </w:p>
        </w:tc>
        <w:tc>
          <w:tcPr>
            <w:tcW w:w="1031" w:type="pct"/>
            <w:gridSpan w:val="2"/>
            <w:tcBorders>
              <w:bottom w:val="double" w:sz="4" w:space="0" w:color="auto"/>
            </w:tcBorders>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w:t>
            </w:r>
          </w:p>
        </w:tc>
      </w:tr>
      <w:tr w:rsidR="0020138A" w:rsidRPr="00C85800" w:rsidTr="00321137">
        <w:tc>
          <w:tcPr>
            <w:tcW w:w="5000" w:type="pct"/>
            <w:gridSpan w:val="10"/>
            <w:tcBorders>
              <w:top w:val="double" w:sz="4" w:space="0" w:color="auto"/>
            </w:tcBorders>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Harms </w:t>
            </w:r>
          </w:p>
        </w:tc>
      </w:tr>
      <w:tr w:rsidR="0020138A" w:rsidRPr="00C85800" w:rsidTr="00321137">
        <w:trPr>
          <w:trHeight w:val="70"/>
        </w:trPr>
        <w:tc>
          <w:tcPr>
            <w:tcW w:w="1021" w:type="pct"/>
            <w:vMerge w:val="restart"/>
            <w:shd w:val="clear" w:color="auto" w:fill="auto"/>
            <w:vAlign w:val="center"/>
          </w:tcPr>
          <w:p w:rsidR="0020138A" w:rsidRPr="00C85800" w:rsidRDefault="0020138A" w:rsidP="00295FF8">
            <w:pPr>
              <w:pStyle w:val="TableText1"/>
              <w:rPr>
                <w:rFonts w:ascii="Arial Narrow" w:hAnsi="Arial Narrow"/>
                <w:i w:val="0"/>
                <w:sz w:val="20"/>
              </w:rPr>
            </w:pPr>
          </w:p>
        </w:tc>
        <w:tc>
          <w:tcPr>
            <w:tcW w:w="498" w:type="pct"/>
            <w:gridSpan w:val="2"/>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 + BSC</w:t>
            </w:r>
          </w:p>
        </w:tc>
        <w:tc>
          <w:tcPr>
            <w:tcW w:w="419"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c>
          <w:tcPr>
            <w:tcW w:w="1001" w:type="pct"/>
            <w:gridSpan w:val="2"/>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RR</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(95% CI)</w:t>
            </w:r>
          </w:p>
        </w:tc>
        <w:tc>
          <w:tcPr>
            <w:tcW w:w="1242" w:type="pct"/>
            <w:gridSpan w:val="3"/>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Event rate/100 patients*</w:t>
            </w:r>
          </w:p>
        </w:tc>
        <w:tc>
          <w:tcPr>
            <w:tcW w:w="819" w:type="pct"/>
            <w:vMerge w:val="restar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RD</w:t>
            </w:r>
          </w:p>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(95% CI)</w:t>
            </w:r>
          </w:p>
        </w:tc>
      </w:tr>
      <w:tr w:rsidR="0020138A" w:rsidRPr="00C85800" w:rsidTr="00321137">
        <w:trPr>
          <w:trHeight w:val="228"/>
        </w:trPr>
        <w:tc>
          <w:tcPr>
            <w:tcW w:w="1021" w:type="pct"/>
            <w:vMerge/>
            <w:shd w:val="clear" w:color="auto" w:fill="auto"/>
            <w:vAlign w:val="center"/>
          </w:tcPr>
          <w:p w:rsidR="0020138A" w:rsidRPr="00C85800" w:rsidRDefault="0020138A" w:rsidP="00295FF8">
            <w:pPr>
              <w:pStyle w:val="TableText1"/>
              <w:rPr>
                <w:rFonts w:ascii="Arial Narrow" w:hAnsi="Arial Narrow"/>
                <w:i w:val="0"/>
                <w:sz w:val="20"/>
              </w:rPr>
            </w:pPr>
          </w:p>
        </w:tc>
        <w:tc>
          <w:tcPr>
            <w:tcW w:w="498" w:type="pct"/>
            <w:gridSpan w:val="2"/>
            <w:vMerge/>
          </w:tcPr>
          <w:p w:rsidR="0020138A" w:rsidRPr="00C85800" w:rsidRDefault="0020138A" w:rsidP="00295FF8">
            <w:pPr>
              <w:pStyle w:val="TableText1"/>
              <w:rPr>
                <w:rFonts w:ascii="Arial Narrow" w:hAnsi="Arial Narrow"/>
                <w:i w:val="0"/>
                <w:sz w:val="20"/>
              </w:rPr>
            </w:pPr>
          </w:p>
        </w:tc>
        <w:tc>
          <w:tcPr>
            <w:tcW w:w="419" w:type="pct"/>
            <w:vMerge/>
          </w:tcPr>
          <w:p w:rsidR="0020138A" w:rsidRPr="00C85800" w:rsidRDefault="0020138A" w:rsidP="00295FF8">
            <w:pPr>
              <w:pStyle w:val="TableText1"/>
              <w:rPr>
                <w:rFonts w:ascii="Arial Narrow" w:hAnsi="Arial Narrow"/>
                <w:i w:val="0"/>
                <w:sz w:val="20"/>
              </w:rPr>
            </w:pPr>
          </w:p>
        </w:tc>
        <w:tc>
          <w:tcPr>
            <w:tcW w:w="1001" w:type="pct"/>
            <w:gridSpan w:val="2"/>
            <w:vMerge/>
          </w:tcPr>
          <w:p w:rsidR="0020138A" w:rsidRPr="00C85800" w:rsidRDefault="0020138A" w:rsidP="00295FF8">
            <w:pPr>
              <w:pStyle w:val="TableText1"/>
              <w:rPr>
                <w:rFonts w:ascii="Arial Narrow" w:hAnsi="Arial Narrow"/>
                <w:i w:val="0"/>
                <w:sz w:val="20"/>
              </w:rPr>
            </w:pPr>
          </w:p>
        </w:tc>
        <w:tc>
          <w:tcPr>
            <w:tcW w:w="66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VFL + BSC</w:t>
            </w:r>
          </w:p>
        </w:tc>
        <w:tc>
          <w:tcPr>
            <w:tcW w:w="58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BSC</w:t>
            </w:r>
          </w:p>
        </w:tc>
        <w:tc>
          <w:tcPr>
            <w:tcW w:w="819" w:type="pct"/>
            <w:vMerge/>
            <w:vAlign w:val="center"/>
          </w:tcPr>
          <w:p w:rsidR="0020138A" w:rsidRPr="00C85800" w:rsidRDefault="0020138A" w:rsidP="00295FF8">
            <w:pPr>
              <w:pStyle w:val="TableText1"/>
              <w:rPr>
                <w:rFonts w:ascii="Arial Narrow" w:hAnsi="Arial Narrow"/>
                <w:i w:val="0"/>
                <w:sz w:val="20"/>
              </w:rPr>
            </w:pPr>
          </w:p>
        </w:tc>
      </w:tr>
      <w:tr w:rsidR="0020138A" w:rsidRPr="00C85800" w:rsidTr="00321137">
        <w:tc>
          <w:tcPr>
            <w:tcW w:w="5000" w:type="pct"/>
            <w:gridSpan w:val="10"/>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Study 302 (all patients evaluable for safety), Grade 3 or 4 events only</w:t>
            </w:r>
          </w:p>
        </w:tc>
      </w:tr>
      <w:tr w:rsidR="0020138A" w:rsidRPr="00C85800" w:rsidTr="00321137">
        <w:tc>
          <w:tcPr>
            <w:tcW w:w="1021" w:type="pct"/>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Febrile neutropenia </w:t>
            </w:r>
          </w:p>
        </w:tc>
        <w:tc>
          <w:tcPr>
            <w:tcW w:w="498"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15/248</w:t>
            </w:r>
          </w:p>
        </w:tc>
        <w:tc>
          <w:tcPr>
            <w:tcW w:w="4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100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14.69 (0.89, 243.43)</w:t>
            </w:r>
          </w:p>
        </w:tc>
        <w:tc>
          <w:tcPr>
            <w:tcW w:w="66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6.0</w:t>
            </w:r>
          </w:p>
        </w:tc>
        <w:tc>
          <w:tcPr>
            <w:tcW w:w="58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8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0.06 (0.03, 0.09)</w:t>
            </w:r>
          </w:p>
        </w:tc>
      </w:tr>
      <w:tr w:rsidR="0020138A" w:rsidRPr="00C85800" w:rsidTr="00321137">
        <w:tc>
          <w:tcPr>
            <w:tcW w:w="1021" w:type="pct"/>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Infections with severe </w:t>
            </w:r>
            <w:r w:rsidR="004069E8" w:rsidRPr="00C85800">
              <w:rPr>
                <w:rFonts w:ascii="Arial Narrow" w:hAnsi="Arial Narrow"/>
                <w:i w:val="0"/>
                <w:sz w:val="20"/>
              </w:rPr>
              <w:t>neutropenia</w:t>
            </w:r>
          </w:p>
        </w:tc>
        <w:tc>
          <w:tcPr>
            <w:tcW w:w="498"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16/248</w:t>
            </w:r>
          </w:p>
        </w:tc>
        <w:tc>
          <w:tcPr>
            <w:tcW w:w="4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100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9.95 (0.59, 168.40)</w:t>
            </w:r>
          </w:p>
        </w:tc>
        <w:tc>
          <w:tcPr>
            <w:tcW w:w="66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6.5</w:t>
            </w:r>
          </w:p>
        </w:tc>
        <w:tc>
          <w:tcPr>
            <w:tcW w:w="58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8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0.04 (0.01, 0.07)</w:t>
            </w:r>
          </w:p>
        </w:tc>
      </w:tr>
      <w:tr w:rsidR="0020138A" w:rsidRPr="00C85800" w:rsidTr="00321137">
        <w:tc>
          <w:tcPr>
            <w:tcW w:w="1021" w:type="pct"/>
            <w:shd w:val="clear" w:color="auto" w:fill="auto"/>
            <w:vAlign w:val="center"/>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 xml:space="preserve">Myocardial infarction/ </w:t>
            </w:r>
            <w:proofErr w:type="spellStart"/>
            <w:r w:rsidRPr="00C85800">
              <w:rPr>
                <w:rFonts w:ascii="Arial Narrow" w:hAnsi="Arial Narrow"/>
                <w:i w:val="0"/>
                <w:sz w:val="20"/>
              </w:rPr>
              <w:t>ischaemia</w:t>
            </w:r>
            <w:proofErr w:type="spellEnd"/>
          </w:p>
        </w:tc>
        <w:tc>
          <w:tcPr>
            <w:tcW w:w="498"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10/248</w:t>
            </w:r>
          </w:p>
        </w:tc>
        <w:tc>
          <w:tcPr>
            <w:tcW w:w="4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1001"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9.95 (0.59, 168.40)</w:t>
            </w:r>
          </w:p>
        </w:tc>
        <w:tc>
          <w:tcPr>
            <w:tcW w:w="662"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4.0</w:t>
            </w:r>
          </w:p>
        </w:tc>
        <w:tc>
          <w:tcPr>
            <w:tcW w:w="580" w:type="pct"/>
            <w:gridSpan w:val="2"/>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w:t>
            </w:r>
          </w:p>
        </w:tc>
        <w:tc>
          <w:tcPr>
            <w:tcW w:w="819" w:type="pct"/>
          </w:tcPr>
          <w:p w:rsidR="0020138A" w:rsidRPr="00C85800" w:rsidRDefault="0020138A" w:rsidP="00295FF8">
            <w:pPr>
              <w:pStyle w:val="TableText1"/>
              <w:rPr>
                <w:rFonts w:ascii="Arial Narrow" w:hAnsi="Arial Narrow"/>
                <w:i w:val="0"/>
                <w:sz w:val="20"/>
              </w:rPr>
            </w:pPr>
            <w:r w:rsidRPr="00C85800">
              <w:rPr>
                <w:rFonts w:ascii="Arial Narrow" w:hAnsi="Arial Narrow"/>
                <w:i w:val="0"/>
                <w:sz w:val="20"/>
              </w:rPr>
              <w:t>0.04 (0.01, 0.07)</w:t>
            </w:r>
          </w:p>
        </w:tc>
      </w:tr>
    </w:tbl>
    <w:p w:rsidR="0020138A" w:rsidRPr="00C8621E" w:rsidRDefault="0020138A" w:rsidP="004919B2">
      <w:pPr>
        <w:pStyle w:val="TableFooter"/>
        <w:widowControl/>
      </w:pPr>
      <w:r w:rsidRPr="00C8621E">
        <w:t xml:space="preserve">BSC: best supportive care; HR: hazard rate ratio; ITT: intent-to-treat; OS: overall survival; PBO: placebo; RD: risk difference; RR: risk ratio; VFL: </w:t>
      </w:r>
      <w:proofErr w:type="spellStart"/>
      <w:r w:rsidRPr="00C8621E">
        <w:t>vinflunine</w:t>
      </w:r>
      <w:proofErr w:type="spellEnd"/>
      <w:r w:rsidRPr="00C8621E">
        <w:t xml:space="preserve">. Notes: a Median duration of follow-up: Study 302 = 42 months (VFL + BSC) and 45 months (BSC) b. </w:t>
      </w:r>
      <w:proofErr w:type="gramStart"/>
      <w:r w:rsidRPr="00C8621E">
        <w:t>Clinically</w:t>
      </w:r>
      <w:proofErr w:type="gramEnd"/>
      <w:r w:rsidRPr="00C8621E">
        <w:t xml:space="preserve"> relevant infections (potential bacterial origin). Source: Compiled during the evaluation and Table 6 COM 11-2015.</w:t>
      </w:r>
    </w:p>
    <w:p w:rsidR="008E6E2A" w:rsidRPr="00C8621E" w:rsidRDefault="008E6E2A" w:rsidP="004919B2">
      <w:pPr>
        <w:pStyle w:val="TableFooter"/>
        <w:widowControl/>
        <w:ind w:left="709"/>
      </w:pPr>
    </w:p>
    <w:p w:rsidR="0020138A" w:rsidRPr="00C8621E" w:rsidRDefault="0020138A" w:rsidP="004919B2">
      <w:pPr>
        <w:pStyle w:val="ListParagraph"/>
        <w:widowControl/>
        <w:numPr>
          <w:ilvl w:val="1"/>
          <w:numId w:val="9"/>
        </w:numPr>
        <w:spacing w:after="120"/>
        <w:contextualSpacing w:val="0"/>
        <w:rPr>
          <w:rFonts w:cstheme="minorHAnsi"/>
        </w:rPr>
      </w:pPr>
      <w:r w:rsidRPr="00C8621E">
        <w:rPr>
          <w:rFonts w:cstheme="minorHAnsi"/>
        </w:rPr>
        <w:t xml:space="preserve">On the basis of the head to head trial, the comparison of </w:t>
      </w:r>
      <w:proofErr w:type="spellStart"/>
      <w:r w:rsidRPr="00C8621E">
        <w:rPr>
          <w:rFonts w:cstheme="minorHAnsi"/>
        </w:rPr>
        <w:t>vinflunine</w:t>
      </w:r>
      <w:proofErr w:type="spellEnd"/>
      <w:r w:rsidRPr="00C8621E">
        <w:rPr>
          <w:rFonts w:cstheme="minorHAnsi"/>
        </w:rPr>
        <w:t xml:space="preserve"> + BSC and BSC did not result in a statistically significant difference in overall survival for the ITT population.</w:t>
      </w:r>
    </w:p>
    <w:p w:rsidR="0020138A" w:rsidRPr="00C8621E" w:rsidRDefault="0020138A" w:rsidP="004919B2">
      <w:pPr>
        <w:pStyle w:val="ListParagraph"/>
        <w:widowControl/>
        <w:numPr>
          <w:ilvl w:val="1"/>
          <w:numId w:val="9"/>
        </w:numPr>
        <w:spacing w:after="120"/>
        <w:contextualSpacing w:val="0"/>
        <w:rPr>
          <w:rFonts w:cstheme="minorHAnsi"/>
        </w:rPr>
      </w:pPr>
      <w:r w:rsidRPr="00C8621E">
        <w:rPr>
          <w:rFonts w:cstheme="minorHAnsi"/>
        </w:rPr>
        <w:t xml:space="preserve">With the exclusion of 13 patients who did not meet the trial inclusion or exclusion criteria from the analysis, the comparison of </w:t>
      </w:r>
      <w:proofErr w:type="spellStart"/>
      <w:r w:rsidRPr="00C8621E">
        <w:rPr>
          <w:rFonts w:cstheme="minorHAnsi"/>
        </w:rPr>
        <w:t>vinflunine</w:t>
      </w:r>
      <w:proofErr w:type="spellEnd"/>
      <w:r w:rsidRPr="00C8621E">
        <w:rPr>
          <w:rFonts w:cstheme="minorHAnsi"/>
        </w:rPr>
        <w:t xml:space="preserve"> + BSC and BSC resulted in:</w:t>
      </w:r>
    </w:p>
    <w:p w:rsidR="0020138A" w:rsidRPr="00C8621E" w:rsidRDefault="0020138A" w:rsidP="004919B2">
      <w:pPr>
        <w:pStyle w:val="ListParagraph"/>
        <w:widowControl/>
        <w:numPr>
          <w:ilvl w:val="2"/>
          <w:numId w:val="43"/>
        </w:numPr>
        <w:spacing w:after="120"/>
        <w:ind w:left="993" w:hanging="284"/>
        <w:contextualSpacing w:val="0"/>
        <w:rPr>
          <w:rFonts w:cstheme="minorHAnsi"/>
        </w:rPr>
      </w:pPr>
      <w:r w:rsidRPr="00C8621E">
        <w:rPr>
          <w:rFonts w:cstheme="minorHAnsi"/>
        </w:rPr>
        <w:t xml:space="preserve">approximately 2.6 months difference in median overall survival (November 2008 data cut-off, </w:t>
      </w:r>
      <w:proofErr w:type="spellStart"/>
      <w:r w:rsidRPr="00C8621E">
        <w:rPr>
          <w:rFonts w:cstheme="minorHAnsi"/>
        </w:rPr>
        <w:t>mITT</w:t>
      </w:r>
      <w:proofErr w:type="spellEnd"/>
      <w:r w:rsidRPr="00C8621E">
        <w:rPr>
          <w:rFonts w:cstheme="minorHAnsi"/>
        </w:rPr>
        <w:t xml:space="preserve"> population); and</w:t>
      </w:r>
    </w:p>
    <w:p w:rsidR="009460EB" w:rsidRPr="00C8621E" w:rsidRDefault="0020138A" w:rsidP="009460EB">
      <w:pPr>
        <w:pStyle w:val="ListParagraph"/>
        <w:widowControl/>
        <w:numPr>
          <w:ilvl w:val="2"/>
          <w:numId w:val="43"/>
        </w:numPr>
        <w:spacing w:after="120"/>
        <w:ind w:left="993" w:hanging="284"/>
        <w:contextualSpacing w:val="0"/>
        <w:rPr>
          <w:rFonts w:cstheme="minorHAnsi"/>
        </w:rPr>
      </w:pPr>
      <w:proofErr w:type="gramStart"/>
      <w:r w:rsidRPr="00C8621E">
        <w:rPr>
          <w:rFonts w:cstheme="minorHAnsi"/>
        </w:rPr>
        <w:t>for</w:t>
      </w:r>
      <w:proofErr w:type="gramEnd"/>
      <w:r w:rsidRPr="00C8621E">
        <w:rPr>
          <w:rFonts w:cstheme="minorHAnsi"/>
        </w:rPr>
        <w:t xml:space="preserve"> every 100 patients treated with </w:t>
      </w:r>
      <w:proofErr w:type="spellStart"/>
      <w:r w:rsidRPr="00C8621E">
        <w:rPr>
          <w:rFonts w:cstheme="minorHAnsi"/>
        </w:rPr>
        <w:t>vinflunine</w:t>
      </w:r>
      <w:proofErr w:type="spellEnd"/>
      <w:r w:rsidRPr="00C8621E">
        <w:rPr>
          <w:rFonts w:cstheme="minorHAnsi"/>
        </w:rPr>
        <w:t xml:space="preserve"> + BSC, approximately 2 additional patients would be alive at 2 years (November 2008 data cut-off, </w:t>
      </w:r>
      <w:proofErr w:type="spellStart"/>
      <w:r w:rsidRPr="00C8621E">
        <w:rPr>
          <w:rFonts w:cstheme="minorHAnsi"/>
        </w:rPr>
        <w:t>mITT</w:t>
      </w:r>
      <w:proofErr w:type="spellEnd"/>
      <w:r w:rsidRPr="00C8621E">
        <w:rPr>
          <w:rFonts w:cstheme="minorHAnsi"/>
        </w:rPr>
        <w:t xml:space="preserve"> population).</w:t>
      </w:r>
    </w:p>
    <w:p w:rsidR="0085585D" w:rsidRDefault="0020138A" w:rsidP="0085585D">
      <w:pPr>
        <w:pStyle w:val="ListParagraph"/>
        <w:widowControl/>
        <w:spacing w:before="120" w:after="160"/>
        <w:ind w:hanging="720"/>
        <w:contextualSpacing w:val="0"/>
      </w:pPr>
      <w:r w:rsidRPr="009E24A7">
        <w:rPr>
          <w:rFonts w:cstheme="minorHAnsi"/>
        </w:rPr>
        <w:t>On the basis of the head to head tria</w:t>
      </w:r>
      <w:r w:rsidR="00321137" w:rsidRPr="009E24A7">
        <w:rPr>
          <w:rFonts w:cstheme="minorHAnsi"/>
        </w:rPr>
        <w:t xml:space="preserve">l presented, </w:t>
      </w:r>
      <w:proofErr w:type="spellStart"/>
      <w:r w:rsidR="00321137" w:rsidRPr="009E24A7">
        <w:rPr>
          <w:rFonts w:cstheme="minorHAnsi"/>
        </w:rPr>
        <w:t>vinflunine</w:t>
      </w:r>
      <w:proofErr w:type="spellEnd"/>
      <w:r w:rsidR="00321137" w:rsidRPr="009E24A7">
        <w:rPr>
          <w:rFonts w:cstheme="minorHAnsi"/>
        </w:rPr>
        <w:t xml:space="preserve"> + BSC was</w:t>
      </w:r>
      <w:r w:rsidRPr="009E24A7">
        <w:rPr>
          <w:rFonts w:cstheme="minorHAnsi"/>
        </w:rPr>
        <w:t xml:space="preserve"> more likely to cause serious adverse events compared with BSC alone;</w:t>
      </w:r>
      <w:r w:rsidR="00C8621E" w:rsidRPr="009E24A7">
        <w:rPr>
          <w:rFonts w:cstheme="minorHAnsi"/>
        </w:rPr>
        <w:t xml:space="preserve"> for every 100 patients treated with </w:t>
      </w:r>
      <w:proofErr w:type="spellStart"/>
      <w:r w:rsidR="00C8621E" w:rsidRPr="009E24A7">
        <w:rPr>
          <w:rFonts w:cstheme="minorHAnsi"/>
        </w:rPr>
        <w:t>vinflunine</w:t>
      </w:r>
      <w:proofErr w:type="spellEnd"/>
      <w:r w:rsidR="00C8621E" w:rsidRPr="009E24A7">
        <w:rPr>
          <w:rFonts w:cstheme="minorHAnsi"/>
        </w:rPr>
        <w:t xml:space="preserve"> + BSC, approximately</w:t>
      </w:r>
      <w:r w:rsidRPr="009E24A7">
        <w:rPr>
          <w:rFonts w:cstheme="minorHAnsi"/>
        </w:rPr>
        <w:t xml:space="preserve"> 15</w:t>
      </w:r>
      <w:r w:rsidR="00C8621E" w:rsidRPr="009E24A7">
        <w:rPr>
          <w:rFonts w:cstheme="minorHAnsi"/>
        </w:rPr>
        <w:t xml:space="preserve"> additional</w:t>
      </w:r>
      <w:r w:rsidRPr="009E24A7">
        <w:rPr>
          <w:rFonts w:cstheme="minorHAnsi"/>
        </w:rPr>
        <w:t xml:space="preserve"> patients </w:t>
      </w:r>
      <w:r w:rsidR="00C8621E" w:rsidRPr="009E24A7">
        <w:rPr>
          <w:rFonts w:cstheme="minorHAnsi"/>
        </w:rPr>
        <w:t>will</w:t>
      </w:r>
      <w:r w:rsidRPr="009E24A7">
        <w:rPr>
          <w:rFonts w:cstheme="minorHAnsi"/>
        </w:rPr>
        <w:t xml:space="preserve"> have a serious adverse event. The events included febrile neutropenia, infections with severe neutropenia and myocardial infarction/</w:t>
      </w:r>
      <w:proofErr w:type="spellStart"/>
      <w:r w:rsidRPr="009E24A7">
        <w:rPr>
          <w:rFonts w:cstheme="minorHAnsi"/>
        </w:rPr>
        <w:t>ischaemia</w:t>
      </w:r>
      <w:proofErr w:type="spellEnd"/>
      <w:r w:rsidRPr="009E24A7">
        <w:rPr>
          <w:rFonts w:cstheme="minorHAnsi"/>
        </w:rPr>
        <w:t>.</w:t>
      </w:r>
    </w:p>
    <w:p w:rsidR="0085585D" w:rsidRPr="00C8621E" w:rsidRDefault="0085585D" w:rsidP="0085585D">
      <w:pPr>
        <w:pStyle w:val="PBACheading1"/>
        <w:numPr>
          <w:ilvl w:val="0"/>
          <w:numId w:val="0"/>
        </w:numPr>
        <w:ind w:left="720" w:hanging="720"/>
      </w:pPr>
    </w:p>
    <w:p w:rsidR="0020138A" w:rsidRPr="00C8621E" w:rsidRDefault="0020138A" w:rsidP="004919B2">
      <w:pPr>
        <w:pStyle w:val="Heading2"/>
        <w:widowControl/>
        <w:rPr>
          <w:rFonts w:cstheme="minorHAnsi"/>
        </w:rPr>
      </w:pPr>
      <w:bookmarkStart w:id="34" w:name="_Toc476306891"/>
      <w:bookmarkStart w:id="35" w:name="_Toc482713169"/>
      <w:r w:rsidRPr="00C8621E">
        <w:rPr>
          <w:rFonts w:cstheme="minorHAnsi"/>
        </w:rPr>
        <w:t>Clinical claim</w:t>
      </w:r>
      <w:bookmarkEnd w:id="33"/>
      <w:bookmarkEnd w:id="34"/>
      <w:bookmarkEnd w:id="35"/>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resubmission described </w:t>
      </w:r>
      <w:proofErr w:type="spellStart"/>
      <w:r w:rsidRPr="00C8621E">
        <w:rPr>
          <w:rFonts w:cstheme="minorHAnsi"/>
        </w:rPr>
        <w:t>vinflunine</w:t>
      </w:r>
      <w:proofErr w:type="spellEnd"/>
      <w:r w:rsidRPr="00C8621E">
        <w:rPr>
          <w:rFonts w:cstheme="minorHAnsi"/>
        </w:rPr>
        <w:t xml:space="preserve"> + BSC as superior in terms of comparative effectiveness and inferior in terms of comparative safety over BSC. The PBAC previously (</w:t>
      </w:r>
      <w:r w:rsidR="005C7FFC" w:rsidRPr="00C8621E">
        <w:rPr>
          <w:rFonts w:cstheme="minorHAnsi"/>
        </w:rPr>
        <w:t>PSD November 2011</w:t>
      </w:r>
      <w:r w:rsidR="005C7FFC">
        <w:rPr>
          <w:rFonts w:cstheme="minorHAnsi"/>
        </w:rPr>
        <w:t xml:space="preserve">, </w:t>
      </w:r>
      <w:r w:rsidRPr="00C8621E">
        <w:rPr>
          <w:rFonts w:cstheme="minorHAnsi"/>
        </w:rPr>
        <w:t xml:space="preserve">Sections 9 and 12 and </w:t>
      </w:r>
      <w:r w:rsidR="005C7FFC">
        <w:rPr>
          <w:rFonts w:cstheme="minorHAnsi"/>
        </w:rPr>
        <w:t>PSD</w:t>
      </w:r>
      <w:r w:rsidRPr="00C8621E">
        <w:rPr>
          <w:rFonts w:cstheme="minorHAnsi"/>
        </w:rPr>
        <w:t xml:space="preserve"> November 2015, paragraph 7.5):</w:t>
      </w:r>
    </w:p>
    <w:p w:rsidR="0020138A" w:rsidRPr="00C8621E" w:rsidRDefault="0020138A" w:rsidP="004919B2">
      <w:pPr>
        <w:pStyle w:val="ListParagraph"/>
        <w:widowControl/>
        <w:numPr>
          <w:ilvl w:val="0"/>
          <w:numId w:val="42"/>
        </w:numPr>
        <w:spacing w:before="120" w:after="160"/>
        <w:contextualSpacing w:val="0"/>
        <w:rPr>
          <w:rFonts w:cstheme="minorHAnsi"/>
        </w:rPr>
      </w:pPr>
      <w:r w:rsidRPr="00C8621E">
        <w:rPr>
          <w:rFonts w:cstheme="minorHAnsi"/>
        </w:rPr>
        <w:t xml:space="preserve">‘accepted that </w:t>
      </w:r>
      <w:proofErr w:type="spellStart"/>
      <w:r w:rsidRPr="00C8621E">
        <w:rPr>
          <w:rFonts w:cstheme="minorHAnsi"/>
        </w:rPr>
        <w:t>vinflunine</w:t>
      </w:r>
      <w:proofErr w:type="spellEnd"/>
      <w:r w:rsidRPr="00C8621E">
        <w:rPr>
          <w:rFonts w:cstheme="minorHAnsi"/>
        </w:rPr>
        <w:t xml:space="preserve"> is superior in terms of comparative efficacy over BSC but noted that the increment in overall survival is uncertain and, at best, is between 2.3 (ITT) and 2.6 months (eligible ITT) and was at a cost of significant treatment-related toxicity’;</w:t>
      </w:r>
    </w:p>
    <w:p w:rsidR="0020138A" w:rsidRPr="00C8621E" w:rsidRDefault="0020138A" w:rsidP="004919B2">
      <w:pPr>
        <w:pStyle w:val="ListParagraph"/>
        <w:widowControl/>
        <w:numPr>
          <w:ilvl w:val="0"/>
          <w:numId w:val="42"/>
        </w:numPr>
        <w:spacing w:before="120" w:after="160"/>
        <w:contextualSpacing w:val="0"/>
        <w:rPr>
          <w:rFonts w:cstheme="minorHAnsi"/>
        </w:rPr>
      </w:pPr>
      <w:r w:rsidRPr="00C8621E">
        <w:rPr>
          <w:rFonts w:cstheme="minorHAnsi"/>
        </w:rPr>
        <w:t xml:space="preserve">‘agreed that whilst the eligible ITT population may be reasonable to assess the efficacy of </w:t>
      </w:r>
      <w:proofErr w:type="spellStart"/>
      <w:r w:rsidRPr="00C8621E">
        <w:rPr>
          <w:rFonts w:cstheme="minorHAnsi"/>
        </w:rPr>
        <w:t>vinflunine</w:t>
      </w:r>
      <w:proofErr w:type="spellEnd"/>
      <w:r w:rsidRPr="00C8621E">
        <w:rPr>
          <w:rFonts w:cstheme="minorHAnsi"/>
        </w:rPr>
        <w:t xml:space="preserve">, the ITT population should be used in considering the effectiveness of </w:t>
      </w:r>
      <w:proofErr w:type="spellStart"/>
      <w:r w:rsidRPr="00C8621E">
        <w:rPr>
          <w:rFonts w:cstheme="minorHAnsi"/>
        </w:rPr>
        <w:t>vinflunine</w:t>
      </w:r>
      <w:proofErr w:type="spellEnd"/>
      <w:r w:rsidRPr="00C8621E">
        <w:rPr>
          <w:rFonts w:cstheme="minorHAnsi"/>
        </w:rPr>
        <w:t xml:space="preserve"> as the eligibility criteria in the trial are tighter than the PBS restriction criteria and the ITT population more closely approximates the likely PBS population’;</w:t>
      </w:r>
    </w:p>
    <w:p w:rsidR="0020138A" w:rsidRPr="00C8621E" w:rsidRDefault="0020138A" w:rsidP="004919B2">
      <w:pPr>
        <w:pStyle w:val="ListParagraph"/>
        <w:widowControl/>
        <w:numPr>
          <w:ilvl w:val="0"/>
          <w:numId w:val="42"/>
        </w:numPr>
        <w:spacing w:before="120" w:after="160"/>
        <w:contextualSpacing w:val="0"/>
        <w:rPr>
          <w:rFonts w:cstheme="minorHAnsi"/>
        </w:rPr>
      </w:pPr>
      <w:r w:rsidRPr="00C8621E">
        <w:rPr>
          <w:rFonts w:cstheme="minorHAnsi"/>
        </w:rPr>
        <w:t>‘</w:t>
      </w:r>
      <w:proofErr w:type="gramStart"/>
      <w:r w:rsidRPr="00C8621E">
        <w:rPr>
          <w:rFonts w:cstheme="minorHAnsi"/>
        </w:rPr>
        <w:t>agreed</w:t>
      </w:r>
      <w:proofErr w:type="gramEnd"/>
      <w:r w:rsidRPr="00C8621E">
        <w:rPr>
          <w:rFonts w:cstheme="minorHAnsi"/>
        </w:rPr>
        <w:t xml:space="preserve"> that </w:t>
      </w:r>
      <w:proofErr w:type="spellStart"/>
      <w:r w:rsidRPr="00C8621E">
        <w:rPr>
          <w:rFonts w:cstheme="minorHAnsi"/>
        </w:rPr>
        <w:t>vinflunine</w:t>
      </w:r>
      <w:proofErr w:type="spellEnd"/>
      <w:r w:rsidRPr="00C8621E">
        <w:rPr>
          <w:rFonts w:cstheme="minorHAnsi"/>
        </w:rPr>
        <w:t xml:space="preserve"> is inferior in terms of comparative safety over BSC’. </w:t>
      </w:r>
    </w:p>
    <w:p w:rsidR="0020138A" w:rsidRDefault="0020138A" w:rsidP="00651CF9">
      <w:pPr>
        <w:pStyle w:val="ListParagraph"/>
        <w:numPr>
          <w:ilvl w:val="1"/>
          <w:numId w:val="9"/>
        </w:numPr>
        <w:rPr>
          <w:rFonts w:cstheme="minorHAnsi"/>
        </w:rPr>
      </w:pPr>
      <w:r w:rsidRPr="00651CF9">
        <w:rPr>
          <w:rFonts w:cstheme="minorHAnsi"/>
        </w:rPr>
        <w:t xml:space="preserve">The resubmission made no clinical claims regarding </w:t>
      </w:r>
      <w:proofErr w:type="spellStart"/>
      <w:r w:rsidRPr="00651CF9">
        <w:rPr>
          <w:rFonts w:cstheme="minorHAnsi"/>
        </w:rPr>
        <w:t>vinflunine</w:t>
      </w:r>
      <w:proofErr w:type="spellEnd"/>
      <w:r w:rsidRPr="00651CF9">
        <w:rPr>
          <w:rFonts w:cstheme="minorHAnsi"/>
        </w:rPr>
        <w:t xml:space="preserve"> compared to active chemotherapy.</w:t>
      </w:r>
      <w:r w:rsidR="00651CF9" w:rsidRPr="00651CF9">
        <w:rPr>
          <w:rFonts w:cstheme="minorHAnsi"/>
        </w:rPr>
        <w:t xml:space="preserve"> </w:t>
      </w:r>
      <w:r w:rsidR="00651CF9">
        <w:rPr>
          <w:rFonts w:cstheme="minorHAnsi"/>
        </w:rPr>
        <w:t xml:space="preserve">The PBAC </w:t>
      </w:r>
      <w:r w:rsidR="00651CF9" w:rsidRPr="00651CF9">
        <w:rPr>
          <w:rFonts w:cstheme="minorHAnsi"/>
        </w:rPr>
        <w:t xml:space="preserve">noted </w:t>
      </w:r>
      <w:r w:rsidR="00651CF9">
        <w:rPr>
          <w:rFonts w:cstheme="minorHAnsi"/>
        </w:rPr>
        <w:t xml:space="preserve">the </w:t>
      </w:r>
      <w:r w:rsidR="00651CF9" w:rsidRPr="00651CF9">
        <w:rPr>
          <w:rFonts w:cstheme="minorHAnsi"/>
        </w:rPr>
        <w:t>incremental effectiveness</w:t>
      </w:r>
      <w:r w:rsidR="00651CF9">
        <w:rPr>
          <w:rFonts w:cstheme="minorHAnsi"/>
        </w:rPr>
        <w:t xml:space="preserve"> of </w:t>
      </w:r>
      <w:proofErr w:type="spellStart"/>
      <w:r w:rsidR="00651CF9">
        <w:rPr>
          <w:rFonts w:cstheme="minorHAnsi"/>
        </w:rPr>
        <w:t>vinflunine</w:t>
      </w:r>
      <w:proofErr w:type="spellEnd"/>
      <w:r w:rsidR="00651CF9" w:rsidRPr="00651CF9">
        <w:rPr>
          <w:rFonts w:cstheme="minorHAnsi"/>
        </w:rPr>
        <w:t xml:space="preserve"> versus alternative active chemotherapy was unknown, but considered it likely to be insignificant. </w:t>
      </w:r>
    </w:p>
    <w:p w:rsidR="00651CF9" w:rsidRPr="00651CF9" w:rsidRDefault="00651CF9" w:rsidP="00651CF9">
      <w:pPr>
        <w:pStyle w:val="ListParagraph"/>
        <w:rPr>
          <w:rFonts w:cstheme="minorHAnsi"/>
        </w:rPr>
      </w:pPr>
    </w:p>
    <w:p w:rsidR="0020138A" w:rsidRPr="00C8621E" w:rsidRDefault="0020138A" w:rsidP="004919B2">
      <w:pPr>
        <w:pStyle w:val="Heading2"/>
        <w:widowControl/>
        <w:rPr>
          <w:rFonts w:cstheme="minorHAnsi"/>
        </w:rPr>
      </w:pPr>
      <w:bookmarkStart w:id="36" w:name="_Toc413139282"/>
      <w:bookmarkStart w:id="37" w:name="_Toc476306892"/>
      <w:bookmarkStart w:id="38" w:name="_Toc482713170"/>
      <w:r w:rsidRPr="00C8621E">
        <w:rPr>
          <w:rFonts w:cstheme="minorHAnsi"/>
        </w:rPr>
        <w:t>Economic analysis</w:t>
      </w:r>
      <w:bookmarkEnd w:id="36"/>
      <w:bookmarkEnd w:id="37"/>
      <w:bookmarkEnd w:id="38"/>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resubmission provided an updated trial-based economic evaluation of </w:t>
      </w:r>
      <w:proofErr w:type="spellStart"/>
      <w:r w:rsidRPr="00C8621E">
        <w:rPr>
          <w:rFonts w:cstheme="minorHAnsi"/>
          <w:szCs w:val="24"/>
        </w:rPr>
        <w:t>vinflunine</w:t>
      </w:r>
      <w:proofErr w:type="spellEnd"/>
      <w:r w:rsidRPr="00C8621E">
        <w:rPr>
          <w:rFonts w:cstheme="minorHAnsi"/>
          <w:szCs w:val="24"/>
        </w:rPr>
        <w:t xml:space="preserve"> versus BSC. The economic evaluation is a partitioned survival analysis based on data from Study 302. The types of economic evaluation presented were a cost-effectiveness analysis (cost per life year gained) and a cost-utility analysis (cost per quality adjusted life year gained). This is unchanged from the previous resubmission in 2015.</w:t>
      </w:r>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Regarding the 2015 resubmission, the PBAC was concerned that the results were highly uncertain as they were based on the </w:t>
      </w:r>
      <w:proofErr w:type="spellStart"/>
      <w:r w:rsidRPr="00C8621E">
        <w:rPr>
          <w:rFonts w:cstheme="minorHAnsi"/>
          <w:szCs w:val="24"/>
        </w:rPr>
        <w:t>mITT</w:t>
      </w:r>
      <w:proofErr w:type="spellEnd"/>
      <w:r w:rsidRPr="00C8621E">
        <w:rPr>
          <w:rFonts w:cstheme="minorHAnsi"/>
          <w:szCs w:val="24"/>
        </w:rPr>
        <w:t xml:space="preserve"> population rather than the ITT population (PSD, November 2015, paragraph 7.6 and 7.9).</w:t>
      </w:r>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resubmission presented a ‘mixed’ estimate of overall survival that lies between the </w:t>
      </w:r>
      <w:proofErr w:type="spellStart"/>
      <w:r w:rsidRPr="00C8621E">
        <w:rPr>
          <w:rFonts w:cstheme="minorHAnsi"/>
          <w:szCs w:val="24"/>
        </w:rPr>
        <w:t>mITT</w:t>
      </w:r>
      <w:proofErr w:type="spellEnd"/>
      <w:r w:rsidRPr="00C8621E">
        <w:rPr>
          <w:rFonts w:cstheme="minorHAnsi"/>
          <w:szCs w:val="24"/>
        </w:rPr>
        <w:t xml:space="preserve"> and ITT population (50:50) to address the issue identified by the PBAC. The resulting mean overall survival in the economic model for the ITT, </w:t>
      </w:r>
      <w:proofErr w:type="spellStart"/>
      <w:r w:rsidRPr="00C8621E">
        <w:rPr>
          <w:rFonts w:cstheme="minorHAnsi"/>
          <w:szCs w:val="24"/>
        </w:rPr>
        <w:t>mITT</w:t>
      </w:r>
      <w:proofErr w:type="spellEnd"/>
      <w:r w:rsidRPr="00C8621E">
        <w:rPr>
          <w:rFonts w:cstheme="minorHAnsi"/>
          <w:szCs w:val="24"/>
        </w:rPr>
        <w:t xml:space="preserve"> and ‘mixed’ ITT/</w:t>
      </w:r>
      <w:proofErr w:type="spellStart"/>
      <w:r w:rsidRPr="00C8621E">
        <w:rPr>
          <w:rFonts w:cstheme="minorHAnsi"/>
          <w:szCs w:val="24"/>
        </w:rPr>
        <w:t>mITT</w:t>
      </w:r>
      <w:proofErr w:type="spellEnd"/>
      <w:r w:rsidRPr="00C8621E">
        <w:rPr>
          <w:rFonts w:cstheme="minorHAnsi"/>
          <w:szCs w:val="24"/>
        </w:rPr>
        <w:t xml:space="preserve"> populations is shown is Table 8. </w:t>
      </w:r>
    </w:p>
    <w:p w:rsidR="0085585D" w:rsidRDefault="0085585D" w:rsidP="0085585D">
      <w:pPr>
        <w:pStyle w:val="Caption"/>
      </w:pPr>
      <w:r>
        <w:t xml:space="preserve">Table </w:t>
      </w:r>
      <w:r>
        <w:rPr>
          <w:noProof/>
        </w:rPr>
        <w:t>8</w:t>
      </w:r>
      <w:r w:rsidRPr="005A2BF5">
        <w:t>: Overall survival in different population groups</w:t>
      </w:r>
    </w:p>
    <w:tbl>
      <w:tblPr>
        <w:tblStyle w:val="TableGridbeth1"/>
        <w:tblW w:w="5000" w:type="pct"/>
        <w:tblLook w:val="04A0" w:firstRow="1" w:lastRow="0" w:firstColumn="1" w:lastColumn="0" w:noHBand="0" w:noVBand="1"/>
        <w:tblCaption w:val="Overall survival in different population groups"/>
      </w:tblPr>
      <w:tblGrid>
        <w:gridCol w:w="2257"/>
        <w:gridCol w:w="1178"/>
        <w:gridCol w:w="961"/>
        <w:gridCol w:w="1178"/>
        <w:gridCol w:w="961"/>
        <w:gridCol w:w="1298"/>
        <w:gridCol w:w="1410"/>
      </w:tblGrid>
      <w:tr w:rsidR="0020138A" w:rsidRPr="00C8621E" w:rsidTr="007E27D4">
        <w:trPr>
          <w:tblHeader/>
        </w:trPr>
        <w:tc>
          <w:tcPr>
            <w:tcW w:w="1221" w:type="pct"/>
            <w:vMerge w:val="restart"/>
          </w:tcPr>
          <w:p w:rsidR="0020138A" w:rsidRPr="00C8621E" w:rsidRDefault="0020138A" w:rsidP="00295FF8">
            <w:pPr>
              <w:pStyle w:val="TableText1"/>
              <w:rPr>
                <w:i w:val="0"/>
                <w:snapToGrid w:val="0"/>
              </w:rPr>
            </w:pPr>
          </w:p>
        </w:tc>
        <w:tc>
          <w:tcPr>
            <w:tcW w:w="1157" w:type="pct"/>
            <w:gridSpan w:val="2"/>
          </w:tcPr>
          <w:p w:rsidR="0020138A" w:rsidRPr="00C8621E" w:rsidRDefault="0020138A" w:rsidP="00295FF8">
            <w:pPr>
              <w:pStyle w:val="TableText1"/>
              <w:rPr>
                <w:i w:val="0"/>
                <w:snapToGrid w:val="0"/>
              </w:rPr>
            </w:pPr>
            <w:r w:rsidRPr="00C8621E">
              <w:rPr>
                <w:i w:val="0"/>
                <w:snapToGrid w:val="0"/>
              </w:rPr>
              <w:t>ITT</w:t>
            </w:r>
          </w:p>
        </w:tc>
        <w:tc>
          <w:tcPr>
            <w:tcW w:w="1157" w:type="pct"/>
            <w:gridSpan w:val="2"/>
          </w:tcPr>
          <w:p w:rsidR="0020138A" w:rsidRPr="00C8621E" w:rsidRDefault="0020138A" w:rsidP="00295FF8">
            <w:pPr>
              <w:pStyle w:val="TableText1"/>
              <w:rPr>
                <w:i w:val="0"/>
                <w:snapToGrid w:val="0"/>
              </w:rPr>
            </w:pPr>
            <w:proofErr w:type="spellStart"/>
            <w:r w:rsidRPr="00C8621E">
              <w:rPr>
                <w:i w:val="0"/>
                <w:snapToGrid w:val="0"/>
              </w:rPr>
              <w:t>mITT</w:t>
            </w:r>
            <w:proofErr w:type="spellEnd"/>
          </w:p>
        </w:tc>
        <w:tc>
          <w:tcPr>
            <w:tcW w:w="1465" w:type="pct"/>
            <w:gridSpan w:val="2"/>
          </w:tcPr>
          <w:p w:rsidR="0020138A" w:rsidRPr="00C8621E" w:rsidRDefault="0020138A" w:rsidP="00295FF8">
            <w:pPr>
              <w:pStyle w:val="TableText1"/>
              <w:rPr>
                <w:i w:val="0"/>
                <w:snapToGrid w:val="0"/>
              </w:rPr>
            </w:pPr>
            <w:r w:rsidRPr="00C8621E">
              <w:rPr>
                <w:i w:val="0"/>
                <w:snapToGrid w:val="0"/>
              </w:rPr>
              <w:t xml:space="preserve">50:50 ITT and </w:t>
            </w:r>
            <w:proofErr w:type="spellStart"/>
            <w:r w:rsidRPr="00C8621E">
              <w:rPr>
                <w:i w:val="0"/>
                <w:snapToGrid w:val="0"/>
              </w:rPr>
              <w:t>mITT</w:t>
            </w:r>
            <w:proofErr w:type="spellEnd"/>
          </w:p>
        </w:tc>
      </w:tr>
      <w:tr w:rsidR="0020138A" w:rsidRPr="00C8621E" w:rsidTr="007E27D4">
        <w:trPr>
          <w:tblHeader/>
        </w:trPr>
        <w:tc>
          <w:tcPr>
            <w:tcW w:w="1221" w:type="pct"/>
            <w:vMerge/>
          </w:tcPr>
          <w:p w:rsidR="0020138A" w:rsidRPr="00C8621E" w:rsidRDefault="0020138A" w:rsidP="00295FF8">
            <w:pPr>
              <w:pStyle w:val="TableText1"/>
              <w:rPr>
                <w:i w:val="0"/>
                <w:snapToGrid w:val="0"/>
              </w:rPr>
            </w:pPr>
          </w:p>
        </w:tc>
        <w:tc>
          <w:tcPr>
            <w:tcW w:w="637" w:type="pct"/>
          </w:tcPr>
          <w:p w:rsidR="0020138A" w:rsidRPr="00C8621E" w:rsidRDefault="0020138A" w:rsidP="00295FF8">
            <w:pPr>
              <w:pStyle w:val="TableText1"/>
              <w:rPr>
                <w:i w:val="0"/>
                <w:snapToGrid w:val="0"/>
              </w:rPr>
            </w:pPr>
            <w:r w:rsidRPr="00C8621E">
              <w:rPr>
                <w:i w:val="0"/>
                <w:snapToGrid w:val="0"/>
              </w:rPr>
              <w:t>VFL+BSC</w:t>
            </w:r>
          </w:p>
        </w:tc>
        <w:tc>
          <w:tcPr>
            <w:tcW w:w="520" w:type="pct"/>
          </w:tcPr>
          <w:p w:rsidR="0020138A" w:rsidRPr="00C8621E" w:rsidRDefault="0020138A" w:rsidP="00295FF8">
            <w:pPr>
              <w:pStyle w:val="TableText1"/>
              <w:rPr>
                <w:i w:val="0"/>
                <w:snapToGrid w:val="0"/>
              </w:rPr>
            </w:pPr>
            <w:r w:rsidRPr="00C8621E">
              <w:rPr>
                <w:i w:val="0"/>
                <w:snapToGrid w:val="0"/>
              </w:rPr>
              <w:t>BSC</w:t>
            </w:r>
          </w:p>
        </w:tc>
        <w:tc>
          <w:tcPr>
            <w:tcW w:w="637" w:type="pct"/>
          </w:tcPr>
          <w:p w:rsidR="0020138A" w:rsidRPr="00C8621E" w:rsidRDefault="0020138A" w:rsidP="00295FF8">
            <w:pPr>
              <w:pStyle w:val="TableText1"/>
              <w:rPr>
                <w:i w:val="0"/>
                <w:snapToGrid w:val="0"/>
              </w:rPr>
            </w:pPr>
            <w:r w:rsidRPr="00C8621E">
              <w:rPr>
                <w:i w:val="0"/>
                <w:snapToGrid w:val="0"/>
              </w:rPr>
              <w:t>VFL+BSC</w:t>
            </w:r>
          </w:p>
        </w:tc>
        <w:tc>
          <w:tcPr>
            <w:tcW w:w="520" w:type="pct"/>
          </w:tcPr>
          <w:p w:rsidR="0020138A" w:rsidRPr="00C8621E" w:rsidRDefault="0020138A" w:rsidP="00295FF8">
            <w:pPr>
              <w:pStyle w:val="TableText1"/>
              <w:rPr>
                <w:i w:val="0"/>
                <w:snapToGrid w:val="0"/>
              </w:rPr>
            </w:pPr>
            <w:r w:rsidRPr="00C8621E">
              <w:rPr>
                <w:i w:val="0"/>
                <w:snapToGrid w:val="0"/>
              </w:rPr>
              <w:t>BSC</w:t>
            </w:r>
          </w:p>
        </w:tc>
        <w:tc>
          <w:tcPr>
            <w:tcW w:w="702" w:type="pct"/>
          </w:tcPr>
          <w:p w:rsidR="0020138A" w:rsidRPr="00C8621E" w:rsidRDefault="0020138A" w:rsidP="00295FF8">
            <w:pPr>
              <w:pStyle w:val="TableText1"/>
              <w:rPr>
                <w:i w:val="0"/>
                <w:snapToGrid w:val="0"/>
              </w:rPr>
            </w:pPr>
            <w:r w:rsidRPr="00C8621E">
              <w:rPr>
                <w:i w:val="0"/>
                <w:snapToGrid w:val="0"/>
              </w:rPr>
              <w:t>VFL+BSC</w:t>
            </w:r>
          </w:p>
        </w:tc>
        <w:tc>
          <w:tcPr>
            <w:tcW w:w="763" w:type="pct"/>
          </w:tcPr>
          <w:p w:rsidR="0020138A" w:rsidRPr="00C8621E" w:rsidRDefault="0020138A" w:rsidP="00295FF8">
            <w:pPr>
              <w:pStyle w:val="TableText1"/>
              <w:rPr>
                <w:i w:val="0"/>
                <w:snapToGrid w:val="0"/>
              </w:rPr>
            </w:pPr>
            <w:r w:rsidRPr="00C8621E">
              <w:rPr>
                <w:i w:val="0"/>
                <w:snapToGrid w:val="0"/>
              </w:rPr>
              <w:t>BSC</w:t>
            </w:r>
          </w:p>
        </w:tc>
      </w:tr>
      <w:tr w:rsidR="0020138A" w:rsidRPr="00C8621E" w:rsidTr="00EF5AD5">
        <w:tc>
          <w:tcPr>
            <w:tcW w:w="1221" w:type="pct"/>
          </w:tcPr>
          <w:p w:rsidR="0020138A" w:rsidRPr="00C8621E" w:rsidRDefault="0020138A" w:rsidP="00295FF8">
            <w:pPr>
              <w:pStyle w:val="TableText1"/>
              <w:rPr>
                <w:i w:val="0"/>
                <w:snapToGrid w:val="0"/>
              </w:rPr>
            </w:pPr>
            <w:r w:rsidRPr="00C8621E">
              <w:rPr>
                <w:i w:val="0"/>
                <w:snapToGrid w:val="0"/>
              </w:rPr>
              <w:t>Mean in economic model</w:t>
            </w:r>
          </w:p>
        </w:tc>
        <w:tc>
          <w:tcPr>
            <w:tcW w:w="637" w:type="pct"/>
          </w:tcPr>
          <w:p w:rsidR="0020138A" w:rsidRPr="00C8621E" w:rsidRDefault="0020138A" w:rsidP="00295FF8">
            <w:pPr>
              <w:pStyle w:val="TableText1"/>
              <w:rPr>
                <w:i w:val="0"/>
                <w:snapToGrid w:val="0"/>
              </w:rPr>
            </w:pPr>
            <w:r w:rsidRPr="00C8621E">
              <w:rPr>
                <w:i w:val="0"/>
                <w:snapToGrid w:val="0"/>
              </w:rPr>
              <w:t>11.0</w:t>
            </w:r>
          </w:p>
        </w:tc>
        <w:tc>
          <w:tcPr>
            <w:tcW w:w="520" w:type="pct"/>
          </w:tcPr>
          <w:p w:rsidR="0020138A" w:rsidRPr="00C8621E" w:rsidRDefault="0020138A" w:rsidP="00295FF8">
            <w:pPr>
              <w:pStyle w:val="TableText1"/>
              <w:rPr>
                <w:i w:val="0"/>
                <w:snapToGrid w:val="0"/>
              </w:rPr>
            </w:pPr>
            <w:r w:rsidRPr="00C8621E">
              <w:rPr>
                <w:i w:val="0"/>
                <w:snapToGrid w:val="0"/>
              </w:rPr>
              <w:t>9.5</w:t>
            </w:r>
          </w:p>
        </w:tc>
        <w:tc>
          <w:tcPr>
            <w:tcW w:w="637" w:type="pct"/>
          </w:tcPr>
          <w:p w:rsidR="0020138A" w:rsidRPr="00C8621E" w:rsidRDefault="0020138A" w:rsidP="00295FF8">
            <w:pPr>
              <w:pStyle w:val="TableText1"/>
              <w:rPr>
                <w:i w:val="0"/>
                <w:snapToGrid w:val="0"/>
              </w:rPr>
            </w:pPr>
            <w:r w:rsidRPr="00C8621E">
              <w:rPr>
                <w:i w:val="0"/>
                <w:snapToGrid w:val="0"/>
              </w:rPr>
              <w:t>11.1</w:t>
            </w:r>
          </w:p>
        </w:tc>
        <w:tc>
          <w:tcPr>
            <w:tcW w:w="520" w:type="pct"/>
          </w:tcPr>
          <w:p w:rsidR="0020138A" w:rsidRPr="00C8621E" w:rsidRDefault="0020138A" w:rsidP="00295FF8">
            <w:pPr>
              <w:pStyle w:val="TableText1"/>
              <w:rPr>
                <w:i w:val="0"/>
                <w:snapToGrid w:val="0"/>
              </w:rPr>
            </w:pPr>
            <w:r w:rsidRPr="00C8621E">
              <w:rPr>
                <w:i w:val="0"/>
                <w:snapToGrid w:val="0"/>
              </w:rPr>
              <w:t>8.3</w:t>
            </w:r>
          </w:p>
        </w:tc>
        <w:tc>
          <w:tcPr>
            <w:tcW w:w="702" w:type="pct"/>
          </w:tcPr>
          <w:p w:rsidR="0020138A" w:rsidRPr="00C8621E" w:rsidRDefault="0020138A" w:rsidP="00295FF8">
            <w:pPr>
              <w:pStyle w:val="TableText1"/>
              <w:rPr>
                <w:i w:val="0"/>
                <w:snapToGrid w:val="0"/>
              </w:rPr>
            </w:pPr>
            <w:r w:rsidRPr="00C8621E">
              <w:rPr>
                <w:i w:val="0"/>
                <w:snapToGrid w:val="0"/>
              </w:rPr>
              <w:t>11.1</w:t>
            </w:r>
          </w:p>
        </w:tc>
        <w:tc>
          <w:tcPr>
            <w:tcW w:w="763" w:type="pct"/>
          </w:tcPr>
          <w:p w:rsidR="0020138A" w:rsidRPr="00C8621E" w:rsidRDefault="0020138A" w:rsidP="00295FF8">
            <w:pPr>
              <w:pStyle w:val="TableText1"/>
              <w:rPr>
                <w:i w:val="0"/>
                <w:snapToGrid w:val="0"/>
              </w:rPr>
            </w:pPr>
            <w:r w:rsidRPr="00C8621E">
              <w:rPr>
                <w:i w:val="0"/>
                <w:snapToGrid w:val="0"/>
              </w:rPr>
              <w:t>8.9</w:t>
            </w:r>
          </w:p>
        </w:tc>
      </w:tr>
      <w:tr w:rsidR="0020138A" w:rsidRPr="00C8621E" w:rsidTr="00EF5AD5">
        <w:tc>
          <w:tcPr>
            <w:tcW w:w="1221" w:type="pct"/>
          </w:tcPr>
          <w:p w:rsidR="0020138A" w:rsidRPr="00C8621E" w:rsidRDefault="0020138A" w:rsidP="00295FF8">
            <w:pPr>
              <w:pStyle w:val="TableText1"/>
              <w:rPr>
                <w:i w:val="0"/>
                <w:snapToGrid w:val="0"/>
              </w:rPr>
            </w:pPr>
            <w:r w:rsidRPr="00C8621E">
              <w:rPr>
                <w:i w:val="0"/>
                <w:snapToGrid w:val="0"/>
              </w:rPr>
              <w:t xml:space="preserve">Median </w:t>
            </w:r>
            <w:r w:rsidRPr="00C8621E">
              <w:rPr>
                <w:rFonts w:eastAsia="SimSun"/>
                <w:i w:val="0"/>
              </w:rPr>
              <w:t>(95% CI) (Cut-off 30 Nov 2008)</w:t>
            </w:r>
          </w:p>
        </w:tc>
        <w:tc>
          <w:tcPr>
            <w:tcW w:w="637" w:type="pct"/>
          </w:tcPr>
          <w:p w:rsidR="0020138A" w:rsidRPr="00C8621E" w:rsidRDefault="0020138A" w:rsidP="00295FF8">
            <w:pPr>
              <w:pStyle w:val="TableText1"/>
              <w:rPr>
                <w:i w:val="0"/>
                <w:snapToGrid w:val="0"/>
              </w:rPr>
            </w:pPr>
            <w:r w:rsidRPr="00C8621E">
              <w:rPr>
                <w:i w:val="0"/>
                <w:snapToGrid w:val="0"/>
              </w:rPr>
              <w:t>6.9 (5.7. 8.0)</w:t>
            </w:r>
          </w:p>
        </w:tc>
        <w:tc>
          <w:tcPr>
            <w:tcW w:w="520" w:type="pct"/>
          </w:tcPr>
          <w:p w:rsidR="0020138A" w:rsidRPr="00C8621E" w:rsidRDefault="0020138A" w:rsidP="00295FF8">
            <w:pPr>
              <w:pStyle w:val="TableText1"/>
              <w:rPr>
                <w:i w:val="0"/>
                <w:snapToGrid w:val="0"/>
              </w:rPr>
            </w:pPr>
            <w:r w:rsidRPr="00C8621E">
              <w:rPr>
                <w:i w:val="0"/>
                <w:snapToGrid w:val="0"/>
              </w:rPr>
              <w:t>4.6 (4.1, 6.6)</w:t>
            </w:r>
          </w:p>
        </w:tc>
        <w:tc>
          <w:tcPr>
            <w:tcW w:w="637" w:type="pct"/>
          </w:tcPr>
          <w:p w:rsidR="0020138A" w:rsidRPr="00C8621E" w:rsidRDefault="0020138A" w:rsidP="00295FF8">
            <w:pPr>
              <w:pStyle w:val="TableText1"/>
              <w:rPr>
                <w:i w:val="0"/>
                <w:snapToGrid w:val="0"/>
              </w:rPr>
            </w:pPr>
            <w:r w:rsidRPr="00C8621E">
              <w:rPr>
                <w:i w:val="0"/>
                <w:snapToGrid w:val="0"/>
              </w:rPr>
              <w:t>6.9 (5.7, 8.0)</w:t>
            </w:r>
          </w:p>
        </w:tc>
        <w:tc>
          <w:tcPr>
            <w:tcW w:w="520" w:type="pct"/>
          </w:tcPr>
          <w:p w:rsidR="0020138A" w:rsidRPr="00C8621E" w:rsidRDefault="0020138A" w:rsidP="00295FF8">
            <w:pPr>
              <w:pStyle w:val="TableText1"/>
              <w:rPr>
                <w:i w:val="0"/>
                <w:snapToGrid w:val="0"/>
              </w:rPr>
            </w:pPr>
            <w:r w:rsidRPr="00C8621E">
              <w:rPr>
                <w:i w:val="0"/>
                <w:snapToGrid w:val="0"/>
              </w:rPr>
              <w:t>4.3 (3.8, 5.4)</w:t>
            </w:r>
          </w:p>
        </w:tc>
        <w:tc>
          <w:tcPr>
            <w:tcW w:w="702" w:type="pct"/>
          </w:tcPr>
          <w:p w:rsidR="0020138A" w:rsidRPr="00C8621E" w:rsidRDefault="0020138A" w:rsidP="00295FF8">
            <w:pPr>
              <w:pStyle w:val="TableText1"/>
              <w:rPr>
                <w:i w:val="0"/>
                <w:snapToGrid w:val="0"/>
              </w:rPr>
            </w:pPr>
            <w:r w:rsidRPr="00C8621E">
              <w:rPr>
                <w:i w:val="0"/>
                <w:snapToGrid w:val="0"/>
              </w:rPr>
              <w:t>-</w:t>
            </w:r>
          </w:p>
        </w:tc>
        <w:tc>
          <w:tcPr>
            <w:tcW w:w="763" w:type="pct"/>
          </w:tcPr>
          <w:p w:rsidR="0020138A" w:rsidRPr="00C8621E" w:rsidRDefault="0020138A" w:rsidP="00295FF8">
            <w:pPr>
              <w:pStyle w:val="TableText1"/>
              <w:rPr>
                <w:i w:val="0"/>
                <w:snapToGrid w:val="0"/>
              </w:rPr>
            </w:pPr>
            <w:r w:rsidRPr="00C8621E">
              <w:rPr>
                <w:i w:val="0"/>
                <w:snapToGrid w:val="0"/>
              </w:rPr>
              <w:t>-</w:t>
            </w:r>
          </w:p>
        </w:tc>
      </w:tr>
    </w:tbl>
    <w:p w:rsidR="0020138A" w:rsidRPr="00C8621E" w:rsidRDefault="0020138A" w:rsidP="004919B2">
      <w:pPr>
        <w:pStyle w:val="TableFooter"/>
        <w:widowControl/>
      </w:pPr>
      <w:r w:rsidRPr="00C8621E">
        <w:t xml:space="preserve">BSC: best supportive care; ITT: intent-to-treat; </w:t>
      </w:r>
      <w:proofErr w:type="spellStart"/>
      <w:r w:rsidRPr="00C8621E">
        <w:t>mITT</w:t>
      </w:r>
      <w:proofErr w:type="spellEnd"/>
      <w:r w:rsidRPr="00C8621E">
        <w:t xml:space="preserve">: modified intent-to-treat; VFL: </w:t>
      </w:r>
      <w:proofErr w:type="spellStart"/>
      <w:r w:rsidRPr="00C8621E">
        <w:t>vinflunine</w:t>
      </w:r>
      <w:proofErr w:type="spellEnd"/>
      <w:r w:rsidRPr="00C8621E">
        <w:t>. Source: Complied during the evaluation.</w:t>
      </w:r>
    </w:p>
    <w:p w:rsidR="0020138A" w:rsidRPr="00C8621E" w:rsidRDefault="0020138A" w:rsidP="004919B2">
      <w:pPr>
        <w:widowControl/>
      </w:pPr>
    </w:p>
    <w:p w:rsidR="0085585D" w:rsidRDefault="0085585D" w:rsidP="0085585D">
      <w:pPr>
        <w:pStyle w:val="Caption"/>
      </w:pPr>
      <w:r>
        <w:t xml:space="preserve">Figure </w:t>
      </w:r>
      <w:r>
        <w:rPr>
          <w:noProof/>
        </w:rPr>
        <w:t>1</w:t>
      </w:r>
      <w:r w:rsidRPr="00A1135A">
        <w:t>: Overall survival in Study 302 by patient population (November 2008)</w:t>
      </w:r>
    </w:p>
    <w:p w:rsidR="0020138A" w:rsidRPr="00C8621E" w:rsidRDefault="0020138A" w:rsidP="004919B2">
      <w:pPr>
        <w:pStyle w:val="TableHeading"/>
      </w:pPr>
      <w:r w:rsidRPr="00C8621E">
        <w:rPr>
          <w:noProof/>
          <w:lang w:eastAsia="en-AU"/>
        </w:rPr>
        <w:drawing>
          <wp:inline distT="0" distB="0" distL="0" distR="0" wp14:anchorId="53BFA184" wp14:editId="79A43019">
            <wp:extent cx="5764377" cy="4265332"/>
            <wp:effectExtent l="0" t="0" r="8255" b="1905"/>
            <wp:docPr id="5" name="Picture 5" title="Overall survival in Study 302 by patient population (Novemb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377" cy="4265332"/>
                    </a:xfrm>
                    <a:prstGeom prst="rect">
                      <a:avLst/>
                    </a:prstGeom>
                    <a:noFill/>
                  </pic:spPr>
                </pic:pic>
              </a:graphicData>
            </a:graphic>
          </wp:inline>
        </w:drawing>
      </w:r>
    </w:p>
    <w:p w:rsidR="0020138A" w:rsidRPr="00C8621E" w:rsidRDefault="0020138A" w:rsidP="004919B2">
      <w:pPr>
        <w:pStyle w:val="TableFooter"/>
        <w:widowControl/>
      </w:pPr>
      <w:r w:rsidRPr="00C8621E">
        <w:t xml:space="preserve">Source: p 25 of the </w:t>
      </w:r>
      <w:r w:rsidR="00FE4282" w:rsidRPr="00C8621E">
        <w:t>resubmission</w:t>
      </w:r>
    </w:p>
    <w:p w:rsidR="0020138A" w:rsidRPr="00C8621E" w:rsidRDefault="00FD4546" w:rsidP="004919B2">
      <w:pPr>
        <w:pStyle w:val="ListParagraph"/>
        <w:widowControl/>
        <w:numPr>
          <w:ilvl w:val="1"/>
          <w:numId w:val="9"/>
        </w:numPr>
        <w:spacing w:before="120" w:after="160"/>
        <w:contextualSpacing w:val="0"/>
        <w:rPr>
          <w:rFonts w:cstheme="minorHAnsi"/>
        </w:rPr>
      </w:pPr>
      <w:r w:rsidRPr="00C8621E">
        <w:rPr>
          <w:rFonts w:cstheme="minorHAnsi"/>
        </w:rPr>
        <w:t>U</w:t>
      </w:r>
      <w:r w:rsidR="0020138A" w:rsidRPr="00C8621E">
        <w:rPr>
          <w:rFonts w:cstheme="minorHAnsi"/>
        </w:rPr>
        <w:t xml:space="preserve">sing a ‘mixed’ estimate of overall survival in the ITT and </w:t>
      </w:r>
      <w:proofErr w:type="spellStart"/>
      <w:r w:rsidR="0020138A" w:rsidRPr="00C8621E">
        <w:rPr>
          <w:rFonts w:cstheme="minorHAnsi"/>
        </w:rPr>
        <w:t>mITT</w:t>
      </w:r>
      <w:proofErr w:type="spellEnd"/>
      <w:r w:rsidR="0020138A" w:rsidRPr="00C8621E">
        <w:rPr>
          <w:rFonts w:cstheme="minorHAnsi"/>
        </w:rPr>
        <w:t xml:space="preserve"> populati</w:t>
      </w:r>
      <w:r w:rsidRPr="00C8621E">
        <w:rPr>
          <w:rFonts w:cstheme="minorHAnsi"/>
        </w:rPr>
        <w:t xml:space="preserve">ons </w:t>
      </w:r>
      <w:r w:rsidR="0020138A" w:rsidRPr="00C8621E">
        <w:rPr>
          <w:rFonts w:cstheme="minorHAnsi"/>
        </w:rPr>
        <w:t xml:space="preserve">does not address the applicability issue as to whether this population is representative of the proposed Australian population. The updated approach in the </w:t>
      </w:r>
      <w:r w:rsidR="00FE4282" w:rsidRPr="00C8621E">
        <w:rPr>
          <w:rFonts w:cstheme="minorHAnsi"/>
        </w:rPr>
        <w:t>resubmission</w:t>
      </w:r>
      <w:r w:rsidR="0020138A" w:rsidRPr="00C8621E">
        <w:rPr>
          <w:rFonts w:cstheme="minorHAnsi"/>
        </w:rPr>
        <w:t xml:space="preserve"> does not address PBAC’s concerns regarding bias in the </w:t>
      </w:r>
      <w:proofErr w:type="spellStart"/>
      <w:r w:rsidR="0020138A" w:rsidRPr="00C8621E">
        <w:rPr>
          <w:rFonts w:cstheme="minorHAnsi"/>
        </w:rPr>
        <w:t>mITT</w:t>
      </w:r>
      <w:proofErr w:type="spellEnd"/>
      <w:r w:rsidR="0020138A" w:rsidRPr="00C8621E">
        <w:rPr>
          <w:rFonts w:cstheme="minorHAnsi"/>
        </w:rPr>
        <w:t xml:space="preserve"> results. The model is sensitive to the population used, in which the exclusion of a small number of patients substantially favours </w:t>
      </w:r>
      <w:proofErr w:type="spellStart"/>
      <w:r w:rsidR="0020138A" w:rsidRPr="00C8621E">
        <w:rPr>
          <w:rFonts w:cstheme="minorHAnsi"/>
        </w:rPr>
        <w:t>vinflunine</w:t>
      </w:r>
      <w:proofErr w:type="spellEnd"/>
      <w:r w:rsidR="0020138A" w:rsidRPr="00C8621E">
        <w:rPr>
          <w:rFonts w:cstheme="minorHAnsi"/>
        </w:rPr>
        <w:t xml:space="preserve"> + BSC over BSC alone. </w:t>
      </w:r>
      <w:r w:rsidR="0022280B" w:rsidRPr="00C8621E">
        <w:rPr>
          <w:rFonts w:cstheme="minorHAnsi"/>
        </w:rPr>
        <w:t xml:space="preserve">The ESC </w:t>
      </w:r>
      <w:r w:rsidR="00C8621E" w:rsidRPr="00C8621E">
        <w:rPr>
          <w:rFonts w:cstheme="minorHAnsi"/>
        </w:rPr>
        <w:t xml:space="preserve">and PBAC </w:t>
      </w:r>
      <w:r w:rsidR="0022280B" w:rsidRPr="00C8621E">
        <w:rPr>
          <w:rFonts w:cstheme="minorHAnsi"/>
        </w:rPr>
        <w:t xml:space="preserve">noted that the gain in overall survival as depicted in the Kaplan Meier plots was marginal. </w:t>
      </w:r>
    </w:p>
    <w:p w:rsidR="000F0A58" w:rsidRPr="00C8621E" w:rsidRDefault="000F0A58" w:rsidP="004919B2">
      <w:pPr>
        <w:pStyle w:val="ListParagraph"/>
        <w:widowControl/>
        <w:numPr>
          <w:ilvl w:val="1"/>
          <w:numId w:val="9"/>
        </w:numPr>
        <w:spacing w:before="120" w:after="160"/>
        <w:contextualSpacing w:val="0"/>
        <w:rPr>
          <w:rFonts w:cstheme="minorHAnsi"/>
        </w:rPr>
      </w:pPr>
      <w:r w:rsidRPr="00C8621E">
        <w:rPr>
          <w:rFonts w:cstheme="minorHAnsi"/>
        </w:rPr>
        <w:t xml:space="preserve">The PSCR (p2) argued that it is not unreasonable to base an economic evaluation on the patient subgroup expected to access the proposed intervention in Australian practice, and that the </w:t>
      </w:r>
      <w:proofErr w:type="spellStart"/>
      <w:r w:rsidRPr="00C8621E">
        <w:rPr>
          <w:rFonts w:cstheme="minorHAnsi"/>
        </w:rPr>
        <w:t>mITT</w:t>
      </w:r>
      <w:proofErr w:type="spellEnd"/>
      <w:r w:rsidRPr="00C8621E">
        <w:rPr>
          <w:rFonts w:cstheme="minorHAnsi"/>
        </w:rPr>
        <w:t xml:space="preserve"> population reflects the proposed PBS population. </w:t>
      </w:r>
      <w:r w:rsidR="0022280B" w:rsidRPr="00C8621E">
        <w:rPr>
          <w:rFonts w:cstheme="minorHAnsi"/>
          <w:szCs w:val="24"/>
        </w:rPr>
        <w:t>The PSCR (p2) also stated that the ‘mixed’ ITT/</w:t>
      </w:r>
      <w:proofErr w:type="spellStart"/>
      <w:r w:rsidR="0022280B" w:rsidRPr="00C8621E">
        <w:rPr>
          <w:rFonts w:cstheme="minorHAnsi"/>
          <w:szCs w:val="24"/>
        </w:rPr>
        <w:t>mITT</w:t>
      </w:r>
      <w:proofErr w:type="spellEnd"/>
      <w:r w:rsidR="0022280B" w:rsidRPr="00C8621E">
        <w:rPr>
          <w:rFonts w:cstheme="minorHAnsi"/>
          <w:szCs w:val="24"/>
        </w:rPr>
        <w:t xml:space="preserve"> approach was presented as a compromise, as it addresses one of the PBAC’s original concerns, that the </w:t>
      </w:r>
      <w:proofErr w:type="spellStart"/>
      <w:r w:rsidR="0022280B" w:rsidRPr="00C8621E">
        <w:rPr>
          <w:rFonts w:cstheme="minorHAnsi"/>
          <w:szCs w:val="24"/>
        </w:rPr>
        <w:t>mITT</w:t>
      </w:r>
      <w:proofErr w:type="spellEnd"/>
      <w:r w:rsidR="0022280B" w:rsidRPr="00C8621E">
        <w:rPr>
          <w:rFonts w:cstheme="minorHAnsi"/>
          <w:szCs w:val="24"/>
        </w:rPr>
        <w:t xml:space="preserve"> analysis does not accurately reflect the clinical effectiveness of </w:t>
      </w:r>
      <w:proofErr w:type="spellStart"/>
      <w:r w:rsidR="0022280B" w:rsidRPr="00C8621E">
        <w:rPr>
          <w:rFonts w:cstheme="minorHAnsi"/>
          <w:szCs w:val="24"/>
        </w:rPr>
        <w:t>vinflunine</w:t>
      </w:r>
      <w:proofErr w:type="spellEnd"/>
      <w:r w:rsidR="0022280B" w:rsidRPr="00C8621E">
        <w:rPr>
          <w:rFonts w:cstheme="minorHAnsi"/>
          <w:szCs w:val="24"/>
        </w:rPr>
        <w:t>, should the drug leak into patients outside of the proposed restriction criteria.</w:t>
      </w:r>
      <w:r w:rsidR="005B24DA" w:rsidRPr="00C8621E">
        <w:rPr>
          <w:rFonts w:cstheme="minorHAnsi"/>
          <w:szCs w:val="24"/>
        </w:rPr>
        <w:t xml:space="preserve"> The ESC was of the view that the ‘mixed’ population weighting approach was not appropriate and favoured </w:t>
      </w:r>
      <w:proofErr w:type="spellStart"/>
      <w:r w:rsidR="005B24DA" w:rsidRPr="00C8621E">
        <w:rPr>
          <w:rFonts w:cstheme="minorHAnsi"/>
          <w:szCs w:val="24"/>
        </w:rPr>
        <w:t>vinflunine</w:t>
      </w:r>
      <w:proofErr w:type="spellEnd"/>
      <w:r w:rsidR="005B24DA" w:rsidRPr="00C8621E">
        <w:rPr>
          <w:rFonts w:cstheme="minorHAnsi"/>
          <w:szCs w:val="24"/>
        </w:rPr>
        <w:t xml:space="preserve">.  </w:t>
      </w:r>
    </w:p>
    <w:p w:rsidR="004658C2" w:rsidRPr="00C8621E" w:rsidRDefault="004658C2" w:rsidP="004658C2">
      <w:pPr>
        <w:pStyle w:val="ListParagraph"/>
        <w:widowControl/>
        <w:numPr>
          <w:ilvl w:val="1"/>
          <w:numId w:val="9"/>
        </w:numPr>
        <w:spacing w:before="120" w:after="160"/>
        <w:contextualSpacing w:val="0"/>
        <w:rPr>
          <w:rFonts w:cstheme="minorHAnsi"/>
        </w:rPr>
      </w:pPr>
      <w:r w:rsidRPr="00C8621E">
        <w:rPr>
          <w:rFonts w:cstheme="minorHAnsi"/>
        </w:rPr>
        <w:t xml:space="preserve">The PBAC recalled that it previously considered that the assessment of the comparative clinical and cost effectiveness of </w:t>
      </w:r>
      <w:proofErr w:type="spellStart"/>
      <w:r w:rsidRPr="00C8621E">
        <w:rPr>
          <w:rFonts w:cstheme="minorHAnsi"/>
        </w:rPr>
        <w:t>vinflunine</w:t>
      </w:r>
      <w:proofErr w:type="spellEnd"/>
      <w:r w:rsidRPr="00C8621E">
        <w:rPr>
          <w:rFonts w:cstheme="minorHAnsi"/>
        </w:rPr>
        <w:t xml:space="preserve"> versus best supportive care should be based on the ITT trial population. The PBAC </w:t>
      </w:r>
      <w:r w:rsidR="00C75CD1" w:rsidRPr="00C8621E">
        <w:rPr>
          <w:rFonts w:cstheme="minorHAnsi"/>
        </w:rPr>
        <w:t>agreed with the ESC</w:t>
      </w:r>
      <w:r w:rsidRPr="00C8621E">
        <w:rPr>
          <w:rFonts w:cstheme="minorHAnsi"/>
        </w:rPr>
        <w:t xml:space="preserve"> that the model favoured </w:t>
      </w:r>
      <w:proofErr w:type="spellStart"/>
      <w:r w:rsidRPr="00C8621E">
        <w:rPr>
          <w:rFonts w:cstheme="minorHAnsi"/>
        </w:rPr>
        <w:t>vinflunine</w:t>
      </w:r>
      <w:proofErr w:type="spellEnd"/>
      <w:r w:rsidRPr="00C8621E">
        <w:rPr>
          <w:rFonts w:cstheme="minorHAnsi"/>
        </w:rPr>
        <w:t xml:space="preserve"> by using results of the ‘mixed’ ITT/</w:t>
      </w:r>
      <w:proofErr w:type="spellStart"/>
      <w:r w:rsidRPr="00C8621E">
        <w:rPr>
          <w:rFonts w:cstheme="minorHAnsi"/>
        </w:rPr>
        <w:t>mITT</w:t>
      </w:r>
      <w:proofErr w:type="spellEnd"/>
      <w:r w:rsidRPr="00C8621E">
        <w:rPr>
          <w:rFonts w:cstheme="minorHAnsi"/>
        </w:rPr>
        <w:t xml:space="preserve"> population. </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resubmission changed the cost of treating adverse events, other unit costs in the model (PBS, MBS and AR-DRG costs) and the cost of </w:t>
      </w:r>
      <w:proofErr w:type="spellStart"/>
      <w:r w:rsidRPr="00C8621E">
        <w:rPr>
          <w:rFonts w:cstheme="minorHAnsi"/>
        </w:rPr>
        <w:t>vinflunine</w:t>
      </w:r>
      <w:proofErr w:type="spellEnd"/>
      <w:r w:rsidRPr="00C8621E">
        <w:rPr>
          <w:rFonts w:cstheme="minorHAnsi"/>
        </w:rPr>
        <w:t xml:space="preserve"> compared to the previous submissions.  </w:t>
      </w:r>
    </w:p>
    <w:p w:rsidR="0085585D" w:rsidRDefault="0085585D" w:rsidP="0085585D">
      <w:pPr>
        <w:pStyle w:val="Caption"/>
      </w:pPr>
      <w:r>
        <w:t xml:space="preserve">Table </w:t>
      </w:r>
      <w:r>
        <w:rPr>
          <w:noProof/>
        </w:rPr>
        <w:t>9</w:t>
      </w:r>
      <w:r w:rsidRPr="0039285C">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7099"/>
      </w:tblGrid>
      <w:tr w:rsidR="0020138A" w:rsidRPr="00C8621E" w:rsidTr="00EF5AD5">
        <w:trPr>
          <w:tblHeader/>
        </w:trPr>
        <w:tc>
          <w:tcPr>
            <w:tcW w:w="1092" w:type="pct"/>
            <w:shd w:val="clear" w:color="auto" w:fill="auto"/>
            <w:vAlign w:val="center"/>
          </w:tcPr>
          <w:p w:rsidR="0020138A" w:rsidRPr="00C8621E" w:rsidRDefault="0020138A" w:rsidP="00295FF8">
            <w:pPr>
              <w:pStyle w:val="TableText1"/>
              <w:rPr>
                <w:i w:val="0"/>
              </w:rPr>
            </w:pPr>
            <w:r w:rsidRPr="00C8621E">
              <w:rPr>
                <w:i w:val="0"/>
              </w:rPr>
              <w:t>Component</w:t>
            </w:r>
          </w:p>
        </w:tc>
        <w:tc>
          <w:tcPr>
            <w:tcW w:w="3908" w:type="pct"/>
            <w:shd w:val="clear" w:color="auto" w:fill="auto"/>
          </w:tcPr>
          <w:p w:rsidR="0020138A" w:rsidRPr="00C8621E" w:rsidRDefault="0020138A" w:rsidP="00295FF8">
            <w:pPr>
              <w:pStyle w:val="TableText1"/>
              <w:rPr>
                <w:i w:val="0"/>
              </w:rPr>
            </w:pPr>
            <w:r w:rsidRPr="00C8621E">
              <w:rPr>
                <w:i w:val="0"/>
              </w:rPr>
              <w:t>Summary</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Time horizon</w:t>
            </w:r>
          </w:p>
        </w:tc>
        <w:tc>
          <w:tcPr>
            <w:tcW w:w="3908" w:type="pct"/>
            <w:shd w:val="clear" w:color="auto" w:fill="auto"/>
            <w:vAlign w:val="center"/>
          </w:tcPr>
          <w:p w:rsidR="0020138A" w:rsidRPr="00C8621E" w:rsidRDefault="0020138A" w:rsidP="00295FF8">
            <w:pPr>
              <w:pStyle w:val="TableText1"/>
              <w:rPr>
                <w:i w:val="0"/>
              </w:rPr>
            </w:pPr>
            <w:r w:rsidRPr="00C8621E">
              <w:rPr>
                <w:i w:val="0"/>
              </w:rPr>
              <w:t xml:space="preserve">The resubmission stated the time horizon was five years. However, in the model all patients were dead by 4.4 years in the </w:t>
            </w:r>
            <w:proofErr w:type="spellStart"/>
            <w:r w:rsidRPr="00C8621E">
              <w:rPr>
                <w:i w:val="0"/>
              </w:rPr>
              <w:t>vinflunine</w:t>
            </w:r>
            <w:proofErr w:type="spellEnd"/>
            <w:r w:rsidRPr="00C8621E">
              <w:rPr>
                <w:i w:val="0"/>
              </w:rPr>
              <w:t xml:space="preserve"> + BSC arm and by 3.9 years in the BSC arm.</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Outcomes</w:t>
            </w:r>
          </w:p>
        </w:tc>
        <w:tc>
          <w:tcPr>
            <w:tcW w:w="3908" w:type="pct"/>
            <w:shd w:val="clear" w:color="auto" w:fill="auto"/>
            <w:vAlign w:val="center"/>
          </w:tcPr>
          <w:p w:rsidR="0020138A" w:rsidRPr="00C8621E" w:rsidRDefault="0020138A" w:rsidP="00295FF8">
            <w:pPr>
              <w:pStyle w:val="TableText1"/>
              <w:rPr>
                <w:i w:val="0"/>
              </w:rPr>
            </w:pPr>
            <w:r w:rsidRPr="00C8621E">
              <w:rPr>
                <w:i w:val="0"/>
              </w:rPr>
              <w:t xml:space="preserve">LYG and QALYG based on a mix (50:50) of ITT and </w:t>
            </w:r>
            <w:proofErr w:type="spellStart"/>
            <w:r w:rsidRPr="00C8621E">
              <w:rPr>
                <w:i w:val="0"/>
              </w:rPr>
              <w:t>mITT</w:t>
            </w:r>
            <w:proofErr w:type="spellEnd"/>
            <w:r w:rsidRPr="00C8621E">
              <w:rPr>
                <w:i w:val="0"/>
              </w:rPr>
              <w:t xml:space="preserve"> results </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Methods used to generate results</w:t>
            </w:r>
          </w:p>
        </w:tc>
        <w:tc>
          <w:tcPr>
            <w:tcW w:w="3908" w:type="pct"/>
            <w:shd w:val="clear" w:color="auto" w:fill="auto"/>
            <w:vAlign w:val="center"/>
          </w:tcPr>
          <w:p w:rsidR="0020138A" w:rsidRPr="00C8621E" w:rsidRDefault="0020138A" w:rsidP="00295FF8">
            <w:pPr>
              <w:pStyle w:val="TableText1"/>
              <w:rPr>
                <w:i w:val="0"/>
              </w:rPr>
            </w:pPr>
            <w:r w:rsidRPr="00C8621E">
              <w:rPr>
                <w:i w:val="0"/>
              </w:rPr>
              <w:t xml:space="preserve">Mean survival (PFS and OS) calculated from Kaplan Meier plots from Study 302. A ‘mixed estimate’ was applied for OS of the ITT and </w:t>
            </w:r>
            <w:proofErr w:type="spellStart"/>
            <w:r w:rsidRPr="00C8621E">
              <w:rPr>
                <w:i w:val="0"/>
              </w:rPr>
              <w:t>mITT</w:t>
            </w:r>
            <w:proofErr w:type="spellEnd"/>
            <w:r w:rsidRPr="00C8621E">
              <w:rPr>
                <w:i w:val="0"/>
              </w:rPr>
              <w:t xml:space="preserve"> population. </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Health states</w:t>
            </w:r>
          </w:p>
        </w:tc>
        <w:tc>
          <w:tcPr>
            <w:tcW w:w="3908" w:type="pct"/>
            <w:shd w:val="clear" w:color="auto" w:fill="auto"/>
            <w:vAlign w:val="center"/>
          </w:tcPr>
          <w:p w:rsidR="0020138A" w:rsidRPr="00C8621E" w:rsidRDefault="0020138A" w:rsidP="00295FF8">
            <w:pPr>
              <w:pStyle w:val="TableText1"/>
              <w:rPr>
                <w:i w:val="0"/>
              </w:rPr>
            </w:pPr>
            <w:r w:rsidRPr="00C8621E">
              <w:rPr>
                <w:i w:val="0"/>
              </w:rPr>
              <w:t>Progression-free disease; Progressive disease and Death</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Cycle length</w:t>
            </w:r>
          </w:p>
        </w:tc>
        <w:tc>
          <w:tcPr>
            <w:tcW w:w="3908" w:type="pct"/>
            <w:shd w:val="clear" w:color="auto" w:fill="auto"/>
            <w:vAlign w:val="center"/>
          </w:tcPr>
          <w:p w:rsidR="0020138A" w:rsidRPr="00C8621E" w:rsidRDefault="0020138A" w:rsidP="00295FF8">
            <w:pPr>
              <w:pStyle w:val="TableText1"/>
              <w:rPr>
                <w:i w:val="0"/>
              </w:rPr>
            </w:pPr>
            <w:r w:rsidRPr="00C8621E">
              <w:rPr>
                <w:i w:val="0"/>
              </w:rPr>
              <w:t xml:space="preserve">21 days based on </w:t>
            </w:r>
            <w:proofErr w:type="spellStart"/>
            <w:r w:rsidRPr="00C8621E">
              <w:rPr>
                <w:i w:val="0"/>
              </w:rPr>
              <w:t>vinflunine</w:t>
            </w:r>
            <w:proofErr w:type="spellEnd"/>
            <w:r w:rsidRPr="00C8621E">
              <w:rPr>
                <w:i w:val="0"/>
              </w:rPr>
              <w:t xml:space="preserve"> treatment being administered every 21 days.</w:t>
            </w:r>
          </w:p>
        </w:tc>
      </w:tr>
      <w:tr w:rsidR="0020138A" w:rsidRPr="00C8621E" w:rsidTr="00EF5AD5">
        <w:tc>
          <w:tcPr>
            <w:tcW w:w="1092" w:type="pct"/>
            <w:shd w:val="clear" w:color="auto" w:fill="auto"/>
            <w:vAlign w:val="center"/>
          </w:tcPr>
          <w:p w:rsidR="0020138A" w:rsidRPr="00C8621E" w:rsidRDefault="0020138A" w:rsidP="00295FF8">
            <w:pPr>
              <w:pStyle w:val="TableText1"/>
              <w:rPr>
                <w:i w:val="0"/>
              </w:rPr>
            </w:pPr>
            <w:r w:rsidRPr="00C8621E">
              <w:rPr>
                <w:i w:val="0"/>
              </w:rPr>
              <w:t>Transition probabilities</w:t>
            </w:r>
          </w:p>
        </w:tc>
        <w:tc>
          <w:tcPr>
            <w:tcW w:w="3908" w:type="pct"/>
            <w:shd w:val="clear" w:color="auto" w:fill="auto"/>
            <w:vAlign w:val="center"/>
          </w:tcPr>
          <w:p w:rsidR="0020138A" w:rsidRPr="00C8621E" w:rsidRDefault="0020138A" w:rsidP="00295FF8">
            <w:pPr>
              <w:pStyle w:val="TableText1"/>
              <w:rPr>
                <w:i w:val="0"/>
              </w:rPr>
            </w:pPr>
            <w:r w:rsidRPr="00C8621E">
              <w:rPr>
                <w:i w:val="0"/>
              </w:rPr>
              <w:t>Partitioned survival analysis used to calculate proportion of patients in each health state</w:t>
            </w:r>
            <w:r w:rsidRPr="00C8621E" w:rsidDel="00364CC1">
              <w:rPr>
                <w:i w:val="0"/>
              </w:rPr>
              <w:t xml:space="preserve"> </w:t>
            </w:r>
          </w:p>
        </w:tc>
      </w:tr>
    </w:tbl>
    <w:p w:rsidR="0020138A" w:rsidRPr="00C8621E" w:rsidRDefault="0020138A" w:rsidP="004919B2">
      <w:pPr>
        <w:pStyle w:val="TableFooter"/>
        <w:widowControl/>
      </w:pPr>
      <w:r w:rsidRPr="00C8621E">
        <w:t xml:space="preserve">ITT: intent-to-treat; LYG: life years gained; </w:t>
      </w:r>
      <w:proofErr w:type="spellStart"/>
      <w:r w:rsidRPr="00C8621E">
        <w:t>mITT</w:t>
      </w:r>
      <w:proofErr w:type="spellEnd"/>
      <w:r w:rsidRPr="00C8621E">
        <w:t xml:space="preserve">: modified intent-to-treat; OS: overall survival; QALYG: quality adjusted life years gained; VFL: </w:t>
      </w:r>
      <w:proofErr w:type="spellStart"/>
      <w:r w:rsidRPr="00C8621E">
        <w:t>vinflunine</w:t>
      </w:r>
      <w:proofErr w:type="spellEnd"/>
      <w:r w:rsidRPr="00C8621E">
        <w:t>. Source: compiled during the evaluation</w:t>
      </w:r>
    </w:p>
    <w:p w:rsidR="0020138A" w:rsidRPr="00C8621E" w:rsidRDefault="0020138A" w:rsidP="004919B2">
      <w:pPr>
        <w:pStyle w:val="TableFooter"/>
        <w:widowControl/>
      </w:pP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The key drivers of the model are presented in Table 10.</w:t>
      </w:r>
    </w:p>
    <w:p w:rsidR="0085585D" w:rsidRDefault="0085585D" w:rsidP="0085585D">
      <w:pPr>
        <w:pStyle w:val="Caption"/>
      </w:pPr>
      <w:r>
        <w:t xml:space="preserve">Table </w:t>
      </w:r>
      <w:r>
        <w:rPr>
          <w:noProof/>
        </w:rPr>
        <w:t>10</w:t>
      </w:r>
      <w:r w:rsidRPr="001D679A">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3"/>
        <w:gridCol w:w="4961"/>
        <w:gridCol w:w="2449"/>
      </w:tblGrid>
      <w:tr w:rsidR="0020138A" w:rsidRPr="00C8621E" w:rsidTr="00EF5AD5">
        <w:trPr>
          <w:tblHeader/>
        </w:trPr>
        <w:tc>
          <w:tcPr>
            <w:tcW w:w="921" w:type="pct"/>
            <w:shd w:val="clear" w:color="auto" w:fill="auto"/>
            <w:vAlign w:val="center"/>
          </w:tcPr>
          <w:p w:rsidR="0020138A" w:rsidRPr="00C8621E" w:rsidRDefault="0020138A" w:rsidP="00295FF8">
            <w:pPr>
              <w:pStyle w:val="TableText1"/>
              <w:rPr>
                <w:i w:val="0"/>
                <w:lang w:val="en-US"/>
              </w:rPr>
            </w:pPr>
            <w:r w:rsidRPr="00C8621E">
              <w:rPr>
                <w:i w:val="0"/>
                <w:lang w:val="en-US"/>
              </w:rPr>
              <w:t>Description</w:t>
            </w:r>
          </w:p>
        </w:tc>
        <w:tc>
          <w:tcPr>
            <w:tcW w:w="2731" w:type="pct"/>
            <w:shd w:val="clear" w:color="auto" w:fill="auto"/>
            <w:vAlign w:val="center"/>
          </w:tcPr>
          <w:p w:rsidR="0020138A" w:rsidRPr="00C8621E" w:rsidRDefault="0020138A" w:rsidP="00295FF8">
            <w:pPr>
              <w:pStyle w:val="TableText1"/>
              <w:rPr>
                <w:i w:val="0"/>
                <w:lang w:val="en-US"/>
              </w:rPr>
            </w:pPr>
            <w:r w:rsidRPr="00C8621E">
              <w:rPr>
                <w:i w:val="0"/>
                <w:lang w:val="en-US"/>
              </w:rPr>
              <w:t>Method/Value</w:t>
            </w:r>
          </w:p>
        </w:tc>
        <w:tc>
          <w:tcPr>
            <w:tcW w:w="1348" w:type="pct"/>
            <w:shd w:val="clear" w:color="auto" w:fill="auto"/>
            <w:vAlign w:val="center"/>
          </w:tcPr>
          <w:p w:rsidR="0020138A" w:rsidRPr="00C8621E" w:rsidRDefault="0020138A" w:rsidP="00295FF8">
            <w:pPr>
              <w:pStyle w:val="TableText1"/>
              <w:rPr>
                <w:i w:val="0"/>
                <w:lang w:val="en-US"/>
              </w:rPr>
            </w:pPr>
            <w:r w:rsidRPr="00C8621E">
              <w:rPr>
                <w:i w:val="0"/>
                <w:lang w:val="en-US"/>
              </w:rPr>
              <w:t>Impact</w:t>
            </w:r>
          </w:p>
        </w:tc>
      </w:tr>
      <w:tr w:rsidR="0020138A" w:rsidRPr="00C8621E" w:rsidTr="00EF5AD5">
        <w:tc>
          <w:tcPr>
            <w:tcW w:w="921"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Application of the ‘mixed’ (50:50) </w:t>
            </w:r>
            <w:proofErr w:type="spellStart"/>
            <w:r w:rsidRPr="00C8621E">
              <w:rPr>
                <w:i w:val="0"/>
                <w:lang w:val="en-US"/>
              </w:rPr>
              <w:t>mITT</w:t>
            </w:r>
            <w:proofErr w:type="spellEnd"/>
            <w:r w:rsidRPr="00C8621E">
              <w:rPr>
                <w:i w:val="0"/>
                <w:lang w:val="en-US"/>
              </w:rPr>
              <w:t xml:space="preserve"> and ITT population</w:t>
            </w:r>
          </w:p>
        </w:tc>
        <w:tc>
          <w:tcPr>
            <w:tcW w:w="2731"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A ‘mixed’ estimate of overall survival was based on the ITT and </w:t>
            </w:r>
            <w:proofErr w:type="spellStart"/>
            <w:r w:rsidRPr="00C8621E">
              <w:rPr>
                <w:i w:val="0"/>
                <w:lang w:val="en-US"/>
              </w:rPr>
              <w:t>mITT</w:t>
            </w:r>
            <w:proofErr w:type="spellEnd"/>
            <w:r w:rsidRPr="00C8621E">
              <w:rPr>
                <w:i w:val="0"/>
                <w:lang w:val="en-US"/>
              </w:rPr>
              <w:t xml:space="preserve"> populations (50:50). Use of the ITT population increased the ICER.</w:t>
            </w:r>
          </w:p>
        </w:tc>
        <w:tc>
          <w:tcPr>
            <w:tcW w:w="1348"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High, </w:t>
            </w:r>
            <w:proofErr w:type="spellStart"/>
            <w:r w:rsidRPr="00C8621E">
              <w:rPr>
                <w:i w:val="0"/>
                <w:lang w:val="en-US"/>
              </w:rPr>
              <w:t>favours</w:t>
            </w:r>
            <w:proofErr w:type="spellEnd"/>
            <w:r w:rsidRPr="00C8621E">
              <w:rPr>
                <w:i w:val="0"/>
                <w:lang w:val="en-US"/>
              </w:rPr>
              <w:t xml:space="preserve"> </w:t>
            </w:r>
            <w:proofErr w:type="spellStart"/>
            <w:r w:rsidRPr="00C8621E">
              <w:rPr>
                <w:i w:val="0"/>
                <w:lang w:val="en-US"/>
              </w:rPr>
              <w:t>vinflunine</w:t>
            </w:r>
            <w:proofErr w:type="spellEnd"/>
            <w:r w:rsidRPr="00C8621E">
              <w:rPr>
                <w:i w:val="0"/>
                <w:lang w:val="en-US"/>
              </w:rPr>
              <w:t xml:space="preserve"> + BSC</w:t>
            </w:r>
          </w:p>
        </w:tc>
      </w:tr>
      <w:tr w:rsidR="0020138A" w:rsidRPr="00C8621E" w:rsidTr="00EF5AD5">
        <w:tc>
          <w:tcPr>
            <w:tcW w:w="921"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Pooling of utility values </w:t>
            </w:r>
          </w:p>
        </w:tc>
        <w:tc>
          <w:tcPr>
            <w:tcW w:w="2731"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Utility values for progressive disease were 0.71 in both treatment arms. </w:t>
            </w:r>
            <w:r w:rsidRPr="00C8621E">
              <w:rPr>
                <w:i w:val="0"/>
              </w:rPr>
              <w:t>This is unchanged from the previous submission. Using treatment-specific utilities (VFL+BSC=0.68; BSC=0.74) increased the ICER.</w:t>
            </w:r>
            <w:r w:rsidR="00601937" w:rsidRPr="00C8621E">
              <w:rPr>
                <w:i w:val="0"/>
              </w:rPr>
              <w:t xml:space="preserve"> The ESC considered use of the pooled utility values for progressive disease was reasonable on the basis that </w:t>
            </w:r>
            <w:proofErr w:type="spellStart"/>
            <w:r w:rsidR="00601937" w:rsidRPr="00C8621E">
              <w:rPr>
                <w:i w:val="0"/>
              </w:rPr>
              <w:t>vinflunine</w:t>
            </w:r>
            <w:proofErr w:type="spellEnd"/>
            <w:r w:rsidR="00601937" w:rsidRPr="00C8621E">
              <w:rPr>
                <w:i w:val="0"/>
              </w:rPr>
              <w:t xml:space="preserve"> treatment is not to be used after progression and the adverse events with </w:t>
            </w:r>
            <w:proofErr w:type="spellStart"/>
            <w:r w:rsidR="00601937" w:rsidRPr="00C8621E">
              <w:rPr>
                <w:i w:val="0"/>
              </w:rPr>
              <w:t>vinflunine</w:t>
            </w:r>
            <w:proofErr w:type="spellEnd"/>
            <w:r w:rsidR="00601937" w:rsidRPr="00C8621E">
              <w:rPr>
                <w:i w:val="0"/>
              </w:rPr>
              <w:t xml:space="preserve"> are usually transient. </w:t>
            </w:r>
          </w:p>
        </w:tc>
        <w:tc>
          <w:tcPr>
            <w:tcW w:w="1348"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Moderate, </w:t>
            </w:r>
            <w:proofErr w:type="spellStart"/>
            <w:r w:rsidRPr="00C8621E">
              <w:rPr>
                <w:i w:val="0"/>
                <w:lang w:val="en-US"/>
              </w:rPr>
              <w:t>favours</w:t>
            </w:r>
            <w:proofErr w:type="spellEnd"/>
            <w:r w:rsidRPr="00C8621E">
              <w:rPr>
                <w:i w:val="0"/>
                <w:lang w:val="en-US"/>
              </w:rPr>
              <w:t xml:space="preserve"> </w:t>
            </w:r>
            <w:proofErr w:type="spellStart"/>
            <w:r w:rsidRPr="00C8621E">
              <w:rPr>
                <w:i w:val="0"/>
                <w:lang w:val="en-US"/>
              </w:rPr>
              <w:t>vinflunine</w:t>
            </w:r>
            <w:proofErr w:type="spellEnd"/>
            <w:r w:rsidRPr="00C8621E">
              <w:rPr>
                <w:i w:val="0"/>
                <w:lang w:val="en-US"/>
              </w:rPr>
              <w:t xml:space="preserve"> + BSC</w:t>
            </w:r>
          </w:p>
        </w:tc>
      </w:tr>
      <w:tr w:rsidR="0020138A" w:rsidRPr="00C8621E" w:rsidTr="00EF5AD5">
        <w:tc>
          <w:tcPr>
            <w:tcW w:w="921" w:type="pct"/>
            <w:shd w:val="clear" w:color="auto" w:fill="auto"/>
            <w:vAlign w:val="center"/>
          </w:tcPr>
          <w:p w:rsidR="0020138A" w:rsidRPr="00C8621E" w:rsidRDefault="0020138A" w:rsidP="00295FF8">
            <w:pPr>
              <w:pStyle w:val="TableText1"/>
              <w:rPr>
                <w:i w:val="0"/>
                <w:lang w:val="en-US"/>
              </w:rPr>
            </w:pPr>
            <w:r w:rsidRPr="00C8621E">
              <w:rPr>
                <w:i w:val="0"/>
                <w:lang w:val="en-US"/>
              </w:rPr>
              <w:t>Treatment cycles</w:t>
            </w:r>
          </w:p>
        </w:tc>
        <w:tc>
          <w:tcPr>
            <w:tcW w:w="2731"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The average number of </w:t>
            </w:r>
            <w:proofErr w:type="spellStart"/>
            <w:r w:rsidRPr="00C8621E">
              <w:rPr>
                <w:i w:val="0"/>
                <w:lang w:val="en-US"/>
              </w:rPr>
              <w:t>vinflunine</w:t>
            </w:r>
            <w:proofErr w:type="spellEnd"/>
            <w:r w:rsidRPr="00C8621E">
              <w:rPr>
                <w:i w:val="0"/>
                <w:lang w:val="en-US"/>
              </w:rPr>
              <w:t xml:space="preserve"> cycles applied in the model was 4.2 based on the clinical trial data. Increasing the number of treatment cycles increased the ICER.</w:t>
            </w:r>
          </w:p>
        </w:tc>
        <w:tc>
          <w:tcPr>
            <w:tcW w:w="1348" w:type="pct"/>
            <w:shd w:val="clear" w:color="auto" w:fill="auto"/>
            <w:vAlign w:val="center"/>
          </w:tcPr>
          <w:p w:rsidR="0020138A" w:rsidRPr="00C8621E" w:rsidRDefault="0020138A" w:rsidP="00295FF8">
            <w:pPr>
              <w:pStyle w:val="TableText1"/>
              <w:rPr>
                <w:i w:val="0"/>
                <w:lang w:val="en-US"/>
              </w:rPr>
            </w:pPr>
            <w:r w:rsidRPr="00C8621E">
              <w:rPr>
                <w:i w:val="0"/>
                <w:lang w:val="en-US"/>
              </w:rPr>
              <w:t xml:space="preserve">Moderate, </w:t>
            </w:r>
            <w:proofErr w:type="spellStart"/>
            <w:r w:rsidRPr="00C8621E">
              <w:rPr>
                <w:i w:val="0"/>
                <w:lang w:val="en-US"/>
              </w:rPr>
              <w:t>favours</w:t>
            </w:r>
            <w:proofErr w:type="spellEnd"/>
            <w:r w:rsidRPr="00C8621E">
              <w:rPr>
                <w:i w:val="0"/>
                <w:lang w:val="en-US"/>
              </w:rPr>
              <w:t xml:space="preserve"> </w:t>
            </w:r>
            <w:proofErr w:type="spellStart"/>
            <w:r w:rsidRPr="00C8621E">
              <w:rPr>
                <w:i w:val="0"/>
                <w:lang w:val="en-US"/>
              </w:rPr>
              <w:t>vinflunine</w:t>
            </w:r>
            <w:proofErr w:type="spellEnd"/>
            <w:r w:rsidRPr="00C8621E">
              <w:rPr>
                <w:i w:val="0"/>
                <w:lang w:val="en-US"/>
              </w:rPr>
              <w:t xml:space="preserve"> + BSC</w:t>
            </w:r>
          </w:p>
        </w:tc>
      </w:tr>
    </w:tbl>
    <w:p w:rsidR="0020138A" w:rsidRPr="00C8621E" w:rsidRDefault="0020138A" w:rsidP="004919B2">
      <w:pPr>
        <w:pStyle w:val="TableFooter"/>
        <w:widowControl/>
      </w:pPr>
      <w:r w:rsidRPr="00C8621E">
        <w:t xml:space="preserve">BSC: Best Supportive Care; ICER: incremental cost-effectiveness ratio; ITT: intent-to-treat; </w:t>
      </w:r>
      <w:proofErr w:type="spellStart"/>
      <w:r w:rsidRPr="00C8621E">
        <w:t>mITT</w:t>
      </w:r>
      <w:proofErr w:type="spellEnd"/>
      <w:r w:rsidRPr="00C8621E">
        <w:t>: modified intent-to-treat. Source: compiled during the evaluation</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Results of the stepped economic evaluation and the ICER from the 2015 resubmission are presented in Table 11. </w:t>
      </w:r>
    </w:p>
    <w:p w:rsidR="0085585D" w:rsidRDefault="0085585D" w:rsidP="0085585D">
      <w:pPr>
        <w:pStyle w:val="Caption"/>
      </w:pPr>
      <w:r>
        <w:t xml:space="preserve">Table </w:t>
      </w:r>
      <w:r>
        <w:rPr>
          <w:noProof/>
        </w:rPr>
        <w:t>11</w:t>
      </w:r>
      <w:r w:rsidRPr="002114F7">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1"/>
        <w:gridCol w:w="2380"/>
        <w:gridCol w:w="36"/>
        <w:gridCol w:w="2343"/>
        <w:gridCol w:w="2053"/>
      </w:tblGrid>
      <w:tr w:rsidR="0020138A" w:rsidRPr="005C7FFC" w:rsidTr="00EF5AD5">
        <w:trPr>
          <w:tblHeader/>
        </w:trPr>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and component</w:t>
            </w:r>
          </w:p>
        </w:tc>
        <w:tc>
          <w:tcPr>
            <w:tcW w:w="1310" w:type="pct"/>
            <w:vAlign w:val="center"/>
          </w:tcPr>
          <w:p w:rsidR="0020138A" w:rsidRPr="005C7FFC" w:rsidRDefault="0020138A" w:rsidP="00295FF8">
            <w:pPr>
              <w:pStyle w:val="TableText1"/>
              <w:rPr>
                <w:rFonts w:ascii="Arial Narrow" w:hAnsi="Arial Narrow"/>
                <w:i w:val="0"/>
                <w:sz w:val="20"/>
              </w:rPr>
            </w:pPr>
            <w:proofErr w:type="spellStart"/>
            <w:r w:rsidRPr="005C7FFC">
              <w:rPr>
                <w:rFonts w:ascii="Arial Narrow" w:hAnsi="Arial Narrow"/>
                <w:i w:val="0"/>
                <w:sz w:val="20"/>
              </w:rPr>
              <w:t>Vinflunine</w:t>
            </w:r>
            <w:proofErr w:type="spellEnd"/>
            <w:r w:rsidRPr="005C7FFC">
              <w:rPr>
                <w:rFonts w:ascii="Arial Narrow" w:hAnsi="Arial Narrow"/>
                <w:i w:val="0"/>
                <w:sz w:val="20"/>
              </w:rPr>
              <w:t xml:space="preserve"> + BSC</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BSC</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1: trial-based costs and outcomes (ITT)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LYG</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0.8484</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0.7367</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0.1117</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LYG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2: trial-based costs and outcomes (</w:t>
            </w:r>
            <w:proofErr w:type="spellStart"/>
            <w:r w:rsidRPr="005C7FFC">
              <w:rPr>
                <w:rFonts w:ascii="Arial Narrow" w:hAnsi="Arial Narrow"/>
                <w:i w:val="0"/>
                <w:sz w:val="20"/>
              </w:rPr>
              <w:t>ITT:mITT</w:t>
            </w:r>
            <w:proofErr w:type="spellEnd"/>
            <w:r w:rsidRPr="005C7FFC">
              <w:rPr>
                <w:rFonts w:ascii="Arial Narrow" w:hAnsi="Arial Narrow"/>
                <w:i w:val="0"/>
                <w:sz w:val="20"/>
              </w:rPr>
              <w:t xml:space="preserve"> (50:50))</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LYG</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0.8521</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0.6883</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0.1638</w:t>
            </w:r>
          </w:p>
        </w:tc>
      </w:tr>
      <w:tr w:rsidR="0020138A" w:rsidRPr="005C7FFC" w:rsidTr="00EF5AD5">
        <w:trPr>
          <w:trHeight w:val="70"/>
        </w:trPr>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LYG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3: Transform to QALYs</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4: Include admin costs</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Step 5: Include lab test costs</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 xml:space="preserve">Step 6: Include laxative </w:t>
            </w:r>
            <w:proofErr w:type="spellStart"/>
            <w:r w:rsidRPr="005C7FFC">
              <w:rPr>
                <w:rFonts w:ascii="Arial Narrow" w:hAnsi="Arial Narrow"/>
                <w:i w:val="0"/>
                <w:sz w:val="20"/>
              </w:rPr>
              <w:t>tx</w:t>
            </w:r>
            <w:proofErr w:type="spellEnd"/>
            <w:r w:rsidRPr="005C7FFC">
              <w:rPr>
                <w:rFonts w:ascii="Arial Narrow" w:hAnsi="Arial Narrow"/>
                <w:i w:val="0"/>
                <w:sz w:val="20"/>
              </w:rPr>
              <w:t xml:space="preserve"> costs</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 xml:space="preserve">Step 7: Include PRT costs </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 xml:space="preserve">Step 8: Include AE costs </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 xml:space="preserve">Step 8: Include medical service costs </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0.6188</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0.5035</w:t>
            </w:r>
          </w:p>
        </w:tc>
        <w:tc>
          <w:tcPr>
            <w:tcW w:w="113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0.1153</w:t>
            </w:r>
          </w:p>
        </w:tc>
      </w:tr>
      <w:tr w:rsidR="0020138A" w:rsidRPr="005C7FFC" w:rsidTr="00545FEF">
        <w:tc>
          <w:tcPr>
            <w:tcW w:w="3870" w:type="pct"/>
            <w:gridSpan w:val="4"/>
            <w:tcBorders>
              <w:bottom w:val="double" w:sz="4" w:space="0" w:color="auto"/>
            </w:tcBorders>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tcBorders>
              <w:bottom w:val="double" w:sz="4" w:space="0" w:color="auto"/>
            </w:tcBorders>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6E0F8D" w:rsidRPr="005C7FFC" w:rsidTr="006E0F8D">
        <w:tc>
          <w:tcPr>
            <w:tcW w:w="5000" w:type="pct"/>
            <w:gridSpan w:val="5"/>
            <w:tcBorders>
              <w:top w:val="double" w:sz="4" w:space="0" w:color="auto"/>
              <w:bottom w:val="double" w:sz="4" w:space="0" w:color="auto"/>
            </w:tcBorders>
            <w:vAlign w:val="center"/>
          </w:tcPr>
          <w:p w:rsidR="006E0F8D" w:rsidRPr="005C7FFC" w:rsidRDefault="006E0F8D" w:rsidP="00295FF8">
            <w:pPr>
              <w:pStyle w:val="TableText1"/>
              <w:rPr>
                <w:rFonts w:ascii="Arial Narrow" w:hAnsi="Arial Narrow"/>
                <w:b/>
                <w:i w:val="0"/>
                <w:sz w:val="20"/>
              </w:rPr>
            </w:pPr>
            <w:r w:rsidRPr="005C7FFC">
              <w:rPr>
                <w:rFonts w:ascii="Arial Narrow" w:hAnsi="Arial Narrow"/>
                <w:b/>
                <w:i w:val="0"/>
                <w:sz w:val="20"/>
              </w:rPr>
              <w:t>Incremental cost/extra QALYs gained using only the ITT population</w:t>
            </w:r>
          </w:p>
        </w:tc>
      </w:tr>
      <w:tr w:rsidR="006E0F8D" w:rsidRPr="005C7FFC" w:rsidTr="006E0F8D">
        <w:tc>
          <w:tcPr>
            <w:tcW w:w="1250" w:type="pct"/>
            <w:tcBorders>
              <w:bottom w:val="single" w:sz="4" w:space="0" w:color="auto"/>
            </w:tcBorders>
            <w:vAlign w:val="center"/>
          </w:tcPr>
          <w:p w:rsidR="006E0F8D" w:rsidRPr="005C7FFC" w:rsidRDefault="006E0F8D" w:rsidP="00295FF8">
            <w:pPr>
              <w:pStyle w:val="TableText1"/>
              <w:rPr>
                <w:rFonts w:ascii="Arial Narrow" w:hAnsi="Arial Narrow"/>
                <w:b/>
                <w:i w:val="0"/>
                <w:sz w:val="20"/>
              </w:rPr>
            </w:pPr>
            <w:r w:rsidRPr="005C7FFC">
              <w:rPr>
                <w:rFonts w:ascii="Arial Narrow" w:hAnsi="Arial Narrow"/>
                <w:i w:val="0"/>
                <w:sz w:val="20"/>
              </w:rPr>
              <w:t>Costs</w:t>
            </w:r>
          </w:p>
        </w:tc>
        <w:tc>
          <w:tcPr>
            <w:tcW w:w="1330" w:type="pct"/>
            <w:gridSpan w:val="2"/>
            <w:tcBorders>
              <w:bottom w:val="single" w:sz="4" w:space="0" w:color="auto"/>
            </w:tcBorders>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290" w:type="pct"/>
            <w:tcBorders>
              <w:bottom w:val="single" w:sz="4" w:space="0" w:color="auto"/>
            </w:tcBorders>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130" w:type="pct"/>
            <w:tcBorders>
              <w:bottom w:val="single" w:sz="4" w:space="0" w:color="auto"/>
            </w:tcBorders>
            <w:vAlign w:val="center"/>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6E0F8D" w:rsidRPr="005C7FFC" w:rsidTr="006E0F8D">
        <w:tc>
          <w:tcPr>
            <w:tcW w:w="1250" w:type="pct"/>
            <w:tcBorders>
              <w:top w:val="single" w:sz="4" w:space="0" w:color="auto"/>
              <w:bottom w:val="single" w:sz="4" w:space="0" w:color="auto"/>
            </w:tcBorders>
            <w:vAlign w:val="center"/>
          </w:tcPr>
          <w:p w:rsidR="006E0F8D" w:rsidRPr="005C7FFC" w:rsidRDefault="006E0F8D" w:rsidP="00295FF8">
            <w:pPr>
              <w:pStyle w:val="TableText1"/>
              <w:rPr>
                <w:rFonts w:ascii="Arial Narrow" w:hAnsi="Arial Narrow"/>
                <w:b/>
                <w:i w:val="0"/>
                <w:sz w:val="20"/>
              </w:rPr>
            </w:pPr>
            <w:r w:rsidRPr="005C7FFC">
              <w:rPr>
                <w:rFonts w:ascii="Arial Narrow" w:hAnsi="Arial Narrow"/>
                <w:i w:val="0"/>
                <w:sz w:val="20"/>
              </w:rPr>
              <w:t>QALYs</w:t>
            </w:r>
          </w:p>
        </w:tc>
        <w:tc>
          <w:tcPr>
            <w:tcW w:w="1330" w:type="pct"/>
            <w:gridSpan w:val="2"/>
            <w:tcBorders>
              <w:top w:val="single" w:sz="4" w:space="0" w:color="auto"/>
              <w:bottom w:val="single" w:sz="4" w:space="0" w:color="auto"/>
            </w:tcBorders>
            <w:vAlign w:val="center"/>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0.6161</w:t>
            </w:r>
          </w:p>
        </w:tc>
        <w:tc>
          <w:tcPr>
            <w:tcW w:w="1290" w:type="pct"/>
            <w:tcBorders>
              <w:top w:val="single" w:sz="4" w:space="0" w:color="auto"/>
              <w:bottom w:val="single" w:sz="4" w:space="0" w:color="auto"/>
            </w:tcBorders>
            <w:vAlign w:val="center"/>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0.5378</w:t>
            </w:r>
          </w:p>
        </w:tc>
        <w:tc>
          <w:tcPr>
            <w:tcW w:w="1130" w:type="pct"/>
            <w:tcBorders>
              <w:top w:val="single" w:sz="4" w:space="0" w:color="auto"/>
              <w:bottom w:val="single" w:sz="4" w:space="0" w:color="auto"/>
            </w:tcBorders>
            <w:vAlign w:val="center"/>
          </w:tcPr>
          <w:p w:rsidR="006E0F8D" w:rsidRPr="005C7FFC" w:rsidRDefault="006E0F8D" w:rsidP="00295FF8">
            <w:pPr>
              <w:pStyle w:val="TableText1"/>
              <w:rPr>
                <w:rFonts w:ascii="Arial Narrow" w:hAnsi="Arial Narrow"/>
                <w:i w:val="0"/>
                <w:sz w:val="20"/>
              </w:rPr>
            </w:pPr>
            <w:r w:rsidRPr="005C7FFC">
              <w:rPr>
                <w:rFonts w:ascii="Arial Narrow" w:hAnsi="Arial Narrow"/>
                <w:i w:val="0"/>
                <w:sz w:val="20"/>
              </w:rPr>
              <w:t>0.0783</w:t>
            </w:r>
          </w:p>
        </w:tc>
      </w:tr>
      <w:tr w:rsidR="00545FEF" w:rsidRPr="005C7FFC" w:rsidTr="00545FEF">
        <w:tc>
          <w:tcPr>
            <w:tcW w:w="3870" w:type="pct"/>
            <w:gridSpan w:val="4"/>
            <w:tcBorders>
              <w:top w:val="single" w:sz="4" w:space="0" w:color="auto"/>
              <w:bottom w:val="double" w:sz="4" w:space="0" w:color="auto"/>
            </w:tcBorders>
            <w:vAlign w:val="center"/>
          </w:tcPr>
          <w:p w:rsidR="00545FEF" w:rsidRPr="005C7FFC" w:rsidRDefault="00545FEF" w:rsidP="00295FF8">
            <w:pPr>
              <w:pStyle w:val="TableText1"/>
              <w:rPr>
                <w:rFonts w:ascii="Arial Narrow" w:hAnsi="Arial Narrow"/>
                <w:b/>
                <w:i w:val="0"/>
                <w:sz w:val="20"/>
              </w:rPr>
            </w:pPr>
            <w:r w:rsidRPr="005C7FFC">
              <w:rPr>
                <w:rFonts w:ascii="Arial Narrow" w:hAnsi="Arial Narrow"/>
                <w:i w:val="0"/>
                <w:sz w:val="20"/>
              </w:rPr>
              <w:t>Incremental cost/extra QALYs gained</w:t>
            </w:r>
          </w:p>
        </w:tc>
        <w:tc>
          <w:tcPr>
            <w:tcW w:w="1130" w:type="pct"/>
            <w:tcBorders>
              <w:top w:val="single" w:sz="4" w:space="0" w:color="auto"/>
              <w:bottom w:val="double" w:sz="4" w:space="0" w:color="auto"/>
            </w:tcBorders>
            <w:vAlign w:val="center"/>
          </w:tcPr>
          <w:p w:rsidR="00545FEF" w:rsidRPr="005C7FFC" w:rsidRDefault="00545FEF" w:rsidP="00295FF8">
            <w:pPr>
              <w:pStyle w:val="TableText1"/>
              <w:rPr>
                <w:rFonts w:ascii="Arial Narrow" w:hAnsi="Arial Narrow"/>
                <w:b/>
                <w:i w:val="0"/>
                <w:sz w:val="20"/>
              </w:rPr>
            </w:pPr>
            <w:r w:rsidRPr="005C7FFC">
              <w:rPr>
                <w:rFonts w:ascii="Arial Narrow" w:hAnsi="Arial Narrow"/>
                <w:b/>
                <w:i w:val="0"/>
                <w:sz w:val="20"/>
              </w:rPr>
              <w:t>$</w:t>
            </w:r>
            <w:r w:rsidR="0097770C">
              <w:rPr>
                <w:rFonts w:ascii="Arial Narrow" w:hAnsi="Arial Narrow"/>
                <w:b/>
                <w:i w:val="0"/>
                <w:noProof/>
                <w:color w:val="000000"/>
                <w:sz w:val="20"/>
                <w:highlight w:val="black"/>
              </w:rPr>
              <w:t>'''''''''''''</w:t>
            </w:r>
          </w:p>
        </w:tc>
      </w:tr>
      <w:tr w:rsidR="0020138A" w:rsidRPr="005C7FFC" w:rsidTr="00EF5AD5">
        <w:tc>
          <w:tcPr>
            <w:tcW w:w="5000" w:type="pct"/>
            <w:gridSpan w:val="5"/>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 xml:space="preserve">July 2015 </w:t>
            </w:r>
            <w:r w:rsidR="00FE4282" w:rsidRPr="005C7FFC">
              <w:rPr>
                <w:rFonts w:ascii="Arial Narrow" w:hAnsi="Arial Narrow"/>
                <w:i w:val="0"/>
                <w:sz w:val="20"/>
              </w:rPr>
              <w:t>resubmission</w:t>
            </w:r>
            <w:r w:rsidRPr="005C7FFC">
              <w:rPr>
                <w:rFonts w:ascii="Arial Narrow" w:hAnsi="Arial Narrow"/>
                <w:i w:val="0"/>
                <w:sz w:val="20"/>
              </w:rPr>
              <w:t xml:space="preserve">  </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Costs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w:t>
            </w:r>
            <w:r w:rsidR="0097770C">
              <w:rPr>
                <w:rFonts w:ascii="Arial Narrow" w:hAnsi="Arial Narrow"/>
                <w:i w:val="0"/>
                <w:noProof/>
                <w:color w:val="000000"/>
                <w:sz w:val="20"/>
                <w:highlight w:val="black"/>
              </w:rPr>
              <w:t>'''''''''''''''</w:t>
            </w:r>
          </w:p>
        </w:tc>
        <w:tc>
          <w:tcPr>
            <w:tcW w:w="1130" w:type="pct"/>
            <w:vAlign w:val="center"/>
          </w:tcPr>
          <w:p w:rsidR="0020138A" w:rsidRPr="005C7FFC" w:rsidRDefault="0020138A" w:rsidP="00295FF8">
            <w:pPr>
              <w:pStyle w:val="TableText1"/>
              <w:rPr>
                <w:rFonts w:ascii="Arial Narrow" w:hAnsi="Arial Narrow"/>
                <w:i w:val="0"/>
                <w:sz w:val="20"/>
                <w:highlight w:val="yellow"/>
              </w:rPr>
            </w:pPr>
            <w:r w:rsidRPr="005C7FFC">
              <w:rPr>
                <w:rFonts w:ascii="Arial Narrow" w:hAnsi="Arial Narrow"/>
                <w:i w:val="0"/>
                <w:sz w:val="20"/>
              </w:rPr>
              <w:t>$</w:t>
            </w:r>
            <w:r w:rsidR="0097770C">
              <w:rPr>
                <w:rFonts w:ascii="Arial Narrow" w:hAnsi="Arial Narrow"/>
                <w:i w:val="0"/>
                <w:noProof/>
                <w:color w:val="000000"/>
                <w:sz w:val="20"/>
                <w:highlight w:val="black"/>
              </w:rPr>
              <w:t>''''''''''''''</w:t>
            </w:r>
          </w:p>
        </w:tc>
      </w:tr>
      <w:tr w:rsidR="0020138A" w:rsidRPr="005C7FFC" w:rsidTr="00EF5AD5">
        <w:tc>
          <w:tcPr>
            <w:tcW w:w="125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QALYs</w:t>
            </w:r>
          </w:p>
        </w:tc>
        <w:tc>
          <w:tcPr>
            <w:tcW w:w="1310" w:type="pct"/>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0.6214</w:t>
            </w:r>
          </w:p>
        </w:tc>
        <w:tc>
          <w:tcPr>
            <w:tcW w:w="1310" w:type="pct"/>
            <w:gridSpan w:val="2"/>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0.4692</w:t>
            </w:r>
          </w:p>
        </w:tc>
        <w:tc>
          <w:tcPr>
            <w:tcW w:w="1130" w:type="pct"/>
            <w:vAlign w:val="center"/>
          </w:tcPr>
          <w:p w:rsidR="0020138A" w:rsidRPr="005C7FFC" w:rsidRDefault="0020138A" w:rsidP="00295FF8">
            <w:pPr>
              <w:pStyle w:val="TableText1"/>
              <w:rPr>
                <w:rFonts w:ascii="Arial Narrow" w:hAnsi="Arial Narrow"/>
                <w:i w:val="0"/>
                <w:sz w:val="20"/>
                <w:highlight w:val="yellow"/>
              </w:rPr>
            </w:pPr>
            <w:r w:rsidRPr="005C7FFC">
              <w:rPr>
                <w:rFonts w:ascii="Arial Narrow" w:hAnsi="Arial Narrow"/>
                <w:i w:val="0"/>
                <w:sz w:val="20"/>
              </w:rPr>
              <w:t>0.1522</w:t>
            </w:r>
          </w:p>
        </w:tc>
      </w:tr>
      <w:tr w:rsidR="0020138A" w:rsidRPr="005C7FFC" w:rsidTr="00EF5AD5">
        <w:tc>
          <w:tcPr>
            <w:tcW w:w="3870" w:type="pct"/>
            <w:gridSpan w:val="4"/>
            <w:vAlign w:val="center"/>
          </w:tcPr>
          <w:p w:rsidR="0020138A" w:rsidRPr="005C7FFC" w:rsidRDefault="0020138A" w:rsidP="00295FF8">
            <w:pPr>
              <w:pStyle w:val="TableText1"/>
              <w:rPr>
                <w:rFonts w:ascii="Arial Narrow" w:hAnsi="Arial Narrow"/>
                <w:i w:val="0"/>
                <w:sz w:val="20"/>
              </w:rPr>
            </w:pPr>
            <w:r w:rsidRPr="005C7FFC">
              <w:rPr>
                <w:rFonts w:ascii="Arial Narrow" w:hAnsi="Arial Narrow"/>
                <w:i w:val="0"/>
                <w:sz w:val="20"/>
              </w:rPr>
              <w:t>Incremental cost/extra QALYs gained</w:t>
            </w:r>
          </w:p>
        </w:tc>
        <w:tc>
          <w:tcPr>
            <w:tcW w:w="1130" w:type="pct"/>
            <w:vAlign w:val="center"/>
          </w:tcPr>
          <w:p w:rsidR="0020138A" w:rsidRPr="005C7FFC" w:rsidRDefault="0020138A" w:rsidP="00295FF8">
            <w:pPr>
              <w:pStyle w:val="TableText1"/>
              <w:rPr>
                <w:rFonts w:ascii="Arial Narrow" w:hAnsi="Arial Narrow"/>
                <w:i w:val="0"/>
                <w:sz w:val="20"/>
                <w:highlight w:val="yellow"/>
              </w:rPr>
            </w:pPr>
            <w:r w:rsidRPr="005C7FFC">
              <w:rPr>
                <w:rFonts w:ascii="Arial Narrow" w:hAnsi="Arial Narrow"/>
                <w:i w:val="0"/>
                <w:sz w:val="20"/>
              </w:rPr>
              <w:t>$</w:t>
            </w:r>
            <w:r w:rsidR="0097770C">
              <w:rPr>
                <w:rFonts w:ascii="Arial Narrow" w:hAnsi="Arial Narrow"/>
                <w:i w:val="0"/>
                <w:noProof/>
                <w:color w:val="000000"/>
                <w:sz w:val="20"/>
                <w:highlight w:val="black"/>
              </w:rPr>
              <w:t>'''''''''''''''''</w:t>
            </w:r>
          </w:p>
        </w:tc>
      </w:tr>
    </w:tbl>
    <w:p w:rsidR="0020138A" w:rsidRPr="00C8621E" w:rsidRDefault="0020138A" w:rsidP="004919B2">
      <w:pPr>
        <w:pStyle w:val="TableFooter"/>
        <w:widowControl/>
      </w:pPr>
      <w:r w:rsidRPr="00C8621E">
        <w:t xml:space="preserve"> AE: adverse event; ITT: intention to treat; </w:t>
      </w:r>
      <w:proofErr w:type="spellStart"/>
      <w:r w:rsidRPr="00C8621E">
        <w:t>mITT</w:t>
      </w:r>
      <w:proofErr w:type="spellEnd"/>
      <w:r w:rsidRPr="00C8621E">
        <w:t xml:space="preserve">: modified intention to treat; PRT: palliative radiotherapy; QALY: quality adjusted life year. Source: Table 36 p48 of the </w:t>
      </w:r>
      <w:r w:rsidR="00FE4282" w:rsidRPr="00C8621E">
        <w:t>resubmission</w:t>
      </w:r>
      <w:r w:rsidRPr="00C8621E">
        <w:t>, Compiled during evaluation. Table D.5.5 of the COM 11-2015.</w:t>
      </w:r>
    </w:p>
    <w:p w:rsidR="003A7BA6" w:rsidRDefault="003A7BA6" w:rsidP="003A7BA6">
      <w:pPr>
        <w:pStyle w:val="ListParagraph"/>
        <w:widowControl/>
        <w:spacing w:before="120" w:after="160"/>
        <w:contextualSpacing w:val="0"/>
        <w:rPr>
          <w:rFonts w:cstheme="minorHAnsi"/>
          <w:szCs w:val="24"/>
        </w:rPr>
      </w:pPr>
      <w:r>
        <w:rPr>
          <w:rFonts w:cstheme="minorHAnsi"/>
          <w:szCs w:val="24"/>
        </w:rPr>
        <w:t>The redacted table shows ICERs in the range of $45,000/QALY - $75,000/QALY</w:t>
      </w:r>
    </w:p>
    <w:p w:rsidR="009E24A7" w:rsidRDefault="009E24A7" w:rsidP="003A7BA6">
      <w:pPr>
        <w:pStyle w:val="ListParagraph"/>
        <w:widowControl/>
        <w:spacing w:before="120" w:after="160"/>
        <w:contextualSpacing w:val="0"/>
        <w:rPr>
          <w:rFonts w:cstheme="minorHAnsi"/>
          <w:szCs w:val="24"/>
        </w:rPr>
      </w:pPr>
    </w:p>
    <w:p w:rsidR="0020138A" w:rsidRPr="00C8621E" w:rsidRDefault="0020138A"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w:t>
      </w:r>
      <w:r w:rsidR="00C75CD1" w:rsidRPr="00C8621E">
        <w:rPr>
          <w:rFonts w:cstheme="minorHAnsi"/>
          <w:szCs w:val="24"/>
        </w:rPr>
        <w:t xml:space="preserve">evaluation considered the </w:t>
      </w:r>
      <w:r w:rsidRPr="00C8621E">
        <w:rPr>
          <w:rFonts w:cstheme="minorHAnsi"/>
          <w:szCs w:val="24"/>
        </w:rPr>
        <w:t xml:space="preserve">ICER may be underestimated due to the use of the ‘mixed’ population, rather than the ITT population. Furthermore, the ICER may be underestimated as AE costs may be underestimated, the cost of G-CSF for the treatment and prevention of neutropenia was excluded, the submission did not consider the costs of more expensive laxatives, and BSC costs and post-progression costs, such as costs for gemcitabine and </w:t>
      </w:r>
      <w:proofErr w:type="gramStart"/>
      <w:r w:rsidRPr="00C8621E">
        <w:rPr>
          <w:rFonts w:cstheme="minorHAnsi"/>
          <w:szCs w:val="24"/>
        </w:rPr>
        <w:t>hospitalisations,</w:t>
      </w:r>
      <w:proofErr w:type="gramEnd"/>
      <w:r w:rsidRPr="00C8621E">
        <w:rPr>
          <w:rFonts w:cstheme="minorHAnsi"/>
          <w:szCs w:val="24"/>
        </w:rPr>
        <w:t xml:space="preserve"> were excluded. The costs of adverse events were based on the proportion of patients hospitalised</w:t>
      </w:r>
      <w:r w:rsidR="00601937" w:rsidRPr="00C8621E">
        <w:rPr>
          <w:rFonts w:cstheme="minorHAnsi"/>
          <w:szCs w:val="24"/>
        </w:rPr>
        <w:t xml:space="preserve"> (rather than the </w:t>
      </w:r>
      <w:r w:rsidR="0024610B" w:rsidRPr="00C8621E">
        <w:rPr>
          <w:rFonts w:cstheme="minorHAnsi"/>
          <w:szCs w:val="24"/>
        </w:rPr>
        <w:t>number of events and hence did not account for patients having more than 1 event)</w:t>
      </w:r>
      <w:r w:rsidRPr="00C8621E">
        <w:rPr>
          <w:rFonts w:cstheme="minorHAnsi"/>
          <w:szCs w:val="24"/>
        </w:rPr>
        <w:t xml:space="preserve">; the cost of treating more serious events was not included; and only the cost of specialist visits was included for adverse events treated outside the hospital setting. G-CSF is not currently listed on the PBS for this </w:t>
      </w:r>
      <w:proofErr w:type="gramStart"/>
      <w:r w:rsidRPr="00C8621E">
        <w:rPr>
          <w:rFonts w:cstheme="minorHAnsi"/>
          <w:szCs w:val="24"/>
        </w:rPr>
        <w:t>indication,</w:t>
      </w:r>
      <w:proofErr w:type="gramEnd"/>
      <w:r w:rsidRPr="00C8621E">
        <w:rPr>
          <w:rFonts w:cstheme="minorHAnsi"/>
          <w:szCs w:val="24"/>
        </w:rPr>
        <w:t xml:space="preserve"> however it was used in Study 302 for patients with febrile neutropenia and </w:t>
      </w:r>
      <w:r w:rsidR="00497FA2" w:rsidRPr="00C8621E">
        <w:rPr>
          <w:rFonts w:cstheme="minorHAnsi"/>
          <w:szCs w:val="24"/>
        </w:rPr>
        <w:t>for prophylaxis</w:t>
      </w:r>
      <w:r w:rsidRPr="00C8621E">
        <w:rPr>
          <w:rFonts w:cstheme="minorHAnsi"/>
          <w:szCs w:val="24"/>
        </w:rPr>
        <w:t xml:space="preserve"> for further cycles.</w:t>
      </w:r>
    </w:p>
    <w:p w:rsidR="00BC15BF" w:rsidRPr="00C8621E" w:rsidRDefault="00BC15BF" w:rsidP="00BC15BF">
      <w:pPr>
        <w:pStyle w:val="ListParagraph"/>
        <w:widowControl/>
        <w:numPr>
          <w:ilvl w:val="1"/>
          <w:numId w:val="9"/>
        </w:numPr>
        <w:spacing w:before="120" w:after="160"/>
        <w:rPr>
          <w:rFonts w:cstheme="minorHAnsi"/>
          <w:szCs w:val="24"/>
        </w:rPr>
      </w:pPr>
      <w:r w:rsidRPr="00C8621E">
        <w:rPr>
          <w:rFonts w:cstheme="minorHAnsi"/>
          <w:szCs w:val="24"/>
        </w:rPr>
        <w:t xml:space="preserve">In relation to the exclusion </w:t>
      </w:r>
      <w:r w:rsidR="00466470">
        <w:rPr>
          <w:rFonts w:cstheme="minorHAnsi"/>
          <w:szCs w:val="24"/>
        </w:rPr>
        <w:t xml:space="preserve">of </w:t>
      </w:r>
      <w:r w:rsidRPr="00C8621E">
        <w:rPr>
          <w:rFonts w:cstheme="minorHAnsi"/>
          <w:szCs w:val="24"/>
        </w:rPr>
        <w:t xml:space="preserve">G-CSF costs for the treatment and prevention of neutropenia, and the costs of more expensive laxatives, the PSCR (p3) argued that only 6% of patients </w:t>
      </w:r>
      <w:r w:rsidR="00811DB3" w:rsidRPr="00C8621E">
        <w:rPr>
          <w:rFonts w:cstheme="minorHAnsi"/>
          <w:szCs w:val="24"/>
        </w:rPr>
        <w:t xml:space="preserve">in the </w:t>
      </w:r>
      <w:proofErr w:type="spellStart"/>
      <w:r w:rsidR="00811DB3" w:rsidRPr="00C8621E">
        <w:rPr>
          <w:rFonts w:cstheme="minorHAnsi"/>
          <w:szCs w:val="24"/>
        </w:rPr>
        <w:t>vinflunine</w:t>
      </w:r>
      <w:proofErr w:type="spellEnd"/>
      <w:r w:rsidR="00811DB3" w:rsidRPr="00C8621E">
        <w:rPr>
          <w:rFonts w:cstheme="minorHAnsi"/>
          <w:szCs w:val="24"/>
        </w:rPr>
        <w:t xml:space="preserve"> arm of the trial </w:t>
      </w:r>
      <w:r w:rsidRPr="00C8621E">
        <w:rPr>
          <w:rFonts w:cstheme="minorHAnsi"/>
          <w:szCs w:val="24"/>
        </w:rPr>
        <w:t>experienced febrile neutropenia and</w:t>
      </w:r>
      <w:r w:rsidR="00811DB3" w:rsidRPr="00C8621E">
        <w:rPr>
          <w:rFonts w:cstheme="minorHAnsi"/>
          <w:szCs w:val="24"/>
        </w:rPr>
        <w:t xml:space="preserve"> that</w:t>
      </w:r>
      <w:r w:rsidRPr="00C8621E">
        <w:rPr>
          <w:rFonts w:cstheme="minorHAnsi"/>
          <w:szCs w:val="24"/>
        </w:rPr>
        <w:t xml:space="preserve"> </w:t>
      </w:r>
      <w:proofErr w:type="spellStart"/>
      <w:r w:rsidRPr="00C8621E">
        <w:rPr>
          <w:rFonts w:cstheme="minorHAnsi"/>
          <w:szCs w:val="24"/>
        </w:rPr>
        <w:t>vinflunine</w:t>
      </w:r>
      <w:proofErr w:type="spellEnd"/>
      <w:r w:rsidRPr="00C8621E">
        <w:rPr>
          <w:rFonts w:cstheme="minorHAnsi"/>
          <w:szCs w:val="24"/>
        </w:rPr>
        <w:t xml:space="preserve"> does not qualify as chemotherapy regimen with a high risk of neutropenia, according to European Society for Medical Oncology (ESMO) guidelines. </w:t>
      </w:r>
    </w:p>
    <w:p w:rsidR="00BC15BF" w:rsidRPr="00C8621E" w:rsidRDefault="00BC15BF" w:rsidP="00BC15BF">
      <w:pPr>
        <w:pStyle w:val="ListParagraph"/>
        <w:widowControl/>
        <w:spacing w:before="120" w:after="160"/>
        <w:rPr>
          <w:rFonts w:cstheme="minorHAnsi"/>
          <w:szCs w:val="24"/>
        </w:rPr>
      </w:pPr>
    </w:p>
    <w:p w:rsidR="00BC15BF" w:rsidRPr="00C8621E" w:rsidRDefault="00BC15BF" w:rsidP="004A7EF7">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PSCR (p3) argued that the cost of laxative use was included in the </w:t>
      </w:r>
      <w:r w:rsidR="00FE4282" w:rsidRPr="00C8621E">
        <w:rPr>
          <w:rFonts w:cstheme="minorHAnsi"/>
          <w:szCs w:val="24"/>
        </w:rPr>
        <w:t>resubmission</w:t>
      </w:r>
      <w:r w:rsidRPr="00C8621E">
        <w:rPr>
          <w:rFonts w:cstheme="minorHAnsi"/>
          <w:szCs w:val="24"/>
        </w:rPr>
        <w:t>. The</w:t>
      </w:r>
      <w:r w:rsidR="00601937" w:rsidRPr="00C8621E">
        <w:rPr>
          <w:rFonts w:cstheme="minorHAnsi"/>
          <w:szCs w:val="24"/>
        </w:rPr>
        <w:t xml:space="preserve"> ESC noted the</w:t>
      </w:r>
      <w:r w:rsidRPr="00C8621E">
        <w:rPr>
          <w:rFonts w:cstheme="minorHAnsi"/>
          <w:szCs w:val="24"/>
        </w:rPr>
        <w:t xml:space="preserve"> cost of laxatives was</w:t>
      </w:r>
      <w:r w:rsidR="00811DB3" w:rsidRPr="00C8621E">
        <w:rPr>
          <w:rFonts w:cstheme="minorHAnsi"/>
          <w:szCs w:val="24"/>
        </w:rPr>
        <w:t xml:space="preserve"> included in the </w:t>
      </w:r>
      <w:proofErr w:type="gramStart"/>
      <w:r w:rsidR="00811DB3" w:rsidRPr="00C8621E">
        <w:rPr>
          <w:rFonts w:cstheme="minorHAnsi"/>
          <w:szCs w:val="24"/>
        </w:rPr>
        <w:t>submission,</w:t>
      </w:r>
      <w:proofErr w:type="gramEnd"/>
      <w:r w:rsidR="00811DB3" w:rsidRPr="00C8621E">
        <w:rPr>
          <w:rFonts w:cstheme="minorHAnsi"/>
          <w:szCs w:val="24"/>
        </w:rPr>
        <w:t xml:space="preserve"> however</w:t>
      </w:r>
      <w:r w:rsidRPr="00C8621E">
        <w:rPr>
          <w:rFonts w:cstheme="minorHAnsi"/>
          <w:szCs w:val="24"/>
        </w:rPr>
        <w:t xml:space="preserve"> the cheaper option </w:t>
      </w:r>
      <w:proofErr w:type="spellStart"/>
      <w:r w:rsidRPr="00C8621E">
        <w:rPr>
          <w:rFonts w:cstheme="minorHAnsi"/>
          <w:szCs w:val="24"/>
        </w:rPr>
        <w:t>sennoside</w:t>
      </w:r>
      <w:proofErr w:type="spellEnd"/>
      <w:r w:rsidRPr="00C8621E">
        <w:rPr>
          <w:rFonts w:cstheme="minorHAnsi"/>
          <w:szCs w:val="24"/>
        </w:rPr>
        <w:t xml:space="preserve"> ($2.23 patient/cycle) was selected over the more expensive </w:t>
      </w:r>
      <w:proofErr w:type="spellStart"/>
      <w:r w:rsidRPr="00C8621E">
        <w:rPr>
          <w:rFonts w:cstheme="minorHAnsi"/>
          <w:szCs w:val="24"/>
        </w:rPr>
        <w:t>methylnaltrexone</w:t>
      </w:r>
      <w:proofErr w:type="spellEnd"/>
      <w:r w:rsidRPr="00C8621E">
        <w:rPr>
          <w:rFonts w:cstheme="minorHAnsi"/>
          <w:szCs w:val="24"/>
        </w:rPr>
        <w:t xml:space="preserve"> ($263.27 patient/</w:t>
      </w:r>
      <w:r w:rsidR="00811DB3" w:rsidRPr="00C8621E">
        <w:rPr>
          <w:rFonts w:cstheme="minorHAnsi"/>
          <w:szCs w:val="24"/>
        </w:rPr>
        <w:t xml:space="preserve">cycle). </w:t>
      </w:r>
      <w:r w:rsidR="00601937" w:rsidRPr="00C8621E">
        <w:rPr>
          <w:rFonts w:cstheme="minorHAnsi"/>
          <w:szCs w:val="24"/>
        </w:rPr>
        <w:t>A</w:t>
      </w:r>
      <w:r w:rsidR="00811DB3" w:rsidRPr="00C8621E">
        <w:rPr>
          <w:rFonts w:cstheme="minorHAnsi"/>
          <w:szCs w:val="24"/>
        </w:rPr>
        <w:t>pplying</w:t>
      </w:r>
      <w:r w:rsidRPr="00C8621E">
        <w:rPr>
          <w:rFonts w:cstheme="minorHAnsi"/>
          <w:szCs w:val="24"/>
        </w:rPr>
        <w:t xml:space="preserve"> the cost of </w:t>
      </w:r>
      <w:proofErr w:type="spellStart"/>
      <w:r w:rsidRPr="00C8621E">
        <w:rPr>
          <w:rFonts w:cstheme="minorHAnsi"/>
          <w:szCs w:val="24"/>
        </w:rPr>
        <w:t>methylnaltrexone</w:t>
      </w:r>
      <w:proofErr w:type="spellEnd"/>
      <w:r w:rsidR="00811DB3" w:rsidRPr="00C8621E">
        <w:rPr>
          <w:rFonts w:cstheme="minorHAnsi"/>
          <w:szCs w:val="24"/>
        </w:rPr>
        <w:t xml:space="preserve"> in the economic model</w:t>
      </w:r>
      <w:r w:rsidRPr="00C8621E">
        <w:rPr>
          <w:rFonts w:cstheme="minorHAnsi"/>
          <w:szCs w:val="24"/>
        </w:rPr>
        <w:t xml:space="preserve"> increased the ICER/QALY </w:t>
      </w:r>
      <w:r w:rsidR="00811DB3" w:rsidRPr="00C8621E">
        <w:rPr>
          <w:rFonts w:cstheme="minorHAnsi"/>
          <w:szCs w:val="24"/>
        </w:rPr>
        <w:t xml:space="preserve">gained </w:t>
      </w:r>
      <w:r w:rsidRPr="00C8621E">
        <w:rPr>
          <w:rFonts w:cstheme="minorHAnsi"/>
          <w:szCs w:val="24"/>
        </w:rPr>
        <w:t xml:space="preserve">to </w:t>
      </w:r>
      <w:r w:rsidR="003A7BA6">
        <w:rPr>
          <w:rFonts w:cstheme="minorHAnsi"/>
          <w:szCs w:val="24"/>
        </w:rPr>
        <w:t>$45,000 - $75,000</w:t>
      </w:r>
      <w:r w:rsidR="00D83043" w:rsidRPr="00C8621E">
        <w:rPr>
          <w:rFonts w:cstheme="minorHAnsi"/>
          <w:szCs w:val="24"/>
        </w:rPr>
        <w:t xml:space="preserve">. </w:t>
      </w:r>
    </w:p>
    <w:p w:rsidR="000F0A58" w:rsidRPr="00C8621E" w:rsidRDefault="000F0A58" w:rsidP="004919B2">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ESC noted that the resubmission provided an updated approach to estimating the cost of adverse events, which was further highlighted in the PSCR (p2-3). The ESC considered that this new approach, which increases the comparability in cost of AEs between the </w:t>
      </w:r>
      <w:proofErr w:type="spellStart"/>
      <w:r w:rsidRPr="00C8621E">
        <w:rPr>
          <w:rFonts w:cstheme="minorHAnsi"/>
          <w:szCs w:val="24"/>
        </w:rPr>
        <w:t>vinflunine</w:t>
      </w:r>
      <w:proofErr w:type="spellEnd"/>
      <w:r w:rsidRPr="00C8621E">
        <w:rPr>
          <w:rFonts w:cstheme="minorHAnsi"/>
          <w:szCs w:val="24"/>
        </w:rPr>
        <w:t xml:space="preserve"> and BSC arms, is more reasonable than the approach applied in the 2015 resubmission. However, the ESC agreed with the evaluation that there were relevant costs that were excluded (as stated in p</w:t>
      </w:r>
      <w:r w:rsidR="00545FEF">
        <w:rPr>
          <w:rFonts w:cstheme="minorHAnsi"/>
          <w:szCs w:val="24"/>
        </w:rPr>
        <w:t>aragraph 6.30</w:t>
      </w:r>
      <w:r w:rsidRPr="00C8621E">
        <w:rPr>
          <w:rFonts w:cstheme="minorHAnsi"/>
          <w:szCs w:val="24"/>
        </w:rPr>
        <w:t xml:space="preserve"> above), which may have underestimated the overall AE costs. </w:t>
      </w:r>
    </w:p>
    <w:p w:rsidR="00ED2B44" w:rsidRPr="00C8621E" w:rsidRDefault="0020138A" w:rsidP="00E242EB">
      <w:pPr>
        <w:pStyle w:val="ListParagraph"/>
        <w:widowControl/>
        <w:numPr>
          <w:ilvl w:val="1"/>
          <w:numId w:val="9"/>
        </w:numPr>
        <w:spacing w:before="120" w:after="160"/>
        <w:contextualSpacing w:val="0"/>
        <w:rPr>
          <w:rFonts w:cstheme="minorHAnsi"/>
          <w:szCs w:val="24"/>
        </w:rPr>
      </w:pPr>
      <w:r w:rsidRPr="00C8621E">
        <w:rPr>
          <w:rFonts w:cstheme="minorHAnsi"/>
          <w:szCs w:val="24"/>
        </w:rPr>
        <w:t xml:space="preserve">The model is most sensitive to the population used. </w:t>
      </w:r>
      <w:r w:rsidR="006F043A" w:rsidRPr="00C8621E">
        <w:rPr>
          <w:rFonts w:cstheme="minorHAnsi"/>
          <w:szCs w:val="24"/>
        </w:rPr>
        <w:t>The PBAC noted that u</w:t>
      </w:r>
      <w:r w:rsidRPr="00C8621E">
        <w:rPr>
          <w:rFonts w:cstheme="minorHAnsi"/>
          <w:szCs w:val="24"/>
        </w:rPr>
        <w:t>se of the ITT population rather than the ‘mixed’ ITT/</w:t>
      </w:r>
      <w:proofErr w:type="spellStart"/>
      <w:r w:rsidRPr="00C8621E">
        <w:rPr>
          <w:rFonts w:cstheme="minorHAnsi"/>
          <w:szCs w:val="24"/>
        </w:rPr>
        <w:t>mITT</w:t>
      </w:r>
      <w:proofErr w:type="spellEnd"/>
      <w:r w:rsidRPr="00C8621E">
        <w:rPr>
          <w:rFonts w:cstheme="minorHAnsi"/>
          <w:szCs w:val="24"/>
        </w:rPr>
        <w:t xml:space="preserve"> population increased </w:t>
      </w:r>
      <w:r w:rsidR="00ED2B44" w:rsidRPr="00C8621E">
        <w:rPr>
          <w:rFonts w:cstheme="minorHAnsi"/>
          <w:szCs w:val="24"/>
        </w:rPr>
        <w:t xml:space="preserve">the ICER to </w:t>
      </w:r>
      <w:r w:rsidR="00E242EB" w:rsidRPr="00E242EB">
        <w:rPr>
          <w:rFonts w:cstheme="minorHAnsi"/>
          <w:szCs w:val="24"/>
        </w:rPr>
        <w:t>$75,000 – $105,000</w:t>
      </w:r>
      <w:r w:rsidR="00ED2B44" w:rsidRPr="00C8621E">
        <w:rPr>
          <w:rFonts w:cstheme="minorHAnsi"/>
          <w:szCs w:val="24"/>
        </w:rPr>
        <w:t xml:space="preserve">/QALY gained. </w:t>
      </w:r>
    </w:p>
    <w:p w:rsidR="0020138A" w:rsidRPr="00C8621E" w:rsidRDefault="0020138A" w:rsidP="00E242EB">
      <w:pPr>
        <w:pStyle w:val="ListParagraph"/>
        <w:widowControl/>
        <w:numPr>
          <w:ilvl w:val="1"/>
          <w:numId w:val="9"/>
        </w:numPr>
        <w:contextualSpacing w:val="0"/>
        <w:rPr>
          <w:rFonts w:cstheme="minorHAnsi"/>
          <w:szCs w:val="24"/>
        </w:rPr>
      </w:pPr>
      <w:r w:rsidRPr="00C8621E">
        <w:rPr>
          <w:rFonts w:cstheme="minorHAnsi"/>
          <w:szCs w:val="24"/>
        </w:rPr>
        <w:t xml:space="preserve">The cost per QALY </w:t>
      </w:r>
      <w:r w:rsidR="006C0C75">
        <w:rPr>
          <w:rFonts w:cstheme="minorHAnsi"/>
          <w:szCs w:val="24"/>
        </w:rPr>
        <w:t xml:space="preserve">in </w:t>
      </w:r>
      <w:r w:rsidRPr="00C8621E">
        <w:rPr>
          <w:rFonts w:cstheme="minorHAnsi"/>
          <w:szCs w:val="24"/>
        </w:rPr>
        <w:t xml:space="preserve">the </w:t>
      </w:r>
      <w:r w:rsidR="00FE4282" w:rsidRPr="00C8621E">
        <w:rPr>
          <w:rFonts w:cstheme="minorHAnsi"/>
          <w:szCs w:val="24"/>
        </w:rPr>
        <w:t>resubmission</w:t>
      </w:r>
      <w:r w:rsidRPr="00C8621E">
        <w:rPr>
          <w:rFonts w:cstheme="minorHAnsi"/>
          <w:szCs w:val="24"/>
        </w:rPr>
        <w:t xml:space="preserve"> </w:t>
      </w:r>
      <w:r w:rsidR="00E242EB" w:rsidRPr="00E242EB">
        <w:rPr>
          <w:rFonts w:cstheme="minorHAnsi"/>
          <w:szCs w:val="24"/>
        </w:rPr>
        <w:t>$45,000 – $75,000</w:t>
      </w:r>
      <w:r w:rsidRPr="00C8621E">
        <w:rPr>
          <w:rFonts w:cstheme="minorHAnsi"/>
          <w:szCs w:val="24"/>
        </w:rPr>
        <w:t xml:space="preserve">) was lower than in the November 2015 submission </w:t>
      </w:r>
      <w:r w:rsidR="00E242EB" w:rsidRPr="00E242EB">
        <w:rPr>
          <w:rFonts w:cstheme="minorHAnsi"/>
          <w:szCs w:val="24"/>
        </w:rPr>
        <w:t>$45,000 – $75,000</w:t>
      </w:r>
      <w:r w:rsidRPr="00C8621E">
        <w:rPr>
          <w:rFonts w:cstheme="minorHAnsi"/>
          <w:szCs w:val="24"/>
        </w:rPr>
        <w:t>) primarily due to a reduction in the p</w:t>
      </w:r>
      <w:r w:rsidR="006F043A" w:rsidRPr="00C8621E">
        <w:rPr>
          <w:rFonts w:cstheme="minorHAnsi"/>
          <w:szCs w:val="24"/>
        </w:rPr>
        <w:t xml:space="preserve">rice of </w:t>
      </w:r>
      <w:proofErr w:type="spellStart"/>
      <w:r w:rsidR="006F043A" w:rsidRPr="00C8621E">
        <w:rPr>
          <w:rFonts w:cstheme="minorHAnsi"/>
          <w:szCs w:val="24"/>
        </w:rPr>
        <w:t>vinflunine</w:t>
      </w:r>
      <w:proofErr w:type="spellEnd"/>
      <w:r w:rsidR="006F043A" w:rsidRPr="00C8621E">
        <w:rPr>
          <w:rFonts w:cstheme="minorHAnsi"/>
          <w:szCs w:val="24"/>
        </w:rPr>
        <w:t>. The PBAC</w:t>
      </w:r>
      <w:r w:rsidRPr="00C8621E">
        <w:rPr>
          <w:rFonts w:cstheme="minorHAnsi"/>
          <w:szCs w:val="24"/>
        </w:rPr>
        <w:t xml:space="preserve"> noted that the use of the ‘mixed’ ITT/</w:t>
      </w:r>
      <w:proofErr w:type="spellStart"/>
      <w:r w:rsidRPr="00C8621E">
        <w:rPr>
          <w:rFonts w:cstheme="minorHAnsi"/>
          <w:szCs w:val="24"/>
        </w:rPr>
        <w:t>mITT</w:t>
      </w:r>
      <w:proofErr w:type="spellEnd"/>
      <w:r w:rsidRPr="00C8621E">
        <w:rPr>
          <w:rFonts w:cstheme="minorHAnsi"/>
          <w:szCs w:val="24"/>
        </w:rPr>
        <w:t xml:space="preserve"> population, updated unit costs and hospitalisations costs increased the ICER</w:t>
      </w:r>
      <w:r w:rsidR="006C0C75">
        <w:rPr>
          <w:rFonts w:cstheme="minorHAnsi"/>
          <w:szCs w:val="24"/>
        </w:rPr>
        <w:t xml:space="preserve"> to</w:t>
      </w:r>
      <w:r w:rsidRPr="00C8621E">
        <w:rPr>
          <w:rFonts w:cstheme="minorHAnsi"/>
          <w:szCs w:val="24"/>
        </w:rPr>
        <w:t xml:space="preserve"> </w:t>
      </w:r>
      <w:r w:rsidR="00E242EB" w:rsidRPr="00E242EB">
        <w:rPr>
          <w:rFonts w:cstheme="minorHAnsi"/>
          <w:szCs w:val="24"/>
        </w:rPr>
        <w:t>$45,000 – $75,000</w:t>
      </w:r>
      <w:r w:rsidR="006C0C75">
        <w:rPr>
          <w:rFonts w:cstheme="minorHAnsi"/>
          <w:szCs w:val="24"/>
        </w:rPr>
        <w:t xml:space="preserve">/QALY. Inclusion of the reduced price of </w:t>
      </w:r>
      <w:proofErr w:type="spellStart"/>
      <w:r w:rsidR="006C0C75">
        <w:rPr>
          <w:rFonts w:cstheme="minorHAnsi"/>
          <w:szCs w:val="24"/>
        </w:rPr>
        <w:t>vinflunine</w:t>
      </w:r>
      <w:proofErr w:type="spellEnd"/>
      <w:r w:rsidR="006C0C75">
        <w:rPr>
          <w:rFonts w:cstheme="minorHAnsi"/>
          <w:szCs w:val="24"/>
        </w:rPr>
        <w:t xml:space="preserve"> resulted in an ICER of</w:t>
      </w:r>
      <w:r w:rsidRPr="00C8621E">
        <w:rPr>
          <w:rFonts w:cstheme="minorHAnsi"/>
          <w:szCs w:val="24"/>
        </w:rPr>
        <w:t xml:space="preserve"> </w:t>
      </w:r>
      <w:r w:rsidR="00E242EB" w:rsidRPr="00E242EB">
        <w:rPr>
          <w:rFonts w:cstheme="minorHAnsi"/>
          <w:szCs w:val="24"/>
        </w:rPr>
        <w:t>$45,000 – $75,000</w:t>
      </w:r>
      <w:r w:rsidR="006C0C75">
        <w:rPr>
          <w:rFonts w:cstheme="minorHAnsi"/>
          <w:szCs w:val="24"/>
        </w:rPr>
        <w:t>/QALY</w:t>
      </w:r>
      <w:r w:rsidRPr="00C8621E">
        <w:rPr>
          <w:rFonts w:cstheme="minorHAnsi"/>
          <w:szCs w:val="24"/>
        </w:rPr>
        <w:t xml:space="preserve">. </w:t>
      </w:r>
    </w:p>
    <w:p w:rsidR="00CA01F0" w:rsidRPr="00C8621E" w:rsidRDefault="00CA01F0" w:rsidP="00510BDC">
      <w:pPr>
        <w:pStyle w:val="ListParagraph"/>
        <w:widowControl/>
        <w:numPr>
          <w:ilvl w:val="1"/>
          <w:numId w:val="9"/>
        </w:numPr>
        <w:spacing w:before="120" w:after="160"/>
        <w:contextualSpacing w:val="0"/>
        <w:rPr>
          <w:rFonts w:cstheme="minorHAnsi"/>
          <w:szCs w:val="24"/>
        </w:rPr>
      </w:pPr>
      <w:r w:rsidRPr="00C8621E">
        <w:rPr>
          <w:rFonts w:cstheme="minorHAnsi"/>
          <w:szCs w:val="24"/>
        </w:rPr>
        <w:t>The ESC noted that</w:t>
      </w:r>
      <w:r w:rsidR="00ED2B44" w:rsidRPr="00C8621E">
        <w:rPr>
          <w:rFonts w:cstheme="minorHAnsi"/>
          <w:szCs w:val="24"/>
        </w:rPr>
        <w:t xml:space="preserve"> to achieve an ICER/QALY</w:t>
      </w:r>
      <w:r w:rsidR="00811DB3" w:rsidRPr="00C8621E">
        <w:rPr>
          <w:rFonts w:cstheme="minorHAnsi"/>
          <w:szCs w:val="24"/>
        </w:rPr>
        <w:t xml:space="preserve"> gained</w:t>
      </w:r>
      <w:r w:rsidR="00ED2B44" w:rsidRPr="00C8621E">
        <w:rPr>
          <w:rFonts w:cstheme="minorHAnsi"/>
          <w:szCs w:val="24"/>
        </w:rPr>
        <w:t xml:space="preserve"> of </w:t>
      </w:r>
      <w:r w:rsidR="00510BDC" w:rsidRPr="00510BDC">
        <w:rPr>
          <w:rFonts w:cstheme="minorHAnsi"/>
          <w:szCs w:val="24"/>
        </w:rPr>
        <w:t>$45,000 – $75,000</w:t>
      </w:r>
      <w:r w:rsidR="00510BDC">
        <w:rPr>
          <w:rFonts w:cstheme="minorHAnsi"/>
          <w:szCs w:val="24"/>
        </w:rPr>
        <w:t xml:space="preserve"> </w:t>
      </w:r>
      <w:r w:rsidR="00ED2B44" w:rsidRPr="00C8621E">
        <w:rPr>
          <w:rFonts w:cstheme="minorHAnsi"/>
          <w:szCs w:val="24"/>
        </w:rPr>
        <w:t xml:space="preserve">using results of the ITT population, the price of </w:t>
      </w:r>
      <w:proofErr w:type="spellStart"/>
      <w:r w:rsidR="00ED2B44" w:rsidRPr="00C8621E">
        <w:rPr>
          <w:rFonts w:cstheme="minorHAnsi"/>
          <w:szCs w:val="24"/>
        </w:rPr>
        <w:t>vinflunine</w:t>
      </w:r>
      <w:proofErr w:type="spellEnd"/>
      <w:r w:rsidR="00ED2B44" w:rsidRPr="00C8621E">
        <w:rPr>
          <w:rFonts w:cstheme="minorHAnsi"/>
          <w:szCs w:val="24"/>
        </w:rPr>
        <w:t xml:space="preserve"> would need to be $</w:t>
      </w:r>
      <w:r w:rsidR="0097770C">
        <w:rPr>
          <w:rFonts w:cstheme="minorHAnsi"/>
          <w:noProof/>
          <w:color w:val="000000"/>
          <w:szCs w:val="24"/>
          <w:highlight w:val="black"/>
        </w:rPr>
        <w:t>''''''''</w:t>
      </w:r>
      <w:r w:rsidR="00ED2B44" w:rsidRPr="00C8621E">
        <w:rPr>
          <w:rFonts w:cstheme="minorHAnsi"/>
          <w:szCs w:val="24"/>
        </w:rPr>
        <w:t xml:space="preserve">/mg. This represents a 63% price reduction from the cost of </w:t>
      </w:r>
      <w:proofErr w:type="spellStart"/>
      <w:r w:rsidR="00ED2B44" w:rsidRPr="00C8621E">
        <w:rPr>
          <w:rFonts w:cstheme="minorHAnsi"/>
          <w:szCs w:val="24"/>
        </w:rPr>
        <w:t>vinflunine</w:t>
      </w:r>
      <w:proofErr w:type="spellEnd"/>
      <w:r w:rsidR="00ED2B44" w:rsidRPr="00C8621E">
        <w:rPr>
          <w:rFonts w:cstheme="minorHAnsi"/>
          <w:szCs w:val="24"/>
        </w:rPr>
        <w:t xml:space="preserve"> in the current resubmission ($</w:t>
      </w:r>
      <w:r w:rsidR="0097770C">
        <w:rPr>
          <w:rFonts w:cstheme="minorHAnsi"/>
          <w:noProof/>
          <w:color w:val="000000"/>
          <w:szCs w:val="24"/>
          <w:highlight w:val="black"/>
        </w:rPr>
        <w:t>'''''''''</w:t>
      </w:r>
      <w:r w:rsidR="00ED2B44" w:rsidRPr="00C8621E">
        <w:rPr>
          <w:rFonts w:cstheme="minorHAnsi"/>
          <w:szCs w:val="24"/>
        </w:rPr>
        <w:t xml:space="preserve">/mg). </w:t>
      </w:r>
      <w:r w:rsidR="00204AA3" w:rsidRPr="00C8621E">
        <w:rPr>
          <w:rFonts w:cstheme="minorHAnsi"/>
          <w:szCs w:val="24"/>
        </w:rPr>
        <w:t xml:space="preserve">The PBAC </w:t>
      </w:r>
      <w:r w:rsidR="006C0C75">
        <w:rPr>
          <w:rFonts w:cstheme="minorHAnsi"/>
          <w:szCs w:val="24"/>
        </w:rPr>
        <w:t>noted this</w:t>
      </w:r>
      <w:r w:rsidR="00204AA3" w:rsidRPr="00C8621E">
        <w:rPr>
          <w:rFonts w:cstheme="minorHAnsi"/>
          <w:szCs w:val="24"/>
        </w:rPr>
        <w:t xml:space="preserve"> </w:t>
      </w:r>
      <w:r w:rsidR="00C8621E" w:rsidRPr="00C8621E">
        <w:rPr>
          <w:rFonts w:cstheme="minorHAnsi"/>
          <w:szCs w:val="24"/>
        </w:rPr>
        <w:t xml:space="preserve">analysis </w:t>
      </w:r>
      <w:r w:rsidR="006C0C75">
        <w:rPr>
          <w:rFonts w:cstheme="minorHAnsi"/>
          <w:szCs w:val="24"/>
        </w:rPr>
        <w:t xml:space="preserve">but this did not obviate </w:t>
      </w:r>
      <w:r w:rsidR="00204AA3" w:rsidRPr="00C8621E">
        <w:rPr>
          <w:rFonts w:cstheme="minorHAnsi"/>
          <w:szCs w:val="24"/>
        </w:rPr>
        <w:t xml:space="preserve">concerns regarding the </w:t>
      </w:r>
      <w:r w:rsidR="00D8087B" w:rsidRPr="00C8621E">
        <w:rPr>
          <w:rFonts w:cstheme="minorHAnsi"/>
          <w:szCs w:val="24"/>
        </w:rPr>
        <w:t>clinical data informing the model</w:t>
      </w:r>
      <w:r w:rsidR="00204AA3" w:rsidRPr="00C8621E">
        <w:rPr>
          <w:rFonts w:cstheme="minorHAnsi"/>
          <w:szCs w:val="24"/>
        </w:rPr>
        <w:t>.</w:t>
      </w:r>
      <w:r w:rsidR="003E1DE6" w:rsidRPr="00C8621E">
        <w:rPr>
          <w:rFonts w:cstheme="minorHAnsi"/>
          <w:szCs w:val="24"/>
        </w:rPr>
        <w:t xml:space="preserve"> </w:t>
      </w:r>
    </w:p>
    <w:p w:rsidR="0020138A" w:rsidRPr="00C8621E" w:rsidRDefault="0020138A" w:rsidP="004919B2">
      <w:pPr>
        <w:pStyle w:val="Heading2"/>
        <w:widowControl/>
        <w:rPr>
          <w:rFonts w:cstheme="minorHAnsi"/>
        </w:rPr>
      </w:pPr>
      <w:bookmarkStart w:id="39" w:name="_Toc413139283"/>
      <w:bookmarkStart w:id="40" w:name="_Toc476306893"/>
      <w:bookmarkStart w:id="41" w:name="_Toc482713171"/>
      <w:r w:rsidRPr="00C8621E">
        <w:rPr>
          <w:rFonts w:cstheme="minorHAnsi"/>
        </w:rPr>
        <w:t>Drug cost/patient/year (average 4.2 cycles): $</w:t>
      </w:r>
      <w:bookmarkEnd w:id="39"/>
      <w:bookmarkEnd w:id="40"/>
      <w:bookmarkEnd w:id="41"/>
      <w:r w:rsidR="0097770C">
        <w:rPr>
          <w:rFonts w:cstheme="minorHAnsi"/>
          <w:noProof/>
          <w:color w:val="000000"/>
          <w:highlight w:val="black"/>
        </w:rPr>
        <w:t>'''''''''''</w:t>
      </w:r>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The dispensed cost per cycle for </w:t>
      </w:r>
      <w:proofErr w:type="spellStart"/>
      <w:r w:rsidRPr="00C8621E">
        <w:rPr>
          <w:rFonts w:cstheme="minorHAnsi"/>
        </w:rPr>
        <w:t>vinflunine</w:t>
      </w:r>
      <w:proofErr w:type="spellEnd"/>
      <w:r w:rsidRPr="00C8621E">
        <w:rPr>
          <w:rFonts w:cstheme="minorHAnsi"/>
        </w:rPr>
        <w:t xml:space="preserve"> is $</w:t>
      </w:r>
      <w:r w:rsidR="0097770C">
        <w:rPr>
          <w:rFonts w:cstheme="minorHAnsi"/>
          <w:noProof/>
          <w:color w:val="000000"/>
          <w:highlight w:val="black"/>
        </w:rPr>
        <w:t>''''''''''</w:t>
      </w:r>
      <w:r w:rsidRPr="00C8621E">
        <w:rPr>
          <w:rFonts w:cstheme="minorHAnsi"/>
        </w:rPr>
        <w:t xml:space="preserve"> based on the effective ex-manufacturer vial prices, the dose from Study 302 and 75% use in private hospitals (1.56 x $</w:t>
      </w:r>
      <w:r w:rsidR="0097770C">
        <w:rPr>
          <w:rFonts w:cstheme="minorHAnsi"/>
          <w:noProof/>
          <w:color w:val="000000"/>
          <w:highlight w:val="black"/>
        </w:rPr>
        <w:t>'''''''</w:t>
      </w:r>
      <w:r w:rsidRPr="00C8621E">
        <w:rPr>
          <w:rFonts w:cstheme="minorHAnsi"/>
        </w:rPr>
        <w:t xml:space="preserve"> + 1.941 x $</w:t>
      </w:r>
      <w:r w:rsidR="0097770C">
        <w:rPr>
          <w:rFonts w:cstheme="minorHAnsi"/>
          <w:noProof/>
          <w:color w:val="000000"/>
          <w:highlight w:val="black"/>
        </w:rPr>
        <w:t>'''''''</w:t>
      </w:r>
      <w:r w:rsidRPr="00C8621E">
        <w:rPr>
          <w:rFonts w:cstheme="minorHAnsi"/>
        </w:rPr>
        <w:t xml:space="preserve"> + 0.75 x $ </w:t>
      </w:r>
      <w:r w:rsidR="0097770C">
        <w:rPr>
          <w:rFonts w:cstheme="minorHAnsi"/>
          <w:noProof/>
          <w:color w:val="000000"/>
          <w:highlight w:val="black"/>
        </w:rPr>
        <w:t>''''''''''''</w:t>
      </w:r>
      <w:r w:rsidRPr="00C8621E">
        <w:rPr>
          <w:rFonts w:cstheme="minorHAnsi"/>
        </w:rPr>
        <w:t xml:space="preserve"> + 0.25 x $</w:t>
      </w:r>
      <w:r w:rsidR="0097770C">
        <w:rPr>
          <w:rFonts w:cstheme="minorHAnsi"/>
          <w:noProof/>
          <w:color w:val="000000"/>
          <w:highlight w:val="black"/>
        </w:rPr>
        <w:t>''''''''''''''</w:t>
      </w:r>
      <w:r w:rsidRPr="00C8621E">
        <w:rPr>
          <w:rFonts w:cstheme="minorHAnsi"/>
        </w:rPr>
        <w:t>).</w:t>
      </w:r>
    </w:p>
    <w:p w:rsidR="0020138A" w:rsidRPr="00C8621E" w:rsidRDefault="0020138A" w:rsidP="004919B2">
      <w:pPr>
        <w:pStyle w:val="Heading2"/>
        <w:widowControl/>
        <w:rPr>
          <w:rFonts w:cstheme="minorHAnsi"/>
        </w:rPr>
      </w:pPr>
      <w:bookmarkStart w:id="42" w:name="_Toc413139284"/>
      <w:bookmarkStart w:id="43" w:name="_Toc476306894"/>
      <w:bookmarkStart w:id="44" w:name="_Toc482713172"/>
      <w:r w:rsidRPr="00C8621E">
        <w:rPr>
          <w:rFonts w:cstheme="minorHAnsi"/>
        </w:rPr>
        <w:t>Estimated PBS usage &amp; financial implications</w:t>
      </w:r>
      <w:bookmarkEnd w:id="42"/>
      <w:bookmarkEnd w:id="43"/>
      <w:bookmarkEnd w:id="44"/>
    </w:p>
    <w:p w:rsidR="0020138A" w:rsidRPr="00C8621E" w:rsidRDefault="0020138A" w:rsidP="004919B2">
      <w:pPr>
        <w:pStyle w:val="ListParagraph"/>
        <w:widowControl/>
        <w:numPr>
          <w:ilvl w:val="1"/>
          <w:numId w:val="9"/>
        </w:numPr>
        <w:spacing w:before="120" w:after="160"/>
        <w:contextualSpacing w:val="0"/>
        <w:rPr>
          <w:rFonts w:cstheme="minorHAnsi"/>
        </w:rPr>
      </w:pPr>
      <w:r w:rsidRPr="00C8621E">
        <w:rPr>
          <w:rFonts w:cstheme="minorHAnsi"/>
        </w:rPr>
        <w:t xml:space="preserve">This resubmission </w:t>
      </w:r>
      <w:r w:rsidR="00D85A76" w:rsidRPr="00C8621E">
        <w:rPr>
          <w:rFonts w:cstheme="minorHAnsi"/>
        </w:rPr>
        <w:t>was not</w:t>
      </w:r>
      <w:r w:rsidRPr="00C8621E">
        <w:rPr>
          <w:rFonts w:cstheme="minorHAnsi"/>
        </w:rPr>
        <w:t xml:space="preserve"> considered by DUSC. The resubmission used an epidemiological approach to estimate the financial implications of listing </w:t>
      </w:r>
      <w:proofErr w:type="spellStart"/>
      <w:r w:rsidRPr="00C8621E">
        <w:rPr>
          <w:rFonts w:cstheme="minorHAnsi"/>
        </w:rPr>
        <w:t>vinflunine</w:t>
      </w:r>
      <w:proofErr w:type="spellEnd"/>
      <w:r w:rsidRPr="00C8621E">
        <w:rPr>
          <w:rFonts w:cstheme="minorHAnsi"/>
        </w:rPr>
        <w:t xml:space="preserve"> on the PBS. A number of variable and model inputs were revised, but the approach used was generally the same as for the November 2011 and November 2015 resubmissions. </w:t>
      </w:r>
    </w:p>
    <w:p w:rsidR="0085585D" w:rsidRDefault="0085585D" w:rsidP="0085585D">
      <w:pPr>
        <w:pStyle w:val="Caption"/>
      </w:pPr>
      <w:r>
        <w:t xml:space="preserve">Table </w:t>
      </w:r>
      <w:r>
        <w:rPr>
          <w:noProof/>
        </w:rPr>
        <w:t>12</w:t>
      </w:r>
      <w:r w:rsidRPr="00097849">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88"/>
        <w:gridCol w:w="1139"/>
        <w:gridCol w:w="1139"/>
        <w:gridCol w:w="1139"/>
        <w:gridCol w:w="1139"/>
        <w:gridCol w:w="1139"/>
      </w:tblGrid>
      <w:tr w:rsidR="0020138A" w:rsidRPr="00510BDC" w:rsidTr="0085585D">
        <w:trPr>
          <w:tblHeader/>
        </w:trPr>
        <w:tc>
          <w:tcPr>
            <w:tcW w:w="1865" w:type="pct"/>
            <w:shd w:val="clear" w:color="auto" w:fill="auto"/>
            <w:vAlign w:val="center"/>
          </w:tcPr>
          <w:p w:rsidR="0020138A" w:rsidRPr="00510BDC" w:rsidRDefault="0020138A" w:rsidP="00295FF8">
            <w:pPr>
              <w:pStyle w:val="TableText1"/>
              <w:rPr>
                <w:rFonts w:ascii="Arial Narrow" w:hAnsi="Arial Narrow"/>
                <w:i w:val="0"/>
                <w:sz w:val="20"/>
              </w:rPr>
            </w:pPr>
          </w:p>
        </w:tc>
        <w:tc>
          <w:tcPr>
            <w:tcW w:w="627"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Year 1</w:t>
            </w:r>
          </w:p>
        </w:tc>
        <w:tc>
          <w:tcPr>
            <w:tcW w:w="627"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Year 2</w:t>
            </w:r>
          </w:p>
        </w:tc>
        <w:tc>
          <w:tcPr>
            <w:tcW w:w="627"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Year 3</w:t>
            </w:r>
          </w:p>
        </w:tc>
        <w:tc>
          <w:tcPr>
            <w:tcW w:w="627"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Year 4</w:t>
            </w:r>
          </w:p>
        </w:tc>
        <w:tc>
          <w:tcPr>
            <w:tcW w:w="627"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Year 5</w:t>
            </w:r>
          </w:p>
        </w:tc>
      </w:tr>
      <w:tr w:rsidR="0020138A" w:rsidRPr="00510BDC" w:rsidTr="00EF5AD5">
        <w:tc>
          <w:tcPr>
            <w:tcW w:w="5000" w:type="pct"/>
            <w:gridSpan w:val="6"/>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Estimated extent of use</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Number treated (90% uptake)</w:t>
            </w:r>
          </w:p>
        </w:tc>
        <w:tc>
          <w:tcPr>
            <w:tcW w:w="627" w:type="pct"/>
            <w:shd w:val="clear" w:color="auto" w:fill="auto"/>
          </w:tcPr>
          <w:p w:rsidR="0020138A" w:rsidRPr="0097770C" w:rsidRDefault="0097770C" w:rsidP="00295FF8">
            <w:pPr>
              <w:pStyle w:val="TableText1"/>
              <w:rPr>
                <w:rFonts w:ascii="Arial Narrow" w:hAnsi="Arial Narrow"/>
                <w:bCs/>
                <w:i w:val="0"/>
                <w:color w:val="000000"/>
                <w:sz w:val="20"/>
                <w:highlight w:val="black"/>
              </w:rPr>
            </w:pPr>
            <w:r>
              <w:rPr>
                <w:rStyle w:val="CommentReference"/>
                <w:b w:val="0"/>
                <w:i w:val="0"/>
                <w:noProof/>
                <w:color w:val="000000"/>
                <w:szCs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color w:val="000000"/>
                <w:sz w:val="20"/>
                <w:highlight w:val="black"/>
              </w:rPr>
            </w:pPr>
            <w:r>
              <w:rPr>
                <w:rStyle w:val="CommentReference"/>
                <w:b w:val="0"/>
                <w:i w:val="0"/>
                <w:noProof/>
                <w:color w:val="000000"/>
                <w:szCs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color w:val="000000"/>
                <w:sz w:val="20"/>
                <w:highlight w:val="black"/>
              </w:rPr>
            </w:pPr>
            <w:r>
              <w:rPr>
                <w:rStyle w:val="CommentReference"/>
                <w:b w:val="0"/>
                <w:i w:val="0"/>
                <w:noProof/>
                <w:color w:val="000000"/>
                <w:szCs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color w:val="000000"/>
                <w:sz w:val="20"/>
                <w:highlight w:val="black"/>
              </w:rPr>
            </w:pPr>
            <w:r>
              <w:rPr>
                <w:rStyle w:val="CommentReference"/>
                <w:b w:val="0"/>
                <w:i w:val="0"/>
                <w:noProof/>
                <w:color w:val="000000"/>
                <w:szCs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color w:val="000000"/>
                <w:sz w:val="20"/>
                <w:highlight w:val="black"/>
              </w:rPr>
            </w:pPr>
            <w:r>
              <w:rPr>
                <w:rStyle w:val="CommentReference"/>
                <w:b w:val="0"/>
                <w:i w:val="0"/>
                <w:noProof/>
                <w:color w:val="000000"/>
                <w:szCs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Number treated (90% uptake)- Nov 2015</w:t>
            </w:r>
          </w:p>
        </w:tc>
        <w:tc>
          <w:tcPr>
            <w:tcW w:w="627" w:type="pct"/>
            <w:shd w:val="clear" w:color="auto" w:fill="auto"/>
          </w:tcPr>
          <w:p w:rsidR="0020138A" w:rsidRPr="0097770C" w:rsidRDefault="0097770C" w:rsidP="00295FF8">
            <w:pPr>
              <w:pStyle w:val="TableText1"/>
              <w:rPr>
                <w:rFonts w:ascii="Arial Narrow" w:hAnsi="Arial Narrow"/>
                <w:i w:val="0"/>
                <w:sz w:val="20"/>
                <w:highlight w:val="black"/>
              </w:rPr>
            </w:pPr>
            <w:r>
              <w:rPr>
                <w:rFonts w:ascii="Arial Narrow" w:eastAsia="SimSun"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i w:val="0"/>
                <w:sz w:val="20"/>
                <w:highlight w:val="black"/>
              </w:rPr>
            </w:pPr>
            <w:r>
              <w:rPr>
                <w:rFonts w:ascii="Arial Narrow" w:eastAsia="SimSun"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i w:val="0"/>
                <w:sz w:val="20"/>
                <w:highlight w:val="black"/>
              </w:rPr>
            </w:pPr>
            <w:r>
              <w:rPr>
                <w:rFonts w:ascii="Arial Narrow" w:eastAsia="SimSun"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i w:val="0"/>
                <w:sz w:val="20"/>
                <w:highlight w:val="black"/>
              </w:rPr>
            </w:pPr>
            <w:r>
              <w:rPr>
                <w:rFonts w:ascii="Arial Narrow" w:eastAsia="SimSun"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i w:val="0"/>
                <w:sz w:val="20"/>
                <w:highlight w:val="black"/>
              </w:rPr>
            </w:pPr>
            <w:r>
              <w:rPr>
                <w:rFonts w:ascii="Arial Narrow" w:eastAsia="SimSun"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Vials</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Vials - Nov 2015</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c>
          <w:tcPr>
            <w:tcW w:w="627" w:type="pct"/>
            <w:shd w:val="clear" w:color="auto" w:fill="auto"/>
          </w:tcPr>
          <w:p w:rsidR="0020138A" w:rsidRPr="0097770C" w:rsidRDefault="0097770C" w:rsidP="00295FF8">
            <w:pPr>
              <w:pStyle w:val="TableText1"/>
              <w:rPr>
                <w:rFonts w:ascii="Arial Narrow" w:hAnsi="Arial Narrow"/>
                <w:bCs/>
                <w:i w:val="0"/>
                <w:sz w:val="20"/>
                <w:highlight w:val="black"/>
              </w:rPr>
            </w:pPr>
            <w:r>
              <w:rPr>
                <w:rFonts w:ascii="Arial Narrow" w:hAnsi="Arial Narrow"/>
                <w:i w:val="0"/>
                <w:noProof/>
                <w:color w:val="000000"/>
                <w:sz w:val="20"/>
                <w:highlight w:val="black"/>
              </w:rPr>
              <w:t>''''''''''''</w:t>
            </w:r>
          </w:p>
        </w:tc>
      </w:tr>
      <w:tr w:rsidR="0020138A" w:rsidRPr="00510BDC" w:rsidTr="00EF5AD5">
        <w:tc>
          <w:tcPr>
            <w:tcW w:w="5000" w:type="pct"/>
            <w:gridSpan w:val="6"/>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Estimated net cost to PBS/MBS</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to PBS/RPBS</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to PBS/RPBS Nov 2015</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to MBS at 85% benefit*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to MBS Jul 2015 at 85% benefit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r w:rsidR="0020138A" w:rsidRPr="00510BDC" w:rsidTr="00EF5AD5">
        <w:tc>
          <w:tcPr>
            <w:tcW w:w="5000" w:type="pct"/>
            <w:gridSpan w:val="6"/>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Estimated total net cost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PBS/MBS</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r w:rsidR="0020138A" w:rsidRPr="00510BDC" w:rsidTr="0085585D">
        <w:tc>
          <w:tcPr>
            <w:tcW w:w="1865" w:type="pct"/>
            <w:shd w:val="clear" w:color="auto" w:fill="auto"/>
            <w:vAlign w:val="center"/>
          </w:tcPr>
          <w:p w:rsidR="0020138A" w:rsidRPr="00510BDC" w:rsidRDefault="0020138A" w:rsidP="00295FF8">
            <w:pPr>
              <w:pStyle w:val="TableText1"/>
              <w:rPr>
                <w:rFonts w:ascii="Arial Narrow" w:hAnsi="Arial Narrow"/>
                <w:i w:val="0"/>
                <w:sz w:val="20"/>
              </w:rPr>
            </w:pPr>
            <w:r w:rsidRPr="00510BDC">
              <w:rPr>
                <w:rFonts w:ascii="Arial Narrow" w:hAnsi="Arial Narrow"/>
                <w:i w:val="0"/>
                <w:sz w:val="20"/>
              </w:rPr>
              <w:t>Net cost PBS/MBS Nov 2015</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c>
          <w:tcPr>
            <w:tcW w:w="627" w:type="pct"/>
            <w:shd w:val="clear" w:color="auto" w:fill="auto"/>
          </w:tcPr>
          <w:p w:rsidR="0020138A" w:rsidRPr="00510BDC" w:rsidRDefault="0020138A" w:rsidP="00295FF8">
            <w:pPr>
              <w:pStyle w:val="TableText1"/>
              <w:rPr>
                <w:rFonts w:ascii="Arial Narrow" w:hAnsi="Arial Narrow"/>
                <w:bCs/>
                <w:i w:val="0"/>
                <w:sz w:val="20"/>
              </w:rPr>
            </w:pPr>
            <w:r w:rsidRPr="00510BDC">
              <w:rPr>
                <w:rFonts w:ascii="Arial Narrow" w:hAnsi="Arial Narrow"/>
                <w:i w:val="0"/>
                <w:sz w:val="20"/>
              </w:rPr>
              <w:t>$</w:t>
            </w:r>
            <w:r w:rsidR="0097770C">
              <w:rPr>
                <w:rFonts w:ascii="Arial Narrow" w:hAnsi="Arial Narrow"/>
                <w:i w:val="0"/>
                <w:noProof/>
                <w:color w:val="000000"/>
                <w:sz w:val="20"/>
                <w:highlight w:val="black"/>
              </w:rPr>
              <w:t>'''''''''''''''''''''''''</w:t>
            </w:r>
          </w:p>
        </w:tc>
      </w:tr>
    </w:tbl>
    <w:p w:rsidR="0020138A" w:rsidRPr="00C8621E" w:rsidRDefault="0020138A" w:rsidP="004919B2">
      <w:pPr>
        <w:pStyle w:val="TableFooter"/>
        <w:widowControl/>
      </w:pPr>
      <w:r w:rsidRPr="00C8621E">
        <w:t>Notes: *From the Section E model. Net cost to MBS = sum of MBS of admin procedures and palliative radiotherapy.</w:t>
      </w:r>
    </w:p>
    <w:p w:rsidR="0020138A" w:rsidRPr="00C8621E" w:rsidRDefault="0020138A" w:rsidP="004919B2">
      <w:pPr>
        <w:pStyle w:val="TableFooter"/>
        <w:widowControl/>
      </w:pPr>
      <w:r w:rsidRPr="00C8621E">
        <w:t xml:space="preserve">Source: Table 56 p 66 of the </w:t>
      </w:r>
      <w:r w:rsidR="00FE4282" w:rsidRPr="00C8621E">
        <w:t>resubmission</w:t>
      </w:r>
      <w:r w:rsidRPr="00C8621E">
        <w:t xml:space="preserve"> and Table E.5.1 COM 11-2015 and calculated during the evaluation.</w:t>
      </w:r>
    </w:p>
    <w:p w:rsidR="00B86998" w:rsidRDefault="00B86998" w:rsidP="00B86998">
      <w:pPr>
        <w:pStyle w:val="ListParagraph"/>
        <w:widowControl/>
        <w:spacing w:before="120" w:after="160"/>
        <w:contextualSpacing w:val="0"/>
        <w:rPr>
          <w:rFonts w:cstheme="minorHAnsi"/>
        </w:rPr>
      </w:pPr>
      <w:r>
        <w:rPr>
          <w:rFonts w:cstheme="minorHAnsi"/>
        </w:rPr>
        <w:t>The redacted table shows that at year 5, the estimated number of patients was less than 10,000 and the net cost to the PBS would be less than $10 million.</w:t>
      </w:r>
    </w:p>
    <w:p w:rsidR="00730024" w:rsidRPr="00C8621E" w:rsidRDefault="0020138A" w:rsidP="00730024">
      <w:pPr>
        <w:pStyle w:val="ListParagraph"/>
        <w:widowControl/>
        <w:numPr>
          <w:ilvl w:val="1"/>
          <w:numId w:val="9"/>
        </w:numPr>
        <w:spacing w:before="120" w:after="160"/>
        <w:contextualSpacing w:val="0"/>
        <w:rPr>
          <w:rFonts w:cstheme="minorHAnsi"/>
        </w:rPr>
      </w:pPr>
      <w:r w:rsidRPr="00C8621E">
        <w:rPr>
          <w:rFonts w:cstheme="minorHAnsi"/>
        </w:rPr>
        <w:t>There is potential for the net PBS cost/year to differ from that estimated in the submission given uncertainty in the uptake of vinflunine (90%), which was based on a survey of three oncologists.</w:t>
      </w:r>
      <w:r w:rsidR="005553C1" w:rsidRPr="00C8621E">
        <w:rPr>
          <w:rFonts w:cstheme="minorHAnsi"/>
        </w:rPr>
        <w:t xml:space="preserve"> The PSCR (p4) stated that vinflunine has a TGA orphan designation, which reflects the rarity of the condition and paucity of relevant epidemiological data.</w:t>
      </w:r>
      <w:r w:rsidR="004B23EE" w:rsidRPr="00C8621E">
        <w:rPr>
          <w:rFonts w:cstheme="minorHAnsi"/>
        </w:rPr>
        <w:t xml:space="preserve"> The PSCR (p4) acknowledged that the vinflunine uptake may be overestimated, however stated that in calculating the proportion of patients with previous neoadjuvant/adjuvant chemotherapy use (noted as approximately 40%), the evaluators assumed all patients diagnosed with localised or regional TCCU would receive neoadjuvant/adjuvant chemotherapy, which was likely overestimated. The PSCR (p4) argued that patients diagnosed with localised or regional disease who experienced disease progression may be less likely to meet eligibility criteria related to performance status (i.e., have a PS ≤ 1) than patients diagnosed with advanced or metastatic disease. The PSCR (p4) argued that this will mitigate any overestimation of vinflunine patients in the financial impact model. </w:t>
      </w:r>
      <w:r w:rsidR="005553C1" w:rsidRPr="00C8621E">
        <w:rPr>
          <w:rFonts w:cstheme="minorHAnsi"/>
        </w:rPr>
        <w:t xml:space="preserve"> The ESC agreed with the evaluation that the estimated uptake was uncertain, and considered that the 90% uptake rate was optimistic given that the efficacy of vinflunine was marginal and that any survival gain was at the expense of increased toxicity. </w:t>
      </w:r>
      <w:r w:rsidR="00C75CD1" w:rsidRPr="00C8621E">
        <w:rPr>
          <w:rFonts w:cstheme="minorHAnsi"/>
        </w:rPr>
        <w:t>The PBAC agreed with the ESC’s views.</w:t>
      </w:r>
    </w:p>
    <w:p w:rsidR="0020138A" w:rsidRPr="00C8621E" w:rsidRDefault="0020138A" w:rsidP="004919B2">
      <w:pPr>
        <w:pStyle w:val="Heading2"/>
        <w:widowControl/>
        <w:rPr>
          <w:rFonts w:cstheme="minorHAnsi"/>
        </w:rPr>
      </w:pPr>
      <w:bookmarkStart w:id="45" w:name="_Toc413139286"/>
      <w:bookmarkStart w:id="46" w:name="_Toc476306896"/>
      <w:bookmarkStart w:id="47" w:name="_Toc482713174"/>
      <w:r w:rsidRPr="00C8621E">
        <w:rPr>
          <w:rFonts w:cstheme="minorHAnsi"/>
        </w:rPr>
        <w:t>Financial Management – Risk Sharing Arrangements</w:t>
      </w:r>
      <w:bookmarkEnd w:id="45"/>
      <w:bookmarkEnd w:id="46"/>
      <w:bookmarkEnd w:id="47"/>
    </w:p>
    <w:p w:rsidR="00214D5D" w:rsidRPr="00007680" w:rsidRDefault="0020138A" w:rsidP="00214D5D">
      <w:pPr>
        <w:pStyle w:val="ListParagraph"/>
        <w:widowControl/>
        <w:numPr>
          <w:ilvl w:val="1"/>
          <w:numId w:val="9"/>
        </w:numPr>
        <w:spacing w:before="120" w:after="160"/>
        <w:contextualSpacing w:val="0"/>
        <w:rPr>
          <w:b/>
          <w:u w:val="single"/>
        </w:rPr>
      </w:pPr>
      <w:r w:rsidRPr="00C8621E">
        <w:rPr>
          <w:rFonts w:cstheme="minorHAnsi"/>
        </w:rPr>
        <w:t>The resubmission stated that it “maintained the mITT analysis as the appropriate analysis given the safeguards against inappropriate use of vinflunine proposed (e.g. authority required and financial risk share/caps)”. However no risk-sharing arrangement involving caps was detailed in the submission.</w:t>
      </w:r>
    </w:p>
    <w:bookmarkEnd w:id="0"/>
    <w:bookmarkEnd w:id="1"/>
    <w:bookmarkEnd w:id="2"/>
    <w:bookmarkEnd w:id="3"/>
    <w:bookmarkEnd w:id="4"/>
    <w:p w:rsidR="00E03037" w:rsidRPr="00007680" w:rsidRDefault="00E03037" w:rsidP="00007680">
      <w:pPr>
        <w:pStyle w:val="Heading1"/>
        <w:keepNext/>
        <w:keepLines/>
        <w:widowControl/>
        <w:numPr>
          <w:ilvl w:val="0"/>
          <w:numId w:val="32"/>
        </w:numPr>
        <w:spacing w:before="400" w:after="120"/>
        <w:ind w:left="709" w:hanging="709"/>
        <w:jc w:val="left"/>
        <w:rPr>
          <w:rFonts w:asciiTheme="minorHAnsi" w:hAnsiTheme="minorHAnsi" w:cstheme="minorHAnsi"/>
          <w:caps w:val="0"/>
          <w:sz w:val="32"/>
        </w:rPr>
      </w:pPr>
      <w:r w:rsidRPr="00007680">
        <w:rPr>
          <w:rFonts w:asciiTheme="minorHAnsi" w:hAnsiTheme="minorHAnsi" w:cstheme="minorHAnsi"/>
          <w:caps w:val="0"/>
          <w:sz w:val="32"/>
        </w:rPr>
        <w:t>PBAC Outcome</w:t>
      </w:r>
    </w:p>
    <w:p w:rsidR="00007680" w:rsidRPr="00007680" w:rsidRDefault="00007680" w:rsidP="00007680">
      <w:pPr>
        <w:pStyle w:val="ListParagraph"/>
        <w:widowControl/>
        <w:numPr>
          <w:ilvl w:val="0"/>
          <w:numId w:val="9"/>
        </w:numPr>
        <w:contextualSpacing w:val="0"/>
        <w:jc w:val="left"/>
        <w:rPr>
          <w:rFonts w:ascii="Arial" w:hAnsi="Arial"/>
          <w:vanish/>
          <w:sz w:val="22"/>
          <w:szCs w:val="22"/>
        </w:rPr>
      </w:pPr>
    </w:p>
    <w:p w:rsidR="00366517" w:rsidRPr="00007680" w:rsidRDefault="00366517" w:rsidP="00007680">
      <w:pPr>
        <w:pStyle w:val="ListParagraph"/>
        <w:numPr>
          <w:ilvl w:val="1"/>
          <w:numId w:val="9"/>
        </w:numPr>
      </w:pPr>
      <w:r w:rsidRPr="00007680">
        <w:t>The PBAC did not reco</w:t>
      </w:r>
      <w:r w:rsidR="00CC39A9" w:rsidRPr="00007680">
        <w:t xml:space="preserve">mmend listing vinflunine </w:t>
      </w:r>
      <w:r w:rsidR="00A95D4F" w:rsidRPr="00007680">
        <w:t>o</w:t>
      </w:r>
      <w:r w:rsidR="00CC39A9" w:rsidRPr="00007680">
        <w:t>n the PBS</w:t>
      </w:r>
      <w:r w:rsidRPr="00007680">
        <w:t xml:space="preserve"> for the treatment of locally advanced or metastatic transitional cell carcinoma of the urothelial tract</w:t>
      </w:r>
      <w:r w:rsidR="00CA028E" w:rsidRPr="00007680">
        <w:t xml:space="preserve"> (TCCU)</w:t>
      </w:r>
      <w:r w:rsidRPr="00007680">
        <w:t xml:space="preserve">, on the basis of </w:t>
      </w:r>
      <w:r w:rsidR="00493981" w:rsidRPr="00007680">
        <w:t xml:space="preserve">lack of evidence of an incremental gain in overall survival versus currently available alternative active chemotherapy. The PBAC further noted </w:t>
      </w:r>
      <w:r w:rsidR="006C0C75" w:rsidRPr="00007680">
        <w:t xml:space="preserve">that compared with best supportive care (BSC) the incremental benefit was small for both overall survival and progression free survival. Further concerns related to the </w:t>
      </w:r>
      <w:r w:rsidR="00D678ED" w:rsidRPr="00007680">
        <w:t>significant toxicity</w:t>
      </w:r>
      <w:r w:rsidR="006C0C75" w:rsidRPr="00007680">
        <w:t xml:space="preserve"> of the drug. </w:t>
      </w:r>
      <w:r w:rsidR="00DD4362" w:rsidRPr="00007680">
        <w:t>The PBAC concluded that the</w:t>
      </w:r>
      <w:r w:rsidR="00CA4BF8" w:rsidRPr="00007680">
        <w:t xml:space="preserve"> </w:t>
      </w:r>
      <w:r w:rsidR="00DD4362" w:rsidRPr="00007680">
        <w:t xml:space="preserve">cost-effectiveness ratio was </w:t>
      </w:r>
      <w:r w:rsidR="00D678ED" w:rsidRPr="00007680">
        <w:t>high</w:t>
      </w:r>
      <w:r w:rsidR="00DD4362" w:rsidRPr="00007680">
        <w:t xml:space="preserve"> and underestimated in the submission.</w:t>
      </w:r>
      <w:r w:rsidR="00D678ED" w:rsidRPr="00007680">
        <w:t xml:space="preserve"> </w:t>
      </w:r>
    </w:p>
    <w:p w:rsidR="00F67302" w:rsidRPr="00007680" w:rsidRDefault="0072559E" w:rsidP="00007680">
      <w:pPr>
        <w:pStyle w:val="ListParagraph"/>
        <w:widowControl/>
        <w:numPr>
          <w:ilvl w:val="1"/>
          <w:numId w:val="9"/>
        </w:numPr>
        <w:spacing w:before="120" w:after="160"/>
        <w:contextualSpacing w:val="0"/>
        <w:rPr>
          <w:rFonts w:cstheme="minorHAnsi"/>
        </w:rPr>
      </w:pPr>
      <w:r w:rsidRPr="00007680">
        <w:rPr>
          <w:rFonts w:cstheme="minorHAnsi"/>
        </w:rPr>
        <w:t>Regarding the</w:t>
      </w:r>
      <w:r w:rsidR="00A00B78" w:rsidRPr="00007680">
        <w:rPr>
          <w:rFonts w:cstheme="minorHAnsi"/>
        </w:rPr>
        <w:t xml:space="preserve"> proposed restriction</w:t>
      </w:r>
      <w:r w:rsidRPr="00007680">
        <w:rPr>
          <w:rFonts w:cstheme="minorHAnsi"/>
        </w:rPr>
        <w:t>, the PBAC</w:t>
      </w:r>
      <w:r w:rsidR="00AD1188" w:rsidRPr="00007680">
        <w:rPr>
          <w:rFonts w:cstheme="minorHAnsi"/>
        </w:rPr>
        <w:t xml:space="preserve"> </w:t>
      </w:r>
      <w:r w:rsidRPr="00007680">
        <w:rPr>
          <w:rFonts w:cstheme="minorHAnsi"/>
        </w:rPr>
        <w:t xml:space="preserve">considered, as it did in </w:t>
      </w:r>
      <w:r w:rsidR="00A00B78" w:rsidRPr="00007680">
        <w:rPr>
          <w:rFonts w:cstheme="minorHAnsi"/>
        </w:rPr>
        <w:t>2015</w:t>
      </w:r>
      <w:r w:rsidRPr="00007680">
        <w:rPr>
          <w:rFonts w:cstheme="minorHAnsi"/>
        </w:rPr>
        <w:t xml:space="preserve">, </w:t>
      </w:r>
      <w:r w:rsidR="00A00B78" w:rsidRPr="00007680">
        <w:rPr>
          <w:rFonts w:cstheme="minorHAnsi"/>
        </w:rPr>
        <w:t xml:space="preserve">that </w:t>
      </w:r>
      <w:r w:rsidRPr="00007680">
        <w:rPr>
          <w:rFonts w:cstheme="minorHAnsi"/>
        </w:rPr>
        <w:t xml:space="preserve">the </w:t>
      </w:r>
      <w:r w:rsidR="00A00B78" w:rsidRPr="00007680">
        <w:rPr>
          <w:rFonts w:cstheme="minorHAnsi"/>
        </w:rPr>
        <w:t>exclusion of patients who had received neoadjuvant or adjuvant treatment would likely exclude otherwise eligible patients w</w:t>
      </w:r>
      <w:r w:rsidR="00CC39A9" w:rsidRPr="00007680">
        <w:rPr>
          <w:rFonts w:cstheme="minorHAnsi"/>
        </w:rPr>
        <w:t>ho may derive a benefit from</w:t>
      </w:r>
      <w:r w:rsidR="00A00B78" w:rsidRPr="00007680">
        <w:rPr>
          <w:rFonts w:cstheme="minorHAnsi"/>
        </w:rPr>
        <w:t xml:space="preserve"> treatment with vinflunine.</w:t>
      </w:r>
    </w:p>
    <w:p w:rsidR="00366517" w:rsidRPr="00007680" w:rsidRDefault="001D4046" w:rsidP="00007680">
      <w:pPr>
        <w:pStyle w:val="ListParagraph"/>
        <w:widowControl/>
        <w:numPr>
          <w:ilvl w:val="1"/>
          <w:numId w:val="9"/>
        </w:numPr>
        <w:spacing w:before="120" w:after="160"/>
        <w:contextualSpacing w:val="0"/>
        <w:rPr>
          <w:rFonts w:cstheme="minorHAnsi"/>
        </w:rPr>
      </w:pPr>
      <w:r w:rsidRPr="00007680">
        <w:rPr>
          <w:rFonts w:cstheme="minorHAnsi"/>
        </w:rPr>
        <w:t>The PBAC</w:t>
      </w:r>
      <w:r w:rsidR="00A00B78" w:rsidRPr="00007680">
        <w:rPr>
          <w:rFonts w:cstheme="minorHAnsi"/>
        </w:rPr>
        <w:t xml:space="preserve"> recalled its previous </w:t>
      </w:r>
      <w:r w:rsidR="00F67302" w:rsidRPr="00007680">
        <w:rPr>
          <w:rFonts w:cstheme="minorHAnsi"/>
        </w:rPr>
        <w:t>decision</w:t>
      </w:r>
      <w:r w:rsidR="00A00B78" w:rsidRPr="00007680">
        <w:rPr>
          <w:rFonts w:cstheme="minorHAnsi"/>
        </w:rPr>
        <w:t xml:space="preserve"> that </w:t>
      </w:r>
      <w:r w:rsidR="001035A3" w:rsidRPr="00007680">
        <w:rPr>
          <w:rFonts w:cstheme="minorHAnsi"/>
        </w:rPr>
        <w:t xml:space="preserve">alternate </w:t>
      </w:r>
      <w:r w:rsidR="00F67302" w:rsidRPr="00007680">
        <w:rPr>
          <w:rFonts w:cstheme="minorHAnsi"/>
        </w:rPr>
        <w:t xml:space="preserve">active chemotherapy </w:t>
      </w:r>
      <w:r w:rsidR="002A2987" w:rsidRPr="00007680">
        <w:rPr>
          <w:rFonts w:cstheme="minorHAnsi"/>
        </w:rPr>
        <w:t xml:space="preserve">such as taxanes </w:t>
      </w:r>
      <w:r w:rsidR="00F67302" w:rsidRPr="00007680">
        <w:rPr>
          <w:rFonts w:cstheme="minorHAnsi"/>
        </w:rPr>
        <w:t xml:space="preserve">was a relevant comparator. The PBAC noted that although the </w:t>
      </w:r>
      <w:r w:rsidR="00F27FBA" w:rsidRPr="00007680">
        <w:rPr>
          <w:rFonts w:cstheme="minorHAnsi"/>
        </w:rPr>
        <w:t>re</w:t>
      </w:r>
      <w:r w:rsidR="00F67302" w:rsidRPr="00007680">
        <w:rPr>
          <w:rFonts w:cstheme="minorHAnsi"/>
        </w:rPr>
        <w:t xml:space="preserve">submission nominated active chemotherapy as a comparator, </w:t>
      </w:r>
      <w:r w:rsidRPr="00007680">
        <w:rPr>
          <w:rFonts w:cstheme="minorHAnsi"/>
        </w:rPr>
        <w:t xml:space="preserve">the clinical effectiveness and cost effectiveness of active chemotherapy compared to vinflunine was not presented. </w:t>
      </w:r>
      <w:r w:rsidR="0072559E" w:rsidRPr="00007680">
        <w:rPr>
          <w:rFonts w:cstheme="minorHAnsi"/>
        </w:rPr>
        <w:t>The PBAC considered the incremental benefit of vinflunine versus a</w:t>
      </w:r>
      <w:r w:rsidR="003367F9" w:rsidRPr="00007680">
        <w:rPr>
          <w:rFonts w:cstheme="minorHAnsi"/>
        </w:rPr>
        <w:t>lternative chemotherapy regimens would be smaller than for vinflu</w:t>
      </w:r>
      <w:r w:rsidR="004B1FE7" w:rsidRPr="00007680">
        <w:rPr>
          <w:rFonts w:cstheme="minorHAnsi"/>
        </w:rPr>
        <w:t>nine versus BSC</w:t>
      </w:r>
      <w:r w:rsidR="003367F9" w:rsidRPr="00007680">
        <w:rPr>
          <w:rFonts w:cstheme="minorHAnsi"/>
        </w:rPr>
        <w:t xml:space="preserve">, and likely to be clinically insignificant. </w:t>
      </w:r>
    </w:p>
    <w:p w:rsidR="00F67302" w:rsidRPr="00007680" w:rsidRDefault="00F67302" w:rsidP="00007680">
      <w:pPr>
        <w:pStyle w:val="ListParagraph"/>
        <w:widowControl/>
        <w:numPr>
          <w:ilvl w:val="1"/>
          <w:numId w:val="9"/>
        </w:numPr>
        <w:spacing w:before="120" w:after="160"/>
        <w:contextualSpacing w:val="0"/>
        <w:rPr>
          <w:rFonts w:cstheme="minorHAnsi"/>
        </w:rPr>
      </w:pPr>
      <w:r w:rsidRPr="00007680">
        <w:rPr>
          <w:rFonts w:cstheme="minorHAnsi"/>
        </w:rPr>
        <w:t>The PBAC noted</w:t>
      </w:r>
      <w:r w:rsidR="00042422" w:rsidRPr="00007680">
        <w:rPr>
          <w:rFonts w:cstheme="minorHAnsi"/>
        </w:rPr>
        <w:t xml:space="preserve">, as for the November 2011 and November 2015 submissions, </w:t>
      </w:r>
      <w:r w:rsidRPr="00007680">
        <w:rPr>
          <w:rFonts w:cstheme="minorHAnsi"/>
        </w:rPr>
        <w:t xml:space="preserve">the </w:t>
      </w:r>
      <w:r w:rsidR="00F27FBA" w:rsidRPr="00007680">
        <w:rPr>
          <w:rFonts w:cstheme="minorHAnsi"/>
        </w:rPr>
        <w:t>re</w:t>
      </w:r>
      <w:r w:rsidRPr="00007680">
        <w:rPr>
          <w:rFonts w:cstheme="minorHAnsi"/>
        </w:rPr>
        <w:t>submission presented one randomised, unblinded trial (Study 302), comparing vinflunine (280</w:t>
      </w:r>
      <w:r w:rsidR="00A95D4F" w:rsidRPr="00007680">
        <w:rPr>
          <w:rFonts w:cstheme="minorHAnsi"/>
        </w:rPr>
        <w:t xml:space="preserve"> </w:t>
      </w:r>
      <w:r w:rsidRPr="00007680">
        <w:rPr>
          <w:rFonts w:cstheme="minorHAnsi"/>
        </w:rPr>
        <w:t>mg/m2 or 320</w:t>
      </w:r>
      <w:r w:rsidR="00A95D4F" w:rsidRPr="00007680">
        <w:rPr>
          <w:rFonts w:cstheme="minorHAnsi"/>
        </w:rPr>
        <w:t xml:space="preserve"> </w:t>
      </w:r>
      <w:r w:rsidRPr="00007680">
        <w:rPr>
          <w:rFonts w:cstheme="minorHAnsi"/>
        </w:rPr>
        <w:t xml:space="preserve">mg/m2 every three weeks) and BSC with BSC alone in patients with advanced or metastatic TCCU after failure of a prior platinum-containing regimen as the key clinical </w:t>
      </w:r>
      <w:r w:rsidR="002C1A62" w:rsidRPr="00007680">
        <w:rPr>
          <w:rFonts w:cstheme="minorHAnsi"/>
        </w:rPr>
        <w:t>evidence</w:t>
      </w:r>
      <w:r w:rsidRPr="00007680">
        <w:rPr>
          <w:rFonts w:cstheme="minorHAnsi"/>
        </w:rPr>
        <w:t xml:space="preserve">. </w:t>
      </w:r>
      <w:r w:rsidR="00A27D9E" w:rsidRPr="00007680">
        <w:rPr>
          <w:rFonts w:cstheme="minorHAnsi"/>
        </w:rPr>
        <w:t xml:space="preserve">The PBAC noted that </w:t>
      </w:r>
      <w:r w:rsidR="00401152" w:rsidRPr="00007680">
        <w:rPr>
          <w:rFonts w:cstheme="minorHAnsi"/>
        </w:rPr>
        <w:t>additional information regarding the safety of vinflunine was provided in the resubmission</w:t>
      </w:r>
      <w:r w:rsidR="002C1A62" w:rsidRPr="00007680">
        <w:rPr>
          <w:rFonts w:cstheme="minorHAnsi"/>
        </w:rPr>
        <w:t>, and the reported</w:t>
      </w:r>
      <w:r w:rsidR="00401152" w:rsidRPr="00007680">
        <w:rPr>
          <w:rFonts w:cstheme="minorHAnsi"/>
        </w:rPr>
        <w:t xml:space="preserve"> adverse event</w:t>
      </w:r>
      <w:r w:rsidR="002C1A62" w:rsidRPr="00007680">
        <w:rPr>
          <w:rFonts w:cstheme="minorHAnsi"/>
        </w:rPr>
        <w:t>s were consistent with those</w:t>
      </w:r>
      <w:r w:rsidR="00401152" w:rsidRPr="00007680">
        <w:rPr>
          <w:rFonts w:cstheme="minorHAnsi"/>
        </w:rPr>
        <w:t xml:space="preserve"> reported in the key clinical trial. </w:t>
      </w:r>
    </w:p>
    <w:p w:rsidR="00F67302" w:rsidRPr="00007680" w:rsidRDefault="00A27D9E" w:rsidP="00007680">
      <w:pPr>
        <w:pStyle w:val="ListParagraph"/>
        <w:widowControl/>
        <w:numPr>
          <w:ilvl w:val="1"/>
          <w:numId w:val="9"/>
        </w:numPr>
        <w:spacing w:before="120" w:after="160"/>
        <w:contextualSpacing w:val="0"/>
        <w:rPr>
          <w:rFonts w:cstheme="minorHAnsi"/>
        </w:rPr>
      </w:pPr>
      <w:r w:rsidRPr="00007680">
        <w:rPr>
          <w:rFonts w:cstheme="minorHAnsi"/>
        </w:rPr>
        <w:t xml:space="preserve">On the basis of the unchanged primary evidence, the PBAC noted its previous acceptance that vinflunine is superior in terms of comparative efficacy over BSC, but the Committee maintained its concern that the incremental </w:t>
      </w:r>
      <w:r w:rsidR="002C1A62" w:rsidRPr="00007680">
        <w:rPr>
          <w:rFonts w:cstheme="minorHAnsi"/>
        </w:rPr>
        <w:t xml:space="preserve">gain in </w:t>
      </w:r>
      <w:r w:rsidRPr="00007680">
        <w:rPr>
          <w:rFonts w:cstheme="minorHAnsi"/>
        </w:rPr>
        <w:t>overall survival (</w:t>
      </w:r>
      <w:r w:rsidR="002C1A62" w:rsidRPr="00007680">
        <w:rPr>
          <w:rFonts w:cstheme="minorHAnsi"/>
        </w:rPr>
        <w:t>n</w:t>
      </w:r>
      <w:r w:rsidR="009D12AC" w:rsidRPr="00007680">
        <w:rPr>
          <w:rFonts w:cstheme="minorHAnsi"/>
        </w:rPr>
        <w:t>on-significant gain in median overall survival</w:t>
      </w:r>
      <w:r w:rsidR="002C1A62" w:rsidRPr="00007680">
        <w:rPr>
          <w:rFonts w:cstheme="minorHAnsi"/>
        </w:rPr>
        <w:t xml:space="preserve"> of </w:t>
      </w:r>
      <w:r w:rsidRPr="00007680">
        <w:rPr>
          <w:rFonts w:cstheme="minorHAnsi"/>
        </w:rPr>
        <w:t xml:space="preserve">2.3 months for the ITT population) </w:t>
      </w:r>
      <w:r w:rsidR="002C1A62" w:rsidRPr="00007680">
        <w:rPr>
          <w:rFonts w:cstheme="minorHAnsi"/>
        </w:rPr>
        <w:t>is</w:t>
      </w:r>
      <w:r w:rsidRPr="00007680">
        <w:rPr>
          <w:rFonts w:cstheme="minorHAnsi"/>
        </w:rPr>
        <w:t xml:space="preserve"> </w:t>
      </w:r>
      <w:r w:rsidR="003B290B" w:rsidRPr="00007680">
        <w:rPr>
          <w:rFonts w:cstheme="minorHAnsi"/>
        </w:rPr>
        <w:t xml:space="preserve">modest, </w:t>
      </w:r>
      <w:r w:rsidRPr="00007680">
        <w:rPr>
          <w:rFonts w:cstheme="minorHAnsi"/>
        </w:rPr>
        <w:t>uncertain</w:t>
      </w:r>
      <w:r w:rsidR="002C1A62" w:rsidRPr="00007680">
        <w:rPr>
          <w:rFonts w:cstheme="minorHAnsi"/>
        </w:rPr>
        <w:t>,</w:t>
      </w:r>
      <w:r w:rsidRPr="00007680">
        <w:rPr>
          <w:rFonts w:cstheme="minorHAnsi"/>
        </w:rPr>
        <w:t xml:space="preserve"> </w:t>
      </w:r>
      <w:r w:rsidR="002C1A62" w:rsidRPr="00007680">
        <w:rPr>
          <w:rFonts w:cstheme="minorHAnsi"/>
        </w:rPr>
        <w:t xml:space="preserve">may not be realised </w:t>
      </w:r>
      <w:r w:rsidRPr="00007680">
        <w:rPr>
          <w:rFonts w:cstheme="minorHAnsi"/>
        </w:rPr>
        <w:t>in clinical practice</w:t>
      </w:r>
      <w:r w:rsidR="002C1A62" w:rsidRPr="00007680">
        <w:rPr>
          <w:rFonts w:cstheme="minorHAnsi"/>
        </w:rPr>
        <w:t>,</w:t>
      </w:r>
      <w:r w:rsidRPr="00007680">
        <w:rPr>
          <w:rFonts w:cstheme="minorHAnsi"/>
        </w:rPr>
        <w:t xml:space="preserve"> </w:t>
      </w:r>
      <w:r w:rsidR="006F0CBD" w:rsidRPr="00007680">
        <w:rPr>
          <w:rFonts w:cstheme="minorHAnsi"/>
        </w:rPr>
        <w:t>and was at the expense</w:t>
      </w:r>
      <w:r w:rsidRPr="00007680">
        <w:rPr>
          <w:rFonts w:cstheme="minorHAnsi"/>
        </w:rPr>
        <w:t xml:space="preserve"> of significa</w:t>
      </w:r>
      <w:r w:rsidR="00797642" w:rsidRPr="00007680">
        <w:rPr>
          <w:rFonts w:cstheme="minorHAnsi"/>
        </w:rPr>
        <w:t xml:space="preserve">nt treatment-related toxicity. The PBAC agreed that vinflunine is inferior in terms of comparative safety </w:t>
      </w:r>
      <w:r w:rsidR="002C1A62" w:rsidRPr="00007680">
        <w:rPr>
          <w:rFonts w:cstheme="minorHAnsi"/>
        </w:rPr>
        <w:t xml:space="preserve">versus </w:t>
      </w:r>
      <w:r w:rsidR="00797642" w:rsidRPr="00007680">
        <w:rPr>
          <w:rFonts w:cstheme="minorHAnsi"/>
        </w:rPr>
        <w:t>best supportive care.</w:t>
      </w:r>
    </w:p>
    <w:p w:rsidR="001D4046" w:rsidRPr="00007680" w:rsidRDefault="001D4046" w:rsidP="00007680">
      <w:pPr>
        <w:pStyle w:val="ListParagraph"/>
        <w:widowControl/>
        <w:numPr>
          <w:ilvl w:val="1"/>
          <w:numId w:val="9"/>
        </w:numPr>
        <w:spacing w:before="120" w:after="160"/>
        <w:contextualSpacing w:val="0"/>
        <w:rPr>
          <w:rFonts w:cstheme="minorHAnsi"/>
        </w:rPr>
      </w:pPr>
      <w:r w:rsidRPr="00007680">
        <w:rPr>
          <w:rFonts w:cstheme="minorHAnsi"/>
        </w:rPr>
        <w:t>The PBAC maintained its views from November 2011 and Novemb</w:t>
      </w:r>
      <w:r w:rsidR="00CA4BF8" w:rsidRPr="00007680">
        <w:rPr>
          <w:rFonts w:cstheme="minorHAnsi"/>
        </w:rPr>
        <w:t>er 2015 that the ITT population</w:t>
      </w:r>
      <w:r w:rsidR="00DD4362" w:rsidRPr="00007680">
        <w:rPr>
          <w:rFonts w:cstheme="minorHAnsi"/>
        </w:rPr>
        <w:t xml:space="preserve"> should be the</w:t>
      </w:r>
      <w:r w:rsidR="000E4428" w:rsidRPr="00007680">
        <w:rPr>
          <w:rFonts w:cstheme="minorHAnsi"/>
        </w:rPr>
        <w:t xml:space="preserve"> basis for assessing the clinical and cost effectiveness of vinflunine versus BSC</w:t>
      </w:r>
      <w:r w:rsidR="00CA4BF8" w:rsidRPr="00007680">
        <w:rPr>
          <w:rFonts w:cstheme="minorHAnsi"/>
        </w:rPr>
        <w:t>.</w:t>
      </w:r>
      <w:r w:rsidR="000E4428" w:rsidRPr="00007680">
        <w:rPr>
          <w:rFonts w:cstheme="minorHAnsi"/>
        </w:rPr>
        <w:t xml:space="preserve"> The PBAC considered the results of the mITT analysis to be biased due to the post-hoc removal of patients from the analysis.  The PBAC also considered that the ITT population </w:t>
      </w:r>
      <w:r w:rsidRPr="00007680">
        <w:rPr>
          <w:rFonts w:cstheme="minorHAnsi"/>
        </w:rPr>
        <w:t>more</w:t>
      </w:r>
      <w:r w:rsidR="00CC39A9" w:rsidRPr="00007680">
        <w:rPr>
          <w:rFonts w:cstheme="minorHAnsi"/>
        </w:rPr>
        <w:t xml:space="preserve"> closely approximates the potential</w:t>
      </w:r>
      <w:r w:rsidRPr="00007680">
        <w:rPr>
          <w:rFonts w:cstheme="minorHAnsi"/>
        </w:rPr>
        <w:t xml:space="preserve"> PBS population</w:t>
      </w:r>
      <w:r w:rsidR="00182BF6" w:rsidRPr="00007680">
        <w:rPr>
          <w:rFonts w:cstheme="minorHAnsi"/>
        </w:rPr>
        <w:t xml:space="preserve"> than the mITT population</w:t>
      </w:r>
      <w:proofErr w:type="gramStart"/>
      <w:r w:rsidR="00182BF6" w:rsidRPr="00007680">
        <w:rPr>
          <w:rFonts w:cstheme="minorHAnsi"/>
        </w:rPr>
        <w:t>.</w:t>
      </w:r>
      <w:r w:rsidRPr="00007680">
        <w:rPr>
          <w:rFonts w:cstheme="minorHAnsi"/>
        </w:rPr>
        <w:t>.</w:t>
      </w:r>
      <w:proofErr w:type="gramEnd"/>
      <w:r w:rsidR="002C1A62" w:rsidRPr="00007680">
        <w:rPr>
          <w:rFonts w:cstheme="minorHAnsi"/>
        </w:rPr>
        <w:t xml:space="preserve"> </w:t>
      </w:r>
    </w:p>
    <w:p w:rsidR="003A5055" w:rsidRPr="00007680" w:rsidRDefault="003A5055" w:rsidP="007A6278">
      <w:pPr>
        <w:pStyle w:val="ListParagraph"/>
        <w:widowControl/>
        <w:numPr>
          <w:ilvl w:val="1"/>
          <w:numId w:val="9"/>
        </w:numPr>
        <w:spacing w:before="120" w:after="160"/>
        <w:contextualSpacing w:val="0"/>
        <w:rPr>
          <w:rFonts w:cstheme="minorHAnsi"/>
        </w:rPr>
      </w:pPr>
      <w:r w:rsidRPr="00007680">
        <w:rPr>
          <w:rFonts w:cstheme="minorHAnsi"/>
        </w:rPr>
        <w:t xml:space="preserve">The PBAC </w:t>
      </w:r>
      <w:r w:rsidR="00AD1188" w:rsidRPr="00007680">
        <w:rPr>
          <w:rFonts w:cstheme="minorHAnsi"/>
        </w:rPr>
        <w:t xml:space="preserve">noted that there was no clinical rationale to justify the use of the 50:50 ITT/mITT </w:t>
      </w:r>
      <w:proofErr w:type="gramStart"/>
      <w:r w:rsidR="00AD1188" w:rsidRPr="00007680">
        <w:rPr>
          <w:rFonts w:cstheme="minorHAnsi"/>
        </w:rPr>
        <w:t>analysis</w:t>
      </w:r>
      <w:proofErr w:type="gramEnd"/>
      <w:r w:rsidR="00AD1188" w:rsidRPr="00007680">
        <w:rPr>
          <w:rFonts w:cstheme="minorHAnsi"/>
        </w:rPr>
        <w:t xml:space="preserve">, and that the submission applied this approach as a compromise between the Committee’s views and the sponsor’s views. </w:t>
      </w:r>
      <w:r w:rsidR="00F45593" w:rsidRPr="00007680">
        <w:rPr>
          <w:rFonts w:cstheme="minorHAnsi"/>
        </w:rPr>
        <w:t xml:space="preserve">The PBAC </w:t>
      </w:r>
      <w:r w:rsidRPr="00007680">
        <w:rPr>
          <w:rFonts w:cstheme="minorHAnsi"/>
        </w:rPr>
        <w:t>considered that use of the mixed ITT/mITT population in the economic model, which resulted in an ICER/QALY gained</w:t>
      </w:r>
      <w:r w:rsidR="00DD7896">
        <w:rPr>
          <w:rFonts w:cstheme="minorHAnsi"/>
        </w:rPr>
        <w:t xml:space="preserve"> </w:t>
      </w:r>
      <w:r w:rsidRPr="00007680">
        <w:rPr>
          <w:rFonts w:cstheme="minorHAnsi"/>
        </w:rPr>
        <w:t xml:space="preserve">of </w:t>
      </w:r>
      <w:r w:rsidR="00DD7896">
        <w:rPr>
          <w:rFonts w:cstheme="minorHAnsi"/>
        </w:rPr>
        <w:t xml:space="preserve">$45,000 – </w:t>
      </w:r>
      <w:r w:rsidR="007A6278" w:rsidRPr="007A6278">
        <w:rPr>
          <w:rFonts w:cstheme="minorHAnsi"/>
        </w:rPr>
        <w:t>$75,000</w:t>
      </w:r>
      <w:r w:rsidR="007A6278">
        <w:rPr>
          <w:rFonts w:cstheme="minorHAnsi"/>
        </w:rPr>
        <w:t xml:space="preserve"> </w:t>
      </w:r>
      <w:r w:rsidRPr="00007680">
        <w:rPr>
          <w:rFonts w:cstheme="minorHAnsi"/>
        </w:rPr>
        <w:t xml:space="preserve">compared to </w:t>
      </w:r>
      <w:r w:rsidR="00DD7896">
        <w:rPr>
          <w:rFonts w:cstheme="minorHAnsi"/>
        </w:rPr>
        <w:t xml:space="preserve">$75,000 – $105,000 </w:t>
      </w:r>
      <w:r w:rsidRPr="00007680">
        <w:rPr>
          <w:rFonts w:cstheme="minorHAnsi"/>
        </w:rPr>
        <w:t>if the ITT population was used,</w:t>
      </w:r>
      <w:r w:rsidR="00CC39A9" w:rsidRPr="00007680">
        <w:rPr>
          <w:rFonts w:cstheme="minorHAnsi"/>
        </w:rPr>
        <w:t xml:space="preserve"> favoured vinflunine</w:t>
      </w:r>
      <w:r w:rsidRPr="00007680">
        <w:rPr>
          <w:rFonts w:cstheme="minorHAnsi"/>
        </w:rPr>
        <w:t xml:space="preserve">.  </w:t>
      </w:r>
      <w:r w:rsidR="00F45593" w:rsidRPr="00007680">
        <w:rPr>
          <w:rFonts w:cstheme="minorHAnsi"/>
        </w:rPr>
        <w:t xml:space="preserve">The PBAC considered that the cost-effectiveness ratio for the ITT population was high and highly uncertain, given the Committee’s concerns about the uncertainty in the incremental gain in overall survival of vinflunine over BSC. </w:t>
      </w:r>
    </w:p>
    <w:p w:rsidR="006F2A35" w:rsidRPr="00007680" w:rsidRDefault="006F2A35" w:rsidP="00007680">
      <w:pPr>
        <w:pStyle w:val="ListParagraph"/>
        <w:widowControl/>
        <w:numPr>
          <w:ilvl w:val="1"/>
          <w:numId w:val="9"/>
        </w:numPr>
        <w:spacing w:before="120" w:after="160"/>
        <w:contextualSpacing w:val="0"/>
        <w:rPr>
          <w:rFonts w:cstheme="minorHAnsi"/>
        </w:rPr>
      </w:pPr>
      <w:r w:rsidRPr="00007680">
        <w:rPr>
          <w:rFonts w:cstheme="minorHAnsi"/>
        </w:rPr>
        <w:t>The PBAC noted the sponsor’s willingness to enter a risk-share agreement, however</w:t>
      </w:r>
      <w:r w:rsidR="00CC39A9" w:rsidRPr="00007680">
        <w:rPr>
          <w:rFonts w:cstheme="minorHAnsi"/>
        </w:rPr>
        <w:t>,</w:t>
      </w:r>
      <w:r w:rsidRPr="00007680">
        <w:rPr>
          <w:rFonts w:cstheme="minorHAnsi"/>
        </w:rPr>
        <w:t xml:space="preserve"> the PBAC considered that the estimated PBS usage and financial implications were uncertain and likely overestimated</w:t>
      </w:r>
      <w:r w:rsidR="00F45593" w:rsidRPr="00007680">
        <w:rPr>
          <w:rFonts w:cstheme="minorHAnsi"/>
        </w:rPr>
        <w:t xml:space="preserve">, </w:t>
      </w:r>
      <w:proofErr w:type="gramStart"/>
      <w:r w:rsidR="00F45593" w:rsidRPr="00007680">
        <w:rPr>
          <w:rFonts w:cstheme="minorHAnsi"/>
        </w:rPr>
        <w:t>as</w:t>
      </w:r>
      <w:proofErr w:type="gramEnd"/>
      <w:r w:rsidR="00F45593" w:rsidRPr="00007680">
        <w:rPr>
          <w:rFonts w:cstheme="minorHAnsi"/>
        </w:rPr>
        <w:t xml:space="preserve"> it expected that there will be limited use of vinflunine given its uncertain clinical benefit and significant toxicity. </w:t>
      </w:r>
    </w:p>
    <w:p w:rsidR="00357FFC" w:rsidRPr="00007680" w:rsidRDefault="00357FFC" w:rsidP="00007680">
      <w:pPr>
        <w:pStyle w:val="ListParagraph"/>
        <w:widowControl/>
        <w:numPr>
          <w:ilvl w:val="1"/>
          <w:numId w:val="9"/>
        </w:numPr>
        <w:spacing w:before="120" w:after="160"/>
        <w:contextualSpacing w:val="0"/>
        <w:rPr>
          <w:rFonts w:cstheme="minorHAnsi"/>
        </w:rPr>
      </w:pPr>
      <w:r w:rsidRPr="00007680">
        <w:rPr>
          <w:rFonts w:cstheme="minorHAnsi"/>
        </w:rPr>
        <w:t xml:space="preserve">The PBAC recognised there is an unmet clinical need for patients with locally advanced or metastatic TCCU, however </w:t>
      </w:r>
      <w:r w:rsidR="00253524" w:rsidRPr="00007680">
        <w:rPr>
          <w:rFonts w:cstheme="minorHAnsi"/>
        </w:rPr>
        <w:t xml:space="preserve">did not </w:t>
      </w:r>
      <w:r w:rsidRPr="00007680">
        <w:rPr>
          <w:rFonts w:cstheme="minorHAnsi"/>
        </w:rPr>
        <w:t xml:space="preserve">consider that vinflunine provides superior outcomes to the currently available treatments, such as </w:t>
      </w:r>
      <w:r w:rsidR="00D07AD9" w:rsidRPr="00007680">
        <w:rPr>
          <w:rFonts w:cstheme="minorHAnsi"/>
        </w:rPr>
        <w:t xml:space="preserve">alternate </w:t>
      </w:r>
      <w:r w:rsidRPr="00007680">
        <w:rPr>
          <w:rFonts w:cstheme="minorHAnsi"/>
        </w:rPr>
        <w:t xml:space="preserve">active chemotherapy. </w:t>
      </w:r>
    </w:p>
    <w:p w:rsidR="00065E02" w:rsidRPr="00007680" w:rsidRDefault="00065E02" w:rsidP="00007680">
      <w:pPr>
        <w:pStyle w:val="ListParagraph"/>
        <w:widowControl/>
        <w:numPr>
          <w:ilvl w:val="1"/>
          <w:numId w:val="9"/>
        </w:numPr>
        <w:spacing w:before="120" w:after="160"/>
        <w:contextualSpacing w:val="0"/>
        <w:rPr>
          <w:rFonts w:cstheme="minorHAnsi"/>
        </w:rPr>
      </w:pPr>
      <w:r w:rsidRPr="00007680">
        <w:rPr>
          <w:rFonts w:cstheme="minorHAnsi"/>
        </w:rPr>
        <w:t>The PBAC noted that this submission is eligible for an Independent Review.</w:t>
      </w:r>
    </w:p>
    <w:p w:rsidR="00393516" w:rsidRPr="00C8621E" w:rsidRDefault="00393516" w:rsidP="00393516">
      <w:pPr>
        <w:widowControl/>
        <w:jc w:val="left"/>
      </w:pPr>
    </w:p>
    <w:p w:rsidR="00E03037" w:rsidRPr="00007680" w:rsidRDefault="00E03037" w:rsidP="00007680">
      <w:pPr>
        <w:widowControl/>
        <w:jc w:val="left"/>
        <w:outlineLvl w:val="1"/>
        <w:rPr>
          <w:b/>
        </w:rPr>
      </w:pPr>
      <w:r w:rsidRPr="00007680">
        <w:rPr>
          <w:b/>
          <w:lang w:val="en-GB"/>
        </w:rPr>
        <w:t>Outcome:</w:t>
      </w:r>
      <w:r w:rsidR="00007680">
        <w:rPr>
          <w:b/>
        </w:rPr>
        <w:br/>
      </w:r>
      <w:r w:rsidRPr="00C8621E">
        <w:rPr>
          <w:bCs/>
          <w:szCs w:val="24"/>
          <w:lang w:val="en-GB"/>
        </w:rPr>
        <w:t>Reje</w:t>
      </w:r>
      <w:r w:rsidR="006F2A35" w:rsidRPr="00C8621E">
        <w:rPr>
          <w:bCs/>
          <w:szCs w:val="24"/>
          <w:lang w:val="en-GB"/>
        </w:rPr>
        <w:t>cted</w:t>
      </w:r>
    </w:p>
    <w:p w:rsidR="00E03037" w:rsidRDefault="00E03037" w:rsidP="00E03037">
      <w:pPr>
        <w:rPr>
          <w:b/>
          <w:bCs/>
          <w:szCs w:val="24"/>
          <w:highlight w:val="yellow"/>
        </w:rPr>
      </w:pPr>
    </w:p>
    <w:p w:rsidR="007336BB" w:rsidRPr="007336BB" w:rsidRDefault="007336BB" w:rsidP="007336BB">
      <w:pPr>
        <w:pStyle w:val="Heading1"/>
        <w:keepNext/>
        <w:keepLines/>
        <w:widowControl/>
        <w:numPr>
          <w:ilvl w:val="0"/>
          <w:numId w:val="32"/>
        </w:numPr>
        <w:spacing w:before="400" w:after="120"/>
        <w:ind w:left="709" w:hanging="709"/>
        <w:jc w:val="left"/>
        <w:rPr>
          <w:rFonts w:asciiTheme="minorHAnsi" w:eastAsiaTheme="minorHAnsi" w:hAnsiTheme="minorHAnsi" w:cstheme="minorBidi"/>
          <w:snapToGrid/>
          <w:sz w:val="32"/>
          <w:szCs w:val="32"/>
        </w:rPr>
      </w:pPr>
      <w:r>
        <w:rPr>
          <w:rFonts w:asciiTheme="minorHAnsi" w:eastAsiaTheme="minorHAnsi" w:hAnsiTheme="minorHAnsi" w:cstheme="minorBidi"/>
          <w:caps w:val="0"/>
          <w:snapToGrid/>
          <w:sz w:val="32"/>
          <w:szCs w:val="32"/>
        </w:rPr>
        <w:t>Context for Decision</w:t>
      </w:r>
    </w:p>
    <w:p w:rsidR="007336BB" w:rsidRPr="007336BB" w:rsidRDefault="007336BB" w:rsidP="007336BB">
      <w:pPr>
        <w:widowControl/>
        <w:spacing w:line="276" w:lineRule="auto"/>
        <w:ind w:left="426"/>
        <w:rPr>
          <w:rFonts w:eastAsiaTheme="minorHAnsi"/>
          <w:snapToGrid/>
          <w:szCs w:val="24"/>
        </w:rPr>
      </w:pPr>
    </w:p>
    <w:p w:rsidR="007336BB" w:rsidRPr="007336BB" w:rsidRDefault="007336BB" w:rsidP="009E24A7">
      <w:pPr>
        <w:widowControl/>
        <w:spacing w:line="276" w:lineRule="auto"/>
        <w:ind w:left="426"/>
        <w:rPr>
          <w:rFonts w:eastAsiaTheme="minorHAnsi"/>
          <w:snapToGrid/>
          <w:szCs w:val="24"/>
        </w:rPr>
      </w:pPr>
      <w:r w:rsidRPr="007336BB">
        <w:rPr>
          <w:rFonts w:eastAsiaTheme="minorHAnsi"/>
          <w:snapToGrid/>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336BB" w:rsidRPr="009E24A7" w:rsidRDefault="007336BB" w:rsidP="007336BB">
      <w:pPr>
        <w:pStyle w:val="Heading1"/>
        <w:keepNext/>
        <w:keepLines/>
        <w:widowControl/>
        <w:numPr>
          <w:ilvl w:val="0"/>
          <w:numId w:val="32"/>
        </w:numPr>
        <w:spacing w:before="400" w:after="120" w:line="276" w:lineRule="auto"/>
        <w:ind w:left="426" w:hanging="709"/>
        <w:jc w:val="left"/>
        <w:rPr>
          <w:rFonts w:eastAsiaTheme="minorHAnsi"/>
          <w:bCs/>
          <w:snapToGrid/>
          <w:szCs w:val="24"/>
          <w:lang w:val="en-GB"/>
        </w:rPr>
      </w:pPr>
      <w:r w:rsidRPr="009E24A7">
        <w:rPr>
          <w:rFonts w:asciiTheme="minorHAnsi" w:eastAsiaTheme="minorHAnsi" w:hAnsiTheme="minorHAnsi" w:cstheme="minorBidi"/>
          <w:snapToGrid/>
          <w:sz w:val="32"/>
          <w:szCs w:val="32"/>
        </w:rPr>
        <w:t xml:space="preserve"> </w:t>
      </w:r>
      <w:r w:rsidRPr="009E24A7">
        <w:rPr>
          <w:rFonts w:asciiTheme="minorHAnsi" w:eastAsiaTheme="minorHAnsi" w:hAnsiTheme="minorHAnsi" w:cstheme="minorBidi"/>
          <w:caps w:val="0"/>
          <w:snapToGrid/>
          <w:sz w:val="32"/>
          <w:szCs w:val="32"/>
        </w:rPr>
        <w:t>Sponsor’s Comment</w:t>
      </w:r>
    </w:p>
    <w:p w:rsidR="007336BB" w:rsidRPr="007336BB" w:rsidRDefault="007336BB" w:rsidP="007336BB">
      <w:pPr>
        <w:widowControl/>
        <w:spacing w:after="120" w:line="276" w:lineRule="auto"/>
        <w:ind w:left="426"/>
        <w:rPr>
          <w:rFonts w:eastAsiaTheme="minorHAnsi"/>
          <w:bCs/>
          <w:snapToGrid/>
          <w:szCs w:val="24"/>
        </w:rPr>
      </w:pPr>
      <w:r w:rsidRPr="007336BB">
        <w:rPr>
          <w:rFonts w:eastAsiaTheme="minorHAnsi"/>
          <w:bCs/>
          <w:snapToGrid/>
          <w:szCs w:val="24"/>
        </w:rPr>
        <w:t>The sponsor had no comment.</w:t>
      </w:r>
    </w:p>
    <w:p w:rsidR="00E03037" w:rsidRPr="00C8621E" w:rsidRDefault="00E03037" w:rsidP="00E415C9">
      <w:bookmarkStart w:id="48" w:name="_GoBack"/>
      <w:bookmarkEnd w:id="48"/>
    </w:p>
    <w:sectPr w:rsidR="00E03037" w:rsidRPr="00C8621E" w:rsidSect="007336BB">
      <w:headerReference w:type="even" r:id="rId10"/>
      <w:headerReference w:type="default" r:id="rId11"/>
      <w:footerReference w:type="even" r:id="rId12"/>
      <w:footerReference w:type="default" r:id="rId13"/>
      <w:headerReference w:type="first" r:id="rId14"/>
      <w:footerReference w:type="first" r:id="rId15"/>
      <w:pgSz w:w="11907" w:h="16840" w:code="9"/>
      <w:pgMar w:top="1326"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54F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54F46" w16cid:durableId="1D3168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0C" w:rsidRDefault="0097770C" w:rsidP="00124A51">
      <w:r>
        <w:separator/>
      </w:r>
    </w:p>
  </w:endnote>
  <w:endnote w:type="continuationSeparator" w:id="0">
    <w:p w:rsidR="0097770C" w:rsidRDefault="0097770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0C" w:rsidRDefault="00977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551616"/>
      <w:docPartObj>
        <w:docPartGallery w:val="Page Numbers (Bottom of Page)"/>
        <w:docPartUnique/>
      </w:docPartObj>
    </w:sdtPr>
    <w:sdtEndPr>
      <w:rPr>
        <w:noProof/>
      </w:rPr>
    </w:sdtEndPr>
    <w:sdtContent>
      <w:p w:rsidR="0085585D" w:rsidRPr="00007680" w:rsidRDefault="0085585D" w:rsidP="00007680">
        <w:pPr>
          <w:pStyle w:val="Footer"/>
          <w:jc w:val="center"/>
          <w:rPr>
            <w:noProof/>
          </w:rPr>
        </w:pPr>
        <w:r w:rsidRPr="00FF1698">
          <w:fldChar w:fldCharType="begin"/>
        </w:r>
        <w:r w:rsidRPr="00FF1698">
          <w:instrText xml:space="preserve"> PAGE   \* MERGEFORMAT </w:instrText>
        </w:r>
        <w:r w:rsidRPr="00FF1698">
          <w:fldChar w:fldCharType="separate"/>
        </w:r>
        <w:r w:rsidR="009E24A7">
          <w:rPr>
            <w:noProof/>
          </w:rPr>
          <w:t>1</w:t>
        </w:r>
        <w:r w:rsidRPr="00FF1698">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0C" w:rsidRDefault="0097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0C" w:rsidRDefault="0097770C" w:rsidP="00124A51">
      <w:r>
        <w:separator/>
      </w:r>
    </w:p>
  </w:footnote>
  <w:footnote w:type="continuationSeparator" w:id="0">
    <w:p w:rsidR="0097770C" w:rsidRDefault="0097770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0C" w:rsidRDefault="00977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5D" w:rsidRPr="00AC4321" w:rsidRDefault="0085585D" w:rsidP="00007680">
    <w:pPr>
      <w:widowControl/>
      <w:tabs>
        <w:tab w:val="center" w:pos="4153"/>
        <w:tab w:val="right" w:pos="8306"/>
      </w:tabs>
      <w:spacing w:after="120"/>
      <w:ind w:left="360"/>
      <w:jc w:val="center"/>
      <w:rPr>
        <w:i/>
        <w:snapToGrid/>
        <w:color w:val="808080"/>
        <w:szCs w:val="24"/>
      </w:rPr>
    </w:pPr>
    <w:r>
      <w:rPr>
        <w:i/>
        <w:snapToGrid/>
        <w:color w:val="808080"/>
        <w:szCs w:val="24"/>
      </w:rPr>
      <w:t>Public Summary Document</w:t>
    </w:r>
    <w:r w:rsidRPr="00AC4321">
      <w:rPr>
        <w:i/>
        <w:snapToGrid/>
        <w:color w:val="808080"/>
        <w:szCs w:val="24"/>
      </w:rPr>
      <w:t xml:space="preserve"> – </w:t>
    </w:r>
    <w:r>
      <w:rPr>
        <w:i/>
        <w:snapToGrid/>
        <w:color w:val="808080"/>
        <w:szCs w:val="24"/>
      </w:rPr>
      <w:t>July 2017</w:t>
    </w:r>
    <w:r w:rsidRPr="00AC4321">
      <w:rPr>
        <w:i/>
        <w:snapToGrid/>
        <w:color w:val="808080"/>
        <w:szCs w:val="24"/>
      </w:rPr>
      <w:t xml:space="preserve"> PBAC Meeting</w:t>
    </w:r>
  </w:p>
  <w:p w:rsidR="0085585D" w:rsidRDefault="00855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0C" w:rsidRDefault="00977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8723A"/>
    <w:multiLevelType w:val="hybridMultilevel"/>
    <w:tmpl w:val="B5E8F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1B1DD8"/>
    <w:multiLevelType w:val="hybridMultilevel"/>
    <w:tmpl w:val="4D041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281F56"/>
    <w:multiLevelType w:val="hybridMultilevel"/>
    <w:tmpl w:val="A5AC6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A83ECD"/>
    <w:multiLevelType w:val="hybridMultilevel"/>
    <w:tmpl w:val="148EC9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41F2EEA"/>
    <w:multiLevelType w:val="hybridMultilevel"/>
    <w:tmpl w:val="1B18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5F34E6"/>
    <w:multiLevelType w:val="hybridMultilevel"/>
    <w:tmpl w:val="40346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2F65D6"/>
    <w:multiLevelType w:val="hybridMultilevel"/>
    <w:tmpl w:val="B52E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190477"/>
    <w:multiLevelType w:val="multilevel"/>
    <w:tmpl w:val="6EE48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FE382E"/>
    <w:multiLevelType w:val="hybridMultilevel"/>
    <w:tmpl w:val="06EC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4E6825"/>
    <w:multiLevelType w:val="multilevel"/>
    <w:tmpl w:val="6EE48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CFC065B"/>
    <w:multiLevelType w:val="hybridMultilevel"/>
    <w:tmpl w:val="CEDA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CF45C4"/>
    <w:multiLevelType w:val="hybridMultilevel"/>
    <w:tmpl w:val="7340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1E5227"/>
    <w:multiLevelType w:val="hybridMultilevel"/>
    <w:tmpl w:val="C55A95C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B7C34E2"/>
    <w:multiLevelType w:val="hybridMultilevel"/>
    <w:tmpl w:val="2526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BD028E"/>
    <w:multiLevelType w:val="hybridMultilevel"/>
    <w:tmpl w:val="72387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5CD7EF6"/>
    <w:multiLevelType w:val="hybridMultilevel"/>
    <w:tmpl w:val="ED08E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F76A45"/>
    <w:multiLevelType w:val="multilevel"/>
    <w:tmpl w:val="6520FD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6FB477C"/>
    <w:multiLevelType w:val="hybridMultilevel"/>
    <w:tmpl w:val="276A9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8604AAD"/>
    <w:multiLevelType w:val="hybridMultilevel"/>
    <w:tmpl w:val="39889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E956E9"/>
    <w:multiLevelType w:val="hybridMultilevel"/>
    <w:tmpl w:val="E21265F8"/>
    <w:lvl w:ilvl="0" w:tplc="536CE78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B23292F"/>
    <w:multiLevelType w:val="hybridMultilevel"/>
    <w:tmpl w:val="71FC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78510F"/>
    <w:multiLevelType w:val="hybridMultilevel"/>
    <w:tmpl w:val="E1E8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B86724"/>
    <w:multiLevelType w:val="hybridMultilevel"/>
    <w:tmpl w:val="57F278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6477EF7"/>
    <w:multiLevelType w:val="hybridMultilevel"/>
    <w:tmpl w:val="17A8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693A91"/>
    <w:multiLevelType w:val="hybridMultilevel"/>
    <w:tmpl w:val="F850A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65B4BBA"/>
    <w:multiLevelType w:val="hybridMultilevel"/>
    <w:tmpl w:val="DF36DAE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nsid w:val="784D033C"/>
    <w:multiLevelType w:val="multilevel"/>
    <w:tmpl w:val="98DE1AF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8E82947"/>
    <w:multiLevelType w:val="hybridMultilevel"/>
    <w:tmpl w:val="C0AE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C95AD0"/>
    <w:multiLevelType w:val="hybridMultilevel"/>
    <w:tmpl w:val="F3FCAB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2"/>
  </w:num>
  <w:num w:numId="3">
    <w:abstractNumId w:val="13"/>
  </w:num>
  <w:num w:numId="4">
    <w:abstractNumId w:val="8"/>
  </w:num>
  <w:num w:numId="5">
    <w:abstractNumId w:val="45"/>
  </w:num>
  <w:num w:numId="6">
    <w:abstractNumId w:val="28"/>
  </w:num>
  <w:num w:numId="7">
    <w:abstractNumId w:val="23"/>
  </w:num>
  <w:num w:numId="8">
    <w:abstractNumId w:val="20"/>
  </w:num>
  <w:num w:numId="9">
    <w:abstractNumId w:val="42"/>
  </w:num>
  <w:num w:numId="10">
    <w:abstractNumId w:val="32"/>
  </w:num>
  <w:num w:numId="11">
    <w:abstractNumId w:val="18"/>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9"/>
  </w:num>
  <w:num w:numId="16">
    <w:abstractNumId w:val="5"/>
  </w:num>
  <w:num w:numId="17">
    <w:abstractNumId w:val="15"/>
  </w:num>
  <w:num w:numId="18">
    <w:abstractNumId w:val="1"/>
  </w:num>
  <w:num w:numId="19">
    <w:abstractNumId w:val="44"/>
  </w:num>
  <w:num w:numId="20">
    <w:abstractNumId w:val="38"/>
  </w:num>
  <w:num w:numId="21">
    <w:abstractNumId w:val="36"/>
  </w:num>
  <w:num w:numId="22">
    <w:abstractNumId w:val="16"/>
  </w:num>
  <w:num w:numId="23">
    <w:abstractNumId w:val="26"/>
  </w:num>
  <w:num w:numId="24">
    <w:abstractNumId w:val="37"/>
  </w:num>
  <w:num w:numId="25">
    <w:abstractNumId w:val="21"/>
  </w:num>
  <w:num w:numId="26">
    <w:abstractNumId w:val="41"/>
  </w:num>
  <w:num w:numId="27">
    <w:abstractNumId w:val="43"/>
  </w:num>
  <w:num w:numId="28">
    <w:abstractNumId w:val="33"/>
  </w:num>
  <w:num w:numId="29">
    <w:abstractNumId w:val="3"/>
  </w:num>
  <w:num w:numId="30">
    <w:abstractNumId w:val="6"/>
  </w:num>
  <w:num w:numId="31">
    <w:abstractNumId w:val="24"/>
  </w:num>
  <w:num w:numId="32">
    <w:abstractNumId w:val="12"/>
  </w:num>
  <w:num w:numId="33">
    <w:abstractNumId w:val="29"/>
  </w:num>
  <w:num w:numId="34">
    <w:abstractNumId w:val="0"/>
  </w:num>
  <w:num w:numId="35">
    <w:abstractNumId w:val="14"/>
  </w:num>
  <w:num w:numId="36">
    <w:abstractNumId w:val="17"/>
  </w:num>
  <w:num w:numId="37">
    <w:abstractNumId w:val="35"/>
  </w:num>
  <w:num w:numId="38">
    <w:abstractNumId w:val="40"/>
  </w:num>
  <w:num w:numId="39">
    <w:abstractNumId w:val="11"/>
  </w:num>
  <w:num w:numId="40">
    <w:abstractNumId w:val="39"/>
  </w:num>
  <w:num w:numId="41">
    <w:abstractNumId w:val="19"/>
  </w:num>
  <w:num w:numId="42">
    <w:abstractNumId w:val="27"/>
  </w:num>
  <w:num w:numId="43">
    <w:abstractNumId w:val="25"/>
  </w:num>
  <w:num w:numId="44">
    <w:abstractNumId w:val="31"/>
  </w:num>
  <w:num w:numId="45">
    <w:abstractNumId w:val="30"/>
  </w:num>
  <w:num w:numId="46">
    <w:abstractNumId w:val="2"/>
  </w:num>
  <w:num w:numId="4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822"/>
    <w:rsid w:val="00003415"/>
    <w:rsid w:val="000038BF"/>
    <w:rsid w:val="00007680"/>
    <w:rsid w:val="000106EC"/>
    <w:rsid w:val="00013247"/>
    <w:rsid w:val="00015886"/>
    <w:rsid w:val="00015B3B"/>
    <w:rsid w:val="00015FF6"/>
    <w:rsid w:val="000162EF"/>
    <w:rsid w:val="00017651"/>
    <w:rsid w:val="0002225F"/>
    <w:rsid w:val="00022C2D"/>
    <w:rsid w:val="00023763"/>
    <w:rsid w:val="00023876"/>
    <w:rsid w:val="000263C6"/>
    <w:rsid w:val="00026D59"/>
    <w:rsid w:val="00035233"/>
    <w:rsid w:val="000375BE"/>
    <w:rsid w:val="00040895"/>
    <w:rsid w:val="0004231D"/>
    <w:rsid w:val="00042422"/>
    <w:rsid w:val="00043B94"/>
    <w:rsid w:val="00043C37"/>
    <w:rsid w:val="0005229B"/>
    <w:rsid w:val="000531A8"/>
    <w:rsid w:val="00054080"/>
    <w:rsid w:val="00054116"/>
    <w:rsid w:val="000546D7"/>
    <w:rsid w:val="00054BEB"/>
    <w:rsid w:val="00055C0C"/>
    <w:rsid w:val="00062508"/>
    <w:rsid w:val="00062D56"/>
    <w:rsid w:val="00065AC6"/>
    <w:rsid w:val="00065E02"/>
    <w:rsid w:val="00066768"/>
    <w:rsid w:val="00066B5E"/>
    <w:rsid w:val="000703E1"/>
    <w:rsid w:val="00070936"/>
    <w:rsid w:val="00071248"/>
    <w:rsid w:val="000720B9"/>
    <w:rsid w:val="00076DAD"/>
    <w:rsid w:val="000812CA"/>
    <w:rsid w:val="00085491"/>
    <w:rsid w:val="00087C26"/>
    <w:rsid w:val="0009006C"/>
    <w:rsid w:val="00090C7E"/>
    <w:rsid w:val="0009194C"/>
    <w:rsid w:val="000A0E9D"/>
    <w:rsid w:val="000A1AF9"/>
    <w:rsid w:val="000A5521"/>
    <w:rsid w:val="000A5D04"/>
    <w:rsid w:val="000B0F13"/>
    <w:rsid w:val="000B4EA2"/>
    <w:rsid w:val="000B66AC"/>
    <w:rsid w:val="000B7BF0"/>
    <w:rsid w:val="000C1D1C"/>
    <w:rsid w:val="000C2415"/>
    <w:rsid w:val="000C3C22"/>
    <w:rsid w:val="000C3E0A"/>
    <w:rsid w:val="000C5382"/>
    <w:rsid w:val="000D0F2F"/>
    <w:rsid w:val="000D1634"/>
    <w:rsid w:val="000D1BFC"/>
    <w:rsid w:val="000E059C"/>
    <w:rsid w:val="000E0F56"/>
    <w:rsid w:val="000E1DE3"/>
    <w:rsid w:val="000E4428"/>
    <w:rsid w:val="000F0597"/>
    <w:rsid w:val="000F0A58"/>
    <w:rsid w:val="000F36B6"/>
    <w:rsid w:val="00100F8A"/>
    <w:rsid w:val="00102341"/>
    <w:rsid w:val="001023A8"/>
    <w:rsid w:val="00103589"/>
    <w:rsid w:val="001035A3"/>
    <w:rsid w:val="0011032E"/>
    <w:rsid w:val="001110A2"/>
    <w:rsid w:val="001156BC"/>
    <w:rsid w:val="00115DE7"/>
    <w:rsid w:val="00117225"/>
    <w:rsid w:val="001174CA"/>
    <w:rsid w:val="00121799"/>
    <w:rsid w:val="00121D2E"/>
    <w:rsid w:val="001222FC"/>
    <w:rsid w:val="00123CE8"/>
    <w:rsid w:val="00124116"/>
    <w:rsid w:val="00124A51"/>
    <w:rsid w:val="001263F6"/>
    <w:rsid w:val="001265BE"/>
    <w:rsid w:val="00126621"/>
    <w:rsid w:val="001276A0"/>
    <w:rsid w:val="001301E9"/>
    <w:rsid w:val="00130C2F"/>
    <w:rsid w:val="00131815"/>
    <w:rsid w:val="00137645"/>
    <w:rsid w:val="00137AF1"/>
    <w:rsid w:val="00137B86"/>
    <w:rsid w:val="0014015A"/>
    <w:rsid w:val="00140E99"/>
    <w:rsid w:val="00141210"/>
    <w:rsid w:val="00143AD8"/>
    <w:rsid w:val="001456B0"/>
    <w:rsid w:val="00152F61"/>
    <w:rsid w:val="001543C9"/>
    <w:rsid w:val="00157130"/>
    <w:rsid w:val="00162035"/>
    <w:rsid w:val="00162913"/>
    <w:rsid w:val="00163EFF"/>
    <w:rsid w:val="0016590D"/>
    <w:rsid w:val="00165D9E"/>
    <w:rsid w:val="00165E15"/>
    <w:rsid w:val="001661FB"/>
    <w:rsid w:val="00172435"/>
    <w:rsid w:val="00173020"/>
    <w:rsid w:val="00174C22"/>
    <w:rsid w:val="00174E9F"/>
    <w:rsid w:val="00175D0F"/>
    <w:rsid w:val="00177D37"/>
    <w:rsid w:val="00180642"/>
    <w:rsid w:val="00182B00"/>
    <w:rsid w:val="00182BF6"/>
    <w:rsid w:val="00190FB8"/>
    <w:rsid w:val="00193AAB"/>
    <w:rsid w:val="00194C8E"/>
    <w:rsid w:val="00195222"/>
    <w:rsid w:val="001971A6"/>
    <w:rsid w:val="001975D8"/>
    <w:rsid w:val="001A23CC"/>
    <w:rsid w:val="001A2F99"/>
    <w:rsid w:val="001A5A68"/>
    <w:rsid w:val="001B2D68"/>
    <w:rsid w:val="001B3443"/>
    <w:rsid w:val="001B6188"/>
    <w:rsid w:val="001B7668"/>
    <w:rsid w:val="001B7968"/>
    <w:rsid w:val="001B7FEB"/>
    <w:rsid w:val="001C1030"/>
    <w:rsid w:val="001C39F5"/>
    <w:rsid w:val="001C4262"/>
    <w:rsid w:val="001C48B3"/>
    <w:rsid w:val="001C615F"/>
    <w:rsid w:val="001C6E66"/>
    <w:rsid w:val="001C793C"/>
    <w:rsid w:val="001D112E"/>
    <w:rsid w:val="001D3375"/>
    <w:rsid w:val="001D4046"/>
    <w:rsid w:val="001D60C8"/>
    <w:rsid w:val="001D6C62"/>
    <w:rsid w:val="001D7AC2"/>
    <w:rsid w:val="001E238E"/>
    <w:rsid w:val="001E2489"/>
    <w:rsid w:val="001E4301"/>
    <w:rsid w:val="001E52EB"/>
    <w:rsid w:val="001E5D9B"/>
    <w:rsid w:val="001E740C"/>
    <w:rsid w:val="001F04C9"/>
    <w:rsid w:val="001F0984"/>
    <w:rsid w:val="001F1235"/>
    <w:rsid w:val="001F1430"/>
    <w:rsid w:val="001F1CB3"/>
    <w:rsid w:val="001F28F9"/>
    <w:rsid w:val="001F7361"/>
    <w:rsid w:val="0020138A"/>
    <w:rsid w:val="00201F49"/>
    <w:rsid w:val="0020244E"/>
    <w:rsid w:val="002025FE"/>
    <w:rsid w:val="00202AED"/>
    <w:rsid w:val="00204AA3"/>
    <w:rsid w:val="002105C1"/>
    <w:rsid w:val="00210793"/>
    <w:rsid w:val="002123F9"/>
    <w:rsid w:val="002131B7"/>
    <w:rsid w:val="00214D5D"/>
    <w:rsid w:val="002159C3"/>
    <w:rsid w:val="00216BCF"/>
    <w:rsid w:val="0022280B"/>
    <w:rsid w:val="0022325A"/>
    <w:rsid w:val="00223B49"/>
    <w:rsid w:val="00223E54"/>
    <w:rsid w:val="00224DD4"/>
    <w:rsid w:val="0022707B"/>
    <w:rsid w:val="002309CC"/>
    <w:rsid w:val="00236D8D"/>
    <w:rsid w:val="002405B5"/>
    <w:rsid w:val="00244439"/>
    <w:rsid w:val="0024610B"/>
    <w:rsid w:val="002461C7"/>
    <w:rsid w:val="00253524"/>
    <w:rsid w:val="0025534B"/>
    <w:rsid w:val="00255459"/>
    <w:rsid w:val="00255BB7"/>
    <w:rsid w:val="002570C5"/>
    <w:rsid w:val="0025735C"/>
    <w:rsid w:val="00262A87"/>
    <w:rsid w:val="002646C3"/>
    <w:rsid w:val="002657DA"/>
    <w:rsid w:val="00266FDA"/>
    <w:rsid w:val="00270455"/>
    <w:rsid w:val="002755BF"/>
    <w:rsid w:val="00275C5A"/>
    <w:rsid w:val="002765FF"/>
    <w:rsid w:val="00276842"/>
    <w:rsid w:val="0028085D"/>
    <w:rsid w:val="00281EC8"/>
    <w:rsid w:val="002852CA"/>
    <w:rsid w:val="00286CE2"/>
    <w:rsid w:val="002914B8"/>
    <w:rsid w:val="00291DCC"/>
    <w:rsid w:val="002924D8"/>
    <w:rsid w:val="002933EE"/>
    <w:rsid w:val="00295FF8"/>
    <w:rsid w:val="002973F9"/>
    <w:rsid w:val="002A14AB"/>
    <w:rsid w:val="002A21B4"/>
    <w:rsid w:val="002A2987"/>
    <w:rsid w:val="002A2E77"/>
    <w:rsid w:val="002A7061"/>
    <w:rsid w:val="002A7482"/>
    <w:rsid w:val="002A7617"/>
    <w:rsid w:val="002B1C1F"/>
    <w:rsid w:val="002B2CD7"/>
    <w:rsid w:val="002B432F"/>
    <w:rsid w:val="002B5134"/>
    <w:rsid w:val="002B6CCE"/>
    <w:rsid w:val="002C19C7"/>
    <w:rsid w:val="002C1A62"/>
    <w:rsid w:val="002C27C1"/>
    <w:rsid w:val="002C2995"/>
    <w:rsid w:val="002C4E6B"/>
    <w:rsid w:val="002C6142"/>
    <w:rsid w:val="002D1A4D"/>
    <w:rsid w:val="002D31BE"/>
    <w:rsid w:val="002D409D"/>
    <w:rsid w:val="002D4FF0"/>
    <w:rsid w:val="002D5980"/>
    <w:rsid w:val="002D5A30"/>
    <w:rsid w:val="002D7B75"/>
    <w:rsid w:val="002E18C6"/>
    <w:rsid w:val="002E26F8"/>
    <w:rsid w:val="002E318B"/>
    <w:rsid w:val="002E42AF"/>
    <w:rsid w:val="002E4383"/>
    <w:rsid w:val="002E4F70"/>
    <w:rsid w:val="002F1110"/>
    <w:rsid w:val="002F2ADB"/>
    <w:rsid w:val="002F5208"/>
    <w:rsid w:val="002F565E"/>
    <w:rsid w:val="00300994"/>
    <w:rsid w:val="00301017"/>
    <w:rsid w:val="00303397"/>
    <w:rsid w:val="00303C38"/>
    <w:rsid w:val="0030435B"/>
    <w:rsid w:val="00304617"/>
    <w:rsid w:val="0030706E"/>
    <w:rsid w:val="0030786C"/>
    <w:rsid w:val="0031031A"/>
    <w:rsid w:val="00312F64"/>
    <w:rsid w:val="00315498"/>
    <w:rsid w:val="0031708F"/>
    <w:rsid w:val="003172FC"/>
    <w:rsid w:val="00321137"/>
    <w:rsid w:val="00323C92"/>
    <w:rsid w:val="003247A8"/>
    <w:rsid w:val="00327B2C"/>
    <w:rsid w:val="00334172"/>
    <w:rsid w:val="00336436"/>
    <w:rsid w:val="003366C9"/>
    <w:rsid w:val="003367F9"/>
    <w:rsid w:val="003434BE"/>
    <w:rsid w:val="00343B13"/>
    <w:rsid w:val="003541B4"/>
    <w:rsid w:val="003547F0"/>
    <w:rsid w:val="0035620E"/>
    <w:rsid w:val="00357FFC"/>
    <w:rsid w:val="00362F80"/>
    <w:rsid w:val="00366517"/>
    <w:rsid w:val="003669A5"/>
    <w:rsid w:val="003723A0"/>
    <w:rsid w:val="00373D90"/>
    <w:rsid w:val="00374B8B"/>
    <w:rsid w:val="0038164C"/>
    <w:rsid w:val="0038365C"/>
    <w:rsid w:val="00383CE6"/>
    <w:rsid w:val="003851B6"/>
    <w:rsid w:val="00385E43"/>
    <w:rsid w:val="00393516"/>
    <w:rsid w:val="00393F75"/>
    <w:rsid w:val="003957D1"/>
    <w:rsid w:val="00396FD0"/>
    <w:rsid w:val="003A1966"/>
    <w:rsid w:val="003A1A63"/>
    <w:rsid w:val="003A1A7A"/>
    <w:rsid w:val="003A29BA"/>
    <w:rsid w:val="003A2C74"/>
    <w:rsid w:val="003A4AD4"/>
    <w:rsid w:val="003A5055"/>
    <w:rsid w:val="003A5C09"/>
    <w:rsid w:val="003A7349"/>
    <w:rsid w:val="003A7BA6"/>
    <w:rsid w:val="003B23C7"/>
    <w:rsid w:val="003B243B"/>
    <w:rsid w:val="003B290B"/>
    <w:rsid w:val="003B4E81"/>
    <w:rsid w:val="003B652E"/>
    <w:rsid w:val="003B779A"/>
    <w:rsid w:val="003C79BD"/>
    <w:rsid w:val="003D0BAD"/>
    <w:rsid w:val="003D1828"/>
    <w:rsid w:val="003D23B2"/>
    <w:rsid w:val="003D2422"/>
    <w:rsid w:val="003D34D8"/>
    <w:rsid w:val="003D3783"/>
    <w:rsid w:val="003D3822"/>
    <w:rsid w:val="003E0752"/>
    <w:rsid w:val="003E0C9B"/>
    <w:rsid w:val="003E0ED5"/>
    <w:rsid w:val="003E198F"/>
    <w:rsid w:val="003E1DE6"/>
    <w:rsid w:val="003E2F25"/>
    <w:rsid w:val="003E5505"/>
    <w:rsid w:val="003E775A"/>
    <w:rsid w:val="003F4156"/>
    <w:rsid w:val="003F6965"/>
    <w:rsid w:val="00400227"/>
    <w:rsid w:val="00401152"/>
    <w:rsid w:val="00404A43"/>
    <w:rsid w:val="004058DC"/>
    <w:rsid w:val="004069E8"/>
    <w:rsid w:val="004102AF"/>
    <w:rsid w:val="00410B2F"/>
    <w:rsid w:val="00410EC7"/>
    <w:rsid w:val="00414476"/>
    <w:rsid w:val="00416F40"/>
    <w:rsid w:val="00417CDC"/>
    <w:rsid w:val="00420B9F"/>
    <w:rsid w:val="00421118"/>
    <w:rsid w:val="004224F3"/>
    <w:rsid w:val="00425CB2"/>
    <w:rsid w:val="00426F8C"/>
    <w:rsid w:val="00427898"/>
    <w:rsid w:val="004319F8"/>
    <w:rsid w:val="00434926"/>
    <w:rsid w:val="004405B7"/>
    <w:rsid w:val="004406D2"/>
    <w:rsid w:val="00444088"/>
    <w:rsid w:val="004443A7"/>
    <w:rsid w:val="00446414"/>
    <w:rsid w:val="004464EB"/>
    <w:rsid w:val="004469F1"/>
    <w:rsid w:val="00447EC0"/>
    <w:rsid w:val="0045389C"/>
    <w:rsid w:val="00455368"/>
    <w:rsid w:val="00455445"/>
    <w:rsid w:val="00455D45"/>
    <w:rsid w:val="00460525"/>
    <w:rsid w:val="00461880"/>
    <w:rsid w:val="0046340F"/>
    <w:rsid w:val="00464595"/>
    <w:rsid w:val="00464C14"/>
    <w:rsid w:val="0046522D"/>
    <w:rsid w:val="004658C2"/>
    <w:rsid w:val="0046591A"/>
    <w:rsid w:val="00466470"/>
    <w:rsid w:val="00472359"/>
    <w:rsid w:val="0047456A"/>
    <w:rsid w:val="00481172"/>
    <w:rsid w:val="004867E2"/>
    <w:rsid w:val="00486F2A"/>
    <w:rsid w:val="004919B2"/>
    <w:rsid w:val="00491B3A"/>
    <w:rsid w:val="00492FC6"/>
    <w:rsid w:val="004937F7"/>
    <w:rsid w:val="00493981"/>
    <w:rsid w:val="004969EB"/>
    <w:rsid w:val="00497F10"/>
    <w:rsid w:val="00497FA2"/>
    <w:rsid w:val="004A017C"/>
    <w:rsid w:val="004A0DA1"/>
    <w:rsid w:val="004A1CC6"/>
    <w:rsid w:val="004A2028"/>
    <w:rsid w:val="004A42F2"/>
    <w:rsid w:val="004A6597"/>
    <w:rsid w:val="004A6CD2"/>
    <w:rsid w:val="004A7338"/>
    <w:rsid w:val="004A7EF7"/>
    <w:rsid w:val="004B17F9"/>
    <w:rsid w:val="004B1FE7"/>
    <w:rsid w:val="004B23EE"/>
    <w:rsid w:val="004B2F18"/>
    <w:rsid w:val="004B3DDB"/>
    <w:rsid w:val="004B44FD"/>
    <w:rsid w:val="004B5CFC"/>
    <w:rsid w:val="004C2AD3"/>
    <w:rsid w:val="004C388D"/>
    <w:rsid w:val="004C3B12"/>
    <w:rsid w:val="004C4882"/>
    <w:rsid w:val="004C4AED"/>
    <w:rsid w:val="004D207E"/>
    <w:rsid w:val="004D3D48"/>
    <w:rsid w:val="004D60E1"/>
    <w:rsid w:val="004D70DE"/>
    <w:rsid w:val="004E0EB8"/>
    <w:rsid w:val="004E2ADC"/>
    <w:rsid w:val="004E5894"/>
    <w:rsid w:val="004E5A15"/>
    <w:rsid w:val="004E6535"/>
    <w:rsid w:val="004F1D02"/>
    <w:rsid w:val="004F2679"/>
    <w:rsid w:val="004F3FD1"/>
    <w:rsid w:val="004F6265"/>
    <w:rsid w:val="004F73E2"/>
    <w:rsid w:val="0050047A"/>
    <w:rsid w:val="005008B7"/>
    <w:rsid w:val="00502EA4"/>
    <w:rsid w:val="00506E16"/>
    <w:rsid w:val="00510BDC"/>
    <w:rsid w:val="00511431"/>
    <w:rsid w:val="00511BB9"/>
    <w:rsid w:val="00512013"/>
    <w:rsid w:val="0051218B"/>
    <w:rsid w:val="0051492B"/>
    <w:rsid w:val="005152B5"/>
    <w:rsid w:val="00515A91"/>
    <w:rsid w:val="00521319"/>
    <w:rsid w:val="00522D1C"/>
    <w:rsid w:val="00523681"/>
    <w:rsid w:val="00523C28"/>
    <w:rsid w:val="00524375"/>
    <w:rsid w:val="005274BF"/>
    <w:rsid w:val="00531AA7"/>
    <w:rsid w:val="0053666C"/>
    <w:rsid w:val="00540F9E"/>
    <w:rsid w:val="005436AB"/>
    <w:rsid w:val="00544D1E"/>
    <w:rsid w:val="005459F5"/>
    <w:rsid w:val="00545FEF"/>
    <w:rsid w:val="00555109"/>
    <w:rsid w:val="005553C1"/>
    <w:rsid w:val="005577DC"/>
    <w:rsid w:val="00561FF7"/>
    <w:rsid w:val="0056276A"/>
    <w:rsid w:val="00563C01"/>
    <w:rsid w:val="0056658C"/>
    <w:rsid w:val="0056696F"/>
    <w:rsid w:val="005735F4"/>
    <w:rsid w:val="005743FB"/>
    <w:rsid w:val="00576972"/>
    <w:rsid w:val="00577411"/>
    <w:rsid w:val="00577717"/>
    <w:rsid w:val="00577D9C"/>
    <w:rsid w:val="005801E9"/>
    <w:rsid w:val="00583699"/>
    <w:rsid w:val="00586AAD"/>
    <w:rsid w:val="005913E8"/>
    <w:rsid w:val="00592B6B"/>
    <w:rsid w:val="00593DC0"/>
    <w:rsid w:val="005953DD"/>
    <w:rsid w:val="00597587"/>
    <w:rsid w:val="005A7409"/>
    <w:rsid w:val="005B0F23"/>
    <w:rsid w:val="005B24DA"/>
    <w:rsid w:val="005B5857"/>
    <w:rsid w:val="005C1B83"/>
    <w:rsid w:val="005C346B"/>
    <w:rsid w:val="005C4238"/>
    <w:rsid w:val="005C489B"/>
    <w:rsid w:val="005C5B0E"/>
    <w:rsid w:val="005C69D0"/>
    <w:rsid w:val="005C799E"/>
    <w:rsid w:val="005C7FFC"/>
    <w:rsid w:val="005D18AD"/>
    <w:rsid w:val="005D254A"/>
    <w:rsid w:val="005D3E7C"/>
    <w:rsid w:val="005D7E3E"/>
    <w:rsid w:val="005E3213"/>
    <w:rsid w:val="005F15A3"/>
    <w:rsid w:val="005F1B96"/>
    <w:rsid w:val="005F2706"/>
    <w:rsid w:val="005F42B8"/>
    <w:rsid w:val="005F6A8F"/>
    <w:rsid w:val="005F6E78"/>
    <w:rsid w:val="00601937"/>
    <w:rsid w:val="0060271A"/>
    <w:rsid w:val="00602883"/>
    <w:rsid w:val="00602BED"/>
    <w:rsid w:val="00606ACF"/>
    <w:rsid w:val="00607669"/>
    <w:rsid w:val="00607777"/>
    <w:rsid w:val="00612F97"/>
    <w:rsid w:val="00616802"/>
    <w:rsid w:val="00617E12"/>
    <w:rsid w:val="00620486"/>
    <w:rsid w:val="0062097F"/>
    <w:rsid w:val="00621477"/>
    <w:rsid w:val="00624A60"/>
    <w:rsid w:val="00624B0D"/>
    <w:rsid w:val="0062521B"/>
    <w:rsid w:val="00625523"/>
    <w:rsid w:val="00625D30"/>
    <w:rsid w:val="00625E55"/>
    <w:rsid w:val="00626ACF"/>
    <w:rsid w:val="00626D56"/>
    <w:rsid w:val="006278E2"/>
    <w:rsid w:val="00631D6B"/>
    <w:rsid w:val="006342CA"/>
    <w:rsid w:val="0063479F"/>
    <w:rsid w:val="00635297"/>
    <w:rsid w:val="00636258"/>
    <w:rsid w:val="006364A1"/>
    <w:rsid w:val="00637BFD"/>
    <w:rsid w:val="0064072D"/>
    <w:rsid w:val="006447DF"/>
    <w:rsid w:val="00645C0B"/>
    <w:rsid w:val="0064649D"/>
    <w:rsid w:val="006471CC"/>
    <w:rsid w:val="0065079F"/>
    <w:rsid w:val="00651CF9"/>
    <w:rsid w:val="006531DC"/>
    <w:rsid w:val="00654513"/>
    <w:rsid w:val="00654C0F"/>
    <w:rsid w:val="00661B6A"/>
    <w:rsid w:val="00664E1B"/>
    <w:rsid w:val="0066681A"/>
    <w:rsid w:val="00673482"/>
    <w:rsid w:val="00674E42"/>
    <w:rsid w:val="00676D48"/>
    <w:rsid w:val="006771BF"/>
    <w:rsid w:val="00682112"/>
    <w:rsid w:val="00686F94"/>
    <w:rsid w:val="00690AF9"/>
    <w:rsid w:val="00694F44"/>
    <w:rsid w:val="00697D48"/>
    <w:rsid w:val="006A55B2"/>
    <w:rsid w:val="006A5FC6"/>
    <w:rsid w:val="006A7EF7"/>
    <w:rsid w:val="006B17C3"/>
    <w:rsid w:val="006B1E95"/>
    <w:rsid w:val="006B3C83"/>
    <w:rsid w:val="006B424E"/>
    <w:rsid w:val="006B4808"/>
    <w:rsid w:val="006C037E"/>
    <w:rsid w:val="006C08D9"/>
    <w:rsid w:val="006C0C75"/>
    <w:rsid w:val="006C10CC"/>
    <w:rsid w:val="006C1CC2"/>
    <w:rsid w:val="006C26E7"/>
    <w:rsid w:val="006C2901"/>
    <w:rsid w:val="006C2A8E"/>
    <w:rsid w:val="006C7BB7"/>
    <w:rsid w:val="006D006F"/>
    <w:rsid w:val="006D03C7"/>
    <w:rsid w:val="006D1F0B"/>
    <w:rsid w:val="006D3C7D"/>
    <w:rsid w:val="006D67AD"/>
    <w:rsid w:val="006D6BFD"/>
    <w:rsid w:val="006E0564"/>
    <w:rsid w:val="006E0C70"/>
    <w:rsid w:val="006E0F8D"/>
    <w:rsid w:val="006E2EDF"/>
    <w:rsid w:val="006E42FA"/>
    <w:rsid w:val="006F043A"/>
    <w:rsid w:val="006F0CBD"/>
    <w:rsid w:val="006F24FF"/>
    <w:rsid w:val="006F2A35"/>
    <w:rsid w:val="006F4541"/>
    <w:rsid w:val="006F63A5"/>
    <w:rsid w:val="0070276E"/>
    <w:rsid w:val="00703FEA"/>
    <w:rsid w:val="00711A36"/>
    <w:rsid w:val="00713688"/>
    <w:rsid w:val="00713F8F"/>
    <w:rsid w:val="00716C84"/>
    <w:rsid w:val="007172AD"/>
    <w:rsid w:val="007214BF"/>
    <w:rsid w:val="0072559E"/>
    <w:rsid w:val="007265FB"/>
    <w:rsid w:val="00727AD2"/>
    <w:rsid w:val="00730024"/>
    <w:rsid w:val="007302AE"/>
    <w:rsid w:val="0073127E"/>
    <w:rsid w:val="0073196C"/>
    <w:rsid w:val="007323DC"/>
    <w:rsid w:val="00732FD0"/>
    <w:rsid w:val="007336BB"/>
    <w:rsid w:val="00733F6D"/>
    <w:rsid w:val="00734858"/>
    <w:rsid w:val="00735328"/>
    <w:rsid w:val="0073685B"/>
    <w:rsid w:val="0073768F"/>
    <w:rsid w:val="0074220C"/>
    <w:rsid w:val="007474AD"/>
    <w:rsid w:val="0075086C"/>
    <w:rsid w:val="0075086D"/>
    <w:rsid w:val="007520A1"/>
    <w:rsid w:val="00752B04"/>
    <w:rsid w:val="00752C1E"/>
    <w:rsid w:val="007537E3"/>
    <w:rsid w:val="00755004"/>
    <w:rsid w:val="007566B1"/>
    <w:rsid w:val="007569E8"/>
    <w:rsid w:val="00761CAF"/>
    <w:rsid w:val="00762CE8"/>
    <w:rsid w:val="00764ACC"/>
    <w:rsid w:val="00773C3A"/>
    <w:rsid w:val="00781738"/>
    <w:rsid w:val="00782257"/>
    <w:rsid w:val="00783224"/>
    <w:rsid w:val="007836CB"/>
    <w:rsid w:val="0079054F"/>
    <w:rsid w:val="00791E31"/>
    <w:rsid w:val="00795E11"/>
    <w:rsid w:val="00795F46"/>
    <w:rsid w:val="00797374"/>
    <w:rsid w:val="00797642"/>
    <w:rsid w:val="007A2489"/>
    <w:rsid w:val="007A30D5"/>
    <w:rsid w:val="007A6278"/>
    <w:rsid w:val="007A7A03"/>
    <w:rsid w:val="007B1961"/>
    <w:rsid w:val="007B251D"/>
    <w:rsid w:val="007B40E0"/>
    <w:rsid w:val="007B4518"/>
    <w:rsid w:val="007B77D1"/>
    <w:rsid w:val="007B781F"/>
    <w:rsid w:val="007B7B28"/>
    <w:rsid w:val="007C53DA"/>
    <w:rsid w:val="007C6051"/>
    <w:rsid w:val="007C65FA"/>
    <w:rsid w:val="007C6DF5"/>
    <w:rsid w:val="007D0B38"/>
    <w:rsid w:val="007D2358"/>
    <w:rsid w:val="007D42DD"/>
    <w:rsid w:val="007D4E15"/>
    <w:rsid w:val="007D5EA0"/>
    <w:rsid w:val="007E2080"/>
    <w:rsid w:val="007E27D4"/>
    <w:rsid w:val="007E2FE9"/>
    <w:rsid w:val="007E38C8"/>
    <w:rsid w:val="007E51AB"/>
    <w:rsid w:val="007E578B"/>
    <w:rsid w:val="007E59C8"/>
    <w:rsid w:val="007F1017"/>
    <w:rsid w:val="007F4A3F"/>
    <w:rsid w:val="007F7D6E"/>
    <w:rsid w:val="008009D9"/>
    <w:rsid w:val="008011E6"/>
    <w:rsid w:val="008014A2"/>
    <w:rsid w:val="00801856"/>
    <w:rsid w:val="008043B9"/>
    <w:rsid w:val="00805142"/>
    <w:rsid w:val="00807A8B"/>
    <w:rsid w:val="00811243"/>
    <w:rsid w:val="00811DB3"/>
    <w:rsid w:val="00812149"/>
    <w:rsid w:val="0081452A"/>
    <w:rsid w:val="00815CBA"/>
    <w:rsid w:val="008166EF"/>
    <w:rsid w:val="00820070"/>
    <w:rsid w:val="00822134"/>
    <w:rsid w:val="00822D06"/>
    <w:rsid w:val="00824D8D"/>
    <w:rsid w:val="0082637A"/>
    <w:rsid w:val="008264EB"/>
    <w:rsid w:val="00827DD3"/>
    <w:rsid w:val="00830D84"/>
    <w:rsid w:val="00831FDA"/>
    <w:rsid w:val="008345FD"/>
    <w:rsid w:val="00834C89"/>
    <w:rsid w:val="00837FB5"/>
    <w:rsid w:val="008407A9"/>
    <w:rsid w:val="00840CA2"/>
    <w:rsid w:val="008512ED"/>
    <w:rsid w:val="00852B58"/>
    <w:rsid w:val="00852F93"/>
    <w:rsid w:val="00854288"/>
    <w:rsid w:val="0085585D"/>
    <w:rsid w:val="008566F9"/>
    <w:rsid w:val="008569E6"/>
    <w:rsid w:val="00856E9A"/>
    <w:rsid w:val="00860819"/>
    <w:rsid w:val="00870B73"/>
    <w:rsid w:val="00875097"/>
    <w:rsid w:val="00882874"/>
    <w:rsid w:val="00882C80"/>
    <w:rsid w:val="00882CC7"/>
    <w:rsid w:val="00883787"/>
    <w:rsid w:val="00886DD8"/>
    <w:rsid w:val="008933A6"/>
    <w:rsid w:val="008957EA"/>
    <w:rsid w:val="008963A5"/>
    <w:rsid w:val="008972BE"/>
    <w:rsid w:val="00897D96"/>
    <w:rsid w:val="008A1D76"/>
    <w:rsid w:val="008A3C3E"/>
    <w:rsid w:val="008A6A0C"/>
    <w:rsid w:val="008A79CC"/>
    <w:rsid w:val="008A79DE"/>
    <w:rsid w:val="008B01DA"/>
    <w:rsid w:val="008B0F01"/>
    <w:rsid w:val="008B143B"/>
    <w:rsid w:val="008B1E40"/>
    <w:rsid w:val="008B7D7E"/>
    <w:rsid w:val="008C1660"/>
    <w:rsid w:val="008C2EE3"/>
    <w:rsid w:val="008C2EEF"/>
    <w:rsid w:val="008C4CAE"/>
    <w:rsid w:val="008C6047"/>
    <w:rsid w:val="008C7ECB"/>
    <w:rsid w:val="008D4584"/>
    <w:rsid w:val="008D5862"/>
    <w:rsid w:val="008E1B9E"/>
    <w:rsid w:val="008E2364"/>
    <w:rsid w:val="008E572B"/>
    <w:rsid w:val="008E6E2A"/>
    <w:rsid w:val="008F029A"/>
    <w:rsid w:val="008F09D2"/>
    <w:rsid w:val="008F45A5"/>
    <w:rsid w:val="008F48EB"/>
    <w:rsid w:val="008F4F0B"/>
    <w:rsid w:val="008F7540"/>
    <w:rsid w:val="00900AA7"/>
    <w:rsid w:val="009053FB"/>
    <w:rsid w:val="00906173"/>
    <w:rsid w:val="009062A5"/>
    <w:rsid w:val="009068B8"/>
    <w:rsid w:val="0091001E"/>
    <w:rsid w:val="00910870"/>
    <w:rsid w:val="00911272"/>
    <w:rsid w:val="00913016"/>
    <w:rsid w:val="00921BBD"/>
    <w:rsid w:val="00925390"/>
    <w:rsid w:val="00927135"/>
    <w:rsid w:val="00930654"/>
    <w:rsid w:val="00930779"/>
    <w:rsid w:val="009411EF"/>
    <w:rsid w:val="009418BE"/>
    <w:rsid w:val="00943304"/>
    <w:rsid w:val="009460EB"/>
    <w:rsid w:val="009507E2"/>
    <w:rsid w:val="00951E6F"/>
    <w:rsid w:val="009526C0"/>
    <w:rsid w:val="00952872"/>
    <w:rsid w:val="00961AF9"/>
    <w:rsid w:val="00962CB9"/>
    <w:rsid w:val="00964312"/>
    <w:rsid w:val="009701AF"/>
    <w:rsid w:val="009709CA"/>
    <w:rsid w:val="00974340"/>
    <w:rsid w:val="0097770C"/>
    <w:rsid w:val="0098002F"/>
    <w:rsid w:val="009821BE"/>
    <w:rsid w:val="00983A46"/>
    <w:rsid w:val="00983E57"/>
    <w:rsid w:val="00994CEB"/>
    <w:rsid w:val="00996B1A"/>
    <w:rsid w:val="009A18F8"/>
    <w:rsid w:val="009A2303"/>
    <w:rsid w:val="009A3A9F"/>
    <w:rsid w:val="009A3E9E"/>
    <w:rsid w:val="009A434B"/>
    <w:rsid w:val="009A71D3"/>
    <w:rsid w:val="009B019D"/>
    <w:rsid w:val="009B3432"/>
    <w:rsid w:val="009B38C8"/>
    <w:rsid w:val="009B3E26"/>
    <w:rsid w:val="009C1F6F"/>
    <w:rsid w:val="009D12AC"/>
    <w:rsid w:val="009D5B91"/>
    <w:rsid w:val="009D5F41"/>
    <w:rsid w:val="009D72C7"/>
    <w:rsid w:val="009E2193"/>
    <w:rsid w:val="009E24A7"/>
    <w:rsid w:val="009E30BB"/>
    <w:rsid w:val="009E4C07"/>
    <w:rsid w:val="009E6283"/>
    <w:rsid w:val="009F463A"/>
    <w:rsid w:val="009F7D18"/>
    <w:rsid w:val="009F7D22"/>
    <w:rsid w:val="00A00B78"/>
    <w:rsid w:val="00A03D43"/>
    <w:rsid w:val="00A04380"/>
    <w:rsid w:val="00A052F7"/>
    <w:rsid w:val="00A054E2"/>
    <w:rsid w:val="00A05A5E"/>
    <w:rsid w:val="00A078D9"/>
    <w:rsid w:val="00A132FE"/>
    <w:rsid w:val="00A13948"/>
    <w:rsid w:val="00A1420A"/>
    <w:rsid w:val="00A15B83"/>
    <w:rsid w:val="00A161F6"/>
    <w:rsid w:val="00A27AEC"/>
    <w:rsid w:val="00A27D9E"/>
    <w:rsid w:val="00A30F90"/>
    <w:rsid w:val="00A355E1"/>
    <w:rsid w:val="00A35D16"/>
    <w:rsid w:val="00A373F8"/>
    <w:rsid w:val="00A37ACE"/>
    <w:rsid w:val="00A41364"/>
    <w:rsid w:val="00A4282D"/>
    <w:rsid w:val="00A43C59"/>
    <w:rsid w:val="00A43EBC"/>
    <w:rsid w:val="00A44B4F"/>
    <w:rsid w:val="00A45232"/>
    <w:rsid w:val="00A46107"/>
    <w:rsid w:val="00A46DF1"/>
    <w:rsid w:val="00A50ECD"/>
    <w:rsid w:val="00A51E8A"/>
    <w:rsid w:val="00A52729"/>
    <w:rsid w:val="00A53675"/>
    <w:rsid w:val="00A56B6A"/>
    <w:rsid w:val="00A578DC"/>
    <w:rsid w:val="00A602DD"/>
    <w:rsid w:val="00A60C56"/>
    <w:rsid w:val="00A65474"/>
    <w:rsid w:val="00A661A1"/>
    <w:rsid w:val="00A66249"/>
    <w:rsid w:val="00A6725B"/>
    <w:rsid w:val="00A706EB"/>
    <w:rsid w:val="00A72882"/>
    <w:rsid w:val="00A73829"/>
    <w:rsid w:val="00A74FC7"/>
    <w:rsid w:val="00A84F93"/>
    <w:rsid w:val="00A85725"/>
    <w:rsid w:val="00A85815"/>
    <w:rsid w:val="00A86E8B"/>
    <w:rsid w:val="00A90A65"/>
    <w:rsid w:val="00A9153E"/>
    <w:rsid w:val="00A93072"/>
    <w:rsid w:val="00A95D4F"/>
    <w:rsid w:val="00A96030"/>
    <w:rsid w:val="00A96F0C"/>
    <w:rsid w:val="00AA0A07"/>
    <w:rsid w:val="00AA29F3"/>
    <w:rsid w:val="00AB042A"/>
    <w:rsid w:val="00AB0DCC"/>
    <w:rsid w:val="00AB1943"/>
    <w:rsid w:val="00AB3430"/>
    <w:rsid w:val="00AB4D37"/>
    <w:rsid w:val="00AB644A"/>
    <w:rsid w:val="00AB67AD"/>
    <w:rsid w:val="00AB6A64"/>
    <w:rsid w:val="00AB70B8"/>
    <w:rsid w:val="00AB7CFA"/>
    <w:rsid w:val="00AC16F8"/>
    <w:rsid w:val="00AC39D9"/>
    <w:rsid w:val="00AC4927"/>
    <w:rsid w:val="00AC786E"/>
    <w:rsid w:val="00AD0F29"/>
    <w:rsid w:val="00AD1188"/>
    <w:rsid w:val="00AD2684"/>
    <w:rsid w:val="00AD507D"/>
    <w:rsid w:val="00AD5756"/>
    <w:rsid w:val="00AD78D1"/>
    <w:rsid w:val="00AE1B80"/>
    <w:rsid w:val="00AE6B59"/>
    <w:rsid w:val="00AF7F58"/>
    <w:rsid w:val="00B018F9"/>
    <w:rsid w:val="00B01A0C"/>
    <w:rsid w:val="00B070D5"/>
    <w:rsid w:val="00B10D83"/>
    <w:rsid w:val="00B209DA"/>
    <w:rsid w:val="00B20F4C"/>
    <w:rsid w:val="00B23029"/>
    <w:rsid w:val="00B24353"/>
    <w:rsid w:val="00B243A4"/>
    <w:rsid w:val="00B27E8E"/>
    <w:rsid w:val="00B317ED"/>
    <w:rsid w:val="00B32CD3"/>
    <w:rsid w:val="00B378D4"/>
    <w:rsid w:val="00B37CBF"/>
    <w:rsid w:val="00B4137A"/>
    <w:rsid w:val="00B42121"/>
    <w:rsid w:val="00B42851"/>
    <w:rsid w:val="00B440D9"/>
    <w:rsid w:val="00B458E6"/>
    <w:rsid w:val="00B4737C"/>
    <w:rsid w:val="00B50B76"/>
    <w:rsid w:val="00B5389E"/>
    <w:rsid w:val="00B54B5B"/>
    <w:rsid w:val="00B5562E"/>
    <w:rsid w:val="00B569C3"/>
    <w:rsid w:val="00B57000"/>
    <w:rsid w:val="00B57455"/>
    <w:rsid w:val="00B608CF"/>
    <w:rsid w:val="00B60939"/>
    <w:rsid w:val="00B60AFD"/>
    <w:rsid w:val="00B61A4C"/>
    <w:rsid w:val="00B62681"/>
    <w:rsid w:val="00B62715"/>
    <w:rsid w:val="00B62EB3"/>
    <w:rsid w:val="00B660BE"/>
    <w:rsid w:val="00B71375"/>
    <w:rsid w:val="00B71511"/>
    <w:rsid w:val="00B72C99"/>
    <w:rsid w:val="00B72FC7"/>
    <w:rsid w:val="00B73051"/>
    <w:rsid w:val="00B74DA6"/>
    <w:rsid w:val="00B76D08"/>
    <w:rsid w:val="00B77A3A"/>
    <w:rsid w:val="00B818A4"/>
    <w:rsid w:val="00B8231F"/>
    <w:rsid w:val="00B8649C"/>
    <w:rsid w:val="00B86998"/>
    <w:rsid w:val="00B9037B"/>
    <w:rsid w:val="00B907A3"/>
    <w:rsid w:val="00B92D0B"/>
    <w:rsid w:val="00B94945"/>
    <w:rsid w:val="00B97398"/>
    <w:rsid w:val="00BA269D"/>
    <w:rsid w:val="00BA6EB5"/>
    <w:rsid w:val="00BB01DD"/>
    <w:rsid w:val="00BB1111"/>
    <w:rsid w:val="00BB2BAD"/>
    <w:rsid w:val="00BB4672"/>
    <w:rsid w:val="00BB762A"/>
    <w:rsid w:val="00BC15BF"/>
    <w:rsid w:val="00BD01E9"/>
    <w:rsid w:val="00BD2B20"/>
    <w:rsid w:val="00BD32EC"/>
    <w:rsid w:val="00BD4331"/>
    <w:rsid w:val="00BD6687"/>
    <w:rsid w:val="00BD6916"/>
    <w:rsid w:val="00BD750A"/>
    <w:rsid w:val="00BE10B1"/>
    <w:rsid w:val="00BE2180"/>
    <w:rsid w:val="00BE4275"/>
    <w:rsid w:val="00BE53B2"/>
    <w:rsid w:val="00BE569B"/>
    <w:rsid w:val="00BE5B22"/>
    <w:rsid w:val="00BF07EA"/>
    <w:rsid w:val="00BF0EB3"/>
    <w:rsid w:val="00BF23ED"/>
    <w:rsid w:val="00BF2433"/>
    <w:rsid w:val="00BF2B30"/>
    <w:rsid w:val="00BF61C9"/>
    <w:rsid w:val="00BF63B5"/>
    <w:rsid w:val="00BF7473"/>
    <w:rsid w:val="00C0108C"/>
    <w:rsid w:val="00C01188"/>
    <w:rsid w:val="00C024F7"/>
    <w:rsid w:val="00C03C4E"/>
    <w:rsid w:val="00C0431C"/>
    <w:rsid w:val="00C05722"/>
    <w:rsid w:val="00C06A9B"/>
    <w:rsid w:val="00C1324D"/>
    <w:rsid w:val="00C15844"/>
    <w:rsid w:val="00C2366B"/>
    <w:rsid w:val="00C23864"/>
    <w:rsid w:val="00C24C71"/>
    <w:rsid w:val="00C25418"/>
    <w:rsid w:val="00C25D9C"/>
    <w:rsid w:val="00C26418"/>
    <w:rsid w:val="00C31649"/>
    <w:rsid w:val="00C32B97"/>
    <w:rsid w:val="00C40385"/>
    <w:rsid w:val="00C41B91"/>
    <w:rsid w:val="00C4578A"/>
    <w:rsid w:val="00C46598"/>
    <w:rsid w:val="00C46696"/>
    <w:rsid w:val="00C4723B"/>
    <w:rsid w:val="00C5024F"/>
    <w:rsid w:val="00C530F5"/>
    <w:rsid w:val="00C61129"/>
    <w:rsid w:val="00C61561"/>
    <w:rsid w:val="00C636A3"/>
    <w:rsid w:val="00C64045"/>
    <w:rsid w:val="00C64361"/>
    <w:rsid w:val="00C64402"/>
    <w:rsid w:val="00C65576"/>
    <w:rsid w:val="00C66165"/>
    <w:rsid w:val="00C714B3"/>
    <w:rsid w:val="00C71758"/>
    <w:rsid w:val="00C7441D"/>
    <w:rsid w:val="00C75CD1"/>
    <w:rsid w:val="00C8022B"/>
    <w:rsid w:val="00C8213F"/>
    <w:rsid w:val="00C841CF"/>
    <w:rsid w:val="00C85800"/>
    <w:rsid w:val="00C86108"/>
    <w:rsid w:val="00C8621E"/>
    <w:rsid w:val="00C86FDE"/>
    <w:rsid w:val="00C87053"/>
    <w:rsid w:val="00C8797A"/>
    <w:rsid w:val="00C9140F"/>
    <w:rsid w:val="00C938CF"/>
    <w:rsid w:val="00C9569E"/>
    <w:rsid w:val="00CA01F0"/>
    <w:rsid w:val="00CA028E"/>
    <w:rsid w:val="00CA4BF8"/>
    <w:rsid w:val="00CA5245"/>
    <w:rsid w:val="00CA6786"/>
    <w:rsid w:val="00CA7B09"/>
    <w:rsid w:val="00CB0781"/>
    <w:rsid w:val="00CB1C02"/>
    <w:rsid w:val="00CB2C9D"/>
    <w:rsid w:val="00CB47A5"/>
    <w:rsid w:val="00CB5B1A"/>
    <w:rsid w:val="00CC1A89"/>
    <w:rsid w:val="00CC238E"/>
    <w:rsid w:val="00CC39A9"/>
    <w:rsid w:val="00CC3C7C"/>
    <w:rsid w:val="00CC65E9"/>
    <w:rsid w:val="00CC68E5"/>
    <w:rsid w:val="00CC7195"/>
    <w:rsid w:val="00CD0A00"/>
    <w:rsid w:val="00CD0C1F"/>
    <w:rsid w:val="00CD1177"/>
    <w:rsid w:val="00CD2168"/>
    <w:rsid w:val="00CD26A6"/>
    <w:rsid w:val="00CD40A9"/>
    <w:rsid w:val="00CD5909"/>
    <w:rsid w:val="00CD5C70"/>
    <w:rsid w:val="00CD6565"/>
    <w:rsid w:val="00CD6ADC"/>
    <w:rsid w:val="00CE2C88"/>
    <w:rsid w:val="00CE6274"/>
    <w:rsid w:val="00CF0ECA"/>
    <w:rsid w:val="00CF1544"/>
    <w:rsid w:val="00CF3782"/>
    <w:rsid w:val="00CF3F8A"/>
    <w:rsid w:val="00CF456B"/>
    <w:rsid w:val="00CF5A22"/>
    <w:rsid w:val="00CF61AF"/>
    <w:rsid w:val="00D00549"/>
    <w:rsid w:val="00D01F53"/>
    <w:rsid w:val="00D0262E"/>
    <w:rsid w:val="00D033A0"/>
    <w:rsid w:val="00D04C42"/>
    <w:rsid w:val="00D06FD4"/>
    <w:rsid w:val="00D07AD9"/>
    <w:rsid w:val="00D110BD"/>
    <w:rsid w:val="00D123A1"/>
    <w:rsid w:val="00D12AF5"/>
    <w:rsid w:val="00D13E4D"/>
    <w:rsid w:val="00D1435A"/>
    <w:rsid w:val="00D14D0C"/>
    <w:rsid w:val="00D171BF"/>
    <w:rsid w:val="00D17CCC"/>
    <w:rsid w:val="00D17D6C"/>
    <w:rsid w:val="00D21A68"/>
    <w:rsid w:val="00D232AD"/>
    <w:rsid w:val="00D2634C"/>
    <w:rsid w:val="00D2680B"/>
    <w:rsid w:val="00D306BE"/>
    <w:rsid w:val="00D30C05"/>
    <w:rsid w:val="00D30FF3"/>
    <w:rsid w:val="00D31FBF"/>
    <w:rsid w:val="00D350C5"/>
    <w:rsid w:val="00D371CF"/>
    <w:rsid w:val="00D374E9"/>
    <w:rsid w:val="00D40DA2"/>
    <w:rsid w:val="00D427BA"/>
    <w:rsid w:val="00D501D4"/>
    <w:rsid w:val="00D50A7D"/>
    <w:rsid w:val="00D545CE"/>
    <w:rsid w:val="00D5757E"/>
    <w:rsid w:val="00D620AB"/>
    <w:rsid w:val="00D678ED"/>
    <w:rsid w:val="00D70871"/>
    <w:rsid w:val="00D72E4E"/>
    <w:rsid w:val="00D73532"/>
    <w:rsid w:val="00D74C46"/>
    <w:rsid w:val="00D76A44"/>
    <w:rsid w:val="00D8087B"/>
    <w:rsid w:val="00D80C26"/>
    <w:rsid w:val="00D82C08"/>
    <w:rsid w:val="00D83043"/>
    <w:rsid w:val="00D839F2"/>
    <w:rsid w:val="00D85A76"/>
    <w:rsid w:val="00D93753"/>
    <w:rsid w:val="00D937C8"/>
    <w:rsid w:val="00D974FD"/>
    <w:rsid w:val="00D97BA9"/>
    <w:rsid w:val="00DA1D94"/>
    <w:rsid w:val="00DA44E3"/>
    <w:rsid w:val="00DA521E"/>
    <w:rsid w:val="00DA68D6"/>
    <w:rsid w:val="00DA77A5"/>
    <w:rsid w:val="00DA79FF"/>
    <w:rsid w:val="00DB1CDB"/>
    <w:rsid w:val="00DB290D"/>
    <w:rsid w:val="00DB36F4"/>
    <w:rsid w:val="00DB4D31"/>
    <w:rsid w:val="00DC0383"/>
    <w:rsid w:val="00DC347E"/>
    <w:rsid w:val="00DC3FA5"/>
    <w:rsid w:val="00DC4B4F"/>
    <w:rsid w:val="00DC5501"/>
    <w:rsid w:val="00DC7903"/>
    <w:rsid w:val="00DD0E41"/>
    <w:rsid w:val="00DD152F"/>
    <w:rsid w:val="00DD2072"/>
    <w:rsid w:val="00DD3F28"/>
    <w:rsid w:val="00DD4362"/>
    <w:rsid w:val="00DD4537"/>
    <w:rsid w:val="00DD4E15"/>
    <w:rsid w:val="00DD54C9"/>
    <w:rsid w:val="00DD7896"/>
    <w:rsid w:val="00DE417B"/>
    <w:rsid w:val="00DE4FCB"/>
    <w:rsid w:val="00DF062E"/>
    <w:rsid w:val="00DF1465"/>
    <w:rsid w:val="00DF49CC"/>
    <w:rsid w:val="00DF7330"/>
    <w:rsid w:val="00E000A6"/>
    <w:rsid w:val="00E023CD"/>
    <w:rsid w:val="00E03037"/>
    <w:rsid w:val="00E07937"/>
    <w:rsid w:val="00E10149"/>
    <w:rsid w:val="00E117E1"/>
    <w:rsid w:val="00E12D0D"/>
    <w:rsid w:val="00E12E24"/>
    <w:rsid w:val="00E15A6D"/>
    <w:rsid w:val="00E16372"/>
    <w:rsid w:val="00E172B0"/>
    <w:rsid w:val="00E20ED6"/>
    <w:rsid w:val="00E21358"/>
    <w:rsid w:val="00E2249B"/>
    <w:rsid w:val="00E224A6"/>
    <w:rsid w:val="00E22DF6"/>
    <w:rsid w:val="00E235B1"/>
    <w:rsid w:val="00E242EB"/>
    <w:rsid w:val="00E25534"/>
    <w:rsid w:val="00E2741A"/>
    <w:rsid w:val="00E2771E"/>
    <w:rsid w:val="00E30194"/>
    <w:rsid w:val="00E307E1"/>
    <w:rsid w:val="00E31EA1"/>
    <w:rsid w:val="00E33815"/>
    <w:rsid w:val="00E3399B"/>
    <w:rsid w:val="00E34ECB"/>
    <w:rsid w:val="00E35C7E"/>
    <w:rsid w:val="00E37569"/>
    <w:rsid w:val="00E415C9"/>
    <w:rsid w:val="00E41718"/>
    <w:rsid w:val="00E41E30"/>
    <w:rsid w:val="00E43F01"/>
    <w:rsid w:val="00E44F20"/>
    <w:rsid w:val="00E450D1"/>
    <w:rsid w:val="00E469F4"/>
    <w:rsid w:val="00E47B2C"/>
    <w:rsid w:val="00E50E06"/>
    <w:rsid w:val="00E5215C"/>
    <w:rsid w:val="00E52D7D"/>
    <w:rsid w:val="00E550B0"/>
    <w:rsid w:val="00E55424"/>
    <w:rsid w:val="00E556B0"/>
    <w:rsid w:val="00E5614C"/>
    <w:rsid w:val="00E56C9D"/>
    <w:rsid w:val="00E61790"/>
    <w:rsid w:val="00E61A7D"/>
    <w:rsid w:val="00E64F7D"/>
    <w:rsid w:val="00E658AC"/>
    <w:rsid w:val="00E65E79"/>
    <w:rsid w:val="00E66391"/>
    <w:rsid w:val="00E67416"/>
    <w:rsid w:val="00E678BD"/>
    <w:rsid w:val="00E70C74"/>
    <w:rsid w:val="00E70F2A"/>
    <w:rsid w:val="00E71533"/>
    <w:rsid w:val="00E718B6"/>
    <w:rsid w:val="00E7336F"/>
    <w:rsid w:val="00E73581"/>
    <w:rsid w:val="00E751B0"/>
    <w:rsid w:val="00E77BF6"/>
    <w:rsid w:val="00E77D69"/>
    <w:rsid w:val="00E80183"/>
    <w:rsid w:val="00E83BDF"/>
    <w:rsid w:val="00E86115"/>
    <w:rsid w:val="00E86261"/>
    <w:rsid w:val="00E86A28"/>
    <w:rsid w:val="00E87516"/>
    <w:rsid w:val="00E909AB"/>
    <w:rsid w:val="00E9232C"/>
    <w:rsid w:val="00E959A7"/>
    <w:rsid w:val="00EA1FBE"/>
    <w:rsid w:val="00EA3864"/>
    <w:rsid w:val="00EA3F4B"/>
    <w:rsid w:val="00EA5704"/>
    <w:rsid w:val="00EA6691"/>
    <w:rsid w:val="00EB12A7"/>
    <w:rsid w:val="00EB54A8"/>
    <w:rsid w:val="00EC00C9"/>
    <w:rsid w:val="00EC0F40"/>
    <w:rsid w:val="00EC27BF"/>
    <w:rsid w:val="00ED067B"/>
    <w:rsid w:val="00ED0F24"/>
    <w:rsid w:val="00ED2B44"/>
    <w:rsid w:val="00ED4543"/>
    <w:rsid w:val="00ED79D0"/>
    <w:rsid w:val="00EE07D3"/>
    <w:rsid w:val="00EE44DE"/>
    <w:rsid w:val="00EE61D5"/>
    <w:rsid w:val="00EF39E3"/>
    <w:rsid w:val="00EF4CD9"/>
    <w:rsid w:val="00EF5AD5"/>
    <w:rsid w:val="00EF5E50"/>
    <w:rsid w:val="00EF708A"/>
    <w:rsid w:val="00F00BE2"/>
    <w:rsid w:val="00F0175B"/>
    <w:rsid w:val="00F058C9"/>
    <w:rsid w:val="00F0649F"/>
    <w:rsid w:val="00F067A2"/>
    <w:rsid w:val="00F12FCB"/>
    <w:rsid w:val="00F1626B"/>
    <w:rsid w:val="00F20A23"/>
    <w:rsid w:val="00F20B00"/>
    <w:rsid w:val="00F24837"/>
    <w:rsid w:val="00F24A29"/>
    <w:rsid w:val="00F2575F"/>
    <w:rsid w:val="00F25DE2"/>
    <w:rsid w:val="00F26BB2"/>
    <w:rsid w:val="00F27FBA"/>
    <w:rsid w:val="00F33011"/>
    <w:rsid w:val="00F338FF"/>
    <w:rsid w:val="00F33DE9"/>
    <w:rsid w:val="00F349DD"/>
    <w:rsid w:val="00F3538F"/>
    <w:rsid w:val="00F3619A"/>
    <w:rsid w:val="00F406B7"/>
    <w:rsid w:val="00F41E8B"/>
    <w:rsid w:val="00F42C00"/>
    <w:rsid w:val="00F45593"/>
    <w:rsid w:val="00F46CB6"/>
    <w:rsid w:val="00F479AB"/>
    <w:rsid w:val="00F47CFC"/>
    <w:rsid w:val="00F51882"/>
    <w:rsid w:val="00F51958"/>
    <w:rsid w:val="00F55854"/>
    <w:rsid w:val="00F5595B"/>
    <w:rsid w:val="00F55E73"/>
    <w:rsid w:val="00F60E68"/>
    <w:rsid w:val="00F612EB"/>
    <w:rsid w:val="00F61600"/>
    <w:rsid w:val="00F655B4"/>
    <w:rsid w:val="00F67302"/>
    <w:rsid w:val="00F678E3"/>
    <w:rsid w:val="00F67C7C"/>
    <w:rsid w:val="00F70CD3"/>
    <w:rsid w:val="00F71CC9"/>
    <w:rsid w:val="00F72209"/>
    <w:rsid w:val="00F722E8"/>
    <w:rsid w:val="00F770AD"/>
    <w:rsid w:val="00F80037"/>
    <w:rsid w:val="00F80E5D"/>
    <w:rsid w:val="00F851CE"/>
    <w:rsid w:val="00F87DB4"/>
    <w:rsid w:val="00F92F5E"/>
    <w:rsid w:val="00F97332"/>
    <w:rsid w:val="00F97A78"/>
    <w:rsid w:val="00FA1489"/>
    <w:rsid w:val="00FA3124"/>
    <w:rsid w:val="00FA359C"/>
    <w:rsid w:val="00FA5F90"/>
    <w:rsid w:val="00FB1B25"/>
    <w:rsid w:val="00FB1C6C"/>
    <w:rsid w:val="00FB238F"/>
    <w:rsid w:val="00FB283A"/>
    <w:rsid w:val="00FB2D19"/>
    <w:rsid w:val="00FB2FCB"/>
    <w:rsid w:val="00FB38AF"/>
    <w:rsid w:val="00FB4B4E"/>
    <w:rsid w:val="00FB7197"/>
    <w:rsid w:val="00FC0573"/>
    <w:rsid w:val="00FC1074"/>
    <w:rsid w:val="00FC11B1"/>
    <w:rsid w:val="00FC1884"/>
    <w:rsid w:val="00FC1B48"/>
    <w:rsid w:val="00FC30D7"/>
    <w:rsid w:val="00FD0710"/>
    <w:rsid w:val="00FD0B85"/>
    <w:rsid w:val="00FD2100"/>
    <w:rsid w:val="00FD3338"/>
    <w:rsid w:val="00FD446D"/>
    <w:rsid w:val="00FD4546"/>
    <w:rsid w:val="00FD7CFF"/>
    <w:rsid w:val="00FE1ECD"/>
    <w:rsid w:val="00FE201C"/>
    <w:rsid w:val="00FE3FD6"/>
    <w:rsid w:val="00FE4282"/>
    <w:rsid w:val="00FE6FF2"/>
    <w:rsid w:val="00FE70B2"/>
    <w:rsid w:val="00FF36E7"/>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7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Normal Table" w:semiHidden="0" w:unhideWhenUsed="0"/>
    <w:lsdException w:name="annotation subject" w:uiPriority="9"/>
    <w:lsdException w:name="No List" w:uiPriority="99"/>
    <w:lsdException w:name="Table Web 1" w:semiHidden="0" w:unhideWhenUsed="0"/>
    <w:lsdException w:name="Balloon Text" w:uiPriority="9"/>
    <w:lsdException w:name="Table Grid" w:semiHidden="0" w:uiPriority="5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7680"/>
    <w:pPr>
      <w:widowControl w:val="0"/>
      <w:jc w:val="both"/>
    </w:pPr>
    <w:rPr>
      <w:rFonts w:asciiTheme="minorHAnsi" w:hAnsiTheme="minorHAnsi" w:cs="Arial"/>
      <w:snapToGrid w:val="0"/>
      <w:sz w:val="24"/>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007680"/>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007680"/>
    <w:rPr>
      <w:rFonts w:asciiTheme="minorHAnsi" w:hAnsiTheme="minorHAnsi" w:cs="Arial"/>
      <w:b/>
      <w:i/>
      <w:snapToGrid w:val="0"/>
      <w:sz w:val="28"/>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V5.0 Caption"/>
    <w:basedOn w:val="TableHeading"/>
    <w:next w:val="Normal"/>
    <w:link w:val="CaptionChar"/>
    <w:uiPriority w:val="35"/>
    <w:unhideWhenUsed/>
    <w:qFormat/>
    <w:rsid w:val="0085585D"/>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uiPriority w:val="35"/>
    <w:rsid w:val="0085585D"/>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A56B6A"/>
    <w:pPr>
      <w:widowControl/>
      <w:spacing w:after="120"/>
      <w:jc w:val="left"/>
    </w:pPr>
    <w:rPr>
      <w:rFonts w:cs="Times New Roman"/>
      <w:snapToGrid/>
      <w:sz w:val="20"/>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sz w:val="20"/>
    </w:rPr>
  </w:style>
  <w:style w:type="paragraph" w:styleId="TOC5">
    <w:name w:val="toc 5"/>
    <w:basedOn w:val="Normal"/>
    <w:next w:val="Normal"/>
    <w:autoRedefine/>
    <w:uiPriority w:val="9"/>
    <w:rsid w:val="00D0262E"/>
    <w:pPr>
      <w:ind w:left="880"/>
      <w:jc w:val="left"/>
    </w:pPr>
    <w:rPr>
      <w:sz w:val="20"/>
    </w:rPr>
  </w:style>
  <w:style w:type="paragraph" w:styleId="TOC6">
    <w:name w:val="toc 6"/>
    <w:basedOn w:val="Normal"/>
    <w:next w:val="Normal"/>
    <w:autoRedefine/>
    <w:uiPriority w:val="9"/>
    <w:rsid w:val="00D0262E"/>
    <w:pPr>
      <w:ind w:left="1100"/>
      <w:jc w:val="left"/>
    </w:pPr>
    <w:rPr>
      <w:sz w:val="20"/>
    </w:rPr>
  </w:style>
  <w:style w:type="paragraph" w:styleId="TOC7">
    <w:name w:val="toc 7"/>
    <w:basedOn w:val="Normal"/>
    <w:next w:val="Normal"/>
    <w:autoRedefine/>
    <w:uiPriority w:val="9"/>
    <w:rsid w:val="00D0262E"/>
    <w:pPr>
      <w:ind w:left="1320"/>
      <w:jc w:val="left"/>
    </w:pPr>
    <w:rPr>
      <w:sz w:val="20"/>
    </w:rPr>
  </w:style>
  <w:style w:type="paragraph" w:styleId="TOC8">
    <w:name w:val="toc 8"/>
    <w:basedOn w:val="Normal"/>
    <w:next w:val="Normal"/>
    <w:autoRedefine/>
    <w:uiPriority w:val="9"/>
    <w:rsid w:val="00D0262E"/>
    <w:pPr>
      <w:ind w:left="1540"/>
      <w:jc w:val="left"/>
    </w:pPr>
    <w:rPr>
      <w:sz w:val="20"/>
    </w:rPr>
  </w:style>
  <w:style w:type="paragraph" w:styleId="TOC9">
    <w:name w:val="toc 9"/>
    <w:basedOn w:val="Normal"/>
    <w:next w:val="Normal"/>
    <w:autoRedefine/>
    <w:uiPriority w:val="9"/>
    <w:rsid w:val="00D0262E"/>
    <w:pPr>
      <w:ind w:left="1760"/>
      <w:jc w:val="left"/>
    </w:pPr>
    <w:rPr>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9"/>
      </w:numPr>
    </w:pPr>
    <w:rPr>
      <w:rFonts w:ascii="Arial" w:hAnsi="Arial" w:cs="Arial"/>
      <w:snapToGrid w:val="0"/>
      <w:sz w:val="22"/>
      <w:szCs w:val="22"/>
      <w:lang w:eastAsia="en-US"/>
    </w:rPr>
  </w:style>
  <w:style w:type="paragraph" w:customStyle="1" w:styleId="TableNotes">
    <w:name w:val="TableNotes"/>
    <w:basedOn w:val="Normal"/>
    <w:autoRedefine/>
    <w:qFormat/>
    <w:rsid w:val="00B018F9"/>
    <w:pPr>
      <w:widowControl/>
      <w:ind w:right="-614"/>
      <w:jc w:val="left"/>
    </w:pPr>
    <w:rPr>
      <w:rFonts w:eastAsia="SimSun"/>
      <w:snapToGrid/>
      <w:sz w:val="20"/>
      <w:lang w:eastAsia="zh-CN"/>
    </w:rPr>
  </w:style>
  <w:style w:type="paragraph" w:customStyle="1" w:styleId="TableHead">
    <w:name w:val="Table Head"/>
    <w:basedOn w:val="Tabletext"/>
    <w:qFormat/>
    <w:rsid w:val="00DC3FA5"/>
    <w:pPr>
      <w:keepNext/>
      <w:keepLines/>
      <w:spacing w:before="20" w:after="80"/>
    </w:pPr>
    <w:rPr>
      <w:b/>
      <w:bCs/>
      <w:sz w:val="18"/>
      <w:lang w:eastAsia="en-AU"/>
    </w:rPr>
  </w:style>
  <w:style w:type="paragraph" w:customStyle="1" w:styleId="Tablenote">
    <w:name w:val="Table note"/>
    <w:basedOn w:val="Normal"/>
    <w:rsid w:val="00DC3FA5"/>
    <w:pPr>
      <w:keepNext/>
      <w:keepLines/>
      <w:widowControl/>
      <w:spacing w:after="360"/>
      <w:contextualSpacing/>
      <w:jc w:val="left"/>
    </w:pPr>
    <w:rPr>
      <w:rFonts w:ascii="Arial Narrow" w:eastAsia="SimSun" w:hAnsi="Arial Narrow" w:cs="Times New Roman"/>
      <w:snapToGrid/>
      <w:sz w:val="18"/>
      <w:lang w:eastAsia="zh-CN"/>
    </w:rPr>
  </w:style>
  <w:style w:type="table" w:customStyle="1" w:styleId="Summarybox1">
    <w:name w:val="Summary box1"/>
    <w:basedOn w:val="TableNormal"/>
    <w:next w:val="TableGrid"/>
    <w:uiPriority w:val="59"/>
    <w:rsid w:val="00540F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autoRedefine/>
    <w:qFormat/>
    <w:rsid w:val="00295FF8"/>
    <w:pPr>
      <w:keepNext/>
      <w:keepLines/>
      <w:widowControl/>
      <w:jc w:val="left"/>
    </w:pPr>
    <w:rPr>
      <w:rFonts w:cs="Times New Roman"/>
      <w:i/>
      <w:snapToGrid/>
      <w:sz w:val="18"/>
      <w:lang w:eastAsia="en-AU"/>
    </w:rPr>
  </w:style>
  <w:style w:type="character" w:customStyle="1" w:styleId="TableTextChar0">
    <w:name w:val="Table Text Char"/>
    <w:link w:val="TableText1"/>
    <w:locked/>
    <w:rsid w:val="00295FF8"/>
    <w:rPr>
      <w:rFonts w:ascii="Arial" w:hAnsi="Arial"/>
      <w:i/>
      <w:sz w:val="18"/>
    </w:rPr>
  </w:style>
  <w:style w:type="table" w:customStyle="1" w:styleId="Summarybox2">
    <w:name w:val="Summary box2"/>
    <w:basedOn w:val="TableNormal"/>
    <w:next w:val="TableGrid"/>
    <w:uiPriority w:val="59"/>
    <w:rsid w:val="006C037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locked/>
    <w:rsid w:val="006C037E"/>
    <w:rPr>
      <w:rFonts w:ascii="Arial" w:hAnsi="Arial" w:cs="Arial"/>
      <w:snapToGrid w:val="0"/>
      <w:sz w:val="22"/>
      <w:lang w:eastAsia="en-US"/>
    </w:rPr>
  </w:style>
  <w:style w:type="character" w:customStyle="1" w:styleId="Heading3Char">
    <w:name w:val="Heading 3 Char"/>
    <w:basedOn w:val="DefaultParagraphFont"/>
    <w:link w:val="Heading3"/>
    <w:uiPriority w:val="9"/>
    <w:rsid w:val="006C037E"/>
    <w:rPr>
      <w:rFonts w:ascii="Arial" w:hAnsi="Arial" w:cs="Arial"/>
      <w:snapToGrid w:val="0"/>
      <w:sz w:val="22"/>
      <w:u w:val="single"/>
      <w:lang w:eastAsia="en-US"/>
    </w:rPr>
  </w:style>
  <w:style w:type="character" w:customStyle="1" w:styleId="Heading1Char">
    <w:name w:val="Heading 1 Char"/>
    <w:basedOn w:val="DefaultParagraphFont"/>
    <w:link w:val="Heading1"/>
    <w:uiPriority w:val="1"/>
    <w:rsid w:val="0020138A"/>
    <w:rPr>
      <w:rFonts w:ascii="Arial Bold" w:hAnsi="Arial Bold" w:cs="Arial"/>
      <w:b/>
      <w:caps/>
      <w:snapToGrid w:val="0"/>
      <w:sz w:val="22"/>
      <w:lang w:eastAsia="en-US"/>
    </w:rPr>
  </w:style>
  <w:style w:type="paragraph" w:customStyle="1" w:styleId="V50Heading2nonumbers">
    <w:name w:val="V5.0 Heading 2 no numbers"/>
    <w:basedOn w:val="Heading2"/>
    <w:qFormat/>
    <w:rsid w:val="0020138A"/>
    <w:pPr>
      <w:keepNext/>
      <w:keepLines/>
      <w:widowControl/>
      <w:spacing w:before="240" w:after="120"/>
      <w:ind w:left="578" w:hanging="578"/>
      <w:jc w:val="left"/>
    </w:pPr>
    <w:rPr>
      <w:rFonts w:eastAsiaTheme="majorEastAsia" w:cstheme="majorBidi"/>
      <w:i w:val="0"/>
      <w:snapToGrid/>
      <w:szCs w:val="28"/>
    </w:rPr>
  </w:style>
  <w:style w:type="paragraph" w:customStyle="1" w:styleId="V50Instructions">
    <w:name w:val="V5.0 Instructions"/>
    <w:basedOn w:val="Normal"/>
    <w:link w:val="V50InstructionsChar"/>
    <w:qFormat/>
    <w:rsid w:val="0020138A"/>
    <w:pPr>
      <w:widowControl/>
      <w:spacing w:before="120" w:after="160"/>
      <w:jc w:val="left"/>
    </w:pPr>
    <w:rPr>
      <w:rFonts w:eastAsiaTheme="minorHAnsi" w:cstheme="minorBidi"/>
      <w:snapToGrid/>
      <w:color w:val="4BACC6" w:themeColor="accent5"/>
      <w:szCs w:val="22"/>
    </w:rPr>
  </w:style>
  <w:style w:type="character" w:customStyle="1" w:styleId="Heading4Char">
    <w:name w:val="Heading 4 Char"/>
    <w:aliases w:val="Heading 1 - Body Char"/>
    <w:basedOn w:val="DefaultParagraphFont"/>
    <w:link w:val="Heading4"/>
    <w:uiPriority w:val="5"/>
    <w:rsid w:val="002013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2013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20138A"/>
    <w:rPr>
      <w:rFonts w:ascii="Arial" w:hAnsi="Arial" w:cs="Arial"/>
      <w:b/>
      <w:bCs/>
      <w:i/>
      <w:snapToGrid w:val="0"/>
      <w:sz w:val="22"/>
      <w:szCs w:val="22"/>
      <w:lang w:eastAsia="en-US"/>
    </w:rPr>
  </w:style>
  <w:style w:type="paragraph" w:customStyle="1" w:styleId="V50Heading1nonumbers">
    <w:name w:val="V5.0 Heading 1 no numbers"/>
    <w:basedOn w:val="Heading1"/>
    <w:qFormat/>
    <w:rsid w:val="0020138A"/>
    <w:pPr>
      <w:keepNext/>
      <w:keepLines/>
      <w:widowControl/>
      <w:spacing w:before="400" w:after="120"/>
      <w:ind w:left="0" w:firstLine="0"/>
      <w:jc w:val="left"/>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20138A"/>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20138A"/>
    <w:rPr>
      <w:b/>
      <w:color w:val="4BACC6" w:themeColor="accent5"/>
    </w:rPr>
  </w:style>
  <w:style w:type="paragraph" w:customStyle="1" w:styleId="V50InstructionsBullets">
    <w:name w:val="V5.0 Instructions Bullets"/>
    <w:basedOn w:val="V50Instructions"/>
    <w:qFormat/>
    <w:rsid w:val="0020138A"/>
    <w:pPr>
      <w:numPr>
        <w:numId w:val="33"/>
      </w:numPr>
      <w:tabs>
        <w:tab w:val="num" w:pos="720"/>
      </w:tabs>
      <w:spacing w:before="0" w:after="0"/>
      <w:ind w:left="714" w:hanging="357"/>
    </w:pPr>
  </w:style>
  <w:style w:type="table" w:customStyle="1" w:styleId="TableGridLight1">
    <w:name w:val="Table Grid Light1"/>
    <w:basedOn w:val="TableNormal"/>
    <w:uiPriority w:val="40"/>
    <w:rsid w:val="0020138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20138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20138A"/>
    <w:pPr>
      <w:widowControl/>
      <w:jc w:val="left"/>
    </w:pPr>
    <w:rPr>
      <w:rFonts w:eastAsiaTheme="minorHAnsi" w:cstheme="minorBidi"/>
      <w:snapToGrid/>
      <w:sz w:val="18"/>
    </w:rPr>
  </w:style>
  <w:style w:type="character" w:customStyle="1" w:styleId="FootnoteTextChar">
    <w:name w:val="Footnote Text Char"/>
    <w:basedOn w:val="DefaultParagraphFont"/>
    <w:link w:val="FootnoteText"/>
    <w:uiPriority w:val="99"/>
    <w:rsid w:val="0020138A"/>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20138A"/>
    <w:rPr>
      <w:vertAlign w:val="superscript"/>
    </w:rPr>
  </w:style>
  <w:style w:type="paragraph" w:customStyle="1" w:styleId="TableFigNoteLast">
    <w:name w:val="TableFigNote Last"/>
    <w:basedOn w:val="Normal"/>
    <w:qFormat/>
    <w:rsid w:val="0020138A"/>
    <w:pPr>
      <w:widowControl/>
      <w:spacing w:after="360"/>
      <w:jc w:val="left"/>
    </w:pPr>
    <w:rPr>
      <w:rFonts w:eastAsiaTheme="minorHAnsi" w:cstheme="minorBidi"/>
      <w:snapToGrid/>
      <w:sz w:val="18"/>
      <w:szCs w:val="22"/>
    </w:rPr>
  </w:style>
  <w:style w:type="character" w:styleId="Emphasis">
    <w:name w:val="Emphasis"/>
    <w:basedOn w:val="DefaultParagraphFont"/>
    <w:uiPriority w:val="20"/>
    <w:qFormat/>
    <w:rsid w:val="0020138A"/>
    <w:rPr>
      <w:b w:val="0"/>
      <w:i/>
      <w:iCs/>
    </w:rPr>
  </w:style>
  <w:style w:type="paragraph" w:customStyle="1" w:styleId="TableHeading">
    <w:name w:val="Table Heading"/>
    <w:basedOn w:val="Normal"/>
    <w:qFormat/>
    <w:rsid w:val="0020138A"/>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20138A"/>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20138A"/>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20138A"/>
    <w:pPr>
      <w:keepNext/>
    </w:pPr>
    <w:rPr>
      <w:b/>
    </w:rPr>
  </w:style>
  <w:style w:type="character" w:customStyle="1" w:styleId="V50TablenameChar">
    <w:name w:val="V5.0 Table name Char"/>
    <w:basedOn w:val="DefaultParagraphFont"/>
    <w:link w:val="V50Tablename"/>
    <w:rsid w:val="0020138A"/>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20138A"/>
    <w:pPr>
      <w:spacing w:after="120"/>
      <w:contextualSpacing/>
      <w:jc w:val="both"/>
    </w:pPr>
    <w:rPr>
      <w:sz w:val="18"/>
      <w:szCs w:val="18"/>
    </w:rPr>
  </w:style>
  <w:style w:type="character" w:customStyle="1" w:styleId="V50TablenoteChar">
    <w:name w:val="V5.0 Tablenote Char"/>
    <w:basedOn w:val="DefaultParagraphFont"/>
    <w:link w:val="V50Tablenote"/>
    <w:rsid w:val="0020138A"/>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20138A"/>
    <w:rPr>
      <w:rFonts w:ascii="Arial Narrow" w:hAnsi="Arial Narrow" w:cs="Arial"/>
      <w:snapToGrid w:val="0"/>
      <w:sz w:val="18"/>
      <w:lang w:eastAsia="en-US"/>
    </w:rPr>
  </w:style>
  <w:style w:type="paragraph" w:customStyle="1" w:styleId="oldTablefooter">
    <w:name w:val="old Table footer"/>
    <w:basedOn w:val="Normal"/>
    <w:link w:val="oldTablefooterChar"/>
    <w:qFormat/>
    <w:rsid w:val="0020138A"/>
    <w:pPr>
      <w:widowControl/>
    </w:pPr>
    <w:rPr>
      <w:rFonts w:eastAsiaTheme="minorHAnsi"/>
      <w:snapToGrid/>
      <w:sz w:val="18"/>
      <w:szCs w:val="18"/>
      <w:lang w:val="en-US"/>
    </w:rPr>
  </w:style>
  <w:style w:type="character" w:customStyle="1" w:styleId="oldTablefooterChar">
    <w:name w:val="old Table footer Char"/>
    <w:basedOn w:val="V50TableTextChar"/>
    <w:link w:val="oldTablefooter"/>
    <w:rsid w:val="0020138A"/>
    <w:rPr>
      <w:rFonts w:asciiTheme="minorHAnsi" w:eastAsiaTheme="minorHAnsi" w:hAnsiTheme="minorHAnsi" w:cs="Arial"/>
      <w:sz w:val="18"/>
      <w:szCs w:val="18"/>
      <w:lang w:val="en-US" w:eastAsia="en-US"/>
    </w:rPr>
  </w:style>
  <w:style w:type="character" w:customStyle="1" w:styleId="SubtitleChar">
    <w:name w:val="Subtitle Char"/>
    <w:link w:val="Subtitle"/>
    <w:uiPriority w:val="9"/>
    <w:rsid w:val="0020138A"/>
  </w:style>
  <w:style w:type="paragraph" w:styleId="Subtitle">
    <w:name w:val="Subtitle"/>
    <w:basedOn w:val="Normal"/>
    <w:link w:val="SubtitleChar"/>
    <w:uiPriority w:val="9"/>
    <w:rsid w:val="0020138A"/>
    <w:pPr>
      <w:widowControl/>
    </w:pPr>
    <w:rPr>
      <w:rFonts w:ascii="Times New Roman" w:hAnsi="Times New Roman" w:cs="Times New Roman"/>
      <w:snapToGrid/>
      <w:sz w:val="20"/>
      <w:lang w:eastAsia="en-AU"/>
    </w:rPr>
  </w:style>
  <w:style w:type="character" w:customStyle="1" w:styleId="SubtitleChar1">
    <w:name w:val="Subtitle Char1"/>
    <w:basedOn w:val="DefaultParagraphFont"/>
    <w:uiPriority w:val="9"/>
    <w:rsid w:val="0020138A"/>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0">
    <w:name w:val="PBAC Heading 1"/>
    <w:qFormat/>
    <w:rsid w:val="0020138A"/>
    <w:pPr>
      <w:spacing w:before="200" w:after="120"/>
      <w:ind w:left="720" w:hanging="720"/>
    </w:pPr>
    <w:rPr>
      <w:rFonts w:ascii="Arial" w:hAnsi="Arial" w:cs="Arial"/>
      <w:b/>
      <w:snapToGrid w:val="0"/>
      <w:sz w:val="22"/>
      <w:szCs w:val="22"/>
      <w:lang w:eastAsia="en-US"/>
    </w:rPr>
  </w:style>
  <w:style w:type="paragraph" w:customStyle="1" w:styleId="Style1">
    <w:name w:val="Style1"/>
    <w:basedOn w:val="Normal"/>
    <w:rsid w:val="0020138A"/>
  </w:style>
  <w:style w:type="numbering" w:customStyle="1" w:styleId="Headings">
    <w:name w:val="Headings"/>
    <w:uiPriority w:val="99"/>
    <w:rsid w:val="0020138A"/>
    <w:pPr>
      <w:numPr>
        <w:numId w:val="35"/>
      </w:numPr>
    </w:pPr>
  </w:style>
  <w:style w:type="character" w:styleId="FollowedHyperlink">
    <w:name w:val="FollowedHyperlink"/>
    <w:basedOn w:val="DefaultParagraphFont"/>
    <w:uiPriority w:val="99"/>
    <w:semiHidden/>
    <w:unhideWhenUsed/>
    <w:rsid w:val="0020138A"/>
    <w:rPr>
      <w:color w:val="800080" w:themeColor="followedHyperlink"/>
      <w:u w:val="single"/>
    </w:rPr>
  </w:style>
  <w:style w:type="paragraph" w:customStyle="1" w:styleId="BulletLast">
    <w:name w:val="Bullet Last"/>
    <w:basedOn w:val="Normal"/>
    <w:qFormat/>
    <w:rsid w:val="0020138A"/>
    <w:pPr>
      <w:widowControl/>
      <w:numPr>
        <w:numId w:val="37"/>
      </w:numPr>
      <w:spacing w:after="240"/>
      <w:ind w:left="357" w:hanging="357"/>
      <w:jc w:val="left"/>
    </w:pPr>
    <w:rPr>
      <w:rFonts w:eastAsiaTheme="minorHAnsi" w:cstheme="minorBidi"/>
      <w:snapToGrid/>
      <w:szCs w:val="22"/>
    </w:rPr>
  </w:style>
  <w:style w:type="paragraph" w:customStyle="1" w:styleId="TableFigNote">
    <w:name w:val="TableFigNote"/>
    <w:basedOn w:val="Normal"/>
    <w:qFormat/>
    <w:rsid w:val="0020138A"/>
    <w:pPr>
      <w:widowControl/>
      <w:jc w:val="left"/>
    </w:pPr>
    <w:rPr>
      <w:rFonts w:eastAsiaTheme="minorHAnsi" w:cstheme="minorBidi"/>
      <w:snapToGrid/>
      <w:sz w:val="18"/>
      <w:szCs w:val="22"/>
    </w:rPr>
  </w:style>
  <w:style w:type="character" w:customStyle="1" w:styleId="StyleArial11pt">
    <w:name w:val="Style Arial 11 pt"/>
    <w:basedOn w:val="DefaultParagraphFont"/>
    <w:rsid w:val="002013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013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20138A"/>
    <w:pPr>
      <w:widowControl/>
      <w:spacing w:before="100" w:beforeAutospacing="1" w:after="100" w:afterAutospacing="1"/>
      <w:jc w:val="left"/>
    </w:pPr>
    <w:rPr>
      <w:rFonts w:ascii="Times New Roman" w:hAnsi="Times New Roman" w:cs="Times New Roman"/>
      <w:snapToGrid/>
      <w:szCs w:val="24"/>
      <w:lang w:eastAsia="en-AU"/>
    </w:rPr>
  </w:style>
  <w:style w:type="table" w:customStyle="1" w:styleId="TableGridbeth1">
    <w:name w:val="Table Gridbeth1"/>
    <w:basedOn w:val="TableNormal"/>
    <w:next w:val="TableGrid"/>
    <w:uiPriority w:val="59"/>
    <w:rsid w:val="0020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Normal Table" w:semiHidden="0" w:unhideWhenUsed="0"/>
    <w:lsdException w:name="annotation subject" w:uiPriority="9"/>
    <w:lsdException w:name="No List" w:uiPriority="99"/>
    <w:lsdException w:name="Table Web 1" w:semiHidden="0" w:unhideWhenUsed="0"/>
    <w:lsdException w:name="Balloon Text" w:uiPriority="9"/>
    <w:lsdException w:name="Table Grid" w:semiHidden="0" w:uiPriority="59" w:unhideWhenUsed="0"/>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7680"/>
    <w:pPr>
      <w:widowControl w:val="0"/>
      <w:jc w:val="both"/>
    </w:pPr>
    <w:rPr>
      <w:rFonts w:asciiTheme="minorHAnsi" w:hAnsiTheme="minorHAnsi" w:cs="Arial"/>
      <w:snapToGrid w:val="0"/>
      <w:sz w:val="24"/>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007680"/>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007680"/>
    <w:rPr>
      <w:rFonts w:asciiTheme="minorHAnsi" w:hAnsiTheme="minorHAnsi" w:cs="Arial"/>
      <w:b/>
      <w:i/>
      <w:snapToGrid w:val="0"/>
      <w:sz w:val="28"/>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V5.0 Caption"/>
    <w:basedOn w:val="TableHeading"/>
    <w:next w:val="Normal"/>
    <w:link w:val="CaptionChar"/>
    <w:uiPriority w:val="35"/>
    <w:unhideWhenUsed/>
    <w:qFormat/>
    <w:rsid w:val="0085585D"/>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uiPriority w:val="35"/>
    <w:rsid w:val="0085585D"/>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A56B6A"/>
    <w:pPr>
      <w:widowControl/>
      <w:spacing w:after="120"/>
      <w:jc w:val="left"/>
    </w:pPr>
    <w:rPr>
      <w:rFonts w:cs="Times New Roman"/>
      <w:snapToGrid/>
      <w:sz w:val="20"/>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sz w:val="20"/>
    </w:rPr>
  </w:style>
  <w:style w:type="paragraph" w:styleId="TOC5">
    <w:name w:val="toc 5"/>
    <w:basedOn w:val="Normal"/>
    <w:next w:val="Normal"/>
    <w:autoRedefine/>
    <w:uiPriority w:val="9"/>
    <w:rsid w:val="00D0262E"/>
    <w:pPr>
      <w:ind w:left="880"/>
      <w:jc w:val="left"/>
    </w:pPr>
    <w:rPr>
      <w:sz w:val="20"/>
    </w:rPr>
  </w:style>
  <w:style w:type="paragraph" w:styleId="TOC6">
    <w:name w:val="toc 6"/>
    <w:basedOn w:val="Normal"/>
    <w:next w:val="Normal"/>
    <w:autoRedefine/>
    <w:uiPriority w:val="9"/>
    <w:rsid w:val="00D0262E"/>
    <w:pPr>
      <w:ind w:left="1100"/>
      <w:jc w:val="left"/>
    </w:pPr>
    <w:rPr>
      <w:sz w:val="20"/>
    </w:rPr>
  </w:style>
  <w:style w:type="paragraph" w:styleId="TOC7">
    <w:name w:val="toc 7"/>
    <w:basedOn w:val="Normal"/>
    <w:next w:val="Normal"/>
    <w:autoRedefine/>
    <w:uiPriority w:val="9"/>
    <w:rsid w:val="00D0262E"/>
    <w:pPr>
      <w:ind w:left="1320"/>
      <w:jc w:val="left"/>
    </w:pPr>
    <w:rPr>
      <w:sz w:val="20"/>
    </w:rPr>
  </w:style>
  <w:style w:type="paragraph" w:styleId="TOC8">
    <w:name w:val="toc 8"/>
    <w:basedOn w:val="Normal"/>
    <w:next w:val="Normal"/>
    <w:autoRedefine/>
    <w:uiPriority w:val="9"/>
    <w:rsid w:val="00D0262E"/>
    <w:pPr>
      <w:ind w:left="1540"/>
      <w:jc w:val="left"/>
    </w:pPr>
    <w:rPr>
      <w:sz w:val="20"/>
    </w:rPr>
  </w:style>
  <w:style w:type="paragraph" w:styleId="TOC9">
    <w:name w:val="toc 9"/>
    <w:basedOn w:val="Normal"/>
    <w:next w:val="Normal"/>
    <w:autoRedefine/>
    <w:uiPriority w:val="9"/>
    <w:rsid w:val="00D0262E"/>
    <w:pPr>
      <w:ind w:left="1760"/>
      <w:jc w:val="left"/>
    </w:pPr>
    <w:rPr>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9"/>
      </w:numPr>
    </w:pPr>
    <w:rPr>
      <w:rFonts w:ascii="Arial" w:hAnsi="Arial" w:cs="Arial"/>
      <w:snapToGrid w:val="0"/>
      <w:sz w:val="22"/>
      <w:szCs w:val="22"/>
      <w:lang w:eastAsia="en-US"/>
    </w:rPr>
  </w:style>
  <w:style w:type="paragraph" w:customStyle="1" w:styleId="TableNotes">
    <w:name w:val="TableNotes"/>
    <w:basedOn w:val="Normal"/>
    <w:autoRedefine/>
    <w:qFormat/>
    <w:rsid w:val="00B018F9"/>
    <w:pPr>
      <w:widowControl/>
      <w:ind w:right="-614"/>
      <w:jc w:val="left"/>
    </w:pPr>
    <w:rPr>
      <w:rFonts w:eastAsia="SimSun"/>
      <w:snapToGrid/>
      <w:sz w:val="20"/>
      <w:lang w:eastAsia="zh-CN"/>
    </w:rPr>
  </w:style>
  <w:style w:type="paragraph" w:customStyle="1" w:styleId="TableHead">
    <w:name w:val="Table Head"/>
    <w:basedOn w:val="Tabletext"/>
    <w:qFormat/>
    <w:rsid w:val="00DC3FA5"/>
    <w:pPr>
      <w:keepNext/>
      <w:keepLines/>
      <w:spacing w:before="20" w:after="80"/>
    </w:pPr>
    <w:rPr>
      <w:b/>
      <w:bCs/>
      <w:sz w:val="18"/>
      <w:lang w:eastAsia="en-AU"/>
    </w:rPr>
  </w:style>
  <w:style w:type="paragraph" w:customStyle="1" w:styleId="Tablenote">
    <w:name w:val="Table note"/>
    <w:basedOn w:val="Normal"/>
    <w:rsid w:val="00DC3FA5"/>
    <w:pPr>
      <w:keepNext/>
      <w:keepLines/>
      <w:widowControl/>
      <w:spacing w:after="360"/>
      <w:contextualSpacing/>
      <w:jc w:val="left"/>
    </w:pPr>
    <w:rPr>
      <w:rFonts w:ascii="Arial Narrow" w:eastAsia="SimSun" w:hAnsi="Arial Narrow" w:cs="Times New Roman"/>
      <w:snapToGrid/>
      <w:sz w:val="18"/>
      <w:lang w:eastAsia="zh-CN"/>
    </w:rPr>
  </w:style>
  <w:style w:type="table" w:customStyle="1" w:styleId="Summarybox1">
    <w:name w:val="Summary box1"/>
    <w:basedOn w:val="TableNormal"/>
    <w:next w:val="TableGrid"/>
    <w:uiPriority w:val="59"/>
    <w:rsid w:val="00540F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autoRedefine/>
    <w:qFormat/>
    <w:rsid w:val="00295FF8"/>
    <w:pPr>
      <w:keepNext/>
      <w:keepLines/>
      <w:widowControl/>
      <w:jc w:val="left"/>
    </w:pPr>
    <w:rPr>
      <w:rFonts w:cs="Times New Roman"/>
      <w:i/>
      <w:snapToGrid/>
      <w:sz w:val="18"/>
      <w:lang w:eastAsia="en-AU"/>
    </w:rPr>
  </w:style>
  <w:style w:type="character" w:customStyle="1" w:styleId="TableTextChar0">
    <w:name w:val="Table Text Char"/>
    <w:link w:val="TableText1"/>
    <w:locked/>
    <w:rsid w:val="00295FF8"/>
    <w:rPr>
      <w:rFonts w:ascii="Arial" w:hAnsi="Arial"/>
      <w:i/>
      <w:sz w:val="18"/>
    </w:rPr>
  </w:style>
  <w:style w:type="table" w:customStyle="1" w:styleId="Summarybox2">
    <w:name w:val="Summary box2"/>
    <w:basedOn w:val="TableNormal"/>
    <w:next w:val="TableGrid"/>
    <w:uiPriority w:val="59"/>
    <w:rsid w:val="006C037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locked/>
    <w:rsid w:val="006C037E"/>
    <w:rPr>
      <w:rFonts w:ascii="Arial" w:hAnsi="Arial" w:cs="Arial"/>
      <w:snapToGrid w:val="0"/>
      <w:sz w:val="22"/>
      <w:lang w:eastAsia="en-US"/>
    </w:rPr>
  </w:style>
  <w:style w:type="character" w:customStyle="1" w:styleId="Heading3Char">
    <w:name w:val="Heading 3 Char"/>
    <w:basedOn w:val="DefaultParagraphFont"/>
    <w:link w:val="Heading3"/>
    <w:uiPriority w:val="9"/>
    <w:rsid w:val="006C037E"/>
    <w:rPr>
      <w:rFonts w:ascii="Arial" w:hAnsi="Arial" w:cs="Arial"/>
      <w:snapToGrid w:val="0"/>
      <w:sz w:val="22"/>
      <w:u w:val="single"/>
      <w:lang w:eastAsia="en-US"/>
    </w:rPr>
  </w:style>
  <w:style w:type="character" w:customStyle="1" w:styleId="Heading1Char">
    <w:name w:val="Heading 1 Char"/>
    <w:basedOn w:val="DefaultParagraphFont"/>
    <w:link w:val="Heading1"/>
    <w:uiPriority w:val="1"/>
    <w:rsid w:val="0020138A"/>
    <w:rPr>
      <w:rFonts w:ascii="Arial Bold" w:hAnsi="Arial Bold" w:cs="Arial"/>
      <w:b/>
      <w:caps/>
      <w:snapToGrid w:val="0"/>
      <w:sz w:val="22"/>
      <w:lang w:eastAsia="en-US"/>
    </w:rPr>
  </w:style>
  <w:style w:type="paragraph" w:customStyle="1" w:styleId="V50Heading2nonumbers">
    <w:name w:val="V5.0 Heading 2 no numbers"/>
    <w:basedOn w:val="Heading2"/>
    <w:qFormat/>
    <w:rsid w:val="0020138A"/>
    <w:pPr>
      <w:keepNext/>
      <w:keepLines/>
      <w:widowControl/>
      <w:spacing w:before="240" w:after="120"/>
      <w:ind w:left="578" w:hanging="578"/>
      <w:jc w:val="left"/>
    </w:pPr>
    <w:rPr>
      <w:rFonts w:eastAsiaTheme="majorEastAsia" w:cstheme="majorBidi"/>
      <w:i w:val="0"/>
      <w:snapToGrid/>
      <w:szCs w:val="28"/>
    </w:rPr>
  </w:style>
  <w:style w:type="paragraph" w:customStyle="1" w:styleId="V50Instructions">
    <w:name w:val="V5.0 Instructions"/>
    <w:basedOn w:val="Normal"/>
    <w:link w:val="V50InstructionsChar"/>
    <w:qFormat/>
    <w:rsid w:val="0020138A"/>
    <w:pPr>
      <w:widowControl/>
      <w:spacing w:before="120" w:after="160"/>
      <w:jc w:val="left"/>
    </w:pPr>
    <w:rPr>
      <w:rFonts w:eastAsiaTheme="minorHAnsi" w:cstheme="minorBidi"/>
      <w:snapToGrid/>
      <w:color w:val="4BACC6" w:themeColor="accent5"/>
      <w:szCs w:val="22"/>
    </w:rPr>
  </w:style>
  <w:style w:type="character" w:customStyle="1" w:styleId="Heading4Char">
    <w:name w:val="Heading 4 Char"/>
    <w:aliases w:val="Heading 1 - Body Char"/>
    <w:basedOn w:val="DefaultParagraphFont"/>
    <w:link w:val="Heading4"/>
    <w:uiPriority w:val="5"/>
    <w:rsid w:val="002013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2013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20138A"/>
    <w:rPr>
      <w:rFonts w:ascii="Arial" w:hAnsi="Arial" w:cs="Arial"/>
      <w:b/>
      <w:bCs/>
      <w:i/>
      <w:snapToGrid w:val="0"/>
      <w:sz w:val="22"/>
      <w:szCs w:val="22"/>
      <w:lang w:eastAsia="en-US"/>
    </w:rPr>
  </w:style>
  <w:style w:type="paragraph" w:customStyle="1" w:styleId="V50Heading1nonumbers">
    <w:name w:val="V5.0 Heading 1 no numbers"/>
    <w:basedOn w:val="Heading1"/>
    <w:qFormat/>
    <w:rsid w:val="0020138A"/>
    <w:pPr>
      <w:keepNext/>
      <w:keepLines/>
      <w:widowControl/>
      <w:spacing w:before="400" w:after="120"/>
      <w:ind w:left="0" w:firstLine="0"/>
      <w:jc w:val="left"/>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20138A"/>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20138A"/>
    <w:rPr>
      <w:b/>
      <w:color w:val="4BACC6" w:themeColor="accent5"/>
    </w:rPr>
  </w:style>
  <w:style w:type="paragraph" w:customStyle="1" w:styleId="V50InstructionsBullets">
    <w:name w:val="V5.0 Instructions Bullets"/>
    <w:basedOn w:val="V50Instructions"/>
    <w:qFormat/>
    <w:rsid w:val="0020138A"/>
    <w:pPr>
      <w:numPr>
        <w:numId w:val="33"/>
      </w:numPr>
      <w:tabs>
        <w:tab w:val="num" w:pos="720"/>
      </w:tabs>
      <w:spacing w:before="0" w:after="0"/>
      <w:ind w:left="714" w:hanging="357"/>
    </w:pPr>
  </w:style>
  <w:style w:type="table" w:customStyle="1" w:styleId="TableGridLight1">
    <w:name w:val="Table Grid Light1"/>
    <w:basedOn w:val="TableNormal"/>
    <w:uiPriority w:val="40"/>
    <w:rsid w:val="0020138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20138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20138A"/>
    <w:pPr>
      <w:widowControl/>
      <w:jc w:val="left"/>
    </w:pPr>
    <w:rPr>
      <w:rFonts w:eastAsiaTheme="minorHAnsi" w:cstheme="minorBidi"/>
      <w:snapToGrid/>
      <w:sz w:val="18"/>
    </w:rPr>
  </w:style>
  <w:style w:type="character" w:customStyle="1" w:styleId="FootnoteTextChar">
    <w:name w:val="Footnote Text Char"/>
    <w:basedOn w:val="DefaultParagraphFont"/>
    <w:link w:val="FootnoteText"/>
    <w:uiPriority w:val="99"/>
    <w:rsid w:val="0020138A"/>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20138A"/>
    <w:rPr>
      <w:vertAlign w:val="superscript"/>
    </w:rPr>
  </w:style>
  <w:style w:type="paragraph" w:customStyle="1" w:styleId="TableFigNoteLast">
    <w:name w:val="TableFigNote Last"/>
    <w:basedOn w:val="Normal"/>
    <w:qFormat/>
    <w:rsid w:val="0020138A"/>
    <w:pPr>
      <w:widowControl/>
      <w:spacing w:after="360"/>
      <w:jc w:val="left"/>
    </w:pPr>
    <w:rPr>
      <w:rFonts w:eastAsiaTheme="minorHAnsi" w:cstheme="minorBidi"/>
      <w:snapToGrid/>
      <w:sz w:val="18"/>
      <w:szCs w:val="22"/>
    </w:rPr>
  </w:style>
  <w:style w:type="character" w:styleId="Emphasis">
    <w:name w:val="Emphasis"/>
    <w:basedOn w:val="DefaultParagraphFont"/>
    <w:uiPriority w:val="20"/>
    <w:qFormat/>
    <w:rsid w:val="0020138A"/>
    <w:rPr>
      <w:b w:val="0"/>
      <w:i/>
      <w:iCs/>
    </w:rPr>
  </w:style>
  <w:style w:type="paragraph" w:customStyle="1" w:styleId="TableHeading">
    <w:name w:val="Table Heading"/>
    <w:basedOn w:val="Normal"/>
    <w:qFormat/>
    <w:rsid w:val="0020138A"/>
    <w:pPr>
      <w:keepNext/>
      <w:widowControl/>
      <w:spacing w:after="60"/>
      <w:jc w:val="left"/>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20138A"/>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20138A"/>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20138A"/>
    <w:pPr>
      <w:keepNext/>
    </w:pPr>
    <w:rPr>
      <w:b/>
    </w:rPr>
  </w:style>
  <w:style w:type="character" w:customStyle="1" w:styleId="V50TablenameChar">
    <w:name w:val="V5.0 Table name Char"/>
    <w:basedOn w:val="DefaultParagraphFont"/>
    <w:link w:val="V50Tablename"/>
    <w:rsid w:val="0020138A"/>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20138A"/>
    <w:pPr>
      <w:spacing w:after="120"/>
      <w:contextualSpacing/>
      <w:jc w:val="both"/>
    </w:pPr>
    <w:rPr>
      <w:sz w:val="18"/>
      <w:szCs w:val="18"/>
    </w:rPr>
  </w:style>
  <w:style w:type="character" w:customStyle="1" w:styleId="V50TablenoteChar">
    <w:name w:val="V5.0 Tablenote Char"/>
    <w:basedOn w:val="DefaultParagraphFont"/>
    <w:link w:val="V50Tablenote"/>
    <w:rsid w:val="0020138A"/>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20138A"/>
    <w:rPr>
      <w:rFonts w:ascii="Arial Narrow" w:hAnsi="Arial Narrow" w:cs="Arial"/>
      <w:snapToGrid w:val="0"/>
      <w:sz w:val="18"/>
      <w:lang w:eastAsia="en-US"/>
    </w:rPr>
  </w:style>
  <w:style w:type="paragraph" w:customStyle="1" w:styleId="oldTablefooter">
    <w:name w:val="old Table footer"/>
    <w:basedOn w:val="Normal"/>
    <w:link w:val="oldTablefooterChar"/>
    <w:qFormat/>
    <w:rsid w:val="0020138A"/>
    <w:pPr>
      <w:widowControl/>
    </w:pPr>
    <w:rPr>
      <w:rFonts w:eastAsiaTheme="minorHAnsi"/>
      <w:snapToGrid/>
      <w:sz w:val="18"/>
      <w:szCs w:val="18"/>
      <w:lang w:val="en-US"/>
    </w:rPr>
  </w:style>
  <w:style w:type="character" w:customStyle="1" w:styleId="oldTablefooterChar">
    <w:name w:val="old Table footer Char"/>
    <w:basedOn w:val="V50TableTextChar"/>
    <w:link w:val="oldTablefooter"/>
    <w:rsid w:val="0020138A"/>
    <w:rPr>
      <w:rFonts w:asciiTheme="minorHAnsi" w:eastAsiaTheme="minorHAnsi" w:hAnsiTheme="minorHAnsi" w:cs="Arial"/>
      <w:sz w:val="18"/>
      <w:szCs w:val="18"/>
      <w:lang w:val="en-US" w:eastAsia="en-US"/>
    </w:rPr>
  </w:style>
  <w:style w:type="character" w:customStyle="1" w:styleId="SubtitleChar">
    <w:name w:val="Subtitle Char"/>
    <w:link w:val="Subtitle"/>
    <w:uiPriority w:val="9"/>
    <w:rsid w:val="0020138A"/>
  </w:style>
  <w:style w:type="paragraph" w:styleId="Subtitle">
    <w:name w:val="Subtitle"/>
    <w:basedOn w:val="Normal"/>
    <w:link w:val="SubtitleChar"/>
    <w:uiPriority w:val="9"/>
    <w:rsid w:val="0020138A"/>
    <w:pPr>
      <w:widowControl/>
    </w:pPr>
    <w:rPr>
      <w:rFonts w:ascii="Times New Roman" w:hAnsi="Times New Roman" w:cs="Times New Roman"/>
      <w:snapToGrid/>
      <w:sz w:val="20"/>
      <w:lang w:eastAsia="en-AU"/>
    </w:rPr>
  </w:style>
  <w:style w:type="character" w:customStyle="1" w:styleId="SubtitleChar1">
    <w:name w:val="Subtitle Char1"/>
    <w:basedOn w:val="DefaultParagraphFont"/>
    <w:uiPriority w:val="9"/>
    <w:rsid w:val="0020138A"/>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0">
    <w:name w:val="PBAC Heading 1"/>
    <w:qFormat/>
    <w:rsid w:val="0020138A"/>
    <w:pPr>
      <w:spacing w:before="200" w:after="120"/>
      <w:ind w:left="720" w:hanging="720"/>
    </w:pPr>
    <w:rPr>
      <w:rFonts w:ascii="Arial" w:hAnsi="Arial" w:cs="Arial"/>
      <w:b/>
      <w:snapToGrid w:val="0"/>
      <w:sz w:val="22"/>
      <w:szCs w:val="22"/>
      <w:lang w:eastAsia="en-US"/>
    </w:rPr>
  </w:style>
  <w:style w:type="paragraph" w:customStyle="1" w:styleId="Style1">
    <w:name w:val="Style1"/>
    <w:basedOn w:val="Normal"/>
    <w:rsid w:val="0020138A"/>
  </w:style>
  <w:style w:type="numbering" w:customStyle="1" w:styleId="Headings">
    <w:name w:val="Headings"/>
    <w:uiPriority w:val="99"/>
    <w:rsid w:val="0020138A"/>
    <w:pPr>
      <w:numPr>
        <w:numId w:val="35"/>
      </w:numPr>
    </w:pPr>
  </w:style>
  <w:style w:type="character" w:styleId="FollowedHyperlink">
    <w:name w:val="FollowedHyperlink"/>
    <w:basedOn w:val="DefaultParagraphFont"/>
    <w:uiPriority w:val="99"/>
    <w:semiHidden/>
    <w:unhideWhenUsed/>
    <w:rsid w:val="0020138A"/>
    <w:rPr>
      <w:color w:val="800080" w:themeColor="followedHyperlink"/>
      <w:u w:val="single"/>
    </w:rPr>
  </w:style>
  <w:style w:type="paragraph" w:customStyle="1" w:styleId="BulletLast">
    <w:name w:val="Bullet Last"/>
    <w:basedOn w:val="Normal"/>
    <w:qFormat/>
    <w:rsid w:val="0020138A"/>
    <w:pPr>
      <w:widowControl/>
      <w:numPr>
        <w:numId w:val="37"/>
      </w:numPr>
      <w:spacing w:after="240"/>
      <w:ind w:left="357" w:hanging="357"/>
      <w:jc w:val="left"/>
    </w:pPr>
    <w:rPr>
      <w:rFonts w:eastAsiaTheme="minorHAnsi" w:cstheme="minorBidi"/>
      <w:snapToGrid/>
      <w:szCs w:val="22"/>
    </w:rPr>
  </w:style>
  <w:style w:type="paragraph" w:customStyle="1" w:styleId="TableFigNote">
    <w:name w:val="TableFigNote"/>
    <w:basedOn w:val="Normal"/>
    <w:qFormat/>
    <w:rsid w:val="0020138A"/>
    <w:pPr>
      <w:widowControl/>
      <w:jc w:val="left"/>
    </w:pPr>
    <w:rPr>
      <w:rFonts w:eastAsiaTheme="minorHAnsi" w:cstheme="minorBidi"/>
      <w:snapToGrid/>
      <w:sz w:val="18"/>
      <w:szCs w:val="22"/>
    </w:rPr>
  </w:style>
  <w:style w:type="character" w:customStyle="1" w:styleId="StyleArial11pt">
    <w:name w:val="Style Arial 11 pt"/>
    <w:basedOn w:val="DefaultParagraphFont"/>
    <w:rsid w:val="002013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013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20138A"/>
    <w:pPr>
      <w:widowControl/>
      <w:spacing w:before="100" w:beforeAutospacing="1" w:after="100" w:afterAutospacing="1"/>
      <w:jc w:val="left"/>
    </w:pPr>
    <w:rPr>
      <w:rFonts w:ascii="Times New Roman" w:hAnsi="Times New Roman" w:cs="Times New Roman"/>
      <w:snapToGrid/>
      <w:szCs w:val="24"/>
      <w:lang w:eastAsia="en-AU"/>
    </w:rPr>
  </w:style>
  <w:style w:type="table" w:customStyle="1" w:styleId="TableGridbeth1">
    <w:name w:val="Table Gridbeth1"/>
    <w:basedOn w:val="TableNormal"/>
    <w:next w:val="TableGrid"/>
    <w:uiPriority w:val="59"/>
    <w:rsid w:val="0020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0324-D5E7-4E60-9239-FF026A70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7219</Words>
  <Characters>41129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2017-10-16T02:51:00Z</dcterms:created>
  <dcterms:modified xsi:type="dcterms:W3CDTF">2017-10-16T03:08:00Z</dcterms:modified>
</cp:coreProperties>
</file>