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B7" w:rsidRPr="00E54258" w:rsidRDefault="003730B7" w:rsidP="003730B7">
      <w:pPr>
        <w:spacing w:before="120" w:after="160"/>
        <w:rPr>
          <w:rFonts w:ascii="Calibri" w:eastAsia="Calibri" w:hAnsi="Calibri" w:cs="Arial"/>
          <w:b/>
          <w:i/>
          <w:color w:val="FF0000"/>
          <w:szCs w:val="22"/>
          <w:u w:val="single"/>
          <w:lang w:eastAsia="en-US"/>
        </w:rPr>
      </w:pPr>
      <w:bookmarkStart w:id="0" w:name="_GoBack"/>
      <w:bookmarkEnd w:id="0"/>
      <w:r>
        <w:rPr>
          <w:rFonts w:ascii="Calibri" w:eastAsia="Calibri" w:hAnsi="Calibri" w:cs="Arial"/>
          <w:b/>
          <w:i/>
          <w:color w:val="FF0000"/>
          <w:szCs w:val="22"/>
          <w:u w:val="single"/>
          <w:lang w:eastAsia="en-US"/>
        </w:rPr>
        <w:t>Adden</w:t>
      </w:r>
      <w:r w:rsidRPr="00E54258">
        <w:rPr>
          <w:rFonts w:ascii="Calibri" w:eastAsia="Calibri" w:hAnsi="Calibri" w:cs="Arial"/>
          <w:b/>
          <w:i/>
          <w:color w:val="FF0000"/>
          <w:szCs w:val="22"/>
          <w:u w:val="single"/>
          <w:lang w:eastAsia="en-US"/>
        </w:rPr>
        <w:t>dum</w:t>
      </w:r>
      <w:r>
        <w:rPr>
          <w:rFonts w:ascii="Calibri" w:eastAsia="Calibri" w:hAnsi="Calibri" w:cs="Arial"/>
          <w:b/>
          <w:i/>
          <w:color w:val="FF0000"/>
          <w:szCs w:val="22"/>
          <w:u w:val="single"/>
          <w:lang w:eastAsia="en-US"/>
        </w:rPr>
        <w:t xml:space="preserve"> to the August 2017 Minutes:</w:t>
      </w:r>
    </w:p>
    <w:p w:rsidR="003730B7" w:rsidRPr="001054C9" w:rsidRDefault="003730B7" w:rsidP="001054C9">
      <w:pPr>
        <w:jc w:val="both"/>
        <w:rPr>
          <w:rFonts w:asciiTheme="minorHAnsi" w:hAnsiTheme="minorHAnsi"/>
          <w:szCs w:val="22"/>
        </w:rPr>
      </w:pPr>
    </w:p>
    <w:p w:rsidR="00B954FB" w:rsidRPr="00B954FB" w:rsidRDefault="00B954FB" w:rsidP="00B954FB">
      <w:pPr>
        <w:pStyle w:val="Title"/>
        <w:ind w:left="720" w:hanging="720"/>
        <w:rPr>
          <w:rFonts w:asciiTheme="minorHAnsi" w:hAnsiTheme="minorHAnsi"/>
          <w:szCs w:val="28"/>
        </w:rPr>
      </w:pPr>
      <w:r>
        <w:rPr>
          <w:rFonts w:asciiTheme="minorHAnsi" w:hAnsiTheme="minorHAnsi"/>
          <w:szCs w:val="28"/>
        </w:rPr>
        <w:t>13</w:t>
      </w:r>
      <w:r w:rsidR="007C0F57" w:rsidRPr="001054C9">
        <w:rPr>
          <w:rFonts w:asciiTheme="minorHAnsi" w:hAnsiTheme="minorHAnsi"/>
          <w:szCs w:val="28"/>
        </w:rPr>
        <w:tab/>
      </w:r>
      <w:r w:rsidRPr="00B954FB">
        <w:rPr>
          <w:rFonts w:asciiTheme="minorHAnsi" w:hAnsiTheme="minorHAnsi"/>
          <w:szCs w:val="28"/>
        </w:rPr>
        <w:t>PEMBROLIZUMAB,</w:t>
      </w:r>
    </w:p>
    <w:p w:rsidR="00B954FB" w:rsidRPr="00B954FB" w:rsidRDefault="00B954FB" w:rsidP="00B954FB">
      <w:pPr>
        <w:pStyle w:val="Title"/>
        <w:ind w:left="720"/>
        <w:rPr>
          <w:rFonts w:asciiTheme="minorHAnsi" w:hAnsiTheme="minorHAnsi"/>
          <w:szCs w:val="28"/>
        </w:rPr>
      </w:pPr>
      <w:r w:rsidRPr="00B954FB">
        <w:rPr>
          <w:rFonts w:asciiTheme="minorHAnsi" w:hAnsiTheme="minorHAnsi"/>
          <w:szCs w:val="28"/>
        </w:rPr>
        <w:t xml:space="preserve">Powder for I.V. infusion, 50 mg and 100 mg vials, </w:t>
      </w:r>
    </w:p>
    <w:p w:rsidR="00D3280C" w:rsidRPr="001054C9" w:rsidRDefault="00B954FB" w:rsidP="00B954FB">
      <w:pPr>
        <w:pStyle w:val="Title"/>
        <w:ind w:left="720"/>
        <w:rPr>
          <w:rFonts w:asciiTheme="minorHAnsi" w:hAnsiTheme="minorHAnsi"/>
          <w:szCs w:val="28"/>
        </w:rPr>
      </w:pPr>
      <w:r w:rsidRPr="00B954FB">
        <w:rPr>
          <w:rFonts w:asciiTheme="minorHAnsi" w:hAnsiTheme="minorHAnsi"/>
          <w:szCs w:val="28"/>
        </w:rPr>
        <w:t>Keytruda®, Merck, Sharp &amp; Dohme (Australia) Pty Limited</w:t>
      </w:r>
    </w:p>
    <w:p w:rsidR="00E15627" w:rsidRPr="001910A2" w:rsidRDefault="00CE10C4" w:rsidP="00E15627">
      <w:pPr>
        <w:pStyle w:val="PBACHeading1"/>
        <w:rPr>
          <w:rFonts w:asciiTheme="minorHAnsi" w:hAnsiTheme="minorHAnsi"/>
          <w:sz w:val="24"/>
          <w:szCs w:val="24"/>
        </w:rPr>
      </w:pPr>
      <w:r w:rsidRPr="001910A2">
        <w:rPr>
          <w:rFonts w:asciiTheme="minorHAnsi" w:hAnsiTheme="minorHAnsi"/>
          <w:sz w:val="24"/>
          <w:szCs w:val="24"/>
        </w:rPr>
        <w:t xml:space="preserve">Purpose of </w:t>
      </w:r>
      <w:r w:rsidR="004A6F63" w:rsidRPr="001910A2">
        <w:rPr>
          <w:rFonts w:asciiTheme="minorHAnsi" w:hAnsiTheme="minorHAnsi"/>
          <w:sz w:val="24"/>
          <w:szCs w:val="24"/>
        </w:rPr>
        <w:t>a</w:t>
      </w:r>
      <w:r w:rsidR="0004240E" w:rsidRPr="001910A2">
        <w:rPr>
          <w:rFonts w:asciiTheme="minorHAnsi" w:hAnsiTheme="minorHAnsi"/>
          <w:sz w:val="24"/>
          <w:szCs w:val="24"/>
        </w:rPr>
        <w:t>pplication</w:t>
      </w:r>
    </w:p>
    <w:p w:rsidR="008A50F1" w:rsidRPr="001910A2" w:rsidRDefault="008A50F1" w:rsidP="00E15627">
      <w:pPr>
        <w:rPr>
          <w:rFonts w:asciiTheme="minorHAnsi" w:hAnsiTheme="minorHAnsi"/>
        </w:rPr>
      </w:pPr>
    </w:p>
    <w:p w:rsidR="004C3FC5" w:rsidRPr="001910A2" w:rsidRDefault="004C3FC5" w:rsidP="004C3FC5">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To inform the PBAC of a </w:t>
      </w:r>
      <w:r w:rsidR="00E65F9D" w:rsidRPr="001910A2">
        <w:rPr>
          <w:rFonts w:asciiTheme="minorHAnsi" w:hAnsiTheme="minorHAnsi"/>
          <w:sz w:val="24"/>
          <w:szCs w:val="24"/>
        </w:rPr>
        <w:t xml:space="preserve">revised proposal from the sponsor on the basis of </w:t>
      </w:r>
      <w:r w:rsidR="00811056">
        <w:rPr>
          <w:rFonts w:asciiTheme="minorHAnsi" w:hAnsiTheme="minorHAnsi"/>
          <w:sz w:val="24"/>
          <w:szCs w:val="24"/>
        </w:rPr>
        <w:t xml:space="preserve">the </w:t>
      </w:r>
      <w:r w:rsidR="00E65F9D" w:rsidRPr="001910A2">
        <w:rPr>
          <w:rFonts w:asciiTheme="minorHAnsi" w:hAnsiTheme="minorHAnsi"/>
          <w:sz w:val="24"/>
          <w:szCs w:val="24"/>
        </w:rPr>
        <w:t xml:space="preserve">cost-minimisation of pembrolizumab to brentuximab vedotin (BV), following a deferral </w:t>
      </w:r>
      <w:r w:rsidR="00811056">
        <w:rPr>
          <w:rFonts w:asciiTheme="minorHAnsi" w:hAnsiTheme="minorHAnsi"/>
          <w:sz w:val="24"/>
          <w:szCs w:val="24"/>
        </w:rPr>
        <w:t xml:space="preserve">based partially on this matter </w:t>
      </w:r>
      <w:r w:rsidR="00E65F9D" w:rsidRPr="001910A2">
        <w:rPr>
          <w:rFonts w:asciiTheme="minorHAnsi" w:hAnsiTheme="minorHAnsi"/>
          <w:sz w:val="24"/>
          <w:szCs w:val="24"/>
        </w:rPr>
        <w:t>from the PBAC at its July 2017 meeting.</w:t>
      </w:r>
    </w:p>
    <w:p w:rsidR="00EF44A0" w:rsidRPr="001910A2" w:rsidRDefault="00EF44A0" w:rsidP="00C27B58">
      <w:pPr>
        <w:pStyle w:val="NoSpacing"/>
        <w:rPr>
          <w:rFonts w:asciiTheme="minorHAnsi" w:hAnsiTheme="minorHAnsi"/>
          <w:sz w:val="24"/>
          <w:szCs w:val="24"/>
        </w:rPr>
      </w:pPr>
    </w:p>
    <w:p w:rsidR="00962223" w:rsidRPr="001910A2" w:rsidRDefault="00E65F9D" w:rsidP="008A50F1">
      <w:pPr>
        <w:pStyle w:val="PBACHeading1"/>
        <w:rPr>
          <w:rFonts w:asciiTheme="minorHAnsi" w:hAnsiTheme="minorHAnsi"/>
          <w:sz w:val="24"/>
          <w:szCs w:val="24"/>
        </w:rPr>
      </w:pPr>
      <w:r w:rsidRPr="001910A2">
        <w:rPr>
          <w:rFonts w:asciiTheme="minorHAnsi" w:hAnsiTheme="minorHAnsi"/>
          <w:sz w:val="24"/>
          <w:szCs w:val="24"/>
        </w:rPr>
        <w:t>Background</w:t>
      </w:r>
    </w:p>
    <w:p w:rsidR="006A12A5" w:rsidRPr="001910A2" w:rsidRDefault="006A12A5" w:rsidP="00882085">
      <w:pPr>
        <w:jc w:val="both"/>
        <w:rPr>
          <w:rFonts w:asciiTheme="minorHAnsi" w:hAnsiTheme="minorHAnsi"/>
          <w:b/>
        </w:rPr>
      </w:pPr>
    </w:p>
    <w:p w:rsidR="00E65F9D" w:rsidRPr="001910A2" w:rsidRDefault="00E65F9D" w:rsidP="00E65F9D">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At its July 2017 meeting, the PBAC deferred making a recommendation on whether pembrolizumab should be listed on the PBS for the treatment of relapsed or refractory classical Hodgkin’s Lymphoma (rrcHL) pending a positive TGA Delegate’s overview, and further discussion with the sponsor on determining the basis of cost-minimisation against BV. In deciding to defer, the PBAC </w:t>
      </w:r>
      <w:r w:rsidR="00473509" w:rsidRPr="001910A2">
        <w:rPr>
          <w:rFonts w:asciiTheme="minorHAnsi" w:hAnsiTheme="minorHAnsi"/>
          <w:sz w:val="24"/>
          <w:szCs w:val="24"/>
        </w:rPr>
        <w:t>had considered</w:t>
      </w:r>
      <w:r w:rsidRPr="001910A2">
        <w:rPr>
          <w:rFonts w:asciiTheme="minorHAnsi" w:hAnsiTheme="minorHAnsi"/>
          <w:sz w:val="24"/>
          <w:szCs w:val="24"/>
        </w:rPr>
        <w:t xml:space="preserve"> that pembrolizumab treatment showed promising overall response rates in a heavily pre-treated, refractory patient population, and that the clinical claim of non-inferiority compared with BV was supported by the evidence provided.</w:t>
      </w:r>
    </w:p>
    <w:p w:rsidR="00E65F9D" w:rsidRPr="00811056" w:rsidRDefault="00E65F9D" w:rsidP="00E65F9D">
      <w:pPr>
        <w:rPr>
          <w:rFonts w:asciiTheme="minorHAnsi" w:hAnsiTheme="minorHAnsi"/>
        </w:rPr>
      </w:pPr>
    </w:p>
    <w:p w:rsidR="004068AC" w:rsidRPr="001910A2" w:rsidRDefault="004068AC" w:rsidP="00942D05">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A revised proposal was received from the sponsor in response to the </w:t>
      </w:r>
      <w:r w:rsidR="00942D05" w:rsidRPr="001910A2">
        <w:rPr>
          <w:rFonts w:asciiTheme="minorHAnsi" w:hAnsiTheme="minorHAnsi"/>
          <w:sz w:val="24"/>
          <w:szCs w:val="24"/>
        </w:rPr>
        <w:t xml:space="preserve">July 2017 PBAC minutes, addressing the issues raised in the minutes about the restriction, the basis for cost-minimisation, utilisation estimates and the proposed Risk </w:t>
      </w:r>
      <w:r w:rsidR="004A6F63" w:rsidRPr="001910A2">
        <w:rPr>
          <w:rFonts w:asciiTheme="minorHAnsi" w:hAnsiTheme="minorHAnsi"/>
          <w:sz w:val="24"/>
          <w:szCs w:val="24"/>
        </w:rPr>
        <w:t>S</w:t>
      </w:r>
      <w:r w:rsidR="00942D05" w:rsidRPr="001910A2">
        <w:rPr>
          <w:rFonts w:asciiTheme="minorHAnsi" w:hAnsiTheme="minorHAnsi"/>
          <w:sz w:val="24"/>
          <w:szCs w:val="24"/>
        </w:rPr>
        <w:t xml:space="preserve">haring </w:t>
      </w:r>
      <w:r w:rsidR="004A6F63" w:rsidRPr="001910A2">
        <w:rPr>
          <w:rFonts w:asciiTheme="minorHAnsi" w:hAnsiTheme="minorHAnsi"/>
          <w:sz w:val="24"/>
          <w:szCs w:val="24"/>
        </w:rPr>
        <w:t>A</w:t>
      </w:r>
      <w:r w:rsidR="00942D05" w:rsidRPr="001910A2">
        <w:rPr>
          <w:rFonts w:asciiTheme="minorHAnsi" w:hAnsiTheme="minorHAnsi"/>
          <w:sz w:val="24"/>
          <w:szCs w:val="24"/>
        </w:rPr>
        <w:t xml:space="preserve">rrangement (RSA). </w:t>
      </w:r>
      <w:r w:rsidR="00942D05" w:rsidRPr="001910A2">
        <w:rPr>
          <w:rFonts w:asciiTheme="minorHAnsi" w:hAnsiTheme="minorHAnsi"/>
          <w:i/>
          <w:sz w:val="24"/>
          <w:szCs w:val="24"/>
        </w:rPr>
        <w:t>See Section 3 for details of the sponsor’s proposal.</w:t>
      </w:r>
    </w:p>
    <w:p w:rsidR="00942D05" w:rsidRPr="001910A2" w:rsidRDefault="00942D05" w:rsidP="00942D05">
      <w:pPr>
        <w:rPr>
          <w:rFonts w:asciiTheme="minorHAnsi" w:hAnsiTheme="minorHAnsi"/>
        </w:rPr>
      </w:pPr>
    </w:p>
    <w:p w:rsidR="004068AC" w:rsidRPr="001910A2" w:rsidRDefault="004068AC" w:rsidP="004068AC">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A positive </w:t>
      </w:r>
      <w:r w:rsidR="00811056">
        <w:rPr>
          <w:rFonts w:asciiTheme="minorHAnsi" w:hAnsiTheme="minorHAnsi"/>
          <w:sz w:val="24"/>
          <w:szCs w:val="24"/>
        </w:rPr>
        <w:t xml:space="preserve">TGA </w:t>
      </w:r>
      <w:r w:rsidRPr="001910A2">
        <w:rPr>
          <w:rFonts w:asciiTheme="minorHAnsi" w:hAnsiTheme="minorHAnsi"/>
          <w:sz w:val="24"/>
          <w:szCs w:val="24"/>
        </w:rPr>
        <w:t>delegate’s overview a</w:t>
      </w:r>
      <w:r w:rsidR="00473509" w:rsidRPr="001910A2">
        <w:rPr>
          <w:rFonts w:asciiTheme="minorHAnsi" w:hAnsiTheme="minorHAnsi"/>
          <w:sz w:val="24"/>
          <w:szCs w:val="24"/>
        </w:rPr>
        <w:t xml:space="preserve">nd the ratified resolution of </w:t>
      </w:r>
      <w:r w:rsidRPr="001910A2">
        <w:rPr>
          <w:rFonts w:asciiTheme="minorHAnsi" w:hAnsiTheme="minorHAnsi"/>
          <w:sz w:val="24"/>
          <w:szCs w:val="24"/>
        </w:rPr>
        <w:t xml:space="preserve">the </w:t>
      </w:r>
      <w:r w:rsidR="00811056">
        <w:rPr>
          <w:rFonts w:asciiTheme="minorHAnsi" w:hAnsiTheme="minorHAnsi"/>
          <w:sz w:val="24"/>
          <w:szCs w:val="24"/>
        </w:rPr>
        <w:t xml:space="preserve">TGA’s </w:t>
      </w:r>
      <w:r w:rsidRPr="001910A2">
        <w:rPr>
          <w:rFonts w:asciiTheme="minorHAnsi" w:hAnsiTheme="minorHAnsi"/>
          <w:sz w:val="24"/>
          <w:szCs w:val="24"/>
        </w:rPr>
        <w:t xml:space="preserve">Advisory Committee on Medicines (ACM) meeting was </w:t>
      </w:r>
      <w:r w:rsidR="00811056">
        <w:rPr>
          <w:rFonts w:asciiTheme="minorHAnsi" w:hAnsiTheme="minorHAnsi"/>
          <w:sz w:val="24"/>
          <w:szCs w:val="24"/>
        </w:rPr>
        <w:t xml:space="preserve">available to the Committee </w:t>
      </w:r>
      <w:r w:rsidRPr="001910A2">
        <w:rPr>
          <w:rFonts w:asciiTheme="minorHAnsi" w:hAnsiTheme="minorHAnsi"/>
          <w:sz w:val="24"/>
          <w:szCs w:val="24"/>
        </w:rPr>
        <w:t>prior to the Au</w:t>
      </w:r>
      <w:r w:rsidR="00811056">
        <w:rPr>
          <w:rFonts w:asciiTheme="minorHAnsi" w:hAnsiTheme="minorHAnsi"/>
          <w:sz w:val="24"/>
          <w:szCs w:val="24"/>
        </w:rPr>
        <w:t>gust 2017 Special PBAC meeting.</w:t>
      </w:r>
    </w:p>
    <w:p w:rsidR="004068AC" w:rsidRPr="00811056" w:rsidRDefault="004068AC" w:rsidP="004068AC">
      <w:pPr>
        <w:rPr>
          <w:rFonts w:asciiTheme="minorHAnsi" w:hAnsiTheme="minorHAnsi"/>
        </w:rPr>
      </w:pPr>
    </w:p>
    <w:p w:rsidR="00942D05" w:rsidRPr="001910A2" w:rsidRDefault="00EF44A0" w:rsidP="004068AC">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w:t>
      </w:r>
      <w:r w:rsidR="00E65F9D" w:rsidRPr="001910A2">
        <w:rPr>
          <w:rFonts w:asciiTheme="minorHAnsi" w:hAnsiTheme="minorHAnsi"/>
          <w:sz w:val="24"/>
          <w:szCs w:val="24"/>
        </w:rPr>
        <w:t>clinical evidence was unchanged</w:t>
      </w:r>
      <w:r w:rsidR="00811056">
        <w:rPr>
          <w:rFonts w:asciiTheme="minorHAnsi" w:hAnsiTheme="minorHAnsi"/>
          <w:sz w:val="24"/>
          <w:szCs w:val="24"/>
        </w:rPr>
        <w:t xml:space="preserve"> from the July 2017 submission.</w:t>
      </w:r>
    </w:p>
    <w:p w:rsidR="00942D05" w:rsidRPr="00811056" w:rsidRDefault="00942D05" w:rsidP="00942D05">
      <w:pPr>
        <w:rPr>
          <w:rFonts w:asciiTheme="minorHAnsi" w:hAnsiTheme="minorHAnsi"/>
        </w:rPr>
      </w:pPr>
    </w:p>
    <w:p w:rsidR="00942D05" w:rsidRPr="001910A2" w:rsidRDefault="00942D05" w:rsidP="00942D05">
      <w:pPr>
        <w:ind w:firstLine="720"/>
        <w:rPr>
          <w:rFonts w:asciiTheme="minorHAnsi" w:hAnsiTheme="minorHAnsi" w:cs="Arial"/>
          <w:bCs/>
          <w:snapToGrid w:val="0"/>
        </w:rPr>
      </w:pPr>
      <w:r w:rsidRPr="001910A2">
        <w:rPr>
          <w:rFonts w:asciiTheme="minorHAnsi" w:hAnsiTheme="minorHAnsi" w:cs="Arial"/>
          <w:bCs/>
          <w:i/>
          <w:snapToGrid w:val="0"/>
        </w:rPr>
        <w:t>For more detail on PBAC’s view, see section 5 “PBAC outcome”.</w:t>
      </w:r>
    </w:p>
    <w:p w:rsidR="00942D05" w:rsidRPr="001910A2" w:rsidRDefault="00942D05" w:rsidP="00942D05">
      <w:pPr>
        <w:rPr>
          <w:rFonts w:asciiTheme="minorHAnsi" w:hAnsiTheme="minorHAnsi"/>
        </w:rPr>
      </w:pPr>
    </w:p>
    <w:p w:rsidR="00942D05" w:rsidRPr="001910A2" w:rsidRDefault="00942D05" w:rsidP="00942D05">
      <w:pPr>
        <w:pStyle w:val="PBACHeading1"/>
        <w:rPr>
          <w:rFonts w:asciiTheme="minorHAnsi" w:hAnsiTheme="minorHAnsi"/>
          <w:sz w:val="24"/>
          <w:szCs w:val="24"/>
        </w:rPr>
      </w:pPr>
      <w:r w:rsidRPr="001910A2">
        <w:rPr>
          <w:rFonts w:asciiTheme="minorHAnsi" w:hAnsiTheme="minorHAnsi"/>
          <w:sz w:val="24"/>
          <w:szCs w:val="24"/>
        </w:rPr>
        <w:t xml:space="preserve">Current </w:t>
      </w:r>
      <w:r w:rsidR="004A6F63" w:rsidRPr="001910A2">
        <w:rPr>
          <w:rFonts w:asciiTheme="minorHAnsi" w:hAnsiTheme="minorHAnsi"/>
          <w:sz w:val="24"/>
          <w:szCs w:val="24"/>
        </w:rPr>
        <w:t>p</w:t>
      </w:r>
      <w:r w:rsidRPr="001910A2">
        <w:rPr>
          <w:rFonts w:asciiTheme="minorHAnsi" w:hAnsiTheme="minorHAnsi"/>
          <w:sz w:val="24"/>
          <w:szCs w:val="24"/>
        </w:rPr>
        <w:t>roposal</w:t>
      </w:r>
    </w:p>
    <w:p w:rsidR="006A6C28" w:rsidRPr="00811056" w:rsidRDefault="006A6C28" w:rsidP="00811056">
      <w:pPr>
        <w:rPr>
          <w:rFonts w:asciiTheme="minorHAnsi" w:hAnsiTheme="minorHAnsi" w:cs="Arial"/>
          <w:bCs/>
          <w:snapToGrid w:val="0"/>
        </w:rPr>
      </w:pPr>
    </w:p>
    <w:p w:rsidR="00D66F1D" w:rsidRPr="001910A2" w:rsidRDefault="00811056" w:rsidP="00D66F1D">
      <w:pPr>
        <w:pStyle w:val="Heading2"/>
        <w:rPr>
          <w:rFonts w:asciiTheme="minorHAnsi" w:hAnsiTheme="minorHAnsi"/>
          <w:b w:val="0"/>
          <w:i w:val="0"/>
          <w:sz w:val="24"/>
          <w:u w:val="single"/>
        </w:rPr>
      </w:pPr>
      <w:r>
        <w:rPr>
          <w:rFonts w:asciiTheme="minorHAnsi" w:hAnsiTheme="minorHAnsi"/>
          <w:b w:val="0"/>
          <w:i w:val="0"/>
          <w:sz w:val="24"/>
          <w:u w:val="single"/>
        </w:rPr>
        <w:t>Restriction</w:t>
      </w:r>
    </w:p>
    <w:p w:rsidR="002342B2" w:rsidRPr="001910A2" w:rsidRDefault="002342B2" w:rsidP="00B63CA2">
      <w:pPr>
        <w:rPr>
          <w:rFonts w:asciiTheme="minorHAnsi" w:hAnsiTheme="minorHAnsi"/>
        </w:rPr>
      </w:pPr>
    </w:p>
    <w:p w:rsidR="00D66F1D" w:rsidRPr="001910A2" w:rsidRDefault="005162C5" w:rsidP="00811056">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sponsor agreed with the PBAC’s advice to remove the separation according to </w:t>
      </w:r>
      <w:r w:rsidR="00811056" w:rsidRPr="00811056">
        <w:rPr>
          <w:rFonts w:asciiTheme="minorHAnsi" w:hAnsiTheme="minorHAnsi"/>
          <w:sz w:val="24"/>
          <w:szCs w:val="24"/>
        </w:rPr>
        <w:t>autologous stem cell transplant (</w:t>
      </w:r>
      <w:r w:rsidRPr="001910A2">
        <w:rPr>
          <w:rFonts w:asciiTheme="minorHAnsi" w:hAnsiTheme="minorHAnsi"/>
          <w:sz w:val="24"/>
          <w:szCs w:val="24"/>
        </w:rPr>
        <w:t>ASCT</w:t>
      </w:r>
      <w:r w:rsidR="00811056">
        <w:rPr>
          <w:rFonts w:asciiTheme="minorHAnsi" w:hAnsiTheme="minorHAnsi"/>
          <w:sz w:val="24"/>
          <w:szCs w:val="24"/>
        </w:rPr>
        <w:t>)</w:t>
      </w:r>
      <w:r w:rsidRPr="001910A2">
        <w:rPr>
          <w:rFonts w:asciiTheme="minorHAnsi" w:hAnsiTheme="minorHAnsi"/>
          <w:sz w:val="24"/>
          <w:szCs w:val="24"/>
        </w:rPr>
        <w:t xml:space="preserve"> status in the proposed PBS restrictions, </w:t>
      </w:r>
      <w:r w:rsidRPr="001910A2">
        <w:rPr>
          <w:rFonts w:asciiTheme="minorHAnsi" w:hAnsiTheme="minorHAnsi"/>
          <w:sz w:val="24"/>
          <w:szCs w:val="24"/>
        </w:rPr>
        <w:lastRenderedPageBreak/>
        <w:t xml:space="preserve">resulting in a single initial and a single continuation restriction. The sponsor also agreed to </w:t>
      </w:r>
      <w:r w:rsidR="00473509" w:rsidRPr="001910A2">
        <w:rPr>
          <w:rFonts w:asciiTheme="minorHAnsi" w:hAnsiTheme="minorHAnsi"/>
          <w:sz w:val="24"/>
          <w:szCs w:val="24"/>
        </w:rPr>
        <w:t>the removal of</w:t>
      </w:r>
      <w:r w:rsidRPr="001910A2">
        <w:rPr>
          <w:rFonts w:asciiTheme="minorHAnsi" w:hAnsiTheme="minorHAnsi"/>
          <w:sz w:val="24"/>
          <w:szCs w:val="24"/>
        </w:rPr>
        <w:t xml:space="preserve"> the reference to CD30+ and multi-agent chemotherap</w:t>
      </w:r>
      <w:r w:rsidR="00811056">
        <w:rPr>
          <w:rFonts w:asciiTheme="minorHAnsi" w:hAnsiTheme="minorHAnsi"/>
          <w:sz w:val="24"/>
          <w:szCs w:val="24"/>
        </w:rPr>
        <w:t>y in the requested restriction.</w:t>
      </w:r>
    </w:p>
    <w:p w:rsidR="005162C5" w:rsidRPr="00811056" w:rsidRDefault="005162C5" w:rsidP="00991133">
      <w:pPr>
        <w:jc w:val="both"/>
        <w:rPr>
          <w:rFonts w:asciiTheme="minorHAnsi" w:hAnsiTheme="minorHAnsi"/>
          <w:u w:val="single"/>
        </w:rPr>
      </w:pPr>
    </w:p>
    <w:p w:rsidR="005162C5" w:rsidRPr="001910A2" w:rsidRDefault="005162C5" w:rsidP="005162C5">
      <w:pPr>
        <w:pStyle w:val="Heading2"/>
        <w:rPr>
          <w:rFonts w:asciiTheme="minorHAnsi" w:hAnsiTheme="minorHAnsi"/>
          <w:b w:val="0"/>
          <w:i w:val="0"/>
          <w:sz w:val="24"/>
          <w:u w:val="single"/>
        </w:rPr>
      </w:pPr>
      <w:r w:rsidRPr="001910A2">
        <w:rPr>
          <w:rFonts w:asciiTheme="minorHAnsi" w:hAnsiTheme="minorHAnsi"/>
          <w:b w:val="0"/>
          <w:i w:val="0"/>
          <w:sz w:val="24"/>
          <w:u w:val="single"/>
        </w:rPr>
        <w:t>Cost-minimisation</w:t>
      </w:r>
    </w:p>
    <w:p w:rsidR="00D66F1D" w:rsidRPr="00811056" w:rsidRDefault="00D66F1D" w:rsidP="00811056">
      <w:pPr>
        <w:rPr>
          <w:rFonts w:asciiTheme="minorHAnsi" w:hAnsiTheme="minorHAnsi"/>
        </w:rPr>
      </w:pPr>
    </w:p>
    <w:p w:rsidR="005162C5" w:rsidRPr="001910A2" w:rsidRDefault="005162C5" w:rsidP="005162C5">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sponsor accepted the PBAC’s suggestion that the cost-minimisation analysis be based on </w:t>
      </w:r>
      <w:r w:rsidR="00811056">
        <w:rPr>
          <w:rFonts w:asciiTheme="minorHAnsi" w:hAnsiTheme="minorHAnsi"/>
          <w:sz w:val="24"/>
          <w:szCs w:val="24"/>
        </w:rPr>
        <w:t xml:space="preserve">estimated </w:t>
      </w:r>
      <w:r w:rsidRPr="001910A2">
        <w:rPr>
          <w:rFonts w:asciiTheme="minorHAnsi" w:hAnsiTheme="minorHAnsi"/>
          <w:sz w:val="24"/>
          <w:szCs w:val="24"/>
        </w:rPr>
        <w:t>mean modelled duration</w:t>
      </w:r>
      <w:r w:rsidR="00811056">
        <w:rPr>
          <w:rFonts w:asciiTheme="minorHAnsi" w:hAnsiTheme="minorHAnsi"/>
          <w:sz w:val="24"/>
          <w:szCs w:val="24"/>
        </w:rPr>
        <w:t>s</w:t>
      </w:r>
      <w:r w:rsidRPr="001910A2">
        <w:rPr>
          <w:rFonts w:asciiTheme="minorHAnsi" w:hAnsiTheme="minorHAnsi"/>
          <w:sz w:val="24"/>
          <w:szCs w:val="24"/>
        </w:rPr>
        <w:t xml:space="preserve"> of therapies of </w:t>
      </w:r>
      <w:r w:rsidR="001856B0">
        <w:rPr>
          <w:rFonts w:asciiTheme="minorHAnsi" w:hAnsiTheme="minorHAnsi"/>
          <w:noProof/>
          <w:color w:val="000000"/>
          <w:sz w:val="24"/>
          <w:szCs w:val="24"/>
          <w:highlight w:val="black"/>
        </w:rPr>
        <w:t>''''''''' ''''''' '''''''''''</w:t>
      </w:r>
      <w:r w:rsidRPr="001910A2">
        <w:rPr>
          <w:rFonts w:asciiTheme="minorHAnsi" w:hAnsiTheme="minorHAnsi"/>
          <w:sz w:val="24"/>
          <w:szCs w:val="24"/>
        </w:rPr>
        <w:t xml:space="preserve"> cycles for BV and pembrolizumab, respectively</w:t>
      </w:r>
      <w:r w:rsidR="00811056">
        <w:rPr>
          <w:rFonts w:asciiTheme="minorHAnsi" w:hAnsiTheme="minorHAnsi"/>
          <w:sz w:val="24"/>
          <w:szCs w:val="24"/>
        </w:rPr>
        <w:t xml:space="preserve">, and on estimated </w:t>
      </w:r>
      <w:r w:rsidRPr="001910A2">
        <w:rPr>
          <w:rFonts w:asciiTheme="minorHAnsi" w:hAnsiTheme="minorHAnsi"/>
          <w:sz w:val="24"/>
          <w:szCs w:val="24"/>
        </w:rPr>
        <w:t>mean number of vials per administration of 3.14</w:t>
      </w:r>
      <w:r w:rsidR="004A6F63">
        <w:rPr>
          <w:rFonts w:asciiTheme="minorHAnsi" w:hAnsiTheme="minorHAnsi"/>
          <w:sz w:val="24"/>
          <w:szCs w:val="24"/>
        </w:rPr>
        <w:t xml:space="preserve"> and</w:t>
      </w:r>
      <w:r w:rsidRPr="001910A2">
        <w:rPr>
          <w:rFonts w:asciiTheme="minorHAnsi" w:hAnsiTheme="minorHAnsi"/>
          <w:sz w:val="24"/>
          <w:szCs w:val="24"/>
        </w:rPr>
        <w:t xml:space="preserve"> 4 (</w:t>
      </w:r>
      <w:r w:rsidR="00811056">
        <w:rPr>
          <w:rFonts w:asciiTheme="minorHAnsi" w:hAnsiTheme="minorHAnsi"/>
          <w:sz w:val="24"/>
          <w:szCs w:val="24"/>
        </w:rPr>
        <w:t xml:space="preserve">of </w:t>
      </w:r>
      <w:r w:rsidRPr="001910A2">
        <w:rPr>
          <w:rFonts w:asciiTheme="minorHAnsi" w:hAnsiTheme="minorHAnsi"/>
          <w:sz w:val="24"/>
          <w:szCs w:val="24"/>
        </w:rPr>
        <w:t>50</w:t>
      </w:r>
      <w:r w:rsidR="00811056">
        <w:rPr>
          <w:rFonts w:asciiTheme="minorHAnsi" w:hAnsiTheme="minorHAnsi"/>
          <w:sz w:val="24"/>
          <w:szCs w:val="24"/>
        </w:rPr>
        <w:t> </w:t>
      </w:r>
      <w:r w:rsidRPr="001910A2">
        <w:rPr>
          <w:rFonts w:asciiTheme="minorHAnsi" w:hAnsiTheme="minorHAnsi"/>
          <w:sz w:val="24"/>
          <w:szCs w:val="24"/>
        </w:rPr>
        <w:t>mg</w:t>
      </w:r>
      <w:r w:rsidR="00811056">
        <w:rPr>
          <w:rFonts w:asciiTheme="minorHAnsi" w:hAnsiTheme="minorHAnsi"/>
          <w:sz w:val="24"/>
          <w:szCs w:val="24"/>
        </w:rPr>
        <w:t xml:space="preserve"> each</w:t>
      </w:r>
      <w:r w:rsidRPr="001910A2">
        <w:rPr>
          <w:rFonts w:asciiTheme="minorHAnsi" w:hAnsiTheme="minorHAnsi"/>
          <w:sz w:val="24"/>
          <w:szCs w:val="24"/>
        </w:rPr>
        <w:t xml:space="preserve">) for </w:t>
      </w:r>
      <w:r w:rsidR="004A6F63" w:rsidRPr="001910A2">
        <w:rPr>
          <w:rFonts w:asciiTheme="minorHAnsi" w:hAnsiTheme="minorHAnsi"/>
          <w:sz w:val="24"/>
          <w:szCs w:val="24"/>
        </w:rPr>
        <w:t xml:space="preserve">BV </w:t>
      </w:r>
      <w:r w:rsidR="004A6F63">
        <w:rPr>
          <w:rFonts w:asciiTheme="minorHAnsi" w:hAnsiTheme="minorHAnsi"/>
          <w:sz w:val="24"/>
          <w:szCs w:val="24"/>
        </w:rPr>
        <w:t xml:space="preserve">and </w:t>
      </w:r>
      <w:r w:rsidRPr="001910A2">
        <w:rPr>
          <w:rFonts w:asciiTheme="minorHAnsi" w:hAnsiTheme="minorHAnsi"/>
          <w:sz w:val="24"/>
          <w:szCs w:val="24"/>
        </w:rPr>
        <w:t>pembrolizumab</w:t>
      </w:r>
      <w:r w:rsidR="004A6F63">
        <w:rPr>
          <w:rFonts w:asciiTheme="minorHAnsi" w:hAnsiTheme="minorHAnsi"/>
          <w:sz w:val="24"/>
          <w:szCs w:val="24"/>
        </w:rPr>
        <w:t>, respectively</w:t>
      </w:r>
      <w:r w:rsidRPr="001910A2">
        <w:rPr>
          <w:rFonts w:asciiTheme="minorHAnsi" w:hAnsiTheme="minorHAnsi"/>
          <w:sz w:val="24"/>
          <w:szCs w:val="24"/>
        </w:rPr>
        <w:t xml:space="preserve">. Based on these </w:t>
      </w:r>
      <w:r w:rsidR="004A6F63">
        <w:rPr>
          <w:rFonts w:asciiTheme="minorHAnsi" w:hAnsiTheme="minorHAnsi"/>
          <w:sz w:val="24"/>
          <w:szCs w:val="24"/>
        </w:rPr>
        <w:t>estimates</w:t>
      </w:r>
      <w:r w:rsidRPr="001910A2">
        <w:rPr>
          <w:rFonts w:asciiTheme="minorHAnsi" w:hAnsiTheme="minorHAnsi"/>
          <w:sz w:val="24"/>
          <w:szCs w:val="24"/>
        </w:rPr>
        <w:t>, the sponsor stated that the ex-manufacturer’s price for pembrolizumab would therefore be $</w:t>
      </w:r>
      <w:r w:rsidR="001856B0">
        <w:rPr>
          <w:rFonts w:asciiTheme="minorHAnsi" w:hAnsiTheme="minorHAnsi"/>
          <w:noProof/>
          <w:color w:val="000000"/>
          <w:sz w:val="24"/>
          <w:szCs w:val="24"/>
          <w:highlight w:val="black"/>
        </w:rPr>
        <w:t>''''''''''</w:t>
      </w:r>
      <w:r w:rsidRPr="001910A2">
        <w:rPr>
          <w:rFonts w:asciiTheme="minorHAnsi" w:hAnsiTheme="minorHAnsi"/>
          <w:sz w:val="24"/>
          <w:szCs w:val="24"/>
        </w:rPr>
        <w:t xml:space="preserve"> per 50</w:t>
      </w:r>
      <w:r w:rsidR="00811056">
        <w:rPr>
          <w:rFonts w:asciiTheme="minorHAnsi" w:hAnsiTheme="minorHAnsi"/>
          <w:sz w:val="24"/>
          <w:szCs w:val="24"/>
        </w:rPr>
        <w:t> </w:t>
      </w:r>
      <w:r w:rsidRPr="001910A2">
        <w:rPr>
          <w:rFonts w:asciiTheme="minorHAnsi" w:hAnsiTheme="minorHAnsi"/>
          <w:sz w:val="24"/>
          <w:szCs w:val="24"/>
        </w:rPr>
        <w:t>mg vial.</w:t>
      </w:r>
    </w:p>
    <w:p w:rsidR="00C6122C" w:rsidRPr="00811056" w:rsidRDefault="00C6122C" w:rsidP="00C6122C">
      <w:pPr>
        <w:rPr>
          <w:rFonts w:asciiTheme="minorHAnsi" w:hAnsiTheme="minorHAnsi"/>
        </w:rPr>
      </w:pPr>
    </w:p>
    <w:p w:rsidR="005162C5" w:rsidRPr="001910A2" w:rsidRDefault="005162C5" w:rsidP="005162C5">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sponsor </w:t>
      </w:r>
      <w:r w:rsidR="008E0E38" w:rsidRPr="001910A2">
        <w:rPr>
          <w:rFonts w:asciiTheme="minorHAnsi" w:hAnsiTheme="minorHAnsi"/>
          <w:sz w:val="24"/>
          <w:szCs w:val="24"/>
        </w:rPr>
        <w:t xml:space="preserve">acknowledged that the above </w:t>
      </w:r>
      <w:r w:rsidR="004A6F63">
        <w:rPr>
          <w:rFonts w:asciiTheme="minorHAnsi" w:hAnsiTheme="minorHAnsi"/>
          <w:sz w:val="24"/>
          <w:szCs w:val="24"/>
        </w:rPr>
        <w:t xml:space="preserve">price </w:t>
      </w:r>
      <w:r w:rsidR="008E0E38" w:rsidRPr="001910A2">
        <w:rPr>
          <w:rFonts w:asciiTheme="minorHAnsi" w:hAnsiTheme="minorHAnsi"/>
          <w:sz w:val="24"/>
          <w:szCs w:val="24"/>
        </w:rPr>
        <w:t>estimate</w:t>
      </w:r>
      <w:r w:rsidR="004A6F63">
        <w:rPr>
          <w:rFonts w:asciiTheme="minorHAnsi" w:hAnsiTheme="minorHAnsi"/>
          <w:sz w:val="24"/>
          <w:szCs w:val="24"/>
        </w:rPr>
        <w:t xml:space="preserve"> wa</w:t>
      </w:r>
      <w:r w:rsidR="008E0E38" w:rsidRPr="001910A2">
        <w:rPr>
          <w:rFonts w:asciiTheme="minorHAnsi" w:hAnsiTheme="minorHAnsi"/>
          <w:sz w:val="24"/>
          <w:szCs w:val="24"/>
        </w:rPr>
        <w:t xml:space="preserve">s </w:t>
      </w:r>
      <w:r w:rsidRPr="001910A2">
        <w:rPr>
          <w:rFonts w:asciiTheme="minorHAnsi" w:hAnsiTheme="minorHAnsi"/>
          <w:sz w:val="24"/>
          <w:szCs w:val="24"/>
        </w:rPr>
        <w:t>based on the</w:t>
      </w:r>
      <w:r w:rsidR="00C6122C" w:rsidRPr="001910A2">
        <w:rPr>
          <w:rFonts w:asciiTheme="minorHAnsi" w:hAnsiTheme="minorHAnsi"/>
          <w:sz w:val="24"/>
          <w:szCs w:val="24"/>
        </w:rPr>
        <w:t xml:space="preserve"> published price of BV, and that the final price of pembrolizumab would have to be determined using the effective price of BV, under the above </w:t>
      </w:r>
      <w:r w:rsidR="00811056">
        <w:rPr>
          <w:rFonts w:asciiTheme="minorHAnsi" w:hAnsiTheme="minorHAnsi"/>
          <w:sz w:val="24"/>
          <w:szCs w:val="24"/>
        </w:rPr>
        <w:t>dose and duration estimates</w:t>
      </w:r>
      <w:r w:rsidR="002923AE">
        <w:rPr>
          <w:rFonts w:asciiTheme="minorHAnsi" w:hAnsiTheme="minorHAnsi"/>
          <w:sz w:val="24"/>
          <w:szCs w:val="24"/>
        </w:rPr>
        <w:t>.</w:t>
      </w:r>
    </w:p>
    <w:p w:rsidR="008A1956" w:rsidRPr="001910A2" w:rsidRDefault="008A1956" w:rsidP="00882085">
      <w:pPr>
        <w:jc w:val="both"/>
        <w:rPr>
          <w:rFonts w:asciiTheme="minorHAnsi" w:hAnsiTheme="minorHAnsi"/>
          <w:b/>
        </w:rPr>
      </w:pPr>
    </w:p>
    <w:p w:rsidR="005A3173" w:rsidRPr="001910A2" w:rsidRDefault="005A3173" w:rsidP="00B1059E">
      <w:pPr>
        <w:pStyle w:val="Heading2"/>
        <w:rPr>
          <w:rFonts w:asciiTheme="minorHAnsi" w:hAnsiTheme="minorHAnsi"/>
          <w:b w:val="0"/>
          <w:i w:val="0"/>
          <w:sz w:val="24"/>
          <w:u w:val="single"/>
        </w:rPr>
      </w:pPr>
      <w:r w:rsidRPr="001910A2">
        <w:rPr>
          <w:rFonts w:asciiTheme="minorHAnsi" w:hAnsiTheme="minorHAnsi"/>
          <w:b w:val="0"/>
          <w:i w:val="0"/>
          <w:sz w:val="24"/>
          <w:u w:val="single"/>
        </w:rPr>
        <w:t xml:space="preserve">Estimated PBS </w:t>
      </w:r>
      <w:r w:rsidR="004A6F63" w:rsidRPr="001910A2">
        <w:rPr>
          <w:rFonts w:asciiTheme="minorHAnsi" w:hAnsiTheme="minorHAnsi"/>
          <w:b w:val="0"/>
          <w:i w:val="0"/>
          <w:sz w:val="24"/>
          <w:u w:val="single"/>
        </w:rPr>
        <w:t xml:space="preserve">usage </w:t>
      </w:r>
      <w:r w:rsidR="004A6F63">
        <w:rPr>
          <w:rFonts w:asciiTheme="minorHAnsi" w:hAnsiTheme="minorHAnsi"/>
          <w:b w:val="0"/>
          <w:i w:val="0"/>
          <w:sz w:val="24"/>
          <w:u w:val="single"/>
        </w:rPr>
        <w:t>and</w:t>
      </w:r>
      <w:r w:rsidR="004A6F63" w:rsidRPr="001910A2">
        <w:rPr>
          <w:rFonts w:asciiTheme="minorHAnsi" w:hAnsiTheme="minorHAnsi"/>
          <w:b w:val="0"/>
          <w:i w:val="0"/>
          <w:sz w:val="24"/>
          <w:u w:val="single"/>
        </w:rPr>
        <w:t xml:space="preserve"> financial i</w:t>
      </w:r>
      <w:r w:rsidRPr="001910A2">
        <w:rPr>
          <w:rFonts w:asciiTheme="minorHAnsi" w:hAnsiTheme="minorHAnsi"/>
          <w:b w:val="0"/>
          <w:i w:val="0"/>
          <w:sz w:val="24"/>
          <w:u w:val="single"/>
        </w:rPr>
        <w:t>mplications</w:t>
      </w:r>
    </w:p>
    <w:p w:rsidR="005A3173" w:rsidRPr="004A6F63" w:rsidRDefault="005A3173" w:rsidP="00882085">
      <w:pPr>
        <w:ind w:left="720" w:hanging="720"/>
        <w:jc w:val="both"/>
        <w:rPr>
          <w:rFonts w:asciiTheme="minorHAnsi" w:hAnsiTheme="minorHAnsi"/>
        </w:rPr>
      </w:pPr>
    </w:p>
    <w:p w:rsidR="0089747E" w:rsidRPr="001910A2" w:rsidRDefault="0089747E" w:rsidP="009070BF">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sponsor’s proposal assumed a </w:t>
      </w:r>
      <w:r w:rsidR="001856B0">
        <w:rPr>
          <w:rFonts w:asciiTheme="minorHAnsi" w:hAnsiTheme="minorHAnsi"/>
          <w:noProof/>
          <w:color w:val="000000"/>
          <w:sz w:val="24"/>
          <w:szCs w:val="24"/>
          <w:highlight w:val="black"/>
        </w:rPr>
        <w:t>'''''</w:t>
      </w:r>
      <w:r w:rsidRPr="001910A2">
        <w:rPr>
          <w:rFonts w:asciiTheme="minorHAnsi" w:hAnsiTheme="minorHAnsi"/>
          <w:sz w:val="24"/>
          <w:szCs w:val="24"/>
        </w:rPr>
        <w:t>% share of the third-line market for pembrolizumab, and claimed that listing of pembrolizumab in the third-line setting would be cost neutral to the Commonwealth.</w:t>
      </w:r>
    </w:p>
    <w:p w:rsidR="0089747E" w:rsidRPr="004A6F63" w:rsidRDefault="0089747E" w:rsidP="0089747E">
      <w:pPr>
        <w:rPr>
          <w:rFonts w:asciiTheme="minorHAnsi" w:hAnsiTheme="minorHAnsi"/>
        </w:rPr>
      </w:pPr>
    </w:p>
    <w:p w:rsidR="00BF259C" w:rsidRPr="001910A2" w:rsidRDefault="00FF2801" w:rsidP="00BF259C">
      <w:pPr>
        <w:pStyle w:val="ListParagraph"/>
        <w:numPr>
          <w:ilvl w:val="1"/>
          <w:numId w:val="5"/>
        </w:numPr>
        <w:rPr>
          <w:rFonts w:asciiTheme="minorHAnsi" w:hAnsiTheme="minorHAnsi"/>
          <w:sz w:val="24"/>
          <w:szCs w:val="24"/>
        </w:rPr>
      </w:pPr>
      <w:r w:rsidRPr="001910A2">
        <w:rPr>
          <w:rFonts w:asciiTheme="minorHAnsi" w:hAnsiTheme="minorHAnsi"/>
          <w:sz w:val="24"/>
          <w:szCs w:val="24"/>
        </w:rPr>
        <w:t>The</w:t>
      </w:r>
      <w:r w:rsidR="0089747E" w:rsidRPr="001910A2">
        <w:rPr>
          <w:rFonts w:asciiTheme="minorHAnsi" w:hAnsiTheme="minorHAnsi"/>
          <w:sz w:val="24"/>
          <w:szCs w:val="24"/>
        </w:rPr>
        <w:t xml:space="preserve"> sponsor also acknowledged that it was difficult to estimate the financial impact with the use of pembrolizumab and BV in the fourth-line setting. Therefore, in order to calculate the number of patients who were ali</w:t>
      </w:r>
      <w:r w:rsidR="004A6F63">
        <w:rPr>
          <w:rFonts w:asciiTheme="minorHAnsi" w:hAnsiTheme="minorHAnsi"/>
          <w:sz w:val="24"/>
          <w:szCs w:val="24"/>
        </w:rPr>
        <w:t>ve and progressed to the fourth-</w:t>
      </w:r>
      <w:r w:rsidR="0089747E" w:rsidRPr="001910A2">
        <w:rPr>
          <w:rFonts w:asciiTheme="minorHAnsi" w:hAnsiTheme="minorHAnsi"/>
          <w:sz w:val="24"/>
          <w:szCs w:val="24"/>
        </w:rPr>
        <w:t xml:space="preserve">line </w:t>
      </w:r>
      <w:r w:rsidR="004A6F63">
        <w:rPr>
          <w:rFonts w:asciiTheme="minorHAnsi" w:hAnsiTheme="minorHAnsi"/>
          <w:sz w:val="24"/>
          <w:szCs w:val="24"/>
        </w:rPr>
        <w:t xml:space="preserve">setting </w:t>
      </w:r>
      <w:r w:rsidR="0089747E" w:rsidRPr="001910A2">
        <w:rPr>
          <w:rFonts w:asciiTheme="minorHAnsi" w:hAnsiTheme="minorHAnsi"/>
          <w:sz w:val="24"/>
          <w:szCs w:val="24"/>
        </w:rPr>
        <w:t>to receive treatment with either pembrolizumab or BV depending on their previous therapy, the difference between the extrapolated OS and PFS rates in each year for patients treated with pembrolizumab or BV was calculated separately and applied to the third</w:t>
      </w:r>
      <w:r w:rsidR="004A6F63">
        <w:rPr>
          <w:rFonts w:asciiTheme="minorHAnsi" w:hAnsiTheme="minorHAnsi"/>
          <w:sz w:val="24"/>
          <w:szCs w:val="24"/>
        </w:rPr>
        <w:t>-</w:t>
      </w:r>
      <w:r w:rsidR="0089747E" w:rsidRPr="001910A2">
        <w:rPr>
          <w:rFonts w:asciiTheme="minorHAnsi" w:hAnsiTheme="minorHAnsi"/>
          <w:sz w:val="24"/>
          <w:szCs w:val="24"/>
        </w:rPr>
        <w:t xml:space="preserve">line treatment population in the sponsor’s proposal. In addition, a higher </w:t>
      </w:r>
      <w:r w:rsidR="00A71870" w:rsidRPr="001910A2">
        <w:rPr>
          <w:rFonts w:asciiTheme="minorHAnsi" w:hAnsiTheme="minorHAnsi"/>
          <w:sz w:val="24"/>
          <w:szCs w:val="24"/>
        </w:rPr>
        <w:t>treatment</w:t>
      </w:r>
      <w:r w:rsidR="0089747E" w:rsidRPr="001910A2">
        <w:rPr>
          <w:rFonts w:asciiTheme="minorHAnsi" w:hAnsiTheme="minorHAnsi"/>
          <w:sz w:val="24"/>
          <w:szCs w:val="24"/>
        </w:rPr>
        <w:t xml:space="preserve"> uptake rate of </w:t>
      </w:r>
      <w:r w:rsidR="001856B0">
        <w:rPr>
          <w:rFonts w:asciiTheme="minorHAnsi" w:hAnsiTheme="minorHAnsi"/>
          <w:noProof/>
          <w:color w:val="000000"/>
          <w:sz w:val="24"/>
          <w:szCs w:val="24"/>
          <w:highlight w:val="black"/>
        </w:rPr>
        <w:t>'''''</w:t>
      </w:r>
      <w:r w:rsidR="0089747E" w:rsidRPr="001910A2">
        <w:rPr>
          <w:rFonts w:asciiTheme="minorHAnsi" w:hAnsiTheme="minorHAnsi"/>
          <w:sz w:val="24"/>
          <w:szCs w:val="24"/>
        </w:rPr>
        <w:t xml:space="preserve">% was assumed for pembrolizumab in these estimates, </w:t>
      </w:r>
      <w:r w:rsidR="00A71870" w:rsidRPr="001910A2">
        <w:rPr>
          <w:rFonts w:asciiTheme="minorHAnsi" w:hAnsiTheme="minorHAnsi"/>
          <w:sz w:val="24"/>
          <w:szCs w:val="24"/>
        </w:rPr>
        <w:t xml:space="preserve">claiming that this was </w:t>
      </w:r>
      <w:r w:rsidR="008F7D32" w:rsidRPr="001910A2">
        <w:rPr>
          <w:rFonts w:asciiTheme="minorHAnsi" w:hAnsiTheme="minorHAnsi"/>
          <w:sz w:val="24"/>
          <w:szCs w:val="24"/>
        </w:rPr>
        <w:t>consistent wi</w:t>
      </w:r>
      <w:r w:rsidR="00A71870" w:rsidRPr="001910A2">
        <w:rPr>
          <w:rFonts w:asciiTheme="minorHAnsi" w:hAnsiTheme="minorHAnsi"/>
          <w:sz w:val="24"/>
          <w:szCs w:val="24"/>
        </w:rPr>
        <w:t>th the uptake rate observed for</w:t>
      </w:r>
      <w:r w:rsidR="0089747E" w:rsidRPr="001910A2">
        <w:rPr>
          <w:rFonts w:asciiTheme="minorHAnsi" w:hAnsiTheme="minorHAnsi"/>
          <w:sz w:val="24"/>
          <w:szCs w:val="24"/>
        </w:rPr>
        <w:t xml:space="preserve"> targeted therapies and immunotherapies in other cancer indications in</w:t>
      </w:r>
      <w:r w:rsidR="004A6F63">
        <w:rPr>
          <w:rFonts w:asciiTheme="minorHAnsi" w:hAnsiTheme="minorHAnsi"/>
          <w:sz w:val="24"/>
          <w:szCs w:val="24"/>
        </w:rPr>
        <w:t xml:space="preserve"> the current clinical setting.</w:t>
      </w:r>
    </w:p>
    <w:p w:rsidR="008F7D32" w:rsidRPr="004A6F63" w:rsidRDefault="008F7D32" w:rsidP="008F7D32">
      <w:pPr>
        <w:rPr>
          <w:rFonts w:asciiTheme="minorHAnsi" w:hAnsiTheme="minorHAnsi"/>
        </w:rPr>
      </w:pPr>
    </w:p>
    <w:p w:rsidR="008F7D32" w:rsidRPr="001910A2" w:rsidRDefault="008F7D32" w:rsidP="00991133">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Based on the above assumptions, the sponsor claimed that the net cost to </w:t>
      </w:r>
      <w:r w:rsidR="004A6F63">
        <w:rPr>
          <w:rFonts w:asciiTheme="minorHAnsi" w:hAnsiTheme="minorHAnsi"/>
          <w:sz w:val="24"/>
          <w:szCs w:val="24"/>
        </w:rPr>
        <w:t xml:space="preserve">the </w:t>
      </w:r>
      <w:r w:rsidRPr="001910A2">
        <w:rPr>
          <w:rFonts w:asciiTheme="minorHAnsi" w:hAnsiTheme="minorHAnsi"/>
          <w:sz w:val="24"/>
          <w:szCs w:val="24"/>
        </w:rPr>
        <w:t xml:space="preserve">PBS for the usage of pembrolizumab in the fourth-line setting would be </w:t>
      </w:r>
      <w:r w:rsidR="00BA583C">
        <w:rPr>
          <w:rFonts w:asciiTheme="minorHAnsi" w:hAnsiTheme="minorHAnsi"/>
          <w:sz w:val="24"/>
          <w:szCs w:val="24"/>
        </w:rPr>
        <w:t xml:space="preserve">less than $10 million </w:t>
      </w:r>
      <w:r w:rsidRPr="001910A2">
        <w:rPr>
          <w:rFonts w:asciiTheme="minorHAnsi" w:hAnsiTheme="minorHAnsi"/>
          <w:sz w:val="24"/>
          <w:szCs w:val="24"/>
        </w:rPr>
        <w:t xml:space="preserve">in the first year of listing, with a total of </w:t>
      </w:r>
      <w:r w:rsidR="00BA583C" w:rsidRPr="00BA583C">
        <w:rPr>
          <w:rFonts w:asciiTheme="minorHAnsi" w:hAnsiTheme="minorHAnsi"/>
          <w:sz w:val="24"/>
          <w:szCs w:val="24"/>
        </w:rPr>
        <w:t>$30 - $60 million</w:t>
      </w:r>
      <w:r w:rsidR="00BA583C">
        <w:rPr>
          <w:rFonts w:asciiTheme="minorHAnsi" w:hAnsiTheme="minorHAnsi"/>
          <w:sz w:val="24"/>
          <w:szCs w:val="24"/>
        </w:rPr>
        <w:t xml:space="preserve"> </w:t>
      </w:r>
      <w:r w:rsidRPr="001910A2">
        <w:rPr>
          <w:rFonts w:asciiTheme="minorHAnsi" w:hAnsiTheme="minorHAnsi"/>
          <w:sz w:val="24"/>
          <w:szCs w:val="24"/>
        </w:rPr>
        <w:t>in the first six years of listing.</w:t>
      </w:r>
    </w:p>
    <w:p w:rsidR="003730B7" w:rsidRDefault="003730B7">
      <w:pPr>
        <w:rPr>
          <w:rFonts w:asciiTheme="minorHAnsi" w:hAnsiTheme="minorHAnsi"/>
        </w:rPr>
      </w:pPr>
      <w:r>
        <w:rPr>
          <w:rFonts w:asciiTheme="minorHAnsi" w:hAnsiTheme="minorHAnsi"/>
        </w:rPr>
        <w:br w:type="page"/>
      </w:r>
    </w:p>
    <w:p w:rsidR="008F7D32" w:rsidRPr="004A6F63" w:rsidRDefault="008F7D32" w:rsidP="00991133">
      <w:pPr>
        <w:rPr>
          <w:rFonts w:asciiTheme="minorHAnsi" w:hAnsiTheme="minorHAnsi"/>
        </w:rPr>
      </w:pPr>
    </w:p>
    <w:p w:rsidR="008F7D32" w:rsidRPr="004A6F63" w:rsidRDefault="008F7D32" w:rsidP="004A6F63">
      <w:pPr>
        <w:rPr>
          <w:rFonts w:ascii="Arial Narrow" w:eastAsiaTheme="minorHAnsi" w:hAnsi="Arial Narrow" w:cstheme="minorBidi"/>
          <w:b/>
          <w:i/>
          <w:sz w:val="20"/>
        </w:rPr>
      </w:pPr>
      <w:r w:rsidRPr="004A6F63">
        <w:rPr>
          <w:rFonts w:ascii="Arial Narrow" w:eastAsiaTheme="minorHAnsi" w:hAnsi="Arial Narrow" w:cstheme="minorBidi"/>
          <w:b/>
          <w:sz w:val="20"/>
        </w:rPr>
        <w:t xml:space="preserve">Table 1: Estimated PBS </w:t>
      </w:r>
      <w:r w:rsidR="004A6F63">
        <w:rPr>
          <w:rFonts w:ascii="Arial Narrow" w:eastAsiaTheme="minorHAnsi" w:hAnsi="Arial Narrow" w:cstheme="minorBidi"/>
          <w:b/>
          <w:sz w:val="20"/>
        </w:rPr>
        <w:t>u</w:t>
      </w:r>
      <w:r w:rsidRPr="004A6F63">
        <w:rPr>
          <w:rFonts w:ascii="Arial Narrow" w:eastAsiaTheme="minorHAnsi" w:hAnsi="Arial Narrow" w:cstheme="minorBidi"/>
          <w:b/>
          <w:sz w:val="20"/>
        </w:rPr>
        <w:t xml:space="preserve">sage </w:t>
      </w:r>
      <w:r w:rsidR="004A6F63">
        <w:rPr>
          <w:rFonts w:ascii="Arial Narrow" w:eastAsiaTheme="minorHAnsi" w:hAnsi="Arial Narrow" w:cstheme="minorBidi"/>
          <w:b/>
          <w:sz w:val="20"/>
        </w:rPr>
        <w:t>and</w:t>
      </w:r>
      <w:r w:rsidRPr="004A6F63">
        <w:rPr>
          <w:rFonts w:ascii="Arial Narrow" w:eastAsiaTheme="minorHAnsi" w:hAnsi="Arial Narrow" w:cstheme="minorBidi"/>
          <w:b/>
          <w:sz w:val="20"/>
        </w:rPr>
        <w:t xml:space="preserve"> </w:t>
      </w:r>
      <w:r w:rsidR="004A6F63">
        <w:rPr>
          <w:rFonts w:ascii="Arial Narrow" w:eastAsiaTheme="minorHAnsi" w:hAnsi="Arial Narrow" w:cstheme="minorBidi"/>
          <w:b/>
          <w:sz w:val="20"/>
        </w:rPr>
        <w:t>f</w:t>
      </w:r>
      <w:r w:rsidRPr="004A6F63">
        <w:rPr>
          <w:rFonts w:ascii="Arial Narrow" w:eastAsiaTheme="minorHAnsi" w:hAnsi="Arial Narrow" w:cstheme="minorBidi"/>
          <w:b/>
          <w:sz w:val="20"/>
        </w:rPr>
        <w:t xml:space="preserve">inancial </w:t>
      </w:r>
      <w:r w:rsidR="004A6F63">
        <w:rPr>
          <w:rFonts w:ascii="Arial Narrow" w:eastAsiaTheme="minorHAnsi" w:hAnsi="Arial Narrow" w:cstheme="minorBidi"/>
          <w:b/>
          <w:sz w:val="20"/>
        </w:rPr>
        <w:t>i</w:t>
      </w:r>
      <w:r w:rsidRPr="004A6F63">
        <w:rPr>
          <w:rFonts w:ascii="Arial Narrow" w:eastAsiaTheme="minorHAnsi" w:hAnsi="Arial Narrow" w:cstheme="minorBidi"/>
          <w:b/>
          <w:sz w:val="20"/>
        </w:rPr>
        <w:t>mplications in the fourth-line of treatment</w:t>
      </w:r>
    </w:p>
    <w:tbl>
      <w:tblPr>
        <w:tblStyle w:val="TableGrid2"/>
        <w:tblW w:w="4942" w:type="pct"/>
        <w:tblInd w:w="108" w:type="dxa"/>
        <w:tblLayout w:type="fixed"/>
        <w:tblLook w:val="04A0" w:firstRow="1" w:lastRow="0" w:firstColumn="1" w:lastColumn="0" w:noHBand="0" w:noVBand="1"/>
      </w:tblPr>
      <w:tblGrid>
        <w:gridCol w:w="2270"/>
        <w:gridCol w:w="1132"/>
        <w:gridCol w:w="1135"/>
        <w:gridCol w:w="1135"/>
        <w:gridCol w:w="1135"/>
        <w:gridCol w:w="1135"/>
        <w:gridCol w:w="1193"/>
      </w:tblGrid>
      <w:tr w:rsidR="008F7D32" w:rsidRPr="001910A2" w:rsidTr="004A6F63">
        <w:trPr>
          <w:trHeight w:val="217"/>
        </w:trPr>
        <w:tc>
          <w:tcPr>
            <w:tcW w:w="1243" w:type="pct"/>
            <w:vAlign w:val="center"/>
            <w:hideMark/>
          </w:tcPr>
          <w:p w:rsidR="008F7D32" w:rsidRPr="001910A2" w:rsidRDefault="008F7D32" w:rsidP="008F7D32">
            <w:pPr>
              <w:spacing w:line="276" w:lineRule="auto"/>
              <w:rPr>
                <w:rFonts w:ascii="Arial Narrow" w:hAnsi="Arial Narrow" w:cs="Times New Roman"/>
                <w:b/>
                <w:bCs/>
                <w:sz w:val="20"/>
                <w:szCs w:val="20"/>
              </w:rPr>
            </w:pPr>
            <w:r w:rsidRPr="001910A2">
              <w:rPr>
                <w:rFonts w:ascii="Arial Narrow" w:hAnsi="Arial Narrow" w:cs="Times New Roman"/>
                <w:b/>
                <w:bCs/>
                <w:sz w:val="20"/>
                <w:szCs w:val="20"/>
              </w:rPr>
              <w:br/>
            </w:r>
          </w:p>
        </w:tc>
        <w:tc>
          <w:tcPr>
            <w:tcW w:w="620"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Year 1</w:t>
            </w:r>
          </w:p>
        </w:tc>
        <w:tc>
          <w:tcPr>
            <w:tcW w:w="621"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Year 2</w:t>
            </w:r>
          </w:p>
        </w:tc>
        <w:tc>
          <w:tcPr>
            <w:tcW w:w="621"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Year 3</w:t>
            </w:r>
          </w:p>
        </w:tc>
        <w:tc>
          <w:tcPr>
            <w:tcW w:w="621"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Year 4</w:t>
            </w:r>
          </w:p>
        </w:tc>
        <w:tc>
          <w:tcPr>
            <w:tcW w:w="621"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Year 5</w:t>
            </w:r>
          </w:p>
        </w:tc>
        <w:tc>
          <w:tcPr>
            <w:tcW w:w="655"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Year 6</w:t>
            </w:r>
          </w:p>
        </w:tc>
      </w:tr>
      <w:tr w:rsidR="008F7D32" w:rsidRPr="001910A2" w:rsidTr="004A6F63">
        <w:trPr>
          <w:trHeight w:val="255"/>
        </w:trPr>
        <w:tc>
          <w:tcPr>
            <w:tcW w:w="1243" w:type="pct"/>
            <w:shd w:val="clear" w:color="auto" w:fill="auto"/>
            <w:noWrap/>
            <w:vAlign w:val="center"/>
          </w:tcPr>
          <w:p w:rsidR="008F7D32" w:rsidRPr="001910A2" w:rsidRDefault="008F7D32" w:rsidP="008F7D32">
            <w:pPr>
              <w:spacing w:line="276" w:lineRule="auto"/>
              <w:rPr>
                <w:rFonts w:ascii="Arial Narrow" w:hAnsi="Arial Narrow"/>
                <w:b/>
                <w:sz w:val="20"/>
                <w:szCs w:val="20"/>
              </w:rPr>
            </w:pPr>
            <w:r w:rsidRPr="001910A2">
              <w:rPr>
                <w:rFonts w:ascii="Arial Narrow" w:hAnsi="Arial Narrow"/>
                <w:b/>
                <w:sz w:val="20"/>
                <w:szCs w:val="20"/>
              </w:rPr>
              <w:t>Patients with rrcHL treated in  4L therapy</w:t>
            </w:r>
          </w:p>
        </w:tc>
        <w:tc>
          <w:tcPr>
            <w:tcW w:w="620" w:type="pct"/>
            <w:shd w:val="clear" w:color="auto" w:fill="auto"/>
            <w:noWrap/>
            <w:vAlign w:val="center"/>
          </w:tcPr>
          <w:p w:rsidR="008F7D32" w:rsidRPr="001856B0" w:rsidRDefault="001856B0" w:rsidP="008F7D32">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8F7D32" w:rsidRPr="001856B0" w:rsidRDefault="001856B0" w:rsidP="008F7D32">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8F7D32" w:rsidRPr="001856B0" w:rsidRDefault="001856B0" w:rsidP="008F7D32">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8F7D32" w:rsidRPr="001856B0" w:rsidRDefault="001856B0" w:rsidP="008F7D32">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21" w:type="pct"/>
            <w:shd w:val="clear" w:color="auto" w:fill="auto"/>
            <w:noWrap/>
            <w:vAlign w:val="center"/>
          </w:tcPr>
          <w:p w:rsidR="008F7D32" w:rsidRPr="001856B0" w:rsidRDefault="001856B0" w:rsidP="008F7D32">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655" w:type="pct"/>
            <w:shd w:val="clear" w:color="auto" w:fill="auto"/>
            <w:noWrap/>
            <w:vAlign w:val="center"/>
          </w:tcPr>
          <w:p w:rsidR="008F7D32" w:rsidRPr="001856B0" w:rsidRDefault="001856B0" w:rsidP="008F7D32">
            <w:pPr>
              <w:spacing w:line="276" w:lineRule="auto"/>
              <w:jc w:val="center"/>
              <w:rPr>
                <w:rFonts w:ascii="Arial Narrow" w:hAnsi="Arial Narrow" w:cs="Arial"/>
                <w:sz w:val="20"/>
                <w:szCs w:val="20"/>
                <w:highlight w:val="black"/>
              </w:rPr>
            </w:pPr>
            <w:r>
              <w:rPr>
                <w:rFonts w:ascii="Arial Narrow" w:hAnsi="Arial Narrow"/>
                <w:noProof/>
                <w:color w:val="000000"/>
                <w:sz w:val="20"/>
                <w:szCs w:val="20"/>
                <w:highlight w:val="black"/>
              </w:rPr>
              <w:t>'''''</w:t>
            </w:r>
          </w:p>
        </w:tc>
      </w:tr>
      <w:tr w:rsidR="008F7D32" w:rsidRPr="001910A2" w:rsidTr="004A6F63">
        <w:trPr>
          <w:trHeight w:val="255"/>
        </w:trPr>
        <w:tc>
          <w:tcPr>
            <w:tcW w:w="1243"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Pembrolizumab</w:t>
            </w:r>
          </w:p>
        </w:tc>
        <w:tc>
          <w:tcPr>
            <w:tcW w:w="620"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55"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r>
      <w:tr w:rsidR="008F7D32" w:rsidRPr="001910A2" w:rsidTr="004A6F63">
        <w:trPr>
          <w:trHeight w:val="255"/>
        </w:trPr>
        <w:tc>
          <w:tcPr>
            <w:tcW w:w="1243"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 xml:space="preserve">Brentuximab </w:t>
            </w:r>
            <w:r w:rsidR="004A6F63" w:rsidRPr="001910A2">
              <w:rPr>
                <w:rFonts w:ascii="Arial Narrow" w:hAnsi="Arial Narrow" w:cs="Times New Roman"/>
                <w:b/>
                <w:sz w:val="20"/>
                <w:szCs w:val="20"/>
              </w:rPr>
              <w:t>v</w:t>
            </w:r>
            <w:r w:rsidRPr="001910A2">
              <w:rPr>
                <w:rFonts w:ascii="Arial Narrow" w:hAnsi="Arial Narrow" w:cs="Times New Roman"/>
                <w:b/>
                <w:sz w:val="20"/>
                <w:szCs w:val="20"/>
              </w:rPr>
              <w:t>edotin</w:t>
            </w:r>
          </w:p>
        </w:tc>
        <w:tc>
          <w:tcPr>
            <w:tcW w:w="620"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55"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r>
      <w:tr w:rsidR="008F7D32" w:rsidRPr="001910A2" w:rsidTr="004A6F63">
        <w:trPr>
          <w:trHeight w:val="683"/>
        </w:trPr>
        <w:tc>
          <w:tcPr>
            <w:tcW w:w="1243" w:type="pct"/>
            <w:noWrap/>
            <w:vAlign w:val="center"/>
            <w:hideMark/>
          </w:tcPr>
          <w:p w:rsidR="008F7D32" w:rsidRPr="001910A2" w:rsidRDefault="008F7D32" w:rsidP="008F7D32">
            <w:pPr>
              <w:spacing w:line="276" w:lineRule="auto"/>
              <w:rPr>
                <w:rFonts w:ascii="Arial Narrow" w:hAnsi="Arial Narrow" w:cs="Times New Roman"/>
                <w:b/>
                <w:sz w:val="20"/>
                <w:szCs w:val="20"/>
              </w:rPr>
            </w:pPr>
            <w:r w:rsidRPr="001910A2">
              <w:rPr>
                <w:rFonts w:ascii="Arial Narrow" w:hAnsi="Arial Narrow" w:cs="Times New Roman"/>
                <w:b/>
                <w:sz w:val="20"/>
                <w:szCs w:val="20"/>
              </w:rPr>
              <w:t xml:space="preserve">Estimated </w:t>
            </w:r>
            <w:r w:rsidR="004A6F63" w:rsidRPr="001910A2">
              <w:rPr>
                <w:rFonts w:ascii="Arial Narrow" w:hAnsi="Arial Narrow" w:cs="Times New Roman"/>
                <w:b/>
                <w:sz w:val="20"/>
                <w:szCs w:val="20"/>
              </w:rPr>
              <w:t>c</w:t>
            </w:r>
            <w:r w:rsidRPr="001910A2">
              <w:rPr>
                <w:rFonts w:ascii="Arial Narrow" w:hAnsi="Arial Narrow" w:cs="Times New Roman"/>
                <w:b/>
                <w:sz w:val="20"/>
                <w:szCs w:val="20"/>
              </w:rPr>
              <w:t>ost to the PBS and RPBS</w:t>
            </w:r>
          </w:p>
        </w:tc>
        <w:tc>
          <w:tcPr>
            <w:tcW w:w="620"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21"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c>
          <w:tcPr>
            <w:tcW w:w="655" w:type="pct"/>
            <w:noWrap/>
            <w:vAlign w:val="center"/>
            <w:hideMark/>
          </w:tcPr>
          <w:p w:rsidR="008F7D32" w:rsidRPr="001910A2" w:rsidRDefault="008F7D32" w:rsidP="008F7D32">
            <w:pPr>
              <w:spacing w:line="276" w:lineRule="auto"/>
              <w:jc w:val="center"/>
              <w:rPr>
                <w:rFonts w:ascii="Arial Narrow" w:hAnsi="Arial Narrow" w:cs="Times New Roman"/>
                <w:sz w:val="20"/>
                <w:szCs w:val="20"/>
              </w:rPr>
            </w:pPr>
            <w:r w:rsidRPr="001910A2">
              <w:rPr>
                <w:rFonts w:ascii="Arial Narrow" w:hAnsi="Arial Narrow" w:cs="Arial"/>
                <w:sz w:val="20"/>
                <w:szCs w:val="20"/>
              </w:rPr>
              <w:t>$</w:t>
            </w:r>
            <w:r w:rsidR="001856B0">
              <w:rPr>
                <w:rFonts w:ascii="Arial Narrow" w:hAnsi="Arial Narrow" w:cs="Arial"/>
                <w:noProof/>
                <w:color w:val="000000"/>
                <w:sz w:val="20"/>
                <w:szCs w:val="20"/>
                <w:highlight w:val="black"/>
              </w:rPr>
              <w:t>'''''''''''''''''''''''''''</w:t>
            </w:r>
          </w:p>
        </w:tc>
      </w:tr>
    </w:tbl>
    <w:p w:rsidR="008F7D32" w:rsidRPr="004A6F63" w:rsidRDefault="008F7D32" w:rsidP="004A6F63">
      <w:pPr>
        <w:rPr>
          <w:rFonts w:ascii="Arial Narrow" w:eastAsiaTheme="minorHAnsi" w:hAnsi="Arial Narrow"/>
          <w:sz w:val="20"/>
        </w:rPr>
      </w:pPr>
      <w:r w:rsidRPr="004A6F63">
        <w:rPr>
          <w:rFonts w:ascii="Arial Narrow" w:eastAsiaTheme="minorHAnsi" w:hAnsi="Arial Narrow"/>
          <w:sz w:val="20"/>
        </w:rPr>
        <w:t>Source: sponsor’s proposal prior to the August 2017 PBAC Special meeting</w:t>
      </w:r>
    </w:p>
    <w:p w:rsidR="008F7D32" w:rsidRPr="004A6F63" w:rsidRDefault="008F7D32" w:rsidP="004A6F63">
      <w:pPr>
        <w:rPr>
          <w:rFonts w:asciiTheme="minorHAnsi" w:hAnsiTheme="minorHAnsi"/>
        </w:rPr>
      </w:pPr>
    </w:p>
    <w:p w:rsidR="009070BF" w:rsidRPr="001910A2" w:rsidRDefault="009070BF" w:rsidP="00224AE9">
      <w:pPr>
        <w:pStyle w:val="Heading2"/>
        <w:rPr>
          <w:rFonts w:asciiTheme="minorHAnsi" w:hAnsiTheme="minorHAnsi"/>
          <w:b w:val="0"/>
          <w:i w:val="0"/>
          <w:sz w:val="24"/>
          <w:u w:val="single"/>
        </w:rPr>
      </w:pPr>
      <w:r w:rsidRPr="001910A2">
        <w:rPr>
          <w:rFonts w:asciiTheme="minorHAnsi" w:hAnsiTheme="minorHAnsi"/>
          <w:b w:val="0"/>
          <w:i w:val="0"/>
          <w:sz w:val="24"/>
          <w:u w:val="single"/>
        </w:rPr>
        <w:t>Risk Sharing Arrangement</w:t>
      </w:r>
    </w:p>
    <w:p w:rsidR="00224AE9" w:rsidRPr="001910A2" w:rsidRDefault="00224AE9" w:rsidP="00092E85">
      <w:pPr>
        <w:tabs>
          <w:tab w:val="left" w:pos="2700"/>
        </w:tabs>
        <w:rPr>
          <w:rFonts w:asciiTheme="minorHAnsi" w:hAnsiTheme="minorHAnsi"/>
        </w:rPr>
      </w:pPr>
    </w:p>
    <w:p w:rsidR="008F7D32" w:rsidRPr="001910A2" w:rsidRDefault="005252A4" w:rsidP="008F7D32">
      <w:pPr>
        <w:pStyle w:val="ListParagraph"/>
        <w:numPr>
          <w:ilvl w:val="1"/>
          <w:numId w:val="5"/>
        </w:numPr>
        <w:rPr>
          <w:rFonts w:asciiTheme="minorHAnsi" w:hAnsiTheme="minorHAnsi"/>
          <w:sz w:val="24"/>
          <w:szCs w:val="24"/>
        </w:rPr>
      </w:pPr>
      <w:r>
        <w:rPr>
          <w:rFonts w:asciiTheme="minorHAnsi" w:hAnsiTheme="minorHAnsi"/>
          <w:sz w:val="24"/>
          <w:szCs w:val="24"/>
        </w:rPr>
        <w:t>T</w:t>
      </w:r>
      <w:r w:rsidR="008F7D32" w:rsidRPr="001910A2">
        <w:rPr>
          <w:rFonts w:asciiTheme="minorHAnsi" w:hAnsiTheme="minorHAnsi"/>
          <w:sz w:val="24"/>
          <w:szCs w:val="24"/>
        </w:rPr>
        <w:t xml:space="preserve">he sponsor proposed a </w:t>
      </w:r>
      <w:r w:rsidR="001856B0">
        <w:rPr>
          <w:rFonts w:asciiTheme="minorHAnsi" w:hAnsiTheme="minorHAnsi"/>
          <w:noProof/>
          <w:color w:val="000000"/>
          <w:sz w:val="24"/>
          <w:szCs w:val="24"/>
          <w:highlight w:val="black"/>
        </w:rPr>
        <w:t>'''''</w:t>
      </w:r>
      <w:r w:rsidR="008F7D32" w:rsidRPr="001910A2">
        <w:rPr>
          <w:rFonts w:asciiTheme="minorHAnsi" w:hAnsiTheme="minorHAnsi"/>
          <w:sz w:val="24"/>
          <w:szCs w:val="24"/>
        </w:rPr>
        <w:t>% rebate of costs above the agreed annual subsidisation caps for use beyond the agreed utilisation estimates, noting that:</w:t>
      </w:r>
    </w:p>
    <w:p w:rsidR="008F7D32" w:rsidRPr="001910A2" w:rsidRDefault="00A20D20" w:rsidP="006617A8">
      <w:pPr>
        <w:numPr>
          <w:ilvl w:val="1"/>
          <w:numId w:val="28"/>
        </w:numPr>
        <w:tabs>
          <w:tab w:val="left" w:pos="993"/>
        </w:tabs>
        <w:spacing w:after="200" w:line="276" w:lineRule="auto"/>
        <w:ind w:left="993" w:hanging="284"/>
        <w:contextualSpacing/>
        <w:jc w:val="both"/>
        <w:rPr>
          <w:rFonts w:asciiTheme="minorHAnsi" w:hAnsiTheme="minorHAnsi" w:cs="Arial"/>
          <w:snapToGrid w:val="0"/>
          <w:lang w:eastAsia="en-US"/>
        </w:rPr>
      </w:pPr>
      <w:r w:rsidRPr="001910A2">
        <w:rPr>
          <w:rFonts w:asciiTheme="minorHAnsi" w:hAnsiTheme="minorHAnsi" w:cs="Arial"/>
          <w:snapToGrid w:val="0"/>
          <w:lang w:eastAsia="en-US"/>
        </w:rPr>
        <w:t xml:space="preserve">a </w:t>
      </w:r>
      <w:r w:rsidR="001856B0">
        <w:rPr>
          <w:rFonts w:asciiTheme="minorHAnsi" w:hAnsiTheme="minorHAnsi" w:cs="Arial"/>
          <w:noProof/>
          <w:snapToGrid w:val="0"/>
          <w:color w:val="000000"/>
          <w:highlight w:val="black"/>
          <w:lang w:eastAsia="en-US"/>
        </w:rPr>
        <w:t>''''''</w:t>
      </w:r>
      <w:r w:rsidRPr="001910A2">
        <w:rPr>
          <w:rFonts w:asciiTheme="minorHAnsi" w:hAnsiTheme="minorHAnsi" w:cs="Arial"/>
          <w:snapToGrid w:val="0"/>
          <w:lang w:eastAsia="en-US"/>
        </w:rPr>
        <w:t>% rebate above expenditure caps was</w:t>
      </w:r>
      <w:r w:rsidR="00E11746" w:rsidRPr="001910A2">
        <w:rPr>
          <w:rFonts w:asciiTheme="minorHAnsi" w:hAnsiTheme="minorHAnsi" w:cs="Arial"/>
          <w:snapToGrid w:val="0"/>
          <w:lang w:eastAsia="en-US"/>
        </w:rPr>
        <w:t xml:space="preserve"> consisten</w:t>
      </w:r>
      <w:r w:rsidR="00A71870" w:rsidRPr="001910A2">
        <w:rPr>
          <w:rFonts w:asciiTheme="minorHAnsi" w:hAnsiTheme="minorHAnsi" w:cs="Arial"/>
          <w:snapToGrid w:val="0"/>
          <w:lang w:eastAsia="en-US"/>
        </w:rPr>
        <w:t xml:space="preserve">t with the other RSAs that are currently in place between the sponsor and the </w:t>
      </w:r>
      <w:r w:rsidR="008F7D32" w:rsidRPr="001910A2">
        <w:rPr>
          <w:rFonts w:asciiTheme="minorHAnsi" w:hAnsiTheme="minorHAnsi" w:cs="Arial"/>
          <w:snapToGrid w:val="0"/>
          <w:lang w:eastAsia="en-US"/>
        </w:rPr>
        <w:t>Commonwealth</w:t>
      </w:r>
      <w:r w:rsidR="00E11746" w:rsidRPr="001910A2">
        <w:rPr>
          <w:rFonts w:asciiTheme="minorHAnsi" w:hAnsiTheme="minorHAnsi" w:cs="Arial"/>
          <w:snapToGrid w:val="0"/>
          <w:lang w:eastAsia="en-US"/>
        </w:rPr>
        <w:t>;</w:t>
      </w:r>
    </w:p>
    <w:p w:rsidR="008F7D32" w:rsidRPr="001910A2" w:rsidRDefault="004A6F63" w:rsidP="006617A8">
      <w:pPr>
        <w:numPr>
          <w:ilvl w:val="1"/>
          <w:numId w:val="28"/>
        </w:numPr>
        <w:tabs>
          <w:tab w:val="left" w:pos="993"/>
        </w:tabs>
        <w:spacing w:after="200" w:line="276" w:lineRule="auto"/>
        <w:ind w:left="993" w:hanging="284"/>
        <w:contextualSpacing/>
        <w:jc w:val="both"/>
        <w:rPr>
          <w:rFonts w:asciiTheme="minorHAnsi" w:hAnsiTheme="minorHAnsi" w:cs="Arial"/>
          <w:snapToGrid w:val="0"/>
          <w:lang w:eastAsia="en-US"/>
        </w:rPr>
      </w:pPr>
      <w:r>
        <w:rPr>
          <w:rFonts w:asciiTheme="minorHAnsi" w:hAnsiTheme="minorHAnsi" w:cs="Arial"/>
          <w:snapToGrid w:val="0"/>
          <w:lang w:eastAsia="en-US"/>
        </w:rPr>
        <w:t>g</w:t>
      </w:r>
      <w:r w:rsidR="008F7D32" w:rsidRPr="001910A2">
        <w:rPr>
          <w:rFonts w:asciiTheme="minorHAnsi" w:hAnsiTheme="minorHAnsi" w:cs="Arial"/>
          <w:snapToGrid w:val="0"/>
          <w:lang w:eastAsia="en-US"/>
        </w:rPr>
        <w:t>iven the unmet clinical need and small patient population as seen with the recent PBS listing of</w:t>
      </w:r>
      <w:r w:rsidR="00E11746" w:rsidRPr="001910A2">
        <w:rPr>
          <w:rFonts w:asciiTheme="minorHAnsi" w:hAnsiTheme="minorHAnsi" w:cs="Arial"/>
          <w:snapToGrid w:val="0"/>
          <w:lang w:eastAsia="en-US"/>
        </w:rPr>
        <w:t xml:space="preserve"> vorinostat for the treatment of cutaneous T-cell lymphoma (CTCL), </w:t>
      </w:r>
      <w:r w:rsidR="00A20D20" w:rsidRPr="001910A2">
        <w:rPr>
          <w:rFonts w:asciiTheme="minorHAnsi" w:hAnsiTheme="minorHAnsi" w:cs="Arial"/>
          <w:snapToGrid w:val="0"/>
          <w:lang w:eastAsia="en-US"/>
        </w:rPr>
        <w:t xml:space="preserve">the sponsor claimed that it was unlikely that </w:t>
      </w:r>
      <w:r w:rsidR="008F7D32" w:rsidRPr="001910A2">
        <w:rPr>
          <w:rFonts w:asciiTheme="minorHAnsi" w:hAnsiTheme="minorHAnsi" w:cs="Arial"/>
          <w:snapToGrid w:val="0"/>
          <w:lang w:eastAsia="en-US"/>
        </w:rPr>
        <w:t xml:space="preserve">the </w:t>
      </w:r>
      <w:r w:rsidR="00A20D20" w:rsidRPr="001910A2">
        <w:rPr>
          <w:rFonts w:asciiTheme="minorHAnsi" w:hAnsiTheme="minorHAnsi" w:cs="Arial"/>
          <w:snapToGrid w:val="0"/>
          <w:lang w:eastAsia="en-US"/>
        </w:rPr>
        <w:t xml:space="preserve">agreed </w:t>
      </w:r>
      <w:r w:rsidR="008F7D32" w:rsidRPr="001910A2">
        <w:rPr>
          <w:rFonts w:asciiTheme="minorHAnsi" w:hAnsiTheme="minorHAnsi" w:cs="Arial"/>
          <w:snapToGrid w:val="0"/>
          <w:lang w:eastAsia="en-US"/>
        </w:rPr>
        <w:t>subsidisation cap w</w:t>
      </w:r>
      <w:r>
        <w:rPr>
          <w:rFonts w:asciiTheme="minorHAnsi" w:hAnsiTheme="minorHAnsi" w:cs="Arial"/>
          <w:snapToGrid w:val="0"/>
          <w:lang w:eastAsia="en-US"/>
        </w:rPr>
        <w:t>ould</w:t>
      </w:r>
      <w:r w:rsidR="008F7D32" w:rsidRPr="001910A2">
        <w:rPr>
          <w:rFonts w:asciiTheme="minorHAnsi" w:hAnsiTheme="minorHAnsi" w:cs="Arial"/>
          <w:snapToGrid w:val="0"/>
          <w:lang w:eastAsia="en-US"/>
        </w:rPr>
        <w:t xml:space="preserve"> be exceeded, and </w:t>
      </w:r>
      <w:r w:rsidR="00E11746" w:rsidRPr="001910A2">
        <w:rPr>
          <w:rFonts w:asciiTheme="minorHAnsi" w:hAnsiTheme="minorHAnsi" w:cs="Arial"/>
          <w:snapToGrid w:val="0"/>
          <w:lang w:eastAsia="en-US"/>
        </w:rPr>
        <w:t xml:space="preserve">if </w:t>
      </w:r>
      <w:r w:rsidR="00A20D20" w:rsidRPr="001910A2">
        <w:rPr>
          <w:rFonts w:asciiTheme="minorHAnsi" w:hAnsiTheme="minorHAnsi" w:cs="Arial"/>
          <w:snapToGrid w:val="0"/>
          <w:lang w:eastAsia="en-US"/>
        </w:rPr>
        <w:t>it does</w:t>
      </w:r>
      <w:r w:rsidR="00E11746" w:rsidRPr="001910A2">
        <w:rPr>
          <w:rFonts w:asciiTheme="minorHAnsi" w:hAnsiTheme="minorHAnsi" w:cs="Arial"/>
          <w:snapToGrid w:val="0"/>
          <w:lang w:eastAsia="en-US"/>
        </w:rPr>
        <w:t xml:space="preserve">, </w:t>
      </w:r>
      <w:r w:rsidR="008F7D32" w:rsidRPr="001910A2">
        <w:rPr>
          <w:rFonts w:asciiTheme="minorHAnsi" w:hAnsiTheme="minorHAnsi" w:cs="Arial"/>
          <w:snapToGrid w:val="0"/>
          <w:lang w:eastAsia="en-US"/>
        </w:rPr>
        <w:t>the</w:t>
      </w:r>
      <w:r w:rsidR="00A20D20" w:rsidRPr="001910A2">
        <w:rPr>
          <w:rFonts w:asciiTheme="minorHAnsi" w:hAnsiTheme="minorHAnsi" w:cs="Arial"/>
          <w:snapToGrid w:val="0"/>
          <w:lang w:eastAsia="en-US"/>
        </w:rPr>
        <w:t xml:space="preserve"> financial</w:t>
      </w:r>
      <w:r w:rsidR="008F7D32" w:rsidRPr="001910A2">
        <w:rPr>
          <w:rFonts w:asciiTheme="minorHAnsi" w:hAnsiTheme="minorHAnsi" w:cs="Arial"/>
          <w:snapToGrid w:val="0"/>
          <w:lang w:eastAsia="en-US"/>
        </w:rPr>
        <w:t xml:space="preserve"> impact would be </w:t>
      </w:r>
      <w:r w:rsidR="00A20D20" w:rsidRPr="001910A2">
        <w:rPr>
          <w:rFonts w:asciiTheme="minorHAnsi" w:hAnsiTheme="minorHAnsi" w:cs="Arial"/>
          <w:snapToGrid w:val="0"/>
          <w:lang w:eastAsia="en-US"/>
        </w:rPr>
        <w:t>minimal</w:t>
      </w:r>
      <w:r w:rsidR="00E11746" w:rsidRPr="001910A2">
        <w:rPr>
          <w:rFonts w:asciiTheme="minorHAnsi" w:hAnsiTheme="minorHAnsi" w:cs="Arial"/>
          <w:snapToGrid w:val="0"/>
          <w:lang w:eastAsia="en-US"/>
        </w:rPr>
        <w:t>;</w:t>
      </w:r>
    </w:p>
    <w:p w:rsidR="008F7D32" w:rsidRPr="001910A2" w:rsidRDefault="005252A4" w:rsidP="006617A8">
      <w:pPr>
        <w:numPr>
          <w:ilvl w:val="1"/>
          <w:numId w:val="28"/>
        </w:numPr>
        <w:tabs>
          <w:tab w:val="left" w:pos="993"/>
        </w:tabs>
        <w:spacing w:after="200" w:line="276" w:lineRule="auto"/>
        <w:ind w:left="993" w:hanging="284"/>
        <w:contextualSpacing/>
        <w:jc w:val="both"/>
        <w:rPr>
          <w:rFonts w:asciiTheme="minorHAnsi" w:hAnsiTheme="minorHAnsi" w:cs="Arial"/>
          <w:snapToGrid w:val="0"/>
          <w:lang w:eastAsia="en-US"/>
        </w:rPr>
      </w:pPr>
      <w:r w:rsidRPr="00A3020A">
        <w:rPr>
          <w:rFonts w:asciiTheme="minorHAnsi" w:hAnsiTheme="minorHAnsi" w:cs="Arial"/>
          <w:snapToGrid w:val="0"/>
          <w:lang w:eastAsia="en-US"/>
        </w:rPr>
        <w:t xml:space="preserve">the sponsor considered that </w:t>
      </w:r>
      <w:r w:rsidR="00E11746" w:rsidRPr="0088439F">
        <w:rPr>
          <w:rFonts w:asciiTheme="minorHAnsi" w:hAnsiTheme="minorHAnsi" w:cs="Arial"/>
          <w:snapToGrid w:val="0"/>
          <w:lang w:eastAsia="en-US"/>
        </w:rPr>
        <w:t>t</w:t>
      </w:r>
      <w:r w:rsidR="00E11746" w:rsidRPr="001910A2">
        <w:rPr>
          <w:rFonts w:asciiTheme="minorHAnsi" w:hAnsiTheme="minorHAnsi" w:cs="Arial"/>
          <w:snapToGrid w:val="0"/>
          <w:lang w:eastAsia="en-US"/>
        </w:rPr>
        <w:t xml:space="preserve">his would compensate for the sponsor’s additional </w:t>
      </w:r>
      <w:r w:rsidR="008F7D32" w:rsidRPr="001910A2">
        <w:rPr>
          <w:rFonts w:asciiTheme="minorHAnsi" w:hAnsiTheme="minorHAnsi" w:cs="Arial"/>
          <w:snapToGrid w:val="0"/>
          <w:lang w:eastAsia="en-US"/>
        </w:rPr>
        <w:t xml:space="preserve">administration costs </w:t>
      </w:r>
      <w:r>
        <w:rPr>
          <w:rFonts w:asciiTheme="minorHAnsi" w:hAnsiTheme="minorHAnsi" w:cs="Arial"/>
          <w:snapToGrid w:val="0"/>
          <w:lang w:eastAsia="en-US"/>
        </w:rPr>
        <w:t>in</w:t>
      </w:r>
      <w:r w:rsidR="008F7D32" w:rsidRPr="001910A2">
        <w:rPr>
          <w:rFonts w:asciiTheme="minorHAnsi" w:hAnsiTheme="minorHAnsi" w:cs="Arial"/>
          <w:snapToGrid w:val="0"/>
          <w:lang w:eastAsia="en-US"/>
        </w:rPr>
        <w:t xml:space="preserve"> </w:t>
      </w:r>
      <w:r>
        <w:rPr>
          <w:rFonts w:asciiTheme="minorHAnsi" w:hAnsiTheme="minorHAnsi" w:cs="Arial"/>
          <w:snapToGrid w:val="0"/>
          <w:lang w:eastAsia="en-US"/>
        </w:rPr>
        <w:t xml:space="preserve">having an </w:t>
      </w:r>
      <w:r w:rsidR="00E11746" w:rsidRPr="001910A2">
        <w:rPr>
          <w:rFonts w:asciiTheme="minorHAnsi" w:hAnsiTheme="minorHAnsi" w:cs="Arial"/>
          <w:snapToGrid w:val="0"/>
          <w:lang w:eastAsia="en-US"/>
        </w:rPr>
        <w:t>RSA.</w:t>
      </w:r>
    </w:p>
    <w:p w:rsidR="006617A8" w:rsidRPr="001910A2" w:rsidRDefault="006617A8" w:rsidP="006617A8">
      <w:pPr>
        <w:rPr>
          <w:rFonts w:asciiTheme="minorHAnsi" w:hAnsiTheme="minorHAnsi" w:cs="Arial"/>
          <w:b/>
          <w:snapToGrid w:val="0"/>
          <w:lang w:eastAsia="en-US"/>
        </w:rPr>
      </w:pPr>
    </w:p>
    <w:p w:rsidR="00A92B17" w:rsidRDefault="00A92B17" w:rsidP="006617A8">
      <w:pPr>
        <w:ind w:firstLine="709"/>
        <w:rPr>
          <w:rFonts w:asciiTheme="minorHAnsi" w:hAnsiTheme="minorHAnsi" w:cs="Arial"/>
          <w:bCs/>
          <w:i/>
          <w:snapToGrid w:val="0"/>
        </w:rPr>
      </w:pPr>
      <w:r w:rsidRPr="001910A2">
        <w:rPr>
          <w:rFonts w:asciiTheme="minorHAnsi" w:hAnsiTheme="minorHAnsi" w:cs="Arial"/>
          <w:bCs/>
          <w:i/>
          <w:snapToGrid w:val="0"/>
        </w:rPr>
        <w:t xml:space="preserve">For more detail on PBAC’s view, see section </w:t>
      </w:r>
      <w:r w:rsidR="00E3356F" w:rsidRPr="001910A2">
        <w:rPr>
          <w:rFonts w:asciiTheme="minorHAnsi" w:hAnsiTheme="minorHAnsi" w:cs="Arial"/>
          <w:bCs/>
          <w:i/>
          <w:snapToGrid w:val="0"/>
        </w:rPr>
        <w:t>5</w:t>
      </w:r>
      <w:r w:rsidRPr="001910A2">
        <w:rPr>
          <w:rFonts w:asciiTheme="minorHAnsi" w:hAnsiTheme="minorHAnsi" w:cs="Arial"/>
          <w:bCs/>
          <w:i/>
          <w:snapToGrid w:val="0"/>
        </w:rPr>
        <w:t xml:space="preserve"> “PBAC outcome”</w:t>
      </w:r>
      <w:r w:rsidR="00D17654" w:rsidRPr="001910A2">
        <w:rPr>
          <w:rFonts w:asciiTheme="minorHAnsi" w:hAnsiTheme="minorHAnsi" w:cs="Arial"/>
          <w:bCs/>
          <w:i/>
          <w:snapToGrid w:val="0"/>
        </w:rPr>
        <w:t>.</w:t>
      </w:r>
    </w:p>
    <w:p w:rsidR="00D770E0" w:rsidRPr="00D770E0" w:rsidRDefault="00D770E0" w:rsidP="006617A8">
      <w:pPr>
        <w:ind w:firstLine="709"/>
        <w:rPr>
          <w:rFonts w:asciiTheme="minorHAnsi" w:hAnsiTheme="minorHAnsi" w:cs="Arial"/>
          <w:bCs/>
          <w:snapToGrid w:val="0"/>
        </w:rPr>
      </w:pPr>
    </w:p>
    <w:p w:rsidR="00A92B17" w:rsidRPr="001910A2" w:rsidRDefault="00A92B17" w:rsidP="00991133">
      <w:pPr>
        <w:pStyle w:val="PBACHeading1"/>
        <w:rPr>
          <w:rFonts w:asciiTheme="minorHAnsi" w:hAnsiTheme="minorHAnsi"/>
          <w:b w:val="0"/>
          <w:bCs/>
        </w:rPr>
      </w:pPr>
      <w:r w:rsidRPr="00991133">
        <w:rPr>
          <w:rFonts w:asciiTheme="minorHAnsi" w:hAnsiTheme="minorHAnsi"/>
          <w:sz w:val="24"/>
          <w:szCs w:val="24"/>
        </w:rPr>
        <w:t xml:space="preserve">PBAC </w:t>
      </w:r>
      <w:r w:rsidR="004A6F63" w:rsidRPr="00991133">
        <w:rPr>
          <w:rFonts w:asciiTheme="minorHAnsi" w:hAnsiTheme="minorHAnsi"/>
          <w:sz w:val="24"/>
          <w:szCs w:val="24"/>
        </w:rPr>
        <w:t>o</w:t>
      </w:r>
      <w:r w:rsidRPr="00991133">
        <w:rPr>
          <w:rFonts w:asciiTheme="minorHAnsi" w:hAnsiTheme="minorHAnsi"/>
          <w:sz w:val="24"/>
          <w:szCs w:val="24"/>
        </w:rPr>
        <w:t>utcome</w:t>
      </w:r>
    </w:p>
    <w:p w:rsidR="00A92B17" w:rsidRPr="004A6F63" w:rsidRDefault="00A92B17" w:rsidP="00D51E5C">
      <w:pPr>
        <w:rPr>
          <w:rFonts w:asciiTheme="minorHAnsi" w:hAnsiTheme="minorHAnsi"/>
        </w:rPr>
      </w:pPr>
    </w:p>
    <w:p w:rsidR="00ED2F4D" w:rsidRDefault="00FE0FBD" w:rsidP="00ED2F4D">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w:t>
      </w:r>
      <w:r w:rsidR="00D036E0" w:rsidRPr="001910A2">
        <w:rPr>
          <w:rFonts w:asciiTheme="minorHAnsi" w:hAnsiTheme="minorHAnsi"/>
          <w:sz w:val="24"/>
          <w:szCs w:val="24"/>
        </w:rPr>
        <w:t xml:space="preserve">PBAC recommended the Authority Required listing of </w:t>
      </w:r>
      <w:r w:rsidR="003C79DD" w:rsidRPr="001910A2">
        <w:rPr>
          <w:rFonts w:asciiTheme="minorHAnsi" w:hAnsiTheme="minorHAnsi"/>
          <w:sz w:val="24"/>
          <w:szCs w:val="24"/>
        </w:rPr>
        <w:t>pembrolizumab for the treatment of rrcHL, on a cost-minimisation basis against BV</w:t>
      </w:r>
      <w:r w:rsidR="00ED2F4D">
        <w:rPr>
          <w:rFonts w:asciiTheme="minorHAnsi" w:hAnsiTheme="minorHAnsi"/>
          <w:sz w:val="24"/>
          <w:szCs w:val="24"/>
        </w:rPr>
        <w:t>.</w:t>
      </w:r>
    </w:p>
    <w:p w:rsidR="00ED2F4D" w:rsidRDefault="00ED2F4D" w:rsidP="00C54BF1">
      <w:pPr>
        <w:pStyle w:val="ListParagraph"/>
        <w:rPr>
          <w:rFonts w:asciiTheme="minorHAnsi" w:hAnsiTheme="minorHAnsi"/>
          <w:sz w:val="24"/>
          <w:szCs w:val="24"/>
        </w:rPr>
      </w:pPr>
    </w:p>
    <w:p w:rsidR="00ED2F4D" w:rsidRPr="00ED2F4D" w:rsidRDefault="00E02731" w:rsidP="00ED2F4D">
      <w:pPr>
        <w:pStyle w:val="ListParagraph"/>
        <w:numPr>
          <w:ilvl w:val="1"/>
          <w:numId w:val="5"/>
        </w:numPr>
        <w:rPr>
          <w:rFonts w:asciiTheme="minorHAnsi" w:hAnsiTheme="minorHAnsi"/>
          <w:sz w:val="24"/>
          <w:szCs w:val="24"/>
        </w:rPr>
      </w:pPr>
      <w:r w:rsidRPr="00ED2F4D">
        <w:rPr>
          <w:rFonts w:asciiTheme="minorHAnsi" w:hAnsiTheme="minorHAnsi"/>
          <w:sz w:val="24"/>
          <w:szCs w:val="24"/>
        </w:rPr>
        <w:t>In making this recommendation, the PBAC considered that pembrolizumab treatment showed promising overall response rates in a heavily pre-treated, refractory patient population, and that the clinical claim of non-inferiority compared with BV was supp</w:t>
      </w:r>
      <w:r w:rsidR="004A6F63" w:rsidRPr="00ED2F4D">
        <w:rPr>
          <w:rFonts w:asciiTheme="minorHAnsi" w:hAnsiTheme="minorHAnsi"/>
          <w:sz w:val="24"/>
          <w:szCs w:val="24"/>
        </w:rPr>
        <w:t>orted by the evidence provided.</w:t>
      </w:r>
    </w:p>
    <w:p w:rsidR="00ED2F4D" w:rsidRPr="00ED2F4D" w:rsidRDefault="00ED2F4D" w:rsidP="00C54BF1">
      <w:pPr>
        <w:pStyle w:val="ListParagraph"/>
        <w:rPr>
          <w:rFonts w:asciiTheme="minorHAnsi" w:hAnsiTheme="minorHAnsi"/>
          <w:sz w:val="24"/>
          <w:szCs w:val="24"/>
        </w:rPr>
      </w:pPr>
    </w:p>
    <w:p w:rsidR="00ED2F4D" w:rsidRDefault="00E02731" w:rsidP="00C54BF1">
      <w:pPr>
        <w:pStyle w:val="ListParagraph"/>
        <w:numPr>
          <w:ilvl w:val="1"/>
          <w:numId w:val="5"/>
        </w:numPr>
        <w:rPr>
          <w:rFonts w:asciiTheme="minorHAnsi" w:hAnsiTheme="minorHAnsi"/>
          <w:sz w:val="24"/>
          <w:szCs w:val="24"/>
        </w:rPr>
      </w:pPr>
      <w:r w:rsidRPr="00ED2F4D">
        <w:rPr>
          <w:rFonts w:asciiTheme="minorHAnsi" w:hAnsiTheme="minorHAnsi"/>
          <w:sz w:val="24"/>
          <w:szCs w:val="24"/>
        </w:rPr>
        <w:t xml:space="preserve">The PBAC noted the sponsor’s agreement </w:t>
      </w:r>
      <w:r w:rsidR="004A6F63" w:rsidRPr="00ED2F4D">
        <w:rPr>
          <w:rFonts w:asciiTheme="minorHAnsi" w:hAnsiTheme="minorHAnsi"/>
          <w:sz w:val="24"/>
          <w:szCs w:val="24"/>
        </w:rPr>
        <w:t>t</w:t>
      </w:r>
      <w:r w:rsidR="00690621" w:rsidRPr="00ED2F4D">
        <w:rPr>
          <w:rFonts w:asciiTheme="minorHAnsi" w:hAnsiTheme="minorHAnsi"/>
          <w:sz w:val="24"/>
          <w:szCs w:val="24"/>
        </w:rPr>
        <w:t>o</w:t>
      </w:r>
      <w:r w:rsidRPr="00ED2F4D">
        <w:rPr>
          <w:rFonts w:asciiTheme="minorHAnsi" w:hAnsiTheme="minorHAnsi"/>
          <w:sz w:val="24"/>
          <w:szCs w:val="24"/>
        </w:rPr>
        <w:t xml:space="preserve"> its </w:t>
      </w:r>
      <w:r w:rsidR="004A6F63" w:rsidRPr="00ED2F4D">
        <w:rPr>
          <w:rFonts w:asciiTheme="minorHAnsi" w:hAnsiTheme="minorHAnsi"/>
          <w:sz w:val="24"/>
          <w:szCs w:val="24"/>
        </w:rPr>
        <w:t xml:space="preserve">previous </w:t>
      </w:r>
      <w:r w:rsidRPr="00ED2F4D">
        <w:rPr>
          <w:rFonts w:asciiTheme="minorHAnsi" w:hAnsiTheme="minorHAnsi"/>
          <w:sz w:val="24"/>
          <w:szCs w:val="24"/>
        </w:rPr>
        <w:t>advice on the proposed restriction criteria (paragraph 7.3, pembrolizumab minutes, July 2017 PBAC meeting).</w:t>
      </w:r>
      <w:r w:rsidR="00A3020A" w:rsidRPr="00ED2F4D">
        <w:rPr>
          <w:rFonts w:asciiTheme="minorHAnsi" w:hAnsiTheme="minorHAnsi"/>
          <w:sz w:val="24"/>
          <w:szCs w:val="24"/>
        </w:rPr>
        <w:t xml:space="preserve"> The PBAC also advised that the maximum number of repeats for the initial prescription should be increased from 5 to 6, while the maximum number of repeats </w:t>
      </w:r>
      <w:r w:rsidR="00D06B60" w:rsidRPr="00ED2F4D">
        <w:rPr>
          <w:rFonts w:asciiTheme="minorHAnsi" w:hAnsiTheme="minorHAnsi"/>
          <w:sz w:val="24"/>
          <w:szCs w:val="24"/>
        </w:rPr>
        <w:t xml:space="preserve">for each continuing therapy prescription </w:t>
      </w:r>
      <w:r w:rsidR="00A3020A" w:rsidRPr="00ED2F4D">
        <w:rPr>
          <w:rFonts w:asciiTheme="minorHAnsi" w:hAnsiTheme="minorHAnsi"/>
          <w:sz w:val="24"/>
          <w:szCs w:val="24"/>
        </w:rPr>
        <w:t xml:space="preserve">should be decreased from 7 to 6, so that the total corresponds to the maximum number of cycles (35) allowed overall. </w:t>
      </w:r>
    </w:p>
    <w:p w:rsidR="007418F4" w:rsidRPr="007418F4" w:rsidRDefault="007418F4" w:rsidP="007418F4">
      <w:pPr>
        <w:pStyle w:val="ListParagraph"/>
        <w:rPr>
          <w:rFonts w:asciiTheme="minorHAnsi" w:hAnsiTheme="minorHAnsi"/>
          <w:sz w:val="24"/>
          <w:szCs w:val="24"/>
        </w:rPr>
      </w:pPr>
    </w:p>
    <w:p w:rsidR="007418F4" w:rsidRPr="007418F4" w:rsidRDefault="007418F4" w:rsidP="007418F4">
      <w:pPr>
        <w:pStyle w:val="ListParagraph"/>
        <w:numPr>
          <w:ilvl w:val="1"/>
          <w:numId w:val="5"/>
        </w:numPr>
        <w:rPr>
          <w:rFonts w:asciiTheme="minorHAnsi" w:hAnsiTheme="minorHAnsi"/>
          <w:sz w:val="24"/>
          <w:szCs w:val="24"/>
        </w:rPr>
      </w:pPr>
      <w:r w:rsidRPr="007418F4">
        <w:rPr>
          <w:rFonts w:asciiTheme="minorHAnsi" w:hAnsiTheme="minorHAnsi"/>
          <w:sz w:val="24"/>
          <w:szCs w:val="24"/>
        </w:rPr>
        <w:t xml:space="preserve">The PBAC noted that estimates presented in the July 2017 submission included </w:t>
      </w:r>
      <w:r w:rsidR="001856B0">
        <w:rPr>
          <w:rFonts w:asciiTheme="minorHAnsi" w:hAnsiTheme="minorHAnsi"/>
          <w:noProof/>
          <w:color w:val="000000"/>
          <w:sz w:val="24"/>
          <w:szCs w:val="24"/>
          <w:highlight w:val="black"/>
        </w:rPr>
        <w:t>'''''</w:t>
      </w:r>
      <w:r w:rsidRPr="007418F4">
        <w:rPr>
          <w:rFonts w:asciiTheme="minorHAnsi" w:hAnsiTheme="minorHAnsi"/>
          <w:sz w:val="24"/>
          <w:szCs w:val="24"/>
        </w:rPr>
        <w:t xml:space="preserve"> grandfather patients. The PBAC recommend a grandfather arrangement be added to the listing of pembrolizumab for rrcHL. </w:t>
      </w:r>
      <w:r w:rsidR="00091C34">
        <w:rPr>
          <w:rFonts w:asciiTheme="minorHAnsi" w:hAnsiTheme="minorHAnsi"/>
          <w:sz w:val="24"/>
          <w:szCs w:val="24"/>
        </w:rPr>
        <w:t>T</w:t>
      </w:r>
      <w:r w:rsidRPr="007418F4">
        <w:rPr>
          <w:rFonts w:asciiTheme="minorHAnsi" w:hAnsiTheme="minorHAnsi"/>
          <w:sz w:val="24"/>
          <w:szCs w:val="24"/>
        </w:rPr>
        <w:t xml:space="preserve">he PBAC noted that a grandfather provision would provide </w:t>
      </w:r>
      <w:r w:rsidR="006A40B1">
        <w:rPr>
          <w:rFonts w:asciiTheme="minorHAnsi" w:hAnsiTheme="minorHAnsi"/>
          <w:sz w:val="24"/>
          <w:szCs w:val="24"/>
        </w:rPr>
        <w:t xml:space="preserve">equity of </w:t>
      </w:r>
      <w:r w:rsidRPr="007418F4">
        <w:rPr>
          <w:rFonts w:asciiTheme="minorHAnsi" w:hAnsiTheme="minorHAnsi"/>
          <w:sz w:val="24"/>
          <w:szCs w:val="24"/>
        </w:rPr>
        <w:t xml:space="preserve">access for </w:t>
      </w:r>
      <w:r>
        <w:rPr>
          <w:rFonts w:asciiTheme="minorHAnsi" w:hAnsiTheme="minorHAnsi"/>
          <w:sz w:val="24"/>
          <w:szCs w:val="24"/>
        </w:rPr>
        <w:t xml:space="preserve">a small number of </w:t>
      </w:r>
      <w:r w:rsidRPr="007418F4">
        <w:rPr>
          <w:rFonts w:asciiTheme="minorHAnsi" w:hAnsiTheme="minorHAnsi"/>
          <w:sz w:val="24"/>
          <w:szCs w:val="24"/>
        </w:rPr>
        <w:t>patients who meet the PBS criteria but are receiving non-PBS subsidised treatment</w:t>
      </w:r>
      <w:r w:rsidR="001F1E7E">
        <w:rPr>
          <w:rFonts w:asciiTheme="minorHAnsi" w:hAnsiTheme="minorHAnsi"/>
          <w:sz w:val="24"/>
          <w:szCs w:val="24"/>
        </w:rPr>
        <w:t xml:space="preserve"> with a PD-1 inhibitor</w:t>
      </w:r>
      <w:r w:rsidRPr="007418F4">
        <w:rPr>
          <w:rFonts w:asciiTheme="minorHAnsi" w:hAnsiTheme="minorHAnsi"/>
          <w:sz w:val="24"/>
          <w:szCs w:val="24"/>
        </w:rPr>
        <w:t xml:space="preserve"> via another source (such as self-funding).</w:t>
      </w:r>
      <w:r w:rsidR="006A40B1">
        <w:rPr>
          <w:rFonts w:asciiTheme="minorHAnsi" w:hAnsiTheme="minorHAnsi"/>
          <w:sz w:val="24"/>
          <w:szCs w:val="24"/>
        </w:rPr>
        <w:t xml:space="preserve"> Further, any patients not identified by the submission as grandfathered patients, would be captured as part of the estimated eligible population.</w:t>
      </w:r>
    </w:p>
    <w:p w:rsidR="00E02731" w:rsidRPr="00C54BF1" w:rsidRDefault="00E02731" w:rsidP="00C54BF1">
      <w:pPr>
        <w:pStyle w:val="ListParagraph"/>
        <w:rPr>
          <w:rFonts w:asciiTheme="minorHAnsi" w:hAnsiTheme="minorHAnsi"/>
          <w:sz w:val="24"/>
          <w:szCs w:val="24"/>
        </w:rPr>
      </w:pPr>
    </w:p>
    <w:p w:rsidR="007F6A17" w:rsidRPr="001910A2" w:rsidRDefault="0064497A" w:rsidP="00D51E5C">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PBAC noted the sponsor’s agreement </w:t>
      </w:r>
      <w:r w:rsidR="004A6F63">
        <w:rPr>
          <w:rFonts w:asciiTheme="minorHAnsi" w:hAnsiTheme="minorHAnsi"/>
          <w:sz w:val="24"/>
          <w:szCs w:val="24"/>
        </w:rPr>
        <w:t>t</w:t>
      </w:r>
      <w:r w:rsidR="00690621" w:rsidRPr="001910A2">
        <w:rPr>
          <w:rFonts w:asciiTheme="minorHAnsi" w:hAnsiTheme="minorHAnsi"/>
          <w:sz w:val="24"/>
          <w:szCs w:val="24"/>
        </w:rPr>
        <w:t>o</w:t>
      </w:r>
      <w:r w:rsidRPr="001910A2">
        <w:rPr>
          <w:rFonts w:asciiTheme="minorHAnsi" w:hAnsiTheme="minorHAnsi"/>
          <w:sz w:val="24"/>
          <w:szCs w:val="24"/>
        </w:rPr>
        <w:t xml:space="preserve"> its </w:t>
      </w:r>
      <w:r w:rsidR="004A6F63">
        <w:rPr>
          <w:rFonts w:asciiTheme="minorHAnsi" w:hAnsiTheme="minorHAnsi"/>
          <w:sz w:val="24"/>
          <w:szCs w:val="24"/>
        </w:rPr>
        <w:t xml:space="preserve">previous </w:t>
      </w:r>
      <w:r w:rsidRPr="001910A2">
        <w:rPr>
          <w:rFonts w:asciiTheme="minorHAnsi" w:hAnsiTheme="minorHAnsi"/>
          <w:sz w:val="24"/>
          <w:szCs w:val="24"/>
        </w:rPr>
        <w:t xml:space="preserve">advice on the appropriate basis of cost-minimisation against BV, based on </w:t>
      </w:r>
      <w:r w:rsidR="004A6F63">
        <w:rPr>
          <w:rFonts w:asciiTheme="minorHAnsi" w:hAnsiTheme="minorHAnsi"/>
          <w:sz w:val="24"/>
          <w:szCs w:val="24"/>
        </w:rPr>
        <w:t xml:space="preserve">estimated </w:t>
      </w:r>
      <w:r w:rsidRPr="001910A2">
        <w:rPr>
          <w:rFonts w:asciiTheme="minorHAnsi" w:hAnsiTheme="minorHAnsi"/>
          <w:sz w:val="24"/>
          <w:szCs w:val="24"/>
        </w:rPr>
        <w:t>mean modelled duration</w:t>
      </w:r>
      <w:r w:rsidR="004A6F63">
        <w:rPr>
          <w:rFonts w:asciiTheme="minorHAnsi" w:hAnsiTheme="minorHAnsi"/>
          <w:sz w:val="24"/>
          <w:szCs w:val="24"/>
        </w:rPr>
        <w:t>s</w:t>
      </w:r>
      <w:r w:rsidRPr="001910A2">
        <w:rPr>
          <w:rFonts w:asciiTheme="minorHAnsi" w:hAnsiTheme="minorHAnsi"/>
          <w:sz w:val="24"/>
          <w:szCs w:val="24"/>
        </w:rPr>
        <w:t xml:space="preserve"> of therapies of </w:t>
      </w:r>
      <w:r w:rsidR="001856B0">
        <w:rPr>
          <w:rFonts w:asciiTheme="minorHAnsi" w:hAnsiTheme="minorHAnsi"/>
          <w:noProof/>
          <w:color w:val="000000"/>
          <w:sz w:val="24"/>
          <w:szCs w:val="24"/>
          <w:highlight w:val="black"/>
        </w:rPr>
        <w:t>''''''''' ''''''' '''''''''''</w:t>
      </w:r>
      <w:r w:rsidRPr="001910A2">
        <w:rPr>
          <w:rFonts w:asciiTheme="minorHAnsi" w:hAnsiTheme="minorHAnsi"/>
          <w:sz w:val="24"/>
          <w:szCs w:val="24"/>
        </w:rPr>
        <w:t xml:space="preserve"> cycles for BV and pe</w:t>
      </w:r>
      <w:r w:rsidR="004A6F63">
        <w:rPr>
          <w:rFonts w:asciiTheme="minorHAnsi" w:hAnsiTheme="minorHAnsi"/>
          <w:sz w:val="24"/>
          <w:szCs w:val="24"/>
        </w:rPr>
        <w:t xml:space="preserve">mbrolizumab, respectively, and on estimated </w:t>
      </w:r>
      <w:r w:rsidR="004A6F63" w:rsidRPr="001910A2">
        <w:rPr>
          <w:rFonts w:asciiTheme="minorHAnsi" w:hAnsiTheme="minorHAnsi"/>
          <w:sz w:val="24"/>
          <w:szCs w:val="24"/>
        </w:rPr>
        <w:t>mean number of vials per administration of 3.14</w:t>
      </w:r>
      <w:r w:rsidR="004A6F63">
        <w:rPr>
          <w:rFonts w:asciiTheme="minorHAnsi" w:hAnsiTheme="minorHAnsi"/>
          <w:sz w:val="24"/>
          <w:szCs w:val="24"/>
        </w:rPr>
        <w:t xml:space="preserve"> and</w:t>
      </w:r>
      <w:r w:rsidR="004A6F63" w:rsidRPr="001910A2">
        <w:rPr>
          <w:rFonts w:asciiTheme="minorHAnsi" w:hAnsiTheme="minorHAnsi"/>
          <w:sz w:val="24"/>
          <w:szCs w:val="24"/>
        </w:rPr>
        <w:t xml:space="preserve"> 4 (</w:t>
      </w:r>
      <w:r w:rsidR="004A6F63">
        <w:rPr>
          <w:rFonts w:asciiTheme="minorHAnsi" w:hAnsiTheme="minorHAnsi"/>
          <w:sz w:val="24"/>
          <w:szCs w:val="24"/>
        </w:rPr>
        <w:t xml:space="preserve">of </w:t>
      </w:r>
      <w:r w:rsidR="004A6F63" w:rsidRPr="001910A2">
        <w:rPr>
          <w:rFonts w:asciiTheme="minorHAnsi" w:hAnsiTheme="minorHAnsi"/>
          <w:sz w:val="24"/>
          <w:szCs w:val="24"/>
        </w:rPr>
        <w:t>50</w:t>
      </w:r>
      <w:r w:rsidR="004A6F63">
        <w:rPr>
          <w:rFonts w:asciiTheme="minorHAnsi" w:hAnsiTheme="minorHAnsi"/>
          <w:sz w:val="24"/>
          <w:szCs w:val="24"/>
        </w:rPr>
        <w:t> </w:t>
      </w:r>
      <w:r w:rsidR="004A6F63" w:rsidRPr="001910A2">
        <w:rPr>
          <w:rFonts w:asciiTheme="minorHAnsi" w:hAnsiTheme="minorHAnsi"/>
          <w:sz w:val="24"/>
          <w:szCs w:val="24"/>
        </w:rPr>
        <w:t>mg</w:t>
      </w:r>
      <w:r w:rsidR="004A6F63">
        <w:rPr>
          <w:rFonts w:asciiTheme="minorHAnsi" w:hAnsiTheme="minorHAnsi"/>
          <w:sz w:val="24"/>
          <w:szCs w:val="24"/>
        </w:rPr>
        <w:t xml:space="preserve"> each</w:t>
      </w:r>
      <w:r w:rsidR="004A6F63" w:rsidRPr="001910A2">
        <w:rPr>
          <w:rFonts w:asciiTheme="minorHAnsi" w:hAnsiTheme="minorHAnsi"/>
          <w:sz w:val="24"/>
          <w:szCs w:val="24"/>
        </w:rPr>
        <w:t xml:space="preserve">) for BV </w:t>
      </w:r>
      <w:r w:rsidR="004A6F63">
        <w:rPr>
          <w:rFonts w:asciiTheme="minorHAnsi" w:hAnsiTheme="minorHAnsi"/>
          <w:sz w:val="24"/>
          <w:szCs w:val="24"/>
        </w:rPr>
        <w:t xml:space="preserve">and </w:t>
      </w:r>
      <w:r w:rsidR="004A6F63" w:rsidRPr="001910A2">
        <w:rPr>
          <w:rFonts w:asciiTheme="minorHAnsi" w:hAnsiTheme="minorHAnsi"/>
          <w:sz w:val="24"/>
          <w:szCs w:val="24"/>
        </w:rPr>
        <w:t>pembrolizumab</w:t>
      </w:r>
      <w:r w:rsidR="004A6F63">
        <w:rPr>
          <w:rFonts w:asciiTheme="minorHAnsi" w:hAnsiTheme="minorHAnsi"/>
          <w:sz w:val="24"/>
          <w:szCs w:val="24"/>
        </w:rPr>
        <w:t>, respectively.</w:t>
      </w:r>
      <w:r w:rsidR="00FC403F">
        <w:rPr>
          <w:rFonts w:asciiTheme="minorHAnsi" w:hAnsiTheme="minorHAnsi"/>
          <w:sz w:val="24"/>
          <w:szCs w:val="24"/>
        </w:rPr>
        <w:t xml:space="preserve"> Additionally, the PB</w:t>
      </w:r>
      <w:r w:rsidR="00A0206D">
        <w:rPr>
          <w:rFonts w:asciiTheme="minorHAnsi" w:hAnsiTheme="minorHAnsi"/>
          <w:sz w:val="24"/>
          <w:szCs w:val="24"/>
        </w:rPr>
        <w:t>AC advised the price of the 100 </w:t>
      </w:r>
      <w:r w:rsidR="00FC403F">
        <w:rPr>
          <w:rFonts w:asciiTheme="minorHAnsi" w:hAnsiTheme="minorHAnsi"/>
          <w:sz w:val="24"/>
          <w:szCs w:val="24"/>
        </w:rPr>
        <w:t>mg pembrolizumab vials</w:t>
      </w:r>
      <w:r w:rsidR="00974368">
        <w:rPr>
          <w:rFonts w:asciiTheme="minorHAnsi" w:hAnsiTheme="minorHAnsi"/>
          <w:sz w:val="24"/>
          <w:szCs w:val="24"/>
        </w:rPr>
        <w:t xml:space="preserve"> should</w:t>
      </w:r>
      <w:r w:rsidR="00FC403F">
        <w:rPr>
          <w:rFonts w:asciiTheme="minorHAnsi" w:hAnsiTheme="minorHAnsi"/>
          <w:sz w:val="24"/>
          <w:szCs w:val="24"/>
        </w:rPr>
        <w:t xml:space="preserve"> be estimated on the same principles.</w:t>
      </w:r>
    </w:p>
    <w:p w:rsidR="0064497A" w:rsidRPr="001910A2" w:rsidRDefault="0064497A" w:rsidP="0064497A">
      <w:pPr>
        <w:rPr>
          <w:rFonts w:asciiTheme="minorHAnsi" w:hAnsiTheme="minorHAnsi"/>
        </w:rPr>
      </w:pPr>
    </w:p>
    <w:p w:rsidR="00E54D36" w:rsidRPr="001910A2" w:rsidRDefault="00E54D36" w:rsidP="00A86F1B">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PBAC </w:t>
      </w:r>
      <w:r w:rsidR="0064497A" w:rsidRPr="001910A2">
        <w:rPr>
          <w:rFonts w:asciiTheme="minorHAnsi" w:hAnsiTheme="minorHAnsi"/>
          <w:sz w:val="24"/>
          <w:szCs w:val="24"/>
        </w:rPr>
        <w:t xml:space="preserve">considered that the sponsor’s estimates of a </w:t>
      </w:r>
      <w:r w:rsidR="001856B0">
        <w:rPr>
          <w:rFonts w:asciiTheme="minorHAnsi" w:hAnsiTheme="minorHAnsi"/>
          <w:noProof/>
          <w:color w:val="000000"/>
          <w:sz w:val="24"/>
          <w:szCs w:val="24"/>
          <w:highlight w:val="black"/>
        </w:rPr>
        <w:t>'''''''''''</w:t>
      </w:r>
      <w:r w:rsidR="0064497A" w:rsidRPr="001910A2">
        <w:rPr>
          <w:rFonts w:asciiTheme="minorHAnsi" w:hAnsiTheme="minorHAnsi"/>
          <w:sz w:val="24"/>
          <w:szCs w:val="24"/>
        </w:rPr>
        <w:t xml:space="preserve"> market share, in favour of pembrolizumab, in the fourth line of therapy</w:t>
      </w:r>
      <w:r w:rsidR="00690621" w:rsidRPr="001910A2">
        <w:rPr>
          <w:rFonts w:asciiTheme="minorHAnsi" w:hAnsiTheme="minorHAnsi"/>
          <w:sz w:val="24"/>
          <w:szCs w:val="24"/>
        </w:rPr>
        <w:t>,</w:t>
      </w:r>
      <w:r w:rsidR="006315D8">
        <w:rPr>
          <w:rFonts w:asciiTheme="minorHAnsi" w:hAnsiTheme="minorHAnsi"/>
          <w:sz w:val="24"/>
          <w:szCs w:val="24"/>
        </w:rPr>
        <w:t xml:space="preserve"> was reasonable.</w:t>
      </w:r>
    </w:p>
    <w:p w:rsidR="00E54D36" w:rsidRPr="006315D8" w:rsidRDefault="00E54D36" w:rsidP="00913898">
      <w:pPr>
        <w:rPr>
          <w:rFonts w:asciiTheme="minorHAnsi" w:hAnsiTheme="minorHAnsi"/>
        </w:rPr>
      </w:pPr>
    </w:p>
    <w:p w:rsidR="007F6A17" w:rsidRDefault="0064497A" w:rsidP="00D0135A">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Noting its previous views on the uncertainty in the financial estimates due to displacement of BV, the PBAC maintained that a RSA would be required to mitigate the risks associated </w:t>
      </w:r>
      <w:r w:rsidR="00092E85" w:rsidRPr="001910A2">
        <w:rPr>
          <w:rFonts w:asciiTheme="minorHAnsi" w:hAnsiTheme="minorHAnsi"/>
          <w:sz w:val="24"/>
          <w:szCs w:val="24"/>
        </w:rPr>
        <w:t xml:space="preserve">with the additional </w:t>
      </w:r>
      <w:r w:rsidR="00D0135A" w:rsidRPr="001910A2">
        <w:rPr>
          <w:rFonts w:asciiTheme="minorHAnsi" w:hAnsiTheme="minorHAnsi"/>
          <w:sz w:val="24"/>
          <w:szCs w:val="24"/>
        </w:rPr>
        <w:t>utilisation</w:t>
      </w:r>
      <w:r w:rsidR="00092E85" w:rsidRPr="001910A2">
        <w:rPr>
          <w:rFonts w:asciiTheme="minorHAnsi" w:hAnsiTheme="minorHAnsi"/>
          <w:sz w:val="24"/>
          <w:szCs w:val="24"/>
        </w:rPr>
        <w:t xml:space="preserve"> of pembrolizumab</w:t>
      </w:r>
      <w:r w:rsidR="00690621" w:rsidRPr="001910A2">
        <w:rPr>
          <w:rFonts w:asciiTheme="minorHAnsi" w:hAnsiTheme="minorHAnsi"/>
          <w:sz w:val="24"/>
          <w:szCs w:val="24"/>
        </w:rPr>
        <w:t xml:space="preserve"> (paragraph 7.11, pembrolizumab minutes, July 2017 PBAC meeting)</w:t>
      </w:r>
      <w:r w:rsidR="00092E85" w:rsidRPr="001910A2">
        <w:rPr>
          <w:rFonts w:asciiTheme="minorHAnsi" w:hAnsiTheme="minorHAnsi"/>
          <w:sz w:val="24"/>
          <w:szCs w:val="24"/>
        </w:rPr>
        <w:t xml:space="preserve">. </w:t>
      </w:r>
      <w:r w:rsidR="005252A4">
        <w:rPr>
          <w:rFonts w:asciiTheme="minorHAnsi" w:hAnsiTheme="minorHAnsi"/>
          <w:sz w:val="24"/>
          <w:szCs w:val="24"/>
        </w:rPr>
        <w:t>T</w:t>
      </w:r>
      <w:r w:rsidR="00092E85" w:rsidRPr="001910A2">
        <w:rPr>
          <w:rFonts w:asciiTheme="minorHAnsi" w:hAnsiTheme="minorHAnsi"/>
          <w:sz w:val="24"/>
          <w:szCs w:val="24"/>
        </w:rPr>
        <w:t xml:space="preserve">he PBAC considered that </w:t>
      </w:r>
      <w:r w:rsidR="005252A4">
        <w:rPr>
          <w:rFonts w:asciiTheme="minorHAnsi" w:hAnsiTheme="minorHAnsi"/>
          <w:sz w:val="24"/>
          <w:szCs w:val="24"/>
        </w:rPr>
        <w:t>given the uncertainty around the potential for sequential use of BV and pembrolizumab, a sizeable</w:t>
      </w:r>
      <w:r w:rsidR="0088439F">
        <w:rPr>
          <w:rFonts w:asciiTheme="minorHAnsi" w:hAnsiTheme="minorHAnsi"/>
          <w:sz w:val="24"/>
          <w:szCs w:val="24"/>
        </w:rPr>
        <w:t xml:space="preserve"> </w:t>
      </w:r>
      <w:r w:rsidR="00D0135A" w:rsidRPr="001910A2">
        <w:rPr>
          <w:rFonts w:asciiTheme="minorHAnsi" w:hAnsiTheme="minorHAnsi"/>
          <w:sz w:val="24"/>
          <w:szCs w:val="24"/>
        </w:rPr>
        <w:t>rebate on costs above the agreed annual subsidisation</w:t>
      </w:r>
      <w:r w:rsidR="005252A4">
        <w:rPr>
          <w:rFonts w:asciiTheme="minorHAnsi" w:hAnsiTheme="minorHAnsi"/>
          <w:sz w:val="24"/>
          <w:szCs w:val="24"/>
        </w:rPr>
        <w:t xml:space="preserve"> caps</w:t>
      </w:r>
      <w:r w:rsidR="00D0135A" w:rsidRPr="001910A2">
        <w:rPr>
          <w:rFonts w:asciiTheme="minorHAnsi" w:hAnsiTheme="minorHAnsi"/>
          <w:sz w:val="24"/>
          <w:szCs w:val="24"/>
        </w:rPr>
        <w:t xml:space="preserve"> </w:t>
      </w:r>
      <w:r w:rsidR="005252A4">
        <w:rPr>
          <w:rFonts w:asciiTheme="minorHAnsi" w:hAnsiTheme="minorHAnsi"/>
          <w:sz w:val="24"/>
          <w:szCs w:val="24"/>
        </w:rPr>
        <w:t xml:space="preserve">should be put in place </w:t>
      </w:r>
      <w:r w:rsidR="0088439F">
        <w:rPr>
          <w:rFonts w:asciiTheme="minorHAnsi" w:hAnsiTheme="minorHAnsi"/>
          <w:sz w:val="24"/>
          <w:szCs w:val="24"/>
        </w:rPr>
        <w:t xml:space="preserve">to manage the risk of </w:t>
      </w:r>
      <w:r w:rsidR="00D0135A" w:rsidRPr="001910A2">
        <w:rPr>
          <w:rFonts w:asciiTheme="minorHAnsi" w:hAnsiTheme="minorHAnsi"/>
          <w:sz w:val="24"/>
          <w:szCs w:val="24"/>
        </w:rPr>
        <w:t>use beyond the agreed utilisation estimates</w:t>
      </w:r>
      <w:r w:rsidR="006315D8">
        <w:rPr>
          <w:rFonts w:asciiTheme="minorHAnsi" w:hAnsiTheme="minorHAnsi"/>
          <w:sz w:val="24"/>
          <w:szCs w:val="24"/>
        </w:rPr>
        <w:t>.</w:t>
      </w:r>
    </w:p>
    <w:p w:rsidR="00D036E0" w:rsidRPr="007418F4" w:rsidRDefault="00D036E0" w:rsidP="007418F4"/>
    <w:p w:rsidR="002E7521" w:rsidRPr="001910A2" w:rsidRDefault="002233F3" w:rsidP="002E7521">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PBAC </w:t>
      </w:r>
      <w:r w:rsidR="00E02731" w:rsidRPr="001910A2">
        <w:rPr>
          <w:rFonts w:asciiTheme="minorHAnsi" w:hAnsiTheme="minorHAnsi"/>
          <w:sz w:val="24"/>
          <w:szCs w:val="24"/>
        </w:rPr>
        <w:t xml:space="preserve">advised </w:t>
      </w:r>
      <w:r w:rsidR="00996D29" w:rsidRPr="001910A2">
        <w:rPr>
          <w:rFonts w:asciiTheme="minorHAnsi" w:hAnsiTheme="minorHAnsi"/>
          <w:sz w:val="24"/>
          <w:szCs w:val="24"/>
        </w:rPr>
        <w:t>that</w:t>
      </w:r>
      <w:r w:rsidR="00E02731" w:rsidRPr="001910A2">
        <w:rPr>
          <w:rFonts w:asciiTheme="minorHAnsi" w:hAnsiTheme="minorHAnsi"/>
          <w:sz w:val="24"/>
          <w:szCs w:val="24"/>
        </w:rPr>
        <w:t xml:space="preserve"> the</w:t>
      </w:r>
      <w:r w:rsidR="00996D29" w:rsidRPr="001910A2">
        <w:rPr>
          <w:rFonts w:asciiTheme="minorHAnsi" w:hAnsiTheme="minorHAnsi"/>
          <w:sz w:val="24"/>
          <w:szCs w:val="24"/>
        </w:rPr>
        <w:t xml:space="preserve"> Early Supply Rule should apply </w:t>
      </w:r>
      <w:r w:rsidR="00E02731" w:rsidRPr="001910A2">
        <w:rPr>
          <w:rFonts w:asciiTheme="minorHAnsi" w:hAnsiTheme="minorHAnsi"/>
          <w:sz w:val="24"/>
          <w:szCs w:val="24"/>
        </w:rPr>
        <w:t xml:space="preserve">not </w:t>
      </w:r>
      <w:r w:rsidR="00996D29" w:rsidRPr="001910A2">
        <w:rPr>
          <w:rFonts w:asciiTheme="minorHAnsi" w:hAnsiTheme="minorHAnsi"/>
          <w:sz w:val="24"/>
          <w:szCs w:val="24"/>
        </w:rPr>
        <w:t>to the listing of</w:t>
      </w:r>
      <w:r w:rsidRPr="001910A2">
        <w:rPr>
          <w:rFonts w:asciiTheme="minorHAnsi" w:hAnsiTheme="minorHAnsi"/>
          <w:sz w:val="24"/>
          <w:szCs w:val="24"/>
        </w:rPr>
        <w:t xml:space="preserve"> </w:t>
      </w:r>
      <w:r w:rsidR="00E02731" w:rsidRPr="001910A2">
        <w:rPr>
          <w:rFonts w:asciiTheme="minorHAnsi" w:hAnsiTheme="minorHAnsi"/>
          <w:sz w:val="24"/>
          <w:szCs w:val="24"/>
        </w:rPr>
        <w:t>pembrolizumab</w:t>
      </w:r>
      <w:r w:rsidR="002E7521" w:rsidRPr="001910A2">
        <w:rPr>
          <w:rFonts w:asciiTheme="minorHAnsi" w:hAnsiTheme="minorHAnsi"/>
          <w:sz w:val="24"/>
          <w:szCs w:val="24"/>
        </w:rPr>
        <w:t>.</w:t>
      </w:r>
    </w:p>
    <w:p w:rsidR="002E7521" w:rsidRPr="006315D8" w:rsidRDefault="002E7521" w:rsidP="002E7521">
      <w:pPr>
        <w:rPr>
          <w:rFonts w:asciiTheme="minorHAnsi" w:hAnsiTheme="minorHAnsi"/>
        </w:rPr>
      </w:pPr>
    </w:p>
    <w:p w:rsidR="00996D29" w:rsidRPr="001910A2" w:rsidRDefault="00996D29" w:rsidP="00996D29">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PBAC advised that under subsection 101(3BA) of the </w:t>
      </w:r>
      <w:r w:rsidRPr="001910A2">
        <w:rPr>
          <w:rFonts w:asciiTheme="minorHAnsi" w:hAnsiTheme="minorHAnsi"/>
          <w:i/>
          <w:sz w:val="24"/>
          <w:szCs w:val="24"/>
        </w:rPr>
        <w:t>National Health Act, 1953</w:t>
      </w:r>
      <w:r w:rsidRPr="001910A2">
        <w:rPr>
          <w:rFonts w:asciiTheme="minorHAnsi" w:hAnsiTheme="minorHAnsi"/>
          <w:sz w:val="24"/>
          <w:szCs w:val="24"/>
        </w:rPr>
        <w:t xml:space="preserve"> that </w:t>
      </w:r>
      <w:r w:rsidR="00E02731" w:rsidRPr="001910A2">
        <w:rPr>
          <w:rFonts w:asciiTheme="minorHAnsi" w:hAnsiTheme="minorHAnsi"/>
          <w:sz w:val="24"/>
          <w:szCs w:val="24"/>
        </w:rPr>
        <w:t>pembrolizumab</w:t>
      </w:r>
      <w:r w:rsidRPr="001910A2">
        <w:rPr>
          <w:rFonts w:asciiTheme="minorHAnsi" w:hAnsiTheme="minorHAnsi"/>
          <w:sz w:val="24"/>
          <w:szCs w:val="24"/>
        </w:rPr>
        <w:t xml:space="preserve"> should not be treated as interchangeable on an individual patient basis with any other drugs.</w:t>
      </w:r>
    </w:p>
    <w:p w:rsidR="00996D29" w:rsidRPr="006315D8" w:rsidRDefault="00996D29" w:rsidP="00D51E5C">
      <w:pPr>
        <w:rPr>
          <w:rFonts w:asciiTheme="minorHAnsi" w:hAnsiTheme="minorHAnsi"/>
        </w:rPr>
      </w:pPr>
    </w:p>
    <w:p w:rsidR="00996D29" w:rsidRPr="001910A2" w:rsidRDefault="00996D29" w:rsidP="00A86F1B">
      <w:pPr>
        <w:pStyle w:val="ListParagraph"/>
        <w:numPr>
          <w:ilvl w:val="1"/>
          <w:numId w:val="5"/>
        </w:numPr>
        <w:rPr>
          <w:rFonts w:asciiTheme="minorHAnsi" w:hAnsiTheme="minorHAnsi"/>
          <w:sz w:val="24"/>
          <w:szCs w:val="24"/>
        </w:rPr>
      </w:pPr>
      <w:r w:rsidRPr="001910A2">
        <w:rPr>
          <w:rFonts w:asciiTheme="minorHAnsi" w:hAnsiTheme="minorHAnsi"/>
          <w:sz w:val="24"/>
          <w:szCs w:val="24"/>
        </w:rPr>
        <w:t xml:space="preserve">The PBAC advised that </w:t>
      </w:r>
      <w:r w:rsidR="00E02731" w:rsidRPr="001910A2">
        <w:rPr>
          <w:rFonts w:asciiTheme="minorHAnsi" w:hAnsiTheme="minorHAnsi"/>
          <w:sz w:val="24"/>
          <w:szCs w:val="24"/>
        </w:rPr>
        <w:t>pembrolizumab</w:t>
      </w:r>
      <w:r w:rsidRPr="001910A2">
        <w:rPr>
          <w:rFonts w:asciiTheme="minorHAnsi" w:hAnsiTheme="minorHAnsi"/>
          <w:sz w:val="24"/>
          <w:szCs w:val="24"/>
        </w:rPr>
        <w:t xml:space="preserve"> is not suitable for pres</w:t>
      </w:r>
      <w:r w:rsidR="006315D8">
        <w:rPr>
          <w:rFonts w:asciiTheme="minorHAnsi" w:hAnsiTheme="minorHAnsi"/>
          <w:sz w:val="24"/>
          <w:szCs w:val="24"/>
        </w:rPr>
        <w:t>cribing by nurse practitioners.</w:t>
      </w:r>
    </w:p>
    <w:p w:rsidR="00996D29" w:rsidRPr="006315D8" w:rsidRDefault="00996D29" w:rsidP="00D51E5C">
      <w:pPr>
        <w:rPr>
          <w:rFonts w:asciiTheme="minorHAnsi" w:hAnsiTheme="minorHAnsi"/>
        </w:rPr>
      </w:pPr>
    </w:p>
    <w:p w:rsidR="00E02731" w:rsidRPr="001910A2" w:rsidRDefault="00E02731" w:rsidP="00E02731">
      <w:pPr>
        <w:pStyle w:val="ListParagraph"/>
        <w:numPr>
          <w:ilvl w:val="1"/>
          <w:numId w:val="5"/>
        </w:numPr>
        <w:rPr>
          <w:rFonts w:asciiTheme="minorHAnsi" w:hAnsiTheme="minorHAnsi"/>
          <w:sz w:val="24"/>
          <w:szCs w:val="24"/>
        </w:rPr>
      </w:pPr>
      <w:r w:rsidRPr="001910A2">
        <w:rPr>
          <w:rFonts w:asciiTheme="minorHAnsi" w:hAnsiTheme="minorHAnsi"/>
          <w:sz w:val="24"/>
          <w:szCs w:val="24"/>
        </w:rPr>
        <w:t>The PBAC noted that this submission is not eligible for an Independent Review because the PBAC has made a positive recommendation.</w:t>
      </w:r>
    </w:p>
    <w:p w:rsidR="00A92B17" w:rsidRPr="006315D8" w:rsidRDefault="00A92B17" w:rsidP="00A92B17">
      <w:pPr>
        <w:widowControl w:val="0"/>
        <w:jc w:val="both"/>
        <w:rPr>
          <w:rFonts w:asciiTheme="minorHAnsi" w:hAnsiTheme="minorHAnsi" w:cs="Arial"/>
          <w:bCs/>
          <w:snapToGrid w:val="0"/>
          <w:highlight w:val="yellow"/>
        </w:rPr>
      </w:pPr>
    </w:p>
    <w:p w:rsidR="00A92B17" w:rsidRPr="001910A2" w:rsidRDefault="00A92B17" w:rsidP="00A92B17">
      <w:pPr>
        <w:widowControl w:val="0"/>
        <w:jc w:val="both"/>
        <w:rPr>
          <w:rFonts w:asciiTheme="minorHAnsi" w:hAnsiTheme="minorHAnsi" w:cs="Arial"/>
          <w:b/>
          <w:bCs/>
          <w:snapToGrid w:val="0"/>
        </w:rPr>
      </w:pPr>
      <w:r w:rsidRPr="001910A2">
        <w:rPr>
          <w:rFonts w:asciiTheme="minorHAnsi" w:hAnsiTheme="minorHAnsi" w:cs="Arial"/>
          <w:b/>
          <w:bCs/>
          <w:snapToGrid w:val="0"/>
        </w:rPr>
        <w:t>Outcome:</w:t>
      </w:r>
    </w:p>
    <w:p w:rsidR="00A92B17" w:rsidRPr="001910A2" w:rsidRDefault="00A92B17" w:rsidP="00A92B17">
      <w:pPr>
        <w:widowControl w:val="0"/>
        <w:jc w:val="both"/>
        <w:rPr>
          <w:rFonts w:asciiTheme="minorHAnsi" w:hAnsiTheme="minorHAnsi" w:cs="Arial"/>
          <w:bCs/>
          <w:snapToGrid w:val="0"/>
        </w:rPr>
      </w:pPr>
      <w:r w:rsidRPr="001910A2">
        <w:rPr>
          <w:rFonts w:asciiTheme="minorHAnsi" w:hAnsiTheme="minorHAnsi" w:cs="Arial"/>
          <w:bCs/>
          <w:snapToGrid w:val="0"/>
        </w:rPr>
        <w:t xml:space="preserve">Recommended </w:t>
      </w:r>
    </w:p>
    <w:p w:rsidR="00A92B17" w:rsidRPr="006315D8" w:rsidRDefault="00A92B17" w:rsidP="00A92B17">
      <w:pPr>
        <w:widowControl w:val="0"/>
        <w:jc w:val="both"/>
        <w:rPr>
          <w:rFonts w:asciiTheme="minorHAnsi" w:hAnsiTheme="minorHAnsi" w:cs="Arial"/>
          <w:bCs/>
          <w:snapToGrid w:val="0"/>
        </w:rPr>
      </w:pPr>
    </w:p>
    <w:p w:rsidR="00A92B17" w:rsidRPr="00991133" w:rsidRDefault="00A92B17" w:rsidP="00991133">
      <w:pPr>
        <w:pStyle w:val="PBACHeading1"/>
        <w:rPr>
          <w:rFonts w:asciiTheme="minorHAnsi" w:hAnsiTheme="minorHAnsi"/>
          <w:sz w:val="24"/>
          <w:szCs w:val="24"/>
        </w:rPr>
      </w:pPr>
      <w:r w:rsidRPr="00991133">
        <w:rPr>
          <w:rFonts w:asciiTheme="minorHAnsi" w:hAnsiTheme="minorHAnsi"/>
          <w:sz w:val="24"/>
          <w:szCs w:val="24"/>
        </w:rPr>
        <w:t>Recommended listing</w:t>
      </w:r>
    </w:p>
    <w:p w:rsidR="00A92B17" w:rsidRPr="006315D8" w:rsidRDefault="00A92B17" w:rsidP="00A92B17">
      <w:pPr>
        <w:widowControl w:val="0"/>
        <w:jc w:val="both"/>
        <w:rPr>
          <w:rFonts w:asciiTheme="minorHAnsi" w:hAnsiTheme="minorHAnsi" w:cs="Arial"/>
          <w:bCs/>
          <w:snapToGrid w:val="0"/>
          <w:highlight w:val="yellow"/>
        </w:rPr>
      </w:pPr>
    </w:p>
    <w:p w:rsidR="00A92B17" w:rsidRPr="001910A2" w:rsidRDefault="00A92B17" w:rsidP="007D1CED">
      <w:pPr>
        <w:widowControl w:val="0"/>
        <w:numPr>
          <w:ilvl w:val="1"/>
          <w:numId w:val="5"/>
        </w:numPr>
        <w:jc w:val="both"/>
        <w:rPr>
          <w:rFonts w:asciiTheme="minorHAnsi" w:hAnsiTheme="minorHAnsi" w:cs="Arial"/>
          <w:bCs/>
          <w:snapToGrid w:val="0"/>
        </w:rPr>
      </w:pPr>
      <w:r w:rsidRPr="001910A2">
        <w:rPr>
          <w:rFonts w:asciiTheme="minorHAnsi" w:hAnsiTheme="minorHAnsi" w:cs="Arial"/>
          <w:bCs/>
          <w:snapToGrid w:val="0"/>
        </w:rPr>
        <w:t>Add new item:</w:t>
      </w:r>
    </w:p>
    <w:p w:rsidR="00E65F9D" w:rsidRPr="00FF044C" w:rsidRDefault="00E65F9D" w:rsidP="00E65F9D">
      <w:pPr>
        <w:pStyle w:val="NoSpacing"/>
      </w:pPr>
    </w:p>
    <w:tbl>
      <w:tblPr>
        <w:tblW w:w="8931" w:type="dxa"/>
        <w:tblInd w:w="108" w:type="dxa"/>
        <w:tblLayout w:type="fixed"/>
        <w:tblLook w:val="0000" w:firstRow="0" w:lastRow="0" w:firstColumn="0" w:lastColumn="0" w:noHBand="0" w:noVBand="0"/>
      </w:tblPr>
      <w:tblGrid>
        <w:gridCol w:w="2410"/>
        <w:gridCol w:w="992"/>
        <w:gridCol w:w="851"/>
        <w:gridCol w:w="1417"/>
        <w:gridCol w:w="1134"/>
        <w:gridCol w:w="2127"/>
      </w:tblGrid>
      <w:tr w:rsidR="00E65F9D" w:rsidRPr="00FF044C" w:rsidTr="00FC564F">
        <w:trPr>
          <w:cantSplit/>
          <w:trHeight w:val="471"/>
        </w:trPr>
        <w:tc>
          <w:tcPr>
            <w:tcW w:w="2410" w:type="dxa"/>
            <w:tcBorders>
              <w:bottom w:val="single" w:sz="4" w:space="0" w:color="auto"/>
            </w:tcBorders>
          </w:tcPr>
          <w:p w:rsidR="00E65F9D" w:rsidRPr="00FF044C" w:rsidRDefault="00E65F9D" w:rsidP="00C0037C">
            <w:pPr>
              <w:keepNext/>
              <w:ind w:left="-108"/>
              <w:rPr>
                <w:rFonts w:ascii="Arial Narrow" w:hAnsi="Arial Narrow"/>
                <w:sz w:val="20"/>
              </w:rPr>
            </w:pPr>
            <w:r w:rsidRPr="00FF044C">
              <w:rPr>
                <w:rFonts w:ascii="Arial Narrow" w:hAnsi="Arial Narrow"/>
                <w:sz w:val="20"/>
              </w:rPr>
              <w:t>Name, Restriction,</w:t>
            </w:r>
          </w:p>
          <w:p w:rsidR="00E65F9D" w:rsidRPr="00FF044C" w:rsidRDefault="00E65F9D" w:rsidP="00C0037C">
            <w:pPr>
              <w:keepNext/>
              <w:ind w:left="-108"/>
              <w:rPr>
                <w:rFonts w:ascii="Arial Narrow" w:hAnsi="Arial Narrow"/>
                <w:sz w:val="20"/>
              </w:rPr>
            </w:pPr>
            <w:r w:rsidRPr="00FF044C">
              <w:rPr>
                <w:rFonts w:ascii="Arial Narrow" w:hAnsi="Arial Narrow"/>
                <w:sz w:val="20"/>
              </w:rPr>
              <w:t>Manner of administration and form</w:t>
            </w:r>
          </w:p>
        </w:tc>
        <w:tc>
          <w:tcPr>
            <w:tcW w:w="992" w:type="dxa"/>
            <w:tcBorders>
              <w:bottom w:val="single" w:sz="4" w:space="0" w:color="auto"/>
            </w:tcBorders>
          </w:tcPr>
          <w:p w:rsidR="00E65F9D" w:rsidRPr="00FF044C" w:rsidRDefault="00E65F9D" w:rsidP="00C0037C">
            <w:pPr>
              <w:keepNext/>
              <w:ind w:left="-108"/>
              <w:jc w:val="center"/>
              <w:rPr>
                <w:rFonts w:ascii="Arial Narrow" w:hAnsi="Arial Narrow"/>
                <w:sz w:val="20"/>
              </w:rPr>
            </w:pPr>
            <w:r w:rsidRPr="00FF044C">
              <w:rPr>
                <w:rFonts w:ascii="Arial Narrow" w:hAnsi="Arial Narrow"/>
                <w:sz w:val="20"/>
              </w:rPr>
              <w:t>Max.</w:t>
            </w:r>
          </w:p>
          <w:p w:rsidR="00E65F9D" w:rsidRPr="00FF044C" w:rsidRDefault="00E65F9D" w:rsidP="00C0037C">
            <w:pPr>
              <w:keepNext/>
              <w:ind w:left="-108"/>
              <w:jc w:val="center"/>
              <w:rPr>
                <w:rFonts w:ascii="Arial Narrow" w:hAnsi="Arial Narrow"/>
                <w:sz w:val="20"/>
              </w:rPr>
            </w:pPr>
            <w:r w:rsidRPr="00FF044C">
              <w:rPr>
                <w:rFonts w:ascii="Arial Narrow" w:hAnsi="Arial Narrow"/>
                <w:sz w:val="20"/>
              </w:rPr>
              <w:t>Amount</w:t>
            </w:r>
          </w:p>
        </w:tc>
        <w:tc>
          <w:tcPr>
            <w:tcW w:w="851" w:type="dxa"/>
            <w:tcBorders>
              <w:bottom w:val="single" w:sz="4" w:space="0" w:color="auto"/>
            </w:tcBorders>
          </w:tcPr>
          <w:p w:rsidR="00E65F9D" w:rsidRPr="00FF044C" w:rsidRDefault="00E65F9D" w:rsidP="00C0037C">
            <w:pPr>
              <w:keepNext/>
              <w:ind w:left="-108"/>
              <w:jc w:val="center"/>
              <w:rPr>
                <w:rFonts w:ascii="Arial Narrow" w:hAnsi="Arial Narrow"/>
                <w:sz w:val="20"/>
              </w:rPr>
            </w:pPr>
            <w:r w:rsidRPr="00FF044C">
              <w:rPr>
                <w:rFonts w:ascii="Arial Narrow" w:hAnsi="Arial Narrow"/>
                <w:sz w:val="20"/>
              </w:rPr>
              <w:t>№.of Rpts</w:t>
            </w:r>
          </w:p>
        </w:tc>
        <w:tc>
          <w:tcPr>
            <w:tcW w:w="1417" w:type="dxa"/>
            <w:tcBorders>
              <w:bottom w:val="single" w:sz="4" w:space="0" w:color="auto"/>
            </w:tcBorders>
          </w:tcPr>
          <w:p w:rsidR="00E65F9D" w:rsidRPr="00FF044C" w:rsidRDefault="00E65F9D" w:rsidP="00C0037C">
            <w:pPr>
              <w:keepNext/>
              <w:ind w:left="-108"/>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261" w:type="dxa"/>
            <w:gridSpan w:val="2"/>
            <w:tcBorders>
              <w:bottom w:val="single" w:sz="4" w:space="0" w:color="auto"/>
            </w:tcBorders>
          </w:tcPr>
          <w:p w:rsidR="00E65F9D" w:rsidRPr="00FF044C" w:rsidRDefault="00E65F9D" w:rsidP="00C0037C">
            <w:pPr>
              <w:keepNext/>
              <w:jc w:val="center"/>
              <w:rPr>
                <w:rFonts w:ascii="Arial Narrow" w:hAnsi="Arial Narrow"/>
                <w:sz w:val="20"/>
              </w:rPr>
            </w:pPr>
            <w:r w:rsidRPr="00FF044C">
              <w:rPr>
                <w:rFonts w:ascii="Arial Narrow" w:hAnsi="Arial Narrow"/>
                <w:sz w:val="20"/>
              </w:rPr>
              <w:t>P</w:t>
            </w:r>
            <w:r>
              <w:rPr>
                <w:rFonts w:ascii="Arial Narrow" w:hAnsi="Arial Narrow"/>
                <w:sz w:val="20"/>
              </w:rPr>
              <w:t xml:space="preserve">roprietary  Name and        </w:t>
            </w:r>
            <w:r w:rsidRPr="00FF044C">
              <w:rPr>
                <w:rFonts w:ascii="Arial Narrow" w:hAnsi="Arial Narrow"/>
                <w:sz w:val="20"/>
              </w:rPr>
              <w:t xml:space="preserve"> </w:t>
            </w:r>
            <w:r>
              <w:rPr>
                <w:rFonts w:ascii="Arial Narrow" w:hAnsi="Arial Narrow"/>
                <w:sz w:val="20"/>
              </w:rPr>
              <w:br/>
            </w:r>
            <w:r w:rsidRPr="00FF044C">
              <w:rPr>
                <w:rFonts w:ascii="Arial Narrow" w:hAnsi="Arial Narrow"/>
                <w:sz w:val="20"/>
              </w:rPr>
              <w:t>Manufacturer</w:t>
            </w:r>
          </w:p>
        </w:tc>
      </w:tr>
      <w:tr w:rsidR="00E65F9D" w:rsidRPr="00FF044C" w:rsidTr="00FC564F">
        <w:trPr>
          <w:cantSplit/>
          <w:trHeight w:val="577"/>
        </w:trPr>
        <w:tc>
          <w:tcPr>
            <w:tcW w:w="2410" w:type="dxa"/>
            <w:vAlign w:val="center"/>
          </w:tcPr>
          <w:p w:rsidR="00E65F9D" w:rsidRPr="00FF044C" w:rsidRDefault="00E65F9D" w:rsidP="00C0037C">
            <w:pPr>
              <w:keepNext/>
              <w:ind w:left="-108"/>
              <w:jc w:val="center"/>
              <w:rPr>
                <w:rFonts w:ascii="Arial Narrow" w:hAnsi="Arial Narrow"/>
                <w:sz w:val="20"/>
              </w:rPr>
            </w:pPr>
            <w:r>
              <w:rPr>
                <w:rFonts w:ascii="Arial Narrow" w:hAnsi="Arial Narrow"/>
                <w:sz w:val="20"/>
              </w:rPr>
              <w:t>PEMBROLIZUMAB</w:t>
            </w:r>
          </w:p>
          <w:p w:rsidR="00E65F9D" w:rsidRPr="00FF044C" w:rsidRDefault="00942AA1" w:rsidP="00C0037C">
            <w:pPr>
              <w:keepNext/>
              <w:ind w:left="-108"/>
              <w:jc w:val="center"/>
              <w:rPr>
                <w:rFonts w:ascii="Arial Narrow" w:hAnsi="Arial Narrow"/>
                <w:sz w:val="20"/>
              </w:rPr>
            </w:pPr>
            <w:r>
              <w:rPr>
                <w:rFonts w:ascii="Arial Narrow" w:hAnsi="Arial Narrow"/>
                <w:sz w:val="20"/>
              </w:rPr>
              <w:t>5</w:t>
            </w:r>
            <w:r w:rsidRPr="005C2075">
              <w:rPr>
                <w:rFonts w:ascii="Arial Narrow" w:hAnsi="Arial Narrow"/>
                <w:sz w:val="20"/>
              </w:rPr>
              <w:t>0</w:t>
            </w:r>
            <w:r>
              <w:rPr>
                <w:rFonts w:ascii="Arial Narrow" w:hAnsi="Arial Narrow"/>
                <w:sz w:val="20"/>
              </w:rPr>
              <w:t> </w:t>
            </w:r>
            <w:r w:rsidRPr="005C2075">
              <w:rPr>
                <w:rFonts w:ascii="Arial Narrow" w:hAnsi="Arial Narrow"/>
                <w:sz w:val="20"/>
              </w:rPr>
              <w:t>mg vial for infusion,</w:t>
            </w:r>
            <w:r w:rsidR="00A0206D">
              <w:rPr>
                <w:rFonts w:ascii="Arial Narrow" w:hAnsi="Arial Narrow"/>
                <w:sz w:val="20"/>
              </w:rPr>
              <w:t xml:space="preserve"> </w:t>
            </w:r>
            <w:r>
              <w:rPr>
                <w:rFonts w:ascii="Arial Narrow" w:hAnsi="Arial Narrow"/>
                <w:sz w:val="20"/>
              </w:rPr>
              <w:t>1</w:t>
            </w:r>
            <w:r w:rsidRPr="005C2075">
              <w:rPr>
                <w:rFonts w:ascii="Arial Narrow" w:hAnsi="Arial Narrow"/>
                <w:sz w:val="20"/>
              </w:rPr>
              <w:t xml:space="preserve"> </w:t>
            </w:r>
            <w:r w:rsidR="00E65F9D" w:rsidRPr="005C2075">
              <w:rPr>
                <w:rFonts w:ascii="Arial Narrow" w:hAnsi="Arial Narrow"/>
                <w:sz w:val="20"/>
              </w:rPr>
              <w:t>100</w:t>
            </w:r>
            <w:r w:rsidR="006315D8">
              <w:rPr>
                <w:rFonts w:ascii="Arial Narrow" w:hAnsi="Arial Narrow"/>
                <w:sz w:val="20"/>
              </w:rPr>
              <w:t> </w:t>
            </w:r>
            <w:r w:rsidR="00E65F9D" w:rsidRPr="005C2075">
              <w:rPr>
                <w:rFonts w:ascii="Arial Narrow" w:hAnsi="Arial Narrow"/>
                <w:sz w:val="20"/>
              </w:rPr>
              <w:t>mg vial for infusion, 1</w:t>
            </w:r>
          </w:p>
        </w:tc>
        <w:tc>
          <w:tcPr>
            <w:tcW w:w="992" w:type="dxa"/>
            <w:vAlign w:val="center"/>
          </w:tcPr>
          <w:p w:rsidR="00E65F9D" w:rsidRPr="00FF044C" w:rsidRDefault="00E65F9D" w:rsidP="006315D8">
            <w:pPr>
              <w:keepNext/>
              <w:jc w:val="center"/>
              <w:rPr>
                <w:rFonts w:ascii="Arial Narrow" w:hAnsi="Arial Narrow"/>
                <w:strike/>
                <w:sz w:val="20"/>
              </w:rPr>
            </w:pPr>
            <w:r w:rsidRPr="00FF044C">
              <w:rPr>
                <w:rFonts w:ascii="Arial Narrow" w:hAnsi="Arial Narrow"/>
                <w:sz w:val="20"/>
              </w:rPr>
              <w:t>200</w:t>
            </w:r>
            <w:r w:rsidR="006315D8">
              <w:rPr>
                <w:rFonts w:ascii="Arial Narrow" w:hAnsi="Arial Narrow"/>
                <w:sz w:val="20"/>
              </w:rPr>
              <w:t> </w:t>
            </w:r>
            <w:r w:rsidRPr="00FF044C">
              <w:rPr>
                <w:rFonts w:ascii="Arial Narrow" w:hAnsi="Arial Narrow"/>
                <w:sz w:val="20"/>
              </w:rPr>
              <w:t>mg</w:t>
            </w:r>
          </w:p>
        </w:tc>
        <w:tc>
          <w:tcPr>
            <w:tcW w:w="851" w:type="dxa"/>
            <w:vAlign w:val="center"/>
          </w:tcPr>
          <w:p w:rsidR="00E65F9D" w:rsidRPr="00FF044C" w:rsidRDefault="00A3020A" w:rsidP="00473509">
            <w:pPr>
              <w:keepNext/>
              <w:ind w:left="-108"/>
              <w:jc w:val="center"/>
              <w:rPr>
                <w:rFonts w:ascii="Arial Narrow" w:hAnsi="Arial Narrow"/>
                <w:sz w:val="20"/>
              </w:rPr>
            </w:pPr>
            <w:r>
              <w:rPr>
                <w:rFonts w:ascii="Arial Narrow" w:hAnsi="Arial Narrow"/>
                <w:sz w:val="20"/>
              </w:rPr>
              <w:t>6</w:t>
            </w:r>
          </w:p>
        </w:tc>
        <w:tc>
          <w:tcPr>
            <w:tcW w:w="1417" w:type="dxa"/>
            <w:vAlign w:val="center"/>
          </w:tcPr>
          <w:p w:rsidR="00E65F9D" w:rsidRPr="00AE5453" w:rsidRDefault="00E65F9D" w:rsidP="00473509">
            <w:pPr>
              <w:keepNext/>
              <w:ind w:left="-108"/>
              <w:jc w:val="center"/>
              <w:rPr>
                <w:rFonts w:ascii="Arial Narrow" w:hAnsi="Arial Narrow"/>
                <w:i/>
                <w:sz w:val="20"/>
              </w:rPr>
            </w:pPr>
            <w:r w:rsidRPr="00AE5453">
              <w:rPr>
                <w:rFonts w:ascii="Arial Narrow" w:hAnsi="Arial Narrow"/>
                <w:i/>
                <w:sz w:val="20"/>
              </w:rPr>
              <w:t>To be confirmed</w:t>
            </w:r>
          </w:p>
        </w:tc>
        <w:tc>
          <w:tcPr>
            <w:tcW w:w="1134" w:type="dxa"/>
            <w:vAlign w:val="center"/>
          </w:tcPr>
          <w:p w:rsidR="00E65F9D" w:rsidRPr="00FF044C" w:rsidRDefault="00E65F9D" w:rsidP="00473509">
            <w:pPr>
              <w:keepNext/>
              <w:jc w:val="center"/>
              <w:rPr>
                <w:rFonts w:ascii="Arial Narrow" w:hAnsi="Arial Narrow"/>
                <w:sz w:val="20"/>
              </w:rPr>
            </w:pPr>
            <w:r>
              <w:rPr>
                <w:rFonts w:ascii="Arial Narrow" w:hAnsi="Arial Narrow"/>
                <w:sz w:val="20"/>
              </w:rPr>
              <w:t>Keytruda</w:t>
            </w:r>
            <w:r w:rsidRPr="00FF044C">
              <w:rPr>
                <w:rFonts w:ascii="Arial Narrow" w:hAnsi="Arial Narrow"/>
                <w:sz w:val="20"/>
                <w:vertAlign w:val="superscript"/>
              </w:rPr>
              <w:t>®</w:t>
            </w:r>
          </w:p>
        </w:tc>
        <w:tc>
          <w:tcPr>
            <w:tcW w:w="2127" w:type="dxa"/>
            <w:vAlign w:val="center"/>
          </w:tcPr>
          <w:p w:rsidR="00E65F9D" w:rsidRPr="00FF044C" w:rsidRDefault="00E65F9D" w:rsidP="00473509">
            <w:pPr>
              <w:keepNext/>
              <w:jc w:val="center"/>
              <w:rPr>
                <w:rFonts w:ascii="Arial Narrow" w:hAnsi="Arial Narrow"/>
                <w:sz w:val="20"/>
              </w:rPr>
            </w:pPr>
            <w:r>
              <w:rPr>
                <w:rFonts w:ascii="Arial Narrow" w:hAnsi="Arial Narrow"/>
                <w:sz w:val="20"/>
              </w:rPr>
              <w:t>Merck Sharp and Dohme Pty Ltd</w:t>
            </w:r>
          </w:p>
        </w:tc>
      </w:tr>
      <w:tr w:rsidR="00E65F9D" w:rsidRPr="00FF044C" w:rsidTr="00FC564F">
        <w:trPr>
          <w:cantSplit/>
          <w:trHeight w:val="360"/>
        </w:trPr>
        <w:tc>
          <w:tcPr>
            <w:tcW w:w="2410" w:type="dxa"/>
            <w:tcBorders>
              <w:top w:val="single" w:sz="4" w:space="0" w:color="auto"/>
              <w:left w:val="single" w:sz="4" w:space="0" w:color="auto"/>
              <w:bottom w:val="single" w:sz="4" w:space="0" w:color="auto"/>
              <w:right w:val="single" w:sz="4" w:space="0" w:color="auto"/>
            </w:tcBorders>
          </w:tcPr>
          <w:p w:rsidR="00E65F9D" w:rsidRPr="00FF044C" w:rsidRDefault="00E65F9D" w:rsidP="00C0037C">
            <w:pPr>
              <w:rPr>
                <w:rFonts w:ascii="Arial Narrow" w:hAnsi="Arial Narrow"/>
                <w:b/>
                <w:sz w:val="20"/>
              </w:rPr>
            </w:pPr>
            <w:r w:rsidRPr="00FF044C">
              <w:rPr>
                <w:rFonts w:ascii="Arial Narrow" w:hAnsi="Arial Narrow"/>
                <w:b/>
                <w:sz w:val="20"/>
              </w:rPr>
              <w:t>Category / Program</w:t>
            </w:r>
          </w:p>
        </w:tc>
        <w:tc>
          <w:tcPr>
            <w:tcW w:w="6521" w:type="dxa"/>
            <w:gridSpan w:val="5"/>
            <w:tcBorders>
              <w:top w:val="single" w:sz="4" w:space="0" w:color="auto"/>
              <w:left w:val="single" w:sz="4" w:space="0" w:color="auto"/>
              <w:bottom w:val="single" w:sz="4" w:space="0" w:color="auto"/>
              <w:right w:val="single" w:sz="4" w:space="0" w:color="auto"/>
            </w:tcBorders>
          </w:tcPr>
          <w:p w:rsidR="00E65F9D" w:rsidRPr="00FF044C" w:rsidRDefault="00E65F9D" w:rsidP="00C0037C">
            <w:pPr>
              <w:rPr>
                <w:rFonts w:ascii="Arial Narrow" w:hAnsi="Arial Narrow"/>
                <w:sz w:val="20"/>
              </w:rPr>
            </w:pPr>
            <w:r w:rsidRPr="00FF044C">
              <w:rPr>
                <w:rFonts w:ascii="Arial Narrow" w:hAnsi="Arial Narrow"/>
                <w:sz w:val="20"/>
              </w:rPr>
              <w:t>Section 100 – Efficient Funding of Chemotherapy</w:t>
            </w:r>
          </w:p>
        </w:tc>
      </w:tr>
      <w:tr w:rsidR="00E65F9D" w:rsidRPr="00FF044C" w:rsidTr="00D51A00">
        <w:trPr>
          <w:cantSplit/>
          <w:trHeight w:val="582"/>
        </w:trPr>
        <w:tc>
          <w:tcPr>
            <w:tcW w:w="2410" w:type="dxa"/>
            <w:tcBorders>
              <w:top w:val="single" w:sz="4" w:space="0" w:color="auto"/>
              <w:left w:val="single" w:sz="4" w:space="0" w:color="auto"/>
              <w:bottom w:val="single" w:sz="4" w:space="0" w:color="auto"/>
              <w:right w:val="single" w:sz="4" w:space="0" w:color="auto"/>
            </w:tcBorders>
          </w:tcPr>
          <w:p w:rsidR="00E65F9D" w:rsidRPr="00FF044C" w:rsidRDefault="00E65F9D" w:rsidP="00D51A00">
            <w:pPr>
              <w:rPr>
                <w:rFonts w:ascii="Arial Narrow" w:hAnsi="Arial Narrow"/>
                <w:b/>
                <w:sz w:val="20"/>
              </w:rPr>
            </w:pPr>
            <w:r w:rsidRPr="00FF044C">
              <w:rPr>
                <w:rFonts w:ascii="Arial Narrow" w:hAnsi="Arial Narrow"/>
                <w:b/>
                <w:sz w:val="20"/>
              </w:rPr>
              <w:t>Prescriber type:</w:t>
            </w:r>
          </w:p>
        </w:tc>
        <w:tc>
          <w:tcPr>
            <w:tcW w:w="6521" w:type="dxa"/>
            <w:gridSpan w:val="5"/>
            <w:tcBorders>
              <w:top w:val="single" w:sz="4" w:space="0" w:color="auto"/>
              <w:left w:val="single" w:sz="4" w:space="0" w:color="auto"/>
              <w:bottom w:val="single" w:sz="4" w:space="0" w:color="auto"/>
              <w:right w:val="single" w:sz="4" w:space="0" w:color="auto"/>
            </w:tcBorders>
          </w:tcPr>
          <w:p w:rsidR="00E65F9D" w:rsidRPr="00FF044C" w:rsidRDefault="00E65F9D" w:rsidP="00D51A00">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E65F9D" w:rsidRPr="00FF044C" w:rsidRDefault="00E65F9D" w:rsidP="00D51A00">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FC564F" w:rsidRPr="00FF044C" w:rsidTr="00D51A00">
        <w:trPr>
          <w:cantSplit/>
          <w:trHeight w:val="241"/>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b/>
                <w:sz w:val="20"/>
              </w:rPr>
            </w:pPr>
            <w:r w:rsidRPr="00FF044C">
              <w:rPr>
                <w:rFonts w:ascii="Arial Narrow" w:hAnsi="Arial Narrow"/>
                <w:b/>
                <w:sz w:val="20"/>
              </w:rPr>
              <w:t>Severity:</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9231FB" w:rsidRDefault="00FC564F" w:rsidP="00D51A00">
            <w:pPr>
              <w:rPr>
                <w:rFonts w:ascii="Arial Narrow" w:hAnsi="Arial Narrow"/>
                <w:sz w:val="20"/>
              </w:rPr>
            </w:pPr>
            <w:r w:rsidRPr="009231FB">
              <w:rPr>
                <w:rFonts w:ascii="Arial Narrow" w:hAnsi="Arial Narrow"/>
                <w:sz w:val="20"/>
              </w:rPr>
              <w:t xml:space="preserve">Relapsed or </w:t>
            </w:r>
            <w:r w:rsidR="006315D8">
              <w:rPr>
                <w:rFonts w:ascii="Arial Narrow" w:hAnsi="Arial Narrow"/>
                <w:sz w:val="20"/>
              </w:rPr>
              <w:t>r</w:t>
            </w:r>
            <w:r w:rsidRPr="009231FB">
              <w:rPr>
                <w:rFonts w:ascii="Arial Narrow" w:hAnsi="Arial Narrow"/>
                <w:sz w:val="20"/>
              </w:rPr>
              <w:t>efractory</w:t>
            </w:r>
          </w:p>
        </w:tc>
      </w:tr>
      <w:tr w:rsidR="00FC564F" w:rsidRPr="00FF044C" w:rsidTr="00D51A00">
        <w:trPr>
          <w:cantSplit/>
          <w:trHeight w:val="131"/>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b/>
                <w:sz w:val="20"/>
              </w:rPr>
            </w:pPr>
            <w:r w:rsidRPr="00FF044C">
              <w:rPr>
                <w:rFonts w:ascii="Arial Narrow" w:hAnsi="Arial Narrow"/>
                <w:b/>
                <w:sz w:val="20"/>
              </w:rPr>
              <w:t>Condition:</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9231FB" w:rsidRDefault="00FC564F" w:rsidP="00D51A00">
            <w:pPr>
              <w:rPr>
                <w:rFonts w:ascii="Arial Narrow" w:hAnsi="Arial Narrow"/>
                <w:sz w:val="20"/>
              </w:rPr>
            </w:pPr>
            <w:r w:rsidRPr="009231FB">
              <w:rPr>
                <w:rFonts w:ascii="Arial Narrow" w:hAnsi="Arial Narrow"/>
                <w:sz w:val="20"/>
              </w:rPr>
              <w:t>Hodgkin lymphoma</w:t>
            </w:r>
          </w:p>
        </w:tc>
      </w:tr>
      <w:tr w:rsidR="00FC564F" w:rsidRPr="00FF044C" w:rsidTr="00D51A00">
        <w:trPr>
          <w:cantSplit/>
          <w:trHeight w:val="177"/>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b/>
                <w:sz w:val="20"/>
              </w:rPr>
            </w:pPr>
            <w:r w:rsidRPr="00FF044C">
              <w:rPr>
                <w:rFonts w:ascii="Arial Narrow" w:hAnsi="Arial Narrow"/>
                <w:b/>
                <w:sz w:val="20"/>
              </w:rPr>
              <w:t>PBS Indication:</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9231FB" w:rsidRDefault="00FC564F" w:rsidP="00D51A00">
            <w:pPr>
              <w:rPr>
                <w:rFonts w:ascii="Arial Narrow" w:hAnsi="Arial Narrow"/>
                <w:sz w:val="20"/>
              </w:rPr>
            </w:pPr>
            <w:r w:rsidRPr="009231FB">
              <w:rPr>
                <w:rFonts w:ascii="Arial Narrow" w:hAnsi="Arial Narrow"/>
                <w:sz w:val="20"/>
              </w:rPr>
              <w:t xml:space="preserve">Relapsed or </w:t>
            </w:r>
            <w:r w:rsidR="006315D8">
              <w:rPr>
                <w:rFonts w:ascii="Arial Narrow" w:hAnsi="Arial Narrow"/>
                <w:sz w:val="20"/>
              </w:rPr>
              <w:t>r</w:t>
            </w:r>
            <w:r w:rsidRPr="009231FB">
              <w:rPr>
                <w:rFonts w:ascii="Arial Narrow" w:hAnsi="Arial Narrow"/>
                <w:sz w:val="20"/>
              </w:rPr>
              <w:t>efractory Hodgkin lymphoma</w:t>
            </w:r>
          </w:p>
        </w:tc>
      </w:tr>
      <w:tr w:rsidR="00DA4E89" w:rsidRPr="00FF044C" w:rsidTr="00D51A00">
        <w:trPr>
          <w:cantSplit/>
          <w:trHeight w:val="187"/>
        </w:trPr>
        <w:tc>
          <w:tcPr>
            <w:tcW w:w="2410" w:type="dxa"/>
            <w:tcBorders>
              <w:top w:val="single" w:sz="4" w:space="0" w:color="auto"/>
              <w:left w:val="single" w:sz="4" w:space="0" w:color="auto"/>
              <w:bottom w:val="single" w:sz="4" w:space="0" w:color="auto"/>
              <w:right w:val="single" w:sz="4" w:space="0" w:color="auto"/>
            </w:tcBorders>
          </w:tcPr>
          <w:p w:rsidR="00DA4E89" w:rsidRPr="00FF044C" w:rsidRDefault="00DA4E89" w:rsidP="00D51A00">
            <w:pPr>
              <w:rPr>
                <w:rFonts w:ascii="Arial Narrow" w:hAnsi="Arial Narrow"/>
                <w:b/>
                <w:sz w:val="20"/>
              </w:rPr>
            </w:pPr>
            <w:r w:rsidRPr="00FF044C">
              <w:rPr>
                <w:rFonts w:ascii="Arial Narrow" w:hAnsi="Arial Narrow"/>
                <w:b/>
                <w:sz w:val="20"/>
              </w:rPr>
              <w:t>Treatment phase:</w:t>
            </w:r>
          </w:p>
        </w:tc>
        <w:tc>
          <w:tcPr>
            <w:tcW w:w="6521" w:type="dxa"/>
            <w:gridSpan w:val="5"/>
            <w:tcBorders>
              <w:top w:val="single" w:sz="4" w:space="0" w:color="auto"/>
              <w:left w:val="single" w:sz="4" w:space="0" w:color="auto"/>
              <w:bottom w:val="single" w:sz="4" w:space="0" w:color="auto"/>
              <w:right w:val="single" w:sz="4" w:space="0" w:color="auto"/>
            </w:tcBorders>
          </w:tcPr>
          <w:p w:rsidR="00DA4E89" w:rsidRPr="009231FB" w:rsidRDefault="00DA4E89" w:rsidP="00D51A00">
            <w:pPr>
              <w:rPr>
                <w:rFonts w:ascii="Arial Narrow" w:hAnsi="Arial Narrow"/>
                <w:sz w:val="20"/>
              </w:rPr>
            </w:pPr>
            <w:r w:rsidRPr="009231FB">
              <w:rPr>
                <w:rFonts w:ascii="Arial Narrow" w:hAnsi="Arial Narrow"/>
                <w:sz w:val="20"/>
              </w:rPr>
              <w:t>Initial treatment</w:t>
            </w:r>
          </w:p>
        </w:tc>
      </w:tr>
      <w:tr w:rsidR="00DA4E89" w:rsidRPr="00FF044C" w:rsidTr="00FC564F">
        <w:trPr>
          <w:cantSplit/>
          <w:trHeight w:val="427"/>
        </w:trPr>
        <w:tc>
          <w:tcPr>
            <w:tcW w:w="2410" w:type="dxa"/>
            <w:tcBorders>
              <w:top w:val="single" w:sz="4" w:space="0" w:color="auto"/>
              <w:left w:val="single" w:sz="4" w:space="0" w:color="auto"/>
              <w:bottom w:val="single" w:sz="4" w:space="0" w:color="auto"/>
              <w:right w:val="single" w:sz="4" w:space="0" w:color="auto"/>
            </w:tcBorders>
          </w:tcPr>
          <w:p w:rsidR="00DA4E89" w:rsidRPr="00FF044C" w:rsidRDefault="00DA4E89" w:rsidP="00C0037C">
            <w:pPr>
              <w:rPr>
                <w:rFonts w:ascii="Arial Narrow" w:hAnsi="Arial Narrow"/>
                <w:i/>
                <w:sz w:val="20"/>
              </w:rPr>
            </w:pPr>
            <w:r w:rsidRPr="00FF044C">
              <w:rPr>
                <w:rFonts w:ascii="Arial Narrow" w:hAnsi="Arial Narrow"/>
                <w:b/>
                <w:sz w:val="20"/>
              </w:rPr>
              <w:t>Restriction Level / Method:</w:t>
            </w:r>
          </w:p>
        </w:tc>
        <w:tc>
          <w:tcPr>
            <w:tcW w:w="6521" w:type="dxa"/>
            <w:gridSpan w:val="5"/>
            <w:tcBorders>
              <w:top w:val="single" w:sz="4" w:space="0" w:color="auto"/>
              <w:left w:val="single" w:sz="4" w:space="0" w:color="auto"/>
              <w:bottom w:val="single" w:sz="4" w:space="0" w:color="auto"/>
              <w:right w:val="single" w:sz="4" w:space="0" w:color="auto"/>
            </w:tcBorders>
          </w:tcPr>
          <w:p w:rsidR="00DA4E89" w:rsidRPr="009F63E7" w:rsidRDefault="00DA4E89" w:rsidP="00FD0AA0">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Restricted benefit</w:t>
            </w:r>
          </w:p>
          <w:p w:rsidR="00DA4E89" w:rsidRPr="009F63E7" w:rsidRDefault="00DA4E89" w:rsidP="00FD0AA0">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
                  <w:enabled/>
                  <w:calcOnExit w:val="0"/>
                  <w:checkBox>
                    <w:sizeAuto/>
                    <w:default w:val="1"/>
                  </w:checkBox>
                </w:ffData>
              </w:fldChar>
            </w:r>
            <w:r>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In Writing</w:t>
            </w:r>
          </w:p>
          <w:p w:rsidR="00DA4E89" w:rsidRPr="009F63E7" w:rsidRDefault="00DA4E89" w:rsidP="00FD0AA0">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Check3"/>
                  <w:enabled/>
                  <w:calcOnExit w:val="0"/>
                  <w:checkBox>
                    <w:sizeAuto/>
                    <w:default w:val="0"/>
                  </w:checkBox>
                </w:ffData>
              </w:fldChar>
            </w:r>
            <w:bookmarkStart w:id="1" w:name="Check3"/>
            <w:r>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bookmarkEnd w:id="1"/>
            <w:r w:rsidRPr="009F63E7">
              <w:rPr>
                <w:rFonts w:ascii="Arial Narrow" w:hAnsi="Arial Narrow" w:cs="Arial"/>
                <w:snapToGrid w:val="0"/>
                <w:sz w:val="20"/>
                <w:szCs w:val="20"/>
              </w:rPr>
              <w:t>Authority Required - Telephone</w:t>
            </w:r>
          </w:p>
          <w:p w:rsidR="00DA4E89" w:rsidRPr="009F63E7" w:rsidRDefault="00DA4E89" w:rsidP="00FD0AA0">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Emergency</w:t>
            </w:r>
          </w:p>
          <w:p w:rsidR="00DA4E89" w:rsidRPr="009F63E7" w:rsidRDefault="00DA4E89" w:rsidP="00FD0AA0">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
                  <w:enabled/>
                  <w:calcOnExit w:val="0"/>
                  <w:checkBox>
                    <w:sizeAuto/>
                    <w:default w:val="0"/>
                  </w:checkBox>
                </w:ffData>
              </w:fldChar>
            </w:r>
            <w:r>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Electronic</w:t>
            </w:r>
          </w:p>
          <w:p w:rsidR="00DA4E89" w:rsidRPr="00FF044C" w:rsidRDefault="00DA4E89" w:rsidP="00FD0AA0">
            <w:pPr>
              <w:rPr>
                <w:rFonts w:ascii="Arial Narrow" w:hAnsi="Arial Narrow"/>
                <w:sz w:val="20"/>
              </w:rPr>
            </w:pPr>
            <w:r w:rsidRPr="009F63E7">
              <w:rPr>
                <w:rFonts w:ascii="Arial Narrow" w:hAnsi="Arial Narrow" w:cs="Arial"/>
                <w:snapToGrid w:val="0"/>
                <w:sz w:val="20"/>
                <w:szCs w:val="20"/>
              </w:rPr>
              <w:fldChar w:fldCharType="begin">
                <w:ffData>
                  <w:name w:val="Check5"/>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Streamlined</w:t>
            </w:r>
          </w:p>
        </w:tc>
      </w:tr>
      <w:tr w:rsidR="00DA4E89" w:rsidRPr="00FF044C" w:rsidTr="00FC564F">
        <w:trPr>
          <w:cantSplit/>
          <w:trHeight w:val="360"/>
        </w:trPr>
        <w:tc>
          <w:tcPr>
            <w:tcW w:w="2410" w:type="dxa"/>
            <w:tcBorders>
              <w:top w:val="single" w:sz="4" w:space="0" w:color="auto"/>
              <w:left w:val="single" w:sz="4" w:space="0" w:color="auto"/>
              <w:bottom w:val="single" w:sz="4" w:space="0" w:color="auto"/>
              <w:right w:val="single" w:sz="4" w:space="0" w:color="auto"/>
            </w:tcBorders>
          </w:tcPr>
          <w:p w:rsidR="00DA4E89" w:rsidRPr="00FF044C" w:rsidRDefault="00DA4E89" w:rsidP="00C0037C">
            <w:pPr>
              <w:rPr>
                <w:rFonts w:ascii="Arial Narrow" w:hAnsi="Arial Narrow"/>
                <w:sz w:val="20"/>
              </w:rPr>
            </w:pPr>
            <w:r w:rsidRPr="00FF044C">
              <w:rPr>
                <w:rFonts w:ascii="Arial Narrow" w:hAnsi="Arial Narrow"/>
                <w:b/>
                <w:sz w:val="20"/>
              </w:rPr>
              <w:t>Clinical criteria:</w:t>
            </w:r>
          </w:p>
        </w:tc>
        <w:tc>
          <w:tcPr>
            <w:tcW w:w="6521" w:type="dxa"/>
            <w:gridSpan w:val="5"/>
            <w:tcBorders>
              <w:top w:val="single" w:sz="4" w:space="0" w:color="auto"/>
              <w:left w:val="single" w:sz="4" w:space="0" w:color="auto"/>
              <w:bottom w:val="single" w:sz="4" w:space="0" w:color="auto"/>
              <w:right w:val="single" w:sz="4" w:space="0" w:color="auto"/>
            </w:tcBorders>
          </w:tcPr>
          <w:p w:rsidR="00473509" w:rsidRDefault="00DA4E89" w:rsidP="00C0037C">
            <w:pPr>
              <w:rPr>
                <w:rFonts w:ascii="Arial Narrow" w:hAnsi="Arial Narrow"/>
                <w:sz w:val="20"/>
              </w:rPr>
            </w:pPr>
            <w:r w:rsidRPr="00FC564F">
              <w:rPr>
                <w:rFonts w:ascii="Arial Narrow" w:hAnsi="Arial Narrow"/>
                <w:iCs/>
                <w:sz w:val="20"/>
              </w:rPr>
              <w:t>P</w:t>
            </w:r>
            <w:r w:rsidRPr="00FC564F">
              <w:rPr>
                <w:rFonts w:ascii="Arial Narrow" w:hAnsi="Arial Narrow"/>
                <w:sz w:val="20"/>
              </w:rPr>
              <w:t>atient must have undergone an autologous stem cell transplant (ASCT) for this condition OR</w:t>
            </w:r>
            <w:r w:rsidRPr="00FC564F">
              <w:rPr>
                <w:rFonts w:ascii="Arial Narrow" w:hAnsi="Arial Narrow"/>
                <w:sz w:val="20"/>
              </w:rPr>
              <w:br/>
              <w:t xml:space="preserve">Patient must not be suitable for ASCT for this condition; </w:t>
            </w:r>
          </w:p>
          <w:p w:rsidR="00DA4E89" w:rsidRPr="00FC564F" w:rsidRDefault="00DA4E89" w:rsidP="00C0037C">
            <w:pPr>
              <w:rPr>
                <w:rFonts w:ascii="Arial Narrow" w:hAnsi="Arial Narrow"/>
                <w:sz w:val="20"/>
              </w:rPr>
            </w:pPr>
            <w:r w:rsidRPr="00FC564F">
              <w:rPr>
                <w:rFonts w:ascii="Arial Narrow" w:hAnsi="Arial Narrow"/>
                <w:sz w:val="20"/>
              </w:rPr>
              <w:t>AND</w:t>
            </w:r>
          </w:p>
          <w:p w:rsidR="00DA4E89" w:rsidRPr="00FC564F" w:rsidRDefault="00DA4E89" w:rsidP="00C0037C">
            <w:pPr>
              <w:rPr>
                <w:rFonts w:ascii="Arial Narrow" w:hAnsi="Arial Narrow"/>
                <w:sz w:val="20"/>
              </w:rPr>
            </w:pPr>
            <w:r w:rsidRPr="00FC564F">
              <w:rPr>
                <w:rFonts w:ascii="Arial Narrow" w:hAnsi="Arial Narrow"/>
                <w:sz w:val="20"/>
              </w:rPr>
              <w:t>Patient must have relapsed Hodgkin lymphoma following at least two prior treatments for this condition; OR</w:t>
            </w:r>
          </w:p>
          <w:p w:rsidR="00473509" w:rsidRDefault="00DA4E89" w:rsidP="00C0037C">
            <w:pPr>
              <w:rPr>
                <w:rFonts w:ascii="Arial Narrow" w:hAnsi="Arial Narrow"/>
                <w:sz w:val="20"/>
              </w:rPr>
            </w:pPr>
            <w:r w:rsidRPr="00FC564F">
              <w:rPr>
                <w:rFonts w:ascii="Arial Narrow" w:hAnsi="Arial Narrow"/>
                <w:sz w:val="20"/>
              </w:rPr>
              <w:t>Patient must have refractory Hodgkin lymphoma following at least two prior treatments for this condition</w:t>
            </w:r>
            <w:r w:rsidR="00473509">
              <w:rPr>
                <w:rFonts w:ascii="Arial Narrow" w:hAnsi="Arial Narrow"/>
                <w:sz w:val="20"/>
              </w:rPr>
              <w:t>;</w:t>
            </w:r>
          </w:p>
          <w:p w:rsidR="00DA4E89" w:rsidRPr="00FC564F" w:rsidRDefault="00DA4E89" w:rsidP="00C0037C">
            <w:pPr>
              <w:rPr>
                <w:rFonts w:ascii="Arial Narrow" w:hAnsi="Arial Narrow"/>
                <w:sz w:val="20"/>
              </w:rPr>
            </w:pPr>
            <w:r w:rsidRPr="00FC564F">
              <w:rPr>
                <w:rFonts w:ascii="Arial Narrow" w:hAnsi="Arial Narrow"/>
                <w:sz w:val="20"/>
              </w:rPr>
              <w:t>AND</w:t>
            </w:r>
            <w:r w:rsidRPr="00FC564F">
              <w:rPr>
                <w:rFonts w:ascii="Arial Narrow" w:hAnsi="Arial Narrow"/>
                <w:sz w:val="20"/>
              </w:rPr>
              <w:br/>
              <w:t>Patient must not have received prior treatment with a PD-1 inhibitor for this condition AND</w:t>
            </w:r>
          </w:p>
          <w:p w:rsidR="00DA4E89" w:rsidRPr="000010B2" w:rsidRDefault="00DA4E89" w:rsidP="00C0037C">
            <w:pPr>
              <w:rPr>
                <w:rFonts w:ascii="Arial Narrow" w:hAnsi="Arial Narrow"/>
                <w:i/>
                <w:sz w:val="20"/>
              </w:rPr>
            </w:pPr>
            <w:r w:rsidRPr="00FC564F">
              <w:rPr>
                <w:rFonts w:ascii="Arial Narrow" w:hAnsi="Arial Narrow"/>
                <w:sz w:val="20"/>
              </w:rPr>
              <w:t>The treatment must be the sole PBS-subsidised therapy for this condition</w:t>
            </w:r>
          </w:p>
        </w:tc>
      </w:tr>
      <w:tr w:rsidR="00DA4E89" w:rsidRPr="00FF044C" w:rsidTr="00FC564F">
        <w:trPr>
          <w:cantSplit/>
          <w:trHeight w:val="360"/>
        </w:trPr>
        <w:tc>
          <w:tcPr>
            <w:tcW w:w="2410" w:type="dxa"/>
            <w:tcBorders>
              <w:top w:val="single" w:sz="4" w:space="0" w:color="auto"/>
              <w:left w:val="single" w:sz="4" w:space="0" w:color="auto"/>
              <w:bottom w:val="single" w:sz="4" w:space="0" w:color="auto"/>
              <w:right w:val="single" w:sz="4" w:space="0" w:color="auto"/>
            </w:tcBorders>
          </w:tcPr>
          <w:p w:rsidR="00DA4E89" w:rsidRPr="00FF044C" w:rsidRDefault="00DA4E89" w:rsidP="00C0037C">
            <w:pPr>
              <w:rPr>
                <w:rFonts w:ascii="Arial Narrow" w:hAnsi="Arial Narrow"/>
                <w:sz w:val="20"/>
              </w:rPr>
            </w:pPr>
            <w:r w:rsidRPr="00FF044C">
              <w:rPr>
                <w:rFonts w:ascii="Arial Narrow" w:hAnsi="Arial Narrow"/>
                <w:b/>
                <w:sz w:val="20"/>
              </w:rPr>
              <w:t>Prescriber Instructions</w:t>
            </w:r>
          </w:p>
        </w:tc>
        <w:tc>
          <w:tcPr>
            <w:tcW w:w="6521" w:type="dxa"/>
            <w:gridSpan w:val="5"/>
            <w:tcBorders>
              <w:top w:val="single" w:sz="4" w:space="0" w:color="auto"/>
              <w:left w:val="single" w:sz="4" w:space="0" w:color="auto"/>
              <w:bottom w:val="single" w:sz="4" w:space="0" w:color="auto"/>
              <w:right w:val="single" w:sz="4" w:space="0" w:color="auto"/>
            </w:tcBorders>
          </w:tcPr>
          <w:p w:rsidR="00DA4E89" w:rsidRPr="00FC564F" w:rsidRDefault="00DA4E89" w:rsidP="00C0037C">
            <w:pPr>
              <w:keepNext/>
              <w:keepLines/>
              <w:rPr>
                <w:rFonts w:ascii="Arial Narrow" w:hAnsi="Arial Narrow"/>
                <w:sz w:val="20"/>
              </w:rPr>
            </w:pPr>
            <w:r w:rsidRPr="00FC564F">
              <w:rPr>
                <w:rFonts w:ascii="Arial Narrow" w:hAnsi="Arial Narrow"/>
                <w:sz w:val="20"/>
              </w:rPr>
              <w:t xml:space="preserve">Applications for authorisation of initial treatment must be in writing and must include: </w:t>
            </w:r>
          </w:p>
          <w:p w:rsidR="00DA4E89" w:rsidRPr="00FC564F" w:rsidRDefault="00DA4E89" w:rsidP="00C0037C">
            <w:pPr>
              <w:keepNext/>
              <w:keepLines/>
              <w:rPr>
                <w:rFonts w:ascii="Arial Narrow" w:hAnsi="Arial Narrow"/>
                <w:sz w:val="20"/>
              </w:rPr>
            </w:pPr>
            <w:r w:rsidRPr="00FC564F">
              <w:rPr>
                <w:rFonts w:ascii="Arial Narrow" w:hAnsi="Arial Narrow"/>
                <w:sz w:val="20"/>
              </w:rPr>
              <w:t xml:space="preserve">(a) a completed authority prescription form; </w:t>
            </w:r>
          </w:p>
          <w:p w:rsidR="00DA4E89" w:rsidRPr="00FC564F" w:rsidRDefault="00DA4E89" w:rsidP="00C0037C">
            <w:pPr>
              <w:keepNext/>
              <w:keepLines/>
              <w:rPr>
                <w:rFonts w:ascii="Arial Narrow" w:hAnsi="Arial Narrow"/>
                <w:sz w:val="20"/>
              </w:rPr>
            </w:pPr>
            <w:r w:rsidRPr="00FC564F">
              <w:rPr>
                <w:rFonts w:ascii="Arial Narrow" w:hAnsi="Arial Narrow"/>
                <w:sz w:val="20"/>
              </w:rPr>
              <w:t>(b) a completed Hodgkin lymphoma pembrolizumab PBS Authority Application; and</w:t>
            </w:r>
          </w:p>
          <w:p w:rsidR="00DA4E89" w:rsidRPr="00D3493C" w:rsidRDefault="00DA4E89" w:rsidP="00C0037C">
            <w:pPr>
              <w:keepNext/>
              <w:keepLines/>
              <w:rPr>
                <w:rFonts w:ascii="Arial Narrow" w:hAnsi="Arial Narrow"/>
                <w:i/>
                <w:sz w:val="20"/>
              </w:rPr>
            </w:pPr>
            <w:r w:rsidRPr="00FC564F">
              <w:rPr>
                <w:rFonts w:ascii="Arial Narrow" w:hAnsi="Arial Narrow"/>
                <w:sz w:val="20"/>
              </w:rPr>
              <w:t>(c) a signed patient acknowledgement form.</w:t>
            </w:r>
          </w:p>
        </w:tc>
      </w:tr>
      <w:tr w:rsidR="00FC564F" w:rsidRPr="00FF044C" w:rsidTr="00FC564F">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80585B">
            <w:pPr>
              <w:rPr>
                <w:rFonts w:ascii="Arial Narrow" w:hAnsi="Arial Narrow"/>
                <w:b/>
                <w:sz w:val="20"/>
              </w:rPr>
            </w:pPr>
            <w:r w:rsidRPr="00FF044C">
              <w:rPr>
                <w:rFonts w:ascii="Arial Narrow" w:hAnsi="Arial Narrow"/>
                <w:b/>
                <w:sz w:val="20"/>
              </w:rPr>
              <w:t>Administrative Advice</w:t>
            </w:r>
          </w:p>
          <w:p w:rsidR="00FC564F" w:rsidRPr="00FF044C" w:rsidRDefault="00FC564F" w:rsidP="00C0037C">
            <w:pPr>
              <w:rPr>
                <w:rFonts w:ascii="Arial Narrow" w:hAnsi="Arial Narrow"/>
                <w:b/>
                <w:sz w:val="20"/>
              </w:rPr>
            </w:pPr>
          </w:p>
        </w:tc>
        <w:tc>
          <w:tcPr>
            <w:tcW w:w="6521" w:type="dxa"/>
            <w:gridSpan w:val="5"/>
            <w:tcBorders>
              <w:top w:val="single" w:sz="4" w:space="0" w:color="auto"/>
              <w:left w:val="single" w:sz="4" w:space="0" w:color="auto"/>
              <w:bottom w:val="single" w:sz="4" w:space="0" w:color="auto"/>
              <w:right w:val="single" w:sz="4" w:space="0" w:color="auto"/>
            </w:tcBorders>
          </w:tcPr>
          <w:p w:rsidR="00FC564F" w:rsidRPr="009231FB" w:rsidRDefault="00FC564F" w:rsidP="0080585B">
            <w:pPr>
              <w:keepNext/>
              <w:keepLines/>
              <w:rPr>
                <w:rFonts w:ascii="Arial Narrow" w:hAnsi="Arial Narrow"/>
                <w:sz w:val="20"/>
              </w:rPr>
            </w:pPr>
            <w:r w:rsidRPr="009231FB">
              <w:rPr>
                <w:rFonts w:ascii="Arial Narrow" w:hAnsi="Arial Narrow"/>
                <w:sz w:val="20"/>
              </w:rPr>
              <w:t xml:space="preserve">No increase in the maximum number of repeats may be authorised. </w:t>
            </w:r>
          </w:p>
          <w:p w:rsidR="00FC564F" w:rsidRDefault="00FC564F" w:rsidP="0080585B">
            <w:pPr>
              <w:keepNext/>
              <w:keepLines/>
              <w:rPr>
                <w:rFonts w:ascii="Arial Narrow" w:hAnsi="Arial Narrow"/>
                <w:sz w:val="20"/>
              </w:rPr>
            </w:pPr>
            <w:r w:rsidRPr="009231FB">
              <w:rPr>
                <w:rFonts w:ascii="Arial Narrow" w:hAnsi="Arial Narrow"/>
                <w:sz w:val="20"/>
              </w:rPr>
              <w:t>No increase in the maximum quantity or number of units may be authorised.</w:t>
            </w:r>
          </w:p>
          <w:p w:rsidR="00FC564F" w:rsidRDefault="00FC564F" w:rsidP="0080585B">
            <w:pPr>
              <w:rPr>
                <w:rFonts w:ascii="Arial Narrow" w:hAnsi="Arial Narrow"/>
                <w:sz w:val="20"/>
              </w:rPr>
            </w:pPr>
            <w:r>
              <w:rPr>
                <w:rFonts w:ascii="Arial Narrow" w:hAnsi="Arial Narrow"/>
                <w:sz w:val="20"/>
              </w:rPr>
              <w:t>Special Pricing arrangements apply.</w:t>
            </w:r>
          </w:p>
          <w:p w:rsidR="00FC564F" w:rsidRDefault="00FC564F" w:rsidP="0080585B">
            <w:pPr>
              <w:rPr>
                <w:rFonts w:ascii="Arial Narrow" w:hAnsi="Arial Narrow"/>
                <w:sz w:val="20"/>
              </w:rPr>
            </w:pPr>
          </w:p>
          <w:p w:rsidR="00FC564F" w:rsidRPr="00D01616" w:rsidRDefault="00FC564F" w:rsidP="0080585B">
            <w:pPr>
              <w:rPr>
                <w:rFonts w:ascii="Arial Narrow" w:hAnsi="Arial Narrow"/>
                <w:sz w:val="20"/>
              </w:rPr>
            </w:pPr>
            <w:r w:rsidRPr="00D01616">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FC564F" w:rsidRPr="00D01616" w:rsidRDefault="00FC564F" w:rsidP="0080585B">
            <w:pPr>
              <w:rPr>
                <w:rFonts w:ascii="Arial Narrow" w:hAnsi="Arial Narrow"/>
                <w:sz w:val="20"/>
              </w:rPr>
            </w:pPr>
          </w:p>
          <w:p w:rsidR="00FC564F" w:rsidRPr="00D01616" w:rsidRDefault="00FC564F" w:rsidP="0080585B">
            <w:pPr>
              <w:rPr>
                <w:rFonts w:ascii="Arial Narrow" w:hAnsi="Arial Narrow"/>
                <w:sz w:val="20"/>
              </w:rPr>
            </w:pPr>
            <w:r w:rsidRPr="00D01616">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FC564F" w:rsidRPr="00D01616" w:rsidRDefault="00FC564F" w:rsidP="0080585B">
            <w:pPr>
              <w:rPr>
                <w:rFonts w:ascii="Arial Narrow" w:hAnsi="Arial Narrow"/>
                <w:sz w:val="20"/>
              </w:rPr>
            </w:pPr>
          </w:p>
          <w:p w:rsidR="00FC564F" w:rsidRPr="00D01616" w:rsidRDefault="00FC564F" w:rsidP="0080585B">
            <w:pPr>
              <w:rPr>
                <w:rFonts w:ascii="Arial Narrow" w:hAnsi="Arial Narrow"/>
                <w:sz w:val="20"/>
              </w:rPr>
            </w:pPr>
            <w:r w:rsidRPr="00D01616">
              <w:rPr>
                <w:rFonts w:ascii="Arial Narrow" w:hAnsi="Arial Narrow"/>
                <w:sz w:val="20"/>
              </w:rPr>
              <w:t xml:space="preserve">Applications for authority to prescribe should be forwarded to: </w:t>
            </w:r>
          </w:p>
          <w:p w:rsidR="00FC564F" w:rsidRPr="00D01616" w:rsidRDefault="00FC564F" w:rsidP="0080585B">
            <w:pPr>
              <w:rPr>
                <w:rFonts w:ascii="Arial Narrow" w:hAnsi="Arial Narrow"/>
                <w:sz w:val="20"/>
              </w:rPr>
            </w:pPr>
            <w:r w:rsidRPr="00D01616">
              <w:rPr>
                <w:rFonts w:ascii="Arial Narrow" w:hAnsi="Arial Narrow"/>
                <w:sz w:val="20"/>
              </w:rPr>
              <w:t>Department of Human Services</w:t>
            </w:r>
          </w:p>
          <w:p w:rsidR="00FC564F" w:rsidRPr="00D01616" w:rsidRDefault="00FC564F" w:rsidP="0080585B">
            <w:pPr>
              <w:rPr>
                <w:rFonts w:ascii="Arial Narrow" w:hAnsi="Arial Narrow"/>
                <w:sz w:val="20"/>
              </w:rPr>
            </w:pPr>
            <w:r w:rsidRPr="00D01616">
              <w:rPr>
                <w:rFonts w:ascii="Arial Narrow" w:hAnsi="Arial Narrow"/>
                <w:sz w:val="20"/>
              </w:rPr>
              <w:t xml:space="preserve">Prior Written Approval of Complex Drugs </w:t>
            </w:r>
          </w:p>
          <w:p w:rsidR="00FC564F" w:rsidRPr="00D01616" w:rsidRDefault="00FC564F" w:rsidP="0080585B">
            <w:pPr>
              <w:rPr>
                <w:rFonts w:ascii="Arial Narrow" w:hAnsi="Arial Narrow"/>
                <w:sz w:val="20"/>
              </w:rPr>
            </w:pPr>
            <w:r w:rsidRPr="00D01616">
              <w:rPr>
                <w:rFonts w:ascii="Arial Narrow" w:hAnsi="Arial Narrow"/>
                <w:sz w:val="20"/>
              </w:rPr>
              <w:t xml:space="preserve">Reply Paid 9826 </w:t>
            </w:r>
          </w:p>
          <w:p w:rsidR="00FC564F" w:rsidRPr="00D01616" w:rsidRDefault="00FC564F" w:rsidP="0080585B">
            <w:pPr>
              <w:rPr>
                <w:rFonts w:ascii="Arial Narrow" w:hAnsi="Arial Narrow"/>
                <w:sz w:val="20"/>
              </w:rPr>
            </w:pPr>
            <w:r w:rsidRPr="00D01616">
              <w:rPr>
                <w:rFonts w:ascii="Arial Narrow" w:hAnsi="Arial Narrow"/>
                <w:sz w:val="20"/>
              </w:rPr>
              <w:t xml:space="preserve">GPO Box 9826 </w:t>
            </w:r>
          </w:p>
          <w:p w:rsidR="00FC564F" w:rsidRPr="00FC564F" w:rsidRDefault="00FC564F" w:rsidP="00C0037C">
            <w:pPr>
              <w:keepNext/>
              <w:keepLines/>
              <w:rPr>
                <w:rFonts w:ascii="Arial Narrow" w:hAnsi="Arial Narrow"/>
                <w:sz w:val="20"/>
              </w:rPr>
            </w:pPr>
            <w:r w:rsidRPr="00D01616">
              <w:rPr>
                <w:rFonts w:ascii="Arial Narrow" w:hAnsi="Arial Narrow"/>
                <w:sz w:val="20"/>
              </w:rPr>
              <w:t>HOBART TAS 7001</w:t>
            </w:r>
          </w:p>
        </w:tc>
      </w:tr>
    </w:tbl>
    <w:p w:rsidR="00E65F9D" w:rsidRDefault="00E65F9D" w:rsidP="00E65F9D"/>
    <w:tbl>
      <w:tblPr>
        <w:tblW w:w="8931" w:type="dxa"/>
        <w:tblInd w:w="103" w:type="dxa"/>
        <w:tblLayout w:type="fixed"/>
        <w:tblLook w:val="0000" w:firstRow="0" w:lastRow="0" w:firstColumn="0" w:lastColumn="0" w:noHBand="0" w:noVBand="0"/>
      </w:tblPr>
      <w:tblGrid>
        <w:gridCol w:w="2410"/>
        <w:gridCol w:w="6521"/>
      </w:tblGrid>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 xml:space="preserve">Category / </w:t>
            </w:r>
          </w:p>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Program</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Section 100 – Efficient funding of Chemotherapy</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Prescriber type:</w:t>
            </w:r>
          </w:p>
          <w:p w:rsidR="006661DF" w:rsidRPr="00FC7AFF" w:rsidRDefault="006661DF" w:rsidP="003C43DD">
            <w:pPr>
              <w:jc w:val="both"/>
              <w:rPr>
                <w:rFonts w:ascii="Arial Narrow" w:hAnsi="Arial Narrow" w:cs="Arial"/>
                <w:b/>
                <w:sz w:val="20"/>
                <w:szCs w:val="20"/>
              </w:rPr>
            </w:pP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fldChar w:fldCharType="begin">
                <w:ffData>
                  <w:name w:val="Check1"/>
                  <w:enabled/>
                  <w:calcOnExit w:val="0"/>
                  <w:checkBox>
                    <w:sizeAuto/>
                    <w:default w:val="0"/>
                  </w:checkBox>
                </w:ffData>
              </w:fldChar>
            </w:r>
            <w:r w:rsidRPr="00FC7AFF">
              <w:rPr>
                <w:rFonts w:ascii="Arial Narrow" w:hAnsi="Arial Narrow" w:cs="Arial"/>
                <w:sz w:val="20"/>
                <w:szCs w:val="20"/>
              </w:rPr>
              <w:instrText xml:space="preserve"> FORMCHECKBOX </w:instrText>
            </w:r>
            <w:r w:rsidR="001856B0">
              <w:rPr>
                <w:rFonts w:ascii="Arial Narrow" w:hAnsi="Arial Narrow" w:cs="Arial"/>
                <w:sz w:val="20"/>
                <w:szCs w:val="20"/>
              </w:rPr>
            </w:r>
            <w:r w:rsidR="001856B0">
              <w:rPr>
                <w:rFonts w:ascii="Arial Narrow" w:hAnsi="Arial Narrow" w:cs="Arial"/>
                <w:sz w:val="20"/>
                <w:szCs w:val="20"/>
              </w:rPr>
              <w:fldChar w:fldCharType="separate"/>
            </w:r>
            <w:r w:rsidRPr="00FC7AFF">
              <w:rPr>
                <w:rFonts w:ascii="Arial Narrow" w:hAnsi="Arial Narrow" w:cs="Arial"/>
                <w:sz w:val="20"/>
                <w:szCs w:val="20"/>
              </w:rPr>
              <w:fldChar w:fldCharType="end"/>
            </w:r>
            <w:r w:rsidRPr="00FC7AFF">
              <w:rPr>
                <w:rFonts w:ascii="Arial Narrow" w:hAnsi="Arial Narrow" w:cs="Arial"/>
                <w:sz w:val="20"/>
                <w:szCs w:val="20"/>
              </w:rPr>
              <w:t xml:space="preserve">Dental  </w:t>
            </w:r>
            <w:r w:rsidRPr="00FC7AFF">
              <w:rPr>
                <w:rFonts w:ascii="Arial Narrow" w:hAnsi="Arial Narrow" w:cs="Arial"/>
                <w:sz w:val="20"/>
                <w:szCs w:val="20"/>
              </w:rPr>
              <w:fldChar w:fldCharType="begin">
                <w:ffData>
                  <w:name w:val=""/>
                  <w:enabled/>
                  <w:calcOnExit w:val="0"/>
                  <w:checkBox>
                    <w:sizeAuto/>
                    <w:default w:val="1"/>
                  </w:checkBox>
                </w:ffData>
              </w:fldChar>
            </w:r>
            <w:r w:rsidRPr="00FC7AFF">
              <w:rPr>
                <w:rFonts w:ascii="Arial Narrow" w:hAnsi="Arial Narrow" w:cs="Arial"/>
                <w:sz w:val="20"/>
                <w:szCs w:val="20"/>
              </w:rPr>
              <w:instrText xml:space="preserve"> FORMCHECKBOX </w:instrText>
            </w:r>
            <w:r w:rsidR="001856B0">
              <w:rPr>
                <w:rFonts w:ascii="Arial Narrow" w:hAnsi="Arial Narrow" w:cs="Arial"/>
                <w:sz w:val="20"/>
                <w:szCs w:val="20"/>
              </w:rPr>
            </w:r>
            <w:r w:rsidR="001856B0">
              <w:rPr>
                <w:rFonts w:ascii="Arial Narrow" w:hAnsi="Arial Narrow" w:cs="Arial"/>
                <w:sz w:val="20"/>
                <w:szCs w:val="20"/>
              </w:rPr>
              <w:fldChar w:fldCharType="separate"/>
            </w:r>
            <w:r w:rsidRPr="00FC7AFF">
              <w:rPr>
                <w:rFonts w:ascii="Arial Narrow" w:hAnsi="Arial Narrow" w:cs="Arial"/>
                <w:sz w:val="20"/>
                <w:szCs w:val="20"/>
              </w:rPr>
              <w:fldChar w:fldCharType="end"/>
            </w:r>
            <w:r w:rsidRPr="00FC7AFF">
              <w:rPr>
                <w:rFonts w:ascii="Arial Narrow" w:hAnsi="Arial Narrow" w:cs="Arial"/>
                <w:sz w:val="20"/>
                <w:szCs w:val="20"/>
              </w:rPr>
              <w:t xml:space="preserve">Medical Practitioners  </w:t>
            </w:r>
            <w:r w:rsidRPr="00FC7AFF">
              <w:rPr>
                <w:rFonts w:ascii="Arial Narrow" w:hAnsi="Arial Narrow" w:cs="Arial"/>
                <w:sz w:val="20"/>
                <w:szCs w:val="20"/>
              </w:rPr>
              <w:fldChar w:fldCharType="begin">
                <w:ffData>
                  <w:name w:val="Check3"/>
                  <w:enabled/>
                  <w:calcOnExit w:val="0"/>
                  <w:checkBox>
                    <w:sizeAuto/>
                    <w:default w:val="0"/>
                  </w:checkBox>
                </w:ffData>
              </w:fldChar>
            </w:r>
            <w:r w:rsidRPr="00FC7AFF">
              <w:rPr>
                <w:rFonts w:ascii="Arial Narrow" w:hAnsi="Arial Narrow" w:cs="Arial"/>
                <w:sz w:val="20"/>
                <w:szCs w:val="20"/>
              </w:rPr>
              <w:instrText xml:space="preserve"> FORMCHECKBOX </w:instrText>
            </w:r>
            <w:r w:rsidR="001856B0">
              <w:rPr>
                <w:rFonts w:ascii="Arial Narrow" w:hAnsi="Arial Narrow" w:cs="Arial"/>
                <w:sz w:val="20"/>
                <w:szCs w:val="20"/>
              </w:rPr>
            </w:r>
            <w:r w:rsidR="001856B0">
              <w:rPr>
                <w:rFonts w:ascii="Arial Narrow" w:hAnsi="Arial Narrow" w:cs="Arial"/>
                <w:sz w:val="20"/>
                <w:szCs w:val="20"/>
              </w:rPr>
              <w:fldChar w:fldCharType="separate"/>
            </w:r>
            <w:r w:rsidRPr="00FC7AFF">
              <w:rPr>
                <w:rFonts w:ascii="Arial Narrow" w:hAnsi="Arial Narrow" w:cs="Arial"/>
                <w:sz w:val="20"/>
                <w:szCs w:val="20"/>
              </w:rPr>
              <w:fldChar w:fldCharType="end"/>
            </w:r>
            <w:r w:rsidRPr="00FC7AFF">
              <w:rPr>
                <w:rFonts w:ascii="Arial Narrow" w:hAnsi="Arial Narrow" w:cs="Arial"/>
                <w:sz w:val="20"/>
                <w:szCs w:val="20"/>
              </w:rPr>
              <w:t xml:space="preserve">Nurse practitioners  </w:t>
            </w:r>
            <w:r w:rsidRPr="00FC7AFF">
              <w:rPr>
                <w:rFonts w:ascii="Arial Narrow" w:hAnsi="Arial Narrow" w:cs="Arial"/>
                <w:sz w:val="20"/>
                <w:szCs w:val="20"/>
              </w:rPr>
              <w:fldChar w:fldCharType="begin">
                <w:ffData>
                  <w:name w:val=""/>
                  <w:enabled/>
                  <w:calcOnExit w:val="0"/>
                  <w:checkBox>
                    <w:sizeAuto/>
                    <w:default w:val="0"/>
                  </w:checkBox>
                </w:ffData>
              </w:fldChar>
            </w:r>
            <w:r w:rsidRPr="00FC7AFF">
              <w:rPr>
                <w:rFonts w:ascii="Arial Narrow" w:hAnsi="Arial Narrow" w:cs="Arial"/>
                <w:sz w:val="20"/>
                <w:szCs w:val="20"/>
              </w:rPr>
              <w:instrText xml:space="preserve"> FORMCHECKBOX </w:instrText>
            </w:r>
            <w:r w:rsidR="001856B0">
              <w:rPr>
                <w:rFonts w:ascii="Arial Narrow" w:hAnsi="Arial Narrow" w:cs="Arial"/>
                <w:sz w:val="20"/>
                <w:szCs w:val="20"/>
              </w:rPr>
            </w:r>
            <w:r w:rsidR="001856B0">
              <w:rPr>
                <w:rFonts w:ascii="Arial Narrow" w:hAnsi="Arial Narrow" w:cs="Arial"/>
                <w:sz w:val="20"/>
                <w:szCs w:val="20"/>
              </w:rPr>
              <w:fldChar w:fldCharType="separate"/>
            </w:r>
            <w:r w:rsidRPr="00FC7AFF">
              <w:rPr>
                <w:rFonts w:ascii="Arial Narrow" w:hAnsi="Arial Narrow" w:cs="Arial"/>
                <w:sz w:val="20"/>
                <w:szCs w:val="20"/>
              </w:rPr>
              <w:fldChar w:fldCharType="end"/>
            </w:r>
            <w:r w:rsidRPr="00FC7AFF">
              <w:rPr>
                <w:rFonts w:ascii="Arial Narrow" w:hAnsi="Arial Narrow" w:cs="Arial"/>
                <w:sz w:val="20"/>
                <w:szCs w:val="20"/>
              </w:rPr>
              <w:t>Optometrists</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fldChar w:fldCharType="begin">
                <w:ffData>
                  <w:name w:val="Check5"/>
                  <w:enabled/>
                  <w:calcOnExit w:val="0"/>
                  <w:checkBox>
                    <w:sizeAuto/>
                    <w:default w:val="0"/>
                  </w:checkBox>
                </w:ffData>
              </w:fldChar>
            </w:r>
            <w:r w:rsidRPr="00FC7AFF">
              <w:rPr>
                <w:rFonts w:ascii="Arial Narrow" w:hAnsi="Arial Narrow" w:cs="Arial"/>
                <w:sz w:val="20"/>
                <w:szCs w:val="20"/>
              </w:rPr>
              <w:instrText xml:space="preserve"> FORMCHECKBOX </w:instrText>
            </w:r>
            <w:r w:rsidR="001856B0">
              <w:rPr>
                <w:rFonts w:ascii="Arial Narrow" w:hAnsi="Arial Narrow" w:cs="Arial"/>
                <w:sz w:val="20"/>
                <w:szCs w:val="20"/>
              </w:rPr>
            </w:r>
            <w:r w:rsidR="001856B0">
              <w:rPr>
                <w:rFonts w:ascii="Arial Narrow" w:hAnsi="Arial Narrow" w:cs="Arial"/>
                <w:sz w:val="20"/>
                <w:szCs w:val="20"/>
              </w:rPr>
              <w:fldChar w:fldCharType="separate"/>
            </w:r>
            <w:r w:rsidRPr="00FC7AFF">
              <w:rPr>
                <w:rFonts w:ascii="Arial Narrow" w:hAnsi="Arial Narrow" w:cs="Arial"/>
                <w:sz w:val="20"/>
                <w:szCs w:val="20"/>
              </w:rPr>
              <w:fldChar w:fldCharType="end"/>
            </w:r>
            <w:r w:rsidRPr="00FC7AFF">
              <w:rPr>
                <w:rFonts w:ascii="Arial Narrow" w:hAnsi="Arial Narrow" w:cs="Arial"/>
                <w:sz w:val="20"/>
                <w:szCs w:val="20"/>
              </w:rPr>
              <w:t>Midwives</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Severity:</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Relapsed or Refractory</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Condition:</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Hodgkin lymphoma</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PBS Indication:</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Relapsed or Refractory Hodgkin lymphoma</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Treatment phase:</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Initial treatment – Grandfather patients</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Restriction Level / Method:</w:t>
            </w:r>
          </w:p>
          <w:p w:rsidR="006661DF" w:rsidRPr="00FC7AFF" w:rsidRDefault="006661DF" w:rsidP="003C43DD">
            <w:pPr>
              <w:rPr>
                <w:rFonts w:ascii="Arial Narrow" w:hAnsi="Arial Narrow" w:cs="Arial"/>
                <w:i/>
                <w:sz w:val="20"/>
                <w:szCs w:val="20"/>
              </w:rPr>
            </w:pP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fldChar w:fldCharType="begin">
                <w:ffData>
                  <w:name w:val=""/>
                  <w:enabled/>
                  <w:calcOnExit w:val="0"/>
                  <w:checkBox>
                    <w:sizeAuto/>
                    <w:default w:val="1"/>
                  </w:checkBox>
                </w:ffData>
              </w:fldChar>
            </w:r>
            <w:r w:rsidRPr="00FC7AFF">
              <w:rPr>
                <w:rFonts w:ascii="Arial Narrow" w:hAnsi="Arial Narrow" w:cs="Arial"/>
                <w:sz w:val="20"/>
                <w:szCs w:val="20"/>
              </w:rPr>
              <w:instrText xml:space="preserve"> FORMCHECKBOX </w:instrText>
            </w:r>
            <w:r w:rsidR="001856B0">
              <w:rPr>
                <w:rFonts w:ascii="Arial Narrow" w:hAnsi="Arial Narrow" w:cs="Arial"/>
                <w:sz w:val="20"/>
                <w:szCs w:val="20"/>
              </w:rPr>
            </w:r>
            <w:r w:rsidR="001856B0">
              <w:rPr>
                <w:rFonts w:ascii="Arial Narrow" w:hAnsi="Arial Narrow" w:cs="Arial"/>
                <w:sz w:val="20"/>
                <w:szCs w:val="20"/>
              </w:rPr>
              <w:fldChar w:fldCharType="separate"/>
            </w:r>
            <w:r w:rsidRPr="00FC7AFF">
              <w:rPr>
                <w:rFonts w:ascii="Arial Narrow" w:hAnsi="Arial Narrow" w:cs="Arial"/>
                <w:sz w:val="20"/>
                <w:szCs w:val="20"/>
              </w:rPr>
              <w:fldChar w:fldCharType="end"/>
            </w:r>
            <w:r w:rsidRPr="00FC7AFF">
              <w:rPr>
                <w:rFonts w:ascii="Arial Narrow" w:hAnsi="Arial Narrow" w:cs="Arial"/>
                <w:sz w:val="20"/>
                <w:szCs w:val="20"/>
              </w:rPr>
              <w:t>Authority Required - In Writing</w:t>
            </w:r>
          </w:p>
          <w:p w:rsidR="006661DF" w:rsidRPr="00FC7AFF" w:rsidRDefault="006661DF" w:rsidP="003C43DD">
            <w:pPr>
              <w:rPr>
                <w:rFonts w:ascii="Arial Narrow" w:hAnsi="Arial Narrow" w:cs="Arial"/>
                <w:sz w:val="20"/>
                <w:szCs w:val="20"/>
              </w:rPr>
            </w:pP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Clinical criteria:</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Patient must have rec</w:t>
            </w:r>
            <w:r>
              <w:rPr>
                <w:rFonts w:ascii="Arial Narrow" w:hAnsi="Arial Narrow" w:cs="Arial"/>
                <w:sz w:val="20"/>
                <w:szCs w:val="20"/>
              </w:rPr>
              <w:t>eived non-PBS-subsidised treatment</w:t>
            </w:r>
            <w:r w:rsidRPr="00FC7AFF">
              <w:rPr>
                <w:rFonts w:ascii="Arial Narrow" w:hAnsi="Arial Narrow" w:cs="Arial"/>
                <w:sz w:val="20"/>
                <w:szCs w:val="20"/>
              </w:rPr>
              <w:t xml:space="preserve"> with </w:t>
            </w:r>
            <w:r w:rsidR="00156C0B">
              <w:rPr>
                <w:rFonts w:ascii="Arial Narrow" w:hAnsi="Arial Narrow" w:cs="Arial"/>
                <w:sz w:val="20"/>
                <w:szCs w:val="20"/>
              </w:rPr>
              <w:t xml:space="preserve">a </w:t>
            </w:r>
            <w:r w:rsidR="001F1E7E">
              <w:rPr>
                <w:rFonts w:ascii="Arial Narrow" w:hAnsi="Arial Narrow" w:cs="Arial"/>
                <w:sz w:val="20"/>
                <w:szCs w:val="20"/>
              </w:rPr>
              <w:t>programmed cell death 1 (</w:t>
            </w:r>
            <w:r w:rsidR="00156C0B">
              <w:rPr>
                <w:rFonts w:ascii="Arial Narrow" w:hAnsi="Arial Narrow" w:cs="Arial"/>
                <w:sz w:val="20"/>
                <w:szCs w:val="20"/>
              </w:rPr>
              <w:t>PD-1</w:t>
            </w:r>
            <w:r w:rsidR="001F1E7E">
              <w:rPr>
                <w:rFonts w:ascii="Arial Narrow" w:hAnsi="Arial Narrow" w:cs="Arial"/>
                <w:sz w:val="20"/>
                <w:szCs w:val="20"/>
              </w:rPr>
              <w:t>)</w:t>
            </w:r>
            <w:r w:rsidR="00156C0B">
              <w:rPr>
                <w:rFonts w:ascii="Arial Narrow" w:hAnsi="Arial Narrow" w:cs="Arial"/>
                <w:sz w:val="20"/>
                <w:szCs w:val="20"/>
              </w:rPr>
              <w:t xml:space="preserve"> inhibitor</w:t>
            </w:r>
            <w:r w:rsidRPr="00FC7AFF">
              <w:rPr>
                <w:rFonts w:ascii="Arial Narrow" w:hAnsi="Arial Narrow" w:cs="Arial"/>
                <w:sz w:val="20"/>
                <w:szCs w:val="20"/>
              </w:rPr>
              <w:t xml:space="preserve"> for th</w:t>
            </w:r>
            <w:r>
              <w:rPr>
                <w:rFonts w:ascii="Arial Narrow" w:hAnsi="Arial Narrow" w:cs="Arial"/>
                <w:sz w:val="20"/>
                <w:szCs w:val="20"/>
              </w:rPr>
              <w:t>is condition prior to 1 May 2018</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AND</w:t>
            </w:r>
          </w:p>
          <w:p w:rsidR="006661DF" w:rsidRPr="00FC7AFF" w:rsidRDefault="006661DF" w:rsidP="003C43DD">
            <w:pPr>
              <w:rPr>
                <w:rFonts w:ascii="Arial Narrow" w:hAnsi="Arial Narrow" w:cs="Arial"/>
                <w:sz w:val="20"/>
                <w:szCs w:val="20"/>
              </w:rPr>
            </w:pPr>
            <w:r>
              <w:rPr>
                <w:rFonts w:ascii="Arial Narrow" w:hAnsi="Arial Narrow" w:cs="Arial"/>
                <w:sz w:val="20"/>
                <w:szCs w:val="20"/>
              </w:rPr>
              <w:t>P</w:t>
            </w:r>
            <w:r w:rsidRPr="00FC7AFF">
              <w:rPr>
                <w:rFonts w:ascii="Arial Narrow" w:hAnsi="Arial Narrow" w:cs="Arial"/>
                <w:sz w:val="20"/>
                <w:szCs w:val="20"/>
              </w:rPr>
              <w:t>atient must have undergone an autologous stem cell transplant (ASCT) for this condition and have experienced relapsed or refractory disease post ASCT</w:t>
            </w:r>
            <w:r>
              <w:rPr>
                <w:rFonts w:ascii="Arial Narrow" w:hAnsi="Arial Narrow" w:cs="Arial"/>
                <w:sz w:val="20"/>
                <w:szCs w:val="20"/>
              </w:rPr>
              <w:t xml:space="preserve"> prior to receiving treatment with </w:t>
            </w:r>
            <w:r w:rsidR="003E35EE">
              <w:rPr>
                <w:rFonts w:ascii="Arial Narrow" w:hAnsi="Arial Narrow" w:cs="Arial"/>
                <w:sz w:val="20"/>
                <w:szCs w:val="20"/>
              </w:rPr>
              <w:t xml:space="preserve">a PD-1 inhibitor </w:t>
            </w:r>
            <w:r>
              <w:rPr>
                <w:rFonts w:ascii="Arial Narrow" w:hAnsi="Arial Narrow" w:cs="Arial"/>
                <w:sz w:val="20"/>
                <w:szCs w:val="20"/>
              </w:rPr>
              <w:t>for this condition</w:t>
            </w:r>
            <w:r w:rsidRPr="00FC7AFF">
              <w:rPr>
                <w:rFonts w:ascii="Arial Narrow" w:hAnsi="Arial Narrow" w:cs="Arial"/>
                <w:sz w:val="20"/>
                <w:szCs w:val="20"/>
              </w:rPr>
              <w:t xml:space="preserve">; </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OR</w:t>
            </w:r>
          </w:p>
          <w:p w:rsidR="006661DF" w:rsidRPr="00FC7AFF" w:rsidRDefault="006661DF" w:rsidP="003C43DD">
            <w:pPr>
              <w:rPr>
                <w:rFonts w:ascii="Arial Narrow" w:hAnsi="Arial Narrow" w:cs="Arial"/>
                <w:sz w:val="20"/>
                <w:szCs w:val="20"/>
              </w:rPr>
            </w:pPr>
            <w:r>
              <w:rPr>
                <w:rFonts w:ascii="Arial Narrow" w:hAnsi="Arial Narrow" w:cs="Arial"/>
                <w:sz w:val="20"/>
                <w:szCs w:val="20"/>
              </w:rPr>
              <w:t>P</w:t>
            </w:r>
            <w:r w:rsidRPr="00FC7AFF">
              <w:rPr>
                <w:rFonts w:ascii="Arial Narrow" w:hAnsi="Arial Narrow" w:cs="Arial"/>
                <w:sz w:val="20"/>
                <w:szCs w:val="20"/>
              </w:rPr>
              <w:t xml:space="preserve">atient must have not been suitable for ASCT </w:t>
            </w:r>
            <w:r>
              <w:rPr>
                <w:rFonts w:ascii="Arial Narrow" w:hAnsi="Arial Narrow" w:cs="Arial"/>
                <w:sz w:val="20"/>
                <w:szCs w:val="20"/>
              </w:rPr>
              <w:t xml:space="preserve">for this condition and have </w:t>
            </w:r>
            <w:r w:rsidRPr="00FC7AFF">
              <w:rPr>
                <w:rFonts w:ascii="Arial Narrow" w:hAnsi="Arial Narrow" w:cs="Arial"/>
                <w:sz w:val="20"/>
                <w:szCs w:val="20"/>
              </w:rPr>
              <w:t xml:space="preserve">experienced relapsed or refractory disease following at least 2 prior treatments for this condition </w:t>
            </w:r>
            <w:r>
              <w:rPr>
                <w:rFonts w:ascii="Arial Narrow" w:hAnsi="Arial Narrow" w:cs="Arial"/>
                <w:sz w:val="20"/>
                <w:szCs w:val="20"/>
              </w:rPr>
              <w:t xml:space="preserve">prior to receiving treatment with </w:t>
            </w:r>
            <w:r w:rsidR="00CB7E92">
              <w:rPr>
                <w:rFonts w:ascii="Arial Narrow" w:hAnsi="Arial Narrow" w:cs="Arial"/>
                <w:sz w:val="20"/>
                <w:szCs w:val="20"/>
              </w:rPr>
              <w:t xml:space="preserve">a PD-1 inhibitor </w:t>
            </w:r>
            <w:r>
              <w:rPr>
                <w:rFonts w:ascii="Arial Narrow" w:hAnsi="Arial Narrow" w:cs="Arial"/>
                <w:sz w:val="20"/>
                <w:szCs w:val="20"/>
              </w:rPr>
              <w:t>for this condition</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AND</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 xml:space="preserve">Patient must not have developed disease progression while receiving treatment with </w:t>
            </w:r>
            <w:r w:rsidR="001F1E7E">
              <w:rPr>
                <w:rFonts w:ascii="Arial Narrow" w:hAnsi="Arial Narrow" w:cs="Arial"/>
                <w:sz w:val="20"/>
                <w:szCs w:val="20"/>
              </w:rPr>
              <w:t>a PD-1 inhibitor</w:t>
            </w:r>
            <w:r w:rsidRPr="00FC7AFF">
              <w:rPr>
                <w:rFonts w:ascii="Arial Narrow" w:hAnsi="Arial Narrow" w:cs="Arial"/>
                <w:sz w:val="20"/>
                <w:szCs w:val="20"/>
              </w:rPr>
              <w:t xml:space="preserve"> for this condition. </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AND</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The treatment must be the sole PBS-subsidised therapy for this condition</w:t>
            </w:r>
            <w:r>
              <w:rPr>
                <w:rFonts w:ascii="Arial Narrow" w:hAnsi="Arial Narrow" w:cs="Arial"/>
                <w:sz w:val="20"/>
                <w:szCs w:val="20"/>
              </w:rPr>
              <w:t xml:space="preserve"> </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 xml:space="preserve">AND </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The treatment must not exceed a total of 35 cycles in a lifetime.</w:t>
            </w: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Prescriber Instructions</w:t>
            </w:r>
          </w:p>
          <w:p w:rsidR="006661DF" w:rsidRPr="00FC7AFF" w:rsidRDefault="006661DF" w:rsidP="003C43DD">
            <w:pPr>
              <w:jc w:val="both"/>
              <w:rPr>
                <w:rFonts w:ascii="Arial Narrow" w:hAnsi="Arial Narrow" w:cs="Arial"/>
                <w:b/>
                <w:sz w:val="20"/>
                <w:szCs w:val="20"/>
              </w:rPr>
            </w:pPr>
            <w:r w:rsidRPr="00FC7AFF">
              <w:rPr>
                <w:rFonts w:ascii="Arial Narrow" w:hAnsi="Arial Narrow" w:cs="Arial"/>
                <w:sz w:val="20"/>
                <w:szCs w:val="20"/>
              </w:rPr>
              <w:t xml:space="preserve"> </w:t>
            </w: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A patient may qualify for PBS-subsidised treatment under this restriction once only. For continuing PBS-subsidised treatment, a Grandfathered patient must qualify under the Continuing treatment criteria.</w:t>
            </w:r>
          </w:p>
          <w:p w:rsidR="006661DF" w:rsidRPr="00FC7AFF" w:rsidRDefault="006661DF" w:rsidP="003C43DD">
            <w:pPr>
              <w:rPr>
                <w:rFonts w:ascii="Arial Narrow" w:hAnsi="Arial Narrow" w:cs="Arial"/>
                <w:sz w:val="20"/>
                <w:szCs w:val="20"/>
              </w:rPr>
            </w:pP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Applications for authorisation of initial treatment must be in writing and must include:</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(a) a completed authority prescription form;</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(b) a completed Hodgkin lymphoma pembrolizumab PBS Authority Application for Grandfathered patients.</w:t>
            </w:r>
          </w:p>
          <w:p w:rsidR="006661DF" w:rsidRPr="00FC7AFF" w:rsidRDefault="006661DF" w:rsidP="003C43DD">
            <w:pPr>
              <w:rPr>
                <w:rFonts w:ascii="Arial Narrow" w:hAnsi="Arial Narrow" w:cs="Arial"/>
                <w:sz w:val="20"/>
                <w:szCs w:val="20"/>
              </w:rPr>
            </w:pPr>
          </w:p>
        </w:tc>
      </w:tr>
      <w:tr w:rsidR="006661DF" w:rsidRPr="00FC7AFF" w:rsidTr="003C43DD">
        <w:trPr>
          <w:cantSplit/>
          <w:trHeight w:val="360"/>
        </w:trPr>
        <w:tc>
          <w:tcPr>
            <w:tcW w:w="2410"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jc w:val="both"/>
              <w:rPr>
                <w:rFonts w:ascii="Arial Narrow" w:hAnsi="Arial Narrow" w:cs="Arial"/>
                <w:b/>
                <w:sz w:val="20"/>
                <w:szCs w:val="20"/>
              </w:rPr>
            </w:pPr>
            <w:r w:rsidRPr="00FC7AFF">
              <w:rPr>
                <w:rFonts w:ascii="Arial Narrow" w:hAnsi="Arial Narrow" w:cs="Arial"/>
                <w:b/>
                <w:sz w:val="20"/>
                <w:szCs w:val="20"/>
              </w:rPr>
              <w:t>Administrative Advice</w:t>
            </w:r>
          </w:p>
          <w:p w:rsidR="006661DF" w:rsidRPr="00FC7AFF" w:rsidRDefault="006661DF" w:rsidP="003C43DD">
            <w:pPr>
              <w:jc w:val="both"/>
              <w:rPr>
                <w:rFonts w:ascii="Arial Narrow" w:hAnsi="Arial Narrow" w:cs="Arial"/>
                <w:i/>
                <w:sz w:val="20"/>
                <w:szCs w:val="20"/>
              </w:rPr>
            </w:pPr>
          </w:p>
        </w:tc>
        <w:tc>
          <w:tcPr>
            <w:tcW w:w="6521" w:type="dxa"/>
            <w:tcBorders>
              <w:top w:val="single" w:sz="4" w:space="0" w:color="auto"/>
              <w:left w:val="single" w:sz="4" w:space="0" w:color="auto"/>
              <w:bottom w:val="single" w:sz="4" w:space="0" w:color="auto"/>
              <w:right w:val="single" w:sz="4" w:space="0" w:color="auto"/>
            </w:tcBorders>
          </w:tcPr>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 xml:space="preserve">Any queries concerning the arrangements to prescribe may be directed to the Department of Human Services on 1800 700 270 (hours of operation 8 a.m. to 5 p.m. EST Monday to Friday). </w:t>
            </w:r>
          </w:p>
          <w:p w:rsidR="006661DF" w:rsidRPr="00FC7AFF" w:rsidRDefault="006661DF" w:rsidP="003C43DD">
            <w:pPr>
              <w:rPr>
                <w:rFonts w:ascii="Arial Narrow" w:hAnsi="Arial Narrow" w:cs="Arial"/>
                <w:sz w:val="20"/>
                <w:szCs w:val="20"/>
              </w:rPr>
            </w:pP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 xml:space="preserve">Prescribing information (including Authority Application forms and other relevant documentation as applicable) is available on the Department of Human Services website at </w:t>
            </w:r>
            <w:r w:rsidRPr="00FC7AFF">
              <w:rPr>
                <w:rFonts w:ascii="Arial Narrow" w:hAnsi="Arial Narrow" w:cs="Arial"/>
                <w:color w:val="0000FF" w:themeColor="hyperlink"/>
                <w:sz w:val="20"/>
                <w:szCs w:val="20"/>
                <w:u w:val="single"/>
              </w:rPr>
              <w:t>www.humanservices.gov.au</w:t>
            </w:r>
            <w:r w:rsidRPr="00FC7AFF">
              <w:rPr>
                <w:rFonts w:ascii="Arial Narrow" w:hAnsi="Arial Narrow" w:cs="Arial"/>
                <w:sz w:val="20"/>
                <w:szCs w:val="20"/>
              </w:rPr>
              <w:t>.</w:t>
            </w:r>
          </w:p>
          <w:p w:rsidR="006661DF" w:rsidRPr="00FC7AFF" w:rsidRDefault="006661DF" w:rsidP="003C43DD">
            <w:pPr>
              <w:rPr>
                <w:rFonts w:ascii="Arial Narrow" w:hAnsi="Arial Narrow" w:cs="Arial"/>
                <w:sz w:val="20"/>
                <w:szCs w:val="20"/>
              </w:rPr>
            </w:pP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 xml:space="preserve">Applications for authority to prescribe should be forwarded to: </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Department of Human Services</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Complex Drugs</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 xml:space="preserve">Reply Paid 9826 </w:t>
            </w: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HOBART TAS 7001</w:t>
            </w:r>
          </w:p>
          <w:p w:rsidR="006661DF" w:rsidRPr="00FC7AFF" w:rsidRDefault="006661DF" w:rsidP="003C43DD">
            <w:pPr>
              <w:rPr>
                <w:rFonts w:ascii="Arial Narrow" w:hAnsi="Arial Narrow" w:cs="Arial"/>
                <w:sz w:val="20"/>
                <w:szCs w:val="20"/>
              </w:rPr>
            </w:pP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No increase in the maximum quantity or number of units may be authorised.</w:t>
            </w:r>
          </w:p>
          <w:p w:rsidR="006661DF" w:rsidRPr="00FC7AFF" w:rsidRDefault="006661DF" w:rsidP="003C43DD">
            <w:pPr>
              <w:rPr>
                <w:rFonts w:ascii="Arial Narrow" w:hAnsi="Arial Narrow" w:cs="Arial"/>
                <w:sz w:val="20"/>
                <w:szCs w:val="20"/>
              </w:rPr>
            </w:pP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No increase in the maximum number of repeats may be authorised.</w:t>
            </w:r>
          </w:p>
          <w:p w:rsidR="006661DF" w:rsidRPr="00FC7AFF" w:rsidRDefault="006661DF" w:rsidP="003C43DD">
            <w:pPr>
              <w:rPr>
                <w:rFonts w:ascii="Arial Narrow" w:hAnsi="Arial Narrow" w:cs="Arial"/>
                <w:sz w:val="20"/>
                <w:szCs w:val="20"/>
              </w:rPr>
            </w:pPr>
          </w:p>
          <w:p w:rsidR="006661DF" w:rsidRPr="00FC7AFF" w:rsidRDefault="006661DF" w:rsidP="003C43DD">
            <w:pPr>
              <w:rPr>
                <w:rFonts w:ascii="Arial Narrow" w:hAnsi="Arial Narrow" w:cs="Arial"/>
                <w:sz w:val="20"/>
                <w:szCs w:val="20"/>
              </w:rPr>
            </w:pPr>
            <w:r w:rsidRPr="00FC7AFF">
              <w:rPr>
                <w:rFonts w:ascii="Arial Narrow" w:hAnsi="Arial Narrow" w:cs="Arial"/>
                <w:sz w:val="20"/>
                <w:szCs w:val="20"/>
              </w:rPr>
              <w:t>Special Pricing Arrangements apply.</w:t>
            </w:r>
          </w:p>
          <w:p w:rsidR="006661DF" w:rsidRPr="00FC7AFF" w:rsidRDefault="006661DF" w:rsidP="003C43DD">
            <w:pPr>
              <w:rPr>
                <w:rFonts w:ascii="Arial Narrow" w:hAnsi="Arial Narrow" w:cs="Arial"/>
                <w:sz w:val="20"/>
                <w:szCs w:val="20"/>
              </w:rPr>
            </w:pPr>
          </w:p>
        </w:tc>
      </w:tr>
    </w:tbl>
    <w:p w:rsidR="005E2706" w:rsidRDefault="005E2706" w:rsidP="00E65F9D"/>
    <w:p w:rsidR="005E2706" w:rsidRDefault="005E2706" w:rsidP="00E65F9D"/>
    <w:p w:rsidR="005E2706" w:rsidRPr="00FF044C" w:rsidRDefault="005E2706" w:rsidP="00E65F9D"/>
    <w:tbl>
      <w:tblPr>
        <w:tblW w:w="8931" w:type="dxa"/>
        <w:tblInd w:w="108" w:type="dxa"/>
        <w:tblLayout w:type="fixed"/>
        <w:tblLook w:val="0000" w:firstRow="0" w:lastRow="0" w:firstColumn="0" w:lastColumn="0" w:noHBand="0" w:noVBand="0"/>
      </w:tblPr>
      <w:tblGrid>
        <w:gridCol w:w="2410"/>
        <w:gridCol w:w="851"/>
        <w:gridCol w:w="708"/>
        <w:gridCol w:w="1843"/>
        <w:gridCol w:w="1134"/>
        <w:gridCol w:w="1985"/>
      </w:tblGrid>
      <w:tr w:rsidR="00E65F9D" w:rsidRPr="00FF044C" w:rsidTr="00C0037C">
        <w:trPr>
          <w:cantSplit/>
          <w:trHeight w:val="471"/>
        </w:trPr>
        <w:tc>
          <w:tcPr>
            <w:tcW w:w="2410" w:type="dxa"/>
            <w:tcBorders>
              <w:bottom w:val="single" w:sz="4" w:space="0" w:color="auto"/>
            </w:tcBorders>
          </w:tcPr>
          <w:p w:rsidR="00E65F9D" w:rsidRPr="00FF044C" w:rsidRDefault="00E65F9D" w:rsidP="00C0037C">
            <w:pPr>
              <w:keepNext/>
              <w:ind w:left="-108"/>
              <w:rPr>
                <w:rFonts w:ascii="Arial Narrow" w:hAnsi="Arial Narrow"/>
                <w:sz w:val="20"/>
              </w:rPr>
            </w:pPr>
            <w:r w:rsidRPr="00FF044C">
              <w:rPr>
                <w:rFonts w:ascii="Arial Narrow" w:hAnsi="Arial Narrow"/>
                <w:sz w:val="20"/>
              </w:rPr>
              <w:t>Name, Restriction,</w:t>
            </w:r>
          </w:p>
          <w:p w:rsidR="00E65F9D" w:rsidRPr="00FF044C" w:rsidRDefault="00E65F9D" w:rsidP="00C0037C">
            <w:pPr>
              <w:keepNext/>
              <w:ind w:left="-108"/>
              <w:rPr>
                <w:rFonts w:ascii="Arial Narrow" w:hAnsi="Arial Narrow"/>
                <w:sz w:val="20"/>
              </w:rPr>
            </w:pPr>
            <w:r w:rsidRPr="00FF044C">
              <w:rPr>
                <w:rFonts w:ascii="Arial Narrow" w:hAnsi="Arial Narrow"/>
                <w:sz w:val="20"/>
              </w:rPr>
              <w:t>Manner of administration and form</w:t>
            </w:r>
          </w:p>
        </w:tc>
        <w:tc>
          <w:tcPr>
            <w:tcW w:w="851" w:type="dxa"/>
            <w:tcBorders>
              <w:bottom w:val="single" w:sz="4" w:space="0" w:color="auto"/>
            </w:tcBorders>
          </w:tcPr>
          <w:p w:rsidR="00E65F9D" w:rsidRPr="00FF044C" w:rsidRDefault="00E65F9D" w:rsidP="00C0037C">
            <w:pPr>
              <w:keepNext/>
              <w:ind w:left="-108"/>
              <w:jc w:val="center"/>
              <w:rPr>
                <w:rFonts w:ascii="Arial Narrow" w:hAnsi="Arial Narrow"/>
                <w:sz w:val="20"/>
              </w:rPr>
            </w:pPr>
            <w:r w:rsidRPr="00FF044C">
              <w:rPr>
                <w:rFonts w:ascii="Arial Narrow" w:hAnsi="Arial Narrow"/>
                <w:sz w:val="20"/>
              </w:rPr>
              <w:t>Max.</w:t>
            </w:r>
          </w:p>
          <w:p w:rsidR="00E65F9D" w:rsidRPr="00FF044C" w:rsidRDefault="00E65F9D" w:rsidP="00C0037C">
            <w:pPr>
              <w:keepNext/>
              <w:ind w:left="-108"/>
              <w:jc w:val="center"/>
              <w:rPr>
                <w:rFonts w:ascii="Arial Narrow" w:hAnsi="Arial Narrow"/>
                <w:sz w:val="20"/>
              </w:rPr>
            </w:pPr>
            <w:r w:rsidRPr="00FF044C">
              <w:rPr>
                <w:rFonts w:ascii="Arial Narrow" w:hAnsi="Arial Narrow"/>
                <w:sz w:val="20"/>
              </w:rPr>
              <w:t>Amount</w:t>
            </w:r>
          </w:p>
        </w:tc>
        <w:tc>
          <w:tcPr>
            <w:tcW w:w="708" w:type="dxa"/>
            <w:tcBorders>
              <w:bottom w:val="single" w:sz="4" w:space="0" w:color="auto"/>
            </w:tcBorders>
          </w:tcPr>
          <w:p w:rsidR="00E65F9D" w:rsidRPr="00FF044C" w:rsidRDefault="00E65F9D" w:rsidP="00C0037C">
            <w:pPr>
              <w:keepNext/>
              <w:ind w:left="-108"/>
              <w:jc w:val="center"/>
              <w:rPr>
                <w:rFonts w:ascii="Arial Narrow" w:hAnsi="Arial Narrow"/>
                <w:sz w:val="20"/>
              </w:rPr>
            </w:pPr>
            <w:r w:rsidRPr="00FF044C">
              <w:rPr>
                <w:rFonts w:ascii="Arial Narrow" w:hAnsi="Arial Narrow"/>
                <w:sz w:val="20"/>
              </w:rPr>
              <w:t>№.of Rpts</w:t>
            </w:r>
          </w:p>
        </w:tc>
        <w:tc>
          <w:tcPr>
            <w:tcW w:w="1843" w:type="dxa"/>
            <w:tcBorders>
              <w:bottom w:val="single" w:sz="4" w:space="0" w:color="auto"/>
            </w:tcBorders>
          </w:tcPr>
          <w:p w:rsidR="00E65F9D" w:rsidRPr="00FF044C" w:rsidRDefault="00E65F9D" w:rsidP="00C0037C">
            <w:pPr>
              <w:keepNext/>
              <w:ind w:left="-108"/>
              <w:jc w:val="center"/>
              <w:rPr>
                <w:rFonts w:ascii="Arial Narrow" w:hAnsi="Arial Narrow"/>
                <w:sz w:val="20"/>
              </w:rPr>
            </w:pPr>
            <w:r w:rsidRPr="003F278A">
              <w:rPr>
                <w:rFonts w:ascii="Arial Narrow" w:hAnsi="Arial Narrow"/>
                <w:sz w:val="20"/>
              </w:rPr>
              <w:t xml:space="preserve">Dispensed price for maximum </w:t>
            </w:r>
            <w:r>
              <w:rPr>
                <w:rFonts w:ascii="Arial Narrow" w:hAnsi="Arial Narrow"/>
                <w:sz w:val="20"/>
              </w:rPr>
              <w:t>amount (DPMA</w:t>
            </w:r>
            <w:r w:rsidRPr="003F278A">
              <w:rPr>
                <w:rFonts w:ascii="Arial Narrow" w:hAnsi="Arial Narrow"/>
                <w:sz w:val="20"/>
              </w:rPr>
              <w:t>)</w:t>
            </w:r>
          </w:p>
        </w:tc>
        <w:tc>
          <w:tcPr>
            <w:tcW w:w="3119" w:type="dxa"/>
            <w:gridSpan w:val="2"/>
            <w:tcBorders>
              <w:bottom w:val="single" w:sz="4" w:space="0" w:color="auto"/>
            </w:tcBorders>
          </w:tcPr>
          <w:p w:rsidR="00E65F9D" w:rsidRPr="00FF044C" w:rsidRDefault="00E65F9D" w:rsidP="00C0037C">
            <w:pPr>
              <w:keepNext/>
              <w:jc w:val="center"/>
              <w:rPr>
                <w:rFonts w:ascii="Arial Narrow" w:hAnsi="Arial Narrow"/>
                <w:sz w:val="20"/>
              </w:rPr>
            </w:pPr>
            <w:r w:rsidRPr="00FF044C">
              <w:rPr>
                <w:rFonts w:ascii="Arial Narrow" w:hAnsi="Arial Narrow"/>
                <w:sz w:val="20"/>
              </w:rPr>
              <w:t>Propriet</w:t>
            </w:r>
            <w:r>
              <w:rPr>
                <w:rFonts w:ascii="Arial Narrow" w:hAnsi="Arial Narrow"/>
                <w:sz w:val="20"/>
              </w:rPr>
              <w:t xml:space="preserve">ary Name and           </w:t>
            </w:r>
            <w:r>
              <w:rPr>
                <w:rFonts w:ascii="Arial Narrow" w:hAnsi="Arial Narrow"/>
                <w:sz w:val="20"/>
              </w:rPr>
              <w:br/>
              <w:t xml:space="preserve">     </w:t>
            </w:r>
            <w:r w:rsidRPr="00FF044C">
              <w:rPr>
                <w:rFonts w:ascii="Arial Narrow" w:hAnsi="Arial Narrow"/>
                <w:sz w:val="20"/>
              </w:rPr>
              <w:t>Manufacturer</w:t>
            </w:r>
          </w:p>
        </w:tc>
      </w:tr>
      <w:tr w:rsidR="00E65F9D" w:rsidRPr="00FF044C" w:rsidTr="00473509">
        <w:trPr>
          <w:cantSplit/>
          <w:trHeight w:val="577"/>
        </w:trPr>
        <w:tc>
          <w:tcPr>
            <w:tcW w:w="2410" w:type="dxa"/>
            <w:tcBorders>
              <w:top w:val="single" w:sz="4" w:space="0" w:color="auto"/>
            </w:tcBorders>
            <w:vAlign w:val="center"/>
          </w:tcPr>
          <w:p w:rsidR="00E65F9D" w:rsidRPr="00FF044C" w:rsidRDefault="00E65F9D" w:rsidP="00473509">
            <w:pPr>
              <w:keepNext/>
              <w:ind w:left="-108"/>
              <w:rPr>
                <w:rFonts w:ascii="Arial Narrow" w:hAnsi="Arial Narrow"/>
                <w:sz w:val="20"/>
              </w:rPr>
            </w:pPr>
            <w:r>
              <w:rPr>
                <w:rFonts w:ascii="Arial Narrow" w:hAnsi="Arial Narrow"/>
                <w:sz w:val="20"/>
              </w:rPr>
              <w:t>PEMBROLIZUMAB</w:t>
            </w:r>
          </w:p>
          <w:p w:rsidR="00E65F9D" w:rsidRPr="00FF044C" w:rsidRDefault="00942AA1" w:rsidP="00473509">
            <w:pPr>
              <w:keepNext/>
              <w:ind w:left="-108"/>
              <w:rPr>
                <w:rFonts w:ascii="Arial Narrow" w:hAnsi="Arial Narrow"/>
                <w:sz w:val="20"/>
              </w:rPr>
            </w:pPr>
            <w:r>
              <w:rPr>
                <w:rFonts w:ascii="Arial Narrow" w:hAnsi="Arial Narrow"/>
                <w:sz w:val="20"/>
              </w:rPr>
              <w:t>5</w:t>
            </w:r>
            <w:r w:rsidRPr="005C2075">
              <w:rPr>
                <w:rFonts w:ascii="Arial Narrow" w:hAnsi="Arial Narrow"/>
                <w:sz w:val="20"/>
              </w:rPr>
              <w:t>0</w:t>
            </w:r>
            <w:r>
              <w:rPr>
                <w:rFonts w:ascii="Arial Narrow" w:hAnsi="Arial Narrow"/>
                <w:sz w:val="20"/>
              </w:rPr>
              <w:t> </w:t>
            </w:r>
            <w:r w:rsidRPr="005C2075">
              <w:rPr>
                <w:rFonts w:ascii="Arial Narrow" w:hAnsi="Arial Narrow"/>
                <w:sz w:val="20"/>
              </w:rPr>
              <w:t>mg vial for infusion,</w:t>
            </w:r>
            <w:r w:rsidR="00A0206D">
              <w:rPr>
                <w:rFonts w:ascii="Arial Narrow" w:hAnsi="Arial Narrow"/>
                <w:sz w:val="20"/>
              </w:rPr>
              <w:t xml:space="preserve"> </w:t>
            </w:r>
            <w:r>
              <w:rPr>
                <w:rFonts w:ascii="Arial Narrow" w:hAnsi="Arial Narrow"/>
                <w:sz w:val="20"/>
              </w:rPr>
              <w:t>1</w:t>
            </w:r>
            <w:r w:rsidRPr="005C2075">
              <w:rPr>
                <w:rFonts w:ascii="Arial Narrow" w:hAnsi="Arial Narrow"/>
                <w:sz w:val="20"/>
              </w:rPr>
              <w:t xml:space="preserve"> 1</w:t>
            </w:r>
            <w:r w:rsidR="00E65F9D" w:rsidRPr="005C2075">
              <w:rPr>
                <w:rFonts w:ascii="Arial Narrow" w:hAnsi="Arial Narrow"/>
                <w:sz w:val="20"/>
              </w:rPr>
              <w:t>00</w:t>
            </w:r>
            <w:r w:rsidR="006315D8">
              <w:rPr>
                <w:rFonts w:ascii="Arial Narrow" w:hAnsi="Arial Narrow"/>
                <w:sz w:val="20"/>
              </w:rPr>
              <w:t> </w:t>
            </w:r>
            <w:r w:rsidR="00E65F9D" w:rsidRPr="005C2075">
              <w:rPr>
                <w:rFonts w:ascii="Arial Narrow" w:hAnsi="Arial Narrow"/>
                <w:sz w:val="20"/>
              </w:rPr>
              <w:t>mg vial for infusion, 1</w:t>
            </w:r>
          </w:p>
        </w:tc>
        <w:tc>
          <w:tcPr>
            <w:tcW w:w="851" w:type="dxa"/>
            <w:tcBorders>
              <w:top w:val="single" w:sz="4" w:space="0" w:color="auto"/>
            </w:tcBorders>
            <w:vAlign w:val="center"/>
          </w:tcPr>
          <w:p w:rsidR="00E65F9D" w:rsidRPr="00FF044C" w:rsidRDefault="00E65F9D" w:rsidP="006315D8">
            <w:pPr>
              <w:keepNext/>
              <w:jc w:val="center"/>
              <w:rPr>
                <w:rFonts w:ascii="Arial Narrow" w:hAnsi="Arial Narrow"/>
                <w:sz w:val="20"/>
              </w:rPr>
            </w:pPr>
            <w:r w:rsidRPr="00FF044C">
              <w:rPr>
                <w:rFonts w:ascii="Arial Narrow" w:hAnsi="Arial Narrow"/>
                <w:sz w:val="20"/>
              </w:rPr>
              <w:t>200</w:t>
            </w:r>
            <w:r w:rsidR="006315D8">
              <w:rPr>
                <w:rFonts w:ascii="Arial Narrow" w:hAnsi="Arial Narrow"/>
                <w:sz w:val="20"/>
              </w:rPr>
              <w:t> </w:t>
            </w:r>
            <w:r w:rsidRPr="00FF044C">
              <w:rPr>
                <w:rFonts w:ascii="Arial Narrow" w:hAnsi="Arial Narrow"/>
                <w:sz w:val="20"/>
              </w:rPr>
              <w:t>mg</w:t>
            </w:r>
          </w:p>
        </w:tc>
        <w:tc>
          <w:tcPr>
            <w:tcW w:w="708" w:type="dxa"/>
            <w:tcBorders>
              <w:top w:val="single" w:sz="4" w:space="0" w:color="auto"/>
            </w:tcBorders>
            <w:vAlign w:val="center"/>
          </w:tcPr>
          <w:p w:rsidR="00E65F9D" w:rsidRPr="00FF044C" w:rsidRDefault="00A3020A" w:rsidP="00473509">
            <w:pPr>
              <w:keepNext/>
              <w:jc w:val="center"/>
              <w:rPr>
                <w:rFonts w:ascii="Arial Narrow" w:hAnsi="Arial Narrow"/>
                <w:sz w:val="20"/>
              </w:rPr>
            </w:pPr>
            <w:r>
              <w:rPr>
                <w:rFonts w:ascii="Arial Narrow" w:hAnsi="Arial Narrow"/>
                <w:sz w:val="20"/>
              </w:rPr>
              <w:t>6</w:t>
            </w:r>
          </w:p>
        </w:tc>
        <w:tc>
          <w:tcPr>
            <w:tcW w:w="1843" w:type="dxa"/>
            <w:tcBorders>
              <w:top w:val="single" w:sz="4" w:space="0" w:color="auto"/>
            </w:tcBorders>
            <w:vAlign w:val="center"/>
          </w:tcPr>
          <w:p w:rsidR="00E65F9D" w:rsidRPr="00FF044C" w:rsidRDefault="00E65F9D" w:rsidP="00473509">
            <w:pPr>
              <w:keepNext/>
              <w:ind w:left="-108"/>
              <w:jc w:val="center"/>
              <w:rPr>
                <w:rFonts w:ascii="Arial Narrow" w:hAnsi="Arial Narrow"/>
                <w:sz w:val="20"/>
              </w:rPr>
            </w:pPr>
            <w:r w:rsidRPr="00473509">
              <w:rPr>
                <w:rFonts w:ascii="Arial Narrow" w:hAnsi="Arial Narrow"/>
                <w:sz w:val="20"/>
              </w:rPr>
              <w:t>To be confirmed</w:t>
            </w:r>
          </w:p>
        </w:tc>
        <w:tc>
          <w:tcPr>
            <w:tcW w:w="1134" w:type="dxa"/>
            <w:tcBorders>
              <w:top w:val="single" w:sz="4" w:space="0" w:color="auto"/>
            </w:tcBorders>
            <w:vAlign w:val="center"/>
          </w:tcPr>
          <w:p w:rsidR="00E65F9D" w:rsidRPr="00FF044C" w:rsidRDefault="00E65F9D" w:rsidP="00473509">
            <w:pPr>
              <w:keepNext/>
              <w:jc w:val="center"/>
              <w:rPr>
                <w:rFonts w:ascii="Arial Narrow" w:hAnsi="Arial Narrow"/>
                <w:sz w:val="20"/>
              </w:rPr>
            </w:pPr>
            <w:r>
              <w:rPr>
                <w:rFonts w:ascii="Arial Narrow" w:hAnsi="Arial Narrow"/>
                <w:sz w:val="20"/>
              </w:rPr>
              <w:t>Keytruda</w:t>
            </w:r>
            <w:r w:rsidRPr="00473509">
              <w:rPr>
                <w:rFonts w:ascii="Arial Narrow" w:hAnsi="Arial Narrow"/>
                <w:sz w:val="20"/>
              </w:rPr>
              <w:t>®</w:t>
            </w:r>
          </w:p>
        </w:tc>
        <w:tc>
          <w:tcPr>
            <w:tcW w:w="1985" w:type="dxa"/>
            <w:tcBorders>
              <w:top w:val="single" w:sz="4" w:space="0" w:color="auto"/>
            </w:tcBorders>
            <w:vAlign w:val="center"/>
          </w:tcPr>
          <w:p w:rsidR="00E65F9D" w:rsidRPr="00FF044C" w:rsidRDefault="00E65F9D" w:rsidP="00473509">
            <w:pPr>
              <w:keepNext/>
              <w:jc w:val="center"/>
              <w:rPr>
                <w:rFonts w:ascii="Arial Narrow" w:hAnsi="Arial Narrow"/>
                <w:sz w:val="20"/>
              </w:rPr>
            </w:pPr>
            <w:r>
              <w:rPr>
                <w:rFonts w:ascii="Arial Narrow" w:hAnsi="Arial Narrow"/>
                <w:sz w:val="20"/>
              </w:rPr>
              <w:t>Merck Sharp and Dohme Pty Ltd</w:t>
            </w:r>
          </w:p>
        </w:tc>
      </w:tr>
      <w:tr w:rsidR="00FC564F" w:rsidRPr="00FF044C" w:rsidTr="00C0037C">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C0037C">
            <w:pPr>
              <w:rPr>
                <w:rFonts w:ascii="Arial Narrow" w:hAnsi="Arial Narrow"/>
                <w:b/>
                <w:sz w:val="20"/>
              </w:rPr>
            </w:pPr>
            <w:r w:rsidRPr="00FF044C">
              <w:rPr>
                <w:rFonts w:ascii="Arial Narrow" w:hAnsi="Arial Narrow"/>
                <w:b/>
                <w:sz w:val="20"/>
              </w:rPr>
              <w:t>Category / Program</w:t>
            </w:r>
            <w:r>
              <w:rPr>
                <w:rFonts w:ascii="Arial Narrow" w:hAnsi="Arial Narrow"/>
                <w:b/>
                <w:sz w:val="20"/>
              </w:rPr>
              <w:t>:</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C0037C">
            <w:pPr>
              <w:rPr>
                <w:rFonts w:ascii="Arial Narrow" w:hAnsi="Arial Narrow"/>
                <w:sz w:val="20"/>
              </w:rPr>
            </w:pPr>
            <w:r w:rsidRPr="00FF044C">
              <w:rPr>
                <w:rFonts w:ascii="Arial Narrow" w:hAnsi="Arial Narrow"/>
                <w:sz w:val="20"/>
              </w:rPr>
              <w:t>Section 100 – Efficient Funding of Chemotherapy</w:t>
            </w:r>
          </w:p>
        </w:tc>
      </w:tr>
      <w:tr w:rsidR="00FC564F" w:rsidRPr="00FF044C" w:rsidTr="00C0037C">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C0037C">
            <w:pPr>
              <w:rPr>
                <w:rFonts w:ascii="Arial Narrow" w:hAnsi="Arial Narrow"/>
                <w:b/>
                <w:sz w:val="20"/>
              </w:rPr>
            </w:pPr>
            <w:r w:rsidRPr="00FF044C">
              <w:rPr>
                <w:rFonts w:ascii="Arial Narrow" w:hAnsi="Arial Narrow"/>
                <w:b/>
                <w:sz w:val="20"/>
              </w:rPr>
              <w:t>Prescriber type:</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80585B">
            <w:pPr>
              <w:rPr>
                <w:rFonts w:ascii="Arial Narrow" w:hAnsi="Arial Narrow"/>
                <w:sz w:val="20"/>
              </w:rPr>
            </w:pPr>
            <w:r w:rsidRPr="00FF044C">
              <w:rPr>
                <w:rFonts w:ascii="Arial Narrow" w:hAnsi="Arial Narrow"/>
                <w:sz w:val="20"/>
              </w:rPr>
              <w:fldChar w:fldCharType="begin">
                <w:ffData>
                  <w:name w:val="Check1"/>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Dental  </w:t>
            </w:r>
            <w:r w:rsidRPr="00FF044C">
              <w:rPr>
                <w:rFonts w:ascii="Arial Narrow" w:hAnsi="Arial Narrow"/>
                <w:sz w:val="20"/>
              </w:rPr>
              <w:fldChar w:fldCharType="begin">
                <w:ffData>
                  <w:name w:val=""/>
                  <w:enabled/>
                  <w:calcOnExit w:val="0"/>
                  <w:checkBox>
                    <w:sizeAuto/>
                    <w:default w:val="1"/>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Medical Practitioners  </w:t>
            </w:r>
            <w:r w:rsidRPr="00FF044C">
              <w:rPr>
                <w:rFonts w:ascii="Arial Narrow" w:hAnsi="Arial Narrow"/>
                <w:sz w:val="20"/>
              </w:rPr>
              <w:fldChar w:fldCharType="begin">
                <w:ffData>
                  <w:name w:val="Check3"/>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 xml:space="preserve">Nurse practitioners  </w:t>
            </w:r>
            <w:r w:rsidRPr="00FF044C">
              <w:rPr>
                <w:rFonts w:ascii="Arial Narrow" w:hAnsi="Arial Narrow"/>
                <w:sz w:val="20"/>
              </w:rPr>
              <w:fldChar w:fldCharType="begin">
                <w:ffData>
                  <w:name w:val=""/>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Optometrists</w:t>
            </w:r>
          </w:p>
          <w:p w:rsidR="00FC564F" w:rsidRPr="00FF044C" w:rsidRDefault="00FC564F" w:rsidP="00C0037C">
            <w:pPr>
              <w:rPr>
                <w:rFonts w:ascii="Arial Narrow" w:hAnsi="Arial Narrow"/>
                <w:sz w:val="20"/>
              </w:rPr>
            </w:pPr>
            <w:r w:rsidRPr="00FF044C">
              <w:rPr>
                <w:rFonts w:ascii="Arial Narrow" w:hAnsi="Arial Narrow"/>
                <w:sz w:val="20"/>
              </w:rPr>
              <w:fldChar w:fldCharType="begin">
                <w:ffData>
                  <w:name w:val="Check5"/>
                  <w:enabled/>
                  <w:calcOnExit w:val="0"/>
                  <w:checkBox>
                    <w:sizeAuto/>
                    <w:default w:val="0"/>
                  </w:checkBox>
                </w:ffData>
              </w:fldChar>
            </w:r>
            <w:r w:rsidRPr="00FF044C">
              <w:rPr>
                <w:rFonts w:ascii="Arial Narrow" w:hAnsi="Arial Narrow"/>
                <w:sz w:val="20"/>
              </w:rPr>
              <w:instrText xml:space="preserve"> FORMCHECKBOX </w:instrText>
            </w:r>
            <w:r w:rsidR="001856B0">
              <w:rPr>
                <w:rFonts w:ascii="Arial Narrow" w:hAnsi="Arial Narrow"/>
                <w:sz w:val="20"/>
              </w:rPr>
            </w:r>
            <w:r w:rsidR="001856B0">
              <w:rPr>
                <w:rFonts w:ascii="Arial Narrow" w:hAnsi="Arial Narrow"/>
                <w:sz w:val="20"/>
              </w:rPr>
              <w:fldChar w:fldCharType="separate"/>
            </w:r>
            <w:r w:rsidRPr="00FF044C">
              <w:rPr>
                <w:rFonts w:ascii="Arial Narrow" w:hAnsi="Arial Narrow"/>
                <w:sz w:val="20"/>
              </w:rPr>
              <w:fldChar w:fldCharType="end"/>
            </w:r>
            <w:r w:rsidRPr="00FF044C">
              <w:rPr>
                <w:rFonts w:ascii="Arial Narrow" w:hAnsi="Arial Narrow"/>
                <w:sz w:val="20"/>
              </w:rPr>
              <w:t>Midwives</w:t>
            </w:r>
          </w:p>
        </w:tc>
      </w:tr>
      <w:tr w:rsidR="00FC564F" w:rsidRPr="00FF044C" w:rsidTr="00D51A00">
        <w:trPr>
          <w:cantSplit/>
          <w:trHeight w:val="237"/>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b/>
                <w:sz w:val="20"/>
              </w:rPr>
            </w:pPr>
            <w:r w:rsidRPr="00FF044C">
              <w:rPr>
                <w:rFonts w:ascii="Arial Narrow" w:hAnsi="Arial Narrow"/>
                <w:b/>
                <w:sz w:val="20"/>
              </w:rPr>
              <w:t>Severity:</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sz w:val="20"/>
              </w:rPr>
            </w:pPr>
            <w:r w:rsidRPr="009231FB">
              <w:rPr>
                <w:rFonts w:ascii="Arial Narrow" w:hAnsi="Arial Narrow"/>
                <w:sz w:val="20"/>
              </w:rPr>
              <w:t xml:space="preserve">Relapsed or </w:t>
            </w:r>
            <w:r w:rsidR="006315D8">
              <w:rPr>
                <w:rFonts w:ascii="Arial Narrow" w:hAnsi="Arial Narrow"/>
                <w:sz w:val="20"/>
              </w:rPr>
              <w:t>r</w:t>
            </w:r>
            <w:r w:rsidRPr="009231FB">
              <w:rPr>
                <w:rFonts w:ascii="Arial Narrow" w:hAnsi="Arial Narrow"/>
                <w:sz w:val="20"/>
              </w:rPr>
              <w:t>efractory</w:t>
            </w:r>
          </w:p>
        </w:tc>
      </w:tr>
      <w:tr w:rsidR="00FC564F" w:rsidRPr="00FF044C" w:rsidTr="00D51A00">
        <w:trPr>
          <w:cantSplit/>
          <w:trHeight w:val="269"/>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b/>
                <w:sz w:val="20"/>
              </w:rPr>
            </w:pPr>
            <w:r w:rsidRPr="00FF044C">
              <w:rPr>
                <w:rFonts w:ascii="Arial Narrow" w:hAnsi="Arial Narrow"/>
                <w:b/>
                <w:sz w:val="20"/>
              </w:rPr>
              <w:t>Condition:</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sz w:val="20"/>
              </w:rPr>
            </w:pPr>
            <w:r w:rsidRPr="009231FB">
              <w:rPr>
                <w:rFonts w:ascii="Arial Narrow" w:hAnsi="Arial Narrow"/>
                <w:sz w:val="20"/>
              </w:rPr>
              <w:t>Hodgkin lymphoma</w:t>
            </w:r>
          </w:p>
        </w:tc>
      </w:tr>
      <w:tr w:rsidR="00FC564F" w:rsidRPr="00FF044C" w:rsidTr="00D51A00">
        <w:trPr>
          <w:cantSplit/>
          <w:trHeight w:val="273"/>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b/>
                <w:sz w:val="20"/>
              </w:rPr>
            </w:pPr>
            <w:r w:rsidRPr="00FF044C">
              <w:rPr>
                <w:rFonts w:ascii="Arial Narrow" w:hAnsi="Arial Narrow"/>
                <w:b/>
                <w:sz w:val="20"/>
              </w:rPr>
              <w:t>PBS Indication:</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sz w:val="20"/>
              </w:rPr>
            </w:pPr>
            <w:r w:rsidRPr="009231FB">
              <w:rPr>
                <w:rFonts w:ascii="Arial Narrow" w:hAnsi="Arial Narrow"/>
                <w:sz w:val="20"/>
              </w:rPr>
              <w:t xml:space="preserve">Relapsed or </w:t>
            </w:r>
            <w:r w:rsidR="006315D8">
              <w:rPr>
                <w:rFonts w:ascii="Arial Narrow" w:hAnsi="Arial Narrow"/>
                <w:sz w:val="20"/>
              </w:rPr>
              <w:t>r</w:t>
            </w:r>
            <w:r w:rsidRPr="009231FB">
              <w:rPr>
                <w:rFonts w:ascii="Arial Narrow" w:hAnsi="Arial Narrow"/>
                <w:sz w:val="20"/>
              </w:rPr>
              <w:t>efractory Hodgkin lymphoma</w:t>
            </w:r>
          </w:p>
        </w:tc>
      </w:tr>
      <w:tr w:rsidR="00FC564F" w:rsidRPr="00FF044C" w:rsidTr="00D51A00">
        <w:trPr>
          <w:cantSplit/>
          <w:trHeight w:val="277"/>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i/>
                <w:sz w:val="20"/>
              </w:rPr>
            </w:pPr>
            <w:r w:rsidRPr="00FF044C">
              <w:rPr>
                <w:rFonts w:ascii="Arial Narrow" w:hAnsi="Arial Narrow"/>
                <w:b/>
                <w:sz w:val="20"/>
              </w:rPr>
              <w:t>Treatment phase:</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D51A00">
            <w:pPr>
              <w:rPr>
                <w:rFonts w:ascii="Arial Narrow" w:hAnsi="Arial Narrow"/>
                <w:sz w:val="20"/>
              </w:rPr>
            </w:pPr>
            <w:r w:rsidRPr="00FF044C">
              <w:rPr>
                <w:rFonts w:ascii="Arial Narrow" w:hAnsi="Arial Narrow"/>
                <w:sz w:val="20"/>
              </w:rPr>
              <w:t>Continuing treatment</w:t>
            </w:r>
          </w:p>
        </w:tc>
      </w:tr>
      <w:tr w:rsidR="00FC564F" w:rsidRPr="00FF044C" w:rsidTr="00C0037C">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C0037C">
            <w:pPr>
              <w:rPr>
                <w:rFonts w:ascii="Arial Narrow" w:hAnsi="Arial Narrow"/>
                <w:i/>
                <w:sz w:val="20"/>
              </w:rPr>
            </w:pPr>
            <w:r w:rsidRPr="00FF044C">
              <w:rPr>
                <w:rFonts w:ascii="Arial Narrow" w:hAnsi="Arial Narrow"/>
                <w:b/>
                <w:sz w:val="20"/>
              </w:rPr>
              <w:t>Restriction Level / Method:</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9F63E7" w:rsidRDefault="00FC564F" w:rsidP="00FC564F">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Restricted benefit</w:t>
            </w:r>
          </w:p>
          <w:p w:rsidR="00FC564F" w:rsidRPr="009F63E7" w:rsidRDefault="00FC564F" w:rsidP="00FC564F">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In Writing</w:t>
            </w:r>
          </w:p>
          <w:p w:rsidR="00FC564F" w:rsidRPr="009F63E7" w:rsidRDefault="00FC564F" w:rsidP="00FC564F">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3"/>
                  <w:enabled/>
                  <w:calcOnExit w:val="0"/>
                  <w:checkBox>
                    <w:sizeAuto/>
                    <w:default w:val="1"/>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Telephone</w:t>
            </w:r>
          </w:p>
          <w:p w:rsidR="00FC564F" w:rsidRPr="009F63E7" w:rsidRDefault="00FC564F" w:rsidP="00FC564F">
            <w:pPr>
              <w:widowControl w:val="0"/>
              <w:rPr>
                <w:rFonts w:ascii="Arial Narrow" w:hAnsi="Arial Narrow" w:cs="Arial"/>
                <w:snapToGrid w:val="0"/>
                <w:sz w:val="20"/>
                <w:szCs w:val="20"/>
              </w:rPr>
            </w:pPr>
            <w:r w:rsidRPr="009F63E7">
              <w:rPr>
                <w:rFonts w:ascii="Arial Narrow" w:hAnsi="Arial Narrow" w:cs="Arial"/>
                <w:snapToGrid w:val="0"/>
                <w:sz w:val="20"/>
                <w:szCs w:val="20"/>
              </w:rPr>
              <w:fldChar w:fldCharType="begin">
                <w:ffData>
                  <w:name w:val="Check1"/>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Emergency</w:t>
            </w:r>
          </w:p>
          <w:p w:rsidR="00FC564F" w:rsidRPr="009F63E7" w:rsidRDefault="00FC564F" w:rsidP="00FC564F">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
                  <w:enabled/>
                  <w:calcOnExit w:val="0"/>
                  <w:checkBox>
                    <w:sizeAuto/>
                    <w:default w:val="0"/>
                  </w:checkBox>
                </w:ffData>
              </w:fldChar>
            </w:r>
            <w:r>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r w:rsidRPr="009F63E7">
              <w:rPr>
                <w:rFonts w:ascii="Arial Narrow" w:hAnsi="Arial Narrow" w:cs="Arial"/>
                <w:snapToGrid w:val="0"/>
                <w:sz w:val="20"/>
                <w:szCs w:val="20"/>
              </w:rPr>
              <w:t>Authority Required - Electronic</w:t>
            </w:r>
          </w:p>
          <w:p w:rsidR="00FC564F" w:rsidRPr="00FF044C" w:rsidRDefault="00FC564F" w:rsidP="00FC564F">
            <w:pPr>
              <w:rPr>
                <w:rFonts w:ascii="Arial Narrow" w:hAnsi="Arial Narrow"/>
                <w:sz w:val="20"/>
              </w:rPr>
            </w:pPr>
            <w:r w:rsidRPr="009F63E7">
              <w:rPr>
                <w:rFonts w:ascii="Arial Narrow" w:hAnsi="Arial Narrow" w:cs="Arial"/>
                <w:snapToGrid w:val="0"/>
                <w:sz w:val="20"/>
                <w:szCs w:val="20"/>
              </w:rPr>
              <w:fldChar w:fldCharType="begin">
                <w:ffData>
                  <w:name w:val="Check5"/>
                  <w:enabled/>
                  <w:calcOnExit w:val="0"/>
                  <w:checkBox>
                    <w:sizeAuto/>
                    <w:default w:val="0"/>
                  </w:checkBox>
                </w:ffData>
              </w:fldChar>
            </w:r>
            <w:r w:rsidRPr="009F63E7">
              <w:rPr>
                <w:rFonts w:ascii="Arial Narrow" w:hAnsi="Arial Narrow" w:cs="Arial"/>
                <w:snapToGrid w:val="0"/>
                <w:sz w:val="20"/>
                <w:szCs w:val="20"/>
              </w:rPr>
              <w:instrText xml:space="preserve"> FORMCHECKBOX </w:instrText>
            </w:r>
            <w:r w:rsidR="001856B0">
              <w:rPr>
                <w:rFonts w:ascii="Arial Narrow" w:hAnsi="Arial Narrow" w:cs="Arial"/>
                <w:snapToGrid w:val="0"/>
                <w:sz w:val="20"/>
                <w:szCs w:val="20"/>
              </w:rPr>
            </w:r>
            <w:r w:rsidR="001856B0">
              <w:rPr>
                <w:rFonts w:ascii="Arial Narrow" w:hAnsi="Arial Narrow" w:cs="Arial"/>
                <w:snapToGrid w:val="0"/>
                <w:sz w:val="20"/>
                <w:szCs w:val="20"/>
              </w:rPr>
              <w:fldChar w:fldCharType="separate"/>
            </w:r>
            <w:r w:rsidRPr="009F63E7">
              <w:rPr>
                <w:rFonts w:ascii="Arial Narrow" w:hAnsi="Arial Narrow" w:cs="Arial"/>
                <w:snapToGrid w:val="0"/>
                <w:sz w:val="20"/>
                <w:szCs w:val="20"/>
              </w:rPr>
              <w:fldChar w:fldCharType="end"/>
            </w:r>
            <w:r w:rsidRPr="009F63E7">
              <w:rPr>
                <w:rFonts w:ascii="Arial Narrow" w:hAnsi="Arial Narrow" w:cs="Arial"/>
                <w:snapToGrid w:val="0"/>
                <w:sz w:val="20"/>
                <w:szCs w:val="20"/>
              </w:rPr>
              <w:t>Streamlined</w:t>
            </w:r>
          </w:p>
        </w:tc>
      </w:tr>
      <w:tr w:rsidR="00FC564F" w:rsidRPr="009231FB" w:rsidTr="00C0037C">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C0037C">
            <w:pPr>
              <w:rPr>
                <w:rFonts w:ascii="Arial Narrow" w:hAnsi="Arial Narrow"/>
                <w:sz w:val="20"/>
              </w:rPr>
            </w:pPr>
            <w:r w:rsidRPr="00FF044C">
              <w:rPr>
                <w:rFonts w:ascii="Arial Narrow" w:hAnsi="Arial Narrow"/>
                <w:b/>
                <w:sz w:val="20"/>
              </w:rPr>
              <w:t>Clinical criteria:</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C564F" w:rsidRDefault="00FC564F" w:rsidP="00C0037C">
            <w:pPr>
              <w:rPr>
                <w:rFonts w:ascii="Arial Narrow" w:hAnsi="Arial Narrow"/>
                <w:sz w:val="20"/>
              </w:rPr>
            </w:pPr>
            <w:r w:rsidRPr="00FC564F">
              <w:rPr>
                <w:rFonts w:ascii="Arial Narrow" w:hAnsi="Arial Narrow"/>
                <w:sz w:val="20"/>
              </w:rPr>
              <w:t>Patient must have previously received PBS-subsidised treatment with this drug for this condition</w:t>
            </w:r>
          </w:p>
          <w:p w:rsidR="00FC564F" w:rsidRPr="00FC564F" w:rsidRDefault="00FC564F" w:rsidP="00C0037C">
            <w:pPr>
              <w:rPr>
                <w:rFonts w:ascii="Arial Narrow" w:hAnsi="Arial Narrow"/>
                <w:sz w:val="20"/>
              </w:rPr>
            </w:pPr>
            <w:r w:rsidRPr="00FC564F">
              <w:rPr>
                <w:rFonts w:ascii="Arial Narrow" w:hAnsi="Arial Narrow"/>
                <w:sz w:val="20"/>
              </w:rPr>
              <w:t>AND</w:t>
            </w:r>
          </w:p>
          <w:p w:rsidR="00FC564F" w:rsidRPr="009231FB" w:rsidRDefault="00FC564F" w:rsidP="00C0037C">
            <w:pPr>
              <w:rPr>
                <w:rFonts w:ascii="Arial Narrow" w:hAnsi="Arial Narrow"/>
                <w:sz w:val="20"/>
              </w:rPr>
            </w:pPr>
            <w:r w:rsidRPr="00FC564F">
              <w:rPr>
                <w:rFonts w:ascii="Arial Narrow" w:hAnsi="Arial Narrow"/>
                <w:sz w:val="20"/>
              </w:rPr>
              <w:t>Patient must not have progressive disease while receiving PBS-subsidised treatment with this drug for this condition.</w:t>
            </w:r>
          </w:p>
        </w:tc>
      </w:tr>
      <w:tr w:rsidR="00FC564F" w:rsidRPr="009231FB" w:rsidTr="00C0037C">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6315D8">
            <w:pPr>
              <w:rPr>
                <w:rFonts w:ascii="Arial Narrow" w:hAnsi="Arial Narrow"/>
                <w:b/>
                <w:sz w:val="20"/>
              </w:rPr>
            </w:pPr>
            <w:r w:rsidRPr="00CF3D88">
              <w:rPr>
                <w:rFonts w:ascii="Arial Narrow" w:hAnsi="Arial Narrow"/>
                <w:b/>
                <w:sz w:val="20"/>
              </w:rPr>
              <w:t>Prescriber Instructions</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FF044C" w:rsidRDefault="00FC564F" w:rsidP="0080585B">
            <w:pPr>
              <w:rPr>
                <w:rFonts w:ascii="Arial Narrow" w:hAnsi="Arial Narrow"/>
                <w:sz w:val="20"/>
              </w:rPr>
            </w:pPr>
            <w:r w:rsidRPr="00FF044C">
              <w:rPr>
                <w:rFonts w:ascii="Arial Narrow" w:hAnsi="Arial Narrow"/>
                <w:sz w:val="20"/>
              </w:rPr>
              <w:t xml:space="preserve">Authority applications for continuing treatment may be made by telephone to the Department of Human Services on 1800 700 270 (hours of operation 8 a.m. to 5 p.m. EST Monday to Friday). </w:t>
            </w:r>
          </w:p>
          <w:p w:rsidR="00FC564F" w:rsidRDefault="00FC564F" w:rsidP="0080585B">
            <w:pPr>
              <w:rPr>
                <w:rFonts w:ascii="Arial Narrow" w:hAnsi="Arial Narrow"/>
                <w:sz w:val="20"/>
              </w:rPr>
            </w:pPr>
          </w:p>
          <w:p w:rsidR="00FC564F" w:rsidRPr="00C952AB" w:rsidRDefault="00FC564F" w:rsidP="00FC564F">
            <w:pPr>
              <w:rPr>
                <w:rFonts w:ascii="Arial Narrow" w:hAnsi="Arial Narrow"/>
                <w:i/>
                <w:sz w:val="20"/>
              </w:rPr>
            </w:pPr>
            <w:r w:rsidRPr="009231FB">
              <w:rPr>
                <w:rFonts w:ascii="Arial Narrow" w:hAnsi="Arial Narrow"/>
                <w:sz w:val="20"/>
              </w:rPr>
              <w:t xml:space="preserve">The treatment must not exceed a total of </w:t>
            </w:r>
            <w:r>
              <w:rPr>
                <w:rFonts w:ascii="Arial Narrow" w:hAnsi="Arial Narrow"/>
                <w:sz w:val="20"/>
              </w:rPr>
              <w:t>35</w:t>
            </w:r>
            <w:r w:rsidRPr="009231FB">
              <w:rPr>
                <w:rFonts w:ascii="Arial Narrow" w:hAnsi="Arial Narrow"/>
                <w:sz w:val="20"/>
              </w:rPr>
              <w:t xml:space="preserve"> cycles in a lifetime</w:t>
            </w:r>
            <w:r>
              <w:rPr>
                <w:rFonts w:ascii="Arial Narrow" w:hAnsi="Arial Narrow"/>
                <w:sz w:val="20"/>
              </w:rPr>
              <w:t>.</w:t>
            </w:r>
          </w:p>
        </w:tc>
      </w:tr>
      <w:tr w:rsidR="00FC564F" w:rsidRPr="009231FB" w:rsidTr="00C0037C">
        <w:trPr>
          <w:cantSplit/>
          <w:trHeight w:val="360"/>
        </w:trPr>
        <w:tc>
          <w:tcPr>
            <w:tcW w:w="2410" w:type="dxa"/>
            <w:tcBorders>
              <w:top w:val="single" w:sz="4" w:space="0" w:color="auto"/>
              <w:left w:val="single" w:sz="4" w:space="0" w:color="auto"/>
              <w:bottom w:val="single" w:sz="4" w:space="0" w:color="auto"/>
              <w:right w:val="single" w:sz="4" w:space="0" w:color="auto"/>
            </w:tcBorders>
          </w:tcPr>
          <w:p w:rsidR="00FC564F" w:rsidRPr="00FF044C" w:rsidRDefault="00FC564F" w:rsidP="006315D8">
            <w:pPr>
              <w:rPr>
                <w:rFonts w:ascii="Arial Narrow" w:hAnsi="Arial Narrow"/>
                <w:b/>
                <w:sz w:val="20"/>
              </w:rPr>
            </w:pPr>
            <w:r w:rsidRPr="00CF3D88">
              <w:rPr>
                <w:rFonts w:ascii="Arial Narrow" w:hAnsi="Arial Narrow"/>
                <w:b/>
                <w:sz w:val="20"/>
              </w:rPr>
              <w:t>Administrative Advice</w:t>
            </w:r>
          </w:p>
        </w:tc>
        <w:tc>
          <w:tcPr>
            <w:tcW w:w="6521" w:type="dxa"/>
            <w:gridSpan w:val="5"/>
            <w:tcBorders>
              <w:top w:val="single" w:sz="4" w:space="0" w:color="auto"/>
              <w:left w:val="single" w:sz="4" w:space="0" w:color="auto"/>
              <w:bottom w:val="single" w:sz="4" w:space="0" w:color="auto"/>
              <w:right w:val="single" w:sz="4" w:space="0" w:color="auto"/>
            </w:tcBorders>
          </w:tcPr>
          <w:p w:rsidR="00FC564F" w:rsidRPr="006C7DB3" w:rsidRDefault="00FC564F" w:rsidP="0080585B">
            <w:pPr>
              <w:rPr>
                <w:rFonts w:ascii="Arial Narrow" w:hAnsi="Arial Narrow"/>
                <w:sz w:val="20"/>
              </w:rPr>
            </w:pPr>
            <w:r w:rsidRPr="006C7DB3">
              <w:rPr>
                <w:rFonts w:ascii="Arial Narrow" w:hAnsi="Arial Narrow"/>
                <w:sz w:val="20"/>
              </w:rPr>
              <w:t xml:space="preserve">No increase in the maximum number of repeats may be authorised. </w:t>
            </w:r>
          </w:p>
          <w:p w:rsidR="00FC564F" w:rsidRDefault="00FC564F" w:rsidP="0080585B">
            <w:r w:rsidRPr="006C7DB3">
              <w:rPr>
                <w:rFonts w:ascii="Arial Narrow" w:hAnsi="Arial Narrow"/>
                <w:sz w:val="20"/>
              </w:rPr>
              <w:t>No increase in the maximum quantity or number of units may be authorised</w:t>
            </w:r>
            <w:r>
              <w:t xml:space="preserve"> </w:t>
            </w:r>
          </w:p>
          <w:p w:rsidR="00FC564F" w:rsidRPr="00C952AB" w:rsidRDefault="00FC564F" w:rsidP="00C0037C">
            <w:pPr>
              <w:rPr>
                <w:rFonts w:ascii="Arial Narrow" w:hAnsi="Arial Narrow"/>
                <w:i/>
                <w:sz w:val="20"/>
              </w:rPr>
            </w:pPr>
            <w:r w:rsidRPr="00854EB0">
              <w:rPr>
                <w:rFonts w:ascii="Arial Narrow" w:hAnsi="Arial Narrow"/>
                <w:sz w:val="20"/>
              </w:rPr>
              <w:t>Special Pricing Arrangements apply</w:t>
            </w:r>
          </w:p>
        </w:tc>
      </w:tr>
    </w:tbl>
    <w:p w:rsidR="00F64CC1" w:rsidRDefault="00F64CC1" w:rsidP="00D51A00">
      <w:pPr>
        <w:jc w:val="both"/>
        <w:rPr>
          <w:rFonts w:asciiTheme="minorHAnsi" w:hAnsiTheme="minorHAnsi"/>
          <w:sz w:val="22"/>
          <w:szCs w:val="22"/>
        </w:rPr>
      </w:pPr>
    </w:p>
    <w:p w:rsidR="00A24D9D" w:rsidRPr="00A24D9D" w:rsidRDefault="00A24D9D" w:rsidP="00BA583C">
      <w:pPr>
        <w:pStyle w:val="PBACHeading1"/>
        <w:rPr>
          <w:rFonts w:asciiTheme="minorHAnsi" w:eastAsiaTheme="minorHAnsi" w:hAnsiTheme="minorHAnsi" w:cstheme="minorBidi"/>
          <w:sz w:val="32"/>
        </w:rPr>
      </w:pPr>
      <w:r w:rsidRPr="00A24D9D">
        <w:rPr>
          <w:rFonts w:asciiTheme="minorHAnsi" w:eastAsiaTheme="minorHAnsi" w:hAnsiTheme="minorHAnsi" w:cstheme="minorBidi"/>
          <w:sz w:val="32"/>
        </w:rPr>
        <w:t>Context for Decision</w:t>
      </w:r>
    </w:p>
    <w:p w:rsidR="00A24D9D" w:rsidRPr="00A24D9D" w:rsidRDefault="00A24D9D" w:rsidP="00A24D9D">
      <w:pPr>
        <w:spacing w:line="276" w:lineRule="auto"/>
        <w:ind w:left="426"/>
        <w:jc w:val="both"/>
        <w:rPr>
          <w:rFonts w:asciiTheme="minorHAnsi" w:eastAsiaTheme="minorHAnsi" w:hAnsiTheme="minorHAnsi" w:cs="Arial"/>
          <w:szCs w:val="22"/>
          <w:lang w:eastAsia="en-US"/>
        </w:rPr>
      </w:pPr>
      <w:r w:rsidRPr="00A24D9D">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24D9D" w:rsidRPr="00A24D9D" w:rsidRDefault="00A24D9D" w:rsidP="00A24D9D">
      <w:pPr>
        <w:spacing w:after="200" w:line="276" w:lineRule="auto"/>
        <w:ind w:left="426"/>
        <w:jc w:val="both"/>
        <w:rPr>
          <w:rFonts w:ascii="Arial" w:eastAsiaTheme="minorHAnsi" w:hAnsi="Arial" w:cs="Arial"/>
          <w:sz w:val="22"/>
          <w:szCs w:val="22"/>
          <w:lang w:eastAsia="en-US"/>
        </w:rPr>
      </w:pPr>
    </w:p>
    <w:p w:rsidR="00A24D9D" w:rsidRDefault="00A24D9D" w:rsidP="00BA583C">
      <w:pPr>
        <w:pStyle w:val="PBACHeading1"/>
        <w:rPr>
          <w:rFonts w:asciiTheme="minorHAnsi" w:eastAsiaTheme="minorHAnsi" w:hAnsiTheme="minorHAnsi" w:cstheme="minorBidi"/>
          <w:sz w:val="32"/>
        </w:rPr>
      </w:pPr>
      <w:r w:rsidRPr="00A24D9D">
        <w:rPr>
          <w:rFonts w:asciiTheme="minorHAnsi" w:eastAsiaTheme="minorHAnsi" w:hAnsiTheme="minorHAnsi" w:cstheme="minorBidi"/>
          <w:sz w:val="32"/>
        </w:rPr>
        <w:t xml:space="preserve"> Sponsor’s Comment</w:t>
      </w:r>
    </w:p>
    <w:p w:rsidR="005C0C57" w:rsidRPr="00A24D9D" w:rsidRDefault="005C0C57" w:rsidP="005C0C57">
      <w:pPr>
        <w:pStyle w:val="PBACHeading1"/>
        <w:numPr>
          <w:ilvl w:val="0"/>
          <w:numId w:val="0"/>
        </w:numPr>
        <w:ind w:left="720"/>
        <w:rPr>
          <w:rFonts w:asciiTheme="minorHAnsi" w:eastAsiaTheme="minorHAnsi" w:hAnsiTheme="minorHAnsi" w:cstheme="minorBidi"/>
          <w:sz w:val="32"/>
        </w:rPr>
      </w:pPr>
    </w:p>
    <w:p w:rsidR="00A24D9D" w:rsidRPr="00A24D9D" w:rsidRDefault="00A24D9D" w:rsidP="00A24D9D">
      <w:pPr>
        <w:spacing w:after="120" w:line="276" w:lineRule="auto"/>
        <w:ind w:left="426"/>
        <w:jc w:val="both"/>
        <w:rPr>
          <w:rFonts w:asciiTheme="minorHAnsi" w:eastAsiaTheme="minorHAnsi" w:hAnsiTheme="minorHAnsi" w:cs="Arial"/>
          <w:bCs/>
          <w:szCs w:val="22"/>
          <w:lang w:eastAsia="en-US"/>
        </w:rPr>
      </w:pPr>
      <w:r w:rsidRPr="00A24D9D">
        <w:rPr>
          <w:rFonts w:asciiTheme="minorHAnsi" w:eastAsiaTheme="minorHAnsi" w:hAnsiTheme="minorHAnsi" w:cs="Arial"/>
          <w:bCs/>
          <w:szCs w:val="22"/>
          <w:lang w:eastAsia="en-US"/>
        </w:rPr>
        <w:t>The sponsor had no comment.</w:t>
      </w:r>
    </w:p>
    <w:p w:rsidR="00FC7AFF" w:rsidRPr="001054C9" w:rsidRDefault="00FC7AFF" w:rsidP="00D51A00">
      <w:pPr>
        <w:jc w:val="both"/>
        <w:rPr>
          <w:rFonts w:asciiTheme="minorHAnsi" w:hAnsiTheme="minorHAnsi"/>
          <w:sz w:val="22"/>
          <w:szCs w:val="22"/>
        </w:rPr>
      </w:pPr>
    </w:p>
    <w:sectPr w:rsidR="00FC7AFF" w:rsidRPr="001054C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931E09" w15:done="0"/>
  <w15:commentEx w15:paraId="57A7C080" w15:paraIdParent="6D931E09" w15:done="0"/>
  <w15:commentEx w15:paraId="26C02955" w15:done="0"/>
  <w15:commentEx w15:paraId="1334AAA8" w15:done="0"/>
  <w15:commentEx w15:paraId="026F2C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931E09" w16cid:durableId="1D56FCAE"/>
  <w16cid:commentId w16cid:paraId="57A7C080" w16cid:durableId="1D56FE90"/>
  <w16cid:commentId w16cid:paraId="26C02955" w16cid:durableId="1D56FCAF"/>
  <w16cid:commentId w16cid:paraId="1334AAA8" w16cid:durableId="1D56FCB0"/>
  <w16cid:commentId w16cid:paraId="026F2CF2" w16cid:durableId="1D56FC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6B0" w:rsidRDefault="001856B0">
      <w:r>
        <w:separator/>
      </w:r>
    </w:p>
    <w:p w:rsidR="001856B0" w:rsidRDefault="001856B0"/>
  </w:endnote>
  <w:endnote w:type="continuationSeparator" w:id="0">
    <w:p w:rsidR="001856B0" w:rsidRDefault="001856B0">
      <w:r>
        <w:continuationSeparator/>
      </w:r>
    </w:p>
    <w:p w:rsidR="001856B0" w:rsidRDefault="00185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653B" w:rsidTr="005A3173">
      <w:trPr>
        <w:trHeight w:val="151"/>
      </w:trPr>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653B" w:rsidRPr="005A3173" w:rsidRDefault="00C0653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r>
    <w:tr w:rsidR="00C0653B" w:rsidTr="005A3173">
      <w:trPr>
        <w:trHeight w:val="150"/>
      </w:trPr>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0" w:type="auto"/>
          <w:vMerge/>
          <w:vAlign w:val="center"/>
          <w:hideMark/>
        </w:tcPr>
        <w:p w:rsidR="00C0653B" w:rsidRPr="005A3173" w:rsidRDefault="00C0653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r>
  </w:tbl>
  <w:p w:rsidR="00C0653B" w:rsidRDefault="00C0653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53B" w:rsidRDefault="00C0653B">
    <w:pPr>
      <w:pStyle w:val="Footer"/>
    </w:pPr>
  </w:p>
  <w:p w:rsidR="00C0653B" w:rsidRDefault="00C065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B" w:rsidRDefault="00C0653B" w:rsidP="00EF44A0">
    <w:pPr>
      <w:pStyle w:val="Footer"/>
      <w:jc w:val="center"/>
      <w:rPr>
        <w:rFonts w:ascii="Arial" w:hAnsi="Arial" w:cs="Arial"/>
        <w:b/>
        <w:sz w:val="20"/>
        <w:szCs w:val="20"/>
      </w:rPr>
    </w:pPr>
  </w:p>
  <w:p w:rsidR="00C0653B" w:rsidRDefault="00C0653B" w:rsidP="00A92B17">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1856B0">
      <w:rPr>
        <w:rFonts w:ascii="Arial" w:hAnsi="Arial" w:cs="Arial"/>
        <w:noProof/>
        <w:sz w:val="20"/>
        <w:szCs w:val="20"/>
      </w:rPr>
      <w:t>2</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0653B" w:rsidTr="005A3173">
      <w:trPr>
        <w:trHeight w:val="151"/>
      </w:trPr>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653B" w:rsidRPr="005A3173" w:rsidRDefault="00C0653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r>
    <w:tr w:rsidR="00C0653B" w:rsidTr="005A3173">
      <w:trPr>
        <w:trHeight w:val="150"/>
      </w:trPr>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0" w:type="auto"/>
          <w:vMerge/>
          <w:vAlign w:val="center"/>
          <w:hideMark/>
        </w:tcPr>
        <w:p w:rsidR="00C0653B" w:rsidRPr="005A3173" w:rsidRDefault="00C0653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653B" w:rsidTr="005A3173">
      <w:trPr>
        <w:trHeight w:val="151"/>
      </w:trPr>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653B" w:rsidRPr="005A3173" w:rsidRDefault="00C0653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653B" w:rsidRPr="005A3173" w:rsidRDefault="00C0653B" w:rsidP="005A3173">
          <w:pPr>
            <w:pStyle w:val="Header"/>
            <w:spacing w:line="276" w:lineRule="auto"/>
            <w:rPr>
              <w:rFonts w:ascii="Calibri" w:eastAsia="MS Gothic" w:hAnsi="Calibri"/>
              <w:b/>
              <w:bCs/>
              <w:color w:val="4F81BD"/>
            </w:rPr>
          </w:pPr>
        </w:p>
      </w:tc>
    </w:tr>
    <w:tr w:rsidR="00C0653B" w:rsidTr="005A3173">
      <w:trPr>
        <w:trHeight w:val="150"/>
      </w:trPr>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c>
        <w:tcPr>
          <w:tcW w:w="0" w:type="auto"/>
          <w:vMerge/>
          <w:vAlign w:val="center"/>
          <w:hideMark/>
        </w:tcPr>
        <w:p w:rsidR="00C0653B" w:rsidRPr="005A3173" w:rsidRDefault="00C0653B"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653B" w:rsidRPr="005A3173" w:rsidRDefault="00C0653B" w:rsidP="005A3173">
          <w:pPr>
            <w:pStyle w:val="Header"/>
            <w:spacing w:line="276" w:lineRule="auto"/>
            <w:rPr>
              <w:rFonts w:ascii="Calibri" w:eastAsia="MS Gothic" w:hAnsi="Calibri"/>
              <w:b/>
              <w:bCs/>
              <w:color w:val="4F81BD"/>
            </w:rPr>
          </w:pPr>
        </w:p>
      </w:tc>
    </w:tr>
  </w:tbl>
  <w:p w:rsidR="00C0653B" w:rsidRPr="007C0F57" w:rsidRDefault="00C0653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0653B" w:rsidRPr="007C0F57" w:rsidRDefault="00C0653B" w:rsidP="007C0F57">
    <w:pPr>
      <w:pStyle w:val="Footer"/>
      <w:jc w:val="center"/>
      <w:rPr>
        <w:b/>
        <w:i/>
        <w:sz w:val="20"/>
        <w:szCs w:val="20"/>
      </w:rPr>
    </w:pPr>
    <w:r w:rsidRPr="007C0F57">
      <w:rPr>
        <w:b/>
        <w:i/>
        <w:sz w:val="20"/>
        <w:szCs w:val="20"/>
      </w:rPr>
      <w:t>Commercial-in-Confidence</w:t>
    </w:r>
  </w:p>
  <w:p w:rsidR="00C0653B" w:rsidRDefault="00C065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6B0" w:rsidRDefault="001856B0">
      <w:r>
        <w:separator/>
      </w:r>
    </w:p>
    <w:p w:rsidR="001856B0" w:rsidRDefault="001856B0"/>
  </w:footnote>
  <w:footnote w:type="continuationSeparator" w:id="0">
    <w:p w:rsidR="001856B0" w:rsidRDefault="001856B0">
      <w:r>
        <w:continuationSeparator/>
      </w:r>
    </w:p>
    <w:p w:rsidR="001856B0" w:rsidRDefault="001856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0653B" w:rsidRPr="008E0D90" w:rsidTr="00A06225">
      <w:trPr>
        <w:trHeight w:val="151"/>
      </w:trPr>
      <w:tc>
        <w:tcPr>
          <w:tcW w:w="2389" w:type="pct"/>
          <w:tcBorders>
            <w:top w:val="nil"/>
            <w:left w:val="nil"/>
            <w:bottom w:val="single" w:sz="4" w:space="0" w:color="4F81BD"/>
            <w:right w:val="nil"/>
          </w:tcBorders>
        </w:tcPr>
        <w:p w:rsidR="00C0653B" w:rsidRPr="00A06225" w:rsidRDefault="00C0653B">
          <w:pPr>
            <w:pStyle w:val="Header"/>
            <w:spacing w:line="276" w:lineRule="auto"/>
            <w:rPr>
              <w:rFonts w:ascii="Cambria" w:eastAsia="MS Gothic" w:hAnsi="Cambria"/>
              <w:b/>
              <w:bCs/>
              <w:color w:val="4F81BD"/>
            </w:rPr>
          </w:pPr>
        </w:p>
      </w:tc>
      <w:tc>
        <w:tcPr>
          <w:tcW w:w="333" w:type="pct"/>
          <w:vMerge w:val="restart"/>
          <w:noWrap/>
          <w:vAlign w:val="center"/>
          <w:hideMark/>
        </w:tcPr>
        <w:p w:rsidR="00C0653B" w:rsidRPr="00A06225" w:rsidRDefault="00C0653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0653B" w:rsidRPr="00A06225" w:rsidRDefault="00C0653B">
          <w:pPr>
            <w:pStyle w:val="Header"/>
            <w:spacing w:line="276" w:lineRule="auto"/>
            <w:rPr>
              <w:rFonts w:ascii="Cambria" w:eastAsia="MS Gothic" w:hAnsi="Cambria"/>
              <w:b/>
              <w:bCs/>
              <w:color w:val="4F81BD"/>
            </w:rPr>
          </w:pPr>
        </w:p>
      </w:tc>
    </w:tr>
    <w:tr w:rsidR="00C0653B" w:rsidRPr="008E0D90" w:rsidTr="00A06225">
      <w:trPr>
        <w:trHeight w:val="150"/>
      </w:trPr>
      <w:tc>
        <w:tcPr>
          <w:tcW w:w="2389" w:type="pct"/>
          <w:tcBorders>
            <w:top w:val="single" w:sz="4" w:space="0" w:color="4F81BD"/>
            <w:left w:val="nil"/>
            <w:bottom w:val="nil"/>
            <w:right w:val="nil"/>
          </w:tcBorders>
        </w:tcPr>
        <w:p w:rsidR="00C0653B" w:rsidRPr="00A06225" w:rsidRDefault="00C0653B">
          <w:pPr>
            <w:pStyle w:val="Header"/>
            <w:spacing w:line="276" w:lineRule="auto"/>
            <w:rPr>
              <w:rFonts w:ascii="Cambria" w:eastAsia="MS Gothic" w:hAnsi="Cambria"/>
              <w:b/>
              <w:bCs/>
              <w:color w:val="4F81BD"/>
            </w:rPr>
          </w:pPr>
        </w:p>
      </w:tc>
      <w:tc>
        <w:tcPr>
          <w:tcW w:w="0" w:type="auto"/>
          <w:vMerge/>
          <w:vAlign w:val="center"/>
          <w:hideMark/>
        </w:tcPr>
        <w:p w:rsidR="00C0653B" w:rsidRPr="00A06225" w:rsidRDefault="00C0653B">
          <w:pPr>
            <w:rPr>
              <w:rFonts w:ascii="Cambria" w:hAnsi="Cambria"/>
              <w:color w:val="4F81BD"/>
              <w:sz w:val="22"/>
              <w:szCs w:val="22"/>
            </w:rPr>
          </w:pPr>
        </w:p>
      </w:tc>
      <w:tc>
        <w:tcPr>
          <w:tcW w:w="2278" w:type="pct"/>
          <w:tcBorders>
            <w:top w:val="single" w:sz="4" w:space="0" w:color="4F81BD"/>
            <w:left w:val="nil"/>
            <w:bottom w:val="nil"/>
            <w:right w:val="nil"/>
          </w:tcBorders>
        </w:tcPr>
        <w:p w:rsidR="00C0653B" w:rsidRPr="00A06225" w:rsidRDefault="00C0653B">
          <w:pPr>
            <w:pStyle w:val="Header"/>
            <w:spacing w:line="276" w:lineRule="auto"/>
            <w:rPr>
              <w:rFonts w:ascii="Cambria" w:eastAsia="MS Gothic" w:hAnsi="Cambria"/>
              <w:b/>
              <w:bCs/>
              <w:color w:val="4F81BD"/>
            </w:rPr>
          </w:pPr>
        </w:p>
      </w:tc>
    </w:tr>
  </w:tbl>
  <w:p w:rsidR="00C0653B" w:rsidRDefault="00C0653B">
    <w:pPr>
      <w:pStyle w:val="Header"/>
    </w:pPr>
  </w:p>
  <w:p w:rsidR="00C0653B" w:rsidRDefault="00C065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B" w:rsidRPr="00C07578" w:rsidRDefault="00A24D9D" w:rsidP="00A92B17">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C0653B" w:rsidRPr="00C07578">
      <w:rPr>
        <w:rFonts w:asciiTheme="minorHAnsi" w:hAnsiTheme="minorHAnsi" w:cs="Arial"/>
        <w:i/>
        <w:color w:val="808080"/>
      </w:rPr>
      <w:t xml:space="preserve"> – </w:t>
    </w:r>
    <w:r w:rsidR="00B954FB" w:rsidRPr="00C07578">
      <w:rPr>
        <w:rFonts w:asciiTheme="minorHAnsi" w:hAnsiTheme="minorHAnsi" w:cs="Arial"/>
        <w:i/>
        <w:color w:val="808080"/>
      </w:rPr>
      <w:t>August 2017 Special</w:t>
    </w:r>
    <w:r w:rsidR="00C0653B" w:rsidRPr="00C07578">
      <w:rPr>
        <w:rFonts w:asciiTheme="minorHAnsi" w:hAnsiTheme="minorHAnsi" w:cs="Arial"/>
        <w:i/>
        <w:color w:val="808080"/>
      </w:rPr>
      <w:t xml:space="preserve"> PBAC Meeting</w:t>
    </w:r>
  </w:p>
  <w:p w:rsidR="00473509" w:rsidRPr="00DF217D" w:rsidRDefault="00473509" w:rsidP="00A92B17">
    <w:pPr>
      <w:pStyle w:val="Header"/>
      <w:ind w:left="360"/>
      <w:jc w:val="center"/>
      <w:rPr>
        <w:rFonts w:ascii="Arial" w:hAnsi="Arial" w:cs="Arial"/>
        <w:i/>
        <w:color w:val="80808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B0" w:rsidRDefault="00185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D15467"/>
    <w:multiLevelType w:val="hybridMultilevel"/>
    <w:tmpl w:val="B3425A20"/>
    <w:lvl w:ilvl="0" w:tplc="D30401E2">
      <w:start w:val="1"/>
      <w:numFmt w:val="decimal"/>
      <w:lvlText w:val="%1."/>
      <w:lvlJc w:val="left"/>
      <w:pPr>
        <w:ind w:left="644"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1C434E8"/>
    <w:multiLevelType w:val="hybridMultilevel"/>
    <w:tmpl w:val="ED6837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3986C85"/>
    <w:multiLevelType w:val="multilevel"/>
    <w:tmpl w:val="DB64177A"/>
    <w:lvl w:ilvl="0">
      <w:start w:val="1"/>
      <w:numFmt w:val="decimal"/>
      <w:lvlText w:val="%1"/>
      <w:lvlJc w:val="left"/>
      <w:pPr>
        <w:ind w:left="862" w:hanging="720"/>
      </w:pPr>
      <w:rPr>
        <w:rFonts w:hint="default"/>
        <w:b/>
        <w:i w:val="0"/>
        <w:specVanish w:val="0"/>
      </w:rPr>
    </w:lvl>
    <w:lvl w:ilvl="1">
      <w:start w:val="1"/>
      <w:numFmt w:val="decimal"/>
      <w:lvlText w:val="%1.%2"/>
      <w:lvlJc w:val="left"/>
      <w:pPr>
        <w:ind w:left="720" w:hanging="720"/>
      </w:pPr>
      <w:rPr>
        <w:rFonts w:ascii="Arial" w:hAnsi="Arial" w:cs="Aria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776692"/>
    <w:multiLevelType w:val="hybridMultilevel"/>
    <w:tmpl w:val="89E23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4D3370"/>
    <w:multiLevelType w:val="multilevel"/>
    <w:tmpl w:val="3EC693F4"/>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E6D48FC"/>
    <w:multiLevelType w:val="hybridMultilevel"/>
    <w:tmpl w:val="EDFA21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6F74120B"/>
    <w:multiLevelType w:val="hybridMultilevel"/>
    <w:tmpl w:val="0024A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84D033C"/>
    <w:multiLevelType w:val="multilevel"/>
    <w:tmpl w:val="B9CC741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A6427E8"/>
    <w:multiLevelType w:val="hybridMultilevel"/>
    <w:tmpl w:val="3B98C11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3"/>
  </w:num>
  <w:num w:numId="3">
    <w:abstractNumId w:val="6"/>
  </w:num>
  <w:num w:numId="4">
    <w:abstractNumId w:val="18"/>
  </w:num>
  <w:num w:numId="5">
    <w:abstractNumId w:val="23"/>
  </w:num>
  <w:num w:numId="6">
    <w:abstractNumId w:val="10"/>
  </w:num>
  <w:num w:numId="7">
    <w:abstractNumId w:val="17"/>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9"/>
  </w:num>
  <w:num w:numId="18">
    <w:abstractNumId w:val="5"/>
  </w:num>
  <w:num w:numId="19">
    <w:abstractNumId w:val="2"/>
  </w:num>
  <w:num w:numId="20">
    <w:abstractNumId w:val="12"/>
  </w:num>
  <w:num w:numId="21">
    <w:abstractNumId w:val="24"/>
  </w:num>
  <w:num w:numId="22">
    <w:abstractNumId w:val="9"/>
  </w:num>
  <w:num w:numId="23">
    <w:abstractNumId w:val="22"/>
  </w:num>
  <w:num w:numId="24">
    <w:abstractNumId w:val="8"/>
  </w:num>
  <w:num w:numId="25">
    <w:abstractNumId w:val="23"/>
  </w:num>
  <w:num w:numId="26">
    <w:abstractNumId w:val="23"/>
  </w:num>
  <w:num w:numId="27">
    <w:abstractNumId w:val="16"/>
  </w:num>
  <w:num w:numId="28">
    <w:abstractNumId w:val="20"/>
  </w:num>
  <w:num w:numId="29">
    <w:abstractNumId w:val="23"/>
  </w:num>
  <w:num w:numId="30">
    <w:abstractNumId w:val="23"/>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974"/>
    <w:rsid w:val="00017549"/>
    <w:rsid w:val="0002464A"/>
    <w:rsid w:val="0003106B"/>
    <w:rsid w:val="000421A1"/>
    <w:rsid w:val="0004240E"/>
    <w:rsid w:val="00045E26"/>
    <w:rsid w:val="000514B5"/>
    <w:rsid w:val="00055240"/>
    <w:rsid w:val="00060E64"/>
    <w:rsid w:val="00063BD6"/>
    <w:rsid w:val="00066755"/>
    <w:rsid w:val="00077143"/>
    <w:rsid w:val="00091C34"/>
    <w:rsid w:val="00092E85"/>
    <w:rsid w:val="000969AD"/>
    <w:rsid w:val="000A38D6"/>
    <w:rsid w:val="000B558D"/>
    <w:rsid w:val="000C01DF"/>
    <w:rsid w:val="000C6996"/>
    <w:rsid w:val="000C6C93"/>
    <w:rsid w:val="000D23BA"/>
    <w:rsid w:val="000E681E"/>
    <w:rsid w:val="000F0F89"/>
    <w:rsid w:val="000F4E6A"/>
    <w:rsid w:val="00100BAF"/>
    <w:rsid w:val="001054C9"/>
    <w:rsid w:val="001107BF"/>
    <w:rsid w:val="00110AAD"/>
    <w:rsid w:val="00114524"/>
    <w:rsid w:val="0012417C"/>
    <w:rsid w:val="00142395"/>
    <w:rsid w:val="00142714"/>
    <w:rsid w:val="0014492A"/>
    <w:rsid w:val="001452ED"/>
    <w:rsid w:val="00156C0B"/>
    <w:rsid w:val="0016690F"/>
    <w:rsid w:val="00166C07"/>
    <w:rsid w:val="001830CE"/>
    <w:rsid w:val="001856B0"/>
    <w:rsid w:val="0018643B"/>
    <w:rsid w:val="001910A2"/>
    <w:rsid w:val="001957A0"/>
    <w:rsid w:val="00196307"/>
    <w:rsid w:val="001A33EA"/>
    <w:rsid w:val="001B017F"/>
    <w:rsid w:val="001B5129"/>
    <w:rsid w:val="001B6F41"/>
    <w:rsid w:val="001C1195"/>
    <w:rsid w:val="001C1C2E"/>
    <w:rsid w:val="001C3170"/>
    <w:rsid w:val="001C3EB3"/>
    <w:rsid w:val="001D7F1F"/>
    <w:rsid w:val="001F1E7E"/>
    <w:rsid w:val="001F2584"/>
    <w:rsid w:val="001F4EA5"/>
    <w:rsid w:val="00213CFB"/>
    <w:rsid w:val="002233F3"/>
    <w:rsid w:val="00224AE9"/>
    <w:rsid w:val="002342B2"/>
    <w:rsid w:val="00271BA1"/>
    <w:rsid w:val="00277505"/>
    <w:rsid w:val="002923AE"/>
    <w:rsid w:val="0029458F"/>
    <w:rsid w:val="002A104C"/>
    <w:rsid w:val="002A2875"/>
    <w:rsid w:val="002A48FA"/>
    <w:rsid w:val="002A4960"/>
    <w:rsid w:val="002B1AE6"/>
    <w:rsid w:val="002B30F8"/>
    <w:rsid w:val="002B4166"/>
    <w:rsid w:val="002C0877"/>
    <w:rsid w:val="002C0B30"/>
    <w:rsid w:val="002C212F"/>
    <w:rsid w:val="002C40D5"/>
    <w:rsid w:val="002C633D"/>
    <w:rsid w:val="002E0DEE"/>
    <w:rsid w:val="002E3153"/>
    <w:rsid w:val="002E72CA"/>
    <w:rsid w:val="002E7521"/>
    <w:rsid w:val="002F3622"/>
    <w:rsid w:val="00300AD6"/>
    <w:rsid w:val="00301374"/>
    <w:rsid w:val="003058E8"/>
    <w:rsid w:val="00315849"/>
    <w:rsid w:val="00317A4F"/>
    <w:rsid w:val="00326E79"/>
    <w:rsid w:val="003367EF"/>
    <w:rsid w:val="00341AE4"/>
    <w:rsid w:val="00352870"/>
    <w:rsid w:val="0035495D"/>
    <w:rsid w:val="003730B7"/>
    <w:rsid w:val="003872CF"/>
    <w:rsid w:val="0039782C"/>
    <w:rsid w:val="003A5B4A"/>
    <w:rsid w:val="003B23C5"/>
    <w:rsid w:val="003B2A75"/>
    <w:rsid w:val="003C2CE6"/>
    <w:rsid w:val="003C79DD"/>
    <w:rsid w:val="003D3471"/>
    <w:rsid w:val="003D4AC4"/>
    <w:rsid w:val="003D63B7"/>
    <w:rsid w:val="003E35EE"/>
    <w:rsid w:val="003E468B"/>
    <w:rsid w:val="003F5C8C"/>
    <w:rsid w:val="004068AC"/>
    <w:rsid w:val="004465BD"/>
    <w:rsid w:val="00454AA7"/>
    <w:rsid w:val="00466ADA"/>
    <w:rsid w:val="00473509"/>
    <w:rsid w:val="00474F3D"/>
    <w:rsid w:val="00476245"/>
    <w:rsid w:val="00485420"/>
    <w:rsid w:val="00485940"/>
    <w:rsid w:val="00490FD7"/>
    <w:rsid w:val="004A2484"/>
    <w:rsid w:val="004A4101"/>
    <w:rsid w:val="004A5A85"/>
    <w:rsid w:val="004A5C4A"/>
    <w:rsid w:val="004A6F63"/>
    <w:rsid w:val="004B5640"/>
    <w:rsid w:val="004B688B"/>
    <w:rsid w:val="004C17D7"/>
    <w:rsid w:val="004C1BD7"/>
    <w:rsid w:val="004C3FC5"/>
    <w:rsid w:val="004C691D"/>
    <w:rsid w:val="004D061D"/>
    <w:rsid w:val="004D3FD3"/>
    <w:rsid w:val="004D48E9"/>
    <w:rsid w:val="004E692D"/>
    <w:rsid w:val="004F0A9B"/>
    <w:rsid w:val="004F519D"/>
    <w:rsid w:val="00501554"/>
    <w:rsid w:val="005023C4"/>
    <w:rsid w:val="005038F5"/>
    <w:rsid w:val="00506383"/>
    <w:rsid w:val="00513B97"/>
    <w:rsid w:val="00514CD7"/>
    <w:rsid w:val="005162C5"/>
    <w:rsid w:val="00516629"/>
    <w:rsid w:val="00524B05"/>
    <w:rsid w:val="005252A4"/>
    <w:rsid w:val="005319B2"/>
    <w:rsid w:val="00531E9E"/>
    <w:rsid w:val="00532C74"/>
    <w:rsid w:val="00533ADF"/>
    <w:rsid w:val="00534E2E"/>
    <w:rsid w:val="00542FC3"/>
    <w:rsid w:val="00544552"/>
    <w:rsid w:val="005566F5"/>
    <w:rsid w:val="00576EFE"/>
    <w:rsid w:val="00581932"/>
    <w:rsid w:val="005963BB"/>
    <w:rsid w:val="005A19AE"/>
    <w:rsid w:val="005A1D63"/>
    <w:rsid w:val="005A3173"/>
    <w:rsid w:val="005A3223"/>
    <w:rsid w:val="005A3DA3"/>
    <w:rsid w:val="005A52C4"/>
    <w:rsid w:val="005A577D"/>
    <w:rsid w:val="005C0C57"/>
    <w:rsid w:val="005C4862"/>
    <w:rsid w:val="005D03AB"/>
    <w:rsid w:val="005D306C"/>
    <w:rsid w:val="005D5017"/>
    <w:rsid w:val="005E2706"/>
    <w:rsid w:val="005F2829"/>
    <w:rsid w:val="00601A91"/>
    <w:rsid w:val="00602BA3"/>
    <w:rsid w:val="00603D6B"/>
    <w:rsid w:val="00614159"/>
    <w:rsid w:val="00617C00"/>
    <w:rsid w:val="006263BF"/>
    <w:rsid w:val="0062748A"/>
    <w:rsid w:val="006307BB"/>
    <w:rsid w:val="00630A2C"/>
    <w:rsid w:val="006315D8"/>
    <w:rsid w:val="00634516"/>
    <w:rsid w:val="00643E67"/>
    <w:rsid w:val="0064497A"/>
    <w:rsid w:val="00651169"/>
    <w:rsid w:val="0065302C"/>
    <w:rsid w:val="00653D69"/>
    <w:rsid w:val="006617A8"/>
    <w:rsid w:val="006619FF"/>
    <w:rsid w:val="006661DF"/>
    <w:rsid w:val="00670A76"/>
    <w:rsid w:val="006711AA"/>
    <w:rsid w:val="00671E76"/>
    <w:rsid w:val="00672B57"/>
    <w:rsid w:val="00675622"/>
    <w:rsid w:val="0068349D"/>
    <w:rsid w:val="006849D6"/>
    <w:rsid w:val="00690621"/>
    <w:rsid w:val="006906DB"/>
    <w:rsid w:val="006A12A5"/>
    <w:rsid w:val="006A40B1"/>
    <w:rsid w:val="006A6C28"/>
    <w:rsid w:val="006B0D94"/>
    <w:rsid w:val="006B485D"/>
    <w:rsid w:val="006C1207"/>
    <w:rsid w:val="006C6805"/>
    <w:rsid w:val="006C708E"/>
    <w:rsid w:val="006D6EC7"/>
    <w:rsid w:val="006D6F38"/>
    <w:rsid w:val="006E16D6"/>
    <w:rsid w:val="006E3B60"/>
    <w:rsid w:val="006F0206"/>
    <w:rsid w:val="006F5125"/>
    <w:rsid w:val="007174BB"/>
    <w:rsid w:val="007418F4"/>
    <w:rsid w:val="0074227E"/>
    <w:rsid w:val="007574C3"/>
    <w:rsid w:val="0076163C"/>
    <w:rsid w:val="0076420C"/>
    <w:rsid w:val="00771FEB"/>
    <w:rsid w:val="007753C2"/>
    <w:rsid w:val="00782698"/>
    <w:rsid w:val="007838B8"/>
    <w:rsid w:val="00792A6D"/>
    <w:rsid w:val="0079431D"/>
    <w:rsid w:val="00795AFE"/>
    <w:rsid w:val="007978B8"/>
    <w:rsid w:val="007A553F"/>
    <w:rsid w:val="007B2731"/>
    <w:rsid w:val="007C0F57"/>
    <w:rsid w:val="007C40B6"/>
    <w:rsid w:val="007C729F"/>
    <w:rsid w:val="007C76AE"/>
    <w:rsid w:val="007D1CED"/>
    <w:rsid w:val="007D33A4"/>
    <w:rsid w:val="007E1D28"/>
    <w:rsid w:val="007E2FFB"/>
    <w:rsid w:val="007F2218"/>
    <w:rsid w:val="007F2641"/>
    <w:rsid w:val="007F6A17"/>
    <w:rsid w:val="007F7C36"/>
    <w:rsid w:val="00804ECC"/>
    <w:rsid w:val="00806796"/>
    <w:rsid w:val="00811056"/>
    <w:rsid w:val="008151D6"/>
    <w:rsid w:val="00826F6D"/>
    <w:rsid w:val="00834623"/>
    <w:rsid w:val="00852BE0"/>
    <w:rsid w:val="00856DDD"/>
    <w:rsid w:val="00863E68"/>
    <w:rsid w:val="008719BE"/>
    <w:rsid w:val="00882085"/>
    <w:rsid w:val="00883188"/>
    <w:rsid w:val="0088439F"/>
    <w:rsid w:val="0089747E"/>
    <w:rsid w:val="00897BC7"/>
    <w:rsid w:val="00897C11"/>
    <w:rsid w:val="00897D58"/>
    <w:rsid w:val="00897FEE"/>
    <w:rsid w:val="008A1956"/>
    <w:rsid w:val="008A4937"/>
    <w:rsid w:val="008A50F1"/>
    <w:rsid w:val="008A7765"/>
    <w:rsid w:val="008D1B5C"/>
    <w:rsid w:val="008D2B1B"/>
    <w:rsid w:val="008D3C82"/>
    <w:rsid w:val="008D447E"/>
    <w:rsid w:val="008D7A41"/>
    <w:rsid w:val="008E0E38"/>
    <w:rsid w:val="008E3680"/>
    <w:rsid w:val="008E38EF"/>
    <w:rsid w:val="008E5870"/>
    <w:rsid w:val="008F1434"/>
    <w:rsid w:val="008F285B"/>
    <w:rsid w:val="008F7355"/>
    <w:rsid w:val="008F7D32"/>
    <w:rsid w:val="009067B7"/>
    <w:rsid w:val="009070BF"/>
    <w:rsid w:val="00913898"/>
    <w:rsid w:val="009241BE"/>
    <w:rsid w:val="00930937"/>
    <w:rsid w:val="00933E6C"/>
    <w:rsid w:val="00942160"/>
    <w:rsid w:val="00942992"/>
    <w:rsid w:val="00942AA1"/>
    <w:rsid w:val="00942D05"/>
    <w:rsid w:val="0095146F"/>
    <w:rsid w:val="00954AF2"/>
    <w:rsid w:val="009602C5"/>
    <w:rsid w:val="00962223"/>
    <w:rsid w:val="00964897"/>
    <w:rsid w:val="00974368"/>
    <w:rsid w:val="00974C21"/>
    <w:rsid w:val="00977251"/>
    <w:rsid w:val="00991133"/>
    <w:rsid w:val="009919E3"/>
    <w:rsid w:val="00996D29"/>
    <w:rsid w:val="009B0F67"/>
    <w:rsid w:val="009B791D"/>
    <w:rsid w:val="009C703C"/>
    <w:rsid w:val="009D3CAA"/>
    <w:rsid w:val="009D5308"/>
    <w:rsid w:val="009F4E46"/>
    <w:rsid w:val="009F5B65"/>
    <w:rsid w:val="009F5F2E"/>
    <w:rsid w:val="00A0206D"/>
    <w:rsid w:val="00A06225"/>
    <w:rsid w:val="00A128E6"/>
    <w:rsid w:val="00A15697"/>
    <w:rsid w:val="00A20D20"/>
    <w:rsid w:val="00A24D9D"/>
    <w:rsid w:val="00A3020A"/>
    <w:rsid w:val="00A36125"/>
    <w:rsid w:val="00A3735A"/>
    <w:rsid w:val="00A37C8D"/>
    <w:rsid w:val="00A45303"/>
    <w:rsid w:val="00A5273B"/>
    <w:rsid w:val="00A53A9D"/>
    <w:rsid w:val="00A55FEE"/>
    <w:rsid w:val="00A62C1A"/>
    <w:rsid w:val="00A6426D"/>
    <w:rsid w:val="00A70622"/>
    <w:rsid w:val="00A70977"/>
    <w:rsid w:val="00A71870"/>
    <w:rsid w:val="00A73204"/>
    <w:rsid w:val="00A75473"/>
    <w:rsid w:val="00A77613"/>
    <w:rsid w:val="00A8004F"/>
    <w:rsid w:val="00A8390C"/>
    <w:rsid w:val="00A86F1B"/>
    <w:rsid w:val="00A928BD"/>
    <w:rsid w:val="00A92B17"/>
    <w:rsid w:val="00AA4D1C"/>
    <w:rsid w:val="00AB1158"/>
    <w:rsid w:val="00AC193C"/>
    <w:rsid w:val="00AC3B1F"/>
    <w:rsid w:val="00AC5206"/>
    <w:rsid w:val="00AE11A5"/>
    <w:rsid w:val="00AE13E2"/>
    <w:rsid w:val="00AE2326"/>
    <w:rsid w:val="00AF1B21"/>
    <w:rsid w:val="00AF68CC"/>
    <w:rsid w:val="00B0321C"/>
    <w:rsid w:val="00B1059E"/>
    <w:rsid w:val="00B10D6D"/>
    <w:rsid w:val="00B205AA"/>
    <w:rsid w:val="00B22E84"/>
    <w:rsid w:val="00B25F75"/>
    <w:rsid w:val="00B27A90"/>
    <w:rsid w:val="00B30469"/>
    <w:rsid w:val="00B36541"/>
    <w:rsid w:val="00B43E90"/>
    <w:rsid w:val="00B467DC"/>
    <w:rsid w:val="00B56118"/>
    <w:rsid w:val="00B63A05"/>
    <w:rsid w:val="00B63CA2"/>
    <w:rsid w:val="00B6773F"/>
    <w:rsid w:val="00B801BA"/>
    <w:rsid w:val="00B84CB3"/>
    <w:rsid w:val="00B954FB"/>
    <w:rsid w:val="00BA570C"/>
    <w:rsid w:val="00BA583C"/>
    <w:rsid w:val="00BB43CA"/>
    <w:rsid w:val="00BB69F5"/>
    <w:rsid w:val="00BB7EC3"/>
    <w:rsid w:val="00BC4B9A"/>
    <w:rsid w:val="00BD784C"/>
    <w:rsid w:val="00BF259C"/>
    <w:rsid w:val="00BF2C37"/>
    <w:rsid w:val="00BF32B1"/>
    <w:rsid w:val="00BF4CB6"/>
    <w:rsid w:val="00C00DA7"/>
    <w:rsid w:val="00C0653B"/>
    <w:rsid w:val="00C07578"/>
    <w:rsid w:val="00C12768"/>
    <w:rsid w:val="00C27B58"/>
    <w:rsid w:val="00C301A3"/>
    <w:rsid w:val="00C35996"/>
    <w:rsid w:val="00C44810"/>
    <w:rsid w:val="00C5342C"/>
    <w:rsid w:val="00C54BF1"/>
    <w:rsid w:val="00C603D4"/>
    <w:rsid w:val="00C6122C"/>
    <w:rsid w:val="00C6256A"/>
    <w:rsid w:val="00C704DF"/>
    <w:rsid w:val="00C71B1F"/>
    <w:rsid w:val="00C748A6"/>
    <w:rsid w:val="00C80DB2"/>
    <w:rsid w:val="00C85261"/>
    <w:rsid w:val="00C8722B"/>
    <w:rsid w:val="00C91449"/>
    <w:rsid w:val="00C92D10"/>
    <w:rsid w:val="00CA7CDC"/>
    <w:rsid w:val="00CB5DDE"/>
    <w:rsid w:val="00CB7D61"/>
    <w:rsid w:val="00CB7E92"/>
    <w:rsid w:val="00CC183E"/>
    <w:rsid w:val="00CD582E"/>
    <w:rsid w:val="00CE10C4"/>
    <w:rsid w:val="00CE27B5"/>
    <w:rsid w:val="00D00F52"/>
    <w:rsid w:val="00D0135A"/>
    <w:rsid w:val="00D023F9"/>
    <w:rsid w:val="00D0321E"/>
    <w:rsid w:val="00D036E0"/>
    <w:rsid w:val="00D06B60"/>
    <w:rsid w:val="00D1455A"/>
    <w:rsid w:val="00D17204"/>
    <w:rsid w:val="00D17654"/>
    <w:rsid w:val="00D3138B"/>
    <w:rsid w:val="00D31EC3"/>
    <w:rsid w:val="00D3280C"/>
    <w:rsid w:val="00D3406A"/>
    <w:rsid w:val="00D469B2"/>
    <w:rsid w:val="00D511F3"/>
    <w:rsid w:val="00D51A00"/>
    <w:rsid w:val="00D51E5C"/>
    <w:rsid w:val="00D620CE"/>
    <w:rsid w:val="00D648F1"/>
    <w:rsid w:val="00D66F1D"/>
    <w:rsid w:val="00D741EB"/>
    <w:rsid w:val="00D770E0"/>
    <w:rsid w:val="00D81292"/>
    <w:rsid w:val="00D84934"/>
    <w:rsid w:val="00D91271"/>
    <w:rsid w:val="00DA2CB5"/>
    <w:rsid w:val="00DA4BAC"/>
    <w:rsid w:val="00DA4E89"/>
    <w:rsid w:val="00DB1BBF"/>
    <w:rsid w:val="00DB67EB"/>
    <w:rsid w:val="00DC1E03"/>
    <w:rsid w:val="00DC2ABD"/>
    <w:rsid w:val="00DE638E"/>
    <w:rsid w:val="00DE6D27"/>
    <w:rsid w:val="00DF217D"/>
    <w:rsid w:val="00DF26A7"/>
    <w:rsid w:val="00DF4E7A"/>
    <w:rsid w:val="00DF7413"/>
    <w:rsid w:val="00E02731"/>
    <w:rsid w:val="00E11746"/>
    <w:rsid w:val="00E15627"/>
    <w:rsid w:val="00E164B3"/>
    <w:rsid w:val="00E16910"/>
    <w:rsid w:val="00E32096"/>
    <w:rsid w:val="00E3356F"/>
    <w:rsid w:val="00E43037"/>
    <w:rsid w:val="00E54258"/>
    <w:rsid w:val="00E54D36"/>
    <w:rsid w:val="00E65E54"/>
    <w:rsid w:val="00E65F9D"/>
    <w:rsid w:val="00E80155"/>
    <w:rsid w:val="00E848C0"/>
    <w:rsid w:val="00E9076C"/>
    <w:rsid w:val="00E90B8F"/>
    <w:rsid w:val="00E91B96"/>
    <w:rsid w:val="00E941A1"/>
    <w:rsid w:val="00E95CE3"/>
    <w:rsid w:val="00EA2825"/>
    <w:rsid w:val="00EB3AE6"/>
    <w:rsid w:val="00EB4203"/>
    <w:rsid w:val="00EB5088"/>
    <w:rsid w:val="00EC39E6"/>
    <w:rsid w:val="00EC5F6A"/>
    <w:rsid w:val="00ED1644"/>
    <w:rsid w:val="00ED23EE"/>
    <w:rsid w:val="00ED2593"/>
    <w:rsid w:val="00ED2F4D"/>
    <w:rsid w:val="00EE3313"/>
    <w:rsid w:val="00EF44A0"/>
    <w:rsid w:val="00EF4FED"/>
    <w:rsid w:val="00F001D5"/>
    <w:rsid w:val="00F050BD"/>
    <w:rsid w:val="00F05657"/>
    <w:rsid w:val="00F25578"/>
    <w:rsid w:val="00F258E5"/>
    <w:rsid w:val="00F300BC"/>
    <w:rsid w:val="00F3334E"/>
    <w:rsid w:val="00F45552"/>
    <w:rsid w:val="00F503F4"/>
    <w:rsid w:val="00F50EC4"/>
    <w:rsid w:val="00F550E3"/>
    <w:rsid w:val="00F57A6D"/>
    <w:rsid w:val="00F57C87"/>
    <w:rsid w:val="00F638CC"/>
    <w:rsid w:val="00F639A2"/>
    <w:rsid w:val="00F64CC1"/>
    <w:rsid w:val="00F8247A"/>
    <w:rsid w:val="00F9629A"/>
    <w:rsid w:val="00F9771D"/>
    <w:rsid w:val="00FA5883"/>
    <w:rsid w:val="00FA6055"/>
    <w:rsid w:val="00FB322F"/>
    <w:rsid w:val="00FB442F"/>
    <w:rsid w:val="00FC1929"/>
    <w:rsid w:val="00FC1B53"/>
    <w:rsid w:val="00FC403F"/>
    <w:rsid w:val="00FC43E2"/>
    <w:rsid w:val="00FC564F"/>
    <w:rsid w:val="00FC5B46"/>
    <w:rsid w:val="00FC7AFF"/>
    <w:rsid w:val="00FD0AA0"/>
    <w:rsid w:val="00FD7E78"/>
    <w:rsid w:val="00FE0E94"/>
    <w:rsid w:val="00FE0FBD"/>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uiPriority="5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A86F1B"/>
    <w:rPr>
      <w:sz w:val="24"/>
      <w:szCs w:val="24"/>
    </w:rPr>
  </w:style>
  <w:style w:type="paragraph" w:styleId="Caption">
    <w:name w:val="caption"/>
    <w:basedOn w:val="Normal"/>
    <w:next w:val="Normal"/>
    <w:unhideWhenUsed/>
    <w:qFormat/>
    <w:rsid w:val="00C8722B"/>
    <w:pPr>
      <w:spacing w:after="200"/>
    </w:pPr>
    <w:rPr>
      <w:b/>
      <w:bCs/>
      <w:color w:val="4F81BD" w:themeColor="accent1"/>
      <w:sz w:val="18"/>
      <w:szCs w:val="18"/>
    </w:rPr>
  </w:style>
  <w:style w:type="table" w:customStyle="1" w:styleId="TableGrid2">
    <w:name w:val="Table Grid2"/>
    <w:basedOn w:val="TableNormal"/>
    <w:next w:val="TableGrid"/>
    <w:uiPriority w:val="59"/>
    <w:rsid w:val="008F7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uiPriority="5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paragraph" w:styleId="Revision">
    <w:name w:val="Revision"/>
    <w:hidden/>
    <w:uiPriority w:val="71"/>
    <w:rsid w:val="00A86F1B"/>
    <w:rPr>
      <w:sz w:val="24"/>
      <w:szCs w:val="24"/>
    </w:rPr>
  </w:style>
  <w:style w:type="paragraph" w:styleId="Caption">
    <w:name w:val="caption"/>
    <w:basedOn w:val="Normal"/>
    <w:next w:val="Normal"/>
    <w:unhideWhenUsed/>
    <w:qFormat/>
    <w:rsid w:val="00C8722B"/>
    <w:pPr>
      <w:spacing w:after="200"/>
    </w:pPr>
    <w:rPr>
      <w:b/>
      <w:bCs/>
      <w:color w:val="4F81BD" w:themeColor="accent1"/>
      <w:sz w:val="18"/>
      <w:szCs w:val="18"/>
    </w:rPr>
  </w:style>
  <w:style w:type="table" w:customStyle="1" w:styleId="TableGrid2">
    <w:name w:val="Table Grid2"/>
    <w:basedOn w:val="TableNormal"/>
    <w:next w:val="TableGrid"/>
    <w:uiPriority w:val="59"/>
    <w:rsid w:val="008F7D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8874544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00777952">
      <w:bodyDiv w:val="1"/>
      <w:marLeft w:val="0"/>
      <w:marRight w:val="0"/>
      <w:marTop w:val="0"/>
      <w:marBottom w:val="0"/>
      <w:divBdr>
        <w:top w:val="none" w:sz="0" w:space="0" w:color="auto"/>
        <w:left w:val="none" w:sz="0" w:space="0" w:color="auto"/>
        <w:bottom w:val="none" w:sz="0" w:space="0" w:color="auto"/>
        <w:right w:val="none" w:sz="0" w:space="0" w:color="auto"/>
      </w:divBdr>
    </w:div>
    <w:div w:id="1449348844">
      <w:bodyDiv w:val="1"/>
      <w:marLeft w:val="0"/>
      <w:marRight w:val="0"/>
      <w:marTop w:val="0"/>
      <w:marBottom w:val="0"/>
      <w:divBdr>
        <w:top w:val="none" w:sz="0" w:space="0" w:color="auto"/>
        <w:left w:val="none" w:sz="0" w:space="0" w:color="auto"/>
        <w:bottom w:val="none" w:sz="0" w:space="0" w:color="auto"/>
        <w:right w:val="none" w:sz="0" w:space="0" w:color="auto"/>
      </w:divBdr>
    </w:div>
    <w:div w:id="16019115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3043575">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685C-25B4-4768-A67D-E206CCF7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2366</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2018-06-28T23:28:00Z</dcterms:created>
  <dcterms:modified xsi:type="dcterms:W3CDTF">2018-06-28T23:29:00Z</dcterms:modified>
</cp:coreProperties>
</file>