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41132C" w:rsidRDefault="003219E9" w:rsidP="007146B4">
      <w:pPr>
        <w:spacing w:before="0" w:after="120"/>
        <w:ind w:left="992" w:hanging="993"/>
        <w:outlineLvl w:val="0"/>
        <w:rPr>
          <w:b/>
          <w:sz w:val="36"/>
          <w:szCs w:val="36"/>
        </w:rPr>
      </w:pPr>
      <w:bookmarkStart w:id="0" w:name="_GoBack"/>
      <w:bookmarkEnd w:id="0"/>
      <w:r w:rsidRPr="0041132C">
        <w:rPr>
          <w:b/>
          <w:sz w:val="36"/>
          <w:szCs w:val="36"/>
        </w:rPr>
        <w:t>7</w:t>
      </w:r>
      <w:r w:rsidR="00C317F3" w:rsidRPr="0041132C">
        <w:rPr>
          <w:b/>
          <w:sz w:val="36"/>
          <w:szCs w:val="36"/>
        </w:rPr>
        <w:t>.</w:t>
      </w:r>
      <w:r w:rsidRPr="0041132C">
        <w:rPr>
          <w:b/>
          <w:sz w:val="36"/>
          <w:szCs w:val="36"/>
        </w:rPr>
        <w:t>01</w:t>
      </w:r>
      <w:r w:rsidR="00C317F3" w:rsidRPr="0041132C">
        <w:rPr>
          <w:b/>
          <w:sz w:val="36"/>
          <w:szCs w:val="36"/>
        </w:rPr>
        <w:tab/>
      </w:r>
      <w:r w:rsidR="00D622D2" w:rsidRPr="0041132C">
        <w:rPr>
          <w:b/>
          <w:sz w:val="36"/>
          <w:szCs w:val="36"/>
        </w:rPr>
        <w:t>APREMILAST</w:t>
      </w:r>
      <w:r w:rsidR="00C317F3" w:rsidRPr="0041132C">
        <w:rPr>
          <w:b/>
          <w:sz w:val="36"/>
          <w:szCs w:val="36"/>
        </w:rPr>
        <w:t>,</w:t>
      </w:r>
      <w:r w:rsidR="009D4C2A" w:rsidRPr="0041132C">
        <w:rPr>
          <w:b/>
          <w:sz w:val="36"/>
          <w:szCs w:val="36"/>
        </w:rPr>
        <w:br/>
      </w:r>
      <w:r w:rsidR="00756614" w:rsidRPr="0041132C">
        <w:rPr>
          <w:b/>
          <w:sz w:val="36"/>
          <w:szCs w:val="36"/>
        </w:rPr>
        <w:t>Pac</w:t>
      </w:r>
      <w:r w:rsidR="00A87B9F" w:rsidRPr="0041132C">
        <w:rPr>
          <w:b/>
          <w:sz w:val="36"/>
          <w:szCs w:val="36"/>
        </w:rPr>
        <w:t>k containing 4 tablets of 10 mg</w:t>
      </w:r>
      <w:r w:rsidR="00756614" w:rsidRPr="0041132C">
        <w:rPr>
          <w:b/>
          <w:sz w:val="36"/>
          <w:szCs w:val="36"/>
        </w:rPr>
        <w:t>, 4 tablets of 20 mg and 19 tablets of 30</w:t>
      </w:r>
      <w:r w:rsidR="00CC4018" w:rsidRPr="0041132C">
        <w:rPr>
          <w:b/>
          <w:sz w:val="36"/>
          <w:szCs w:val="36"/>
        </w:rPr>
        <w:t>; Tablet 30 mg,</w:t>
      </w:r>
      <w:r w:rsidR="007146B4">
        <w:rPr>
          <w:b/>
          <w:sz w:val="36"/>
          <w:szCs w:val="36"/>
        </w:rPr>
        <w:t xml:space="preserve"> </w:t>
      </w:r>
      <w:r w:rsidR="00AC1279" w:rsidRPr="0041132C">
        <w:rPr>
          <w:b/>
          <w:sz w:val="36"/>
          <w:szCs w:val="36"/>
        </w:rPr>
        <w:t>Otezla</w:t>
      </w:r>
      <w:r w:rsidR="00C317F3" w:rsidRPr="0041132C">
        <w:rPr>
          <w:b/>
          <w:sz w:val="36"/>
          <w:szCs w:val="36"/>
        </w:rPr>
        <w:t xml:space="preserve">®, </w:t>
      </w:r>
      <w:r w:rsidR="00AC1279" w:rsidRPr="0041132C">
        <w:rPr>
          <w:b/>
          <w:sz w:val="36"/>
          <w:szCs w:val="36"/>
        </w:rPr>
        <w:t>Celgene Pty Ltd</w:t>
      </w:r>
    </w:p>
    <w:p w:rsidR="00C317F3" w:rsidRPr="0041132C" w:rsidRDefault="00C317F3" w:rsidP="005348DF">
      <w:pPr>
        <w:pStyle w:val="Heading1"/>
        <w:ind w:left="709" w:hanging="709"/>
      </w:pPr>
      <w:bookmarkStart w:id="1" w:name="_Toc413139271"/>
      <w:bookmarkStart w:id="2" w:name="_Toc493165605"/>
      <w:r w:rsidRPr="0041132C">
        <w:t xml:space="preserve">Purpose of </w:t>
      </w:r>
      <w:r w:rsidR="00661286" w:rsidRPr="0041132C">
        <w:t>a</w:t>
      </w:r>
      <w:r w:rsidRPr="0041132C">
        <w:t>pplication</w:t>
      </w:r>
      <w:bookmarkEnd w:id="1"/>
      <w:bookmarkEnd w:id="2"/>
    </w:p>
    <w:p w:rsidR="006C2ABE" w:rsidRPr="0041132C" w:rsidRDefault="004D0ABE">
      <w:pPr>
        <w:pStyle w:val="ListParagraph"/>
        <w:numPr>
          <w:ilvl w:val="1"/>
          <w:numId w:val="3"/>
        </w:numPr>
        <w:spacing w:before="0" w:after="120"/>
        <w:jc w:val="both"/>
        <w:rPr>
          <w:color w:val="4472C4" w:themeColor="accent5"/>
        </w:rPr>
      </w:pPr>
      <w:r w:rsidRPr="0041132C">
        <w:t>Authority required (streamlined)</w:t>
      </w:r>
      <w:r w:rsidR="00C317F3" w:rsidRPr="0041132C">
        <w:t xml:space="preserve"> listing for </w:t>
      </w:r>
      <w:r w:rsidR="00425103" w:rsidRPr="0041132C">
        <w:t>apremilast</w:t>
      </w:r>
      <w:r w:rsidR="00C317F3" w:rsidRPr="0041132C">
        <w:t xml:space="preserve"> for treatment of </w:t>
      </w:r>
      <w:r w:rsidR="00425103" w:rsidRPr="0041132C">
        <w:t>moderate to severe plaque psoriasis in adults</w:t>
      </w:r>
      <w:r w:rsidR="00C317F3" w:rsidRPr="0041132C">
        <w:t>.</w:t>
      </w:r>
      <w:r w:rsidR="00F419C5" w:rsidRPr="0041132C">
        <w:t xml:space="preserve"> </w:t>
      </w:r>
      <w:r w:rsidR="00C317F3" w:rsidRPr="0041132C">
        <w:t xml:space="preserve">The first submission was </w:t>
      </w:r>
      <w:r w:rsidR="00425103" w:rsidRPr="0041132C">
        <w:t>March 2015 followed by resubmissions in November 2016 and March 2017</w:t>
      </w:r>
      <w:r w:rsidR="0063193E" w:rsidRPr="0041132C">
        <w:t xml:space="preserve"> (minor resubmission)</w:t>
      </w:r>
      <w:r w:rsidR="00C317F3" w:rsidRPr="0041132C">
        <w:t>.</w:t>
      </w:r>
    </w:p>
    <w:p w:rsidR="00935E83" w:rsidRPr="0041132C" w:rsidRDefault="006C2ABE">
      <w:pPr>
        <w:pStyle w:val="ListParagraph"/>
        <w:numPr>
          <w:ilvl w:val="1"/>
          <w:numId w:val="3"/>
        </w:numPr>
        <w:spacing w:before="0" w:after="120"/>
        <w:jc w:val="both"/>
      </w:pPr>
      <w:r w:rsidRPr="0041132C">
        <w:t xml:space="preserve">A </w:t>
      </w:r>
      <w:r w:rsidRPr="0041132C">
        <w:rPr>
          <w:rFonts w:ascii="Calibri" w:eastAsia="Calibri" w:hAnsi="Calibri"/>
        </w:rPr>
        <w:t>cost-minimisation analysis of apremilast versus cyclosporin was presented with t</w:t>
      </w:r>
      <w:r w:rsidRPr="0041132C">
        <w:t>he cost comparison based on an indirect network meta-analysis</w:t>
      </w:r>
      <w:r w:rsidR="0034340B" w:rsidRPr="0041132C">
        <w:t>, and with the ex-manufacturer price of apremilast incorporating a</w:t>
      </w:r>
      <w:r w:rsidR="003219E9" w:rsidRPr="0041132C">
        <w:t xml:space="preserve"> </w:t>
      </w:r>
      <w:r w:rsidR="0034340B" w:rsidRPr="0041132C">
        <w:t>premium over the price of cyclosporin to account for adverse events and monitoring costs associated with the lat</w:t>
      </w:r>
      <w:r w:rsidR="009466B0" w:rsidRPr="0041132C">
        <w:t>t</w:t>
      </w:r>
      <w:r w:rsidR="0034340B" w:rsidRPr="0041132C">
        <w:t>er.</w:t>
      </w:r>
    </w:p>
    <w:p w:rsidR="00AE513E" w:rsidRPr="0041132C" w:rsidRDefault="00AE513E" w:rsidP="001445D8">
      <w:pPr>
        <w:spacing w:before="0" w:after="120"/>
      </w:pPr>
      <w:r w:rsidRPr="0041132C">
        <w:rPr>
          <w:rFonts w:ascii="Arial Narrow" w:hAnsi="Arial Narrow"/>
          <w:b/>
          <w:sz w:val="20"/>
          <w:szCs w:val="20"/>
        </w:rPr>
        <w:t xml:space="preserve">Table </w:t>
      </w:r>
      <w:r w:rsidR="002F6569" w:rsidRPr="0041132C">
        <w:rPr>
          <w:rFonts w:ascii="Arial Narrow" w:hAnsi="Arial Narrow"/>
          <w:b/>
          <w:sz w:val="20"/>
          <w:szCs w:val="20"/>
        </w:rPr>
        <w:t>1</w:t>
      </w:r>
      <w:r w:rsidRPr="0041132C">
        <w:rPr>
          <w:rFonts w:ascii="Arial Narrow" w:hAnsi="Arial Narrow"/>
          <w:b/>
          <w:sz w:val="20"/>
          <w:szCs w:val="20"/>
        </w:rPr>
        <w:t xml:space="preserve">: Key components of the clinical issue addressed by the </w:t>
      </w:r>
      <w:r w:rsidR="00341164" w:rsidRPr="0041132C">
        <w:rPr>
          <w:rFonts w:ascii="Arial Narrow" w:hAnsi="Arial Narrow"/>
          <w:b/>
          <w:sz w:val="20"/>
          <w:szCs w:val="20"/>
        </w:rPr>
        <w:t>re</w:t>
      </w:r>
      <w:r w:rsidRPr="0041132C">
        <w:rPr>
          <w:rFonts w:ascii="Arial Narrow" w:hAnsi="Arial Narrow"/>
          <w:b/>
          <w:sz w:val="20"/>
          <w:szCs w:val="20"/>
        </w:rPr>
        <w:t>submission</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696"/>
        <w:gridCol w:w="7320"/>
      </w:tblGrid>
      <w:tr w:rsidR="00AE513E" w:rsidRPr="0041132C" w:rsidTr="0079463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AE513E" w:rsidRPr="0041132C" w:rsidRDefault="00AE513E" w:rsidP="001445D8">
            <w:pPr>
              <w:pStyle w:val="TableText"/>
              <w:spacing w:after="120"/>
              <w:rPr>
                <w:szCs w:val="20"/>
              </w:rPr>
            </w:pPr>
            <w:r w:rsidRPr="0041132C">
              <w:t>Component</w:t>
            </w:r>
          </w:p>
        </w:tc>
        <w:tc>
          <w:tcPr>
            <w:tcW w:w="7320" w:type="dxa"/>
            <w:shd w:val="clear" w:color="auto" w:fill="auto"/>
          </w:tcPr>
          <w:p w:rsidR="00AE513E" w:rsidRPr="0041132C" w:rsidRDefault="00AE513E" w:rsidP="001445D8">
            <w:pPr>
              <w:pStyle w:val="TableText"/>
              <w:spacing w:after="120"/>
            </w:pPr>
            <w:r w:rsidRPr="0041132C">
              <w:t>Description</w:t>
            </w:r>
          </w:p>
        </w:tc>
      </w:tr>
      <w:tr w:rsidR="0017720E" w:rsidRPr="0041132C" w:rsidTr="00794631">
        <w:trPr>
          <w:cantSplit/>
        </w:trPr>
        <w:tc>
          <w:tcPr>
            <w:tcW w:w="1696" w:type="dxa"/>
            <w:shd w:val="clear" w:color="auto" w:fill="auto"/>
          </w:tcPr>
          <w:p w:rsidR="0017720E" w:rsidRPr="005348DF" w:rsidRDefault="0017720E" w:rsidP="001445D8">
            <w:pPr>
              <w:pStyle w:val="TableText"/>
              <w:spacing w:after="120"/>
            </w:pPr>
            <w:r w:rsidRPr="005348DF">
              <w:t>Population</w:t>
            </w:r>
          </w:p>
        </w:tc>
        <w:tc>
          <w:tcPr>
            <w:tcW w:w="7320" w:type="dxa"/>
            <w:shd w:val="clear" w:color="auto" w:fill="auto"/>
          </w:tcPr>
          <w:p w:rsidR="0017720E" w:rsidRPr="0041132C" w:rsidRDefault="00C244BF" w:rsidP="001445D8">
            <w:pPr>
              <w:pStyle w:val="TableText"/>
              <w:spacing w:after="120"/>
            </w:pPr>
            <w:r w:rsidRPr="0041132C">
              <w:t>Moderate to severe plaque psoriasis</w:t>
            </w:r>
            <w:r w:rsidR="002F6569" w:rsidRPr="0041132C">
              <w:t xml:space="preserve"> in adults</w:t>
            </w:r>
          </w:p>
        </w:tc>
      </w:tr>
      <w:tr w:rsidR="0017720E" w:rsidRPr="0041132C" w:rsidTr="00794631">
        <w:trPr>
          <w:cantSplit/>
        </w:trPr>
        <w:tc>
          <w:tcPr>
            <w:tcW w:w="1696" w:type="dxa"/>
            <w:shd w:val="clear" w:color="auto" w:fill="auto"/>
          </w:tcPr>
          <w:p w:rsidR="0017720E" w:rsidRPr="005348DF" w:rsidRDefault="0017720E" w:rsidP="001445D8">
            <w:pPr>
              <w:pStyle w:val="TableText"/>
              <w:spacing w:after="120"/>
            </w:pPr>
            <w:r w:rsidRPr="005348DF">
              <w:t>Intervention</w:t>
            </w:r>
          </w:p>
        </w:tc>
        <w:tc>
          <w:tcPr>
            <w:tcW w:w="7320" w:type="dxa"/>
            <w:shd w:val="clear" w:color="auto" w:fill="auto"/>
          </w:tcPr>
          <w:p w:rsidR="0017720E" w:rsidRPr="0041132C" w:rsidRDefault="002F6569" w:rsidP="001445D8">
            <w:pPr>
              <w:pStyle w:val="TableText"/>
              <w:spacing w:after="120"/>
            </w:pPr>
            <w:r w:rsidRPr="0041132C">
              <w:t xml:space="preserve">Apremilast 30 mg twice daily. An initial dose titration over a period of 6 days. Treatment is orally </w:t>
            </w:r>
            <w:r w:rsidR="00794631" w:rsidRPr="0041132C">
              <w:t>administered and ongoing</w:t>
            </w:r>
            <w:r w:rsidR="00F33B9F" w:rsidRPr="0041132C">
              <w:t xml:space="preserve"> </w:t>
            </w:r>
            <w:r w:rsidR="00A8577E" w:rsidRPr="0041132C">
              <w:t>if a response continues to be achieved</w:t>
            </w:r>
            <w:r w:rsidR="00C244BF" w:rsidRPr="0041132C">
              <w:t xml:space="preserve">. </w:t>
            </w:r>
          </w:p>
        </w:tc>
      </w:tr>
      <w:tr w:rsidR="0017720E" w:rsidRPr="0041132C" w:rsidTr="00794631">
        <w:trPr>
          <w:cantSplit/>
        </w:trPr>
        <w:tc>
          <w:tcPr>
            <w:tcW w:w="1696" w:type="dxa"/>
            <w:shd w:val="clear" w:color="auto" w:fill="auto"/>
          </w:tcPr>
          <w:p w:rsidR="0017720E" w:rsidRPr="005348DF" w:rsidRDefault="0017720E" w:rsidP="001445D8">
            <w:pPr>
              <w:pStyle w:val="TableText"/>
              <w:spacing w:after="120"/>
            </w:pPr>
            <w:r w:rsidRPr="005348DF">
              <w:t>Comparator</w:t>
            </w:r>
          </w:p>
        </w:tc>
        <w:tc>
          <w:tcPr>
            <w:tcW w:w="7320" w:type="dxa"/>
            <w:shd w:val="clear" w:color="auto" w:fill="auto"/>
          </w:tcPr>
          <w:p w:rsidR="0017720E" w:rsidRPr="0041132C" w:rsidRDefault="002F6569" w:rsidP="001445D8">
            <w:pPr>
              <w:pStyle w:val="TableText"/>
              <w:spacing w:after="120"/>
            </w:pPr>
            <w:r w:rsidRPr="0041132C">
              <w:t>Cy</w:t>
            </w:r>
            <w:r w:rsidR="00E825FE" w:rsidRPr="0041132C">
              <w:t xml:space="preserve">closporin 3 mg/kg twice daily. </w:t>
            </w:r>
            <w:r w:rsidR="00F33B9F" w:rsidRPr="0041132C">
              <w:t xml:space="preserve">Cyclosporin </w:t>
            </w:r>
            <w:r w:rsidRPr="0041132C">
              <w:t xml:space="preserve">dose is corrected to </w:t>
            </w:r>
            <w:r w:rsidR="00F33B9F" w:rsidRPr="0041132C">
              <w:t>3 mg/kg orally daily</w:t>
            </w:r>
            <w:r w:rsidR="00A8577E" w:rsidRPr="0041132C">
              <w:t xml:space="preserve"> (1.</w:t>
            </w:r>
            <w:r w:rsidR="00AA0FDB" w:rsidRPr="0041132C">
              <w:t>5 mg</w:t>
            </w:r>
            <w:r w:rsidR="00A8577E" w:rsidRPr="0041132C">
              <w:t>/kg/ twice daily)</w:t>
            </w:r>
            <w:r w:rsidR="00F33B9F" w:rsidRPr="0041132C">
              <w:t xml:space="preserve"> </w:t>
            </w:r>
            <w:r w:rsidR="00A8577E" w:rsidRPr="0041132C">
              <w:t>up to a maximum of 2 years of continuous treatment</w:t>
            </w:r>
            <w:r w:rsidR="003E6D90" w:rsidRPr="0041132C">
              <w:t>.</w:t>
            </w:r>
          </w:p>
        </w:tc>
      </w:tr>
      <w:tr w:rsidR="0017720E" w:rsidRPr="0041132C" w:rsidTr="00794631">
        <w:trPr>
          <w:cantSplit/>
        </w:trPr>
        <w:tc>
          <w:tcPr>
            <w:tcW w:w="1696" w:type="dxa"/>
            <w:shd w:val="clear" w:color="auto" w:fill="auto"/>
          </w:tcPr>
          <w:p w:rsidR="0017720E" w:rsidRPr="005348DF" w:rsidRDefault="0017720E" w:rsidP="001445D8">
            <w:pPr>
              <w:pStyle w:val="TableText"/>
              <w:spacing w:after="120"/>
            </w:pPr>
            <w:r w:rsidRPr="005348DF">
              <w:t>Outcomes</w:t>
            </w:r>
          </w:p>
        </w:tc>
        <w:tc>
          <w:tcPr>
            <w:tcW w:w="7320" w:type="dxa"/>
            <w:shd w:val="clear" w:color="auto" w:fill="auto"/>
          </w:tcPr>
          <w:p w:rsidR="0017720E" w:rsidRPr="0041132C" w:rsidRDefault="00A72B1E" w:rsidP="001445D8">
            <w:pPr>
              <w:pStyle w:val="TableText"/>
              <w:spacing w:after="120"/>
            </w:pPr>
            <w:r w:rsidRPr="0041132C">
              <w:t>Proportion of patients achieving at least a 75% reduction in PASI (PASI-75) at 16 weeks. Adverse events associated with treatment.</w:t>
            </w:r>
          </w:p>
        </w:tc>
      </w:tr>
      <w:tr w:rsidR="0017720E" w:rsidRPr="0041132C" w:rsidTr="00794631">
        <w:trPr>
          <w:cantSplit/>
        </w:trPr>
        <w:tc>
          <w:tcPr>
            <w:tcW w:w="1696" w:type="dxa"/>
            <w:shd w:val="clear" w:color="auto" w:fill="auto"/>
          </w:tcPr>
          <w:p w:rsidR="0017720E" w:rsidRPr="005348DF" w:rsidRDefault="0017720E" w:rsidP="001445D8">
            <w:pPr>
              <w:pStyle w:val="TableText"/>
              <w:spacing w:after="120"/>
            </w:pPr>
            <w:r w:rsidRPr="005348DF">
              <w:t>Clinical claim</w:t>
            </w:r>
          </w:p>
        </w:tc>
        <w:tc>
          <w:tcPr>
            <w:tcW w:w="7320" w:type="dxa"/>
            <w:shd w:val="clear" w:color="auto" w:fill="auto"/>
          </w:tcPr>
          <w:p w:rsidR="0017720E" w:rsidRPr="0041132C" w:rsidRDefault="00A72B1E" w:rsidP="001445D8">
            <w:pPr>
              <w:pStyle w:val="TableText"/>
              <w:spacing w:after="120"/>
            </w:pPr>
            <w:r w:rsidRPr="0041132C">
              <w:t xml:space="preserve">In moderate to severe plaque psoriasis, </w:t>
            </w:r>
            <w:r w:rsidR="007C5211" w:rsidRPr="0041132C">
              <w:t>apremilast is as effective as cyclosporin at achieving PASI</w:t>
            </w:r>
            <w:r w:rsidR="007C5211" w:rsidRPr="0041132C">
              <w:noBreakHyphen/>
              <w:t>75 and results in similar rates of adverse events with a superior safety profile.</w:t>
            </w:r>
          </w:p>
        </w:tc>
      </w:tr>
    </w:tbl>
    <w:p w:rsidR="00CF3C78" w:rsidRPr="0041132C" w:rsidRDefault="0017720E" w:rsidP="005348DF">
      <w:pPr>
        <w:pStyle w:val="TableFooter"/>
      </w:pPr>
      <w:r w:rsidRPr="005348DF">
        <w:t>Source: Table</w:t>
      </w:r>
      <w:r w:rsidR="002F6569" w:rsidRPr="0021253F">
        <w:t xml:space="preserve"> 1.2.1, </w:t>
      </w:r>
      <w:r w:rsidRPr="0041132C">
        <w:t>p</w:t>
      </w:r>
      <w:r w:rsidR="002F6569" w:rsidRPr="0041132C">
        <w:t xml:space="preserve">3 </w:t>
      </w:r>
      <w:r w:rsidRPr="0041132C">
        <w:t>of the</w:t>
      </w:r>
      <w:r w:rsidR="000C32EA" w:rsidRPr="0041132C">
        <w:t xml:space="preserve"> </w:t>
      </w:r>
      <w:r w:rsidR="00B43B92" w:rsidRPr="0041132C">
        <w:t>re</w:t>
      </w:r>
      <w:r w:rsidRPr="0041132C">
        <w:t>submission</w:t>
      </w:r>
    </w:p>
    <w:p w:rsidR="0017720E" w:rsidRPr="0041132C" w:rsidRDefault="002F6569">
      <w:pPr>
        <w:pStyle w:val="TableFooter"/>
      </w:pPr>
      <w:r w:rsidRPr="0041132C">
        <w:t>PAS</w:t>
      </w:r>
      <w:r w:rsidR="00F23CCD" w:rsidRPr="0041132C">
        <w:t>I</w:t>
      </w:r>
      <w:r w:rsidRPr="0041132C">
        <w:t xml:space="preserve"> = psoriasis area </w:t>
      </w:r>
      <w:r w:rsidR="003A58D3" w:rsidRPr="0041132C">
        <w:t xml:space="preserve">and </w:t>
      </w:r>
      <w:r w:rsidRPr="0041132C">
        <w:t>severity index</w:t>
      </w:r>
      <w:r w:rsidR="00CF3C78" w:rsidRPr="0041132C">
        <w:t>;</w:t>
      </w:r>
      <w:r w:rsidR="00982B31" w:rsidRPr="0041132C">
        <w:t xml:space="preserve"> </w:t>
      </w:r>
      <w:r w:rsidR="00CF3C78" w:rsidRPr="0041132C">
        <w:t>Italics = a</w:t>
      </w:r>
      <w:r w:rsidR="00982B31" w:rsidRPr="0041132C">
        <w:t xml:space="preserve">djustments </w:t>
      </w:r>
      <w:r w:rsidR="003B0148" w:rsidRPr="0041132C">
        <w:t>due to errors or additional information</w:t>
      </w:r>
      <w:r w:rsidRPr="0041132C">
        <w:t xml:space="preserve"> </w:t>
      </w:r>
    </w:p>
    <w:p w:rsidR="00E4041E" w:rsidRPr="0041132C" w:rsidRDefault="00C317F3">
      <w:pPr>
        <w:pStyle w:val="Heading1"/>
        <w:ind w:left="709" w:hanging="709"/>
      </w:pPr>
      <w:bookmarkStart w:id="3" w:name="_Toc413139272"/>
      <w:bookmarkStart w:id="4" w:name="_Toc493165606"/>
      <w:r w:rsidRPr="0041132C">
        <w:t>Requested listing</w:t>
      </w:r>
      <w:bookmarkEnd w:id="3"/>
      <w:bookmarkEnd w:id="4"/>
      <w:r w:rsidR="005C6285" w:rsidRPr="0041132C">
        <w:t xml:space="preserve"> </w:t>
      </w:r>
    </w:p>
    <w:p w:rsidR="00371B3F" w:rsidRPr="0041132C" w:rsidRDefault="00371B3F">
      <w:pPr>
        <w:spacing w:before="0" w:after="120" w:line="276" w:lineRule="auto"/>
        <w:rPr>
          <w:rFonts w:ascii="Arial" w:hAnsi="Arial" w:cs="Arial"/>
          <w:sz w:val="22"/>
        </w:rPr>
      </w:pPr>
      <w:r w:rsidRPr="0041132C">
        <w:rPr>
          <w:rFonts w:ascii="Calibri" w:eastAsia="SimSun" w:hAnsi="Calibri" w:cs="Arial"/>
          <w:iCs/>
          <w:color w:val="000000"/>
        </w:rPr>
        <w:t>Suggestions and additions proposed by the Secretariat to the requested listing are added in italics and suggested deletions are crossed out with strikethrough.</w:t>
      </w:r>
    </w:p>
    <w:p w:rsidR="001445D8" w:rsidRDefault="001445D8" w:rsidP="001445D8">
      <w:pPr>
        <w:pStyle w:val="TableHeader"/>
        <w:spacing w:after="60"/>
      </w:pPr>
    </w:p>
    <w:p w:rsidR="00371B3F" w:rsidRPr="0041132C" w:rsidRDefault="00E825FE" w:rsidP="001445D8">
      <w:pPr>
        <w:pStyle w:val="TableHeader"/>
        <w:spacing w:after="60"/>
        <w:rPr>
          <w:rFonts w:ascii="Calibri" w:hAnsi="Calibri"/>
          <w:color w:val="0070C0"/>
          <w:szCs w:val="32"/>
        </w:rPr>
      </w:pPr>
      <w:r w:rsidRPr="0041132C">
        <w:t>Table 2: Requested restriction for apremilast – Initial titration phase</w:t>
      </w:r>
      <w:r w:rsidRPr="0041132C">
        <w:rPr>
          <w:rFonts w:ascii="Calibri" w:hAnsi="Calibri"/>
          <w:color w:val="0070C0"/>
          <w:szCs w:val="32"/>
        </w:rPr>
        <w:t xml:space="preserve"> </w:t>
      </w:r>
    </w:p>
    <w:tbl>
      <w:tblPr>
        <w:tblW w:w="5088" w:type="pct"/>
        <w:tblInd w:w="-80" w:type="dxa"/>
        <w:tblCellMar>
          <w:left w:w="28" w:type="dxa"/>
          <w:right w:w="28" w:type="dxa"/>
        </w:tblCellMar>
        <w:tblLook w:val="0000" w:firstRow="0" w:lastRow="0" w:firstColumn="0" w:lastColumn="0" w:noHBand="0" w:noVBand="0"/>
      </w:tblPr>
      <w:tblGrid>
        <w:gridCol w:w="79"/>
        <w:gridCol w:w="2244"/>
        <w:gridCol w:w="1105"/>
        <w:gridCol w:w="858"/>
        <w:gridCol w:w="911"/>
        <w:gridCol w:w="1647"/>
        <w:gridCol w:w="701"/>
        <w:gridCol w:w="1634"/>
        <w:gridCol w:w="63"/>
      </w:tblGrid>
      <w:tr w:rsidR="00E825FE" w:rsidRPr="0041132C" w:rsidTr="00371B3F">
        <w:trPr>
          <w:gridBefore w:val="1"/>
          <w:gridAfter w:val="1"/>
          <w:wBefore w:w="43" w:type="pct"/>
          <w:wAfter w:w="34" w:type="pct"/>
          <w:cantSplit/>
          <w:trHeight w:val="463"/>
          <w:tblHeader/>
        </w:trPr>
        <w:tc>
          <w:tcPr>
            <w:tcW w:w="1812" w:type="pct"/>
            <w:gridSpan w:val="2"/>
            <w:tcBorders>
              <w:bottom w:val="single" w:sz="4" w:space="0" w:color="auto"/>
            </w:tcBorders>
          </w:tcPr>
          <w:p w:rsidR="00E825FE" w:rsidRPr="0041132C" w:rsidRDefault="00E825FE" w:rsidP="001445D8">
            <w:pPr>
              <w:pStyle w:val="TableText"/>
              <w:spacing w:before="0" w:after="0"/>
              <w:rPr>
                <w:b/>
              </w:rPr>
            </w:pPr>
            <w:r w:rsidRPr="0041132C">
              <w:rPr>
                <w:b/>
              </w:rPr>
              <w:t>Name, Restriction,</w:t>
            </w:r>
          </w:p>
          <w:p w:rsidR="00E825FE" w:rsidRPr="0041132C" w:rsidRDefault="00E825FE" w:rsidP="001445D8">
            <w:pPr>
              <w:pStyle w:val="TableText"/>
              <w:spacing w:before="0" w:after="0"/>
              <w:rPr>
                <w:b/>
              </w:rPr>
            </w:pPr>
            <w:r w:rsidRPr="0041132C">
              <w:rPr>
                <w:b/>
              </w:rPr>
              <w:t>Manner of administration and form</w:t>
            </w:r>
          </w:p>
        </w:tc>
        <w:tc>
          <w:tcPr>
            <w:tcW w:w="464" w:type="pct"/>
            <w:tcBorders>
              <w:bottom w:val="single" w:sz="4" w:space="0" w:color="auto"/>
            </w:tcBorders>
          </w:tcPr>
          <w:p w:rsidR="00E825FE" w:rsidRPr="0041132C" w:rsidRDefault="00E825FE" w:rsidP="001445D8">
            <w:pPr>
              <w:pStyle w:val="TableText"/>
              <w:spacing w:before="0" w:after="0"/>
              <w:rPr>
                <w:b/>
              </w:rPr>
            </w:pPr>
            <w:r w:rsidRPr="0041132C">
              <w:rPr>
                <w:b/>
              </w:rPr>
              <w:t>Max.</w:t>
            </w:r>
          </w:p>
          <w:p w:rsidR="00E825FE" w:rsidRPr="0041132C" w:rsidRDefault="00E825FE" w:rsidP="001445D8">
            <w:pPr>
              <w:pStyle w:val="TableText"/>
              <w:spacing w:before="0" w:after="0"/>
              <w:rPr>
                <w:b/>
              </w:rPr>
            </w:pPr>
            <w:r w:rsidRPr="0041132C">
              <w:rPr>
                <w:b/>
              </w:rPr>
              <w:t xml:space="preserve">Qty </w:t>
            </w:r>
          </w:p>
          <w:p w:rsidR="00E825FE" w:rsidRPr="0041132C" w:rsidRDefault="00E825FE" w:rsidP="001445D8">
            <w:pPr>
              <w:pStyle w:val="TableText"/>
              <w:spacing w:before="0" w:after="0"/>
              <w:rPr>
                <w:b/>
              </w:rPr>
            </w:pPr>
            <w:r w:rsidRPr="0041132C">
              <w:rPr>
                <w:b/>
              </w:rPr>
              <w:t>(packs)</w:t>
            </w:r>
          </w:p>
        </w:tc>
        <w:tc>
          <w:tcPr>
            <w:tcW w:w="493" w:type="pct"/>
            <w:tcBorders>
              <w:bottom w:val="single" w:sz="4" w:space="0" w:color="auto"/>
            </w:tcBorders>
          </w:tcPr>
          <w:p w:rsidR="00E825FE" w:rsidRPr="0041132C" w:rsidRDefault="00E825FE" w:rsidP="001445D8">
            <w:pPr>
              <w:pStyle w:val="TableText"/>
              <w:spacing w:before="0" w:after="0"/>
              <w:rPr>
                <w:b/>
              </w:rPr>
            </w:pPr>
            <w:r w:rsidRPr="0041132C">
              <w:rPr>
                <w:b/>
              </w:rPr>
              <w:t>№.of</w:t>
            </w:r>
          </w:p>
          <w:p w:rsidR="00E825FE" w:rsidRPr="0041132C" w:rsidRDefault="00E825FE" w:rsidP="001445D8">
            <w:pPr>
              <w:pStyle w:val="TableText"/>
              <w:spacing w:before="0" w:after="0"/>
              <w:rPr>
                <w:b/>
              </w:rPr>
            </w:pPr>
            <w:r w:rsidRPr="0041132C">
              <w:rPr>
                <w:b/>
              </w:rPr>
              <w:t>Rpts</w:t>
            </w:r>
          </w:p>
        </w:tc>
        <w:tc>
          <w:tcPr>
            <w:tcW w:w="891" w:type="pct"/>
            <w:tcBorders>
              <w:bottom w:val="single" w:sz="4" w:space="0" w:color="auto"/>
            </w:tcBorders>
          </w:tcPr>
          <w:p w:rsidR="00E825FE" w:rsidRPr="0041132C" w:rsidRDefault="00E825FE" w:rsidP="001445D8">
            <w:pPr>
              <w:pStyle w:val="TableText"/>
              <w:spacing w:before="0" w:after="0"/>
              <w:rPr>
                <w:b/>
              </w:rPr>
            </w:pPr>
            <w:r w:rsidRPr="0041132C">
              <w:rPr>
                <w:b/>
              </w:rPr>
              <w:t xml:space="preserve">Dispensed Price for Max. Qty </w:t>
            </w:r>
          </w:p>
        </w:tc>
        <w:tc>
          <w:tcPr>
            <w:tcW w:w="1263" w:type="pct"/>
            <w:gridSpan w:val="2"/>
            <w:tcBorders>
              <w:bottom w:val="single" w:sz="4" w:space="0" w:color="auto"/>
            </w:tcBorders>
          </w:tcPr>
          <w:p w:rsidR="00E825FE" w:rsidRPr="0041132C" w:rsidRDefault="00E825FE" w:rsidP="001445D8">
            <w:pPr>
              <w:pStyle w:val="TableText"/>
              <w:spacing w:before="0" w:after="0"/>
              <w:rPr>
                <w:b/>
                <w:lang w:val="fr-FR"/>
              </w:rPr>
            </w:pPr>
            <w:r w:rsidRPr="0041132C">
              <w:rPr>
                <w:b/>
              </w:rPr>
              <w:t>Proprietary Name and Manufacturer</w:t>
            </w:r>
          </w:p>
        </w:tc>
      </w:tr>
      <w:tr w:rsidR="00E825FE" w:rsidRPr="0041132C" w:rsidTr="00371B3F">
        <w:trPr>
          <w:gridBefore w:val="1"/>
          <w:gridAfter w:val="1"/>
          <w:wBefore w:w="43" w:type="pct"/>
          <w:wAfter w:w="34" w:type="pct"/>
          <w:cantSplit/>
          <w:trHeight w:val="567"/>
        </w:trPr>
        <w:tc>
          <w:tcPr>
            <w:tcW w:w="1812" w:type="pct"/>
            <w:gridSpan w:val="2"/>
            <w:vAlign w:val="center"/>
          </w:tcPr>
          <w:p w:rsidR="00E825FE" w:rsidRPr="0041132C" w:rsidRDefault="00E825FE" w:rsidP="001445D8">
            <w:pPr>
              <w:spacing w:before="0" w:after="120"/>
              <w:ind w:right="114"/>
              <w:rPr>
                <w:rFonts w:ascii="Arial Narrow" w:eastAsia="Calibri" w:hAnsi="Arial Narrow" w:cs="Arial"/>
                <w:sz w:val="20"/>
                <w:szCs w:val="20"/>
              </w:rPr>
            </w:pPr>
            <w:r w:rsidRPr="0041132C">
              <w:rPr>
                <w:rFonts w:ascii="Arial Narrow" w:eastAsia="Calibri" w:hAnsi="Arial Narrow" w:cs="Arial"/>
                <w:sz w:val="20"/>
                <w:szCs w:val="20"/>
              </w:rPr>
              <w:t xml:space="preserve">APREMILAST </w:t>
            </w:r>
          </w:p>
          <w:p w:rsidR="00E825FE" w:rsidRPr="0041132C" w:rsidRDefault="00E825FE" w:rsidP="001445D8">
            <w:pPr>
              <w:spacing w:before="0" w:after="120"/>
              <w:ind w:right="114"/>
              <w:rPr>
                <w:rFonts w:ascii="Arial Narrow" w:eastAsia="Calibri" w:hAnsi="Arial Narrow" w:cs="Arial"/>
                <w:sz w:val="20"/>
                <w:szCs w:val="20"/>
              </w:rPr>
            </w:pPr>
            <w:r w:rsidRPr="0041132C">
              <w:rPr>
                <w:rFonts w:ascii="Arial Narrow" w:eastAsia="Calibri" w:hAnsi="Arial Narrow" w:cs="Arial"/>
                <w:sz w:val="20"/>
                <w:szCs w:val="20"/>
              </w:rPr>
              <w:t>10 mg tablet (4 tablets) (&amp;)</w:t>
            </w:r>
          </w:p>
          <w:p w:rsidR="00E825FE" w:rsidRPr="0041132C" w:rsidRDefault="00E825FE" w:rsidP="001445D8">
            <w:pPr>
              <w:spacing w:before="0" w:after="120"/>
              <w:ind w:right="114"/>
              <w:rPr>
                <w:rFonts w:ascii="Arial Narrow" w:eastAsia="Calibri" w:hAnsi="Arial Narrow" w:cs="Arial"/>
                <w:sz w:val="20"/>
                <w:szCs w:val="20"/>
              </w:rPr>
            </w:pPr>
            <w:r w:rsidRPr="0041132C">
              <w:rPr>
                <w:rFonts w:ascii="Arial Narrow" w:eastAsia="Calibri" w:hAnsi="Arial Narrow" w:cs="Arial"/>
                <w:sz w:val="20"/>
                <w:szCs w:val="20"/>
              </w:rPr>
              <w:t xml:space="preserve">20 mg tablet (4 tablets) (&amp;) </w:t>
            </w:r>
          </w:p>
          <w:p w:rsidR="00E825FE" w:rsidRPr="0041132C" w:rsidRDefault="00E825FE" w:rsidP="001445D8">
            <w:pPr>
              <w:pStyle w:val="TableText"/>
              <w:spacing w:before="0" w:after="120"/>
            </w:pPr>
            <w:r w:rsidRPr="0041132C">
              <w:rPr>
                <w:rFonts w:eastAsia="Calibri" w:cs="Arial"/>
                <w:szCs w:val="20"/>
              </w:rPr>
              <w:t>30 mg tablet (19 tablets)</w:t>
            </w:r>
          </w:p>
        </w:tc>
        <w:tc>
          <w:tcPr>
            <w:tcW w:w="464" w:type="pct"/>
            <w:vAlign w:val="center"/>
          </w:tcPr>
          <w:p w:rsidR="00E825FE" w:rsidRPr="0041132C" w:rsidRDefault="00E825FE" w:rsidP="001445D8">
            <w:pPr>
              <w:pStyle w:val="TableText"/>
              <w:spacing w:before="0" w:after="120"/>
            </w:pPr>
          </w:p>
          <w:p w:rsidR="00E825FE" w:rsidRPr="0041132C" w:rsidRDefault="00E825FE" w:rsidP="001445D8">
            <w:pPr>
              <w:pStyle w:val="TableText"/>
              <w:spacing w:before="0" w:after="120"/>
            </w:pPr>
            <w:r w:rsidRPr="0041132C">
              <w:t>1</w:t>
            </w:r>
          </w:p>
        </w:tc>
        <w:tc>
          <w:tcPr>
            <w:tcW w:w="493" w:type="pct"/>
            <w:vAlign w:val="center"/>
          </w:tcPr>
          <w:p w:rsidR="00E825FE" w:rsidRPr="0041132C" w:rsidRDefault="00E825FE" w:rsidP="001445D8">
            <w:pPr>
              <w:pStyle w:val="TableText"/>
              <w:spacing w:before="0" w:after="120"/>
            </w:pPr>
          </w:p>
          <w:p w:rsidR="00E825FE" w:rsidRPr="0041132C" w:rsidRDefault="00E825FE" w:rsidP="001445D8">
            <w:pPr>
              <w:pStyle w:val="TableText"/>
              <w:spacing w:before="0" w:after="120"/>
            </w:pPr>
            <w:r w:rsidRPr="0041132C">
              <w:t>0</w:t>
            </w:r>
          </w:p>
        </w:tc>
        <w:tc>
          <w:tcPr>
            <w:tcW w:w="891" w:type="pct"/>
            <w:vAlign w:val="bottom"/>
          </w:tcPr>
          <w:p w:rsidR="00E825FE" w:rsidRPr="0041132C" w:rsidRDefault="00E825FE" w:rsidP="001445D8">
            <w:pPr>
              <w:pStyle w:val="TableText"/>
              <w:spacing w:before="0" w:after="120"/>
            </w:pPr>
          </w:p>
          <w:p w:rsidR="00E825FE" w:rsidRPr="0041132C" w:rsidRDefault="00E825FE" w:rsidP="001445D8">
            <w:pPr>
              <w:pStyle w:val="Tabletext0"/>
              <w:spacing w:after="120"/>
            </w:pPr>
            <w:r w:rsidRPr="0041132C">
              <w:t>$</w:t>
            </w:r>
            <w:r w:rsidR="003E2FBE">
              <w:rPr>
                <w:noProof/>
                <w:color w:val="000000"/>
                <w:highlight w:val="black"/>
              </w:rPr>
              <w:t>''''''''''''''''</w:t>
            </w:r>
          </w:p>
          <w:p w:rsidR="00E825FE" w:rsidRPr="0041132C" w:rsidRDefault="00E825FE" w:rsidP="001445D8">
            <w:pPr>
              <w:pStyle w:val="TableText"/>
              <w:spacing w:before="0" w:after="120"/>
            </w:pPr>
          </w:p>
        </w:tc>
        <w:tc>
          <w:tcPr>
            <w:tcW w:w="379" w:type="pct"/>
            <w:vAlign w:val="center"/>
          </w:tcPr>
          <w:p w:rsidR="00E825FE" w:rsidRPr="0041132C" w:rsidRDefault="00E825FE" w:rsidP="001445D8">
            <w:pPr>
              <w:pStyle w:val="TableText"/>
              <w:spacing w:before="0" w:after="120"/>
            </w:pPr>
            <w:r w:rsidRPr="0041132C">
              <w:rPr>
                <w:rFonts w:eastAsia="Calibri" w:cs="Arial"/>
                <w:szCs w:val="20"/>
              </w:rPr>
              <w:t xml:space="preserve">Otezla®, </w:t>
            </w:r>
          </w:p>
        </w:tc>
        <w:tc>
          <w:tcPr>
            <w:tcW w:w="883" w:type="pct"/>
            <w:vAlign w:val="center"/>
          </w:tcPr>
          <w:p w:rsidR="00E825FE" w:rsidRPr="0041132C" w:rsidRDefault="00E825FE" w:rsidP="001445D8">
            <w:pPr>
              <w:pStyle w:val="TableText"/>
              <w:spacing w:before="0" w:after="120"/>
            </w:pPr>
            <w:r w:rsidRPr="0041132C">
              <w:rPr>
                <w:rFonts w:eastAsia="Calibri" w:cs="Arial"/>
                <w:szCs w:val="20"/>
              </w:rPr>
              <w:t>Celgene Pty Ltd</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lastRenderedPageBreak/>
              <w:t>Category / Program</w:t>
            </w:r>
          </w:p>
        </w:tc>
        <w:tc>
          <w:tcPr>
            <w:tcW w:w="3743" w:type="pct"/>
            <w:gridSpan w:val="7"/>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sz w:val="20"/>
              </w:rPr>
            </w:pPr>
            <w:r w:rsidRPr="0041132C">
              <w:rPr>
                <w:rFonts w:ascii="Arial Narrow" w:hAnsi="Arial Narrow"/>
                <w:sz w:val="20"/>
              </w:rPr>
              <w:t>GENERAL – General Schedule (Code GE)</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Prescriber type:</w:t>
            </w:r>
          </w:p>
          <w:p w:rsidR="00371B3F" w:rsidRPr="0041132C" w:rsidRDefault="00371B3F" w:rsidP="001445D8">
            <w:pPr>
              <w:keepNext/>
              <w:spacing w:before="0"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371B3F" w:rsidRPr="005348D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Check1"/>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 xml:space="preserve">Dental  </w:t>
            </w:r>
            <w:r w:rsidRPr="001445D8">
              <w:rPr>
                <w:rFonts w:ascii="Arial Narrow" w:hAnsi="Arial Narrow"/>
                <w:sz w:val="20"/>
              </w:rPr>
              <w:fldChar w:fldCharType="begin">
                <w:ffData>
                  <w:name w:val=""/>
                  <w:enabled/>
                  <w:calcOnExit w:val="0"/>
                  <w:checkBox>
                    <w:sizeAuto/>
                    <w:default w:val="1"/>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 xml:space="preserve">Medical Practitioners  </w:t>
            </w:r>
            <w:r w:rsidRPr="001445D8">
              <w:rPr>
                <w:rFonts w:ascii="Arial Narrow" w:hAnsi="Arial Narrow"/>
                <w:sz w:val="20"/>
              </w:rPr>
              <w:fldChar w:fldCharType="begin">
                <w:ffData>
                  <w:name w:val="Check3"/>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 xml:space="preserve">Nurse practitioners  </w:t>
            </w: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Optometrists</w:t>
            </w:r>
          </w:p>
          <w:p w:rsidR="00371B3F" w:rsidRPr="005348D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Check5"/>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Midwives</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Severity:</w:t>
            </w:r>
          </w:p>
        </w:tc>
        <w:tc>
          <w:tcPr>
            <w:tcW w:w="3743" w:type="pct"/>
            <w:gridSpan w:val="7"/>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sz w:val="20"/>
              </w:rPr>
            </w:pPr>
            <w:r w:rsidRPr="0041132C">
              <w:rPr>
                <w:rFonts w:ascii="Arial Narrow" w:hAnsi="Arial Narrow"/>
                <w:sz w:val="20"/>
              </w:rPr>
              <w:t>Moderate to severe</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Condition:</w:t>
            </w:r>
          </w:p>
        </w:tc>
        <w:tc>
          <w:tcPr>
            <w:tcW w:w="3743" w:type="pct"/>
            <w:gridSpan w:val="7"/>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sz w:val="20"/>
              </w:rPr>
            </w:pPr>
            <w:r w:rsidRPr="0041132C">
              <w:rPr>
                <w:rFonts w:ascii="Arial Narrow" w:hAnsi="Arial Narrow"/>
                <w:sz w:val="20"/>
              </w:rPr>
              <w:t>Plaque psoriasis</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PBS Indication:</w:t>
            </w:r>
          </w:p>
        </w:tc>
        <w:tc>
          <w:tcPr>
            <w:tcW w:w="3743" w:type="pct"/>
            <w:gridSpan w:val="7"/>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sz w:val="20"/>
              </w:rPr>
            </w:pPr>
            <w:r w:rsidRPr="0041132C">
              <w:rPr>
                <w:rFonts w:ascii="Arial Narrow" w:hAnsi="Arial Narrow"/>
                <w:sz w:val="20"/>
              </w:rPr>
              <w:t>Moderate to severe plaque psoriasis</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Treatment phase:</w:t>
            </w:r>
          </w:p>
        </w:tc>
        <w:tc>
          <w:tcPr>
            <w:tcW w:w="3743" w:type="pct"/>
            <w:gridSpan w:val="7"/>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sz w:val="20"/>
              </w:rPr>
            </w:pPr>
            <w:r w:rsidRPr="0041132C">
              <w:rPr>
                <w:rFonts w:ascii="Arial Narrow" w:hAnsi="Arial Narrow"/>
                <w:sz w:val="20"/>
              </w:rPr>
              <w:t>Initial treatment for dose titration</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Restriction Level / Method:</w:t>
            </w:r>
          </w:p>
          <w:p w:rsidR="00371B3F" w:rsidRPr="0041132C" w:rsidRDefault="00371B3F" w:rsidP="001445D8">
            <w:pPr>
              <w:keepNext/>
              <w:spacing w:before="0" w:after="120"/>
              <w:rPr>
                <w:rFonts w:ascii="Arial Narrow" w:hAnsi="Arial Narrow"/>
                <w:iCs/>
                <w:sz w:val="20"/>
                <w:szCs w:val="18"/>
              </w:rPr>
            </w:pPr>
          </w:p>
          <w:p w:rsidR="00371B3F" w:rsidRPr="0041132C" w:rsidRDefault="00371B3F" w:rsidP="001445D8">
            <w:pPr>
              <w:keepNext/>
              <w:spacing w:before="0"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371B3F" w:rsidRPr="005348D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Restricted benefit</w:t>
            </w:r>
          </w:p>
          <w:p w:rsidR="00371B3F" w:rsidRPr="005348D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Required - In Writing</w:t>
            </w:r>
          </w:p>
          <w:p w:rsidR="00371B3F" w:rsidRPr="0021253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Check3"/>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w:t>
            </w:r>
            <w:r w:rsidRPr="0021253F">
              <w:rPr>
                <w:rFonts w:ascii="Arial Narrow" w:hAnsi="Arial Narrow"/>
                <w:sz w:val="20"/>
              </w:rPr>
              <w:t>equired - Telephone</w:t>
            </w:r>
          </w:p>
          <w:p w:rsidR="00371B3F" w:rsidRPr="005348D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Required - Emergency</w:t>
            </w:r>
          </w:p>
          <w:p w:rsidR="00371B3F" w:rsidRPr="005348D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Check5"/>
                  <w:enabled/>
                  <w:calcOnExit w:val="0"/>
                  <w:checkBox>
                    <w:sizeAuto/>
                    <w:default w:val="0"/>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Required - Electronic</w:t>
            </w:r>
          </w:p>
          <w:p w:rsidR="00371B3F" w:rsidRPr="005348DF" w:rsidRDefault="00371B3F" w:rsidP="001445D8">
            <w:pPr>
              <w:keepNext/>
              <w:spacing w:before="0" w:after="120"/>
              <w:rPr>
                <w:rFonts w:ascii="Arial Narrow" w:hAnsi="Arial Narrow"/>
                <w:sz w:val="20"/>
              </w:rPr>
            </w:pPr>
            <w:r w:rsidRPr="001445D8">
              <w:rPr>
                <w:rFonts w:ascii="Arial Narrow" w:hAnsi="Arial Narrow"/>
                <w:sz w:val="20"/>
              </w:rPr>
              <w:fldChar w:fldCharType="begin">
                <w:ffData>
                  <w:name w:val=""/>
                  <w:enabled/>
                  <w:calcOnExit w:val="0"/>
                  <w:checkBox>
                    <w:sizeAuto/>
                    <w:default w:val="1"/>
                  </w:checkBox>
                </w:ffData>
              </w:fldChar>
            </w:r>
            <w:r w:rsidRPr="0041132C">
              <w:rPr>
                <w:rFonts w:ascii="Arial Narrow" w:hAnsi="Arial Narrow"/>
                <w:sz w:val="20"/>
              </w:rPr>
              <w:instrText xml:space="preserve"> FORMCHECKBOX </w:instrText>
            </w:r>
            <w:r w:rsidR="003E2FBE">
              <w:rPr>
                <w:rFonts w:ascii="Arial Narrow" w:hAnsi="Arial Narrow"/>
                <w:sz w:val="20"/>
              </w:rPr>
            </w:r>
            <w:r w:rsidR="003E2FBE">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Streamlined</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Treatment criteria:</w:t>
            </w:r>
          </w:p>
          <w:p w:rsidR="00371B3F" w:rsidRPr="0041132C" w:rsidRDefault="00371B3F" w:rsidP="001445D8">
            <w:pPr>
              <w:keepNext/>
              <w:spacing w:before="0"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371B3F" w:rsidRPr="0041132C" w:rsidRDefault="00371B3F" w:rsidP="00353DCC">
            <w:pPr>
              <w:numPr>
                <w:ilvl w:val="0"/>
                <w:numId w:val="7"/>
              </w:numPr>
              <w:spacing w:before="0" w:after="120"/>
              <w:ind w:left="357" w:hanging="357"/>
              <w:rPr>
                <w:rFonts w:ascii="Arial Narrow" w:hAnsi="Arial Narrow"/>
                <w:sz w:val="20"/>
              </w:rPr>
            </w:pPr>
            <w:r w:rsidRPr="0041132C">
              <w:rPr>
                <w:rFonts w:ascii="Arial Narrow" w:hAnsi="Arial Narrow"/>
                <w:sz w:val="20"/>
              </w:rPr>
              <w:t>Must be treated by a dermatologist or general physician with expertise in the management of plaque psoriasis.</w:t>
            </w:r>
          </w:p>
          <w:p w:rsidR="00371B3F" w:rsidRPr="0041132C" w:rsidRDefault="00371B3F" w:rsidP="001445D8">
            <w:pPr>
              <w:keepNext/>
              <w:spacing w:before="0" w:after="120"/>
              <w:rPr>
                <w:rFonts w:ascii="Arial Narrow" w:hAnsi="Arial Narrow"/>
                <w:sz w:val="20"/>
              </w:rPr>
            </w:pPr>
            <w:r w:rsidRPr="0041132C">
              <w:rPr>
                <w:rFonts w:ascii="Arial Narrow" w:hAnsi="Arial Narrow"/>
                <w:sz w:val="20"/>
              </w:rPr>
              <w:t>AND</w:t>
            </w:r>
          </w:p>
          <w:p w:rsidR="00371B3F" w:rsidRPr="0041132C" w:rsidRDefault="00371B3F" w:rsidP="00353DCC">
            <w:pPr>
              <w:numPr>
                <w:ilvl w:val="0"/>
                <w:numId w:val="7"/>
              </w:numPr>
              <w:spacing w:before="0" w:after="120"/>
              <w:ind w:left="357" w:hanging="357"/>
              <w:rPr>
                <w:rFonts w:ascii="Arial Narrow" w:hAnsi="Arial Narrow"/>
                <w:sz w:val="20"/>
              </w:rPr>
            </w:pPr>
            <w:r w:rsidRPr="0041132C">
              <w:rPr>
                <w:rFonts w:ascii="Arial Narrow" w:hAnsi="Arial Narrow"/>
                <w:sz w:val="20"/>
              </w:rPr>
              <w:t>Patient must have failed to achieve an adequate response to methotrexate unless contraindicated or not tolerated according to the Therapeutic Goods Administration (TGA) approved Product Information.</w:t>
            </w:r>
          </w:p>
        </w:tc>
      </w:tr>
      <w:tr w:rsidR="00371B3F" w:rsidRPr="0041132C" w:rsidTr="00371B3F">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iCs/>
                <w:sz w:val="20"/>
                <w:szCs w:val="18"/>
              </w:rPr>
            </w:pPr>
            <w:r w:rsidRPr="0041132C">
              <w:rPr>
                <w:rFonts w:ascii="Arial Narrow" w:hAnsi="Arial Narrow"/>
                <w:iCs/>
                <w:sz w:val="20"/>
                <w:szCs w:val="18"/>
              </w:rPr>
              <w:t>Administrative Advice:</w:t>
            </w:r>
          </w:p>
          <w:p w:rsidR="00371B3F" w:rsidRPr="0041132C" w:rsidRDefault="00371B3F" w:rsidP="001445D8">
            <w:pPr>
              <w:keepNext/>
              <w:spacing w:before="0"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371B3F" w:rsidRPr="0041132C" w:rsidRDefault="00371B3F" w:rsidP="001445D8">
            <w:pPr>
              <w:keepNext/>
              <w:spacing w:before="0" w:after="120"/>
              <w:rPr>
                <w:rFonts w:ascii="Arial Narrow" w:hAnsi="Arial Narrow"/>
                <w:sz w:val="20"/>
              </w:rPr>
            </w:pPr>
            <w:r w:rsidRPr="0041132C">
              <w:rPr>
                <w:rFonts w:ascii="Arial Narrow" w:hAnsi="Arial Narrow"/>
                <w:sz w:val="20"/>
              </w:rPr>
              <w:t>No increase in the maximum number of repeats may be authorised.</w:t>
            </w:r>
          </w:p>
          <w:p w:rsidR="00371B3F" w:rsidRPr="0041132C" w:rsidRDefault="00371B3F" w:rsidP="001445D8">
            <w:pPr>
              <w:keepNext/>
              <w:spacing w:before="0" w:after="120"/>
              <w:rPr>
                <w:rFonts w:ascii="Arial Narrow" w:hAnsi="Arial Narrow"/>
                <w:sz w:val="20"/>
              </w:rPr>
            </w:pPr>
            <w:r w:rsidRPr="0041132C">
              <w:rPr>
                <w:rFonts w:ascii="Arial Narrow" w:hAnsi="Arial Narrow"/>
                <w:sz w:val="20"/>
              </w:rPr>
              <w:t>No increase in the maximum quantity or number of units may be authorised.</w:t>
            </w:r>
          </w:p>
          <w:p w:rsidR="00371B3F" w:rsidRPr="0041132C" w:rsidRDefault="00371B3F" w:rsidP="001445D8">
            <w:pPr>
              <w:keepNext/>
              <w:spacing w:before="0" w:after="120"/>
              <w:rPr>
                <w:rFonts w:ascii="Arial Narrow" w:hAnsi="Arial Narrow"/>
                <w:strike/>
                <w:sz w:val="20"/>
              </w:rPr>
            </w:pPr>
            <w:r w:rsidRPr="0041132C">
              <w:rPr>
                <w:rFonts w:ascii="Arial Narrow" w:hAnsi="Arial Narrow"/>
                <w:strike/>
                <w:sz w:val="20"/>
              </w:rPr>
              <w:t>Special Pricing Arrangements apply.</w:t>
            </w:r>
          </w:p>
        </w:tc>
      </w:tr>
    </w:tbl>
    <w:p w:rsidR="00371B3F" w:rsidRPr="0041132C" w:rsidRDefault="003520D7" w:rsidP="001445D8">
      <w:pPr>
        <w:spacing w:before="0" w:after="120"/>
        <w:rPr>
          <w:rFonts w:ascii="Arial Narrow" w:hAnsi="Arial Narrow"/>
          <w:sz w:val="18"/>
          <w:szCs w:val="18"/>
        </w:rPr>
      </w:pPr>
      <w:r w:rsidRPr="0041132C">
        <w:rPr>
          <w:rFonts w:ascii="Arial Narrow" w:hAnsi="Arial Narrow"/>
          <w:sz w:val="18"/>
          <w:szCs w:val="18"/>
        </w:rPr>
        <w:t>Source: Tables</w:t>
      </w:r>
      <w:r w:rsidR="00371B3F" w:rsidRPr="0041132C">
        <w:rPr>
          <w:rFonts w:ascii="Arial Narrow" w:hAnsi="Arial Narrow"/>
          <w:sz w:val="18"/>
          <w:szCs w:val="18"/>
        </w:rPr>
        <w:t xml:space="preserve"> 1.5.1, 1.5.2, p6-7 of the resubmission</w:t>
      </w:r>
    </w:p>
    <w:p w:rsidR="00DF590E" w:rsidRPr="0041132C" w:rsidRDefault="00DF590E" w:rsidP="001445D8">
      <w:pPr>
        <w:spacing w:before="0" w:after="120" w:line="259" w:lineRule="auto"/>
        <w:rPr>
          <w:rFonts w:ascii="Arial Narrow" w:eastAsia="Times New Roman" w:hAnsi="Arial Narrow" w:cs="Arial"/>
          <w:b/>
          <w:snapToGrid w:val="0"/>
          <w:sz w:val="20"/>
          <w:szCs w:val="20"/>
        </w:rPr>
      </w:pPr>
      <w:r w:rsidRPr="0041132C">
        <w:rPr>
          <w:rFonts w:ascii="Arial Narrow" w:eastAsia="Times New Roman" w:hAnsi="Arial Narrow" w:cs="Arial"/>
          <w:b/>
          <w:snapToGrid w:val="0"/>
          <w:sz w:val="20"/>
          <w:szCs w:val="20"/>
        </w:rPr>
        <w:br w:type="page"/>
      </w:r>
    </w:p>
    <w:p w:rsidR="00E825FE" w:rsidRPr="0041132C" w:rsidRDefault="00E825FE" w:rsidP="001445D8">
      <w:pPr>
        <w:spacing w:before="0" w:after="0"/>
        <w:rPr>
          <w:rFonts w:ascii="Arial Narrow" w:eastAsia="Times New Roman" w:hAnsi="Arial Narrow" w:cs="Arial"/>
          <w:b/>
          <w:snapToGrid w:val="0"/>
          <w:sz w:val="20"/>
          <w:szCs w:val="20"/>
        </w:rPr>
      </w:pPr>
      <w:r w:rsidRPr="0041132C">
        <w:rPr>
          <w:rFonts w:ascii="Arial Narrow" w:eastAsia="Times New Roman" w:hAnsi="Arial Narrow" w:cs="Arial"/>
          <w:b/>
          <w:snapToGrid w:val="0"/>
          <w:sz w:val="20"/>
          <w:szCs w:val="20"/>
        </w:rPr>
        <w:lastRenderedPageBreak/>
        <w:t xml:space="preserve">Table 3: Requested restriction for apremilast </w:t>
      </w:r>
      <w:r w:rsidRPr="0041132C">
        <w:rPr>
          <w:rFonts w:ascii="Arial Narrow" w:hAnsi="Arial Narrow"/>
          <w:sz w:val="20"/>
          <w:szCs w:val="20"/>
        </w:rPr>
        <w:t xml:space="preserve">– </w:t>
      </w:r>
      <w:r w:rsidR="006A4105" w:rsidRPr="0041132C">
        <w:rPr>
          <w:rFonts w:ascii="Arial Narrow" w:eastAsia="Times New Roman" w:hAnsi="Arial Narrow" w:cs="Arial"/>
          <w:b/>
          <w:snapToGrid w:val="0"/>
          <w:sz w:val="20"/>
          <w:szCs w:val="20"/>
        </w:rPr>
        <w:t>Standard</w:t>
      </w:r>
      <w:r w:rsidRPr="0041132C">
        <w:rPr>
          <w:rFonts w:ascii="Arial Narrow" w:eastAsia="Times New Roman" w:hAnsi="Arial Narrow" w:cs="Arial"/>
          <w:b/>
          <w:snapToGrid w:val="0"/>
          <w:sz w:val="20"/>
          <w:szCs w:val="20"/>
        </w:rPr>
        <w:t xml:space="preserve"> phase</w:t>
      </w:r>
    </w:p>
    <w:tbl>
      <w:tblPr>
        <w:tblW w:w="5010" w:type="pct"/>
        <w:tblCellMar>
          <w:left w:w="28" w:type="dxa"/>
          <w:right w:w="28" w:type="dxa"/>
        </w:tblCellMar>
        <w:tblLook w:val="0000" w:firstRow="0" w:lastRow="0" w:firstColumn="0" w:lastColumn="0" w:noHBand="0" w:noVBand="0"/>
      </w:tblPr>
      <w:tblGrid>
        <w:gridCol w:w="2306"/>
        <w:gridCol w:w="1045"/>
        <w:gridCol w:w="646"/>
        <w:gridCol w:w="1123"/>
        <w:gridCol w:w="1647"/>
        <w:gridCol w:w="701"/>
        <w:gridCol w:w="1614"/>
        <w:gridCol w:w="18"/>
      </w:tblGrid>
      <w:tr w:rsidR="00E825FE" w:rsidRPr="0041132C" w:rsidTr="001445D8">
        <w:trPr>
          <w:cantSplit/>
          <w:trHeight w:val="463"/>
        </w:trPr>
        <w:tc>
          <w:tcPr>
            <w:tcW w:w="1841" w:type="pct"/>
            <w:gridSpan w:val="2"/>
            <w:tcBorders>
              <w:bottom w:val="single" w:sz="4" w:space="0" w:color="auto"/>
            </w:tcBorders>
          </w:tcPr>
          <w:p w:rsidR="00E825FE" w:rsidRPr="0041132C" w:rsidRDefault="00E825FE" w:rsidP="001445D8">
            <w:pPr>
              <w:pStyle w:val="TableText"/>
              <w:spacing w:before="0" w:after="0"/>
              <w:rPr>
                <w:b/>
              </w:rPr>
            </w:pPr>
            <w:r w:rsidRPr="0041132C">
              <w:rPr>
                <w:b/>
              </w:rPr>
              <w:t>Name, Restriction,</w:t>
            </w:r>
          </w:p>
          <w:p w:rsidR="00E825FE" w:rsidRPr="0041132C" w:rsidRDefault="00E825FE" w:rsidP="001445D8">
            <w:pPr>
              <w:pStyle w:val="TableText"/>
              <w:spacing w:before="0" w:after="0"/>
              <w:rPr>
                <w:b/>
              </w:rPr>
            </w:pPr>
            <w:r w:rsidRPr="0041132C">
              <w:rPr>
                <w:b/>
              </w:rPr>
              <w:t>Manner of administration and form</w:t>
            </w:r>
          </w:p>
        </w:tc>
        <w:tc>
          <w:tcPr>
            <w:tcW w:w="355" w:type="pct"/>
            <w:tcBorders>
              <w:bottom w:val="single" w:sz="4" w:space="0" w:color="auto"/>
            </w:tcBorders>
          </w:tcPr>
          <w:p w:rsidR="00E825FE" w:rsidRPr="0041132C" w:rsidRDefault="00E825FE" w:rsidP="001445D8">
            <w:pPr>
              <w:pStyle w:val="TableText"/>
              <w:spacing w:before="0" w:after="0"/>
              <w:rPr>
                <w:b/>
              </w:rPr>
            </w:pPr>
            <w:r w:rsidRPr="0041132C">
              <w:rPr>
                <w:b/>
              </w:rPr>
              <w:t>Max.</w:t>
            </w:r>
          </w:p>
          <w:p w:rsidR="00E825FE" w:rsidRPr="0041132C" w:rsidRDefault="00E825FE" w:rsidP="001445D8">
            <w:pPr>
              <w:pStyle w:val="TableText"/>
              <w:spacing w:before="0" w:after="0"/>
              <w:rPr>
                <w:b/>
              </w:rPr>
            </w:pPr>
            <w:r w:rsidRPr="0041132C">
              <w:rPr>
                <w:b/>
              </w:rPr>
              <w:t xml:space="preserve">Qty </w:t>
            </w:r>
          </w:p>
          <w:p w:rsidR="00E825FE" w:rsidRPr="0041132C" w:rsidRDefault="00E825FE" w:rsidP="001445D8">
            <w:pPr>
              <w:pStyle w:val="TableText"/>
              <w:spacing w:before="0" w:after="0"/>
              <w:rPr>
                <w:b/>
              </w:rPr>
            </w:pPr>
            <w:r w:rsidRPr="0041132C">
              <w:rPr>
                <w:b/>
              </w:rPr>
              <w:t>(packs)</w:t>
            </w:r>
          </w:p>
        </w:tc>
        <w:tc>
          <w:tcPr>
            <w:tcW w:w="617" w:type="pct"/>
            <w:tcBorders>
              <w:bottom w:val="single" w:sz="4" w:space="0" w:color="auto"/>
            </w:tcBorders>
          </w:tcPr>
          <w:p w:rsidR="00E825FE" w:rsidRPr="0041132C" w:rsidRDefault="00E825FE" w:rsidP="001445D8">
            <w:pPr>
              <w:pStyle w:val="TableText"/>
              <w:spacing w:before="0" w:after="0"/>
              <w:rPr>
                <w:b/>
              </w:rPr>
            </w:pPr>
            <w:r w:rsidRPr="0041132C">
              <w:rPr>
                <w:b/>
              </w:rPr>
              <w:t>№.of</w:t>
            </w:r>
          </w:p>
          <w:p w:rsidR="00E825FE" w:rsidRPr="0041132C" w:rsidRDefault="00E825FE" w:rsidP="001445D8">
            <w:pPr>
              <w:pStyle w:val="TableText"/>
              <w:spacing w:before="0" w:after="0"/>
              <w:rPr>
                <w:b/>
              </w:rPr>
            </w:pPr>
            <w:r w:rsidRPr="0041132C">
              <w:rPr>
                <w:b/>
              </w:rPr>
              <w:t>Rpts</w:t>
            </w:r>
          </w:p>
        </w:tc>
        <w:tc>
          <w:tcPr>
            <w:tcW w:w="905" w:type="pct"/>
            <w:tcBorders>
              <w:bottom w:val="single" w:sz="4" w:space="0" w:color="auto"/>
            </w:tcBorders>
          </w:tcPr>
          <w:p w:rsidR="00E825FE" w:rsidRPr="0041132C" w:rsidRDefault="00E825FE" w:rsidP="001445D8">
            <w:pPr>
              <w:pStyle w:val="TableText"/>
              <w:spacing w:before="0" w:after="0"/>
              <w:rPr>
                <w:b/>
              </w:rPr>
            </w:pPr>
            <w:r w:rsidRPr="0041132C">
              <w:rPr>
                <w:b/>
              </w:rPr>
              <w:t xml:space="preserve">Dispensed Price for Max. Qty </w:t>
            </w:r>
          </w:p>
        </w:tc>
        <w:tc>
          <w:tcPr>
            <w:tcW w:w="1282" w:type="pct"/>
            <w:gridSpan w:val="3"/>
            <w:tcBorders>
              <w:bottom w:val="single" w:sz="4" w:space="0" w:color="auto"/>
            </w:tcBorders>
          </w:tcPr>
          <w:p w:rsidR="00E825FE" w:rsidRPr="0041132C" w:rsidRDefault="00E825FE" w:rsidP="001445D8">
            <w:pPr>
              <w:pStyle w:val="TableText"/>
              <w:spacing w:before="0" w:after="0"/>
              <w:rPr>
                <w:b/>
                <w:lang w:val="fr-FR"/>
              </w:rPr>
            </w:pPr>
            <w:r w:rsidRPr="0041132C">
              <w:rPr>
                <w:b/>
              </w:rPr>
              <w:t>Proprietary Name and Manufacturer</w:t>
            </w:r>
          </w:p>
        </w:tc>
      </w:tr>
      <w:tr w:rsidR="00E825FE" w:rsidRPr="0041132C" w:rsidTr="001445D8">
        <w:trPr>
          <w:cantSplit/>
          <w:trHeight w:val="567"/>
        </w:trPr>
        <w:tc>
          <w:tcPr>
            <w:tcW w:w="1841" w:type="pct"/>
            <w:gridSpan w:val="2"/>
            <w:vAlign w:val="center"/>
          </w:tcPr>
          <w:p w:rsidR="00E825FE" w:rsidRPr="0041132C" w:rsidRDefault="00E825FE" w:rsidP="001445D8">
            <w:pPr>
              <w:spacing w:before="0" w:after="0"/>
              <w:ind w:right="114"/>
              <w:rPr>
                <w:rFonts w:ascii="Arial Narrow" w:eastAsia="Calibri" w:hAnsi="Arial Narrow" w:cs="Arial"/>
                <w:sz w:val="20"/>
                <w:szCs w:val="20"/>
              </w:rPr>
            </w:pPr>
          </w:p>
          <w:p w:rsidR="00E825FE" w:rsidRPr="0041132C" w:rsidRDefault="00E825FE" w:rsidP="001445D8">
            <w:pPr>
              <w:pStyle w:val="Tabletext0"/>
            </w:pPr>
            <w:r w:rsidRPr="0041132C">
              <w:t xml:space="preserve">APREMILAST </w:t>
            </w:r>
          </w:p>
          <w:p w:rsidR="00E825FE" w:rsidRPr="0041132C" w:rsidRDefault="00AA0FDB" w:rsidP="001445D8">
            <w:pPr>
              <w:pStyle w:val="Tabletext0"/>
            </w:pPr>
            <w:r w:rsidRPr="0041132C">
              <w:t>30 mg</w:t>
            </w:r>
            <w:r w:rsidR="00E825FE" w:rsidRPr="0041132C">
              <w:t xml:space="preserve"> tablet, 56</w:t>
            </w:r>
          </w:p>
        </w:tc>
        <w:tc>
          <w:tcPr>
            <w:tcW w:w="355" w:type="pct"/>
          </w:tcPr>
          <w:p w:rsidR="00E825FE" w:rsidRPr="0041132C" w:rsidRDefault="00E825FE" w:rsidP="001445D8">
            <w:pPr>
              <w:pStyle w:val="TableText"/>
              <w:spacing w:before="0" w:after="0"/>
            </w:pPr>
          </w:p>
          <w:p w:rsidR="00E825FE" w:rsidRPr="0041132C" w:rsidRDefault="00E825FE" w:rsidP="001445D8">
            <w:pPr>
              <w:pStyle w:val="TableText"/>
              <w:spacing w:before="0" w:after="0"/>
            </w:pPr>
            <w:r w:rsidRPr="0041132C">
              <w:t>1</w:t>
            </w:r>
          </w:p>
        </w:tc>
        <w:tc>
          <w:tcPr>
            <w:tcW w:w="617" w:type="pct"/>
          </w:tcPr>
          <w:p w:rsidR="00E825FE" w:rsidRPr="0041132C" w:rsidRDefault="00E825FE" w:rsidP="001445D8">
            <w:pPr>
              <w:pStyle w:val="TableText"/>
              <w:spacing w:before="0" w:after="0"/>
            </w:pPr>
          </w:p>
          <w:p w:rsidR="00E825FE" w:rsidRPr="0041132C" w:rsidRDefault="00E825FE" w:rsidP="001445D8">
            <w:pPr>
              <w:pStyle w:val="TableText"/>
              <w:spacing w:before="0" w:after="0"/>
            </w:pPr>
            <w:r w:rsidRPr="0041132C">
              <w:t>5</w:t>
            </w:r>
          </w:p>
        </w:tc>
        <w:tc>
          <w:tcPr>
            <w:tcW w:w="905" w:type="pct"/>
            <w:vAlign w:val="center"/>
          </w:tcPr>
          <w:p w:rsidR="00E825FE" w:rsidRPr="0041132C" w:rsidRDefault="00E825FE" w:rsidP="001445D8">
            <w:pPr>
              <w:pStyle w:val="TableText"/>
              <w:spacing w:before="0" w:after="0"/>
            </w:pPr>
            <w:r w:rsidRPr="0041132C">
              <w:t>$</w:t>
            </w:r>
            <w:r w:rsidR="003E2FBE">
              <w:rPr>
                <w:noProof/>
                <w:color w:val="000000"/>
                <w:highlight w:val="black"/>
              </w:rPr>
              <w:t>'''''''''''''''''</w:t>
            </w:r>
          </w:p>
        </w:tc>
        <w:tc>
          <w:tcPr>
            <w:tcW w:w="385" w:type="pct"/>
            <w:vAlign w:val="center"/>
          </w:tcPr>
          <w:p w:rsidR="00E825FE" w:rsidRPr="0041132C" w:rsidRDefault="00E825FE" w:rsidP="001445D8">
            <w:pPr>
              <w:pStyle w:val="TableText"/>
              <w:spacing w:before="0" w:after="0"/>
            </w:pPr>
            <w:r w:rsidRPr="0041132C">
              <w:rPr>
                <w:rFonts w:eastAsia="Calibri" w:cs="Arial"/>
                <w:szCs w:val="20"/>
              </w:rPr>
              <w:t xml:space="preserve">Otezla®, </w:t>
            </w:r>
          </w:p>
        </w:tc>
        <w:tc>
          <w:tcPr>
            <w:tcW w:w="897" w:type="pct"/>
            <w:gridSpan w:val="2"/>
            <w:vAlign w:val="center"/>
          </w:tcPr>
          <w:p w:rsidR="00E825FE" w:rsidRPr="0041132C" w:rsidRDefault="00E825FE" w:rsidP="001445D8">
            <w:pPr>
              <w:pStyle w:val="TableText"/>
              <w:spacing w:before="0" w:after="0"/>
            </w:pPr>
            <w:r w:rsidRPr="0041132C">
              <w:rPr>
                <w:rFonts w:eastAsia="Calibri" w:cs="Arial"/>
                <w:szCs w:val="20"/>
              </w:rPr>
              <w:t>Celgene Pty Ltd</w:t>
            </w:r>
          </w:p>
        </w:tc>
      </w:tr>
      <w:tr w:rsidR="00A46FF9" w:rsidRPr="0041132C" w:rsidTr="00A46FF9">
        <w:tblPrEx>
          <w:tblCellMar>
            <w:left w:w="108" w:type="dxa"/>
            <w:right w:w="108" w:type="dxa"/>
          </w:tblCellMar>
        </w:tblPrEx>
        <w:trPr>
          <w:gridAfter w:val="1"/>
          <w:wAfter w:w="10" w:type="pc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PBACHeading1"/>
              <w:numPr>
                <w:ilvl w:val="0"/>
                <w:numId w:val="0"/>
              </w:numPr>
              <w:spacing w:before="0"/>
              <w:ind w:left="720" w:hanging="720"/>
              <w:rPr>
                <w:rFonts w:ascii="Arial Narrow" w:hAnsi="Arial Narrow"/>
                <w:b w:val="0"/>
                <w:sz w:val="20"/>
                <w:szCs w:val="20"/>
              </w:rPr>
            </w:pPr>
            <w:r w:rsidRPr="005348DF">
              <w:rPr>
                <w:rFonts w:ascii="Arial Narrow" w:hAnsi="Arial Narrow"/>
                <w:b w:val="0"/>
                <w:sz w:val="20"/>
                <w:szCs w:val="20"/>
              </w:rPr>
              <w:t>Category / Program</w:t>
            </w:r>
          </w:p>
        </w:tc>
        <w:tc>
          <w:tcPr>
            <w:tcW w:w="3723" w:type="pct"/>
            <w:gridSpan w:val="6"/>
            <w:tcBorders>
              <w:top w:val="single" w:sz="4" w:space="0" w:color="auto"/>
              <w:left w:val="single" w:sz="4" w:space="0" w:color="auto"/>
              <w:bottom w:val="single" w:sz="4" w:space="0" w:color="auto"/>
              <w:right w:val="single" w:sz="4" w:space="0" w:color="auto"/>
            </w:tcBorders>
          </w:tcPr>
          <w:p w:rsidR="00A46FF9" w:rsidRPr="0041132C" w:rsidRDefault="00A46FF9" w:rsidP="001445D8">
            <w:pPr>
              <w:pStyle w:val="TableText"/>
              <w:spacing w:before="0" w:after="120"/>
              <w:rPr>
                <w:szCs w:val="20"/>
              </w:rPr>
            </w:pPr>
            <w:r w:rsidRPr="0041132C">
              <w:rPr>
                <w:szCs w:val="20"/>
              </w:rPr>
              <w:t>GENERAL – General Schedule (Code GE)</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Heading"/>
              <w:spacing w:before="0" w:after="120"/>
              <w:ind w:left="0"/>
              <w:rPr>
                <w:rFonts w:ascii="Arial Narrow" w:hAnsi="Arial Narrow"/>
                <w:b w:val="0"/>
              </w:rPr>
            </w:pPr>
            <w:r w:rsidRPr="005348DF">
              <w:rPr>
                <w:rFonts w:ascii="Arial Narrow" w:hAnsi="Arial Narrow"/>
                <w:b w:val="0"/>
              </w:rPr>
              <w:t>Prescriber type:</w:t>
            </w:r>
          </w:p>
          <w:p w:rsidR="00A46FF9" w:rsidRPr="0041132C" w:rsidRDefault="00A46FF9" w:rsidP="001445D8">
            <w:pPr>
              <w:pStyle w:val="TableHeading"/>
              <w:spacing w:before="0" w:after="120"/>
              <w:ind w:left="0"/>
              <w:rPr>
                <w:rFonts w:ascii="Arial Narrow" w:hAnsi="Arial Narrow"/>
                <w:b w:val="0"/>
              </w:rPr>
            </w:pPr>
          </w:p>
        </w:tc>
        <w:tc>
          <w:tcPr>
            <w:tcW w:w="3723" w:type="pct"/>
            <w:gridSpan w:val="6"/>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Text"/>
              <w:spacing w:before="0" w:after="120"/>
            </w:pPr>
            <w:r w:rsidRPr="001445D8">
              <w:fldChar w:fldCharType="begin">
                <w:ffData>
                  <w:name w:val="Check1"/>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 xml:space="preserve">Dental  </w:t>
            </w:r>
            <w:r w:rsidRPr="001445D8">
              <w:fldChar w:fldCharType="begin">
                <w:ffData>
                  <w:name w:val=""/>
                  <w:enabled/>
                  <w:calcOnExit w:val="0"/>
                  <w:checkBox>
                    <w:sizeAuto/>
                    <w:default w:val="1"/>
                  </w:checkBox>
                </w:ffData>
              </w:fldChar>
            </w:r>
            <w:r w:rsidRPr="0041132C">
              <w:instrText xml:space="preserve"> FORMCHECKBOX </w:instrText>
            </w:r>
            <w:r w:rsidR="003E2FBE">
              <w:fldChar w:fldCharType="separate"/>
            </w:r>
            <w:r w:rsidRPr="001445D8">
              <w:fldChar w:fldCharType="end"/>
            </w:r>
            <w:r w:rsidRPr="005348DF">
              <w:t xml:space="preserve">Medical Practitioners  </w:t>
            </w:r>
            <w:r w:rsidRPr="001445D8">
              <w:fldChar w:fldCharType="begin">
                <w:ffData>
                  <w:name w:val="Check3"/>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 xml:space="preserve">Nurse practitioners  </w:t>
            </w:r>
            <w:r w:rsidRPr="001445D8">
              <w:fldChar w:fldCharType="begin">
                <w:ffData>
                  <w:name w:val=""/>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Optometrists</w:t>
            </w:r>
          </w:p>
          <w:p w:rsidR="00A46FF9" w:rsidRPr="005348DF" w:rsidRDefault="00A46FF9" w:rsidP="001445D8">
            <w:pPr>
              <w:pStyle w:val="TableText"/>
              <w:spacing w:before="0" w:after="120"/>
            </w:pPr>
            <w:r w:rsidRPr="001445D8">
              <w:fldChar w:fldCharType="begin">
                <w:ffData>
                  <w:name w:val="Check5"/>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Midwives</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Heading"/>
              <w:spacing w:before="0" w:after="120"/>
              <w:ind w:left="0"/>
              <w:rPr>
                <w:rFonts w:ascii="Arial Narrow" w:hAnsi="Arial Narrow"/>
                <w:b w:val="0"/>
              </w:rPr>
            </w:pPr>
            <w:r w:rsidRPr="005348DF">
              <w:rPr>
                <w:rFonts w:ascii="Arial Narrow" w:hAnsi="Arial Narrow"/>
                <w:b w:val="0"/>
              </w:rPr>
              <w:t>Severity:</w:t>
            </w:r>
          </w:p>
        </w:tc>
        <w:tc>
          <w:tcPr>
            <w:tcW w:w="3723" w:type="pct"/>
            <w:gridSpan w:val="6"/>
            <w:tcBorders>
              <w:top w:val="single" w:sz="4" w:space="0" w:color="auto"/>
              <w:left w:val="single" w:sz="4" w:space="0" w:color="auto"/>
              <w:bottom w:val="single" w:sz="4" w:space="0" w:color="auto"/>
              <w:right w:val="single" w:sz="4" w:space="0" w:color="auto"/>
            </w:tcBorders>
          </w:tcPr>
          <w:p w:rsidR="00A46FF9" w:rsidRPr="0041132C" w:rsidRDefault="00A46FF9" w:rsidP="001445D8">
            <w:pPr>
              <w:pStyle w:val="TableText"/>
              <w:spacing w:before="0" w:after="120"/>
            </w:pPr>
            <w:r w:rsidRPr="0041132C">
              <w:t>Moderate to severe</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Heading"/>
              <w:spacing w:before="0" w:after="120"/>
              <w:ind w:left="0"/>
              <w:rPr>
                <w:rFonts w:ascii="Arial Narrow" w:hAnsi="Arial Narrow"/>
                <w:b w:val="0"/>
              </w:rPr>
            </w:pPr>
            <w:r w:rsidRPr="005348DF">
              <w:rPr>
                <w:rFonts w:ascii="Arial Narrow" w:hAnsi="Arial Narrow"/>
                <w:b w:val="0"/>
              </w:rPr>
              <w:t>Condition:</w:t>
            </w:r>
          </w:p>
        </w:tc>
        <w:tc>
          <w:tcPr>
            <w:tcW w:w="3723" w:type="pct"/>
            <w:gridSpan w:val="6"/>
            <w:tcBorders>
              <w:top w:val="single" w:sz="4" w:space="0" w:color="auto"/>
              <w:left w:val="single" w:sz="4" w:space="0" w:color="auto"/>
              <w:bottom w:val="single" w:sz="4" w:space="0" w:color="auto"/>
              <w:right w:val="single" w:sz="4" w:space="0" w:color="auto"/>
            </w:tcBorders>
          </w:tcPr>
          <w:p w:rsidR="00A46FF9" w:rsidRPr="0041132C" w:rsidRDefault="00A46FF9" w:rsidP="001445D8">
            <w:pPr>
              <w:pStyle w:val="TableText"/>
              <w:spacing w:before="0" w:after="120"/>
            </w:pPr>
            <w:r w:rsidRPr="0041132C">
              <w:t>Plaque psoriasis</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Heading"/>
              <w:spacing w:before="0" w:after="120"/>
              <w:ind w:left="0"/>
              <w:rPr>
                <w:rFonts w:ascii="Arial Narrow" w:hAnsi="Arial Narrow"/>
                <w:b w:val="0"/>
              </w:rPr>
            </w:pPr>
            <w:r w:rsidRPr="005348DF">
              <w:rPr>
                <w:rFonts w:ascii="Arial Narrow" w:hAnsi="Arial Narrow"/>
                <w:b w:val="0"/>
              </w:rPr>
              <w:t>PBS Indication:</w:t>
            </w:r>
          </w:p>
        </w:tc>
        <w:tc>
          <w:tcPr>
            <w:tcW w:w="3723" w:type="pct"/>
            <w:gridSpan w:val="6"/>
            <w:tcBorders>
              <w:top w:val="single" w:sz="4" w:space="0" w:color="auto"/>
              <w:left w:val="single" w:sz="4" w:space="0" w:color="auto"/>
              <w:bottom w:val="single" w:sz="4" w:space="0" w:color="auto"/>
              <w:right w:val="single" w:sz="4" w:space="0" w:color="auto"/>
            </w:tcBorders>
          </w:tcPr>
          <w:p w:rsidR="00A46FF9" w:rsidRPr="0041132C" w:rsidRDefault="00A46FF9" w:rsidP="001445D8">
            <w:pPr>
              <w:pStyle w:val="TableText"/>
              <w:spacing w:before="0" w:after="120"/>
            </w:pPr>
            <w:r w:rsidRPr="0041132C">
              <w:t>Moderate to severe plaque psoriasis</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21253F" w:rsidRDefault="00A46FF9" w:rsidP="001445D8">
            <w:pPr>
              <w:pStyle w:val="TableHeading"/>
              <w:spacing w:before="0" w:after="120"/>
              <w:ind w:left="0"/>
              <w:rPr>
                <w:rFonts w:ascii="Arial Narrow" w:hAnsi="Arial Narrow"/>
                <w:b w:val="0"/>
              </w:rPr>
            </w:pPr>
            <w:r w:rsidRPr="005348DF">
              <w:rPr>
                <w:rFonts w:ascii="Arial Narrow" w:hAnsi="Arial Narrow"/>
                <w:b w:val="0"/>
              </w:rPr>
              <w:t>Treatment phas</w:t>
            </w:r>
            <w:r w:rsidRPr="0021253F">
              <w:rPr>
                <w:rFonts w:ascii="Arial Narrow" w:hAnsi="Arial Narrow"/>
                <w:b w:val="0"/>
              </w:rPr>
              <w:t>e:</w:t>
            </w:r>
          </w:p>
        </w:tc>
        <w:tc>
          <w:tcPr>
            <w:tcW w:w="3723" w:type="pct"/>
            <w:gridSpan w:val="6"/>
            <w:tcBorders>
              <w:top w:val="single" w:sz="4" w:space="0" w:color="auto"/>
              <w:left w:val="single" w:sz="4" w:space="0" w:color="auto"/>
              <w:bottom w:val="single" w:sz="4" w:space="0" w:color="auto"/>
              <w:right w:val="single" w:sz="4" w:space="0" w:color="auto"/>
            </w:tcBorders>
          </w:tcPr>
          <w:p w:rsidR="00A46FF9" w:rsidRPr="0041132C" w:rsidRDefault="00A46FF9" w:rsidP="001445D8">
            <w:pPr>
              <w:pStyle w:val="TableText"/>
              <w:spacing w:before="0" w:after="120"/>
            </w:pPr>
            <w:r w:rsidRPr="0041132C">
              <w:t>Continuing treatment</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Heading"/>
              <w:spacing w:before="0" w:after="120"/>
              <w:ind w:left="0"/>
              <w:rPr>
                <w:rFonts w:ascii="Arial Narrow" w:hAnsi="Arial Narrow"/>
                <w:b w:val="0"/>
              </w:rPr>
            </w:pPr>
            <w:r w:rsidRPr="005348DF">
              <w:rPr>
                <w:rFonts w:ascii="Arial Narrow" w:hAnsi="Arial Narrow"/>
                <w:b w:val="0"/>
              </w:rPr>
              <w:t>Restriction Level / Method:</w:t>
            </w:r>
          </w:p>
          <w:p w:rsidR="00A46FF9" w:rsidRPr="0041132C" w:rsidRDefault="00A46FF9" w:rsidP="001445D8">
            <w:pPr>
              <w:pStyle w:val="TableHeading"/>
              <w:spacing w:before="0" w:after="120"/>
              <w:ind w:left="0"/>
              <w:rPr>
                <w:rFonts w:ascii="Arial Narrow" w:hAnsi="Arial Narrow"/>
                <w:b w:val="0"/>
              </w:rPr>
            </w:pPr>
          </w:p>
          <w:p w:rsidR="00A46FF9" w:rsidRPr="0041132C" w:rsidRDefault="00A46FF9" w:rsidP="001445D8">
            <w:pPr>
              <w:pStyle w:val="TableHeading"/>
              <w:spacing w:before="0" w:after="120"/>
              <w:ind w:left="0"/>
              <w:rPr>
                <w:rFonts w:ascii="Arial Narrow" w:hAnsi="Arial Narrow"/>
                <w:b w:val="0"/>
              </w:rPr>
            </w:pPr>
          </w:p>
        </w:tc>
        <w:tc>
          <w:tcPr>
            <w:tcW w:w="3723" w:type="pct"/>
            <w:gridSpan w:val="6"/>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Text"/>
              <w:spacing w:before="0" w:after="120"/>
            </w:pPr>
            <w:r w:rsidRPr="001445D8">
              <w:fldChar w:fldCharType="begin">
                <w:ffData>
                  <w:name w:val="Check1"/>
                  <w:enabled/>
                  <w:calcOnExit w:val="0"/>
                  <w:checkBox>
                    <w:sizeAuto/>
                    <w:default w:val="0"/>
                  </w:checkBox>
                </w:ffData>
              </w:fldChar>
            </w:r>
            <w:r w:rsidRPr="0041132C">
              <w:instrText xml:space="preserve"> </w:instrText>
            </w:r>
            <w:bookmarkStart w:id="5" w:name="Check1"/>
            <w:r w:rsidRPr="0041132C">
              <w:instrText xml:space="preserve">FORMCHECKBOX </w:instrText>
            </w:r>
            <w:r w:rsidR="003E2FBE">
              <w:fldChar w:fldCharType="separate"/>
            </w:r>
            <w:r w:rsidRPr="001445D8">
              <w:fldChar w:fldCharType="end"/>
            </w:r>
            <w:bookmarkEnd w:id="5"/>
            <w:r w:rsidRPr="005348DF">
              <w:t>Restricted benefit</w:t>
            </w:r>
          </w:p>
          <w:p w:rsidR="00A46FF9" w:rsidRPr="005348DF" w:rsidRDefault="00A46FF9" w:rsidP="001445D8">
            <w:pPr>
              <w:pStyle w:val="TableText"/>
              <w:spacing w:before="0" w:after="120"/>
            </w:pPr>
            <w:r w:rsidRPr="001445D8">
              <w:fldChar w:fldCharType="begin">
                <w:ffData>
                  <w:name w:val=""/>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Authority Required - In Writing</w:t>
            </w:r>
          </w:p>
          <w:p w:rsidR="00A46FF9" w:rsidRPr="005348DF" w:rsidRDefault="00A46FF9" w:rsidP="001445D8">
            <w:pPr>
              <w:pStyle w:val="TableText"/>
              <w:spacing w:before="0" w:after="120"/>
            </w:pPr>
            <w:r w:rsidRPr="001445D8">
              <w:fldChar w:fldCharType="begin">
                <w:ffData>
                  <w:name w:val="Check3"/>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Authority Required - Telephone</w:t>
            </w:r>
          </w:p>
          <w:p w:rsidR="00A46FF9" w:rsidRPr="005348DF" w:rsidRDefault="00A46FF9" w:rsidP="001445D8">
            <w:pPr>
              <w:pStyle w:val="TableText"/>
              <w:spacing w:before="0" w:after="120"/>
            </w:pPr>
            <w:r w:rsidRPr="001445D8">
              <w:fldChar w:fldCharType="begin">
                <w:ffData>
                  <w:name w:val=""/>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Authority Required - Emergency</w:t>
            </w:r>
          </w:p>
          <w:p w:rsidR="00A46FF9" w:rsidRPr="005348DF" w:rsidRDefault="00A46FF9" w:rsidP="001445D8">
            <w:pPr>
              <w:pStyle w:val="TableText"/>
              <w:spacing w:before="0" w:after="120"/>
            </w:pPr>
            <w:r w:rsidRPr="001445D8">
              <w:fldChar w:fldCharType="begin">
                <w:ffData>
                  <w:name w:val="Check5"/>
                  <w:enabled/>
                  <w:calcOnExit w:val="0"/>
                  <w:checkBox>
                    <w:sizeAuto/>
                    <w:default w:val="0"/>
                  </w:checkBox>
                </w:ffData>
              </w:fldChar>
            </w:r>
            <w:r w:rsidRPr="0041132C">
              <w:instrText xml:space="preserve"> FORMCHECKBOX </w:instrText>
            </w:r>
            <w:r w:rsidR="003E2FBE">
              <w:fldChar w:fldCharType="separate"/>
            </w:r>
            <w:r w:rsidRPr="001445D8">
              <w:fldChar w:fldCharType="end"/>
            </w:r>
            <w:r w:rsidRPr="005348DF">
              <w:t>Authority Required - Electronic</w:t>
            </w:r>
          </w:p>
          <w:p w:rsidR="00A46FF9" w:rsidRPr="005348DF" w:rsidRDefault="00A46FF9" w:rsidP="001445D8">
            <w:pPr>
              <w:pStyle w:val="TableText"/>
              <w:spacing w:before="0" w:after="120"/>
            </w:pPr>
            <w:r w:rsidRPr="001445D8">
              <w:fldChar w:fldCharType="begin">
                <w:ffData>
                  <w:name w:val=""/>
                  <w:enabled/>
                  <w:calcOnExit w:val="0"/>
                  <w:checkBox>
                    <w:sizeAuto/>
                    <w:default w:val="1"/>
                  </w:checkBox>
                </w:ffData>
              </w:fldChar>
            </w:r>
            <w:r w:rsidRPr="0041132C">
              <w:instrText xml:space="preserve"> FORMCHECKBOX </w:instrText>
            </w:r>
            <w:r w:rsidR="003E2FBE">
              <w:fldChar w:fldCharType="separate"/>
            </w:r>
            <w:r w:rsidRPr="001445D8">
              <w:fldChar w:fldCharType="end"/>
            </w:r>
            <w:r w:rsidRPr="005348DF">
              <w:t>Streamlined</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Heading"/>
              <w:spacing w:before="0" w:after="120"/>
              <w:ind w:left="0"/>
              <w:rPr>
                <w:rFonts w:ascii="Arial Narrow" w:hAnsi="Arial Narrow"/>
                <w:b w:val="0"/>
              </w:rPr>
            </w:pPr>
            <w:r w:rsidRPr="005348DF">
              <w:rPr>
                <w:rFonts w:ascii="Arial Narrow" w:hAnsi="Arial Narrow"/>
                <w:b w:val="0"/>
              </w:rPr>
              <w:t>Treatment criteria:</w:t>
            </w:r>
          </w:p>
          <w:p w:rsidR="00A46FF9" w:rsidRPr="0041132C" w:rsidRDefault="00A46FF9" w:rsidP="001445D8">
            <w:pPr>
              <w:pStyle w:val="TableHeading"/>
              <w:spacing w:before="0" w:after="120"/>
              <w:ind w:left="0"/>
              <w:rPr>
                <w:rFonts w:ascii="Arial Narrow" w:hAnsi="Arial Narrow"/>
                <w:b w:val="0"/>
              </w:rPr>
            </w:pPr>
          </w:p>
        </w:tc>
        <w:tc>
          <w:tcPr>
            <w:tcW w:w="3723" w:type="pct"/>
            <w:gridSpan w:val="6"/>
            <w:tcBorders>
              <w:top w:val="single" w:sz="4" w:space="0" w:color="auto"/>
              <w:left w:val="single" w:sz="4" w:space="0" w:color="auto"/>
              <w:bottom w:val="single" w:sz="4" w:space="0" w:color="auto"/>
              <w:right w:val="single" w:sz="4" w:space="0" w:color="auto"/>
            </w:tcBorders>
          </w:tcPr>
          <w:p w:rsidR="00A46FF9" w:rsidRPr="0041132C" w:rsidRDefault="00A46FF9" w:rsidP="001445D8">
            <w:pPr>
              <w:pStyle w:val="TableText"/>
              <w:spacing w:before="0" w:after="120"/>
            </w:pPr>
            <w:r w:rsidRPr="0041132C">
              <w:t>Patient must have previously received PBS-subsidised treatment with apremilast.</w:t>
            </w:r>
          </w:p>
        </w:tc>
      </w:tr>
      <w:tr w:rsidR="00A46FF9" w:rsidRPr="0041132C" w:rsidTr="00A46FF9">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A46FF9" w:rsidRPr="005348DF" w:rsidRDefault="00A46FF9" w:rsidP="001445D8">
            <w:pPr>
              <w:pStyle w:val="TableHeading"/>
              <w:spacing w:before="0" w:after="120"/>
              <w:ind w:left="0"/>
              <w:rPr>
                <w:rFonts w:ascii="Arial Narrow" w:hAnsi="Arial Narrow"/>
                <w:b w:val="0"/>
              </w:rPr>
            </w:pPr>
            <w:r w:rsidRPr="005348DF">
              <w:rPr>
                <w:rFonts w:ascii="Arial Narrow" w:hAnsi="Arial Narrow"/>
                <w:b w:val="0"/>
              </w:rPr>
              <w:t>Administrative Advice</w:t>
            </w:r>
          </w:p>
          <w:p w:rsidR="00A46FF9" w:rsidRPr="0041132C" w:rsidRDefault="00A46FF9" w:rsidP="001445D8">
            <w:pPr>
              <w:pStyle w:val="TableHeading"/>
              <w:spacing w:before="0" w:after="120"/>
              <w:ind w:left="0"/>
              <w:rPr>
                <w:rFonts w:ascii="Arial Narrow" w:hAnsi="Arial Narrow"/>
                <w:b w:val="0"/>
              </w:rPr>
            </w:pPr>
          </w:p>
        </w:tc>
        <w:tc>
          <w:tcPr>
            <w:tcW w:w="3723" w:type="pct"/>
            <w:gridSpan w:val="6"/>
            <w:tcBorders>
              <w:top w:val="single" w:sz="4" w:space="0" w:color="auto"/>
              <w:left w:val="single" w:sz="4" w:space="0" w:color="auto"/>
              <w:bottom w:val="single" w:sz="4" w:space="0" w:color="auto"/>
              <w:right w:val="single" w:sz="4" w:space="0" w:color="auto"/>
            </w:tcBorders>
          </w:tcPr>
          <w:p w:rsidR="00A46FF9" w:rsidRPr="0041132C" w:rsidRDefault="00A46FF9" w:rsidP="001445D8">
            <w:pPr>
              <w:pStyle w:val="TableText"/>
              <w:spacing w:before="0" w:after="120"/>
            </w:pPr>
            <w:r w:rsidRPr="0041132C">
              <w:t>No increase in the maximum number of repeats may be authorised.</w:t>
            </w:r>
          </w:p>
          <w:p w:rsidR="00A46FF9" w:rsidRPr="0041132C" w:rsidRDefault="00A46FF9" w:rsidP="001445D8">
            <w:pPr>
              <w:pStyle w:val="TableText"/>
              <w:spacing w:before="0" w:after="120"/>
            </w:pPr>
            <w:r w:rsidRPr="0041132C">
              <w:t>No increase in the maximum quantity or number of units may be authorised.</w:t>
            </w:r>
          </w:p>
          <w:p w:rsidR="00A46FF9" w:rsidRPr="0041132C" w:rsidRDefault="00A46FF9" w:rsidP="001445D8">
            <w:pPr>
              <w:pStyle w:val="TableText"/>
              <w:spacing w:before="0" w:after="120"/>
              <w:rPr>
                <w:strike/>
              </w:rPr>
            </w:pPr>
            <w:r w:rsidRPr="0041132C">
              <w:rPr>
                <w:strike/>
              </w:rPr>
              <w:t>Special Pricing Arrangements apply.</w:t>
            </w:r>
          </w:p>
        </w:tc>
      </w:tr>
    </w:tbl>
    <w:p w:rsidR="00A46FF9" w:rsidRPr="0041132C" w:rsidRDefault="00A46FF9" w:rsidP="001445D8">
      <w:pPr>
        <w:spacing w:before="0" w:after="120"/>
        <w:jc w:val="both"/>
        <w:rPr>
          <w:rFonts w:ascii="Arial Narrow" w:hAnsi="Arial Narrow"/>
          <w:sz w:val="18"/>
          <w:szCs w:val="18"/>
        </w:rPr>
      </w:pPr>
      <w:r w:rsidRPr="0041132C">
        <w:rPr>
          <w:rFonts w:ascii="Arial Narrow" w:hAnsi="Arial Narrow"/>
          <w:sz w:val="18"/>
          <w:szCs w:val="18"/>
        </w:rPr>
        <w:t>Source: Tables 1.5.1,1.5.3, p6-7 of the resubmission</w:t>
      </w:r>
    </w:p>
    <w:p w:rsidR="0015540B" w:rsidRPr="0041132C" w:rsidRDefault="0015540B" w:rsidP="00353DCC">
      <w:pPr>
        <w:pStyle w:val="ListParagraph"/>
        <w:numPr>
          <w:ilvl w:val="0"/>
          <w:numId w:val="18"/>
        </w:numPr>
        <w:spacing w:before="200" w:after="120"/>
        <w:jc w:val="both"/>
        <w:rPr>
          <w:rFonts w:ascii="Arial" w:eastAsia="Times New Roman" w:hAnsi="Arial" w:cs="Arial"/>
          <w:b/>
          <w:snapToGrid w:val="0"/>
          <w:vanish/>
          <w:sz w:val="22"/>
        </w:rPr>
      </w:pPr>
    </w:p>
    <w:p w:rsidR="0015540B" w:rsidRPr="0041132C" w:rsidRDefault="0015540B" w:rsidP="00353DCC">
      <w:pPr>
        <w:pStyle w:val="ListParagraph"/>
        <w:numPr>
          <w:ilvl w:val="0"/>
          <w:numId w:val="18"/>
        </w:numPr>
        <w:spacing w:before="200" w:after="120"/>
        <w:jc w:val="both"/>
        <w:rPr>
          <w:rFonts w:ascii="Arial" w:eastAsia="Times New Roman" w:hAnsi="Arial" w:cs="Arial"/>
          <w:b/>
          <w:snapToGrid w:val="0"/>
          <w:vanish/>
          <w:sz w:val="22"/>
        </w:rPr>
      </w:pPr>
    </w:p>
    <w:p w:rsidR="00C317F3" w:rsidRPr="0041132C" w:rsidRDefault="00415FB8" w:rsidP="00353DCC">
      <w:pPr>
        <w:pStyle w:val="ListParagraph"/>
        <w:numPr>
          <w:ilvl w:val="1"/>
          <w:numId w:val="18"/>
        </w:numPr>
        <w:spacing w:before="0" w:after="120"/>
      </w:pPr>
      <w:r w:rsidRPr="0041132C">
        <w:t>It was noted that details of a special pricing arrangement were not provided</w:t>
      </w:r>
      <w:r w:rsidR="00133E63" w:rsidRPr="0041132C">
        <w:t xml:space="preserve"> in this resubmission</w:t>
      </w:r>
      <w:r w:rsidRPr="0041132C">
        <w:t>.</w:t>
      </w:r>
      <w:r w:rsidR="00133E63" w:rsidRPr="0041132C">
        <w:t xml:space="preserve"> In </w:t>
      </w:r>
      <w:r w:rsidR="00794631" w:rsidRPr="0041132C">
        <w:t>the November</w:t>
      </w:r>
      <w:r w:rsidR="00345D20" w:rsidRPr="0041132C">
        <w:t xml:space="preserve"> 2016 resubmission, a Special Pricing Arrangement was suggested to be implemented such that the published list price </w:t>
      </w:r>
      <w:r w:rsidR="00193B42" w:rsidRPr="0041132C">
        <w:t xml:space="preserve">was </w:t>
      </w:r>
      <w:r w:rsidR="00345D20" w:rsidRPr="0041132C">
        <w:t xml:space="preserve">as per the March </w:t>
      </w:r>
      <w:r w:rsidR="00794631" w:rsidRPr="0041132C">
        <w:t>2015 with</w:t>
      </w:r>
      <w:r w:rsidR="00345D20" w:rsidRPr="0041132C">
        <w:t xml:space="preserve"> a proposed effective price representing a </w:t>
      </w:r>
      <w:r w:rsidR="003E2FBE">
        <w:rPr>
          <w:noProof/>
          <w:color w:val="000000"/>
          <w:highlight w:val="black"/>
        </w:rPr>
        <w:t>'''''</w:t>
      </w:r>
      <w:r w:rsidR="00345D20" w:rsidRPr="0041132C">
        <w:t>% discount to the March 2015 submission price</w:t>
      </w:r>
      <w:r w:rsidR="004D0ABE" w:rsidRPr="0041132C">
        <w:t>.</w:t>
      </w:r>
      <w:r w:rsidR="00E825FE" w:rsidRPr="0041132C">
        <w:t xml:space="preserve"> </w:t>
      </w:r>
      <w:r w:rsidR="004D0ABE" w:rsidRPr="0041132C">
        <w:t>T</w:t>
      </w:r>
      <w:r w:rsidR="00E825FE" w:rsidRPr="0041132C">
        <w:t>he current resubmission offer</w:t>
      </w:r>
      <w:r w:rsidR="004D0ABE" w:rsidRPr="0041132C">
        <w:t>ed</w:t>
      </w:r>
      <w:r w:rsidR="00E825FE" w:rsidRPr="0041132C">
        <w:t xml:space="preserve"> a proposed price with a ~</w:t>
      </w:r>
      <w:r w:rsidR="003E2FBE">
        <w:rPr>
          <w:noProof/>
          <w:color w:val="000000"/>
          <w:highlight w:val="black"/>
        </w:rPr>
        <w:t>'''''</w:t>
      </w:r>
      <w:r w:rsidR="00E825FE" w:rsidRPr="0041132C">
        <w:t>% reduction on the original March 2015 submission</w:t>
      </w:r>
      <w:r w:rsidR="00345D20" w:rsidRPr="0041132C">
        <w:t xml:space="preserve">. </w:t>
      </w:r>
    </w:p>
    <w:p w:rsidR="00D56856" w:rsidRPr="0041132C" w:rsidRDefault="006D4FD9">
      <w:pPr>
        <w:pStyle w:val="ListParagraph"/>
        <w:numPr>
          <w:ilvl w:val="1"/>
          <w:numId w:val="3"/>
        </w:numPr>
        <w:spacing w:before="0" w:after="120"/>
        <w:jc w:val="both"/>
      </w:pPr>
      <w:r w:rsidRPr="0041132C">
        <w:t>The current resubmission</w:t>
      </w:r>
      <w:r w:rsidRPr="0041132C">
        <w:rPr>
          <w:color w:val="4472C4" w:themeColor="accent5"/>
        </w:rPr>
        <w:t xml:space="preserve"> </w:t>
      </w:r>
      <w:r w:rsidR="00D56856" w:rsidRPr="0041132C">
        <w:t xml:space="preserve">when contrasted with the </w:t>
      </w:r>
      <w:r w:rsidR="00AA2868" w:rsidRPr="0041132C">
        <w:t>previous submissions in</w:t>
      </w:r>
      <w:r w:rsidR="00D56856" w:rsidRPr="0041132C">
        <w:t>dicated differences in the requested PBS restrictions as follows:</w:t>
      </w:r>
    </w:p>
    <w:p w:rsidR="00D56856" w:rsidRPr="0041132C" w:rsidRDefault="00B625D7" w:rsidP="00353DCC">
      <w:pPr>
        <w:pStyle w:val="ListParagraph"/>
        <w:numPr>
          <w:ilvl w:val="0"/>
          <w:numId w:val="11"/>
        </w:numPr>
        <w:spacing w:before="0" w:after="120"/>
        <w:ind w:left="1134" w:hanging="425"/>
        <w:jc w:val="both"/>
      </w:pPr>
      <w:r w:rsidRPr="0041132C">
        <w:t>T</w:t>
      </w:r>
      <w:r w:rsidR="00D56856" w:rsidRPr="0041132C">
        <w:t>he restriction level was changed to a "restricted benefit" compared to the previous submissions</w:t>
      </w:r>
      <w:r w:rsidR="00AA2868" w:rsidRPr="0041132C">
        <w:t>'</w:t>
      </w:r>
      <w:r w:rsidR="00D56856" w:rsidRPr="0041132C">
        <w:t xml:space="preserve"> "streamlined </w:t>
      </w:r>
      <w:r w:rsidR="00E864F8" w:rsidRPr="0041132C">
        <w:t xml:space="preserve">authority </w:t>
      </w:r>
      <w:r w:rsidR="00D56856" w:rsidRPr="0041132C">
        <w:t>restriction" in March 2017</w:t>
      </w:r>
      <w:r w:rsidR="00AA2868" w:rsidRPr="0041132C">
        <w:t>, November 2016 and March 2015</w:t>
      </w:r>
      <w:r w:rsidR="00D12A74" w:rsidRPr="0041132C">
        <w:rPr>
          <w:i/>
        </w:rPr>
        <w:t xml:space="preserve">. </w:t>
      </w:r>
      <w:r w:rsidR="00D12A74" w:rsidRPr="0041132C">
        <w:t>In the</w:t>
      </w:r>
      <w:r w:rsidR="00076E60" w:rsidRPr="0041132C">
        <w:t xml:space="preserve"> </w:t>
      </w:r>
      <w:r w:rsidR="00D12A74" w:rsidRPr="0041132C">
        <w:t>P</w:t>
      </w:r>
      <w:r w:rsidR="00076E60" w:rsidRPr="0041132C">
        <w:t>re-</w:t>
      </w:r>
      <w:r w:rsidR="00D12A74" w:rsidRPr="0041132C">
        <w:t>S</w:t>
      </w:r>
      <w:r w:rsidR="00076E60" w:rsidRPr="0041132C">
        <w:t>ub-</w:t>
      </w:r>
      <w:r w:rsidR="00D12A74" w:rsidRPr="0041132C">
        <w:t>C</w:t>
      </w:r>
      <w:r w:rsidR="00076E60" w:rsidRPr="0041132C">
        <w:t xml:space="preserve">ommittee </w:t>
      </w:r>
      <w:r w:rsidR="00D12A74" w:rsidRPr="0041132C">
        <w:t>R</w:t>
      </w:r>
      <w:r w:rsidR="00076E60" w:rsidRPr="0041132C">
        <w:t>esponse (PSCR)</w:t>
      </w:r>
      <w:r w:rsidR="001445D8">
        <w:t xml:space="preserve"> </w:t>
      </w:r>
      <w:r w:rsidR="00426391" w:rsidRPr="0041132C">
        <w:t>(p.1)</w:t>
      </w:r>
      <w:r w:rsidR="00D12A74" w:rsidRPr="0041132C">
        <w:t xml:space="preserve"> the sponsor agreed that a streamlined restriction would be appropriate.</w:t>
      </w:r>
    </w:p>
    <w:p w:rsidR="00AA2868" w:rsidRPr="0041132C" w:rsidRDefault="00D56856" w:rsidP="00353DCC">
      <w:pPr>
        <w:pStyle w:val="ListParagraph"/>
        <w:numPr>
          <w:ilvl w:val="0"/>
          <w:numId w:val="11"/>
        </w:numPr>
        <w:spacing w:before="0" w:after="120"/>
        <w:ind w:left="1134" w:hanging="425"/>
        <w:contextualSpacing/>
        <w:jc w:val="both"/>
      </w:pPr>
      <w:r w:rsidRPr="0041132C">
        <w:t>Treatment criteria w</w:t>
      </w:r>
      <w:r w:rsidR="00DF4225" w:rsidRPr="0041132C">
        <w:t>ere</w:t>
      </w:r>
      <w:r w:rsidRPr="0041132C">
        <w:t xml:space="preserve"> </w:t>
      </w:r>
      <w:r w:rsidR="00732742" w:rsidRPr="0041132C">
        <w:t xml:space="preserve">changed </w:t>
      </w:r>
      <w:r w:rsidRPr="0041132C">
        <w:t xml:space="preserve">to include patients who had "not tolerated methotrexate according to the </w:t>
      </w:r>
      <w:r w:rsidR="00DF4225" w:rsidRPr="0041132C">
        <w:t>T</w:t>
      </w:r>
      <w:r w:rsidRPr="0041132C">
        <w:t>herapeutics Goods Administration</w:t>
      </w:r>
      <w:r w:rsidR="0034340B" w:rsidRPr="0041132C">
        <w:t xml:space="preserve"> approved Product Information</w:t>
      </w:r>
      <w:r w:rsidRPr="0041132C">
        <w:t>"</w:t>
      </w:r>
      <w:r w:rsidR="00AA2868" w:rsidRPr="0041132C">
        <w:t xml:space="preserve"> compared to </w:t>
      </w:r>
      <w:r w:rsidR="00DF4225" w:rsidRPr="0041132C">
        <w:t xml:space="preserve">the </w:t>
      </w:r>
      <w:r w:rsidR="00AA2868" w:rsidRPr="0041132C">
        <w:t>previous submissions as follows:</w:t>
      </w:r>
    </w:p>
    <w:p w:rsidR="008836C5" w:rsidRPr="0041132C" w:rsidRDefault="00AA2868" w:rsidP="00353DCC">
      <w:pPr>
        <w:pStyle w:val="ListParagraph"/>
        <w:keepNext/>
        <w:keepLines/>
        <w:numPr>
          <w:ilvl w:val="0"/>
          <w:numId w:val="14"/>
        </w:numPr>
        <w:spacing w:before="0" w:after="120"/>
        <w:ind w:left="1560" w:hanging="426"/>
        <w:contextualSpacing/>
        <w:jc w:val="both"/>
      </w:pPr>
      <w:r w:rsidRPr="0041132C">
        <w:t xml:space="preserve">In March 2017, </w:t>
      </w:r>
      <w:r w:rsidR="008836C5" w:rsidRPr="0041132C">
        <w:t>treatment criteria included "m</w:t>
      </w:r>
      <w:r w:rsidR="00D33CCC" w:rsidRPr="0041132C">
        <w:t xml:space="preserve">ust be treated by a </w:t>
      </w:r>
      <w:r w:rsidR="008836C5" w:rsidRPr="0041132C">
        <w:t>d</w:t>
      </w:r>
      <w:r w:rsidR="00D33CCC" w:rsidRPr="0041132C">
        <w:t xml:space="preserve">ermatologist, </w:t>
      </w:r>
    </w:p>
    <w:p w:rsidR="00D33CCC" w:rsidRPr="0041132C" w:rsidRDefault="00D33CCC">
      <w:pPr>
        <w:keepNext/>
        <w:keepLines/>
        <w:spacing w:before="0" w:after="120"/>
        <w:ind w:left="1560"/>
        <w:contextualSpacing/>
        <w:jc w:val="both"/>
      </w:pPr>
      <w:r w:rsidRPr="0041132C">
        <w:t>OR</w:t>
      </w:r>
    </w:p>
    <w:p w:rsidR="00D33CCC" w:rsidRPr="0041132C" w:rsidRDefault="00D33CCC" w:rsidP="00353DCC">
      <w:pPr>
        <w:pStyle w:val="ListParagraph"/>
        <w:keepNext/>
        <w:keepLines/>
        <w:numPr>
          <w:ilvl w:val="0"/>
          <w:numId w:val="14"/>
        </w:numPr>
        <w:spacing w:before="0" w:after="120"/>
        <w:ind w:left="1986" w:hanging="426"/>
        <w:contextualSpacing/>
        <w:jc w:val="both"/>
      </w:pPr>
      <w:r w:rsidRPr="0041132C">
        <w:t>Must be treated by a general physician with expertise in the management of plaque psoriasis</w:t>
      </w:r>
      <w:r w:rsidR="00732742" w:rsidRPr="0041132C">
        <w:t>"</w:t>
      </w:r>
      <w:r w:rsidRPr="0041132C">
        <w:t>.</w:t>
      </w:r>
    </w:p>
    <w:p w:rsidR="00D33CCC" w:rsidRPr="0041132C" w:rsidRDefault="00D33CCC">
      <w:pPr>
        <w:keepNext/>
        <w:spacing w:before="0" w:after="120"/>
        <w:ind w:left="1560"/>
        <w:contextualSpacing/>
        <w:jc w:val="both"/>
      </w:pPr>
      <w:r w:rsidRPr="0041132C">
        <w:t>AND</w:t>
      </w:r>
    </w:p>
    <w:p w:rsidR="008836C5" w:rsidRPr="0041132C" w:rsidRDefault="00D33CCC" w:rsidP="00353DCC">
      <w:pPr>
        <w:pStyle w:val="ListParagraph"/>
        <w:numPr>
          <w:ilvl w:val="3"/>
          <w:numId w:val="11"/>
        </w:numPr>
        <w:spacing w:before="0" w:after="120"/>
        <w:ind w:left="1985"/>
        <w:contextualSpacing/>
        <w:jc w:val="both"/>
      </w:pPr>
      <w:r w:rsidRPr="0041132C">
        <w:t>Patient must have failed to achieve an adequate response or be contraindicated to treatment with methotrexate</w:t>
      </w:r>
      <w:r w:rsidR="004A29C0" w:rsidRPr="0041132C">
        <w:t>.</w:t>
      </w:r>
    </w:p>
    <w:p w:rsidR="00A532C8" w:rsidRPr="0041132C" w:rsidRDefault="008836C5" w:rsidP="00353DCC">
      <w:pPr>
        <w:pStyle w:val="ListParagraph"/>
        <w:keepNext/>
        <w:keepLines/>
        <w:numPr>
          <w:ilvl w:val="0"/>
          <w:numId w:val="14"/>
        </w:numPr>
        <w:spacing w:before="0" w:after="120"/>
        <w:ind w:left="1559" w:hanging="425"/>
        <w:contextualSpacing/>
        <w:jc w:val="both"/>
      </w:pPr>
      <w:r w:rsidRPr="0041132C">
        <w:t xml:space="preserve">In November 2016, </w:t>
      </w:r>
      <w:r w:rsidR="00D76FF7" w:rsidRPr="0041132C">
        <w:t>treatment criteria w</w:t>
      </w:r>
      <w:r w:rsidR="00DF4225" w:rsidRPr="0041132C">
        <w:t>ere</w:t>
      </w:r>
      <w:r w:rsidR="00D76FF7" w:rsidRPr="0041132C">
        <w:t xml:space="preserve"> </w:t>
      </w:r>
      <w:r w:rsidR="00B00A18" w:rsidRPr="0041132C">
        <w:t>broad with the only requirement being "must be initiated by a dermatologist</w:t>
      </w:r>
      <w:r w:rsidR="00846263" w:rsidRPr="0041132C">
        <w:t>"</w:t>
      </w:r>
      <w:r w:rsidR="00D76FF7" w:rsidRPr="0041132C">
        <w:t>;</w:t>
      </w:r>
    </w:p>
    <w:p w:rsidR="00846263" w:rsidRPr="0041132C" w:rsidRDefault="00D76FF7" w:rsidP="00353DCC">
      <w:pPr>
        <w:pStyle w:val="ListParagraph"/>
        <w:keepNext/>
        <w:keepLines/>
        <w:numPr>
          <w:ilvl w:val="0"/>
          <w:numId w:val="14"/>
        </w:numPr>
        <w:spacing w:before="0" w:after="120"/>
        <w:ind w:left="1559" w:hanging="425"/>
        <w:contextualSpacing/>
        <w:jc w:val="both"/>
      </w:pPr>
      <w:r w:rsidRPr="0041132C">
        <w:t>In March 2015, the treatment criteria included "m</w:t>
      </w:r>
      <w:r w:rsidR="004A29C0" w:rsidRPr="0041132C">
        <w:t>ust be initiated by a dermatologist or rheumatologist;</w:t>
      </w:r>
    </w:p>
    <w:p w:rsidR="00AA2868" w:rsidRPr="0041132C" w:rsidRDefault="00AA2868" w:rsidP="00353DCC">
      <w:pPr>
        <w:pStyle w:val="Table"/>
        <w:numPr>
          <w:ilvl w:val="0"/>
          <w:numId w:val="13"/>
        </w:numPr>
        <w:spacing w:after="120"/>
        <w:ind w:left="2127" w:hanging="426"/>
        <w:contextualSpacing/>
        <w:jc w:val="both"/>
        <w:rPr>
          <w:rFonts w:eastAsiaTheme="minorHAnsi" w:cstheme="minorBidi"/>
          <w:sz w:val="24"/>
          <w:lang w:bidi="ar-SA"/>
        </w:rPr>
      </w:pPr>
      <w:r w:rsidRPr="0041132C">
        <w:rPr>
          <w:rFonts w:eastAsiaTheme="minorHAnsi" w:cstheme="minorBidi"/>
          <w:sz w:val="24"/>
          <w:lang w:bidi="ar-SA"/>
        </w:rPr>
        <w:t xml:space="preserve">Patient must have previously received and failed to achieve an adequate response to one or more systemic therapies, including methotrexate; </w:t>
      </w:r>
    </w:p>
    <w:p w:rsidR="00AA2868" w:rsidRPr="0041132C" w:rsidRDefault="00AA2868">
      <w:pPr>
        <w:pStyle w:val="Table"/>
        <w:spacing w:after="120"/>
        <w:ind w:left="2127"/>
        <w:contextualSpacing/>
        <w:jc w:val="both"/>
        <w:rPr>
          <w:rFonts w:eastAsiaTheme="minorHAnsi" w:cstheme="minorBidi"/>
          <w:sz w:val="24"/>
          <w:lang w:bidi="ar-SA"/>
        </w:rPr>
      </w:pPr>
      <w:r w:rsidRPr="0041132C">
        <w:rPr>
          <w:rFonts w:eastAsiaTheme="minorHAnsi" w:cstheme="minorBidi"/>
          <w:sz w:val="24"/>
          <w:lang w:bidi="ar-SA"/>
        </w:rPr>
        <w:tab/>
        <w:t>OR</w:t>
      </w:r>
    </w:p>
    <w:p w:rsidR="004A29C0" w:rsidRPr="0041132C" w:rsidRDefault="00AA2868" w:rsidP="00353DCC">
      <w:pPr>
        <w:pStyle w:val="ListParagraph"/>
        <w:numPr>
          <w:ilvl w:val="0"/>
          <w:numId w:val="13"/>
        </w:numPr>
        <w:spacing w:before="0" w:after="120"/>
        <w:ind w:left="2127" w:hanging="426"/>
        <w:contextualSpacing/>
        <w:jc w:val="both"/>
      </w:pPr>
      <w:r w:rsidRPr="0041132C">
        <w:t>Patient must be clinically inappropriate for treatment with one or more systemic therapies, including methotrexate.</w:t>
      </w:r>
    </w:p>
    <w:p w:rsidR="00FD2A0A" w:rsidRPr="0041132C" w:rsidRDefault="00FD2A0A">
      <w:pPr>
        <w:pStyle w:val="ListParagraph"/>
        <w:spacing w:before="0" w:after="120"/>
        <w:ind w:left="2127"/>
        <w:contextualSpacing/>
        <w:jc w:val="both"/>
      </w:pPr>
    </w:p>
    <w:p w:rsidR="004C46ED" w:rsidRPr="0041132C" w:rsidRDefault="004C46ED">
      <w:pPr>
        <w:pStyle w:val="ListParagraph"/>
        <w:numPr>
          <w:ilvl w:val="1"/>
          <w:numId w:val="3"/>
        </w:numPr>
        <w:spacing w:before="0" w:after="120"/>
        <w:jc w:val="both"/>
        <w:rPr>
          <w:szCs w:val="24"/>
        </w:rPr>
      </w:pPr>
      <w:r w:rsidRPr="0041132C">
        <w:rPr>
          <w:szCs w:val="24"/>
        </w:rPr>
        <w:t>The Australasian College of Dermatologists released an updated clinical management algorithm for psoriasis (March 2017) which does not</w:t>
      </w:r>
      <w:r w:rsidRPr="0041132C">
        <w:rPr>
          <w:i/>
          <w:szCs w:val="24"/>
        </w:rPr>
        <w:t xml:space="preserve"> </w:t>
      </w:r>
      <w:r w:rsidRPr="0041132C">
        <w:rPr>
          <w:szCs w:val="24"/>
        </w:rPr>
        <w:t>include a category of moderate</w:t>
      </w:r>
      <w:r w:rsidR="000E1D53" w:rsidRPr="0041132C">
        <w:rPr>
          <w:szCs w:val="24"/>
        </w:rPr>
        <w:t xml:space="preserve"> to severe psoriasis </w:t>
      </w:r>
      <w:r w:rsidRPr="0041132C">
        <w:rPr>
          <w:szCs w:val="24"/>
        </w:rPr>
        <w:t>as is requested in the proposed restriction.</w:t>
      </w:r>
      <w:r w:rsidRPr="0041132C">
        <w:rPr>
          <w:i/>
          <w:szCs w:val="24"/>
        </w:rPr>
        <w:t xml:space="preserve"> </w:t>
      </w:r>
      <w:r w:rsidR="000E1D53" w:rsidRPr="0041132C">
        <w:t xml:space="preserve">The TGA approved indication is for moderate-severe plaque psoriasis. </w:t>
      </w:r>
      <w:r w:rsidRPr="0041132C">
        <w:rPr>
          <w:szCs w:val="24"/>
        </w:rPr>
        <w:t xml:space="preserve">The PSCR </w:t>
      </w:r>
      <w:r w:rsidR="00426391" w:rsidRPr="0041132C">
        <w:rPr>
          <w:szCs w:val="24"/>
        </w:rPr>
        <w:t xml:space="preserve">(p.1) </w:t>
      </w:r>
      <w:r w:rsidRPr="0041132C">
        <w:rPr>
          <w:szCs w:val="24"/>
        </w:rPr>
        <w:t xml:space="preserve">argued that the updated clinical management algorithm does not impact upon the proposed restriction </w:t>
      </w:r>
      <w:r w:rsidRPr="0041132C">
        <w:t xml:space="preserve">or disease classification for apremilast eligible patients; stating that the most significant consideration when treating patients with systemic agents such as apremilast is a patient’s disease activity measured by the </w:t>
      </w:r>
      <w:r w:rsidRPr="0041132C">
        <w:rPr>
          <w:rFonts w:cs="Arial"/>
          <w:shd w:val="clear" w:color="auto" w:fill="FFFFFF"/>
        </w:rPr>
        <w:t>Psoriasis Area and Severity Index (PASI).</w:t>
      </w:r>
      <w:r w:rsidRPr="0041132C">
        <w:t xml:space="preserve"> </w:t>
      </w:r>
      <w:r w:rsidRPr="0041132C">
        <w:rPr>
          <w:szCs w:val="24"/>
        </w:rPr>
        <w:t>The ESC considered that disease severity should be classified according to a validated assessment tool such as a PASI score and suggested that this could be incorporated into the restriction criteria.</w:t>
      </w:r>
      <w:r w:rsidR="000E4523" w:rsidRPr="0041132C">
        <w:rPr>
          <w:szCs w:val="24"/>
        </w:rPr>
        <w:t xml:space="preserve"> </w:t>
      </w:r>
      <w:r w:rsidR="000E1D53" w:rsidRPr="0041132C">
        <w:rPr>
          <w:szCs w:val="24"/>
        </w:rPr>
        <w:t xml:space="preserve">The </w:t>
      </w:r>
      <w:r w:rsidR="000E1D53" w:rsidRPr="0041132C">
        <w:t>pre-PBAC Response</w:t>
      </w:r>
      <w:r w:rsidR="00426391" w:rsidRPr="0041132C">
        <w:t xml:space="preserve"> (p.1)</w:t>
      </w:r>
      <w:r w:rsidR="000E1D53" w:rsidRPr="0041132C">
        <w:t xml:space="preserve"> stated that the sponsor is willing to work with the Department to ensure consistency across the TGA indication for apremilast and other PBS listed treatments for psoriasis. </w:t>
      </w:r>
    </w:p>
    <w:p w:rsidR="00FD2A0A" w:rsidRPr="0021253F" w:rsidRDefault="00FD2A0A" w:rsidP="0021253F">
      <w:pPr>
        <w:spacing w:after="120"/>
        <w:ind w:firstLine="709"/>
        <w:jc w:val="both"/>
        <w:rPr>
          <w:i/>
        </w:rPr>
      </w:pPr>
      <w:r w:rsidRPr="0021253F">
        <w:rPr>
          <w:i/>
        </w:rPr>
        <w:t>For more detail on PBAC’s view, see section 7 PBAC outcome.</w:t>
      </w:r>
    </w:p>
    <w:p w:rsidR="00C317F3" w:rsidRPr="0021253F" w:rsidRDefault="00C317F3" w:rsidP="001445D8">
      <w:pPr>
        <w:pStyle w:val="Heading1"/>
        <w:ind w:left="567" w:hanging="567"/>
      </w:pPr>
      <w:bookmarkStart w:id="6" w:name="_Toc413139273"/>
      <w:bookmarkStart w:id="7" w:name="_Toc493165607"/>
      <w:r w:rsidRPr="0021253F">
        <w:t>Background</w:t>
      </w:r>
      <w:bookmarkEnd w:id="6"/>
      <w:bookmarkEnd w:id="7"/>
    </w:p>
    <w:p w:rsidR="0017638E" w:rsidRPr="0041132C" w:rsidRDefault="0017638E" w:rsidP="001445D8">
      <w:pPr>
        <w:pStyle w:val="Heading2"/>
        <w:ind w:left="709" w:hanging="142"/>
        <w:rPr>
          <w:i w:val="0"/>
        </w:rPr>
      </w:pPr>
      <w:bookmarkStart w:id="8" w:name="_Toc493165608"/>
      <w:r w:rsidRPr="0041132C">
        <w:rPr>
          <w:i w:val="0"/>
        </w:rPr>
        <w:t>Registration status</w:t>
      </w:r>
      <w:bookmarkEnd w:id="8"/>
    </w:p>
    <w:p w:rsidR="0015540B" w:rsidRPr="0041132C" w:rsidRDefault="0015540B" w:rsidP="00353DCC">
      <w:pPr>
        <w:pStyle w:val="ListParagraph"/>
        <w:numPr>
          <w:ilvl w:val="0"/>
          <w:numId w:val="19"/>
        </w:numPr>
        <w:spacing w:before="200" w:after="120"/>
        <w:rPr>
          <w:rFonts w:ascii="Calibri" w:eastAsia="Calibri" w:hAnsi="Calibri" w:cs="Arial"/>
          <w:b/>
          <w:snapToGrid w:val="0"/>
          <w:vanish/>
          <w:sz w:val="22"/>
        </w:rPr>
      </w:pPr>
    </w:p>
    <w:p w:rsidR="0087504B" w:rsidRPr="0041132C" w:rsidRDefault="009C07B6" w:rsidP="0021253F">
      <w:pPr>
        <w:pStyle w:val="ListParagraph"/>
        <w:numPr>
          <w:ilvl w:val="1"/>
          <w:numId w:val="1"/>
        </w:numPr>
        <w:spacing w:before="0" w:after="120"/>
        <w:contextualSpacing/>
      </w:pPr>
      <w:r w:rsidRPr="0041132C">
        <w:rPr>
          <w:rFonts w:ascii="Calibri" w:eastAsia="Calibri" w:hAnsi="Calibri" w:cs="Arial"/>
        </w:rPr>
        <w:t xml:space="preserve">TGA status: </w:t>
      </w:r>
      <w:r w:rsidR="00D10835" w:rsidRPr="0041132C">
        <w:t xml:space="preserve">Apremilast </w:t>
      </w:r>
      <w:r w:rsidR="00C317F3" w:rsidRPr="0041132C">
        <w:t xml:space="preserve">was TGA registered on </w:t>
      </w:r>
      <w:r w:rsidR="00D10835" w:rsidRPr="0041132C">
        <w:t>19</w:t>
      </w:r>
      <w:r w:rsidR="00CA7366" w:rsidRPr="0041132C">
        <w:t xml:space="preserve"> </w:t>
      </w:r>
      <w:r w:rsidR="00D10835" w:rsidRPr="0041132C">
        <w:t>March 2015</w:t>
      </w:r>
      <w:r w:rsidR="00C317F3" w:rsidRPr="0041132C">
        <w:t xml:space="preserve"> for </w:t>
      </w:r>
      <w:r w:rsidR="0087504B" w:rsidRPr="0041132C">
        <w:t>the following indications:</w:t>
      </w:r>
    </w:p>
    <w:p w:rsidR="0087504B" w:rsidRPr="0041132C" w:rsidRDefault="00072FCB" w:rsidP="00353DCC">
      <w:pPr>
        <w:pStyle w:val="Default"/>
        <w:numPr>
          <w:ilvl w:val="0"/>
          <w:numId w:val="12"/>
        </w:numPr>
        <w:spacing w:after="120"/>
        <w:ind w:left="1134" w:hanging="425"/>
        <w:contextualSpacing/>
        <w:jc w:val="both"/>
      </w:pPr>
      <w:r w:rsidRPr="0041132C">
        <w:rPr>
          <w:rFonts w:asciiTheme="minorHAnsi" w:hAnsiTheme="minorHAnsi" w:cstheme="minorBidi"/>
          <w:color w:val="auto"/>
          <w:szCs w:val="22"/>
        </w:rPr>
        <w:t>The treatment of signs and symptoms</w:t>
      </w:r>
      <w:r w:rsidR="00695EE1" w:rsidRPr="0041132C">
        <w:rPr>
          <w:rFonts w:asciiTheme="minorHAnsi" w:hAnsiTheme="minorHAnsi" w:cstheme="minorBidi"/>
          <w:color w:val="auto"/>
          <w:szCs w:val="22"/>
        </w:rPr>
        <w:t xml:space="preserve"> of active psoriatic arthritis in adult patients</w:t>
      </w:r>
      <w:r w:rsidRPr="0041132C">
        <w:rPr>
          <w:rFonts w:asciiTheme="minorHAnsi" w:hAnsiTheme="minorHAnsi" w:cstheme="minorBidi"/>
          <w:color w:val="auto"/>
          <w:szCs w:val="22"/>
        </w:rPr>
        <w:t xml:space="preserve"> </w:t>
      </w:r>
    </w:p>
    <w:p w:rsidR="00695EE1" w:rsidRPr="0041132C" w:rsidRDefault="00695EE1" w:rsidP="00353DCC">
      <w:pPr>
        <w:pStyle w:val="Default"/>
        <w:numPr>
          <w:ilvl w:val="0"/>
          <w:numId w:val="12"/>
        </w:numPr>
        <w:spacing w:after="120"/>
        <w:ind w:left="1134" w:hanging="425"/>
        <w:contextualSpacing/>
        <w:jc w:val="both"/>
      </w:pPr>
      <w:r w:rsidRPr="0041132C">
        <w:rPr>
          <w:rFonts w:asciiTheme="minorHAnsi" w:hAnsiTheme="minorHAnsi" w:cstheme="minorBidi"/>
          <w:color w:val="auto"/>
          <w:szCs w:val="22"/>
        </w:rPr>
        <w:t>The treatment of adult patients with moderate to severe plaque psoriasis who are candidates for phototherapy or systemic therapy</w:t>
      </w:r>
    </w:p>
    <w:p w:rsidR="0017638E" w:rsidRPr="0041132C" w:rsidRDefault="0017638E">
      <w:pPr>
        <w:pStyle w:val="Heading2"/>
        <w:ind w:left="709"/>
        <w:rPr>
          <w:i w:val="0"/>
        </w:rPr>
      </w:pPr>
      <w:bookmarkStart w:id="9" w:name="_Toc493165609"/>
      <w:r w:rsidRPr="0041132C">
        <w:rPr>
          <w:i w:val="0"/>
        </w:rPr>
        <w:t>Previous PBAC consideration</w:t>
      </w:r>
      <w:bookmarkEnd w:id="9"/>
    </w:p>
    <w:p w:rsidR="001722AD" w:rsidRPr="0041132C" w:rsidRDefault="00660B1C">
      <w:pPr>
        <w:pStyle w:val="ListParagraph"/>
        <w:numPr>
          <w:ilvl w:val="1"/>
          <w:numId w:val="1"/>
        </w:numPr>
        <w:spacing w:before="0" w:after="120"/>
        <w:contextualSpacing/>
        <w:rPr>
          <w:color w:val="0066FF"/>
        </w:rPr>
      </w:pPr>
      <w:r w:rsidRPr="0041132C">
        <w:t xml:space="preserve">This is the fourth submission to the PBAC seeking </w:t>
      </w:r>
      <w:r w:rsidR="00DE6876" w:rsidRPr="0041132C">
        <w:t xml:space="preserve">a </w:t>
      </w:r>
      <w:r w:rsidR="00A26BBC" w:rsidRPr="0041132C">
        <w:t>recommendation for</w:t>
      </w:r>
      <w:r w:rsidRPr="0041132C">
        <w:t xml:space="preserve"> PBS listing of apremilast.</w:t>
      </w:r>
    </w:p>
    <w:p w:rsidR="00C46AE5" w:rsidRPr="0041132C" w:rsidRDefault="00C46AE5" w:rsidP="001445D8">
      <w:pPr>
        <w:pStyle w:val="TableHeading0"/>
        <w:spacing w:after="120"/>
      </w:pPr>
      <w:r w:rsidRPr="0041132C">
        <w:t>Table</w:t>
      </w:r>
      <w:r w:rsidR="00071231" w:rsidRPr="0041132C">
        <w:t xml:space="preserve"> 4</w:t>
      </w:r>
      <w:r w:rsidRPr="0041132C">
        <w:t xml:space="preserve">: </w:t>
      </w:r>
      <w:r w:rsidR="00D031E8" w:rsidRPr="0041132C">
        <w:t>Summary of outstanding matters of concern (November 2016 and March 2017)</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6"/>
        <w:gridCol w:w="2712"/>
        <w:gridCol w:w="3376"/>
      </w:tblGrid>
      <w:tr w:rsidR="00D031E8" w:rsidRPr="0041132C" w:rsidTr="009466B0">
        <w:trPr>
          <w:trHeight w:val="240"/>
        </w:trPr>
        <w:tc>
          <w:tcPr>
            <w:tcW w:w="1649" w:type="pct"/>
            <w:shd w:val="clear" w:color="auto" w:fill="auto"/>
          </w:tcPr>
          <w:p w:rsidR="00D031E8" w:rsidRPr="0041132C" w:rsidRDefault="00D031E8" w:rsidP="001445D8">
            <w:pPr>
              <w:keepNext/>
              <w:spacing w:after="0"/>
              <w:rPr>
                <w:rFonts w:ascii="Arial Narrow" w:hAnsi="Arial Narrow"/>
                <w:b/>
                <w:sz w:val="20"/>
              </w:rPr>
            </w:pPr>
            <w:r w:rsidRPr="0041132C">
              <w:rPr>
                <w:rFonts w:ascii="Arial Narrow" w:hAnsi="Arial Narrow"/>
                <w:b/>
                <w:sz w:val="20"/>
              </w:rPr>
              <w:t>Matters of concern Nov 2016</w:t>
            </w:r>
          </w:p>
        </w:tc>
        <w:tc>
          <w:tcPr>
            <w:tcW w:w="1493" w:type="pct"/>
            <w:shd w:val="clear" w:color="auto" w:fill="auto"/>
          </w:tcPr>
          <w:p w:rsidR="00D031E8" w:rsidRPr="0041132C" w:rsidRDefault="00D031E8" w:rsidP="001445D8">
            <w:pPr>
              <w:keepNext/>
              <w:spacing w:after="0"/>
              <w:jc w:val="center"/>
              <w:rPr>
                <w:rFonts w:ascii="Arial Narrow" w:hAnsi="Arial Narrow"/>
                <w:b/>
                <w:sz w:val="20"/>
              </w:rPr>
            </w:pPr>
            <w:r w:rsidRPr="0041132C">
              <w:rPr>
                <w:rFonts w:ascii="Arial Narrow" w:hAnsi="Arial Narrow"/>
                <w:b/>
                <w:sz w:val="20"/>
              </w:rPr>
              <w:t>Matters of concern March 2017</w:t>
            </w:r>
            <w:r w:rsidR="00C8739F" w:rsidRPr="0041132C">
              <w:rPr>
                <w:rFonts w:ascii="Arial Narrow" w:hAnsi="Arial Narrow"/>
                <w:b/>
                <w:sz w:val="20"/>
              </w:rPr>
              <w:t xml:space="preserve"> (minor resubmission)</w:t>
            </w:r>
          </w:p>
        </w:tc>
        <w:tc>
          <w:tcPr>
            <w:tcW w:w="1858" w:type="pct"/>
          </w:tcPr>
          <w:p w:rsidR="00D031E8" w:rsidRPr="0041132C" w:rsidRDefault="00D031E8" w:rsidP="001445D8">
            <w:pPr>
              <w:keepNext/>
              <w:spacing w:after="0"/>
              <w:jc w:val="center"/>
              <w:rPr>
                <w:rFonts w:ascii="Arial Narrow" w:hAnsi="Arial Narrow"/>
                <w:b/>
                <w:sz w:val="20"/>
              </w:rPr>
            </w:pPr>
            <w:r w:rsidRPr="0041132C">
              <w:rPr>
                <w:rFonts w:ascii="Arial Narrow" w:hAnsi="Arial Narrow"/>
                <w:b/>
                <w:sz w:val="20"/>
              </w:rPr>
              <w:t xml:space="preserve">Current </w:t>
            </w:r>
            <w:r w:rsidR="00B625D7" w:rsidRPr="0041132C">
              <w:rPr>
                <w:rFonts w:ascii="Arial Narrow" w:hAnsi="Arial Narrow"/>
                <w:b/>
                <w:sz w:val="20"/>
              </w:rPr>
              <w:t>resubmission</w:t>
            </w:r>
          </w:p>
        </w:tc>
      </w:tr>
      <w:tr w:rsidR="0048429E" w:rsidRPr="0041132C" w:rsidTr="009466B0">
        <w:trPr>
          <w:trHeight w:val="788"/>
        </w:trPr>
        <w:tc>
          <w:tcPr>
            <w:tcW w:w="1649"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“…the submission did not demonstrate that apremilast was associated with improvements in health outcomes relevant to psoriasis (compared with cyclosporin).” (paragraph 7.7)</w:t>
            </w:r>
          </w:p>
        </w:tc>
        <w:tc>
          <w:tcPr>
            <w:tcW w:w="1493"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Not addressed. (paragraph 7.6)</w:t>
            </w:r>
          </w:p>
        </w:tc>
        <w:tc>
          <w:tcPr>
            <w:tcW w:w="1858" w:type="pct"/>
          </w:tcPr>
          <w:p w:rsidR="0048429E" w:rsidRPr="0041132C" w:rsidRDefault="0048429E" w:rsidP="001445D8">
            <w:pPr>
              <w:spacing w:after="0"/>
              <w:rPr>
                <w:rFonts w:ascii="Arial Narrow" w:hAnsi="Arial Narrow"/>
                <w:sz w:val="20"/>
              </w:rPr>
            </w:pPr>
            <w:r w:rsidRPr="0041132C">
              <w:rPr>
                <w:rFonts w:ascii="Arial Narrow" w:hAnsi="Arial Narrow"/>
                <w:sz w:val="20"/>
                <w:szCs w:val="20"/>
              </w:rPr>
              <w:t xml:space="preserve">Non-inferior efficacy and safety between apremilast and cyclosporin was not adequately supported by the indirect network meta-analysis due to the uneven distribution of effect modifiers between the trials resulting in failure of the transitivity assumption. </w:t>
            </w:r>
          </w:p>
        </w:tc>
      </w:tr>
      <w:tr w:rsidR="0048429E" w:rsidRPr="0041132C" w:rsidTr="009466B0">
        <w:trPr>
          <w:trHeight w:val="788"/>
        </w:trPr>
        <w:tc>
          <w:tcPr>
            <w:tcW w:w="1649"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“…the PBAC considered that the non-randomised persistence data was relevant supportive information, but that it was an insufficient basis to support the claim of superiority in comparative effectiveness or safety [to cyclosporin]</w:t>
            </w:r>
            <w:r w:rsidRPr="0041132C">
              <w:rPr>
                <w:rFonts w:ascii="Arial Narrow" w:hAnsi="Arial Narrow"/>
                <w:sz w:val="20"/>
                <w:szCs w:val="20"/>
              </w:rPr>
              <w:t>” (paragraph 7.7)</w:t>
            </w:r>
          </w:p>
        </w:tc>
        <w:tc>
          <w:tcPr>
            <w:tcW w:w="1493"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Not addressed. (paragraph 7.6)</w:t>
            </w:r>
          </w:p>
        </w:tc>
        <w:tc>
          <w:tcPr>
            <w:tcW w:w="1858" w:type="pct"/>
          </w:tcPr>
          <w:p w:rsidR="0048429E" w:rsidRPr="0041132C" w:rsidRDefault="0048429E" w:rsidP="001445D8">
            <w:pPr>
              <w:keepNext/>
              <w:spacing w:after="0"/>
              <w:rPr>
                <w:rFonts w:ascii="Arial Narrow" w:hAnsi="Arial Narrow"/>
                <w:sz w:val="20"/>
              </w:rPr>
            </w:pPr>
            <w:r w:rsidRPr="0041132C">
              <w:rPr>
                <w:rFonts w:ascii="Arial Narrow" w:hAnsi="Arial Narrow"/>
                <w:sz w:val="20"/>
              </w:rPr>
              <w:t>All included studies in the indirect network meta-analysis were randomised controlled trials but structure had no closed loops, and showed a high risk of bias in the trials containing the common references.</w:t>
            </w:r>
          </w:p>
        </w:tc>
      </w:tr>
      <w:tr w:rsidR="0048429E" w:rsidRPr="0041132C" w:rsidTr="009466B0">
        <w:trPr>
          <w:trHeight w:val="487"/>
        </w:trPr>
        <w:tc>
          <w:tcPr>
            <w:tcW w:w="1649"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Issues with economic model (paragraph 7.8)</w:t>
            </w:r>
          </w:p>
        </w:tc>
        <w:tc>
          <w:tcPr>
            <w:tcW w:w="1493"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 xml:space="preserve">Issues with the economic model not addressed. The requested effective price of apremilast was reduced but a revised ICER was not presented. (paragraph 6.11) </w:t>
            </w:r>
          </w:p>
        </w:tc>
        <w:tc>
          <w:tcPr>
            <w:tcW w:w="1858" w:type="pct"/>
          </w:tcPr>
          <w:p w:rsidR="0048429E" w:rsidRPr="0041132C" w:rsidRDefault="0048429E" w:rsidP="001445D8">
            <w:pPr>
              <w:keepNext/>
              <w:spacing w:after="0"/>
              <w:rPr>
                <w:rFonts w:ascii="Arial Narrow" w:hAnsi="Arial Narrow"/>
                <w:sz w:val="20"/>
              </w:rPr>
            </w:pPr>
            <w:r w:rsidRPr="0041132C">
              <w:rPr>
                <w:rFonts w:ascii="Arial Narrow" w:hAnsi="Arial Narrow"/>
                <w:sz w:val="20"/>
              </w:rPr>
              <w:t>Economic model changed to a cost minimisation model but results are uncertain due to method of estimating cyclosporin costs, overestimation of monitoring costs for cyclosporin and the inclusion of an adverse events rate when the indirect network analysis did not show a difference in adverse event rate between apremilast and cyclosporin.</w:t>
            </w:r>
          </w:p>
        </w:tc>
      </w:tr>
      <w:tr w:rsidR="0048429E" w:rsidRPr="0041132C" w:rsidTr="009466B0">
        <w:trPr>
          <w:trHeight w:val="930"/>
        </w:trPr>
        <w:tc>
          <w:tcPr>
            <w:tcW w:w="1649"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“The PBAC noted the substantial opportunity cost of listing apremilast for moderate to severe plaque psoriasis, particularly in the context of the uncertain treatment benefit over other systemic therapies.” (paragraph 7.9)</w:t>
            </w:r>
          </w:p>
        </w:tc>
        <w:tc>
          <w:tcPr>
            <w:tcW w:w="1493" w:type="pct"/>
            <w:shd w:val="clear" w:color="auto" w:fill="auto"/>
          </w:tcPr>
          <w:p w:rsidR="0048429E" w:rsidRPr="0041132C" w:rsidRDefault="0048429E" w:rsidP="001445D8">
            <w:pPr>
              <w:keepNext/>
              <w:spacing w:after="0"/>
              <w:rPr>
                <w:rFonts w:ascii="Arial Narrow" w:hAnsi="Arial Narrow"/>
                <w:sz w:val="20"/>
              </w:rPr>
            </w:pPr>
            <w:r w:rsidRPr="0041132C">
              <w:rPr>
                <w:rFonts w:ascii="Arial Narrow" w:hAnsi="Arial Narrow"/>
                <w:sz w:val="20"/>
              </w:rPr>
              <w:t>Reduction in requested effective price and proposed risk sharing arrangement with two-tiered financial cap. (paragraphs 6.20, 7.10)</w:t>
            </w:r>
          </w:p>
        </w:tc>
        <w:tc>
          <w:tcPr>
            <w:tcW w:w="1858" w:type="pct"/>
          </w:tcPr>
          <w:p w:rsidR="0048429E" w:rsidRPr="0041132C" w:rsidRDefault="0048429E" w:rsidP="001445D8">
            <w:pPr>
              <w:keepNext/>
              <w:spacing w:after="0"/>
              <w:rPr>
                <w:rFonts w:ascii="Arial Narrow" w:hAnsi="Arial Narrow"/>
                <w:sz w:val="20"/>
              </w:rPr>
            </w:pPr>
            <w:r w:rsidRPr="0041132C">
              <w:rPr>
                <w:rFonts w:ascii="Arial Narrow" w:hAnsi="Arial Narrow"/>
                <w:sz w:val="20"/>
              </w:rPr>
              <w:t xml:space="preserve">Lowered DPMQ for titration and standard packs and suggested a </w:t>
            </w:r>
            <w:r w:rsidR="00E75BD7" w:rsidRPr="0041132C">
              <w:rPr>
                <w:rFonts w:ascii="Arial Narrow" w:hAnsi="Arial Narrow"/>
                <w:sz w:val="20"/>
              </w:rPr>
              <w:t xml:space="preserve">financial based </w:t>
            </w:r>
            <w:r w:rsidRPr="0041132C">
              <w:rPr>
                <w:rFonts w:ascii="Arial Narrow" w:hAnsi="Arial Narrow"/>
                <w:sz w:val="20"/>
              </w:rPr>
              <w:t>risk sharing arrangement</w:t>
            </w:r>
            <w:r w:rsidR="00E75BD7" w:rsidRPr="0041132C">
              <w:rPr>
                <w:rFonts w:ascii="Arial Narrow" w:hAnsi="Arial Narrow"/>
                <w:sz w:val="20"/>
              </w:rPr>
              <w:t xml:space="preserve"> (RSA). The sponsor proposed that under the RSA </w:t>
            </w:r>
            <w:r w:rsidR="003E2FBE">
              <w:rPr>
                <w:rFonts w:ascii="Arial Narrow" w:hAnsi="Arial Narrow" w:cs="Arial"/>
                <w:noProof/>
                <w:color w:val="000000"/>
                <w:sz w:val="20"/>
                <w:szCs w:val="20"/>
                <w:highlight w:val="black"/>
              </w:rPr>
              <w:t>''''''</w:t>
            </w:r>
            <w:r w:rsidR="00E75BD7" w:rsidRPr="0041132C">
              <w:rPr>
                <w:rFonts w:ascii="Arial Narrow" w:hAnsi="Arial Narrow" w:cs="Arial"/>
                <w:sz w:val="20"/>
                <w:szCs w:val="20"/>
              </w:rPr>
              <w:t>% of any expenditure over estimated annual net cost to the PBS/RPBS would be reimbursed.</w:t>
            </w:r>
            <w:r w:rsidR="00E75BD7" w:rsidRPr="0041132C">
              <w:rPr>
                <w:rFonts w:ascii="Arial Narrow" w:hAnsi="Arial Narrow"/>
                <w:sz w:val="20"/>
              </w:rPr>
              <w:t xml:space="preserve"> </w:t>
            </w:r>
          </w:p>
        </w:tc>
      </w:tr>
      <w:tr w:rsidR="0048429E" w:rsidRPr="0041132C" w:rsidTr="009466B0">
        <w:trPr>
          <w:trHeight w:val="259"/>
        </w:trPr>
        <w:tc>
          <w:tcPr>
            <w:tcW w:w="1649" w:type="pct"/>
            <w:shd w:val="clear" w:color="auto" w:fill="auto"/>
          </w:tcPr>
          <w:p w:rsidR="0048429E" w:rsidRPr="0041132C" w:rsidRDefault="0048429E" w:rsidP="001445D8">
            <w:pPr>
              <w:spacing w:after="0"/>
              <w:rPr>
                <w:rFonts w:ascii="Arial Narrow" w:hAnsi="Arial Narrow"/>
                <w:sz w:val="20"/>
              </w:rPr>
            </w:pPr>
            <w:r w:rsidRPr="0041132C">
              <w:rPr>
                <w:rFonts w:ascii="Arial Narrow" w:hAnsi="Arial Narrow"/>
                <w:sz w:val="20"/>
              </w:rPr>
              <w:t>“…the utilisation estimates were likely to be underestimated due to limitations with the METIS</w:t>
            </w:r>
            <w:r w:rsidRPr="0041132C">
              <w:rPr>
                <w:rFonts w:ascii="Arial Narrow" w:hAnsi="Arial Narrow"/>
                <w:sz w:val="20"/>
                <w:vertAlign w:val="superscript"/>
              </w:rPr>
              <w:t>a</w:t>
            </w:r>
            <w:r w:rsidRPr="0041132C">
              <w:rPr>
                <w:rFonts w:ascii="Arial Narrow" w:hAnsi="Arial Narrow"/>
                <w:sz w:val="20"/>
              </w:rPr>
              <w:t xml:space="preserve"> survey, and the assumptions used to estimate the population eligible to receive apremilast.” (paragraph 7.9)</w:t>
            </w:r>
          </w:p>
        </w:tc>
        <w:tc>
          <w:tcPr>
            <w:tcW w:w="1493" w:type="pct"/>
            <w:shd w:val="clear" w:color="auto" w:fill="auto"/>
          </w:tcPr>
          <w:p w:rsidR="0048429E" w:rsidRPr="0041132C" w:rsidRDefault="0048429E" w:rsidP="001445D8">
            <w:pPr>
              <w:spacing w:after="0"/>
              <w:rPr>
                <w:rFonts w:ascii="Arial Narrow" w:hAnsi="Arial Narrow"/>
                <w:sz w:val="20"/>
              </w:rPr>
            </w:pPr>
            <w:r w:rsidRPr="0041132C">
              <w:rPr>
                <w:rFonts w:ascii="Arial Narrow" w:hAnsi="Arial Narrow"/>
                <w:sz w:val="20"/>
              </w:rPr>
              <w:t>Revised utilisation estimates using a market share approach was not evaluated. A risk sharing arrangement with two-tiered financial cap was proposed. (paragraph 6.16)</w:t>
            </w:r>
          </w:p>
        </w:tc>
        <w:tc>
          <w:tcPr>
            <w:tcW w:w="1858" w:type="pct"/>
          </w:tcPr>
          <w:p w:rsidR="0048429E" w:rsidRPr="0041132C" w:rsidRDefault="0048429E" w:rsidP="001445D8">
            <w:pPr>
              <w:spacing w:after="0"/>
              <w:rPr>
                <w:rFonts w:ascii="Arial Narrow" w:hAnsi="Arial Narrow"/>
                <w:sz w:val="20"/>
              </w:rPr>
            </w:pPr>
            <w:r w:rsidRPr="0041132C">
              <w:rPr>
                <w:rFonts w:ascii="Arial Narrow" w:hAnsi="Arial Narrow"/>
                <w:sz w:val="20"/>
              </w:rPr>
              <w:t>Revised utilisation estimates using a mixed method with epidemiological and market share approaches resulting in conflicting estimates.  Data from a dermatologists’ survey with a low response rate was used to estimate the eligible population.</w:t>
            </w:r>
          </w:p>
        </w:tc>
      </w:tr>
    </w:tbl>
    <w:p w:rsidR="00D031E8" w:rsidRPr="0041132C" w:rsidRDefault="00D031E8" w:rsidP="001445D8">
      <w:pPr>
        <w:pStyle w:val="TableFooter"/>
        <w:widowControl/>
        <w:spacing w:after="0"/>
      </w:pPr>
      <w:r w:rsidRPr="005348DF">
        <w:t>Source: Compiled during the evaluation</w:t>
      </w:r>
      <w:r w:rsidR="000256E7" w:rsidRPr="0021253F">
        <w:t>;</w:t>
      </w:r>
      <w:r w:rsidRPr="0021253F">
        <w:t xml:space="preserve"> </w:t>
      </w:r>
      <w:r w:rsidR="00602F48" w:rsidRPr="0041132C">
        <w:t>P</w:t>
      </w:r>
      <w:r w:rsidRPr="0041132C">
        <w:t xml:space="preserve">aragraph references refer to the November 2016 and March 2017 apremilast </w:t>
      </w:r>
      <w:r w:rsidR="004C1031">
        <w:t>Public Summary Documents</w:t>
      </w:r>
    </w:p>
    <w:p w:rsidR="00BB0F0D" w:rsidRPr="0041132C" w:rsidRDefault="008371D2" w:rsidP="001445D8">
      <w:pPr>
        <w:pStyle w:val="TableFooter"/>
        <w:widowControl/>
        <w:spacing w:after="0"/>
        <w:rPr>
          <w:szCs w:val="18"/>
        </w:rPr>
      </w:pPr>
      <w:r w:rsidRPr="0041132C">
        <w:rPr>
          <w:szCs w:val="18"/>
        </w:rPr>
        <w:t>DPMQ = dispensed price for maximum quantity;</w:t>
      </w:r>
      <w:r w:rsidR="00E14A78" w:rsidRPr="0041132C">
        <w:rPr>
          <w:szCs w:val="18"/>
        </w:rPr>
        <w:t xml:space="preserve"> ICER =incremental cost-effective ratio;</w:t>
      </w:r>
      <w:r w:rsidR="00BB0F0D" w:rsidRPr="0041132C">
        <w:rPr>
          <w:szCs w:val="18"/>
        </w:rPr>
        <w:t xml:space="preserve"> </w:t>
      </w:r>
      <w:r w:rsidR="00A8641E" w:rsidRPr="0041132C">
        <w:rPr>
          <w:szCs w:val="18"/>
        </w:rPr>
        <w:t>PFP = Product Familiarisation Program</w:t>
      </w:r>
      <w:r w:rsidRPr="0041132C">
        <w:rPr>
          <w:szCs w:val="18"/>
        </w:rPr>
        <w:t>; RCT = randomised controlled trial</w:t>
      </w:r>
    </w:p>
    <w:p w:rsidR="00A8641E" w:rsidRPr="0041132C" w:rsidRDefault="00BB0F0D" w:rsidP="001445D8">
      <w:pPr>
        <w:pStyle w:val="TableFooter"/>
        <w:widowControl/>
        <w:spacing w:after="0"/>
      </w:pPr>
      <w:r w:rsidRPr="0041132C">
        <w:rPr>
          <w:szCs w:val="18"/>
          <w:vertAlign w:val="superscript"/>
        </w:rPr>
        <w:t xml:space="preserve">a </w:t>
      </w:r>
      <w:r w:rsidRPr="0041132C">
        <w:rPr>
          <w:szCs w:val="18"/>
        </w:rPr>
        <w:t xml:space="preserve">METIS refers to </w:t>
      </w:r>
      <w:r w:rsidRPr="0041132C">
        <w:t>METIS Healthcare Research, an Australian pharmaceutical market research company</w:t>
      </w:r>
    </w:p>
    <w:p w:rsidR="00FD2A0A" w:rsidRPr="0041132C" w:rsidRDefault="00FD2A0A" w:rsidP="005348DF">
      <w:pPr>
        <w:pStyle w:val="TableFooter"/>
        <w:widowControl/>
      </w:pPr>
    </w:p>
    <w:p w:rsidR="00FD2A0A" w:rsidRPr="0041132C" w:rsidRDefault="00FD2A0A" w:rsidP="001445D8">
      <w:pPr>
        <w:spacing w:after="120"/>
        <w:ind w:firstLine="709"/>
        <w:jc w:val="both"/>
        <w:rPr>
          <w:i/>
        </w:rPr>
      </w:pPr>
      <w:r w:rsidRPr="0041132C">
        <w:rPr>
          <w:i/>
        </w:rPr>
        <w:t>For more detail on PBAC’s view, see section 7 PBAC outcome.</w:t>
      </w:r>
    </w:p>
    <w:p w:rsidR="00426391" w:rsidRPr="0041132C" w:rsidRDefault="00C317F3">
      <w:pPr>
        <w:pStyle w:val="Heading1"/>
        <w:ind w:left="709" w:hanging="709"/>
      </w:pPr>
      <w:bookmarkStart w:id="10" w:name="_Toc493165610"/>
      <w:r w:rsidRPr="0041132C">
        <w:t>Population and disease</w:t>
      </w:r>
      <w:bookmarkEnd w:id="10"/>
    </w:p>
    <w:p w:rsidR="00D4611C" w:rsidRPr="0041132C" w:rsidRDefault="00D4611C">
      <w:pPr>
        <w:pStyle w:val="ListParagraph"/>
        <w:numPr>
          <w:ilvl w:val="0"/>
          <w:numId w:val="3"/>
        </w:numPr>
        <w:spacing w:before="200" w:after="120"/>
        <w:rPr>
          <w:rFonts w:ascii="Arial" w:eastAsia="Times New Roman" w:hAnsi="Arial" w:cs="Arial"/>
          <w:b/>
          <w:snapToGrid w:val="0"/>
          <w:vanish/>
          <w:sz w:val="22"/>
        </w:rPr>
      </w:pPr>
    </w:p>
    <w:p w:rsidR="00D4611C" w:rsidRPr="0041132C" w:rsidRDefault="00D4611C">
      <w:pPr>
        <w:pStyle w:val="ListParagraph"/>
        <w:numPr>
          <w:ilvl w:val="0"/>
          <w:numId w:val="3"/>
        </w:numPr>
        <w:spacing w:before="200" w:after="120"/>
        <w:rPr>
          <w:rFonts w:ascii="Arial" w:eastAsia="Times New Roman" w:hAnsi="Arial" w:cs="Arial"/>
          <w:b/>
          <w:snapToGrid w:val="0"/>
          <w:vanish/>
          <w:sz w:val="22"/>
        </w:rPr>
      </w:pPr>
    </w:p>
    <w:p w:rsidR="00D4611C" w:rsidRPr="0041132C" w:rsidRDefault="00D4611C">
      <w:pPr>
        <w:pStyle w:val="ListParagraph"/>
        <w:numPr>
          <w:ilvl w:val="0"/>
          <w:numId w:val="3"/>
        </w:numPr>
        <w:spacing w:before="200" w:after="120"/>
        <w:rPr>
          <w:rFonts w:ascii="Arial" w:eastAsia="Times New Roman" w:hAnsi="Arial" w:cs="Arial"/>
          <w:b/>
          <w:snapToGrid w:val="0"/>
          <w:vanish/>
          <w:sz w:val="22"/>
        </w:rPr>
      </w:pPr>
    </w:p>
    <w:p w:rsidR="00426391" w:rsidRPr="0041132C" w:rsidRDefault="00015A38">
      <w:pPr>
        <w:pStyle w:val="ListParagraph"/>
        <w:numPr>
          <w:ilvl w:val="1"/>
          <w:numId w:val="3"/>
        </w:numPr>
        <w:spacing w:before="0" w:after="120"/>
        <w:jc w:val="both"/>
      </w:pPr>
      <w:r w:rsidRPr="0041132C">
        <w:t xml:space="preserve">Psoriasis is a chronic, systemic, immune-mediated, inflammatory skin condition with significant co-morbidities and a reduction in quality of life in sufferers. The plaque-type of psoriasis represents the most common presentation of the disease, occurring in 80-90% of cases. Treatment of the condition is considered to </w:t>
      </w:r>
      <w:r w:rsidR="0030172E" w:rsidRPr="0041132C">
        <w:t xml:space="preserve">be </w:t>
      </w:r>
      <w:r w:rsidRPr="0041132C">
        <w:t>long</w:t>
      </w:r>
      <w:r w:rsidR="0030172E" w:rsidRPr="0041132C">
        <w:t xml:space="preserve">-term. </w:t>
      </w:r>
    </w:p>
    <w:p w:rsidR="00426391" w:rsidRPr="0041132C" w:rsidRDefault="00E476C9">
      <w:pPr>
        <w:pStyle w:val="ListParagraph"/>
        <w:numPr>
          <w:ilvl w:val="1"/>
          <w:numId w:val="3"/>
        </w:numPr>
        <w:spacing w:before="0" w:after="120"/>
        <w:jc w:val="both"/>
      </w:pPr>
      <w:r w:rsidRPr="0041132C">
        <w:t xml:space="preserve">Apremilast is proposed to be used </w:t>
      </w:r>
      <w:r w:rsidR="0084384A" w:rsidRPr="0041132C">
        <w:t xml:space="preserve">in </w:t>
      </w:r>
      <w:r w:rsidRPr="0041132C">
        <w:t>the same line of therapy as an alternative to cyclosporin</w:t>
      </w:r>
      <w:r w:rsidR="00C2636B" w:rsidRPr="0041132C">
        <w:t>,</w:t>
      </w:r>
      <w:r w:rsidRPr="0041132C">
        <w:t xml:space="preserve"> after treatment with methotrexate has failed to achieve an adequate response </w:t>
      </w:r>
      <w:r w:rsidR="00C2636B" w:rsidRPr="0041132C">
        <w:t>or is</w:t>
      </w:r>
      <w:r w:rsidRPr="0041132C">
        <w:t xml:space="preserve"> contraindicated or not tolerated. </w:t>
      </w:r>
      <w:r w:rsidR="00A62156" w:rsidRPr="0041132C">
        <w:t>The previous and current resubmissions have indicated the target population as patients with moderate to severe psoriasis.</w:t>
      </w:r>
      <w:r w:rsidR="006507ED" w:rsidRPr="0041132C">
        <w:t xml:space="preserve"> </w:t>
      </w:r>
    </w:p>
    <w:p w:rsidR="00426391" w:rsidRPr="0041132C" w:rsidRDefault="00A62156">
      <w:pPr>
        <w:pStyle w:val="ListParagraph"/>
        <w:numPr>
          <w:ilvl w:val="1"/>
          <w:numId w:val="3"/>
        </w:numPr>
        <w:spacing w:before="0" w:after="120"/>
        <w:jc w:val="both"/>
      </w:pPr>
      <w:r w:rsidRPr="0041132C">
        <w:t xml:space="preserve">A new psoriasis treatment guideline </w:t>
      </w:r>
      <w:r w:rsidR="00B0284F" w:rsidRPr="0041132C">
        <w:t>that only</w:t>
      </w:r>
      <w:r w:rsidRPr="0041132C">
        <w:t xml:space="preserve"> </w:t>
      </w:r>
      <w:r w:rsidR="002F3706" w:rsidRPr="0041132C">
        <w:t xml:space="preserve">includes </w:t>
      </w:r>
      <w:r w:rsidRPr="0041132C">
        <w:t xml:space="preserve">two psoriasis severity classifications (mild to moderate or severe) </w:t>
      </w:r>
      <w:r w:rsidR="00DF4225" w:rsidRPr="0041132C">
        <w:t>was</w:t>
      </w:r>
      <w:r w:rsidRPr="0041132C">
        <w:t xml:space="preserve"> released in March 2017 by the Australasian College of Dermatologists.  </w:t>
      </w:r>
      <w:r w:rsidR="002F3706" w:rsidRPr="0041132C">
        <w:t xml:space="preserve">The moderate to severe classification of psoriasis </w:t>
      </w:r>
      <w:r w:rsidR="00B0284F" w:rsidRPr="0041132C">
        <w:t xml:space="preserve">that was </w:t>
      </w:r>
      <w:r w:rsidR="002F3706" w:rsidRPr="0041132C">
        <w:t xml:space="preserve">proposed as the target population </w:t>
      </w:r>
      <w:r w:rsidR="00B0284F" w:rsidRPr="0041132C">
        <w:t xml:space="preserve">in the </w:t>
      </w:r>
      <w:r w:rsidR="002F3706" w:rsidRPr="0041132C">
        <w:t>indication for the PBS listing</w:t>
      </w:r>
      <w:r w:rsidR="00B0284F" w:rsidRPr="0041132C">
        <w:t xml:space="preserve"> </w:t>
      </w:r>
      <w:r w:rsidR="00B34CFF" w:rsidRPr="0041132C">
        <w:t xml:space="preserve">will now overlap both of the new classifications. </w:t>
      </w:r>
      <w:r w:rsidR="000D17DE" w:rsidRPr="0041132C">
        <w:t>The ESC noted that</w:t>
      </w:r>
      <w:r w:rsidR="00B34CFF" w:rsidRPr="0041132C">
        <w:t xml:space="preserve"> the mild to moderate classification in the new guideline has a treatment recommendation for topical therapies only with the systemic treatments reserved for the severe classification of psoriasis. </w:t>
      </w:r>
      <w:r w:rsidR="00D12A74" w:rsidRPr="0041132C">
        <w:t xml:space="preserve">The ESC considered that this issue could be addressed </w:t>
      </w:r>
      <w:r w:rsidR="007D69DF" w:rsidRPr="0041132C">
        <w:t xml:space="preserve">by </w:t>
      </w:r>
      <w:r w:rsidR="002E17AF" w:rsidRPr="0041132C">
        <w:t>the use</w:t>
      </w:r>
      <w:r w:rsidR="007D69DF" w:rsidRPr="0041132C">
        <w:t xml:space="preserve"> of a validated score to identify a population with moderate-severe psoriasis</w:t>
      </w:r>
      <w:r w:rsidR="00D12A74" w:rsidRPr="0041132C">
        <w:t>,</w:t>
      </w:r>
      <w:r w:rsidR="007D69DF" w:rsidRPr="0041132C">
        <w:t xml:space="preserve"> such as a PASI &gt;1</w:t>
      </w:r>
      <w:r w:rsidR="00AC37AF" w:rsidRPr="0041132C">
        <w:t>2</w:t>
      </w:r>
      <w:r w:rsidR="00D12A74" w:rsidRPr="0041132C">
        <w:t>, which could be included in the restriction criteria.</w:t>
      </w:r>
    </w:p>
    <w:p w:rsidR="00426391" w:rsidRPr="001445D8" w:rsidRDefault="006507ED" w:rsidP="001445D8">
      <w:pPr>
        <w:pStyle w:val="ListParagraph"/>
        <w:numPr>
          <w:ilvl w:val="1"/>
          <w:numId w:val="3"/>
        </w:numPr>
        <w:spacing w:before="0" w:after="120"/>
        <w:jc w:val="both"/>
        <w:rPr>
          <w:color w:val="4472C4" w:themeColor="accent5"/>
        </w:rPr>
      </w:pPr>
      <w:r w:rsidRPr="0041132C">
        <w:t>It was noted that the proposed treatment criteria and PBS indication in the current resubmission was broader than the TGA approved indication where the intended population for treatment is adult patients with moderate to severe plaque psoriasis. The proposed omission of adults in the PBS indication has broadened the target population</w:t>
      </w:r>
      <w:r w:rsidR="003B0148" w:rsidRPr="0041132C">
        <w:t xml:space="preserve"> </w:t>
      </w:r>
      <w:r w:rsidR="00DF4225" w:rsidRPr="0041132C">
        <w:t xml:space="preserve">to </w:t>
      </w:r>
      <w:r w:rsidR="003B0148" w:rsidRPr="0041132C">
        <w:t xml:space="preserve">possibly </w:t>
      </w:r>
      <w:r w:rsidR="00DF4225" w:rsidRPr="0041132C">
        <w:t xml:space="preserve">include </w:t>
      </w:r>
      <w:r w:rsidR="003B0148" w:rsidRPr="0041132C">
        <w:t>paediatric</w:t>
      </w:r>
      <w:r w:rsidR="00BF7ABE" w:rsidRPr="0041132C">
        <w:t xml:space="preserve"> patients</w:t>
      </w:r>
      <w:r w:rsidRPr="0041132C">
        <w:t xml:space="preserve">. </w:t>
      </w:r>
      <w:r w:rsidR="007D69DF" w:rsidRPr="0041132C">
        <w:t xml:space="preserve"> The sponsor </w:t>
      </w:r>
      <w:r w:rsidR="00702D77" w:rsidRPr="0041132C">
        <w:t xml:space="preserve">confirmed in </w:t>
      </w:r>
      <w:r w:rsidR="00C50BCC" w:rsidRPr="0041132C">
        <w:t>its</w:t>
      </w:r>
      <w:r w:rsidR="00702D77" w:rsidRPr="0041132C">
        <w:t xml:space="preserve"> </w:t>
      </w:r>
      <w:r w:rsidR="007D69DF" w:rsidRPr="0041132C">
        <w:t>PSCR</w:t>
      </w:r>
      <w:r w:rsidR="00702D77" w:rsidRPr="0041132C">
        <w:t xml:space="preserve"> (p.1)</w:t>
      </w:r>
      <w:r w:rsidR="007D69DF" w:rsidRPr="0041132C">
        <w:t xml:space="preserve"> that the target population is adults and </w:t>
      </w:r>
      <w:r w:rsidR="00702D77" w:rsidRPr="0041132C">
        <w:t xml:space="preserve">agreed that </w:t>
      </w:r>
      <w:r w:rsidR="007D69DF" w:rsidRPr="0041132C">
        <w:t xml:space="preserve">the </w:t>
      </w:r>
      <w:r w:rsidR="00D12A74" w:rsidRPr="0041132C">
        <w:t>proposed restriction</w:t>
      </w:r>
      <w:r w:rsidR="007D69DF" w:rsidRPr="0041132C">
        <w:t xml:space="preserve"> should be updated to reflect this.</w:t>
      </w:r>
    </w:p>
    <w:p w:rsidR="00B55532" w:rsidRPr="0021253F" w:rsidRDefault="00B55532" w:rsidP="001445D8">
      <w:pPr>
        <w:spacing w:before="0" w:after="120"/>
        <w:ind w:firstLine="720"/>
        <w:jc w:val="both"/>
        <w:rPr>
          <w:i/>
        </w:rPr>
      </w:pPr>
      <w:r w:rsidRPr="005348DF">
        <w:rPr>
          <w:i/>
        </w:rPr>
        <w:t>For more detail on PBAC’s view, see section 7 PBAC outcome.</w:t>
      </w:r>
    </w:p>
    <w:p w:rsidR="00C317F3" w:rsidRPr="0041132C" w:rsidRDefault="00C317F3" w:rsidP="001445D8">
      <w:pPr>
        <w:pStyle w:val="Heading1"/>
        <w:ind w:left="567" w:hanging="567"/>
      </w:pPr>
      <w:bookmarkStart w:id="11" w:name="_Toc413139275"/>
      <w:bookmarkStart w:id="12" w:name="_Toc493165611"/>
      <w:r w:rsidRPr="0021253F">
        <w:t>Comparator</w:t>
      </w:r>
      <w:bookmarkEnd w:id="11"/>
      <w:bookmarkEnd w:id="12"/>
    </w:p>
    <w:p w:rsidR="00D4611C" w:rsidRPr="0041132C" w:rsidRDefault="00D4611C" w:rsidP="00353DCC">
      <w:pPr>
        <w:pStyle w:val="ListParagraph"/>
        <w:numPr>
          <w:ilvl w:val="0"/>
          <w:numId w:val="20"/>
        </w:numPr>
        <w:spacing w:before="200" w:after="120"/>
        <w:jc w:val="both"/>
        <w:rPr>
          <w:rFonts w:ascii="Arial" w:eastAsia="Times New Roman" w:hAnsi="Arial" w:cs="Arial"/>
          <w:b/>
          <w:snapToGrid w:val="0"/>
          <w:vanish/>
          <w:sz w:val="22"/>
        </w:rPr>
      </w:pPr>
    </w:p>
    <w:p w:rsidR="0095170D" w:rsidRPr="0041132C" w:rsidRDefault="00B04E5E" w:rsidP="0021253F">
      <w:pPr>
        <w:pStyle w:val="ListParagraph"/>
        <w:numPr>
          <w:ilvl w:val="1"/>
          <w:numId w:val="1"/>
        </w:numPr>
        <w:spacing w:before="0" w:after="120"/>
        <w:contextualSpacing/>
      </w:pPr>
      <w:r w:rsidRPr="0041132C">
        <w:t xml:space="preserve">The resubmission nominated cyclosporin as the main comparator for moderate to severe psoriasis patients who have failed or are contraindicated or intolerant to methotrexate. </w:t>
      </w:r>
      <w:r w:rsidR="008B4A8A" w:rsidRPr="0041132C">
        <w:t xml:space="preserve">The PBAC had previously accepted in the November 2016 </w:t>
      </w:r>
      <w:r w:rsidR="00C2636B" w:rsidRPr="0041132C">
        <w:t>re</w:t>
      </w:r>
      <w:r w:rsidR="008B4A8A" w:rsidRPr="0041132C">
        <w:t xml:space="preserve">submission </w:t>
      </w:r>
      <w:r w:rsidR="00FB0400" w:rsidRPr="0041132C">
        <w:t xml:space="preserve">(paragraph 7.5) </w:t>
      </w:r>
      <w:r w:rsidR="008B4A8A" w:rsidRPr="0041132C">
        <w:t>that cyclosporin was the appropriate main comparator if apremilast was restricted to patients who have failed treatment with methotrexate.</w:t>
      </w:r>
      <w:r w:rsidR="00476A53" w:rsidRPr="0041132C">
        <w:t xml:space="preserve"> Further, for the minor resubmission in March 2017</w:t>
      </w:r>
      <w:r w:rsidR="00C2636B" w:rsidRPr="0041132C">
        <w:t xml:space="preserve">, </w:t>
      </w:r>
      <w:r w:rsidR="00476A53" w:rsidRPr="0041132C">
        <w:t>“the proposed place in therapy for apremilast was as an additional treatment option in the same line as cyclosporin in patients who have failed to achieve an adequate response or are contraindicated to treatment with methotrexate”.</w:t>
      </w:r>
      <w:r w:rsidR="008B4A8A" w:rsidRPr="0041132C">
        <w:t xml:space="preserve"> </w:t>
      </w:r>
    </w:p>
    <w:p w:rsidR="008C19A4" w:rsidRPr="0041132C" w:rsidRDefault="008C19A4" w:rsidP="001445D8">
      <w:pPr>
        <w:pStyle w:val="ListParagraph"/>
        <w:spacing w:before="0" w:after="120"/>
        <w:ind w:left="576"/>
        <w:contextualSpacing/>
      </w:pPr>
    </w:p>
    <w:p w:rsidR="00B55532" w:rsidRPr="0041132C" w:rsidRDefault="00B55532" w:rsidP="001445D8">
      <w:pPr>
        <w:pStyle w:val="ListParagraph"/>
        <w:spacing w:after="120"/>
        <w:ind w:left="567"/>
        <w:jc w:val="both"/>
        <w:rPr>
          <w:i/>
        </w:rPr>
      </w:pPr>
      <w:r w:rsidRPr="0041132C">
        <w:rPr>
          <w:i/>
        </w:rPr>
        <w:t>For more detail on PBAC’s view, see section 7 PBAC outcome.</w:t>
      </w:r>
    </w:p>
    <w:p w:rsidR="00B55532" w:rsidRPr="0041132C" w:rsidRDefault="00C317F3" w:rsidP="005348DF">
      <w:pPr>
        <w:pStyle w:val="Heading1"/>
        <w:ind w:left="709" w:hanging="709"/>
      </w:pPr>
      <w:bookmarkStart w:id="13" w:name="_Toc413139276"/>
      <w:bookmarkStart w:id="14" w:name="_Toc493165612"/>
      <w:r w:rsidRPr="0041132C">
        <w:t>Consideration of the evidence</w:t>
      </w:r>
      <w:bookmarkEnd w:id="13"/>
      <w:bookmarkEnd w:id="14"/>
    </w:p>
    <w:p w:rsidR="00B55532" w:rsidRPr="0045066B" w:rsidRDefault="00566580" w:rsidP="0045066B">
      <w:pPr>
        <w:pStyle w:val="Heading2"/>
        <w:rPr>
          <w:rFonts w:cs="Arial"/>
          <w:b w:val="0"/>
          <w:bCs/>
          <w:i w:val="0"/>
          <w:snapToGrid w:val="0"/>
        </w:rPr>
      </w:pPr>
      <w:r w:rsidRPr="0045066B">
        <w:rPr>
          <w:rFonts w:cs="Arial"/>
          <w:bCs/>
          <w:i w:val="0"/>
          <w:snapToGrid w:val="0"/>
        </w:rPr>
        <w:t>Sponsor hearing</w:t>
      </w:r>
    </w:p>
    <w:p w:rsidR="00D4611C" w:rsidRPr="0041132C" w:rsidRDefault="00D4611C" w:rsidP="005348DF">
      <w:pPr>
        <w:pStyle w:val="ListParagraph"/>
        <w:numPr>
          <w:ilvl w:val="0"/>
          <w:numId w:val="3"/>
        </w:numPr>
        <w:spacing w:before="200" w:after="120"/>
        <w:rPr>
          <w:rFonts w:ascii="Arial" w:eastAsia="Times New Roman" w:hAnsi="Arial" w:cs="Arial"/>
          <w:b/>
          <w:snapToGrid w:val="0"/>
          <w:vanish/>
          <w:sz w:val="22"/>
        </w:rPr>
      </w:pPr>
    </w:p>
    <w:p w:rsidR="00D4611C" w:rsidRPr="0041132C" w:rsidRDefault="00D4611C" w:rsidP="0021253F">
      <w:pPr>
        <w:pStyle w:val="ListParagraph"/>
        <w:numPr>
          <w:ilvl w:val="0"/>
          <w:numId w:val="3"/>
        </w:numPr>
        <w:spacing w:before="200" w:after="120"/>
        <w:rPr>
          <w:rFonts w:ascii="Arial" w:eastAsia="Times New Roman" w:hAnsi="Arial" w:cs="Arial"/>
          <w:b/>
          <w:snapToGrid w:val="0"/>
          <w:vanish/>
          <w:sz w:val="22"/>
        </w:rPr>
      </w:pPr>
    </w:p>
    <w:p w:rsidR="00D4611C" w:rsidRPr="0041132C" w:rsidRDefault="00D4611C" w:rsidP="0021253F">
      <w:pPr>
        <w:pStyle w:val="ListParagraph"/>
        <w:numPr>
          <w:ilvl w:val="0"/>
          <w:numId w:val="3"/>
        </w:numPr>
        <w:spacing w:before="200" w:after="120"/>
        <w:rPr>
          <w:rFonts w:ascii="Arial" w:eastAsia="Times New Roman" w:hAnsi="Arial" w:cs="Arial"/>
          <w:b/>
          <w:snapToGrid w:val="0"/>
          <w:vanish/>
          <w:sz w:val="22"/>
        </w:rPr>
      </w:pPr>
    </w:p>
    <w:p w:rsidR="00D4611C" w:rsidRPr="0041132C" w:rsidRDefault="00D4611C">
      <w:pPr>
        <w:pStyle w:val="ListParagraph"/>
        <w:numPr>
          <w:ilvl w:val="0"/>
          <w:numId w:val="3"/>
        </w:numPr>
        <w:spacing w:before="200" w:after="120"/>
        <w:rPr>
          <w:rFonts w:ascii="Arial" w:eastAsia="Times New Roman" w:hAnsi="Arial" w:cs="Arial"/>
          <w:b/>
          <w:snapToGrid w:val="0"/>
          <w:vanish/>
          <w:sz w:val="22"/>
        </w:rPr>
      </w:pPr>
    </w:p>
    <w:p w:rsidR="00D4611C" w:rsidRPr="0041132C" w:rsidRDefault="00D4611C">
      <w:pPr>
        <w:pStyle w:val="ListParagraph"/>
        <w:numPr>
          <w:ilvl w:val="0"/>
          <w:numId w:val="3"/>
        </w:numPr>
        <w:spacing w:before="200" w:after="120"/>
        <w:rPr>
          <w:rFonts w:ascii="Arial" w:eastAsia="Times New Roman" w:hAnsi="Arial" w:cs="Arial"/>
          <w:b/>
          <w:snapToGrid w:val="0"/>
          <w:vanish/>
          <w:sz w:val="22"/>
        </w:rPr>
      </w:pPr>
    </w:p>
    <w:p w:rsidR="00566580" w:rsidRPr="0041132C" w:rsidRDefault="00566580">
      <w:pPr>
        <w:pStyle w:val="ListParagraph"/>
        <w:numPr>
          <w:ilvl w:val="1"/>
          <w:numId w:val="3"/>
        </w:numPr>
        <w:spacing w:before="0" w:after="120"/>
      </w:pPr>
      <w:r w:rsidRPr="0041132C">
        <w:t>There was no hearing for this item.</w:t>
      </w:r>
    </w:p>
    <w:p w:rsidR="00566580" w:rsidRPr="0045066B" w:rsidRDefault="00566580" w:rsidP="0045066B">
      <w:pPr>
        <w:pStyle w:val="Heading2"/>
        <w:rPr>
          <w:rFonts w:cs="Arial"/>
          <w:b w:val="0"/>
          <w:bCs/>
          <w:i w:val="0"/>
          <w:snapToGrid w:val="0"/>
        </w:rPr>
      </w:pPr>
      <w:r w:rsidRPr="0045066B">
        <w:rPr>
          <w:rFonts w:cs="Arial"/>
          <w:bCs/>
          <w:i w:val="0"/>
          <w:snapToGrid w:val="0"/>
        </w:rPr>
        <w:t>Consumer comments</w:t>
      </w:r>
    </w:p>
    <w:p w:rsidR="00566580" w:rsidRPr="0041132C" w:rsidRDefault="00566580" w:rsidP="005348DF">
      <w:pPr>
        <w:widowControl w:val="0"/>
        <w:numPr>
          <w:ilvl w:val="1"/>
          <w:numId w:val="3"/>
        </w:numPr>
        <w:spacing w:before="0" w:after="120"/>
        <w:jc w:val="both"/>
        <w:rPr>
          <w:rFonts w:cs="Arial"/>
          <w:bCs/>
          <w:snapToGrid w:val="0"/>
        </w:rPr>
      </w:pPr>
      <w:r w:rsidRPr="0041132C">
        <w:rPr>
          <w:rFonts w:cs="Arial"/>
          <w:bCs/>
          <w:snapToGrid w:val="0"/>
        </w:rPr>
        <w:t>The PBAC noted and welcomed the input from individuals (72) and health care professionals (22) via the Consumer Comments facility on the PBS website.  The comments described a range of benefits of treatment with apremilast including</w:t>
      </w:r>
      <w:r w:rsidR="00965016" w:rsidRPr="0041132C">
        <w:rPr>
          <w:rFonts w:cs="Arial"/>
          <w:bCs/>
          <w:snapToGrid w:val="0"/>
        </w:rPr>
        <w:t xml:space="preserve"> sustained efficacy and ability to continue treatment long term; limited side effects; and the availability of another treatment option for patients which may eliminate the need for, or extend the time until, treatment with biologic agents. In particular the comments highlighted the better safety profile of apremilast compared to </w:t>
      </w:r>
      <w:r w:rsidR="007361BB" w:rsidRPr="0041132C">
        <w:rPr>
          <w:rFonts w:cs="Arial"/>
          <w:bCs/>
          <w:snapToGrid w:val="0"/>
        </w:rPr>
        <w:t xml:space="preserve">alternative treatments, such as </w:t>
      </w:r>
      <w:r w:rsidR="00965016" w:rsidRPr="0041132C">
        <w:rPr>
          <w:rFonts w:cs="Arial"/>
          <w:bCs/>
          <w:snapToGrid w:val="0"/>
        </w:rPr>
        <w:t>cyclosporin and the large impact apremilast treatment has had on quality of life for a number of patients.</w:t>
      </w:r>
    </w:p>
    <w:p w:rsidR="00566580" w:rsidRPr="0045066B" w:rsidRDefault="00566580" w:rsidP="0045066B">
      <w:pPr>
        <w:pStyle w:val="Heading2"/>
        <w:rPr>
          <w:rFonts w:cs="Arial"/>
          <w:b w:val="0"/>
          <w:bCs/>
          <w:i w:val="0"/>
          <w:snapToGrid w:val="0"/>
        </w:rPr>
      </w:pPr>
      <w:r w:rsidRPr="0045066B">
        <w:rPr>
          <w:rFonts w:cs="Arial"/>
          <w:bCs/>
          <w:i w:val="0"/>
          <w:snapToGrid w:val="0"/>
        </w:rPr>
        <w:t>Clinical trials</w:t>
      </w:r>
    </w:p>
    <w:p w:rsidR="00C2636B" w:rsidRPr="0041132C" w:rsidRDefault="00C33EE4" w:rsidP="00C2633C">
      <w:pPr>
        <w:pStyle w:val="ListParagraph"/>
        <w:numPr>
          <w:ilvl w:val="1"/>
          <w:numId w:val="3"/>
        </w:numPr>
        <w:spacing w:before="0" w:after="120"/>
        <w:jc w:val="both"/>
      </w:pPr>
      <w:r w:rsidRPr="0041132C">
        <w:rPr>
          <w:snapToGrid w:val="0"/>
        </w:rPr>
        <w:t xml:space="preserve">No direct RCTs </w:t>
      </w:r>
      <w:r w:rsidR="00BB557A" w:rsidRPr="0041132C">
        <w:rPr>
          <w:snapToGrid w:val="0"/>
        </w:rPr>
        <w:t xml:space="preserve">comparing apremilast </w:t>
      </w:r>
      <w:r w:rsidR="00A82916" w:rsidRPr="0041132C">
        <w:rPr>
          <w:snapToGrid w:val="0"/>
        </w:rPr>
        <w:t xml:space="preserve">to cyclosporin </w:t>
      </w:r>
      <w:r w:rsidRPr="0041132C">
        <w:rPr>
          <w:snapToGrid w:val="0"/>
        </w:rPr>
        <w:t>were identified in the search strategy</w:t>
      </w:r>
      <w:r w:rsidR="0033059C" w:rsidRPr="0041132C">
        <w:rPr>
          <w:snapToGrid w:val="0"/>
        </w:rPr>
        <w:t>. This finding is</w:t>
      </w:r>
      <w:r w:rsidR="009F05EB" w:rsidRPr="0041132C">
        <w:rPr>
          <w:snapToGrid w:val="0"/>
        </w:rPr>
        <w:t xml:space="preserve"> </w:t>
      </w:r>
      <w:r w:rsidRPr="0041132C">
        <w:rPr>
          <w:snapToGrid w:val="0"/>
        </w:rPr>
        <w:t xml:space="preserve">consistent with all previous submissions. </w:t>
      </w:r>
      <w:r w:rsidR="00FB5075" w:rsidRPr="0041132C">
        <w:rPr>
          <w:snapToGrid w:val="0"/>
        </w:rPr>
        <w:t>The resubmission provided an updated Section 2, different to previous submissions (Section B)</w:t>
      </w:r>
      <w:r w:rsidR="00C2636B" w:rsidRPr="0041132C">
        <w:rPr>
          <w:snapToGrid w:val="0"/>
        </w:rPr>
        <w:t>, by</w:t>
      </w:r>
      <w:r w:rsidR="001E3C51" w:rsidRPr="0041132C">
        <w:rPr>
          <w:snapToGrid w:val="0"/>
        </w:rPr>
        <w:t xml:space="preserve"> presenting </w:t>
      </w:r>
      <w:r w:rsidR="00FB5075" w:rsidRPr="0041132C">
        <w:rPr>
          <w:snapToGrid w:val="0"/>
        </w:rPr>
        <w:t xml:space="preserve">indirect comparative evidence of the efficacy and safety of apremilast compared to cyclosporin. This was in line with previous feedback from the PBAC. </w:t>
      </w:r>
      <w:r w:rsidR="00B31D60" w:rsidRPr="0041132C">
        <w:t xml:space="preserve">The submission </w:t>
      </w:r>
      <w:r w:rsidR="001E3C51" w:rsidRPr="0041132C">
        <w:t xml:space="preserve">is </w:t>
      </w:r>
      <w:r w:rsidR="00B31D60" w:rsidRPr="0041132C">
        <w:t xml:space="preserve">based on </w:t>
      </w:r>
      <w:r w:rsidR="00FB5075" w:rsidRPr="0041132C">
        <w:t>f</w:t>
      </w:r>
      <w:r w:rsidR="00C512C1" w:rsidRPr="0041132C">
        <w:t>ive</w:t>
      </w:r>
      <w:r w:rsidR="00FB5075" w:rsidRPr="0041132C">
        <w:t xml:space="preserve"> </w:t>
      </w:r>
      <w:r w:rsidR="00B31D60" w:rsidRPr="0041132C">
        <w:t xml:space="preserve">RCTs comparing </w:t>
      </w:r>
      <w:r w:rsidR="00FB5075" w:rsidRPr="0041132C">
        <w:t xml:space="preserve">apremilast </w:t>
      </w:r>
      <w:r w:rsidR="00B31D60" w:rsidRPr="0041132C">
        <w:t xml:space="preserve">to </w:t>
      </w:r>
      <w:r w:rsidR="00C2636B" w:rsidRPr="0041132C">
        <w:t>placebo</w:t>
      </w:r>
      <w:r w:rsidR="00000403" w:rsidRPr="0041132C">
        <w:t>,</w:t>
      </w:r>
      <w:r w:rsidR="00C2636B" w:rsidRPr="0041132C">
        <w:t xml:space="preserve"> one RCT comparing methotrexate to placebo and one RCT comparing cyclosporin to methotrexate. The two later RCTs were not presented in previous submissions.</w:t>
      </w:r>
    </w:p>
    <w:p w:rsidR="008F0116" w:rsidRPr="0041132C" w:rsidRDefault="00C317F3">
      <w:pPr>
        <w:pStyle w:val="ListParagraph"/>
        <w:numPr>
          <w:ilvl w:val="1"/>
          <w:numId w:val="3"/>
        </w:numPr>
        <w:spacing w:before="0" w:after="120"/>
        <w:jc w:val="both"/>
      </w:pPr>
      <w:r w:rsidRPr="0041132C">
        <w:t xml:space="preserve">Details of the trials presented in the submission are provided in the table below.  </w:t>
      </w:r>
    </w:p>
    <w:p w:rsidR="009979DD" w:rsidRPr="0041132C" w:rsidRDefault="009979DD" w:rsidP="001445D8">
      <w:pPr>
        <w:pStyle w:val="TableHeading0"/>
        <w:spacing w:after="120"/>
      </w:pPr>
      <w:r w:rsidRPr="0041132C">
        <w:t xml:space="preserve">Table </w:t>
      </w:r>
      <w:r w:rsidR="007A6679" w:rsidRPr="0041132C">
        <w:t>5</w:t>
      </w:r>
      <w:r w:rsidRPr="0041132C">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1"/>
        <w:gridCol w:w="5854"/>
        <w:gridCol w:w="1947"/>
      </w:tblGrid>
      <w:tr w:rsidR="009979DD" w:rsidRPr="0041132C" w:rsidTr="005111AB">
        <w:trPr>
          <w:tblHeader/>
        </w:trPr>
        <w:tc>
          <w:tcPr>
            <w:tcW w:w="705" w:type="pct"/>
          </w:tcPr>
          <w:p w:rsidR="009979DD" w:rsidRPr="0041132C" w:rsidRDefault="009979DD" w:rsidP="001445D8">
            <w:pPr>
              <w:pStyle w:val="TableText"/>
              <w:spacing w:after="120"/>
              <w:rPr>
                <w:b/>
              </w:rPr>
            </w:pPr>
            <w:r w:rsidRPr="0041132C">
              <w:rPr>
                <w:b/>
              </w:rPr>
              <w:t>Trial ID</w:t>
            </w:r>
            <w:r w:rsidR="00705E8C" w:rsidRPr="0041132C">
              <w:rPr>
                <w:b/>
              </w:rPr>
              <w:t>/Author</w:t>
            </w:r>
          </w:p>
        </w:tc>
        <w:tc>
          <w:tcPr>
            <w:tcW w:w="3223" w:type="pct"/>
          </w:tcPr>
          <w:p w:rsidR="009979DD" w:rsidRPr="0041132C" w:rsidRDefault="009979DD" w:rsidP="001445D8">
            <w:pPr>
              <w:pStyle w:val="TableText"/>
              <w:spacing w:after="120"/>
              <w:rPr>
                <w:b/>
              </w:rPr>
            </w:pPr>
            <w:r w:rsidRPr="0041132C">
              <w:rPr>
                <w:b/>
              </w:rPr>
              <w:t>Protocol title/ Publication title</w:t>
            </w:r>
          </w:p>
        </w:tc>
        <w:tc>
          <w:tcPr>
            <w:tcW w:w="1072" w:type="pct"/>
          </w:tcPr>
          <w:p w:rsidR="009979DD" w:rsidRPr="0041132C" w:rsidRDefault="009979DD" w:rsidP="001445D8">
            <w:pPr>
              <w:pStyle w:val="TableText"/>
              <w:spacing w:after="120"/>
              <w:rPr>
                <w:b/>
              </w:rPr>
            </w:pPr>
            <w:r w:rsidRPr="0041132C">
              <w:rPr>
                <w:b/>
              </w:rPr>
              <w:t>Publication citation</w:t>
            </w:r>
          </w:p>
        </w:tc>
      </w:tr>
      <w:tr w:rsidR="009979DD" w:rsidRPr="0041132C" w:rsidTr="00032331">
        <w:tc>
          <w:tcPr>
            <w:tcW w:w="5000" w:type="pct"/>
            <w:gridSpan w:val="3"/>
          </w:tcPr>
          <w:p w:rsidR="009979DD" w:rsidRPr="0021253F" w:rsidRDefault="009979DD" w:rsidP="001445D8">
            <w:pPr>
              <w:pStyle w:val="TableText"/>
              <w:spacing w:after="0"/>
              <w:rPr>
                <w:b/>
              </w:rPr>
            </w:pPr>
            <w:r w:rsidRPr="005348DF">
              <w:rPr>
                <w:b/>
              </w:rPr>
              <w:t>Randomised trials – Apremilast versus placebo</w:t>
            </w:r>
          </w:p>
        </w:tc>
      </w:tr>
      <w:tr w:rsidR="009979DD" w:rsidRPr="0041132C" w:rsidTr="005111AB">
        <w:trPr>
          <w:trHeight w:hRule="exact" w:val="1343"/>
        </w:trPr>
        <w:tc>
          <w:tcPr>
            <w:tcW w:w="705" w:type="pct"/>
            <w:tcBorders>
              <w:bottom w:val="nil"/>
            </w:tcBorders>
          </w:tcPr>
          <w:p w:rsidR="009979DD" w:rsidRPr="0021253F" w:rsidRDefault="0043409C" w:rsidP="001445D8">
            <w:pPr>
              <w:pStyle w:val="TableText"/>
              <w:spacing w:after="0"/>
            </w:pPr>
            <w:r w:rsidRPr="005348DF">
              <w:t>Core</w:t>
            </w:r>
          </w:p>
        </w:tc>
        <w:tc>
          <w:tcPr>
            <w:tcW w:w="3223" w:type="pct"/>
            <w:tcBorders>
              <w:bottom w:val="nil"/>
            </w:tcBorders>
          </w:tcPr>
          <w:p w:rsidR="009979DD" w:rsidRPr="0041132C" w:rsidRDefault="0043409C" w:rsidP="001445D8">
            <w:pPr>
              <w:pStyle w:val="TableBullet0"/>
              <w:numPr>
                <w:ilvl w:val="0"/>
                <w:numId w:val="0"/>
              </w:numPr>
              <w:tabs>
                <w:tab w:val="clear" w:pos="216"/>
                <w:tab w:val="left" w:pos="0"/>
              </w:tabs>
              <w:spacing w:after="0"/>
            </w:pPr>
            <w:r w:rsidRPr="0041132C">
              <w:t>Celgene Clinical study report: CC-10004/ APREMILAST STUDY CC-10004-PSOR-005-E-LTE. A phase 2b, multicenter, randomized, double­blind, placebo-controlled, dose-ranging, efficacy and safety study of apremilast (CC-10004) in subjects with moderate-to-severe plaque-type psoriasis (PSOR-005) and two extension studies (PSOR-OOSE &amp; PSOR-OOSLTE).</w:t>
            </w:r>
          </w:p>
        </w:tc>
        <w:tc>
          <w:tcPr>
            <w:tcW w:w="1072" w:type="pct"/>
            <w:tcBorders>
              <w:bottom w:val="nil"/>
            </w:tcBorders>
          </w:tcPr>
          <w:p w:rsidR="009979DD" w:rsidRPr="0041132C" w:rsidRDefault="009979DD" w:rsidP="001445D8">
            <w:pPr>
              <w:pStyle w:val="TableText"/>
              <w:spacing w:before="0" w:after="0"/>
            </w:pPr>
            <w:r w:rsidRPr="0041132C">
              <w:t>2012</w:t>
            </w:r>
          </w:p>
          <w:p w:rsidR="009979DD" w:rsidRPr="0041132C" w:rsidRDefault="009979DD" w:rsidP="001445D8">
            <w:pPr>
              <w:pStyle w:val="TableText"/>
              <w:spacing w:after="0"/>
            </w:pPr>
          </w:p>
        </w:tc>
      </w:tr>
      <w:tr w:rsidR="008651D6" w:rsidRPr="0041132C" w:rsidTr="005111AB">
        <w:tc>
          <w:tcPr>
            <w:tcW w:w="705" w:type="pct"/>
            <w:tcBorders>
              <w:top w:val="nil"/>
              <w:bottom w:val="single" w:sz="4" w:space="0" w:color="auto"/>
            </w:tcBorders>
          </w:tcPr>
          <w:p w:rsidR="008651D6" w:rsidRPr="0021253F" w:rsidRDefault="0043409C" w:rsidP="001445D8">
            <w:pPr>
              <w:pStyle w:val="TableText"/>
              <w:spacing w:after="0"/>
            </w:pPr>
            <w:r w:rsidRPr="005348DF">
              <w:t>Papp, K.</w:t>
            </w:r>
          </w:p>
        </w:tc>
        <w:tc>
          <w:tcPr>
            <w:tcW w:w="3223" w:type="pct"/>
            <w:tcBorders>
              <w:top w:val="nil"/>
              <w:bottom w:val="single" w:sz="4" w:space="0" w:color="auto"/>
            </w:tcBorders>
          </w:tcPr>
          <w:p w:rsidR="008651D6" w:rsidRPr="0041132C" w:rsidRDefault="0043409C" w:rsidP="001445D8">
            <w:pPr>
              <w:pStyle w:val="TableBullet0"/>
              <w:numPr>
                <w:ilvl w:val="0"/>
                <w:numId w:val="0"/>
              </w:numPr>
              <w:tabs>
                <w:tab w:val="clear" w:pos="216"/>
                <w:tab w:val="left" w:pos="0"/>
              </w:tabs>
              <w:spacing w:after="0"/>
            </w:pPr>
            <w:r w:rsidRPr="0041132C">
              <w:t>Papp, K., Cather, J. C., Rosoph, L., Sofen, H., Langley, R. G., Matheson, R. T., &amp; Day, R. M.  Efficacy of apremilast in the treatment of moderate to severe psoriasis: a randomised controlled trial.</w:t>
            </w:r>
          </w:p>
        </w:tc>
        <w:tc>
          <w:tcPr>
            <w:tcW w:w="1072" w:type="pct"/>
            <w:tcBorders>
              <w:top w:val="nil"/>
              <w:bottom w:val="single" w:sz="4" w:space="0" w:color="auto"/>
            </w:tcBorders>
          </w:tcPr>
          <w:p w:rsidR="0043409C" w:rsidRPr="0041132C" w:rsidRDefault="0043409C" w:rsidP="001445D8">
            <w:pPr>
              <w:pStyle w:val="TableText"/>
              <w:spacing w:after="0"/>
            </w:pPr>
            <w:r w:rsidRPr="0041132C">
              <w:t xml:space="preserve">2012 </w:t>
            </w:r>
          </w:p>
          <w:p w:rsidR="008651D6" w:rsidRPr="0041132C" w:rsidRDefault="0043409C" w:rsidP="001445D8">
            <w:pPr>
              <w:pStyle w:val="TableText"/>
              <w:spacing w:after="0"/>
            </w:pPr>
            <w:r w:rsidRPr="0041132C">
              <w:t>The Lancet, 380(9843), 738-746.</w:t>
            </w:r>
          </w:p>
        </w:tc>
      </w:tr>
      <w:tr w:rsidR="009979DD" w:rsidRPr="0041132C" w:rsidTr="005111AB">
        <w:trPr>
          <w:trHeight w:val="1023"/>
        </w:trPr>
        <w:tc>
          <w:tcPr>
            <w:tcW w:w="705" w:type="pct"/>
            <w:tcBorders>
              <w:bottom w:val="nil"/>
            </w:tcBorders>
          </w:tcPr>
          <w:p w:rsidR="009979DD" w:rsidRPr="005348DF" w:rsidRDefault="009979DD" w:rsidP="001445D8">
            <w:pPr>
              <w:pStyle w:val="TableText"/>
              <w:spacing w:after="0"/>
            </w:pPr>
            <w:r w:rsidRPr="005348DF">
              <w:t xml:space="preserve">ESTEEM-1. </w:t>
            </w:r>
          </w:p>
        </w:tc>
        <w:tc>
          <w:tcPr>
            <w:tcW w:w="3223" w:type="pct"/>
            <w:tcBorders>
              <w:bottom w:val="nil"/>
            </w:tcBorders>
          </w:tcPr>
          <w:p w:rsidR="009979DD" w:rsidRPr="0041132C" w:rsidRDefault="0043409C" w:rsidP="001445D8">
            <w:pPr>
              <w:pStyle w:val="TableBullet0"/>
              <w:numPr>
                <w:ilvl w:val="0"/>
                <w:numId w:val="0"/>
              </w:numPr>
              <w:tabs>
                <w:tab w:val="clear" w:pos="216"/>
              </w:tabs>
              <w:spacing w:after="0"/>
            </w:pPr>
            <w:r w:rsidRPr="0041132C">
              <w:t>Celgene Clinical study report: APREMILAST (CC-10004) CC-10004-PSOR-008. 2013. A phase 3, multicenter, randomized, double-blind, placebo-controlled, efficacy and safety study of apremilast (CC-10004) in subjects with moderate to severe plaque psoriasis.</w:t>
            </w:r>
          </w:p>
        </w:tc>
        <w:tc>
          <w:tcPr>
            <w:tcW w:w="1072" w:type="pct"/>
            <w:tcBorders>
              <w:bottom w:val="nil"/>
            </w:tcBorders>
          </w:tcPr>
          <w:p w:rsidR="009979DD" w:rsidRPr="0041132C" w:rsidRDefault="009979DD" w:rsidP="001445D8">
            <w:pPr>
              <w:pStyle w:val="TableText"/>
              <w:spacing w:after="0"/>
            </w:pPr>
            <w:r w:rsidRPr="0041132C">
              <w:t>2015</w:t>
            </w:r>
          </w:p>
          <w:p w:rsidR="009979DD" w:rsidRPr="0041132C" w:rsidRDefault="009979DD" w:rsidP="001445D8">
            <w:pPr>
              <w:pStyle w:val="TableText"/>
              <w:spacing w:after="0"/>
            </w:pPr>
          </w:p>
        </w:tc>
      </w:tr>
      <w:tr w:rsidR="008651D6" w:rsidRPr="0041132C" w:rsidTr="005111AB">
        <w:tc>
          <w:tcPr>
            <w:tcW w:w="705" w:type="pct"/>
            <w:tcBorders>
              <w:top w:val="nil"/>
              <w:bottom w:val="single" w:sz="4" w:space="0" w:color="auto"/>
            </w:tcBorders>
          </w:tcPr>
          <w:p w:rsidR="008651D6" w:rsidRPr="0021253F" w:rsidRDefault="0043409C" w:rsidP="001445D8">
            <w:pPr>
              <w:pStyle w:val="TableText"/>
              <w:spacing w:after="0"/>
            </w:pPr>
            <w:r w:rsidRPr="005348DF">
              <w:t>Papp, K</w:t>
            </w:r>
          </w:p>
        </w:tc>
        <w:tc>
          <w:tcPr>
            <w:tcW w:w="3223" w:type="pct"/>
            <w:tcBorders>
              <w:top w:val="nil"/>
              <w:bottom w:val="single" w:sz="4" w:space="0" w:color="auto"/>
            </w:tcBorders>
          </w:tcPr>
          <w:p w:rsidR="0043409C" w:rsidRPr="0041132C" w:rsidRDefault="0043409C" w:rsidP="001445D8">
            <w:pPr>
              <w:pStyle w:val="TableBullet0"/>
              <w:numPr>
                <w:ilvl w:val="0"/>
                <w:numId w:val="0"/>
              </w:numPr>
              <w:tabs>
                <w:tab w:val="clear" w:pos="216"/>
              </w:tabs>
              <w:spacing w:after="0"/>
            </w:pPr>
            <w:r w:rsidRPr="0041132C">
              <w:t>Papp, K., Reich, K., Leonardi, C. L., Kircik, L., Chimenti, S., Langley, R. G. &amp; Korman, N. J. Apremilast, an oral phosphodiesterase 4 (PDE4) inhibitor, in patients with moderate to severe plaque psoriasis: results of a phase III, randomized, controlled trial (Efficacy and Safety Trial Evaluating the Effects of apremilast in Psoriasis [ESTEEM] 1</w:t>
            </w:r>
          </w:p>
        </w:tc>
        <w:tc>
          <w:tcPr>
            <w:tcW w:w="1072" w:type="pct"/>
            <w:tcBorders>
              <w:top w:val="nil"/>
              <w:bottom w:val="single" w:sz="4" w:space="0" w:color="auto"/>
            </w:tcBorders>
          </w:tcPr>
          <w:p w:rsidR="0043409C" w:rsidRPr="0041132C" w:rsidRDefault="0043409C" w:rsidP="001445D8">
            <w:pPr>
              <w:pStyle w:val="TableText"/>
              <w:spacing w:after="0"/>
            </w:pPr>
            <w:r w:rsidRPr="0041132C">
              <w:t>2015</w:t>
            </w:r>
          </w:p>
          <w:p w:rsidR="008651D6" w:rsidRPr="0041132C" w:rsidRDefault="0043409C" w:rsidP="001445D8">
            <w:pPr>
              <w:pStyle w:val="TableText"/>
              <w:spacing w:after="0"/>
            </w:pPr>
            <w:r w:rsidRPr="0041132C">
              <w:t>Journal of the American Academy of Dermatology, 73(1), 37-49</w:t>
            </w:r>
          </w:p>
        </w:tc>
      </w:tr>
      <w:tr w:rsidR="009979DD" w:rsidRPr="0041132C" w:rsidTr="005111AB">
        <w:trPr>
          <w:trHeight w:val="1041"/>
        </w:trPr>
        <w:tc>
          <w:tcPr>
            <w:tcW w:w="705" w:type="pct"/>
            <w:tcBorders>
              <w:bottom w:val="nil"/>
            </w:tcBorders>
          </w:tcPr>
          <w:p w:rsidR="009979DD" w:rsidRPr="005348DF" w:rsidRDefault="009979DD" w:rsidP="001445D8">
            <w:pPr>
              <w:pStyle w:val="TableText"/>
              <w:spacing w:after="0"/>
            </w:pPr>
            <w:r w:rsidRPr="005348DF">
              <w:t>ESTEEM-2.</w:t>
            </w:r>
          </w:p>
        </w:tc>
        <w:tc>
          <w:tcPr>
            <w:tcW w:w="3223" w:type="pct"/>
            <w:tcBorders>
              <w:bottom w:val="nil"/>
            </w:tcBorders>
          </w:tcPr>
          <w:p w:rsidR="009979DD" w:rsidRPr="0041132C" w:rsidRDefault="0043409C" w:rsidP="001445D8">
            <w:pPr>
              <w:pStyle w:val="TableBullet0"/>
              <w:numPr>
                <w:ilvl w:val="0"/>
                <w:numId w:val="0"/>
              </w:numPr>
              <w:tabs>
                <w:tab w:val="clear" w:pos="216"/>
                <w:tab w:val="left" w:pos="0"/>
              </w:tabs>
              <w:spacing w:after="0"/>
            </w:pPr>
            <w:r w:rsidRPr="0041132C">
              <w:t>Celgene Clinical study report: APREMILAST (CC-10004) CC-10004-PSOR-009. 2013.  A phase 3, multicenter, randomized, double-blind, placebo-controlled, efficacy and safety study of apremilast (CC-10004) in subjects with moderate to severe plaque psoriasis.</w:t>
            </w:r>
          </w:p>
        </w:tc>
        <w:tc>
          <w:tcPr>
            <w:tcW w:w="1072" w:type="pct"/>
            <w:tcBorders>
              <w:bottom w:val="nil"/>
            </w:tcBorders>
          </w:tcPr>
          <w:p w:rsidR="009979DD" w:rsidRPr="0041132C" w:rsidRDefault="009979DD" w:rsidP="001445D8">
            <w:pPr>
              <w:pStyle w:val="TableText"/>
              <w:spacing w:after="0"/>
            </w:pPr>
            <w:r w:rsidRPr="0041132C">
              <w:t>2015</w:t>
            </w:r>
          </w:p>
          <w:p w:rsidR="009979DD" w:rsidRPr="0041132C" w:rsidRDefault="009979DD" w:rsidP="001445D8">
            <w:pPr>
              <w:pStyle w:val="TableText"/>
              <w:spacing w:after="0"/>
            </w:pPr>
          </w:p>
        </w:tc>
      </w:tr>
      <w:tr w:rsidR="008651D6" w:rsidRPr="0041132C" w:rsidTr="005111AB">
        <w:tc>
          <w:tcPr>
            <w:tcW w:w="705" w:type="pct"/>
            <w:tcBorders>
              <w:top w:val="nil"/>
              <w:bottom w:val="single" w:sz="4" w:space="0" w:color="auto"/>
            </w:tcBorders>
          </w:tcPr>
          <w:p w:rsidR="008651D6" w:rsidRPr="0021253F" w:rsidRDefault="009A0899" w:rsidP="001445D8">
            <w:pPr>
              <w:pStyle w:val="TableText"/>
              <w:spacing w:after="0"/>
            </w:pPr>
            <w:r w:rsidRPr="005348DF">
              <w:t>Paul, C.</w:t>
            </w:r>
          </w:p>
        </w:tc>
        <w:tc>
          <w:tcPr>
            <w:tcW w:w="3223" w:type="pct"/>
            <w:tcBorders>
              <w:top w:val="nil"/>
              <w:bottom w:val="single" w:sz="4" w:space="0" w:color="auto"/>
            </w:tcBorders>
          </w:tcPr>
          <w:p w:rsidR="008651D6" w:rsidRPr="0041132C" w:rsidRDefault="0043409C" w:rsidP="001445D8">
            <w:pPr>
              <w:pStyle w:val="TableBullet0"/>
              <w:numPr>
                <w:ilvl w:val="0"/>
                <w:numId w:val="0"/>
              </w:numPr>
              <w:tabs>
                <w:tab w:val="clear" w:pos="216"/>
                <w:tab w:val="left" w:pos="0"/>
              </w:tabs>
              <w:spacing w:after="0"/>
            </w:pPr>
            <w:r w:rsidRPr="0041132C">
              <w:t>Paul, C., Cather, J., Gooderham, M., Poulin, Y., Mrowietz, U., Ferrandiz, C.&amp; Day, R. M. Efficacy and safety of apremilast, an oral phosphodiesterase 4 inhibitor, in patients with moderate</w:t>
            </w:r>
            <w:r w:rsidRPr="0041132C">
              <w:rPr>
                <w:rFonts w:ascii="Cambria Math" w:hAnsi="Cambria Math" w:cs="Cambria Math"/>
              </w:rPr>
              <w:t>‐</w:t>
            </w:r>
            <w:r w:rsidRPr="0041132C">
              <w:t>to</w:t>
            </w:r>
            <w:r w:rsidRPr="0041132C">
              <w:rPr>
                <w:rFonts w:ascii="Cambria Math" w:hAnsi="Cambria Math" w:cs="Cambria Math"/>
              </w:rPr>
              <w:t>‐</w:t>
            </w:r>
            <w:r w:rsidRPr="0041132C">
              <w:t>severe plaque psoriasis over 52 weeks: a phase III, randomized controlled trial (ESTEEM 2)</w:t>
            </w:r>
          </w:p>
        </w:tc>
        <w:tc>
          <w:tcPr>
            <w:tcW w:w="1072" w:type="pct"/>
            <w:tcBorders>
              <w:top w:val="nil"/>
              <w:bottom w:val="single" w:sz="4" w:space="0" w:color="auto"/>
            </w:tcBorders>
          </w:tcPr>
          <w:p w:rsidR="0043409C" w:rsidRPr="0041132C" w:rsidRDefault="0043409C" w:rsidP="001445D8">
            <w:pPr>
              <w:pStyle w:val="TableText"/>
              <w:spacing w:after="0"/>
            </w:pPr>
            <w:r w:rsidRPr="0041132C">
              <w:t>2015</w:t>
            </w:r>
          </w:p>
          <w:p w:rsidR="008651D6" w:rsidRPr="0041132C" w:rsidRDefault="0043409C" w:rsidP="001445D8">
            <w:pPr>
              <w:pStyle w:val="TableText"/>
              <w:spacing w:after="0"/>
            </w:pPr>
            <w:r w:rsidRPr="0041132C">
              <w:t>British Journal of Dermatology, 173(6), 1387-1399.</w:t>
            </w:r>
          </w:p>
        </w:tc>
      </w:tr>
      <w:tr w:rsidR="009979DD" w:rsidRPr="0041132C" w:rsidTr="005111AB">
        <w:trPr>
          <w:trHeight w:val="1019"/>
        </w:trPr>
        <w:tc>
          <w:tcPr>
            <w:tcW w:w="705" w:type="pct"/>
            <w:tcBorders>
              <w:bottom w:val="nil"/>
            </w:tcBorders>
          </w:tcPr>
          <w:p w:rsidR="009979DD" w:rsidRPr="005348DF" w:rsidRDefault="009979DD" w:rsidP="001445D8">
            <w:pPr>
              <w:pStyle w:val="TableText"/>
              <w:spacing w:after="0"/>
            </w:pPr>
            <w:r w:rsidRPr="005348DF">
              <w:t>PSOR-11.</w:t>
            </w:r>
          </w:p>
        </w:tc>
        <w:tc>
          <w:tcPr>
            <w:tcW w:w="3223" w:type="pct"/>
            <w:tcBorders>
              <w:bottom w:val="nil"/>
            </w:tcBorders>
          </w:tcPr>
          <w:p w:rsidR="009979DD" w:rsidRPr="0041132C" w:rsidRDefault="005111AB" w:rsidP="001445D8">
            <w:pPr>
              <w:pStyle w:val="TableBullet0"/>
              <w:numPr>
                <w:ilvl w:val="0"/>
                <w:numId w:val="0"/>
              </w:numPr>
              <w:tabs>
                <w:tab w:val="clear" w:pos="216"/>
              </w:tabs>
              <w:spacing w:after="0"/>
            </w:pPr>
            <w:r w:rsidRPr="0041132C">
              <w:t xml:space="preserve">Celgene Clinical study report: APREMILAST (CC-10004) CC-10004-PSOR-011A phase 2b, multicenter, randomized, </w:t>
            </w:r>
            <w:r w:rsidR="00B61FD9" w:rsidRPr="0041132C">
              <w:t>double blind</w:t>
            </w:r>
            <w:r w:rsidRPr="0041132C">
              <w:t>, placebo-controlled, efficacy and safety study of two doses of apremilast (CC-10004) in Japanese subjects with moderate-to-severe plaque-type psoriasis</w:t>
            </w:r>
          </w:p>
        </w:tc>
        <w:tc>
          <w:tcPr>
            <w:tcW w:w="1072" w:type="pct"/>
            <w:tcBorders>
              <w:bottom w:val="nil"/>
            </w:tcBorders>
          </w:tcPr>
          <w:p w:rsidR="009979DD" w:rsidRPr="0041132C" w:rsidRDefault="009979DD" w:rsidP="001445D8">
            <w:pPr>
              <w:pStyle w:val="TableText"/>
              <w:spacing w:after="0"/>
            </w:pPr>
            <w:r w:rsidRPr="0041132C">
              <w:t>2017</w:t>
            </w:r>
          </w:p>
          <w:p w:rsidR="009979DD" w:rsidRPr="0041132C" w:rsidRDefault="009979DD" w:rsidP="001445D8">
            <w:pPr>
              <w:pStyle w:val="TableText"/>
              <w:spacing w:after="0"/>
            </w:pPr>
          </w:p>
        </w:tc>
      </w:tr>
      <w:tr w:rsidR="008651D6" w:rsidRPr="0041132C" w:rsidTr="005111AB">
        <w:tc>
          <w:tcPr>
            <w:tcW w:w="705" w:type="pct"/>
            <w:tcBorders>
              <w:top w:val="nil"/>
            </w:tcBorders>
          </w:tcPr>
          <w:p w:rsidR="008651D6" w:rsidRPr="0021253F" w:rsidRDefault="005111AB" w:rsidP="001445D8">
            <w:pPr>
              <w:pStyle w:val="TableText"/>
              <w:spacing w:after="0"/>
            </w:pPr>
            <w:r w:rsidRPr="005348DF">
              <w:t>Ohtsuki, M</w:t>
            </w:r>
          </w:p>
        </w:tc>
        <w:tc>
          <w:tcPr>
            <w:tcW w:w="3223" w:type="pct"/>
            <w:tcBorders>
              <w:top w:val="nil"/>
            </w:tcBorders>
          </w:tcPr>
          <w:p w:rsidR="008651D6" w:rsidRPr="0041132C" w:rsidRDefault="005111AB" w:rsidP="001445D8">
            <w:pPr>
              <w:pStyle w:val="TableBullet0"/>
              <w:numPr>
                <w:ilvl w:val="0"/>
                <w:numId w:val="0"/>
              </w:numPr>
              <w:tabs>
                <w:tab w:val="clear" w:pos="216"/>
              </w:tabs>
              <w:spacing w:after="0"/>
            </w:pPr>
            <w:r w:rsidRPr="0041132C">
              <w:t>Ohtsuki, M., Okubo, Y., Komine, M., Imafuku, S., Day, R. M., Chen, P., &amp; Nemoto, O. Apremilast, an oral phosphodiesterase 4 inhibitor, in the treatment of Japanese patients with moderate to severe plaque psoriasis: Efficacy, safety and tolerability results from a phase 2b randomized controlled trial.</w:t>
            </w:r>
          </w:p>
        </w:tc>
        <w:tc>
          <w:tcPr>
            <w:tcW w:w="1072" w:type="pct"/>
            <w:tcBorders>
              <w:top w:val="nil"/>
            </w:tcBorders>
          </w:tcPr>
          <w:p w:rsidR="005111AB" w:rsidRPr="0041132C" w:rsidRDefault="005111AB" w:rsidP="001445D8">
            <w:pPr>
              <w:pStyle w:val="TableText"/>
              <w:spacing w:after="0"/>
            </w:pPr>
            <w:r w:rsidRPr="0041132C">
              <w:t>2017</w:t>
            </w:r>
          </w:p>
          <w:p w:rsidR="008651D6" w:rsidRPr="0041132C" w:rsidRDefault="005111AB" w:rsidP="001445D8">
            <w:pPr>
              <w:pStyle w:val="TableText"/>
              <w:spacing w:after="0"/>
            </w:pPr>
            <w:r w:rsidRPr="0041132C">
              <w:t>The Journal of Dermatology, 1-12.</w:t>
            </w:r>
          </w:p>
        </w:tc>
      </w:tr>
      <w:tr w:rsidR="009979DD" w:rsidRPr="0041132C" w:rsidTr="00032331">
        <w:tc>
          <w:tcPr>
            <w:tcW w:w="5000" w:type="pct"/>
            <w:gridSpan w:val="3"/>
          </w:tcPr>
          <w:p w:rsidR="009979DD" w:rsidRPr="0021253F" w:rsidRDefault="009979DD" w:rsidP="001445D8">
            <w:pPr>
              <w:pStyle w:val="TableText"/>
              <w:spacing w:after="0"/>
            </w:pPr>
            <w:r w:rsidRPr="005348DF">
              <w:rPr>
                <w:b/>
              </w:rPr>
              <w:t>Randomised trial – Cyclosporin versus methotrexate</w:t>
            </w:r>
          </w:p>
        </w:tc>
      </w:tr>
      <w:tr w:rsidR="009979DD" w:rsidRPr="0041132C" w:rsidTr="005111AB">
        <w:tc>
          <w:tcPr>
            <w:tcW w:w="705" w:type="pct"/>
          </w:tcPr>
          <w:p w:rsidR="009979DD" w:rsidRPr="005348DF" w:rsidRDefault="009979DD" w:rsidP="001445D8">
            <w:pPr>
              <w:pStyle w:val="TableText"/>
              <w:spacing w:after="0"/>
            </w:pPr>
            <w:r w:rsidRPr="005348DF">
              <w:t>Heydendael, V.</w:t>
            </w:r>
          </w:p>
        </w:tc>
        <w:tc>
          <w:tcPr>
            <w:tcW w:w="3223" w:type="pct"/>
          </w:tcPr>
          <w:p w:rsidR="009979DD" w:rsidRPr="0041132C" w:rsidRDefault="009979DD" w:rsidP="001445D8">
            <w:pPr>
              <w:pStyle w:val="TableText"/>
              <w:spacing w:after="0"/>
              <w:rPr>
                <w:b/>
              </w:rPr>
            </w:pPr>
            <w:r w:rsidRPr="0041132C">
              <w:t>Heydendael, V. M., Spuls, P. I., Opmeer, B. C., de Borgie, C. A., Reitsma, J. B., Goldschmidt, W. F., &amp; de Rie, M. A. Methotrexate versus cyclosporine in moderate-to-severe chronic plaque psoriasis.</w:t>
            </w:r>
          </w:p>
        </w:tc>
        <w:tc>
          <w:tcPr>
            <w:tcW w:w="1072" w:type="pct"/>
          </w:tcPr>
          <w:p w:rsidR="009979DD" w:rsidRPr="0041132C" w:rsidRDefault="009979DD" w:rsidP="001445D8">
            <w:pPr>
              <w:pStyle w:val="TableText"/>
              <w:spacing w:after="0"/>
            </w:pPr>
            <w:r w:rsidRPr="0041132C">
              <w:t>2003</w:t>
            </w:r>
          </w:p>
          <w:p w:rsidR="009979DD" w:rsidRPr="0041132C" w:rsidRDefault="009979DD" w:rsidP="001445D8">
            <w:pPr>
              <w:pStyle w:val="TableText"/>
              <w:spacing w:after="0"/>
              <w:rPr>
                <w:b/>
              </w:rPr>
            </w:pPr>
            <w:r w:rsidRPr="0041132C">
              <w:t>New England Journal of Medicine</w:t>
            </w:r>
            <w:r w:rsidR="0043409C" w:rsidRPr="0041132C">
              <w:t>, 349(7), 658-</w:t>
            </w:r>
            <w:r w:rsidRPr="0041132C">
              <w:t>65.</w:t>
            </w:r>
          </w:p>
        </w:tc>
      </w:tr>
      <w:tr w:rsidR="009979DD" w:rsidRPr="0041132C" w:rsidTr="00032331">
        <w:tc>
          <w:tcPr>
            <w:tcW w:w="5000" w:type="pct"/>
            <w:gridSpan w:val="3"/>
          </w:tcPr>
          <w:p w:rsidR="009979DD" w:rsidRPr="005348DF" w:rsidRDefault="009979DD" w:rsidP="001445D8">
            <w:pPr>
              <w:pStyle w:val="TableText"/>
              <w:spacing w:after="0"/>
              <w:rPr>
                <w:b/>
              </w:rPr>
            </w:pPr>
            <w:r w:rsidRPr="005348DF">
              <w:rPr>
                <w:b/>
              </w:rPr>
              <w:t>Randomised trial – Methotrexate versus placebo</w:t>
            </w:r>
          </w:p>
        </w:tc>
      </w:tr>
      <w:tr w:rsidR="009979DD" w:rsidRPr="0041132C" w:rsidTr="005111AB">
        <w:trPr>
          <w:trHeight w:val="995"/>
        </w:trPr>
        <w:tc>
          <w:tcPr>
            <w:tcW w:w="705" w:type="pct"/>
          </w:tcPr>
          <w:p w:rsidR="009979DD" w:rsidRPr="005348DF" w:rsidRDefault="009979DD" w:rsidP="001445D8">
            <w:pPr>
              <w:pStyle w:val="TableText"/>
              <w:spacing w:after="0"/>
            </w:pPr>
            <w:r w:rsidRPr="005348DF">
              <w:t>Saurat, J.</w:t>
            </w:r>
          </w:p>
        </w:tc>
        <w:tc>
          <w:tcPr>
            <w:tcW w:w="3223" w:type="pct"/>
          </w:tcPr>
          <w:p w:rsidR="009979DD" w:rsidRPr="0041132C" w:rsidRDefault="009979DD" w:rsidP="001445D8">
            <w:pPr>
              <w:pStyle w:val="TableText"/>
              <w:spacing w:after="0"/>
              <w:rPr>
                <w:b/>
              </w:rPr>
            </w:pPr>
            <w:r w:rsidRPr="0041132C">
              <w:t xml:space="preserve">Saurat, J. H., Stingl, G., Dubertret, L., Papp, K., Langley, R. G., Ortonne, J. P., &amp; Camez, A. Efficacy and safety results from the randomized controlled comparative study of adalimumab vs. methotrexate vs. placebo in patients with psoriasis (CHAMPION). </w:t>
            </w:r>
          </w:p>
        </w:tc>
        <w:tc>
          <w:tcPr>
            <w:tcW w:w="1072" w:type="pct"/>
          </w:tcPr>
          <w:p w:rsidR="009979DD" w:rsidRPr="0041132C" w:rsidRDefault="009979DD" w:rsidP="001445D8">
            <w:pPr>
              <w:pStyle w:val="TableText"/>
              <w:spacing w:after="0"/>
            </w:pPr>
            <w:r w:rsidRPr="0041132C">
              <w:t>2008</w:t>
            </w:r>
          </w:p>
          <w:p w:rsidR="009979DD" w:rsidRPr="0041132C" w:rsidRDefault="009979DD" w:rsidP="001445D8">
            <w:pPr>
              <w:pStyle w:val="TableText"/>
              <w:spacing w:after="0"/>
              <w:rPr>
                <w:b/>
              </w:rPr>
            </w:pPr>
            <w:r w:rsidRPr="0041132C">
              <w:t>British Journal of Dermatology, 158(3), 558-566.</w:t>
            </w:r>
          </w:p>
        </w:tc>
      </w:tr>
      <w:tr w:rsidR="009979DD" w:rsidRPr="0041132C" w:rsidTr="00032331">
        <w:tc>
          <w:tcPr>
            <w:tcW w:w="5000" w:type="pct"/>
            <w:gridSpan w:val="3"/>
          </w:tcPr>
          <w:p w:rsidR="009979DD" w:rsidRPr="0021253F" w:rsidRDefault="009979DD" w:rsidP="001445D8">
            <w:pPr>
              <w:pStyle w:val="TableText"/>
              <w:spacing w:after="0"/>
              <w:rPr>
                <w:b/>
              </w:rPr>
            </w:pPr>
            <w:r w:rsidRPr="005348DF">
              <w:rPr>
                <w:b/>
              </w:rPr>
              <w:t>Randomised trial – Apremilast versus etanercept vers</w:t>
            </w:r>
            <w:r w:rsidRPr="0021253F">
              <w:rPr>
                <w:b/>
              </w:rPr>
              <w:t>us placebo</w:t>
            </w:r>
          </w:p>
        </w:tc>
      </w:tr>
      <w:tr w:rsidR="009979DD" w:rsidRPr="0041132C" w:rsidTr="005111AB">
        <w:tc>
          <w:tcPr>
            <w:tcW w:w="705" w:type="pct"/>
          </w:tcPr>
          <w:p w:rsidR="009979DD" w:rsidRPr="0041132C" w:rsidRDefault="009979DD" w:rsidP="001445D8">
            <w:pPr>
              <w:pStyle w:val="TableText"/>
              <w:spacing w:after="0"/>
              <w:rPr>
                <w:b/>
              </w:rPr>
            </w:pPr>
            <w:r w:rsidRPr="005348DF">
              <w:t>LIBERATE. Gooderham, M.</w:t>
            </w:r>
          </w:p>
        </w:tc>
        <w:tc>
          <w:tcPr>
            <w:tcW w:w="3223" w:type="pct"/>
          </w:tcPr>
          <w:p w:rsidR="009979DD" w:rsidRPr="0041132C" w:rsidRDefault="009979DD" w:rsidP="001445D8">
            <w:pPr>
              <w:pStyle w:val="TableText"/>
              <w:spacing w:after="0"/>
              <w:rPr>
                <w:b/>
              </w:rPr>
            </w:pPr>
            <w:r w:rsidRPr="0041132C">
              <w:t xml:space="preserve">Celgene Clinical study report: 10004-PSOR-010. A phase 3b, multicenter, randomized, placebo-controlled, double-blind, double-dummy, study of the efficacy and safety of apremilast (CC-10004), Etanercept, and placebo, in subjects with moderate to severe plaque psoriasis. </w:t>
            </w:r>
          </w:p>
        </w:tc>
        <w:tc>
          <w:tcPr>
            <w:tcW w:w="1072" w:type="pct"/>
          </w:tcPr>
          <w:p w:rsidR="009979DD" w:rsidRPr="0041132C" w:rsidRDefault="009979DD" w:rsidP="001445D8">
            <w:pPr>
              <w:pStyle w:val="TableText"/>
              <w:spacing w:after="0"/>
            </w:pPr>
            <w:r w:rsidRPr="0041132C">
              <w:t>2014</w:t>
            </w:r>
          </w:p>
          <w:p w:rsidR="009979DD" w:rsidRPr="0041132C" w:rsidRDefault="009979DD" w:rsidP="001445D8">
            <w:pPr>
              <w:pStyle w:val="TableText"/>
              <w:spacing w:after="0"/>
              <w:rPr>
                <w:b/>
              </w:rPr>
            </w:pPr>
          </w:p>
        </w:tc>
      </w:tr>
    </w:tbl>
    <w:p w:rsidR="009979DD" w:rsidRPr="0041132C" w:rsidRDefault="009979DD" w:rsidP="001445D8">
      <w:pPr>
        <w:pStyle w:val="TableFooter"/>
        <w:spacing w:after="0"/>
      </w:pPr>
      <w:r w:rsidRPr="005348DF">
        <w:t>Source: Tables 2.4.1, 2.5.3, 2.5.5, 2.5.6, 2.5.7</w:t>
      </w:r>
      <w:r w:rsidR="00DC3AD6" w:rsidRPr="0021253F">
        <w:t xml:space="preserve">, </w:t>
      </w:r>
      <w:r w:rsidRPr="0021253F">
        <w:t>pp</w:t>
      </w:r>
      <w:r w:rsidR="00E73D23" w:rsidRPr="0041132C">
        <w:t>1</w:t>
      </w:r>
      <w:r w:rsidRPr="0041132C">
        <w:t>1, 13, 14, 15 of the resubmission</w:t>
      </w:r>
    </w:p>
    <w:p w:rsidR="0043409C" w:rsidRPr="0041132C" w:rsidRDefault="0043409C" w:rsidP="001445D8">
      <w:pPr>
        <w:pStyle w:val="TableFooter"/>
        <w:spacing w:after="0"/>
      </w:pPr>
    </w:p>
    <w:p w:rsidR="0043409C" w:rsidRPr="0041132C" w:rsidRDefault="0043409C" w:rsidP="001445D8">
      <w:pPr>
        <w:pStyle w:val="TableHeading0"/>
        <w:spacing w:after="0"/>
      </w:pPr>
      <w:r w:rsidRPr="0041132C">
        <w:t xml:space="preserve">Table </w:t>
      </w:r>
      <w:r w:rsidR="00860601" w:rsidRPr="0041132C">
        <w:t>6</w:t>
      </w:r>
      <w:r w:rsidRPr="0041132C">
        <w:t>: Additional trials and associated reports presented in the resubmission for the supplementary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16"/>
        <w:gridCol w:w="5099"/>
        <w:gridCol w:w="2267"/>
      </w:tblGrid>
      <w:tr w:rsidR="005111AB" w:rsidRPr="0041132C" w:rsidTr="00115322">
        <w:tc>
          <w:tcPr>
            <w:tcW w:w="945" w:type="pct"/>
          </w:tcPr>
          <w:p w:rsidR="005111AB" w:rsidRPr="0041132C" w:rsidRDefault="005111AB" w:rsidP="001445D8">
            <w:pPr>
              <w:pStyle w:val="TableText"/>
              <w:spacing w:after="0"/>
              <w:rPr>
                <w:b/>
              </w:rPr>
            </w:pPr>
            <w:r w:rsidRPr="0041132C">
              <w:rPr>
                <w:b/>
              </w:rPr>
              <w:t>Trial ID</w:t>
            </w:r>
            <w:r w:rsidR="009A0899" w:rsidRPr="0041132C">
              <w:rPr>
                <w:b/>
              </w:rPr>
              <w:t>/Author</w:t>
            </w:r>
          </w:p>
        </w:tc>
        <w:tc>
          <w:tcPr>
            <w:tcW w:w="2807" w:type="pct"/>
          </w:tcPr>
          <w:p w:rsidR="005111AB" w:rsidRPr="0041132C" w:rsidRDefault="005111AB" w:rsidP="001445D8">
            <w:pPr>
              <w:pStyle w:val="TableText"/>
              <w:spacing w:after="0"/>
              <w:rPr>
                <w:b/>
              </w:rPr>
            </w:pPr>
            <w:r w:rsidRPr="0041132C">
              <w:rPr>
                <w:b/>
              </w:rPr>
              <w:t>Protocol title/ Publication title</w:t>
            </w:r>
          </w:p>
        </w:tc>
        <w:tc>
          <w:tcPr>
            <w:tcW w:w="1248" w:type="pct"/>
          </w:tcPr>
          <w:p w:rsidR="005111AB" w:rsidRPr="0041132C" w:rsidRDefault="005111AB" w:rsidP="001445D8">
            <w:pPr>
              <w:pStyle w:val="TableText"/>
              <w:spacing w:after="0"/>
              <w:rPr>
                <w:b/>
              </w:rPr>
            </w:pPr>
            <w:r w:rsidRPr="0041132C">
              <w:rPr>
                <w:b/>
              </w:rPr>
              <w:t>Publication citation</w:t>
            </w:r>
          </w:p>
        </w:tc>
      </w:tr>
      <w:tr w:rsidR="005111AB" w:rsidRPr="0041132C" w:rsidTr="00115322">
        <w:tc>
          <w:tcPr>
            <w:tcW w:w="5000" w:type="pct"/>
            <w:gridSpan w:val="3"/>
          </w:tcPr>
          <w:p w:rsidR="005111AB" w:rsidRPr="005348DF" w:rsidRDefault="005111AB" w:rsidP="001445D8">
            <w:pPr>
              <w:pStyle w:val="TableText"/>
              <w:spacing w:after="0"/>
              <w:rPr>
                <w:b/>
                <w:szCs w:val="20"/>
              </w:rPr>
            </w:pPr>
            <w:r w:rsidRPr="005348DF">
              <w:rPr>
                <w:b/>
                <w:szCs w:val="20"/>
              </w:rPr>
              <w:t>Cyclosporin versus placebo</w:t>
            </w:r>
          </w:p>
        </w:tc>
      </w:tr>
      <w:tr w:rsidR="005111AB" w:rsidRPr="0041132C" w:rsidTr="00115322">
        <w:tc>
          <w:tcPr>
            <w:tcW w:w="945" w:type="pct"/>
          </w:tcPr>
          <w:p w:rsidR="005111AB" w:rsidRPr="005348DF" w:rsidRDefault="005111AB" w:rsidP="001445D8">
            <w:pPr>
              <w:pStyle w:val="TableText"/>
              <w:spacing w:after="0"/>
              <w:rPr>
                <w:szCs w:val="20"/>
              </w:rPr>
            </w:pPr>
            <w:r w:rsidRPr="005348DF">
              <w:rPr>
                <w:szCs w:val="20"/>
              </w:rPr>
              <w:t>Meffert, H.</w:t>
            </w:r>
          </w:p>
        </w:tc>
        <w:tc>
          <w:tcPr>
            <w:tcW w:w="2807" w:type="pct"/>
          </w:tcPr>
          <w:p w:rsidR="005111AB" w:rsidRPr="0041132C" w:rsidRDefault="005111AB" w:rsidP="001445D8">
            <w:pPr>
              <w:pStyle w:val="TableText"/>
              <w:spacing w:after="0"/>
              <w:rPr>
                <w:szCs w:val="20"/>
              </w:rPr>
            </w:pPr>
            <w:r w:rsidRPr="0041132C">
              <w:rPr>
                <w:szCs w:val="20"/>
              </w:rPr>
              <w:t xml:space="preserve">Low-dose (1.25 mg/kg) cyclosporin A: treatment of psoriasis and investigation of the influence on lipid profile. </w:t>
            </w:r>
          </w:p>
          <w:p w:rsidR="005111AB" w:rsidRPr="0041132C" w:rsidRDefault="005111AB" w:rsidP="001445D8">
            <w:pPr>
              <w:pStyle w:val="TableText"/>
              <w:spacing w:after="0"/>
              <w:rPr>
                <w:szCs w:val="20"/>
              </w:rPr>
            </w:pPr>
          </w:p>
        </w:tc>
        <w:tc>
          <w:tcPr>
            <w:tcW w:w="1248" w:type="pct"/>
          </w:tcPr>
          <w:p w:rsidR="005111AB" w:rsidRPr="0041132C" w:rsidRDefault="005111AB" w:rsidP="001445D8">
            <w:pPr>
              <w:pStyle w:val="TableText"/>
              <w:spacing w:after="0"/>
              <w:rPr>
                <w:szCs w:val="20"/>
              </w:rPr>
            </w:pPr>
            <w:r w:rsidRPr="0041132C">
              <w:rPr>
                <w:szCs w:val="20"/>
              </w:rPr>
              <w:t>1997</w:t>
            </w:r>
          </w:p>
          <w:p w:rsidR="005111AB" w:rsidRPr="0041132C" w:rsidRDefault="005111AB" w:rsidP="001445D8">
            <w:pPr>
              <w:pStyle w:val="TableText"/>
              <w:spacing w:after="0"/>
              <w:rPr>
                <w:szCs w:val="20"/>
              </w:rPr>
            </w:pPr>
            <w:r w:rsidRPr="0041132C">
              <w:rPr>
                <w:szCs w:val="20"/>
              </w:rPr>
              <w:t>Acta Dermatovenereologica-Stockholm, 77, 137-141.</w:t>
            </w:r>
          </w:p>
        </w:tc>
      </w:tr>
      <w:tr w:rsidR="005111AB" w:rsidRPr="0041132C" w:rsidTr="00115322">
        <w:tc>
          <w:tcPr>
            <w:tcW w:w="5000" w:type="pct"/>
            <w:gridSpan w:val="3"/>
          </w:tcPr>
          <w:p w:rsidR="005111AB" w:rsidRPr="0021253F" w:rsidRDefault="005111AB" w:rsidP="001445D8">
            <w:pPr>
              <w:pStyle w:val="TableText"/>
              <w:spacing w:after="0"/>
              <w:rPr>
                <w:szCs w:val="20"/>
              </w:rPr>
            </w:pPr>
            <w:r w:rsidRPr="005348DF">
              <w:rPr>
                <w:b/>
                <w:szCs w:val="20"/>
              </w:rPr>
              <w:t xml:space="preserve">Cyclosporin versus methotrexate </w:t>
            </w:r>
          </w:p>
        </w:tc>
      </w:tr>
      <w:tr w:rsidR="005111AB" w:rsidRPr="0041132C" w:rsidTr="00115322">
        <w:tc>
          <w:tcPr>
            <w:tcW w:w="945" w:type="pct"/>
          </w:tcPr>
          <w:p w:rsidR="005111AB" w:rsidRPr="0021253F" w:rsidRDefault="005111AB" w:rsidP="001445D8">
            <w:pPr>
              <w:pStyle w:val="TableText"/>
              <w:spacing w:after="0"/>
              <w:rPr>
                <w:szCs w:val="20"/>
              </w:rPr>
            </w:pPr>
            <w:r w:rsidRPr="005348DF">
              <w:rPr>
                <w:szCs w:val="20"/>
              </w:rPr>
              <w:t xml:space="preserve">Flytstrom, </w:t>
            </w:r>
            <w:r w:rsidR="00906367" w:rsidRPr="0021253F">
              <w:rPr>
                <w:szCs w:val="20"/>
              </w:rPr>
              <w:t>I.</w:t>
            </w:r>
          </w:p>
        </w:tc>
        <w:tc>
          <w:tcPr>
            <w:tcW w:w="2807" w:type="pct"/>
          </w:tcPr>
          <w:p w:rsidR="005111AB" w:rsidRPr="0041132C" w:rsidRDefault="005111AB" w:rsidP="001445D8">
            <w:pPr>
              <w:pStyle w:val="TableText"/>
              <w:spacing w:after="0"/>
              <w:rPr>
                <w:szCs w:val="20"/>
              </w:rPr>
            </w:pPr>
            <w:r w:rsidRPr="0041132C">
              <w:rPr>
                <w:szCs w:val="20"/>
              </w:rPr>
              <w:t>Flytström, I., Stenberg, B., Svensson, Å., &amp; Bergbrant, I. M. Methotrexate vs. ciclosporin in psoriasis: effectiveness, quality of life and safety. A randomized controlled trial.</w:t>
            </w:r>
          </w:p>
        </w:tc>
        <w:tc>
          <w:tcPr>
            <w:tcW w:w="1248" w:type="pct"/>
          </w:tcPr>
          <w:p w:rsidR="005111AB" w:rsidRPr="0041132C" w:rsidRDefault="005111AB" w:rsidP="001445D8">
            <w:pPr>
              <w:pStyle w:val="TableText"/>
              <w:spacing w:after="0"/>
              <w:rPr>
                <w:szCs w:val="20"/>
              </w:rPr>
            </w:pPr>
            <w:r w:rsidRPr="0041132C">
              <w:rPr>
                <w:szCs w:val="20"/>
              </w:rPr>
              <w:t>2008</w:t>
            </w:r>
          </w:p>
          <w:p w:rsidR="005111AB" w:rsidRPr="0041132C" w:rsidRDefault="005111AB" w:rsidP="001445D8">
            <w:pPr>
              <w:pStyle w:val="TableText"/>
              <w:spacing w:after="0"/>
              <w:rPr>
                <w:szCs w:val="20"/>
              </w:rPr>
            </w:pPr>
            <w:r w:rsidRPr="0041132C">
              <w:rPr>
                <w:szCs w:val="20"/>
              </w:rPr>
              <w:t>British Journal of Dermatology, 158(1)</w:t>
            </w:r>
            <w:r w:rsidR="00906367" w:rsidRPr="0041132C">
              <w:rPr>
                <w:szCs w:val="20"/>
              </w:rPr>
              <w:t>, 116</w:t>
            </w:r>
            <w:r w:rsidRPr="0041132C">
              <w:rPr>
                <w:szCs w:val="20"/>
              </w:rPr>
              <w:t>-121.</w:t>
            </w:r>
          </w:p>
        </w:tc>
      </w:tr>
      <w:tr w:rsidR="005111AB" w:rsidRPr="0041132C" w:rsidTr="00115322">
        <w:tc>
          <w:tcPr>
            <w:tcW w:w="5000" w:type="pct"/>
            <w:gridSpan w:val="3"/>
          </w:tcPr>
          <w:p w:rsidR="005111AB" w:rsidRPr="0021253F" w:rsidRDefault="005111AB" w:rsidP="001445D8">
            <w:pPr>
              <w:pStyle w:val="TableText"/>
              <w:spacing w:after="0"/>
              <w:rPr>
                <w:szCs w:val="20"/>
              </w:rPr>
            </w:pPr>
            <w:r w:rsidRPr="005348DF">
              <w:rPr>
                <w:b/>
                <w:szCs w:val="20"/>
              </w:rPr>
              <w:t>Etanercept versus placebo</w:t>
            </w:r>
          </w:p>
        </w:tc>
      </w:tr>
      <w:tr w:rsidR="005111AB" w:rsidRPr="0041132C" w:rsidTr="00115322">
        <w:tc>
          <w:tcPr>
            <w:tcW w:w="945" w:type="pct"/>
          </w:tcPr>
          <w:p w:rsidR="005111AB" w:rsidRPr="0021253F" w:rsidRDefault="005111AB" w:rsidP="001445D8">
            <w:pPr>
              <w:pStyle w:val="TableText"/>
              <w:spacing w:after="0"/>
              <w:rPr>
                <w:szCs w:val="20"/>
              </w:rPr>
            </w:pPr>
            <w:r w:rsidRPr="005348DF">
              <w:rPr>
                <w:bCs/>
                <w:szCs w:val="20"/>
              </w:rPr>
              <w:t>Gottlieb, A.</w:t>
            </w:r>
          </w:p>
        </w:tc>
        <w:tc>
          <w:tcPr>
            <w:tcW w:w="2807" w:type="pct"/>
          </w:tcPr>
          <w:p w:rsidR="005111AB" w:rsidRPr="0041132C" w:rsidRDefault="005111AB" w:rsidP="001445D8">
            <w:pPr>
              <w:pStyle w:val="TableText"/>
              <w:spacing w:after="0"/>
              <w:rPr>
                <w:szCs w:val="20"/>
              </w:rPr>
            </w:pPr>
            <w:r w:rsidRPr="0041132C">
              <w:rPr>
                <w:szCs w:val="20"/>
              </w:rPr>
              <w:t>Gottlieb, A. B., Matheson, R. T., Lowe, N., Krueger, G. G., Kang, S., Goffe, B. S., &amp; Gordon, K. B. A randomized trial of etanercept as monotherapy for psoriasis.</w:t>
            </w:r>
          </w:p>
        </w:tc>
        <w:tc>
          <w:tcPr>
            <w:tcW w:w="1248" w:type="pct"/>
          </w:tcPr>
          <w:p w:rsidR="005111AB" w:rsidRPr="0041132C" w:rsidRDefault="005111AB" w:rsidP="001445D8">
            <w:pPr>
              <w:pStyle w:val="TableText"/>
              <w:spacing w:after="0"/>
              <w:rPr>
                <w:szCs w:val="20"/>
              </w:rPr>
            </w:pPr>
            <w:r w:rsidRPr="0041132C">
              <w:rPr>
                <w:szCs w:val="20"/>
              </w:rPr>
              <w:t>2003</w:t>
            </w:r>
          </w:p>
          <w:p w:rsidR="005111AB" w:rsidRPr="0041132C" w:rsidRDefault="005111AB" w:rsidP="001445D8">
            <w:pPr>
              <w:pStyle w:val="TableText"/>
              <w:spacing w:after="0"/>
              <w:rPr>
                <w:szCs w:val="20"/>
              </w:rPr>
            </w:pPr>
            <w:r w:rsidRPr="0041132C">
              <w:rPr>
                <w:szCs w:val="20"/>
              </w:rPr>
              <w:t>Archives of Dermatology, 139(12), 1627-1632.</w:t>
            </w:r>
          </w:p>
        </w:tc>
      </w:tr>
      <w:tr w:rsidR="005111AB" w:rsidRPr="0041132C" w:rsidTr="00115322">
        <w:tc>
          <w:tcPr>
            <w:tcW w:w="5000" w:type="pct"/>
            <w:gridSpan w:val="3"/>
          </w:tcPr>
          <w:p w:rsidR="005111AB" w:rsidRPr="005348DF" w:rsidRDefault="005111AB" w:rsidP="001445D8">
            <w:pPr>
              <w:pStyle w:val="TableText"/>
              <w:spacing w:after="0"/>
              <w:rPr>
                <w:b/>
                <w:szCs w:val="20"/>
              </w:rPr>
            </w:pPr>
          </w:p>
        </w:tc>
      </w:tr>
      <w:tr w:rsidR="005111AB" w:rsidRPr="0041132C" w:rsidTr="00115322">
        <w:tc>
          <w:tcPr>
            <w:tcW w:w="945" w:type="pct"/>
          </w:tcPr>
          <w:p w:rsidR="005111AB" w:rsidRPr="005348DF" w:rsidRDefault="005111AB" w:rsidP="001445D8">
            <w:pPr>
              <w:pStyle w:val="TableText"/>
              <w:spacing w:after="0"/>
              <w:rPr>
                <w:bCs/>
                <w:szCs w:val="20"/>
              </w:rPr>
            </w:pPr>
            <w:r w:rsidRPr="005348DF">
              <w:rPr>
                <w:bCs/>
                <w:szCs w:val="20"/>
              </w:rPr>
              <w:t xml:space="preserve">Leonardi, C. </w:t>
            </w:r>
          </w:p>
        </w:tc>
        <w:tc>
          <w:tcPr>
            <w:tcW w:w="2807" w:type="pct"/>
          </w:tcPr>
          <w:p w:rsidR="005111AB" w:rsidRPr="0041132C" w:rsidRDefault="005111AB" w:rsidP="001445D8">
            <w:pPr>
              <w:pStyle w:val="TableText"/>
              <w:spacing w:after="0"/>
              <w:rPr>
                <w:szCs w:val="20"/>
              </w:rPr>
            </w:pPr>
            <w:r w:rsidRPr="0041132C">
              <w:rPr>
                <w:szCs w:val="20"/>
              </w:rPr>
              <w:t>Leonardi, C. L., Powers, J. L., Matheson, R. T., Goffe, B. S., Zitnik, R., Wang, A. &amp; Gottlieb, A. B. Etanercept as monotherapy in patients with psoriasis.</w:t>
            </w:r>
          </w:p>
        </w:tc>
        <w:tc>
          <w:tcPr>
            <w:tcW w:w="1248" w:type="pct"/>
          </w:tcPr>
          <w:p w:rsidR="005111AB" w:rsidRPr="0041132C" w:rsidRDefault="005111AB" w:rsidP="001445D8">
            <w:pPr>
              <w:pStyle w:val="TableText"/>
              <w:spacing w:after="0"/>
              <w:rPr>
                <w:bCs/>
                <w:szCs w:val="20"/>
              </w:rPr>
            </w:pPr>
            <w:r w:rsidRPr="0041132C">
              <w:rPr>
                <w:bCs/>
                <w:szCs w:val="20"/>
              </w:rPr>
              <w:t>2003</w:t>
            </w:r>
          </w:p>
          <w:p w:rsidR="005111AB" w:rsidRPr="0041132C" w:rsidRDefault="005111AB" w:rsidP="001445D8">
            <w:pPr>
              <w:pStyle w:val="TableText"/>
              <w:spacing w:after="0"/>
              <w:rPr>
                <w:szCs w:val="20"/>
              </w:rPr>
            </w:pPr>
            <w:r w:rsidRPr="0041132C">
              <w:rPr>
                <w:szCs w:val="20"/>
              </w:rPr>
              <w:t>New England Journal of Medicine, 349(21), 2014-2022.</w:t>
            </w:r>
          </w:p>
        </w:tc>
      </w:tr>
      <w:tr w:rsidR="005111AB" w:rsidRPr="0041132C" w:rsidTr="00115322">
        <w:tc>
          <w:tcPr>
            <w:tcW w:w="945" w:type="pct"/>
          </w:tcPr>
          <w:p w:rsidR="005111AB" w:rsidRPr="005348DF" w:rsidRDefault="005111AB" w:rsidP="001445D8">
            <w:pPr>
              <w:pStyle w:val="TableText"/>
              <w:spacing w:after="0"/>
              <w:rPr>
                <w:bCs/>
                <w:szCs w:val="20"/>
              </w:rPr>
            </w:pPr>
            <w:r w:rsidRPr="005348DF">
              <w:rPr>
                <w:bCs/>
                <w:szCs w:val="20"/>
              </w:rPr>
              <w:t xml:space="preserve">Papp, K. </w:t>
            </w:r>
          </w:p>
        </w:tc>
        <w:tc>
          <w:tcPr>
            <w:tcW w:w="2807" w:type="pct"/>
          </w:tcPr>
          <w:p w:rsidR="005111AB" w:rsidRPr="0041132C" w:rsidRDefault="005111AB" w:rsidP="001445D8">
            <w:pPr>
              <w:pStyle w:val="TableText"/>
              <w:spacing w:after="0"/>
              <w:rPr>
                <w:szCs w:val="20"/>
              </w:rPr>
            </w:pPr>
            <w:r w:rsidRPr="0041132C">
              <w:rPr>
                <w:szCs w:val="20"/>
              </w:rPr>
              <w:t>Papp, K. A., Tyring, S., Lahfa, M., Prinz, J., Griffiths, C. E. M., Nakanishi, A. M.</w:t>
            </w:r>
            <w:r w:rsidR="00DF4225" w:rsidRPr="0041132C">
              <w:rPr>
                <w:szCs w:val="20"/>
              </w:rPr>
              <w:t xml:space="preserve"> </w:t>
            </w:r>
            <w:r w:rsidRPr="0041132C">
              <w:rPr>
                <w:szCs w:val="20"/>
              </w:rPr>
              <w:t>&amp; Van De Kerkhof, P. C. M. A global phase III randomized controlled trial of etanercept in psoriasis: safety, efficacy, and effect of dose reduction.</w:t>
            </w:r>
          </w:p>
        </w:tc>
        <w:tc>
          <w:tcPr>
            <w:tcW w:w="1248" w:type="pct"/>
          </w:tcPr>
          <w:p w:rsidR="005111AB" w:rsidRPr="0041132C" w:rsidRDefault="005111AB" w:rsidP="001445D8">
            <w:pPr>
              <w:pStyle w:val="TableText"/>
              <w:spacing w:after="0"/>
              <w:rPr>
                <w:bCs/>
                <w:szCs w:val="20"/>
              </w:rPr>
            </w:pPr>
            <w:r w:rsidRPr="0041132C">
              <w:rPr>
                <w:bCs/>
                <w:szCs w:val="20"/>
              </w:rPr>
              <w:t>2005</w:t>
            </w:r>
          </w:p>
          <w:p w:rsidR="005111AB" w:rsidRPr="0041132C" w:rsidRDefault="005111AB" w:rsidP="001445D8">
            <w:pPr>
              <w:pStyle w:val="TableText"/>
              <w:spacing w:after="0"/>
              <w:rPr>
                <w:szCs w:val="20"/>
              </w:rPr>
            </w:pPr>
            <w:r w:rsidRPr="0041132C">
              <w:rPr>
                <w:szCs w:val="20"/>
              </w:rPr>
              <w:t>British Journal of Dermatology, 152(6), 1304-1312.</w:t>
            </w:r>
          </w:p>
        </w:tc>
      </w:tr>
      <w:tr w:rsidR="005111AB" w:rsidRPr="0041132C" w:rsidTr="00115322">
        <w:tc>
          <w:tcPr>
            <w:tcW w:w="945" w:type="pct"/>
          </w:tcPr>
          <w:p w:rsidR="005111AB" w:rsidRPr="0021253F" w:rsidRDefault="005111AB" w:rsidP="001445D8">
            <w:pPr>
              <w:pStyle w:val="TableText"/>
              <w:spacing w:after="0"/>
              <w:rPr>
                <w:szCs w:val="20"/>
              </w:rPr>
            </w:pPr>
            <w:r w:rsidRPr="005348DF">
              <w:rPr>
                <w:bCs/>
                <w:szCs w:val="20"/>
              </w:rPr>
              <w:t>Van de Kerkhof</w:t>
            </w:r>
            <w:r w:rsidR="00906367" w:rsidRPr="0021253F">
              <w:rPr>
                <w:bCs/>
                <w:szCs w:val="20"/>
              </w:rPr>
              <w:t xml:space="preserve">, P. </w:t>
            </w:r>
          </w:p>
        </w:tc>
        <w:tc>
          <w:tcPr>
            <w:tcW w:w="2807" w:type="pct"/>
          </w:tcPr>
          <w:p w:rsidR="005111AB" w:rsidRPr="0041132C" w:rsidRDefault="005111AB" w:rsidP="001445D8">
            <w:pPr>
              <w:pStyle w:val="TableText"/>
              <w:spacing w:after="0"/>
              <w:rPr>
                <w:szCs w:val="20"/>
              </w:rPr>
            </w:pPr>
            <w:r w:rsidRPr="0041132C">
              <w:rPr>
                <w:szCs w:val="20"/>
              </w:rPr>
              <w:t>Van de Kerkhof, P. C. M., Segaert, S., Lahfa, M., Luger, T. A., Karolyi, Z., Kaszuba, A.</w:t>
            </w:r>
            <w:r w:rsidR="00DF4225" w:rsidRPr="0041132C">
              <w:rPr>
                <w:szCs w:val="20"/>
              </w:rPr>
              <w:t xml:space="preserve"> </w:t>
            </w:r>
            <w:r w:rsidRPr="0041132C">
              <w:rPr>
                <w:szCs w:val="20"/>
              </w:rPr>
              <w:t>&amp; Boussuge, M. P. Once weekly administration of etanercept 50 mg is efficacious and well tolerated in patients with moderate</w:t>
            </w:r>
            <w:r w:rsidRPr="0041132C">
              <w:rPr>
                <w:rFonts w:ascii="Cambria Math" w:hAnsi="Cambria Math" w:cs="Cambria Math"/>
                <w:szCs w:val="20"/>
              </w:rPr>
              <w:t>‐</w:t>
            </w:r>
            <w:r w:rsidRPr="0041132C">
              <w:rPr>
                <w:szCs w:val="20"/>
              </w:rPr>
              <w:t>to</w:t>
            </w:r>
            <w:r w:rsidRPr="0041132C">
              <w:rPr>
                <w:rFonts w:ascii="Cambria Math" w:hAnsi="Cambria Math" w:cs="Cambria Math"/>
                <w:szCs w:val="20"/>
              </w:rPr>
              <w:t>‐</w:t>
            </w:r>
            <w:r w:rsidRPr="0041132C">
              <w:rPr>
                <w:szCs w:val="20"/>
              </w:rPr>
              <w:t>severe plaque psoriasis: a randomized controlled trial with open</w:t>
            </w:r>
            <w:r w:rsidRPr="0041132C">
              <w:rPr>
                <w:rFonts w:ascii="Cambria Math" w:hAnsi="Cambria Math" w:cs="Cambria Math"/>
                <w:szCs w:val="20"/>
              </w:rPr>
              <w:t>‐</w:t>
            </w:r>
            <w:r w:rsidRPr="0041132C">
              <w:rPr>
                <w:szCs w:val="20"/>
              </w:rPr>
              <w:t>label extension.</w:t>
            </w:r>
          </w:p>
        </w:tc>
        <w:tc>
          <w:tcPr>
            <w:tcW w:w="1248" w:type="pct"/>
          </w:tcPr>
          <w:p w:rsidR="005111AB" w:rsidRPr="0041132C" w:rsidRDefault="005111AB" w:rsidP="001445D8">
            <w:pPr>
              <w:pStyle w:val="TableText"/>
              <w:spacing w:after="0"/>
              <w:rPr>
                <w:szCs w:val="20"/>
              </w:rPr>
            </w:pPr>
            <w:r w:rsidRPr="0041132C">
              <w:rPr>
                <w:szCs w:val="20"/>
              </w:rPr>
              <w:t>2008</w:t>
            </w:r>
          </w:p>
          <w:p w:rsidR="005111AB" w:rsidRPr="0041132C" w:rsidRDefault="005111AB" w:rsidP="001445D8">
            <w:pPr>
              <w:pStyle w:val="TableText"/>
              <w:spacing w:after="0"/>
              <w:rPr>
                <w:szCs w:val="20"/>
              </w:rPr>
            </w:pPr>
            <w:r w:rsidRPr="0041132C">
              <w:rPr>
                <w:szCs w:val="20"/>
              </w:rPr>
              <w:t>British Journal of Dermatology, 159(5), 1177-1185.</w:t>
            </w:r>
          </w:p>
        </w:tc>
      </w:tr>
    </w:tbl>
    <w:p w:rsidR="00D539BC" w:rsidRPr="0041132C" w:rsidRDefault="00D539BC" w:rsidP="001445D8">
      <w:pPr>
        <w:pStyle w:val="TableFooter"/>
        <w:spacing w:after="0"/>
      </w:pPr>
      <w:r w:rsidRPr="005348DF">
        <w:t>Source: Tables 2.4.1, 2.5.3, 2.5.5</w:t>
      </w:r>
      <w:r w:rsidR="009A0899" w:rsidRPr="0021253F">
        <w:t xml:space="preserve"> to </w:t>
      </w:r>
      <w:r w:rsidRPr="0021253F">
        <w:t>2.5.7, pp11, 13</w:t>
      </w:r>
      <w:r w:rsidR="009A0899" w:rsidRPr="0041132C">
        <w:t>-1</w:t>
      </w:r>
      <w:r w:rsidRPr="0041132C">
        <w:t>5 of the resubmission</w:t>
      </w:r>
    </w:p>
    <w:p w:rsidR="008C19A4" w:rsidRPr="0041132C" w:rsidRDefault="008C19A4" w:rsidP="001445D8">
      <w:pPr>
        <w:pStyle w:val="TableFooter"/>
        <w:spacing w:after="0"/>
      </w:pPr>
    </w:p>
    <w:p w:rsidR="00C317F3" w:rsidRPr="0041132C" w:rsidRDefault="00C317F3" w:rsidP="005348DF">
      <w:pPr>
        <w:pStyle w:val="ListParagraph"/>
        <w:numPr>
          <w:ilvl w:val="1"/>
          <w:numId w:val="3"/>
        </w:numPr>
        <w:spacing w:before="0" w:after="120"/>
        <w:contextualSpacing/>
        <w:jc w:val="both"/>
        <w:rPr>
          <w:color w:val="4472C4" w:themeColor="accent5"/>
        </w:rPr>
      </w:pPr>
      <w:r w:rsidRPr="0041132C">
        <w:t xml:space="preserve">The key features of the </w:t>
      </w:r>
      <w:r w:rsidR="00035EAF" w:rsidRPr="0041132C">
        <w:t xml:space="preserve">indirect </w:t>
      </w:r>
      <w:r w:rsidR="005111AB" w:rsidRPr="0041132C">
        <w:t>randomised trial</w:t>
      </w:r>
      <w:r w:rsidRPr="0041132C">
        <w:t xml:space="preserve">s are summarised in the table below. </w:t>
      </w:r>
      <w:r w:rsidR="00662DCD" w:rsidRPr="0041132C">
        <w:t xml:space="preserve">These trials were included in an indirect network meta-analysis with placebo and methotrexate as the common references or linkage drugs. </w:t>
      </w:r>
      <w:r w:rsidR="00943E31" w:rsidRPr="0041132C">
        <w:t>One key eligibility criterion for the RCTs was the</w:t>
      </w:r>
      <w:r w:rsidRPr="0041132C">
        <w:t xml:space="preserve"> </w:t>
      </w:r>
      <w:r w:rsidR="00943E31" w:rsidRPr="0041132C">
        <w:t>PASI measurement which is</w:t>
      </w:r>
      <w:r w:rsidR="00A82916" w:rsidRPr="0041132C">
        <w:t xml:space="preserve"> a</w:t>
      </w:r>
      <w:r w:rsidR="00943E31" w:rsidRPr="0041132C">
        <w:t xml:space="preserve"> measure of the severity of psoriasis. </w:t>
      </w:r>
      <w:r w:rsidR="00263CA4" w:rsidRPr="0041132C">
        <w:t>The apremilast versus placebo trials</w:t>
      </w:r>
      <w:r w:rsidR="00270D89" w:rsidRPr="0041132C">
        <w:t xml:space="preserve"> </w:t>
      </w:r>
      <w:r w:rsidR="00263CA4" w:rsidRPr="0041132C">
        <w:t>had a baseline measurement of PASI ≥12. However, the key common reference trials in the indirect network</w:t>
      </w:r>
      <w:r w:rsidR="005111AB" w:rsidRPr="0041132C">
        <w:t xml:space="preserve"> had lower </w:t>
      </w:r>
      <w:r w:rsidR="0072731B" w:rsidRPr="0041132C">
        <w:t>e</w:t>
      </w:r>
      <w:r w:rsidR="005111AB" w:rsidRPr="0041132C">
        <w:t>li</w:t>
      </w:r>
      <w:r w:rsidR="0072731B" w:rsidRPr="0041132C">
        <w:t>gibility criteria. In particular, the Hey</w:t>
      </w:r>
      <w:r w:rsidR="0032261F" w:rsidRPr="0041132C">
        <w:t>d</w:t>
      </w:r>
      <w:r w:rsidR="0072731B" w:rsidRPr="0041132C">
        <w:t xml:space="preserve">endael (2003) trial </w:t>
      </w:r>
      <w:r w:rsidR="0072731B" w:rsidRPr="0041132C">
        <w:rPr>
          <w:rStyle w:val="Small"/>
          <w:rFonts w:asciiTheme="minorHAnsi" w:eastAsiaTheme="majorEastAsia" w:hAnsiTheme="minorHAnsi"/>
          <w:sz w:val="24"/>
          <w:szCs w:val="24"/>
        </w:rPr>
        <w:t>RCT had an eligibility criterion of PASI ≥ 8 which was not consistent with the other included studies and indicated that patients with a less severe form of psoriasis were eligible for entry.</w:t>
      </w:r>
      <w:r w:rsidR="00263CA4" w:rsidRPr="0041132C">
        <w:rPr>
          <w:color w:val="4472C4" w:themeColor="accent5"/>
        </w:rPr>
        <w:t xml:space="preserve"> </w:t>
      </w:r>
      <w:r w:rsidR="00834B2B" w:rsidRPr="0041132C">
        <w:rPr>
          <w:rStyle w:val="Small"/>
          <w:rFonts w:asciiTheme="minorHAnsi" w:eastAsiaTheme="majorEastAsia" w:hAnsiTheme="minorHAnsi"/>
          <w:sz w:val="24"/>
          <w:szCs w:val="24"/>
        </w:rPr>
        <w:t>Further, the Hey</w:t>
      </w:r>
      <w:r w:rsidR="0032261F" w:rsidRPr="0041132C">
        <w:rPr>
          <w:rStyle w:val="Small"/>
          <w:rFonts w:asciiTheme="minorHAnsi" w:eastAsiaTheme="majorEastAsia" w:hAnsiTheme="minorHAnsi"/>
          <w:sz w:val="24"/>
          <w:szCs w:val="24"/>
        </w:rPr>
        <w:t>d</w:t>
      </w:r>
      <w:r w:rsidR="00834B2B" w:rsidRPr="0041132C">
        <w:rPr>
          <w:rStyle w:val="Small"/>
          <w:rFonts w:asciiTheme="minorHAnsi" w:eastAsiaTheme="majorEastAsia" w:hAnsiTheme="minorHAnsi"/>
          <w:sz w:val="24"/>
          <w:szCs w:val="24"/>
        </w:rPr>
        <w:t xml:space="preserve">endael (2003) trial was an open label RCT and therefore the risk of bias is greater than </w:t>
      </w:r>
      <w:r w:rsidR="00477E65" w:rsidRPr="0041132C">
        <w:rPr>
          <w:rStyle w:val="Small"/>
          <w:rFonts w:asciiTheme="minorHAnsi" w:eastAsiaTheme="majorEastAsia" w:hAnsiTheme="minorHAnsi"/>
          <w:sz w:val="24"/>
          <w:szCs w:val="24"/>
        </w:rPr>
        <w:t xml:space="preserve">with </w:t>
      </w:r>
      <w:r w:rsidR="00834B2B" w:rsidRPr="0041132C">
        <w:rPr>
          <w:rStyle w:val="Small"/>
          <w:rFonts w:asciiTheme="minorHAnsi" w:eastAsiaTheme="majorEastAsia" w:hAnsiTheme="minorHAnsi"/>
          <w:sz w:val="24"/>
          <w:szCs w:val="24"/>
        </w:rPr>
        <w:t>the other included trials.</w:t>
      </w:r>
      <w:r w:rsidR="009D3BF0" w:rsidRPr="0041132C">
        <w:rPr>
          <w:rStyle w:val="Small"/>
          <w:rFonts w:asciiTheme="minorHAnsi" w:eastAsiaTheme="majorEastAsia" w:hAnsiTheme="minorHAnsi"/>
          <w:sz w:val="24"/>
          <w:szCs w:val="24"/>
        </w:rPr>
        <w:t xml:space="preserve"> </w:t>
      </w:r>
    </w:p>
    <w:p w:rsidR="00C317F3" w:rsidRPr="0041132C" w:rsidRDefault="00C317F3" w:rsidP="001445D8">
      <w:pPr>
        <w:pStyle w:val="TableHeading0"/>
        <w:spacing w:after="120"/>
      </w:pPr>
      <w:r w:rsidRPr="0041132C">
        <w:t xml:space="preserve">Table </w:t>
      </w:r>
      <w:r w:rsidR="00860601" w:rsidRPr="0041132C">
        <w:t>7</w:t>
      </w:r>
      <w:r w:rsidRPr="0041132C">
        <w:t>: Key features of the included evidence – indirect comparison</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
        <w:gridCol w:w="1251"/>
        <w:gridCol w:w="2334"/>
        <w:gridCol w:w="1039"/>
        <w:gridCol w:w="1313"/>
        <w:gridCol w:w="2001"/>
      </w:tblGrid>
      <w:tr w:rsidR="00E136F6" w:rsidRPr="0041132C" w:rsidTr="00455F6E">
        <w:trPr>
          <w:tblHeader/>
        </w:trPr>
        <w:tc>
          <w:tcPr>
            <w:tcW w:w="569" w:type="pct"/>
            <w:shd w:val="clear" w:color="auto" w:fill="auto"/>
            <w:vAlign w:val="center"/>
          </w:tcPr>
          <w:p w:rsidR="00DF5490" w:rsidRPr="0041132C" w:rsidRDefault="00DF5490" w:rsidP="001445D8">
            <w:pPr>
              <w:pStyle w:val="TableText"/>
              <w:spacing w:after="0"/>
              <w:rPr>
                <w:b/>
                <w:szCs w:val="20"/>
              </w:rPr>
            </w:pPr>
            <w:r w:rsidRPr="0041132C">
              <w:rPr>
                <w:b/>
                <w:szCs w:val="20"/>
              </w:rPr>
              <w:t>Trial</w:t>
            </w:r>
          </w:p>
        </w:tc>
        <w:tc>
          <w:tcPr>
            <w:tcW w:w="698" w:type="pct"/>
            <w:shd w:val="clear" w:color="auto" w:fill="auto"/>
            <w:vAlign w:val="center"/>
          </w:tcPr>
          <w:p w:rsidR="00DF5490" w:rsidRPr="0041132C" w:rsidRDefault="00DF5490" w:rsidP="001445D8">
            <w:pPr>
              <w:pStyle w:val="TableText"/>
              <w:spacing w:after="0"/>
              <w:rPr>
                <w:b/>
                <w:szCs w:val="20"/>
              </w:rPr>
            </w:pPr>
            <w:r w:rsidRPr="0041132C">
              <w:rPr>
                <w:b/>
                <w:szCs w:val="20"/>
              </w:rPr>
              <w:t>N</w:t>
            </w:r>
          </w:p>
        </w:tc>
        <w:tc>
          <w:tcPr>
            <w:tcW w:w="1303" w:type="pct"/>
            <w:shd w:val="clear" w:color="auto" w:fill="auto"/>
            <w:vAlign w:val="center"/>
          </w:tcPr>
          <w:p w:rsidR="00DF5490" w:rsidRPr="0041132C" w:rsidRDefault="00DF5490" w:rsidP="001445D8">
            <w:pPr>
              <w:pStyle w:val="TableText"/>
              <w:spacing w:after="0"/>
              <w:rPr>
                <w:b/>
                <w:szCs w:val="20"/>
              </w:rPr>
            </w:pPr>
            <w:r w:rsidRPr="0041132C">
              <w:rPr>
                <w:b/>
                <w:szCs w:val="20"/>
              </w:rPr>
              <w:t>Design/ duration of follow-up</w:t>
            </w:r>
          </w:p>
        </w:tc>
        <w:tc>
          <w:tcPr>
            <w:tcW w:w="580" w:type="pct"/>
            <w:shd w:val="clear" w:color="auto" w:fill="auto"/>
            <w:vAlign w:val="center"/>
          </w:tcPr>
          <w:p w:rsidR="00DF5490" w:rsidRPr="0041132C" w:rsidRDefault="00DF5490" w:rsidP="001445D8">
            <w:pPr>
              <w:pStyle w:val="TableText"/>
              <w:spacing w:after="0"/>
              <w:rPr>
                <w:b/>
                <w:szCs w:val="20"/>
              </w:rPr>
            </w:pPr>
            <w:r w:rsidRPr="0041132C">
              <w:rPr>
                <w:b/>
                <w:szCs w:val="20"/>
              </w:rPr>
              <w:t>Risk of bias</w:t>
            </w:r>
          </w:p>
        </w:tc>
        <w:tc>
          <w:tcPr>
            <w:tcW w:w="733" w:type="pct"/>
            <w:shd w:val="clear" w:color="auto" w:fill="auto"/>
            <w:vAlign w:val="center"/>
          </w:tcPr>
          <w:p w:rsidR="00DF5490" w:rsidRPr="0041132C" w:rsidRDefault="00DF5490" w:rsidP="001445D8">
            <w:pPr>
              <w:pStyle w:val="TableText"/>
              <w:spacing w:after="0"/>
              <w:rPr>
                <w:b/>
                <w:szCs w:val="20"/>
              </w:rPr>
            </w:pPr>
            <w:r w:rsidRPr="0041132C">
              <w:rPr>
                <w:b/>
                <w:szCs w:val="20"/>
              </w:rPr>
              <w:t>Patient population</w:t>
            </w:r>
          </w:p>
        </w:tc>
        <w:tc>
          <w:tcPr>
            <w:tcW w:w="1117" w:type="pct"/>
            <w:shd w:val="clear" w:color="auto" w:fill="auto"/>
            <w:vAlign w:val="center"/>
          </w:tcPr>
          <w:p w:rsidR="00DF5490" w:rsidRPr="0041132C" w:rsidRDefault="00DF5490" w:rsidP="001445D8">
            <w:pPr>
              <w:pStyle w:val="TableText"/>
              <w:spacing w:after="0"/>
              <w:rPr>
                <w:b/>
                <w:szCs w:val="20"/>
              </w:rPr>
            </w:pPr>
            <w:r w:rsidRPr="0041132C">
              <w:rPr>
                <w:b/>
                <w:szCs w:val="20"/>
              </w:rPr>
              <w:t>Outcome</w:t>
            </w:r>
          </w:p>
        </w:tc>
      </w:tr>
      <w:tr w:rsidR="00DF5490" w:rsidRPr="0041132C" w:rsidTr="00E136F6">
        <w:tc>
          <w:tcPr>
            <w:tcW w:w="5000" w:type="pct"/>
            <w:gridSpan w:val="6"/>
            <w:shd w:val="clear" w:color="auto" w:fill="auto"/>
            <w:vAlign w:val="center"/>
          </w:tcPr>
          <w:p w:rsidR="00DF5490" w:rsidRPr="0021253F" w:rsidRDefault="00DF5490" w:rsidP="001445D8">
            <w:pPr>
              <w:pStyle w:val="TableText"/>
              <w:spacing w:after="0"/>
              <w:rPr>
                <w:b/>
                <w:szCs w:val="20"/>
              </w:rPr>
            </w:pPr>
            <w:r w:rsidRPr="005348DF">
              <w:rPr>
                <w:b/>
                <w:szCs w:val="20"/>
              </w:rPr>
              <w:t>RCTs - Apremilast vs. placebo</w:t>
            </w:r>
            <w:r w:rsidR="00C83063" w:rsidRPr="0021253F">
              <w:rPr>
                <w:b/>
                <w:szCs w:val="20"/>
              </w:rPr>
              <w:t xml:space="preserve"> (common reference)</w:t>
            </w:r>
          </w:p>
        </w:tc>
      </w:tr>
      <w:tr w:rsidR="00455F6E" w:rsidRPr="0041132C" w:rsidTr="002874E0">
        <w:trPr>
          <w:trHeight w:val="402"/>
        </w:trPr>
        <w:tc>
          <w:tcPr>
            <w:tcW w:w="569" w:type="pct"/>
            <w:vMerge w:val="restart"/>
            <w:shd w:val="clear" w:color="auto" w:fill="auto"/>
            <w:vAlign w:val="center"/>
          </w:tcPr>
          <w:p w:rsidR="00455F6E" w:rsidRPr="0021253F" w:rsidRDefault="00455F6E" w:rsidP="001445D8">
            <w:pPr>
              <w:pStyle w:val="TableText"/>
              <w:spacing w:after="0"/>
              <w:rPr>
                <w:rFonts w:eastAsia="Times New Roman" w:cs="Times New Roman"/>
                <w:szCs w:val="20"/>
              </w:rPr>
            </w:pPr>
            <w:r w:rsidRPr="005348DF">
              <w:rPr>
                <w:szCs w:val="20"/>
              </w:rPr>
              <w:t>CORE</w:t>
            </w:r>
          </w:p>
        </w:tc>
        <w:tc>
          <w:tcPr>
            <w:tcW w:w="698" w:type="pct"/>
            <w:shd w:val="clear" w:color="auto" w:fill="auto"/>
          </w:tcPr>
          <w:p w:rsidR="00455F6E" w:rsidRPr="0041132C" w:rsidRDefault="00455F6E" w:rsidP="001445D8">
            <w:pPr>
              <w:pStyle w:val="TableText"/>
              <w:spacing w:after="0"/>
              <w:rPr>
                <w:szCs w:val="20"/>
              </w:rPr>
            </w:pPr>
            <w:r w:rsidRPr="0041132C">
              <w:rPr>
                <w:szCs w:val="20"/>
              </w:rPr>
              <w:t>Apremilast - 88</w:t>
            </w:r>
          </w:p>
        </w:tc>
        <w:tc>
          <w:tcPr>
            <w:tcW w:w="1303" w:type="pct"/>
            <w:vMerge w:val="restart"/>
            <w:shd w:val="clear" w:color="auto" w:fill="auto"/>
          </w:tcPr>
          <w:p w:rsidR="00455F6E" w:rsidRPr="0041132C" w:rsidRDefault="00455F6E" w:rsidP="001445D8">
            <w:pPr>
              <w:pStyle w:val="TableText"/>
              <w:spacing w:after="0"/>
              <w:rPr>
                <w:rFonts w:eastAsia="Times New Roman" w:cs="Times New Roman"/>
                <w:szCs w:val="20"/>
              </w:rPr>
            </w:pPr>
            <w:r w:rsidRPr="0041132C">
              <w:rPr>
                <w:szCs w:val="20"/>
              </w:rPr>
              <w:t>R, DB</w:t>
            </w:r>
          </w:p>
          <w:p w:rsidR="00455F6E" w:rsidRPr="0041132C" w:rsidRDefault="00455F6E" w:rsidP="001445D8">
            <w:pPr>
              <w:pStyle w:val="TableText"/>
              <w:spacing w:after="0"/>
              <w:rPr>
                <w:rFonts w:eastAsia="Times New Roman" w:cs="Times New Roman"/>
                <w:szCs w:val="20"/>
              </w:rPr>
            </w:pPr>
            <w:r w:rsidRPr="0041132C">
              <w:rPr>
                <w:szCs w:val="20"/>
              </w:rPr>
              <w:t>16 weeks followed by 4 weeks follow-up</w:t>
            </w:r>
          </w:p>
        </w:tc>
        <w:tc>
          <w:tcPr>
            <w:tcW w:w="580" w:type="pct"/>
            <w:vMerge w:val="restart"/>
            <w:shd w:val="clear" w:color="auto" w:fill="auto"/>
          </w:tcPr>
          <w:p w:rsidR="00455F6E" w:rsidRPr="0041132C" w:rsidRDefault="00455F6E" w:rsidP="001445D8">
            <w:pPr>
              <w:pStyle w:val="TableText"/>
              <w:spacing w:after="0"/>
              <w:rPr>
                <w:rFonts w:eastAsia="Times New Roman" w:cs="Times New Roman"/>
                <w:szCs w:val="20"/>
              </w:rPr>
            </w:pPr>
            <w:r w:rsidRPr="0041132C">
              <w:rPr>
                <w:szCs w:val="20"/>
              </w:rPr>
              <w:t>Low</w:t>
            </w:r>
          </w:p>
        </w:tc>
        <w:tc>
          <w:tcPr>
            <w:tcW w:w="733" w:type="pct"/>
            <w:vMerge w:val="restart"/>
            <w:shd w:val="clear" w:color="auto" w:fill="auto"/>
          </w:tcPr>
          <w:p w:rsidR="00455F6E" w:rsidRPr="0041132C" w:rsidRDefault="00455F6E" w:rsidP="001445D8">
            <w:pPr>
              <w:pStyle w:val="TableText"/>
              <w:spacing w:after="0"/>
              <w:rPr>
                <w:rFonts w:eastAsia="Times New Roman" w:cs="Times New Roman"/>
                <w:szCs w:val="20"/>
              </w:rPr>
            </w:pPr>
            <w:r w:rsidRPr="0041132C">
              <w:rPr>
                <w:rFonts w:eastAsia="Times New Roman" w:cs="Times New Roman"/>
                <w:szCs w:val="20"/>
              </w:rPr>
              <w:t>Adults with</w:t>
            </w:r>
            <w:r w:rsidRPr="0041132C">
              <w:rPr>
                <w:b/>
                <w:szCs w:val="20"/>
              </w:rPr>
              <w:t xml:space="preserve">  PASI ≥</w:t>
            </w:r>
            <w:r w:rsidR="00E73D23" w:rsidRPr="0041132C">
              <w:rPr>
                <w:b/>
                <w:szCs w:val="20"/>
              </w:rPr>
              <w:t xml:space="preserve"> </w:t>
            </w:r>
            <w:r w:rsidRPr="0041132C">
              <w:rPr>
                <w:b/>
                <w:szCs w:val="20"/>
              </w:rPr>
              <w:t>12</w:t>
            </w:r>
            <w:r w:rsidRPr="0041132C">
              <w:rPr>
                <w:szCs w:val="20"/>
              </w:rPr>
              <w:t xml:space="preserve"> </w:t>
            </w:r>
            <w:r w:rsidRPr="0041132C">
              <w:rPr>
                <w:rFonts w:eastAsia="Times New Roman" w:cs="Times New Roman"/>
                <w:szCs w:val="20"/>
              </w:rPr>
              <w:t xml:space="preserve"> </w:t>
            </w:r>
          </w:p>
        </w:tc>
        <w:tc>
          <w:tcPr>
            <w:tcW w:w="1117" w:type="pct"/>
            <w:vMerge w:val="restart"/>
            <w:shd w:val="clear" w:color="auto" w:fill="auto"/>
          </w:tcPr>
          <w:p w:rsidR="00455F6E" w:rsidRPr="0041132C" w:rsidRDefault="00455F6E" w:rsidP="001445D8">
            <w:pPr>
              <w:pStyle w:val="TableText"/>
              <w:spacing w:after="0"/>
              <w:rPr>
                <w:rFonts w:eastAsia="Times New Roman" w:cs="Times New Roman"/>
                <w:szCs w:val="20"/>
              </w:rPr>
            </w:pPr>
            <w:r w:rsidRPr="0041132C">
              <w:rPr>
                <w:rFonts w:eastAsia="Times New Roman" w:cs="Times New Roman"/>
                <w:szCs w:val="20"/>
              </w:rPr>
              <w:t xml:space="preserve">Proportion of patients who achieved at least a PASI-75 at week 16 relative to the baseline measurement. </w:t>
            </w:r>
          </w:p>
          <w:p w:rsidR="00455F6E" w:rsidRPr="0041132C" w:rsidRDefault="00455F6E" w:rsidP="001445D8">
            <w:pPr>
              <w:pStyle w:val="TableText"/>
              <w:spacing w:after="0"/>
              <w:rPr>
                <w:rFonts w:eastAsia="Times New Roman" w:cs="Times New Roman"/>
                <w:szCs w:val="20"/>
              </w:rPr>
            </w:pPr>
          </w:p>
        </w:tc>
      </w:tr>
      <w:tr w:rsidR="00455F6E" w:rsidRPr="0041132C" w:rsidTr="002874E0">
        <w:trPr>
          <w:trHeight w:val="402"/>
        </w:trPr>
        <w:tc>
          <w:tcPr>
            <w:tcW w:w="569" w:type="pct"/>
            <w:vMerge/>
            <w:shd w:val="clear" w:color="auto" w:fill="auto"/>
            <w:vAlign w:val="center"/>
          </w:tcPr>
          <w:p w:rsidR="00455F6E" w:rsidRPr="0041132C" w:rsidRDefault="00455F6E" w:rsidP="001445D8">
            <w:pPr>
              <w:pStyle w:val="TableText"/>
              <w:spacing w:after="0"/>
              <w:rPr>
                <w:szCs w:val="20"/>
              </w:rPr>
            </w:pPr>
          </w:p>
        </w:tc>
        <w:tc>
          <w:tcPr>
            <w:tcW w:w="698" w:type="pct"/>
            <w:shd w:val="clear" w:color="auto" w:fill="auto"/>
          </w:tcPr>
          <w:p w:rsidR="00455F6E" w:rsidRPr="0041132C" w:rsidRDefault="00455F6E" w:rsidP="001445D8">
            <w:pPr>
              <w:pStyle w:val="TableText"/>
              <w:spacing w:after="0"/>
              <w:rPr>
                <w:szCs w:val="20"/>
              </w:rPr>
            </w:pPr>
            <w:r w:rsidRPr="0041132C">
              <w:rPr>
                <w:szCs w:val="20"/>
              </w:rPr>
              <w:t>Placebo - 88</w:t>
            </w:r>
          </w:p>
        </w:tc>
        <w:tc>
          <w:tcPr>
            <w:tcW w:w="1303" w:type="pct"/>
            <w:vMerge/>
            <w:shd w:val="clear" w:color="auto" w:fill="auto"/>
          </w:tcPr>
          <w:p w:rsidR="00455F6E" w:rsidRPr="0041132C" w:rsidRDefault="00455F6E" w:rsidP="001445D8">
            <w:pPr>
              <w:pStyle w:val="TableText"/>
              <w:spacing w:after="0"/>
              <w:rPr>
                <w:szCs w:val="20"/>
              </w:rPr>
            </w:pPr>
          </w:p>
        </w:tc>
        <w:tc>
          <w:tcPr>
            <w:tcW w:w="580" w:type="pct"/>
            <w:vMerge/>
            <w:shd w:val="clear" w:color="auto" w:fill="auto"/>
          </w:tcPr>
          <w:p w:rsidR="00455F6E" w:rsidRPr="0041132C" w:rsidRDefault="00455F6E" w:rsidP="001445D8">
            <w:pPr>
              <w:pStyle w:val="TableText"/>
              <w:spacing w:after="0"/>
              <w:rPr>
                <w:szCs w:val="20"/>
              </w:rPr>
            </w:pPr>
          </w:p>
        </w:tc>
        <w:tc>
          <w:tcPr>
            <w:tcW w:w="733" w:type="pct"/>
            <w:vMerge/>
            <w:shd w:val="clear" w:color="auto" w:fill="auto"/>
          </w:tcPr>
          <w:p w:rsidR="00455F6E" w:rsidRPr="0041132C" w:rsidRDefault="00455F6E" w:rsidP="001445D8">
            <w:pPr>
              <w:pStyle w:val="TableText"/>
              <w:spacing w:after="0"/>
              <w:rPr>
                <w:szCs w:val="20"/>
              </w:rPr>
            </w:pPr>
          </w:p>
        </w:tc>
        <w:tc>
          <w:tcPr>
            <w:tcW w:w="1117" w:type="pct"/>
            <w:vMerge/>
            <w:shd w:val="clear" w:color="auto" w:fill="auto"/>
            <w:vAlign w:val="center"/>
          </w:tcPr>
          <w:p w:rsidR="00455F6E" w:rsidRPr="0041132C" w:rsidRDefault="00455F6E" w:rsidP="001445D8">
            <w:pPr>
              <w:pStyle w:val="TableText"/>
              <w:spacing w:after="0"/>
              <w:rPr>
                <w:rFonts w:eastAsia="Times New Roman" w:cs="Times New Roman"/>
                <w:szCs w:val="20"/>
              </w:rPr>
            </w:pPr>
          </w:p>
        </w:tc>
      </w:tr>
      <w:tr w:rsidR="00455F6E" w:rsidRPr="0041132C" w:rsidTr="002874E0">
        <w:trPr>
          <w:trHeight w:val="516"/>
        </w:trPr>
        <w:tc>
          <w:tcPr>
            <w:tcW w:w="569" w:type="pct"/>
            <w:vMerge w:val="restart"/>
            <w:shd w:val="clear" w:color="auto" w:fill="auto"/>
            <w:vAlign w:val="center"/>
          </w:tcPr>
          <w:p w:rsidR="00455F6E" w:rsidRPr="0021253F" w:rsidRDefault="00455F6E" w:rsidP="001445D8">
            <w:pPr>
              <w:pStyle w:val="TableText"/>
              <w:spacing w:after="0"/>
              <w:rPr>
                <w:rFonts w:eastAsia="Times New Roman" w:cs="Times New Roman"/>
                <w:szCs w:val="20"/>
              </w:rPr>
            </w:pPr>
            <w:r w:rsidRPr="005348DF">
              <w:rPr>
                <w:szCs w:val="20"/>
              </w:rPr>
              <w:t>ESTEEM-1</w:t>
            </w:r>
          </w:p>
        </w:tc>
        <w:tc>
          <w:tcPr>
            <w:tcW w:w="698" w:type="pct"/>
            <w:shd w:val="clear" w:color="auto" w:fill="auto"/>
          </w:tcPr>
          <w:p w:rsidR="00455F6E" w:rsidRPr="0041132C" w:rsidRDefault="00455F6E" w:rsidP="001445D8">
            <w:pPr>
              <w:pStyle w:val="TableText"/>
              <w:spacing w:after="0"/>
              <w:rPr>
                <w:szCs w:val="20"/>
              </w:rPr>
            </w:pPr>
            <w:r w:rsidRPr="0041132C">
              <w:rPr>
                <w:szCs w:val="20"/>
              </w:rPr>
              <w:t>Apremilast -</w:t>
            </w:r>
            <w:r w:rsidR="00E73D23" w:rsidRPr="0041132C">
              <w:rPr>
                <w:szCs w:val="20"/>
              </w:rPr>
              <w:t xml:space="preserve"> </w:t>
            </w:r>
            <w:r w:rsidRPr="0041132C">
              <w:rPr>
                <w:szCs w:val="20"/>
              </w:rPr>
              <w:t>562</w:t>
            </w:r>
          </w:p>
        </w:tc>
        <w:tc>
          <w:tcPr>
            <w:tcW w:w="1303" w:type="pct"/>
            <w:vMerge w:val="restart"/>
            <w:shd w:val="clear" w:color="auto" w:fill="auto"/>
            <w:vAlign w:val="center"/>
          </w:tcPr>
          <w:p w:rsidR="00455F6E" w:rsidRPr="0041132C" w:rsidRDefault="00455F6E" w:rsidP="001445D8">
            <w:pPr>
              <w:pStyle w:val="TableText"/>
              <w:spacing w:after="0"/>
              <w:rPr>
                <w:rFonts w:eastAsia="Times New Roman" w:cs="Times New Roman"/>
                <w:szCs w:val="20"/>
              </w:rPr>
            </w:pPr>
            <w:r w:rsidRPr="0041132C">
              <w:rPr>
                <w:szCs w:val="20"/>
              </w:rPr>
              <w:t>R, DB</w:t>
            </w:r>
          </w:p>
          <w:p w:rsidR="00455F6E" w:rsidRPr="0041132C" w:rsidRDefault="00455F6E" w:rsidP="001445D8">
            <w:pPr>
              <w:pStyle w:val="TableText"/>
              <w:spacing w:after="0"/>
              <w:rPr>
                <w:rFonts w:eastAsia="Times New Roman" w:cs="Times New Roman"/>
                <w:szCs w:val="20"/>
              </w:rPr>
            </w:pPr>
            <w:r w:rsidRPr="0041132C">
              <w:rPr>
                <w:szCs w:val="20"/>
              </w:rPr>
              <w:t>16 week treatment followed by extension phases to 260 weeks</w:t>
            </w:r>
          </w:p>
        </w:tc>
        <w:tc>
          <w:tcPr>
            <w:tcW w:w="580" w:type="pct"/>
            <w:vMerge w:val="restart"/>
            <w:shd w:val="clear" w:color="auto" w:fill="auto"/>
          </w:tcPr>
          <w:p w:rsidR="00455F6E" w:rsidRPr="0041132C" w:rsidRDefault="00455F6E" w:rsidP="001445D8">
            <w:pPr>
              <w:pStyle w:val="TableText"/>
              <w:spacing w:after="0"/>
              <w:rPr>
                <w:rFonts w:eastAsia="Times New Roman" w:cs="Times New Roman"/>
                <w:szCs w:val="20"/>
              </w:rPr>
            </w:pPr>
            <w:r w:rsidRPr="0041132C">
              <w:rPr>
                <w:szCs w:val="20"/>
              </w:rPr>
              <w:t>Low</w:t>
            </w:r>
          </w:p>
        </w:tc>
        <w:tc>
          <w:tcPr>
            <w:tcW w:w="733" w:type="pct"/>
            <w:vMerge w:val="restart"/>
            <w:shd w:val="clear" w:color="auto" w:fill="auto"/>
          </w:tcPr>
          <w:p w:rsidR="00455F6E" w:rsidRPr="0041132C" w:rsidRDefault="00455F6E" w:rsidP="001445D8">
            <w:pPr>
              <w:pStyle w:val="TableText"/>
              <w:spacing w:after="0"/>
              <w:rPr>
                <w:rFonts w:eastAsia="Times New Roman" w:cs="Times New Roman"/>
                <w:szCs w:val="20"/>
              </w:rPr>
            </w:pPr>
            <w:r w:rsidRPr="0041132C">
              <w:rPr>
                <w:rFonts w:eastAsia="Times New Roman" w:cs="Times New Roman"/>
                <w:szCs w:val="20"/>
              </w:rPr>
              <w:t>Adults with</w:t>
            </w:r>
            <w:r w:rsidRPr="0041132C">
              <w:rPr>
                <w:b/>
                <w:szCs w:val="20"/>
              </w:rPr>
              <w:t xml:space="preserve">  PASI ≥</w:t>
            </w:r>
            <w:r w:rsidR="00E73D23" w:rsidRPr="0041132C">
              <w:rPr>
                <w:b/>
                <w:szCs w:val="20"/>
              </w:rPr>
              <w:t xml:space="preserve"> </w:t>
            </w:r>
            <w:r w:rsidRPr="0041132C">
              <w:rPr>
                <w:b/>
                <w:szCs w:val="20"/>
              </w:rPr>
              <w:t>12</w:t>
            </w:r>
          </w:p>
        </w:tc>
        <w:tc>
          <w:tcPr>
            <w:tcW w:w="1117" w:type="pct"/>
            <w:vMerge/>
            <w:shd w:val="clear" w:color="auto" w:fill="auto"/>
            <w:vAlign w:val="center"/>
          </w:tcPr>
          <w:p w:rsidR="00455F6E" w:rsidRPr="0041132C" w:rsidRDefault="00455F6E" w:rsidP="001445D8">
            <w:pPr>
              <w:pStyle w:val="TableText"/>
              <w:spacing w:after="0"/>
              <w:rPr>
                <w:rFonts w:eastAsia="Times New Roman" w:cs="Times New Roman"/>
                <w:szCs w:val="20"/>
              </w:rPr>
            </w:pPr>
          </w:p>
        </w:tc>
      </w:tr>
      <w:tr w:rsidR="00455F6E" w:rsidRPr="0041132C" w:rsidTr="002874E0">
        <w:trPr>
          <w:trHeight w:val="516"/>
        </w:trPr>
        <w:tc>
          <w:tcPr>
            <w:tcW w:w="569" w:type="pct"/>
            <w:vMerge/>
            <w:shd w:val="clear" w:color="auto" w:fill="auto"/>
            <w:vAlign w:val="center"/>
          </w:tcPr>
          <w:p w:rsidR="00455F6E" w:rsidRPr="0041132C" w:rsidRDefault="00455F6E" w:rsidP="001445D8">
            <w:pPr>
              <w:pStyle w:val="TableText"/>
              <w:spacing w:after="0"/>
              <w:rPr>
                <w:szCs w:val="20"/>
              </w:rPr>
            </w:pPr>
          </w:p>
        </w:tc>
        <w:tc>
          <w:tcPr>
            <w:tcW w:w="698" w:type="pct"/>
            <w:shd w:val="clear" w:color="auto" w:fill="auto"/>
          </w:tcPr>
          <w:p w:rsidR="00455F6E" w:rsidRPr="0041132C" w:rsidRDefault="00455F6E" w:rsidP="001445D8">
            <w:pPr>
              <w:pStyle w:val="TableText"/>
              <w:spacing w:after="0"/>
              <w:rPr>
                <w:szCs w:val="20"/>
              </w:rPr>
            </w:pPr>
            <w:r w:rsidRPr="0041132C">
              <w:rPr>
                <w:szCs w:val="20"/>
              </w:rPr>
              <w:t>Placebo - 282</w:t>
            </w:r>
          </w:p>
        </w:tc>
        <w:tc>
          <w:tcPr>
            <w:tcW w:w="1303" w:type="pct"/>
            <w:vMerge/>
            <w:shd w:val="clear" w:color="auto" w:fill="auto"/>
            <w:vAlign w:val="center"/>
          </w:tcPr>
          <w:p w:rsidR="00455F6E" w:rsidRPr="0041132C" w:rsidRDefault="00455F6E" w:rsidP="001445D8">
            <w:pPr>
              <w:pStyle w:val="TableText"/>
              <w:spacing w:after="0"/>
              <w:rPr>
                <w:szCs w:val="20"/>
              </w:rPr>
            </w:pPr>
          </w:p>
        </w:tc>
        <w:tc>
          <w:tcPr>
            <w:tcW w:w="580" w:type="pct"/>
            <w:vMerge/>
            <w:shd w:val="clear" w:color="auto" w:fill="auto"/>
          </w:tcPr>
          <w:p w:rsidR="00455F6E" w:rsidRPr="0041132C" w:rsidRDefault="00455F6E" w:rsidP="001445D8">
            <w:pPr>
              <w:pStyle w:val="TableText"/>
              <w:spacing w:after="0"/>
              <w:rPr>
                <w:szCs w:val="20"/>
              </w:rPr>
            </w:pPr>
          </w:p>
        </w:tc>
        <w:tc>
          <w:tcPr>
            <w:tcW w:w="733" w:type="pct"/>
            <w:vMerge/>
            <w:shd w:val="clear" w:color="auto" w:fill="auto"/>
          </w:tcPr>
          <w:p w:rsidR="00455F6E" w:rsidRPr="0041132C" w:rsidRDefault="00455F6E" w:rsidP="001445D8">
            <w:pPr>
              <w:pStyle w:val="TableText"/>
              <w:spacing w:after="0"/>
              <w:rPr>
                <w:szCs w:val="20"/>
              </w:rPr>
            </w:pPr>
          </w:p>
        </w:tc>
        <w:tc>
          <w:tcPr>
            <w:tcW w:w="1117" w:type="pct"/>
            <w:vMerge/>
            <w:shd w:val="clear" w:color="auto" w:fill="auto"/>
            <w:vAlign w:val="center"/>
          </w:tcPr>
          <w:p w:rsidR="00455F6E" w:rsidRPr="0041132C" w:rsidRDefault="00455F6E" w:rsidP="001445D8">
            <w:pPr>
              <w:pStyle w:val="TableText"/>
              <w:spacing w:after="0"/>
              <w:rPr>
                <w:rFonts w:eastAsia="Times New Roman" w:cs="Times New Roman"/>
                <w:szCs w:val="20"/>
              </w:rPr>
            </w:pPr>
          </w:p>
        </w:tc>
      </w:tr>
      <w:tr w:rsidR="00455F6E" w:rsidRPr="0041132C" w:rsidTr="002874E0">
        <w:trPr>
          <w:trHeight w:val="516"/>
        </w:trPr>
        <w:tc>
          <w:tcPr>
            <w:tcW w:w="569" w:type="pct"/>
            <w:vMerge w:val="restart"/>
            <w:shd w:val="clear" w:color="auto" w:fill="auto"/>
            <w:vAlign w:val="center"/>
          </w:tcPr>
          <w:p w:rsidR="00455F6E" w:rsidRPr="0021253F" w:rsidRDefault="00455F6E" w:rsidP="001445D8">
            <w:pPr>
              <w:pStyle w:val="TableText"/>
              <w:spacing w:after="0"/>
              <w:rPr>
                <w:rFonts w:eastAsia="Times New Roman" w:cs="Times New Roman"/>
                <w:szCs w:val="20"/>
              </w:rPr>
            </w:pPr>
            <w:r w:rsidRPr="005348DF">
              <w:rPr>
                <w:szCs w:val="20"/>
              </w:rPr>
              <w:t>ESTEEM-2</w:t>
            </w:r>
          </w:p>
        </w:tc>
        <w:tc>
          <w:tcPr>
            <w:tcW w:w="698" w:type="pct"/>
            <w:shd w:val="clear" w:color="auto" w:fill="auto"/>
          </w:tcPr>
          <w:p w:rsidR="00455F6E" w:rsidRPr="0041132C" w:rsidRDefault="00455F6E" w:rsidP="001445D8">
            <w:pPr>
              <w:pStyle w:val="TableText"/>
              <w:spacing w:after="0"/>
              <w:rPr>
                <w:szCs w:val="20"/>
              </w:rPr>
            </w:pPr>
            <w:r w:rsidRPr="0041132C">
              <w:rPr>
                <w:szCs w:val="20"/>
              </w:rPr>
              <w:t>Apremilast - 275</w:t>
            </w:r>
          </w:p>
        </w:tc>
        <w:tc>
          <w:tcPr>
            <w:tcW w:w="1303" w:type="pct"/>
            <w:vMerge w:val="restart"/>
            <w:shd w:val="clear" w:color="auto" w:fill="auto"/>
            <w:vAlign w:val="center"/>
          </w:tcPr>
          <w:p w:rsidR="00455F6E" w:rsidRPr="0041132C" w:rsidRDefault="00455F6E" w:rsidP="001445D8">
            <w:pPr>
              <w:pStyle w:val="TableText"/>
              <w:spacing w:after="0"/>
              <w:rPr>
                <w:rFonts w:eastAsia="Times New Roman" w:cs="Times New Roman"/>
                <w:szCs w:val="20"/>
              </w:rPr>
            </w:pPr>
            <w:r w:rsidRPr="0041132C">
              <w:rPr>
                <w:szCs w:val="20"/>
              </w:rPr>
              <w:t>R, DB</w:t>
            </w:r>
          </w:p>
          <w:p w:rsidR="00455F6E" w:rsidRPr="0041132C" w:rsidRDefault="00455F6E" w:rsidP="001445D8">
            <w:pPr>
              <w:pStyle w:val="TableText"/>
              <w:spacing w:after="0"/>
              <w:rPr>
                <w:rFonts w:eastAsia="Times New Roman" w:cs="Times New Roman"/>
                <w:szCs w:val="20"/>
              </w:rPr>
            </w:pPr>
            <w:r w:rsidRPr="0041132C">
              <w:rPr>
                <w:szCs w:val="20"/>
              </w:rPr>
              <w:t>16 week treatment followed by extension phases to 260 weeks</w:t>
            </w:r>
          </w:p>
        </w:tc>
        <w:tc>
          <w:tcPr>
            <w:tcW w:w="580" w:type="pct"/>
            <w:vMerge w:val="restart"/>
            <w:shd w:val="clear" w:color="auto" w:fill="auto"/>
          </w:tcPr>
          <w:p w:rsidR="00455F6E" w:rsidRPr="0041132C" w:rsidRDefault="00455F6E" w:rsidP="001445D8">
            <w:pPr>
              <w:pStyle w:val="TableText"/>
              <w:spacing w:after="0"/>
              <w:rPr>
                <w:rFonts w:eastAsia="Times New Roman" w:cs="Times New Roman"/>
                <w:szCs w:val="20"/>
              </w:rPr>
            </w:pPr>
            <w:r w:rsidRPr="0041132C">
              <w:rPr>
                <w:szCs w:val="20"/>
              </w:rPr>
              <w:t>Low</w:t>
            </w:r>
          </w:p>
        </w:tc>
        <w:tc>
          <w:tcPr>
            <w:tcW w:w="733" w:type="pct"/>
            <w:vMerge w:val="restart"/>
            <w:shd w:val="clear" w:color="auto" w:fill="auto"/>
          </w:tcPr>
          <w:p w:rsidR="00455F6E" w:rsidRPr="0041132C" w:rsidRDefault="00455F6E" w:rsidP="001445D8">
            <w:pPr>
              <w:spacing w:after="0"/>
              <w:rPr>
                <w:rFonts w:ascii="Arial Narrow" w:hAnsi="Arial Narrow"/>
                <w:sz w:val="20"/>
                <w:szCs w:val="20"/>
              </w:rPr>
            </w:pPr>
            <w:r w:rsidRPr="0041132C">
              <w:rPr>
                <w:rFonts w:ascii="Arial Narrow" w:eastAsia="Times New Roman" w:hAnsi="Arial Narrow" w:cs="Times New Roman"/>
                <w:sz w:val="20"/>
                <w:szCs w:val="20"/>
              </w:rPr>
              <w:t>Adults with</w:t>
            </w:r>
            <w:r w:rsidRPr="0041132C">
              <w:rPr>
                <w:rFonts w:ascii="Arial Narrow" w:hAnsi="Arial Narrow"/>
                <w:b/>
                <w:sz w:val="20"/>
                <w:szCs w:val="20"/>
              </w:rPr>
              <w:t xml:space="preserve">  PASI ≥</w:t>
            </w:r>
            <w:r w:rsidR="00E73D23" w:rsidRPr="0041132C">
              <w:rPr>
                <w:rFonts w:ascii="Arial Narrow" w:hAnsi="Arial Narrow"/>
                <w:b/>
                <w:sz w:val="20"/>
                <w:szCs w:val="20"/>
              </w:rPr>
              <w:t xml:space="preserve"> </w:t>
            </w:r>
            <w:r w:rsidRPr="0041132C">
              <w:rPr>
                <w:rFonts w:ascii="Arial Narrow" w:hAnsi="Arial Narrow"/>
                <w:b/>
                <w:sz w:val="20"/>
                <w:szCs w:val="20"/>
              </w:rPr>
              <w:t>12</w:t>
            </w:r>
          </w:p>
        </w:tc>
        <w:tc>
          <w:tcPr>
            <w:tcW w:w="1117" w:type="pct"/>
            <w:vMerge/>
            <w:shd w:val="clear" w:color="auto" w:fill="auto"/>
            <w:vAlign w:val="center"/>
          </w:tcPr>
          <w:p w:rsidR="00455F6E" w:rsidRPr="0041132C" w:rsidRDefault="00455F6E" w:rsidP="001445D8">
            <w:pPr>
              <w:pStyle w:val="TableText"/>
              <w:spacing w:after="0"/>
              <w:rPr>
                <w:rFonts w:eastAsia="Times New Roman" w:cs="Times New Roman"/>
                <w:szCs w:val="20"/>
              </w:rPr>
            </w:pPr>
          </w:p>
        </w:tc>
      </w:tr>
      <w:tr w:rsidR="00455F6E" w:rsidRPr="0041132C" w:rsidTr="002874E0">
        <w:trPr>
          <w:trHeight w:val="516"/>
        </w:trPr>
        <w:tc>
          <w:tcPr>
            <w:tcW w:w="569" w:type="pct"/>
            <w:vMerge/>
            <w:shd w:val="clear" w:color="auto" w:fill="auto"/>
            <w:vAlign w:val="center"/>
          </w:tcPr>
          <w:p w:rsidR="00455F6E" w:rsidRPr="0041132C" w:rsidRDefault="00455F6E" w:rsidP="001445D8">
            <w:pPr>
              <w:pStyle w:val="TableText"/>
              <w:spacing w:after="0"/>
              <w:rPr>
                <w:szCs w:val="20"/>
              </w:rPr>
            </w:pPr>
          </w:p>
        </w:tc>
        <w:tc>
          <w:tcPr>
            <w:tcW w:w="698" w:type="pct"/>
            <w:shd w:val="clear" w:color="auto" w:fill="auto"/>
          </w:tcPr>
          <w:p w:rsidR="00455F6E" w:rsidRPr="0041132C" w:rsidRDefault="00455F6E" w:rsidP="001445D8">
            <w:pPr>
              <w:pStyle w:val="TableText"/>
              <w:spacing w:after="0"/>
              <w:rPr>
                <w:szCs w:val="20"/>
              </w:rPr>
            </w:pPr>
            <w:r w:rsidRPr="0041132C">
              <w:rPr>
                <w:szCs w:val="20"/>
              </w:rPr>
              <w:t>Placebo - 138</w:t>
            </w:r>
          </w:p>
        </w:tc>
        <w:tc>
          <w:tcPr>
            <w:tcW w:w="1303" w:type="pct"/>
            <w:vMerge/>
            <w:shd w:val="clear" w:color="auto" w:fill="auto"/>
            <w:vAlign w:val="center"/>
          </w:tcPr>
          <w:p w:rsidR="00455F6E" w:rsidRPr="0041132C" w:rsidRDefault="00455F6E" w:rsidP="001445D8">
            <w:pPr>
              <w:pStyle w:val="TableText"/>
              <w:spacing w:after="0"/>
              <w:rPr>
                <w:szCs w:val="20"/>
              </w:rPr>
            </w:pPr>
          </w:p>
        </w:tc>
        <w:tc>
          <w:tcPr>
            <w:tcW w:w="580" w:type="pct"/>
            <w:vMerge/>
            <w:shd w:val="clear" w:color="auto" w:fill="auto"/>
          </w:tcPr>
          <w:p w:rsidR="00455F6E" w:rsidRPr="0041132C" w:rsidRDefault="00455F6E" w:rsidP="001445D8">
            <w:pPr>
              <w:pStyle w:val="TableText"/>
              <w:spacing w:after="0"/>
              <w:rPr>
                <w:szCs w:val="20"/>
              </w:rPr>
            </w:pPr>
          </w:p>
        </w:tc>
        <w:tc>
          <w:tcPr>
            <w:tcW w:w="733" w:type="pct"/>
            <w:vMerge/>
            <w:shd w:val="clear" w:color="auto" w:fill="auto"/>
          </w:tcPr>
          <w:p w:rsidR="00455F6E" w:rsidRPr="0041132C" w:rsidRDefault="00455F6E" w:rsidP="001445D8">
            <w:pPr>
              <w:pStyle w:val="TableText"/>
              <w:spacing w:after="0"/>
              <w:rPr>
                <w:szCs w:val="20"/>
              </w:rPr>
            </w:pPr>
          </w:p>
        </w:tc>
        <w:tc>
          <w:tcPr>
            <w:tcW w:w="1117" w:type="pct"/>
            <w:vMerge/>
            <w:shd w:val="clear" w:color="auto" w:fill="auto"/>
            <w:vAlign w:val="center"/>
          </w:tcPr>
          <w:p w:rsidR="00455F6E" w:rsidRPr="0041132C" w:rsidRDefault="00455F6E" w:rsidP="001445D8">
            <w:pPr>
              <w:pStyle w:val="TableText"/>
              <w:spacing w:after="0"/>
              <w:rPr>
                <w:rFonts w:eastAsia="Times New Roman" w:cs="Times New Roman"/>
                <w:szCs w:val="20"/>
              </w:rPr>
            </w:pPr>
          </w:p>
        </w:tc>
      </w:tr>
      <w:tr w:rsidR="00455F6E" w:rsidRPr="0041132C" w:rsidTr="00A82916">
        <w:trPr>
          <w:trHeight w:val="516"/>
        </w:trPr>
        <w:tc>
          <w:tcPr>
            <w:tcW w:w="569" w:type="pct"/>
            <w:vMerge w:val="restart"/>
            <w:shd w:val="clear" w:color="auto" w:fill="auto"/>
            <w:vAlign w:val="center"/>
          </w:tcPr>
          <w:p w:rsidR="00455F6E" w:rsidRPr="005348DF" w:rsidRDefault="00455F6E" w:rsidP="001445D8">
            <w:pPr>
              <w:pStyle w:val="TableText"/>
              <w:spacing w:after="0"/>
              <w:rPr>
                <w:szCs w:val="20"/>
              </w:rPr>
            </w:pPr>
            <w:r w:rsidRPr="005348DF">
              <w:rPr>
                <w:szCs w:val="20"/>
              </w:rPr>
              <w:t>LIBERATE</w:t>
            </w:r>
          </w:p>
        </w:tc>
        <w:tc>
          <w:tcPr>
            <w:tcW w:w="698" w:type="pct"/>
            <w:shd w:val="clear" w:color="auto" w:fill="auto"/>
          </w:tcPr>
          <w:p w:rsidR="00455F6E" w:rsidRPr="0041132C" w:rsidRDefault="00455F6E" w:rsidP="001445D8">
            <w:pPr>
              <w:pStyle w:val="TableText"/>
              <w:spacing w:after="0"/>
              <w:rPr>
                <w:szCs w:val="20"/>
              </w:rPr>
            </w:pPr>
            <w:r w:rsidRPr="0041132C">
              <w:rPr>
                <w:szCs w:val="20"/>
              </w:rPr>
              <w:t>Apremilast - 83</w:t>
            </w:r>
          </w:p>
        </w:tc>
        <w:tc>
          <w:tcPr>
            <w:tcW w:w="1303" w:type="pct"/>
            <w:vMerge w:val="restart"/>
            <w:shd w:val="clear" w:color="auto" w:fill="auto"/>
          </w:tcPr>
          <w:p w:rsidR="00455F6E" w:rsidRPr="0041132C" w:rsidRDefault="00455F6E" w:rsidP="001445D8">
            <w:pPr>
              <w:pStyle w:val="TableText"/>
              <w:spacing w:after="0"/>
              <w:rPr>
                <w:szCs w:val="20"/>
              </w:rPr>
            </w:pPr>
            <w:r w:rsidRPr="0041132C">
              <w:rPr>
                <w:szCs w:val="20"/>
              </w:rPr>
              <w:t>R, DB</w:t>
            </w:r>
          </w:p>
          <w:p w:rsidR="00455F6E" w:rsidRPr="0041132C" w:rsidRDefault="00455F6E" w:rsidP="001445D8">
            <w:pPr>
              <w:pStyle w:val="TableText"/>
              <w:spacing w:after="0"/>
              <w:rPr>
                <w:szCs w:val="20"/>
              </w:rPr>
            </w:pPr>
            <w:r w:rsidRPr="0041132C">
              <w:rPr>
                <w:szCs w:val="20"/>
              </w:rPr>
              <w:t>16 week treatment followed by extension phases to 104 weeks</w:t>
            </w:r>
          </w:p>
        </w:tc>
        <w:tc>
          <w:tcPr>
            <w:tcW w:w="580" w:type="pct"/>
            <w:vMerge w:val="restart"/>
            <w:shd w:val="clear" w:color="auto" w:fill="auto"/>
          </w:tcPr>
          <w:p w:rsidR="00455F6E" w:rsidRPr="0041132C" w:rsidRDefault="00455F6E" w:rsidP="001445D8">
            <w:pPr>
              <w:pStyle w:val="TableText"/>
              <w:spacing w:after="0"/>
              <w:rPr>
                <w:szCs w:val="20"/>
              </w:rPr>
            </w:pPr>
            <w:r w:rsidRPr="0041132C">
              <w:rPr>
                <w:szCs w:val="20"/>
              </w:rPr>
              <w:t>Low</w:t>
            </w:r>
          </w:p>
        </w:tc>
        <w:tc>
          <w:tcPr>
            <w:tcW w:w="733" w:type="pct"/>
            <w:vMerge w:val="restart"/>
            <w:shd w:val="clear" w:color="auto" w:fill="auto"/>
          </w:tcPr>
          <w:p w:rsidR="00455F6E" w:rsidRPr="0041132C" w:rsidRDefault="00455F6E" w:rsidP="001445D8">
            <w:pPr>
              <w:spacing w:after="0"/>
              <w:rPr>
                <w:rFonts w:ascii="Arial Narrow" w:hAnsi="Arial Narrow"/>
                <w:sz w:val="20"/>
                <w:szCs w:val="20"/>
              </w:rPr>
            </w:pPr>
            <w:r w:rsidRPr="0041132C">
              <w:rPr>
                <w:rFonts w:ascii="Arial Narrow" w:eastAsia="Times New Roman" w:hAnsi="Arial Narrow" w:cs="Times New Roman"/>
                <w:sz w:val="20"/>
                <w:szCs w:val="20"/>
              </w:rPr>
              <w:t>Adults with</w:t>
            </w:r>
            <w:r w:rsidRPr="0041132C">
              <w:rPr>
                <w:rFonts w:ascii="Arial Narrow" w:hAnsi="Arial Narrow"/>
                <w:b/>
                <w:sz w:val="20"/>
                <w:szCs w:val="20"/>
              </w:rPr>
              <w:t xml:space="preserve">  PASI ≥</w:t>
            </w:r>
            <w:r w:rsidR="00E73D23" w:rsidRPr="0041132C">
              <w:rPr>
                <w:rFonts w:ascii="Arial Narrow" w:hAnsi="Arial Narrow"/>
                <w:b/>
                <w:sz w:val="20"/>
                <w:szCs w:val="20"/>
              </w:rPr>
              <w:t xml:space="preserve"> </w:t>
            </w:r>
            <w:r w:rsidRPr="0041132C">
              <w:rPr>
                <w:rFonts w:ascii="Arial Narrow" w:hAnsi="Arial Narrow"/>
                <w:b/>
                <w:sz w:val="20"/>
                <w:szCs w:val="20"/>
              </w:rPr>
              <w:t>12</w:t>
            </w:r>
          </w:p>
        </w:tc>
        <w:tc>
          <w:tcPr>
            <w:tcW w:w="1117" w:type="pct"/>
            <w:vMerge/>
            <w:shd w:val="clear" w:color="auto" w:fill="auto"/>
            <w:vAlign w:val="center"/>
          </w:tcPr>
          <w:p w:rsidR="00455F6E" w:rsidRPr="0041132C" w:rsidRDefault="00455F6E" w:rsidP="001445D8">
            <w:pPr>
              <w:pStyle w:val="TableText"/>
              <w:spacing w:after="0"/>
              <w:rPr>
                <w:szCs w:val="20"/>
              </w:rPr>
            </w:pPr>
          </w:p>
        </w:tc>
      </w:tr>
      <w:tr w:rsidR="00455F6E" w:rsidRPr="0041132C" w:rsidTr="002874E0">
        <w:trPr>
          <w:trHeight w:val="516"/>
        </w:trPr>
        <w:tc>
          <w:tcPr>
            <w:tcW w:w="569" w:type="pct"/>
            <w:vMerge/>
            <w:shd w:val="clear" w:color="auto" w:fill="auto"/>
            <w:vAlign w:val="center"/>
          </w:tcPr>
          <w:p w:rsidR="00455F6E" w:rsidRPr="0041132C" w:rsidRDefault="00455F6E" w:rsidP="001445D8">
            <w:pPr>
              <w:pStyle w:val="TableText"/>
              <w:spacing w:after="0"/>
              <w:rPr>
                <w:szCs w:val="20"/>
              </w:rPr>
            </w:pPr>
          </w:p>
        </w:tc>
        <w:tc>
          <w:tcPr>
            <w:tcW w:w="698" w:type="pct"/>
            <w:shd w:val="clear" w:color="auto" w:fill="auto"/>
          </w:tcPr>
          <w:p w:rsidR="00455F6E" w:rsidRPr="0041132C" w:rsidRDefault="00455F6E" w:rsidP="001445D8">
            <w:pPr>
              <w:pStyle w:val="TableText"/>
              <w:spacing w:after="0"/>
              <w:rPr>
                <w:szCs w:val="20"/>
              </w:rPr>
            </w:pPr>
            <w:r w:rsidRPr="0041132C">
              <w:rPr>
                <w:szCs w:val="20"/>
              </w:rPr>
              <w:t>Placebo - 84</w:t>
            </w:r>
          </w:p>
        </w:tc>
        <w:tc>
          <w:tcPr>
            <w:tcW w:w="1303" w:type="pct"/>
            <w:vMerge/>
            <w:shd w:val="clear" w:color="auto" w:fill="auto"/>
            <w:vAlign w:val="center"/>
          </w:tcPr>
          <w:p w:rsidR="00455F6E" w:rsidRPr="0041132C" w:rsidRDefault="00455F6E" w:rsidP="001445D8">
            <w:pPr>
              <w:pStyle w:val="TableText"/>
              <w:spacing w:after="0"/>
              <w:rPr>
                <w:szCs w:val="20"/>
              </w:rPr>
            </w:pPr>
          </w:p>
        </w:tc>
        <w:tc>
          <w:tcPr>
            <w:tcW w:w="580" w:type="pct"/>
            <w:vMerge/>
            <w:shd w:val="clear" w:color="auto" w:fill="auto"/>
          </w:tcPr>
          <w:p w:rsidR="00455F6E" w:rsidRPr="0041132C" w:rsidRDefault="00455F6E" w:rsidP="001445D8">
            <w:pPr>
              <w:pStyle w:val="TableText"/>
              <w:spacing w:after="0"/>
              <w:rPr>
                <w:szCs w:val="20"/>
              </w:rPr>
            </w:pPr>
          </w:p>
        </w:tc>
        <w:tc>
          <w:tcPr>
            <w:tcW w:w="733" w:type="pct"/>
            <w:vMerge/>
            <w:shd w:val="clear" w:color="auto" w:fill="auto"/>
          </w:tcPr>
          <w:p w:rsidR="00455F6E" w:rsidRPr="0041132C" w:rsidRDefault="00455F6E" w:rsidP="001445D8">
            <w:pPr>
              <w:pStyle w:val="TableText"/>
              <w:spacing w:after="0"/>
              <w:rPr>
                <w:szCs w:val="20"/>
              </w:rPr>
            </w:pPr>
          </w:p>
        </w:tc>
        <w:tc>
          <w:tcPr>
            <w:tcW w:w="1117" w:type="pct"/>
            <w:vMerge/>
            <w:shd w:val="clear" w:color="auto" w:fill="auto"/>
            <w:vAlign w:val="center"/>
          </w:tcPr>
          <w:p w:rsidR="00455F6E" w:rsidRPr="0041132C" w:rsidRDefault="00455F6E" w:rsidP="001445D8">
            <w:pPr>
              <w:pStyle w:val="TableText"/>
              <w:spacing w:after="0"/>
              <w:rPr>
                <w:szCs w:val="20"/>
              </w:rPr>
            </w:pPr>
          </w:p>
        </w:tc>
      </w:tr>
      <w:tr w:rsidR="00455F6E" w:rsidRPr="0041132C" w:rsidTr="002874E0">
        <w:trPr>
          <w:trHeight w:val="516"/>
        </w:trPr>
        <w:tc>
          <w:tcPr>
            <w:tcW w:w="569" w:type="pct"/>
            <w:vMerge/>
            <w:shd w:val="clear" w:color="auto" w:fill="auto"/>
            <w:vAlign w:val="center"/>
          </w:tcPr>
          <w:p w:rsidR="00455F6E" w:rsidRPr="0041132C" w:rsidRDefault="00455F6E" w:rsidP="001445D8">
            <w:pPr>
              <w:pStyle w:val="TableText"/>
              <w:spacing w:after="0"/>
              <w:rPr>
                <w:szCs w:val="20"/>
              </w:rPr>
            </w:pPr>
          </w:p>
        </w:tc>
        <w:tc>
          <w:tcPr>
            <w:tcW w:w="698" w:type="pct"/>
            <w:shd w:val="clear" w:color="auto" w:fill="auto"/>
          </w:tcPr>
          <w:p w:rsidR="00455F6E" w:rsidRPr="0041132C" w:rsidRDefault="00455F6E" w:rsidP="001445D8">
            <w:pPr>
              <w:pStyle w:val="TableText"/>
              <w:spacing w:after="0"/>
              <w:rPr>
                <w:szCs w:val="20"/>
              </w:rPr>
            </w:pPr>
            <w:r w:rsidRPr="0041132C">
              <w:rPr>
                <w:szCs w:val="20"/>
              </w:rPr>
              <w:t>Etanercept - 83</w:t>
            </w:r>
          </w:p>
        </w:tc>
        <w:tc>
          <w:tcPr>
            <w:tcW w:w="1303" w:type="pct"/>
            <w:vMerge/>
            <w:shd w:val="clear" w:color="auto" w:fill="auto"/>
            <w:vAlign w:val="center"/>
          </w:tcPr>
          <w:p w:rsidR="00455F6E" w:rsidRPr="0041132C" w:rsidRDefault="00455F6E" w:rsidP="001445D8">
            <w:pPr>
              <w:pStyle w:val="TableText"/>
              <w:spacing w:after="0"/>
              <w:rPr>
                <w:szCs w:val="20"/>
              </w:rPr>
            </w:pPr>
          </w:p>
        </w:tc>
        <w:tc>
          <w:tcPr>
            <w:tcW w:w="580" w:type="pct"/>
            <w:vMerge/>
            <w:shd w:val="clear" w:color="auto" w:fill="auto"/>
          </w:tcPr>
          <w:p w:rsidR="00455F6E" w:rsidRPr="0041132C" w:rsidRDefault="00455F6E" w:rsidP="001445D8">
            <w:pPr>
              <w:pStyle w:val="TableText"/>
              <w:spacing w:after="0"/>
              <w:rPr>
                <w:szCs w:val="20"/>
              </w:rPr>
            </w:pPr>
          </w:p>
        </w:tc>
        <w:tc>
          <w:tcPr>
            <w:tcW w:w="733" w:type="pct"/>
            <w:vMerge/>
            <w:shd w:val="clear" w:color="auto" w:fill="auto"/>
          </w:tcPr>
          <w:p w:rsidR="00455F6E" w:rsidRPr="0041132C" w:rsidRDefault="00455F6E" w:rsidP="001445D8">
            <w:pPr>
              <w:pStyle w:val="TableText"/>
              <w:spacing w:after="0"/>
              <w:rPr>
                <w:szCs w:val="20"/>
              </w:rPr>
            </w:pPr>
          </w:p>
        </w:tc>
        <w:tc>
          <w:tcPr>
            <w:tcW w:w="1117" w:type="pct"/>
            <w:vMerge/>
            <w:shd w:val="clear" w:color="auto" w:fill="auto"/>
            <w:vAlign w:val="center"/>
          </w:tcPr>
          <w:p w:rsidR="00455F6E" w:rsidRPr="0041132C" w:rsidRDefault="00455F6E" w:rsidP="001445D8">
            <w:pPr>
              <w:pStyle w:val="TableText"/>
              <w:spacing w:after="0"/>
              <w:rPr>
                <w:szCs w:val="20"/>
              </w:rPr>
            </w:pPr>
          </w:p>
        </w:tc>
      </w:tr>
      <w:tr w:rsidR="00455F6E" w:rsidRPr="0041132C" w:rsidTr="002874E0">
        <w:trPr>
          <w:trHeight w:val="402"/>
        </w:trPr>
        <w:tc>
          <w:tcPr>
            <w:tcW w:w="569" w:type="pct"/>
            <w:vMerge w:val="restart"/>
            <w:shd w:val="clear" w:color="auto" w:fill="auto"/>
            <w:vAlign w:val="center"/>
          </w:tcPr>
          <w:p w:rsidR="00455F6E" w:rsidRPr="005348DF" w:rsidRDefault="00455F6E" w:rsidP="001445D8">
            <w:pPr>
              <w:pStyle w:val="TableText"/>
              <w:spacing w:after="0"/>
              <w:rPr>
                <w:szCs w:val="20"/>
              </w:rPr>
            </w:pPr>
            <w:r w:rsidRPr="005348DF">
              <w:rPr>
                <w:szCs w:val="20"/>
              </w:rPr>
              <w:t>PSOR-11. Ohtsuki 2017</w:t>
            </w:r>
          </w:p>
        </w:tc>
        <w:tc>
          <w:tcPr>
            <w:tcW w:w="698" w:type="pct"/>
            <w:shd w:val="clear" w:color="auto" w:fill="auto"/>
          </w:tcPr>
          <w:p w:rsidR="00455F6E" w:rsidRPr="0041132C" w:rsidRDefault="00455F6E" w:rsidP="001445D8">
            <w:pPr>
              <w:pStyle w:val="TableText"/>
              <w:spacing w:after="0"/>
              <w:rPr>
                <w:szCs w:val="20"/>
              </w:rPr>
            </w:pPr>
            <w:r w:rsidRPr="0041132C">
              <w:rPr>
                <w:szCs w:val="20"/>
              </w:rPr>
              <w:t>Apremilast - 85</w:t>
            </w:r>
          </w:p>
        </w:tc>
        <w:tc>
          <w:tcPr>
            <w:tcW w:w="1303" w:type="pct"/>
            <w:vMerge w:val="restart"/>
            <w:shd w:val="clear" w:color="auto" w:fill="auto"/>
            <w:vAlign w:val="center"/>
          </w:tcPr>
          <w:p w:rsidR="00455F6E" w:rsidRPr="0041132C" w:rsidRDefault="00455F6E" w:rsidP="001445D8">
            <w:pPr>
              <w:pStyle w:val="TableText"/>
              <w:spacing w:after="0"/>
              <w:rPr>
                <w:szCs w:val="20"/>
              </w:rPr>
            </w:pPr>
            <w:r w:rsidRPr="0041132C">
              <w:rPr>
                <w:szCs w:val="20"/>
              </w:rPr>
              <w:t>R, DB</w:t>
            </w:r>
          </w:p>
          <w:p w:rsidR="00455F6E" w:rsidRPr="0041132C" w:rsidRDefault="00455F6E" w:rsidP="001445D8">
            <w:pPr>
              <w:pStyle w:val="TableText"/>
              <w:spacing w:after="0"/>
              <w:rPr>
                <w:szCs w:val="20"/>
              </w:rPr>
            </w:pPr>
            <w:r w:rsidRPr="0041132C">
              <w:rPr>
                <w:szCs w:val="20"/>
              </w:rPr>
              <w:t>16 weeks treatment followed by 4 week follow-up</w:t>
            </w:r>
          </w:p>
        </w:tc>
        <w:tc>
          <w:tcPr>
            <w:tcW w:w="580" w:type="pct"/>
            <w:vMerge w:val="restart"/>
            <w:shd w:val="clear" w:color="auto" w:fill="auto"/>
          </w:tcPr>
          <w:p w:rsidR="00455F6E" w:rsidRPr="0041132C" w:rsidRDefault="00455F6E" w:rsidP="001445D8">
            <w:pPr>
              <w:pStyle w:val="TableText"/>
              <w:spacing w:after="0"/>
              <w:rPr>
                <w:szCs w:val="20"/>
              </w:rPr>
            </w:pPr>
            <w:r w:rsidRPr="0041132C">
              <w:rPr>
                <w:szCs w:val="20"/>
              </w:rPr>
              <w:t>Low</w:t>
            </w:r>
          </w:p>
        </w:tc>
        <w:tc>
          <w:tcPr>
            <w:tcW w:w="733" w:type="pct"/>
            <w:vMerge w:val="restart"/>
            <w:shd w:val="clear" w:color="auto" w:fill="auto"/>
          </w:tcPr>
          <w:p w:rsidR="00455F6E" w:rsidRPr="0041132C" w:rsidRDefault="00455F6E" w:rsidP="001445D8">
            <w:pPr>
              <w:spacing w:after="0"/>
              <w:rPr>
                <w:rFonts w:ascii="Arial Narrow" w:hAnsi="Arial Narrow"/>
                <w:sz w:val="20"/>
                <w:szCs w:val="20"/>
              </w:rPr>
            </w:pPr>
            <w:r w:rsidRPr="0041132C">
              <w:rPr>
                <w:rFonts w:ascii="Arial Narrow" w:eastAsia="Times New Roman" w:hAnsi="Arial Narrow" w:cs="Times New Roman"/>
                <w:sz w:val="20"/>
                <w:szCs w:val="20"/>
              </w:rPr>
              <w:t>Japanese adults with</w:t>
            </w:r>
            <w:r w:rsidRPr="0041132C">
              <w:rPr>
                <w:rFonts w:ascii="Arial Narrow" w:hAnsi="Arial Narrow"/>
                <w:b/>
                <w:sz w:val="20"/>
                <w:szCs w:val="20"/>
              </w:rPr>
              <w:t xml:space="preserve">  PASI ≥</w:t>
            </w:r>
            <w:r w:rsidR="00E73D23" w:rsidRPr="0041132C">
              <w:rPr>
                <w:rFonts w:ascii="Arial Narrow" w:hAnsi="Arial Narrow"/>
                <w:b/>
                <w:sz w:val="20"/>
                <w:szCs w:val="20"/>
              </w:rPr>
              <w:t xml:space="preserve"> </w:t>
            </w:r>
            <w:r w:rsidRPr="0041132C">
              <w:rPr>
                <w:rFonts w:ascii="Arial Narrow" w:hAnsi="Arial Narrow"/>
                <w:b/>
                <w:sz w:val="20"/>
                <w:szCs w:val="20"/>
              </w:rPr>
              <w:t>12</w:t>
            </w:r>
          </w:p>
        </w:tc>
        <w:tc>
          <w:tcPr>
            <w:tcW w:w="1117" w:type="pct"/>
            <w:vMerge/>
            <w:shd w:val="clear" w:color="auto" w:fill="auto"/>
            <w:vAlign w:val="center"/>
          </w:tcPr>
          <w:p w:rsidR="00455F6E" w:rsidRPr="0041132C" w:rsidRDefault="00455F6E" w:rsidP="001445D8">
            <w:pPr>
              <w:pStyle w:val="TableText"/>
              <w:spacing w:after="0"/>
              <w:rPr>
                <w:szCs w:val="20"/>
              </w:rPr>
            </w:pPr>
          </w:p>
        </w:tc>
      </w:tr>
      <w:tr w:rsidR="00455F6E" w:rsidRPr="0041132C" w:rsidTr="002874E0">
        <w:trPr>
          <w:trHeight w:val="402"/>
        </w:trPr>
        <w:tc>
          <w:tcPr>
            <w:tcW w:w="569" w:type="pct"/>
            <w:vMerge/>
            <w:shd w:val="clear" w:color="auto" w:fill="auto"/>
            <w:vAlign w:val="center"/>
          </w:tcPr>
          <w:p w:rsidR="00455F6E" w:rsidRPr="0041132C" w:rsidRDefault="00455F6E" w:rsidP="001445D8">
            <w:pPr>
              <w:pStyle w:val="TableText"/>
              <w:spacing w:after="0"/>
              <w:rPr>
                <w:szCs w:val="20"/>
              </w:rPr>
            </w:pPr>
          </w:p>
        </w:tc>
        <w:tc>
          <w:tcPr>
            <w:tcW w:w="698" w:type="pct"/>
            <w:shd w:val="clear" w:color="auto" w:fill="auto"/>
          </w:tcPr>
          <w:p w:rsidR="00455F6E" w:rsidRPr="0041132C" w:rsidRDefault="00455F6E" w:rsidP="001445D8">
            <w:pPr>
              <w:pStyle w:val="TableText"/>
              <w:spacing w:after="0"/>
              <w:rPr>
                <w:szCs w:val="20"/>
              </w:rPr>
            </w:pPr>
            <w:r w:rsidRPr="0041132C">
              <w:rPr>
                <w:szCs w:val="20"/>
              </w:rPr>
              <w:t>Placebo - 84</w:t>
            </w:r>
          </w:p>
        </w:tc>
        <w:tc>
          <w:tcPr>
            <w:tcW w:w="1303" w:type="pct"/>
            <w:vMerge/>
            <w:shd w:val="clear" w:color="auto" w:fill="auto"/>
            <w:vAlign w:val="center"/>
          </w:tcPr>
          <w:p w:rsidR="00455F6E" w:rsidRPr="0041132C" w:rsidRDefault="00455F6E" w:rsidP="001445D8">
            <w:pPr>
              <w:pStyle w:val="TableText"/>
              <w:spacing w:after="0"/>
              <w:rPr>
                <w:szCs w:val="20"/>
              </w:rPr>
            </w:pPr>
          </w:p>
        </w:tc>
        <w:tc>
          <w:tcPr>
            <w:tcW w:w="580" w:type="pct"/>
            <w:vMerge/>
            <w:shd w:val="clear" w:color="auto" w:fill="auto"/>
            <w:vAlign w:val="center"/>
          </w:tcPr>
          <w:p w:rsidR="00455F6E" w:rsidRPr="0041132C" w:rsidRDefault="00455F6E" w:rsidP="001445D8">
            <w:pPr>
              <w:pStyle w:val="TableText"/>
              <w:spacing w:after="0"/>
              <w:rPr>
                <w:szCs w:val="20"/>
              </w:rPr>
            </w:pPr>
          </w:p>
        </w:tc>
        <w:tc>
          <w:tcPr>
            <w:tcW w:w="733" w:type="pct"/>
            <w:vMerge/>
            <w:shd w:val="clear" w:color="auto" w:fill="auto"/>
          </w:tcPr>
          <w:p w:rsidR="00455F6E" w:rsidRPr="0041132C" w:rsidRDefault="00455F6E" w:rsidP="001445D8">
            <w:pPr>
              <w:pStyle w:val="TableText"/>
              <w:spacing w:after="0"/>
              <w:rPr>
                <w:szCs w:val="20"/>
              </w:rPr>
            </w:pPr>
          </w:p>
        </w:tc>
        <w:tc>
          <w:tcPr>
            <w:tcW w:w="1117" w:type="pct"/>
            <w:vMerge/>
            <w:shd w:val="clear" w:color="auto" w:fill="auto"/>
            <w:vAlign w:val="center"/>
          </w:tcPr>
          <w:p w:rsidR="00455F6E" w:rsidRPr="0041132C" w:rsidRDefault="00455F6E" w:rsidP="001445D8">
            <w:pPr>
              <w:pStyle w:val="TableText"/>
              <w:spacing w:after="0"/>
              <w:rPr>
                <w:szCs w:val="20"/>
              </w:rPr>
            </w:pPr>
          </w:p>
        </w:tc>
      </w:tr>
      <w:tr w:rsidR="00455F6E" w:rsidRPr="0041132C" w:rsidTr="002874E0">
        <w:tc>
          <w:tcPr>
            <w:tcW w:w="3883" w:type="pct"/>
            <w:gridSpan w:val="5"/>
            <w:shd w:val="clear" w:color="auto" w:fill="auto"/>
          </w:tcPr>
          <w:p w:rsidR="00455F6E" w:rsidRPr="0021253F" w:rsidRDefault="00455F6E" w:rsidP="001445D8">
            <w:pPr>
              <w:pStyle w:val="TableText"/>
              <w:spacing w:after="0"/>
              <w:rPr>
                <w:rFonts w:eastAsia="Times New Roman" w:cs="Times New Roman"/>
                <w:szCs w:val="20"/>
              </w:rPr>
            </w:pPr>
            <w:r w:rsidRPr="005348DF">
              <w:rPr>
                <w:b/>
                <w:szCs w:val="20"/>
              </w:rPr>
              <w:t xml:space="preserve">RCT - linking trials - Methotrexate </w:t>
            </w:r>
            <w:r w:rsidRPr="0021253F">
              <w:rPr>
                <w:b/>
                <w:szCs w:val="20"/>
              </w:rPr>
              <w:t>vs placebo (common reference)</w:t>
            </w:r>
          </w:p>
        </w:tc>
        <w:tc>
          <w:tcPr>
            <w:tcW w:w="1117" w:type="pct"/>
            <w:vMerge/>
            <w:shd w:val="clear" w:color="auto" w:fill="auto"/>
            <w:vAlign w:val="center"/>
          </w:tcPr>
          <w:p w:rsidR="00455F6E" w:rsidRPr="0041132C" w:rsidRDefault="00455F6E" w:rsidP="001445D8">
            <w:pPr>
              <w:pStyle w:val="TableText"/>
              <w:spacing w:after="0"/>
              <w:rPr>
                <w:rFonts w:eastAsia="Times New Roman" w:cs="Times New Roman"/>
                <w:szCs w:val="20"/>
              </w:rPr>
            </w:pPr>
          </w:p>
        </w:tc>
      </w:tr>
      <w:tr w:rsidR="00455F6E" w:rsidRPr="0041132C" w:rsidTr="002874E0">
        <w:trPr>
          <w:trHeight w:val="402"/>
        </w:trPr>
        <w:tc>
          <w:tcPr>
            <w:tcW w:w="569" w:type="pct"/>
            <w:vMerge w:val="restart"/>
            <w:shd w:val="clear" w:color="auto" w:fill="auto"/>
            <w:vAlign w:val="center"/>
          </w:tcPr>
          <w:p w:rsidR="00455F6E" w:rsidRPr="0021253F" w:rsidRDefault="00455F6E" w:rsidP="001445D8">
            <w:pPr>
              <w:pStyle w:val="TableText"/>
              <w:spacing w:after="0"/>
              <w:rPr>
                <w:rFonts w:eastAsia="Times New Roman" w:cs="Times New Roman"/>
                <w:szCs w:val="20"/>
                <w:vertAlign w:val="superscript"/>
              </w:rPr>
            </w:pPr>
            <w:r w:rsidRPr="005348DF">
              <w:rPr>
                <w:szCs w:val="20"/>
              </w:rPr>
              <w:t>Saurat 2008</w:t>
            </w:r>
            <w:r w:rsidRPr="0021253F">
              <w:rPr>
                <w:szCs w:val="20"/>
                <w:vertAlign w:val="superscript"/>
              </w:rPr>
              <w:t>a</w:t>
            </w:r>
          </w:p>
        </w:tc>
        <w:tc>
          <w:tcPr>
            <w:tcW w:w="698" w:type="pct"/>
            <w:shd w:val="clear" w:color="auto" w:fill="auto"/>
          </w:tcPr>
          <w:p w:rsidR="00455F6E" w:rsidRPr="0041132C" w:rsidRDefault="00455F6E" w:rsidP="001445D8">
            <w:pPr>
              <w:pStyle w:val="TableText"/>
              <w:spacing w:after="0"/>
              <w:rPr>
                <w:szCs w:val="20"/>
              </w:rPr>
            </w:pPr>
            <w:r w:rsidRPr="0041132C">
              <w:rPr>
                <w:szCs w:val="20"/>
              </w:rPr>
              <w:t xml:space="preserve">Methotrexate </w:t>
            </w:r>
            <w:r w:rsidR="004B3EC2" w:rsidRPr="0041132C">
              <w:rPr>
                <w:szCs w:val="20"/>
              </w:rPr>
              <w:t>–</w:t>
            </w:r>
            <w:r w:rsidRPr="0041132C">
              <w:rPr>
                <w:szCs w:val="20"/>
              </w:rPr>
              <w:t xml:space="preserve"> 110</w:t>
            </w:r>
          </w:p>
        </w:tc>
        <w:tc>
          <w:tcPr>
            <w:tcW w:w="1303" w:type="pct"/>
            <w:vMerge w:val="restart"/>
            <w:shd w:val="clear" w:color="auto" w:fill="auto"/>
            <w:vAlign w:val="center"/>
          </w:tcPr>
          <w:p w:rsidR="00455F6E" w:rsidRPr="0041132C" w:rsidRDefault="00455F6E" w:rsidP="001445D8">
            <w:pPr>
              <w:pStyle w:val="TableText"/>
              <w:spacing w:after="0"/>
              <w:rPr>
                <w:szCs w:val="20"/>
              </w:rPr>
            </w:pPr>
            <w:r w:rsidRPr="0041132C">
              <w:rPr>
                <w:szCs w:val="20"/>
              </w:rPr>
              <w:t>R, DB</w:t>
            </w:r>
          </w:p>
          <w:p w:rsidR="00455F6E" w:rsidRPr="0041132C" w:rsidRDefault="00455F6E" w:rsidP="001445D8">
            <w:pPr>
              <w:pStyle w:val="TableText"/>
              <w:spacing w:after="0"/>
              <w:rPr>
                <w:szCs w:val="20"/>
              </w:rPr>
            </w:pPr>
            <w:r w:rsidRPr="0041132C">
              <w:rPr>
                <w:szCs w:val="20"/>
              </w:rPr>
              <w:t>16 weeks of treatment with no further follow-up indicated</w:t>
            </w:r>
          </w:p>
        </w:tc>
        <w:tc>
          <w:tcPr>
            <w:tcW w:w="580" w:type="pct"/>
            <w:vMerge w:val="restart"/>
            <w:shd w:val="clear" w:color="auto" w:fill="auto"/>
          </w:tcPr>
          <w:p w:rsidR="00455F6E" w:rsidRPr="0041132C" w:rsidRDefault="00455F6E" w:rsidP="001445D8">
            <w:pPr>
              <w:pStyle w:val="TableText"/>
              <w:spacing w:after="0"/>
              <w:rPr>
                <w:szCs w:val="20"/>
              </w:rPr>
            </w:pPr>
            <w:r w:rsidRPr="0041132C">
              <w:rPr>
                <w:szCs w:val="20"/>
              </w:rPr>
              <w:t>Low</w:t>
            </w:r>
          </w:p>
        </w:tc>
        <w:tc>
          <w:tcPr>
            <w:tcW w:w="733" w:type="pct"/>
            <w:vMerge w:val="restart"/>
            <w:shd w:val="clear" w:color="auto" w:fill="auto"/>
          </w:tcPr>
          <w:p w:rsidR="00455F6E" w:rsidRPr="0041132C" w:rsidRDefault="00455F6E" w:rsidP="001445D8">
            <w:pPr>
              <w:pStyle w:val="TableText"/>
              <w:spacing w:after="0"/>
              <w:rPr>
                <w:szCs w:val="20"/>
              </w:rPr>
            </w:pPr>
            <w:r w:rsidRPr="0041132C">
              <w:rPr>
                <w:rStyle w:val="Small"/>
                <w:rFonts w:ascii="Arial Narrow" w:eastAsiaTheme="majorEastAsia" w:hAnsi="Arial Narrow"/>
                <w:szCs w:val="20"/>
              </w:rPr>
              <w:t>Adults with</w:t>
            </w:r>
            <w:r w:rsidRPr="0041132C">
              <w:rPr>
                <w:rStyle w:val="Small"/>
                <w:rFonts w:ascii="Arial Narrow" w:eastAsiaTheme="majorEastAsia" w:hAnsi="Arial Narrow"/>
                <w:b/>
                <w:szCs w:val="20"/>
              </w:rPr>
              <w:t xml:space="preserve"> PASI of ≥ 10</w:t>
            </w:r>
            <w:r w:rsidRPr="0041132C">
              <w:rPr>
                <w:rStyle w:val="Small"/>
                <w:rFonts w:ascii="Arial Narrow" w:eastAsiaTheme="majorEastAsia" w:hAnsi="Arial Narrow"/>
                <w:szCs w:val="20"/>
              </w:rPr>
              <w:t>.</w:t>
            </w:r>
          </w:p>
        </w:tc>
        <w:tc>
          <w:tcPr>
            <w:tcW w:w="1117" w:type="pct"/>
            <w:vMerge/>
            <w:shd w:val="clear" w:color="auto" w:fill="auto"/>
            <w:vAlign w:val="center"/>
          </w:tcPr>
          <w:p w:rsidR="00455F6E" w:rsidRPr="0041132C" w:rsidRDefault="00455F6E" w:rsidP="001445D8">
            <w:pPr>
              <w:pStyle w:val="TableText"/>
              <w:spacing w:after="0"/>
              <w:rPr>
                <w:szCs w:val="20"/>
              </w:rPr>
            </w:pPr>
          </w:p>
        </w:tc>
      </w:tr>
      <w:tr w:rsidR="00455F6E" w:rsidRPr="0041132C" w:rsidTr="00455F6E">
        <w:trPr>
          <w:trHeight w:val="402"/>
        </w:trPr>
        <w:tc>
          <w:tcPr>
            <w:tcW w:w="569" w:type="pct"/>
            <w:vMerge/>
            <w:shd w:val="clear" w:color="auto" w:fill="auto"/>
            <w:vAlign w:val="center"/>
          </w:tcPr>
          <w:p w:rsidR="00455F6E" w:rsidRPr="0041132C" w:rsidRDefault="00455F6E" w:rsidP="001445D8">
            <w:pPr>
              <w:pStyle w:val="TableText"/>
              <w:spacing w:after="0"/>
              <w:rPr>
                <w:szCs w:val="20"/>
              </w:rPr>
            </w:pPr>
          </w:p>
        </w:tc>
        <w:tc>
          <w:tcPr>
            <w:tcW w:w="698" w:type="pct"/>
            <w:shd w:val="clear" w:color="auto" w:fill="auto"/>
          </w:tcPr>
          <w:p w:rsidR="00455F6E" w:rsidRPr="0041132C" w:rsidRDefault="00455F6E" w:rsidP="001445D8">
            <w:pPr>
              <w:pStyle w:val="TableText"/>
              <w:spacing w:after="0"/>
              <w:rPr>
                <w:szCs w:val="20"/>
              </w:rPr>
            </w:pPr>
            <w:r w:rsidRPr="0041132C">
              <w:rPr>
                <w:szCs w:val="20"/>
              </w:rPr>
              <w:t>Placebo - 53</w:t>
            </w:r>
          </w:p>
        </w:tc>
        <w:tc>
          <w:tcPr>
            <w:tcW w:w="1303" w:type="pct"/>
            <w:vMerge/>
            <w:shd w:val="clear" w:color="auto" w:fill="auto"/>
            <w:vAlign w:val="center"/>
          </w:tcPr>
          <w:p w:rsidR="00455F6E" w:rsidRPr="0041132C" w:rsidRDefault="00455F6E" w:rsidP="001445D8">
            <w:pPr>
              <w:pStyle w:val="TableText"/>
              <w:spacing w:after="0"/>
              <w:rPr>
                <w:szCs w:val="20"/>
              </w:rPr>
            </w:pPr>
          </w:p>
        </w:tc>
        <w:tc>
          <w:tcPr>
            <w:tcW w:w="580" w:type="pct"/>
            <w:vMerge/>
            <w:shd w:val="clear" w:color="auto" w:fill="auto"/>
            <w:vAlign w:val="center"/>
          </w:tcPr>
          <w:p w:rsidR="00455F6E" w:rsidRPr="0041132C" w:rsidRDefault="00455F6E" w:rsidP="001445D8">
            <w:pPr>
              <w:pStyle w:val="TableText"/>
              <w:spacing w:after="0"/>
              <w:rPr>
                <w:szCs w:val="20"/>
              </w:rPr>
            </w:pPr>
          </w:p>
        </w:tc>
        <w:tc>
          <w:tcPr>
            <w:tcW w:w="733" w:type="pct"/>
            <w:vMerge/>
            <w:shd w:val="clear" w:color="auto" w:fill="auto"/>
            <w:vAlign w:val="center"/>
          </w:tcPr>
          <w:p w:rsidR="00455F6E" w:rsidRPr="0041132C" w:rsidRDefault="00455F6E" w:rsidP="001445D8">
            <w:pPr>
              <w:pStyle w:val="TableText"/>
              <w:spacing w:after="0"/>
              <w:rPr>
                <w:szCs w:val="20"/>
              </w:rPr>
            </w:pPr>
          </w:p>
        </w:tc>
        <w:tc>
          <w:tcPr>
            <w:tcW w:w="1117" w:type="pct"/>
            <w:vMerge/>
            <w:shd w:val="clear" w:color="auto" w:fill="auto"/>
            <w:vAlign w:val="center"/>
          </w:tcPr>
          <w:p w:rsidR="00455F6E" w:rsidRPr="0041132C" w:rsidRDefault="00455F6E" w:rsidP="001445D8">
            <w:pPr>
              <w:pStyle w:val="TableText"/>
              <w:spacing w:after="0"/>
              <w:rPr>
                <w:szCs w:val="20"/>
              </w:rPr>
            </w:pPr>
          </w:p>
        </w:tc>
      </w:tr>
      <w:tr w:rsidR="00E136F6" w:rsidRPr="0041132C" w:rsidTr="00E136F6">
        <w:tc>
          <w:tcPr>
            <w:tcW w:w="5000" w:type="pct"/>
            <w:gridSpan w:val="6"/>
            <w:shd w:val="clear" w:color="auto" w:fill="auto"/>
            <w:vAlign w:val="center"/>
          </w:tcPr>
          <w:p w:rsidR="00E136F6" w:rsidRPr="0041132C" w:rsidRDefault="00E136F6" w:rsidP="001445D8">
            <w:pPr>
              <w:pStyle w:val="TableText"/>
              <w:spacing w:after="0"/>
              <w:rPr>
                <w:szCs w:val="20"/>
              </w:rPr>
            </w:pPr>
            <w:r w:rsidRPr="005348DF">
              <w:rPr>
                <w:b/>
                <w:szCs w:val="20"/>
              </w:rPr>
              <w:t>RCT - linking trials - Cyclosporin vs methotrexate</w:t>
            </w:r>
            <w:r w:rsidRPr="0021253F">
              <w:rPr>
                <w:szCs w:val="20"/>
              </w:rPr>
              <w:t xml:space="preserve"> </w:t>
            </w:r>
            <w:r w:rsidRPr="0021253F">
              <w:rPr>
                <w:b/>
                <w:szCs w:val="20"/>
              </w:rPr>
              <w:t>(common reference)</w:t>
            </w:r>
          </w:p>
        </w:tc>
      </w:tr>
      <w:tr w:rsidR="00E136F6" w:rsidRPr="0041132C" w:rsidTr="002874E0">
        <w:trPr>
          <w:trHeight w:val="612"/>
        </w:trPr>
        <w:tc>
          <w:tcPr>
            <w:tcW w:w="569" w:type="pct"/>
            <w:vMerge w:val="restart"/>
            <w:shd w:val="clear" w:color="auto" w:fill="auto"/>
            <w:vAlign w:val="center"/>
          </w:tcPr>
          <w:p w:rsidR="00D154B6" w:rsidRPr="0021253F" w:rsidRDefault="00D154B6" w:rsidP="001445D8">
            <w:pPr>
              <w:pStyle w:val="TableText"/>
              <w:spacing w:after="0"/>
              <w:rPr>
                <w:szCs w:val="20"/>
              </w:rPr>
            </w:pPr>
            <w:r w:rsidRPr="005348DF">
              <w:rPr>
                <w:szCs w:val="20"/>
              </w:rPr>
              <w:t>Heyden</w:t>
            </w:r>
            <w:r w:rsidRPr="0021253F">
              <w:rPr>
                <w:szCs w:val="20"/>
              </w:rPr>
              <w:t>dael 2003</w:t>
            </w:r>
          </w:p>
        </w:tc>
        <w:tc>
          <w:tcPr>
            <w:tcW w:w="698" w:type="pct"/>
            <w:shd w:val="clear" w:color="auto" w:fill="auto"/>
          </w:tcPr>
          <w:p w:rsidR="00D154B6" w:rsidRPr="0041132C" w:rsidRDefault="00E136F6" w:rsidP="001445D8">
            <w:pPr>
              <w:pStyle w:val="TableText"/>
              <w:spacing w:after="0"/>
              <w:rPr>
                <w:szCs w:val="20"/>
              </w:rPr>
            </w:pPr>
            <w:r w:rsidRPr="0041132C">
              <w:rPr>
                <w:szCs w:val="20"/>
              </w:rPr>
              <w:t xml:space="preserve">Cyclosporin </w:t>
            </w:r>
            <w:r w:rsidR="00D154B6" w:rsidRPr="0041132C">
              <w:rPr>
                <w:szCs w:val="20"/>
              </w:rPr>
              <w:t>-</w:t>
            </w:r>
            <w:r w:rsidRPr="0041132C">
              <w:rPr>
                <w:szCs w:val="20"/>
              </w:rPr>
              <w:t xml:space="preserve"> </w:t>
            </w:r>
            <w:r w:rsidR="00D154B6" w:rsidRPr="0041132C">
              <w:rPr>
                <w:szCs w:val="20"/>
              </w:rPr>
              <w:t>44</w:t>
            </w:r>
          </w:p>
        </w:tc>
        <w:tc>
          <w:tcPr>
            <w:tcW w:w="1303" w:type="pct"/>
            <w:vMerge w:val="restart"/>
            <w:shd w:val="clear" w:color="auto" w:fill="auto"/>
          </w:tcPr>
          <w:p w:rsidR="00D154B6" w:rsidRPr="0041132C" w:rsidRDefault="00D154B6" w:rsidP="001445D8">
            <w:pPr>
              <w:pStyle w:val="TableText"/>
              <w:spacing w:after="0"/>
              <w:rPr>
                <w:szCs w:val="20"/>
              </w:rPr>
            </w:pPr>
            <w:r w:rsidRPr="0041132C">
              <w:rPr>
                <w:szCs w:val="20"/>
              </w:rPr>
              <w:t>R, OL</w:t>
            </w:r>
          </w:p>
          <w:p w:rsidR="00D154B6" w:rsidRPr="0041132C" w:rsidRDefault="00D154B6" w:rsidP="001445D8">
            <w:pPr>
              <w:pStyle w:val="TableText"/>
              <w:spacing w:after="0"/>
              <w:rPr>
                <w:szCs w:val="20"/>
              </w:rPr>
            </w:pPr>
            <w:r w:rsidRPr="0041132C">
              <w:rPr>
                <w:szCs w:val="20"/>
              </w:rPr>
              <w:t>16 weeks treatment with another 36 weeks follow-up</w:t>
            </w:r>
          </w:p>
        </w:tc>
        <w:tc>
          <w:tcPr>
            <w:tcW w:w="580" w:type="pct"/>
            <w:vMerge w:val="restart"/>
            <w:shd w:val="clear" w:color="auto" w:fill="auto"/>
          </w:tcPr>
          <w:p w:rsidR="00D154B6" w:rsidRPr="0041132C" w:rsidRDefault="007D69DF" w:rsidP="001445D8">
            <w:pPr>
              <w:pStyle w:val="TableText"/>
              <w:spacing w:after="0"/>
              <w:rPr>
                <w:szCs w:val="20"/>
              </w:rPr>
            </w:pPr>
            <w:r w:rsidRPr="0041132C">
              <w:rPr>
                <w:szCs w:val="20"/>
              </w:rPr>
              <w:t xml:space="preserve"> High</w:t>
            </w:r>
          </w:p>
        </w:tc>
        <w:tc>
          <w:tcPr>
            <w:tcW w:w="733" w:type="pct"/>
            <w:vMerge w:val="restart"/>
            <w:shd w:val="clear" w:color="auto" w:fill="auto"/>
          </w:tcPr>
          <w:p w:rsidR="00D154B6" w:rsidRPr="0041132C" w:rsidRDefault="00D154B6" w:rsidP="001445D8">
            <w:pPr>
              <w:pStyle w:val="TableText"/>
              <w:spacing w:after="0"/>
              <w:rPr>
                <w:szCs w:val="20"/>
              </w:rPr>
            </w:pPr>
            <w:r w:rsidRPr="0041132C">
              <w:rPr>
                <w:rStyle w:val="Small"/>
                <w:rFonts w:ascii="Arial Narrow" w:eastAsiaTheme="majorEastAsia" w:hAnsi="Arial Narrow"/>
                <w:szCs w:val="20"/>
              </w:rPr>
              <w:t>Adults with at</w:t>
            </w:r>
            <w:r w:rsidRPr="0041132C">
              <w:rPr>
                <w:rStyle w:val="Small"/>
                <w:rFonts w:ascii="Arial Narrow" w:eastAsiaTheme="majorEastAsia" w:hAnsi="Arial Narrow"/>
                <w:b/>
                <w:szCs w:val="20"/>
              </w:rPr>
              <w:t xml:space="preserve"> least 8 on the PASI</w:t>
            </w:r>
          </w:p>
        </w:tc>
        <w:tc>
          <w:tcPr>
            <w:tcW w:w="1117" w:type="pct"/>
            <w:vMerge w:val="restart"/>
            <w:shd w:val="clear" w:color="auto" w:fill="auto"/>
            <w:vAlign w:val="center"/>
          </w:tcPr>
          <w:p w:rsidR="00D154B6" w:rsidRPr="0041132C" w:rsidRDefault="00D154B6" w:rsidP="001445D8">
            <w:pPr>
              <w:pStyle w:val="TableText"/>
              <w:spacing w:after="0"/>
              <w:rPr>
                <w:szCs w:val="20"/>
              </w:rPr>
            </w:pPr>
            <w:r w:rsidRPr="0041132C">
              <w:rPr>
                <w:szCs w:val="20"/>
              </w:rPr>
              <w:t>Main outcome: difference in PASI score at week 16. Secondary outcome: proportion of patients who achieved a PASI-75.</w:t>
            </w:r>
          </w:p>
        </w:tc>
      </w:tr>
      <w:tr w:rsidR="00E136F6" w:rsidRPr="0041132C" w:rsidTr="00455F6E">
        <w:trPr>
          <w:trHeight w:val="612"/>
        </w:trPr>
        <w:tc>
          <w:tcPr>
            <w:tcW w:w="569" w:type="pct"/>
            <w:vMerge/>
            <w:shd w:val="clear" w:color="auto" w:fill="auto"/>
            <w:vAlign w:val="center"/>
          </w:tcPr>
          <w:p w:rsidR="00D154B6" w:rsidRPr="0041132C" w:rsidRDefault="00D154B6" w:rsidP="001445D8">
            <w:pPr>
              <w:pStyle w:val="TableText"/>
              <w:spacing w:after="0"/>
            </w:pPr>
          </w:p>
        </w:tc>
        <w:tc>
          <w:tcPr>
            <w:tcW w:w="698" w:type="pct"/>
            <w:shd w:val="clear" w:color="auto" w:fill="auto"/>
          </w:tcPr>
          <w:p w:rsidR="00D154B6" w:rsidRPr="0041132C" w:rsidRDefault="00E136F6" w:rsidP="001445D8">
            <w:pPr>
              <w:pStyle w:val="TableText"/>
              <w:spacing w:after="0"/>
            </w:pPr>
            <w:r w:rsidRPr="0041132C">
              <w:t>Methotrexate</w:t>
            </w:r>
            <w:r w:rsidR="00D154B6" w:rsidRPr="0041132C">
              <w:t xml:space="preserve"> </w:t>
            </w:r>
            <w:r w:rsidR="004B3EC2" w:rsidRPr="0041132C">
              <w:t>–</w:t>
            </w:r>
            <w:r w:rsidR="00D154B6" w:rsidRPr="0041132C">
              <w:t xml:space="preserve"> 44</w:t>
            </w:r>
          </w:p>
        </w:tc>
        <w:tc>
          <w:tcPr>
            <w:tcW w:w="1303" w:type="pct"/>
            <w:vMerge/>
            <w:shd w:val="clear" w:color="auto" w:fill="auto"/>
          </w:tcPr>
          <w:p w:rsidR="00D154B6" w:rsidRPr="0041132C" w:rsidRDefault="00D154B6" w:rsidP="001445D8">
            <w:pPr>
              <w:pStyle w:val="TableText"/>
              <w:spacing w:after="0"/>
            </w:pPr>
          </w:p>
        </w:tc>
        <w:tc>
          <w:tcPr>
            <w:tcW w:w="580" w:type="pct"/>
            <w:vMerge/>
            <w:shd w:val="clear" w:color="auto" w:fill="auto"/>
            <w:vAlign w:val="center"/>
          </w:tcPr>
          <w:p w:rsidR="00D154B6" w:rsidRPr="0041132C" w:rsidRDefault="00D154B6" w:rsidP="001445D8">
            <w:pPr>
              <w:pStyle w:val="TableText"/>
              <w:spacing w:after="0"/>
            </w:pPr>
          </w:p>
        </w:tc>
        <w:tc>
          <w:tcPr>
            <w:tcW w:w="733" w:type="pct"/>
            <w:vMerge/>
            <w:shd w:val="clear" w:color="auto" w:fill="auto"/>
            <w:vAlign w:val="center"/>
          </w:tcPr>
          <w:p w:rsidR="00D154B6" w:rsidRPr="0041132C" w:rsidRDefault="00D154B6" w:rsidP="001445D8">
            <w:pPr>
              <w:pStyle w:val="TableText"/>
              <w:spacing w:after="0"/>
            </w:pPr>
          </w:p>
        </w:tc>
        <w:tc>
          <w:tcPr>
            <w:tcW w:w="1117" w:type="pct"/>
            <w:vMerge/>
            <w:shd w:val="clear" w:color="auto" w:fill="auto"/>
            <w:vAlign w:val="center"/>
          </w:tcPr>
          <w:p w:rsidR="00D154B6" w:rsidRPr="0041132C" w:rsidRDefault="00D154B6" w:rsidP="001445D8">
            <w:pPr>
              <w:pStyle w:val="TableText"/>
              <w:spacing w:after="0"/>
            </w:pPr>
          </w:p>
        </w:tc>
      </w:tr>
    </w:tbl>
    <w:p w:rsidR="00E73D23" w:rsidRPr="0021253F" w:rsidRDefault="00C317F3" w:rsidP="001445D8">
      <w:pPr>
        <w:pStyle w:val="TableFooter"/>
        <w:spacing w:after="0"/>
      </w:pPr>
      <w:r w:rsidRPr="005348DF">
        <w:t>Source: compiled during the evaluation</w:t>
      </w:r>
    </w:p>
    <w:p w:rsidR="00E73D23" w:rsidRPr="0041132C" w:rsidRDefault="00E73D23" w:rsidP="001445D8">
      <w:pPr>
        <w:pStyle w:val="TableFooter"/>
        <w:spacing w:after="0"/>
      </w:pPr>
      <w:r w:rsidRPr="0041132C">
        <w:t xml:space="preserve">DB = double blind; OL = open label; PASI = psoriasis area </w:t>
      </w:r>
      <w:r w:rsidR="003A58D3" w:rsidRPr="0041132C">
        <w:t xml:space="preserve">and </w:t>
      </w:r>
      <w:r w:rsidRPr="0041132C">
        <w:t xml:space="preserve">severity index; PASI-75 = 75% reduction in psoriasis area </w:t>
      </w:r>
      <w:r w:rsidR="003A58D3" w:rsidRPr="0041132C">
        <w:t xml:space="preserve">and </w:t>
      </w:r>
      <w:r w:rsidRPr="0041132C">
        <w:t>severity index; R = randomised controlled trial</w:t>
      </w:r>
    </w:p>
    <w:p w:rsidR="00C317F3" w:rsidRPr="0041132C" w:rsidRDefault="00E73D23" w:rsidP="001445D8">
      <w:pPr>
        <w:pStyle w:val="TableFooter"/>
        <w:spacing w:after="0"/>
      </w:pPr>
      <w:r w:rsidRPr="0041132C">
        <w:rPr>
          <w:vertAlign w:val="superscript"/>
        </w:rPr>
        <w:t>a</w:t>
      </w:r>
      <w:r w:rsidRPr="0041132C">
        <w:t xml:space="preserve"> included an adalimumab arm</w:t>
      </w:r>
    </w:p>
    <w:p w:rsidR="00C317F3" w:rsidRPr="0041132C" w:rsidRDefault="00C317F3" w:rsidP="005348DF">
      <w:pPr>
        <w:pStyle w:val="Heading2"/>
        <w:rPr>
          <w:i w:val="0"/>
        </w:rPr>
      </w:pPr>
      <w:bookmarkStart w:id="15" w:name="_Toc413139278"/>
      <w:bookmarkStart w:id="16" w:name="_Toc493165614"/>
      <w:r w:rsidRPr="0041132C">
        <w:rPr>
          <w:i w:val="0"/>
        </w:rPr>
        <w:t>Comparative effectiveness</w:t>
      </w:r>
      <w:bookmarkEnd w:id="15"/>
      <w:bookmarkEnd w:id="16"/>
      <w:r w:rsidRPr="0041132C">
        <w:rPr>
          <w:i w:val="0"/>
        </w:rPr>
        <w:t xml:space="preserve"> </w:t>
      </w:r>
    </w:p>
    <w:p w:rsidR="00E136F6" w:rsidRPr="0041132C" w:rsidRDefault="00E2151A">
      <w:pPr>
        <w:pStyle w:val="ListParagraph"/>
        <w:numPr>
          <w:ilvl w:val="1"/>
          <w:numId w:val="3"/>
        </w:numPr>
        <w:spacing w:before="0" w:after="120"/>
        <w:ind w:left="709"/>
        <w:contextualSpacing/>
        <w:jc w:val="both"/>
      </w:pPr>
      <w:r w:rsidRPr="0041132C">
        <w:t xml:space="preserve">In the March 2015 submission, the result from the indirect </w:t>
      </w:r>
      <w:r w:rsidR="00F226AD" w:rsidRPr="0041132C">
        <w:t>comparison</w:t>
      </w:r>
      <w:r w:rsidRPr="0041132C">
        <w:t xml:space="preserve"> of apremilast versus cyclosporin was </w:t>
      </w:r>
      <w:r w:rsidR="00F226AD" w:rsidRPr="0041132C">
        <w:t>a relative risk ratio of 0.94 (95% CI: 0.22, 4.12) for the key outcome of PASI-75. The</w:t>
      </w:r>
      <w:r w:rsidRPr="0041132C">
        <w:t xml:space="preserve"> </w:t>
      </w:r>
      <w:r w:rsidR="00F226AD" w:rsidRPr="0041132C">
        <w:t xml:space="preserve">pooled result from the November 2016 resubmission for the meta-analysis of apremilast versus cyclosporin was a relative risk ratio of </w:t>
      </w:r>
      <w:r w:rsidR="000520EF" w:rsidRPr="0041132C">
        <w:t>0.81</w:t>
      </w:r>
      <w:r w:rsidR="00F226AD" w:rsidRPr="0041132C">
        <w:t xml:space="preserve"> (95% CI: </w:t>
      </w:r>
      <w:r w:rsidR="000520EF" w:rsidRPr="0041132C">
        <w:t>0.19, 3.52</w:t>
      </w:r>
      <w:r w:rsidR="00F226AD" w:rsidRPr="0041132C">
        <w:t>)</w:t>
      </w:r>
      <w:r w:rsidR="00F7205E" w:rsidRPr="0041132C">
        <w:t xml:space="preserve">. </w:t>
      </w:r>
      <w:r w:rsidR="00E136F6" w:rsidRPr="0041132C">
        <w:t>The</w:t>
      </w:r>
      <w:r w:rsidR="00CE382E" w:rsidRPr="0041132C">
        <w:t xml:space="preserve"> current</w:t>
      </w:r>
      <w:r w:rsidR="00E136F6" w:rsidRPr="0041132C">
        <w:t xml:space="preserve"> results for the PASI-75 outcome measures at 16 weeks post induction </w:t>
      </w:r>
      <w:r w:rsidR="00A96A56" w:rsidRPr="0041132C">
        <w:t xml:space="preserve">for the whole trial population across the included studies </w:t>
      </w:r>
      <w:r w:rsidR="00E136F6" w:rsidRPr="0041132C">
        <w:t xml:space="preserve">are presented in </w:t>
      </w:r>
      <w:r w:rsidR="009F4902" w:rsidRPr="0041132C">
        <w:t>the t</w:t>
      </w:r>
      <w:r w:rsidR="00E136F6" w:rsidRPr="0041132C">
        <w:t>able below.</w:t>
      </w:r>
    </w:p>
    <w:p w:rsidR="00D11FFE" w:rsidRPr="0041132C" w:rsidRDefault="00D11FFE" w:rsidP="001445D8">
      <w:pPr>
        <w:pStyle w:val="BodyText"/>
        <w:keepNext/>
        <w:spacing w:after="120"/>
        <w:rPr>
          <w:rFonts w:ascii="Arial Narrow" w:eastAsiaTheme="minorHAnsi" w:hAnsi="Arial Narrow"/>
          <w:b/>
          <w:snapToGrid/>
          <w:sz w:val="20"/>
        </w:rPr>
      </w:pPr>
      <w:r w:rsidRPr="0041132C">
        <w:rPr>
          <w:rFonts w:ascii="Arial Narrow" w:eastAsiaTheme="minorHAnsi" w:hAnsi="Arial Narrow"/>
          <w:b/>
          <w:snapToGrid/>
          <w:sz w:val="20"/>
        </w:rPr>
        <w:t xml:space="preserve">Table </w:t>
      </w:r>
      <w:r w:rsidR="00860601" w:rsidRPr="0041132C">
        <w:rPr>
          <w:rFonts w:ascii="Arial Narrow" w:eastAsiaTheme="minorHAnsi" w:hAnsi="Arial Narrow"/>
          <w:b/>
          <w:snapToGrid/>
          <w:sz w:val="20"/>
        </w:rPr>
        <w:t>8</w:t>
      </w:r>
      <w:r w:rsidRPr="0041132C">
        <w:rPr>
          <w:rFonts w:ascii="Arial Narrow" w:eastAsiaTheme="minorHAnsi" w:hAnsi="Arial Narrow"/>
          <w:b/>
          <w:snapToGrid/>
          <w:sz w:val="20"/>
        </w:rPr>
        <w:t xml:space="preserve">: Results of PASI-75 across the studies at 16 weeks </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714"/>
        <w:gridCol w:w="1478"/>
        <w:gridCol w:w="1932"/>
        <w:gridCol w:w="1721"/>
      </w:tblGrid>
      <w:tr w:rsidR="00D11FFE" w:rsidRPr="0041132C" w:rsidTr="00105CFC">
        <w:trPr>
          <w:tblHeader/>
        </w:trPr>
        <w:tc>
          <w:tcPr>
            <w:tcW w:w="1234"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Trial ID</w:t>
            </w:r>
          </w:p>
        </w:tc>
        <w:tc>
          <w:tcPr>
            <w:tcW w:w="94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Proposed drug</w:t>
            </w:r>
          </w:p>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 xml:space="preserve"> n/N (%)</w:t>
            </w:r>
          </w:p>
        </w:tc>
        <w:tc>
          <w:tcPr>
            <w:tcW w:w="81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Main comparator</w:t>
            </w:r>
          </w:p>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 xml:space="preserve"> n/N (%)</w:t>
            </w:r>
          </w:p>
        </w:tc>
        <w:tc>
          <w:tcPr>
            <w:tcW w:w="106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Relative risk (95% CI)</w:t>
            </w:r>
          </w:p>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(apremilast/placebo)</w:t>
            </w:r>
          </w:p>
        </w:tc>
        <w:tc>
          <w:tcPr>
            <w:tcW w:w="947"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Risk difference (95% CI) (apremilast - placebo)</w:t>
            </w:r>
          </w:p>
        </w:tc>
      </w:tr>
      <w:tr w:rsidR="00D11FFE" w:rsidRPr="0041132C" w:rsidTr="00614C89">
        <w:trPr>
          <w:tblHeader/>
        </w:trPr>
        <w:tc>
          <w:tcPr>
            <w:tcW w:w="5000" w:type="pct"/>
            <w:gridSpan w:val="5"/>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Apremilast versus placebo</w:t>
            </w:r>
          </w:p>
        </w:tc>
      </w:tr>
      <w:tr w:rsidR="00D11FFE" w:rsidRPr="0041132C" w:rsidTr="00105CFC">
        <w:tc>
          <w:tcPr>
            <w:tcW w:w="1234" w:type="pct"/>
          </w:tcPr>
          <w:p w:rsidR="00D11FFE" w:rsidRPr="0041132C" w:rsidRDefault="00D11FFE" w:rsidP="001445D8">
            <w:pPr>
              <w:keepNext/>
              <w:spacing w:before="40" w:after="0"/>
              <w:rPr>
                <w:rFonts w:ascii="Arial Narrow" w:hAnsi="Arial Narrow"/>
                <w:sz w:val="20"/>
                <w:szCs w:val="20"/>
              </w:rPr>
            </w:pPr>
          </w:p>
        </w:tc>
        <w:tc>
          <w:tcPr>
            <w:tcW w:w="94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Apremilast</w:t>
            </w:r>
          </w:p>
        </w:tc>
        <w:tc>
          <w:tcPr>
            <w:tcW w:w="81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Placebo</w:t>
            </w:r>
          </w:p>
        </w:tc>
        <w:tc>
          <w:tcPr>
            <w:tcW w:w="1063" w:type="pct"/>
          </w:tcPr>
          <w:p w:rsidR="00D11FFE" w:rsidRPr="0041132C" w:rsidRDefault="00D11FFE" w:rsidP="001445D8">
            <w:pPr>
              <w:keepNext/>
              <w:spacing w:before="40" w:after="0"/>
              <w:rPr>
                <w:rFonts w:ascii="Arial Narrow" w:hAnsi="Arial Narrow"/>
                <w:sz w:val="20"/>
                <w:szCs w:val="20"/>
              </w:rPr>
            </w:pPr>
          </w:p>
        </w:tc>
        <w:tc>
          <w:tcPr>
            <w:tcW w:w="947" w:type="pct"/>
          </w:tcPr>
          <w:p w:rsidR="00D11FFE" w:rsidRPr="0041132C" w:rsidRDefault="00D11FFE" w:rsidP="001445D8">
            <w:pPr>
              <w:keepNext/>
              <w:spacing w:before="40" w:after="0"/>
              <w:rPr>
                <w:rFonts w:ascii="Arial Narrow" w:hAnsi="Arial Narrow"/>
                <w:sz w:val="20"/>
                <w:szCs w:val="20"/>
              </w:rPr>
            </w:pPr>
          </w:p>
        </w:tc>
      </w:tr>
      <w:tr w:rsidR="00D11FFE" w:rsidRPr="0041132C" w:rsidTr="00105CFC">
        <w:tc>
          <w:tcPr>
            <w:tcW w:w="1234" w:type="pct"/>
          </w:tcPr>
          <w:p w:rsidR="00D11FFE" w:rsidRPr="0041132C" w:rsidRDefault="00D11FFE" w:rsidP="001445D8">
            <w:pPr>
              <w:keepNext/>
              <w:spacing w:before="40" w:after="0"/>
              <w:rPr>
                <w:rFonts w:ascii="Arial Narrow" w:hAnsi="Arial Narrow" w:cs="Times New Roman"/>
                <w:sz w:val="20"/>
                <w:szCs w:val="20"/>
              </w:rPr>
            </w:pPr>
            <w:r w:rsidRPr="0041132C">
              <w:rPr>
                <w:rFonts w:ascii="Arial Narrow" w:hAnsi="Arial Narrow" w:cs="Times New Roman"/>
                <w:sz w:val="20"/>
                <w:szCs w:val="20"/>
              </w:rPr>
              <w:t>CORE</w:t>
            </w:r>
          </w:p>
        </w:tc>
        <w:tc>
          <w:tcPr>
            <w:tcW w:w="94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sz w:val="20"/>
                <w:szCs w:val="20"/>
              </w:rPr>
              <w:t>36/88 (40.1%)</w:t>
            </w:r>
          </w:p>
        </w:tc>
        <w:tc>
          <w:tcPr>
            <w:tcW w:w="81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sz w:val="20"/>
                <w:szCs w:val="20"/>
              </w:rPr>
              <w:t>5/88 (5.7%)</w:t>
            </w:r>
          </w:p>
        </w:tc>
        <w:tc>
          <w:tcPr>
            <w:tcW w:w="106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iCs/>
                <w:sz w:val="20"/>
                <w:szCs w:val="20"/>
              </w:rPr>
              <w:t>7.20 (2.96, 17.49)</w:t>
            </w:r>
          </w:p>
        </w:tc>
        <w:tc>
          <w:tcPr>
            <w:tcW w:w="947"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iCs/>
                <w:sz w:val="20"/>
                <w:szCs w:val="20"/>
              </w:rPr>
              <w:t>0.35 (0.24, 0.47)</w:t>
            </w:r>
          </w:p>
        </w:tc>
      </w:tr>
      <w:tr w:rsidR="00D11FFE" w:rsidRPr="0041132C" w:rsidTr="00105CFC">
        <w:tc>
          <w:tcPr>
            <w:tcW w:w="1234"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Times New Roman"/>
                <w:sz w:val="20"/>
                <w:szCs w:val="20"/>
              </w:rPr>
              <w:t>ESTEEM -1</w:t>
            </w:r>
          </w:p>
        </w:tc>
        <w:tc>
          <w:tcPr>
            <w:tcW w:w="94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sz w:val="20"/>
                <w:szCs w:val="20"/>
              </w:rPr>
              <w:t>186/562 (33.1%)</w:t>
            </w:r>
          </w:p>
        </w:tc>
        <w:tc>
          <w:tcPr>
            <w:tcW w:w="81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sz w:val="20"/>
                <w:szCs w:val="20"/>
              </w:rPr>
              <w:t>15/282 (5.3%)</w:t>
            </w:r>
          </w:p>
        </w:tc>
        <w:tc>
          <w:tcPr>
            <w:tcW w:w="106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iCs/>
                <w:sz w:val="20"/>
                <w:szCs w:val="20"/>
              </w:rPr>
              <w:t>6.22 (3.75, 10.32)</w:t>
            </w:r>
          </w:p>
        </w:tc>
        <w:tc>
          <w:tcPr>
            <w:tcW w:w="947"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sz w:val="20"/>
                <w:szCs w:val="20"/>
              </w:rPr>
              <w:t>0.28 (0.23, 0.32)</w:t>
            </w:r>
          </w:p>
        </w:tc>
      </w:tr>
      <w:tr w:rsidR="00D11FFE" w:rsidRPr="0041132C" w:rsidTr="00105CFC">
        <w:tc>
          <w:tcPr>
            <w:tcW w:w="1234"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ESTEEM-2</w:t>
            </w:r>
          </w:p>
        </w:tc>
        <w:tc>
          <w:tcPr>
            <w:tcW w:w="94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sz w:val="20"/>
                <w:szCs w:val="20"/>
              </w:rPr>
              <w:t>79/274 (28.8%)</w:t>
            </w:r>
          </w:p>
        </w:tc>
        <w:tc>
          <w:tcPr>
            <w:tcW w:w="81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sz w:val="20"/>
                <w:szCs w:val="20"/>
              </w:rPr>
              <w:t>8/137 (5.8%)</w:t>
            </w:r>
          </w:p>
        </w:tc>
        <w:tc>
          <w:tcPr>
            <w:tcW w:w="106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iCs/>
                <w:sz w:val="20"/>
                <w:szCs w:val="20"/>
              </w:rPr>
              <w:t>4.94 (2.46, 9.92)</w:t>
            </w:r>
          </w:p>
        </w:tc>
        <w:tc>
          <w:tcPr>
            <w:tcW w:w="947"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sz w:val="20"/>
                <w:szCs w:val="20"/>
              </w:rPr>
              <w:t>0.23 (0.16, 0.30)</w:t>
            </w:r>
          </w:p>
        </w:tc>
      </w:tr>
      <w:tr w:rsidR="00D11FFE" w:rsidRPr="0041132C" w:rsidTr="00105CFC">
        <w:tc>
          <w:tcPr>
            <w:tcW w:w="1234"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LIBERATE</w:t>
            </w:r>
          </w:p>
        </w:tc>
        <w:tc>
          <w:tcPr>
            <w:tcW w:w="94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sz w:val="20"/>
                <w:szCs w:val="20"/>
              </w:rPr>
              <w:t>33/83 (39.8%)</w:t>
            </w:r>
          </w:p>
        </w:tc>
        <w:tc>
          <w:tcPr>
            <w:tcW w:w="81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sz w:val="20"/>
                <w:szCs w:val="20"/>
              </w:rPr>
              <w:t>10/84 (11.9%)</w:t>
            </w:r>
          </w:p>
        </w:tc>
        <w:tc>
          <w:tcPr>
            <w:tcW w:w="106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iCs/>
                <w:sz w:val="20"/>
                <w:szCs w:val="20"/>
              </w:rPr>
              <w:t>3.34 (1.76, 6.33)</w:t>
            </w:r>
          </w:p>
        </w:tc>
        <w:tc>
          <w:tcPr>
            <w:tcW w:w="947"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hAnsi="Arial Narrow" w:cs="Arial Narrow"/>
                <w:b/>
                <w:bCs/>
                <w:sz w:val="20"/>
                <w:szCs w:val="20"/>
              </w:rPr>
              <w:t>0.28 (0.15, 0.40)</w:t>
            </w:r>
          </w:p>
        </w:tc>
      </w:tr>
      <w:tr w:rsidR="00D11FFE" w:rsidRPr="0041132C" w:rsidTr="00105CFC">
        <w:tc>
          <w:tcPr>
            <w:tcW w:w="1234"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PSOR-11 (Ohtsuki 2017)</w:t>
            </w:r>
          </w:p>
        </w:tc>
        <w:tc>
          <w:tcPr>
            <w:tcW w:w="94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24/85 (28.2%)</w:t>
            </w:r>
          </w:p>
        </w:tc>
        <w:tc>
          <w:tcPr>
            <w:tcW w:w="81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6/84 (7.1%)</w:t>
            </w:r>
          </w:p>
        </w:tc>
        <w:tc>
          <w:tcPr>
            <w:tcW w:w="1063" w:type="pct"/>
          </w:tcPr>
          <w:p w:rsidR="00D11FFE" w:rsidRPr="0041132C" w:rsidRDefault="00D11FFE"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3.95 (1.7, 9.18)</w:t>
            </w:r>
          </w:p>
        </w:tc>
        <w:tc>
          <w:tcPr>
            <w:tcW w:w="947" w:type="pct"/>
          </w:tcPr>
          <w:p w:rsidR="00D11FFE" w:rsidRPr="0041132C" w:rsidRDefault="00D11FFE"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0.21 (0.1, 0.32)</w:t>
            </w:r>
          </w:p>
        </w:tc>
      </w:tr>
      <w:tr w:rsidR="00105CFC" w:rsidRPr="0041132C" w:rsidTr="00105CFC">
        <w:tc>
          <w:tcPr>
            <w:tcW w:w="1234" w:type="pct"/>
          </w:tcPr>
          <w:p w:rsidR="00105CFC" w:rsidRPr="0041132C" w:rsidRDefault="00105CFC"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Meta-analysis</w:t>
            </w:r>
          </w:p>
        </w:tc>
        <w:tc>
          <w:tcPr>
            <w:tcW w:w="1756" w:type="pct"/>
            <w:gridSpan w:val="2"/>
          </w:tcPr>
          <w:p w:rsidR="00105CFC" w:rsidRPr="0041132C" w:rsidRDefault="00105CFC"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Response rate 33%</w:t>
            </w:r>
          </w:p>
        </w:tc>
        <w:tc>
          <w:tcPr>
            <w:tcW w:w="1063" w:type="pct"/>
          </w:tcPr>
          <w:p w:rsidR="00105CFC" w:rsidRPr="0041132C" w:rsidRDefault="00105CFC"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4.99 (3.69, 6.73)</w:t>
            </w:r>
          </w:p>
        </w:tc>
        <w:tc>
          <w:tcPr>
            <w:tcW w:w="947" w:type="pct"/>
          </w:tcPr>
          <w:p w:rsidR="00105CFC" w:rsidRPr="0041132C" w:rsidRDefault="00105CFC"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0.27 (0.23, 0.30)</w:t>
            </w:r>
          </w:p>
        </w:tc>
      </w:tr>
      <w:tr w:rsidR="00D11FFE" w:rsidRPr="0041132C" w:rsidTr="00614C89">
        <w:tc>
          <w:tcPr>
            <w:tcW w:w="5000" w:type="pct"/>
            <w:gridSpan w:val="5"/>
          </w:tcPr>
          <w:p w:rsidR="00D11FFE" w:rsidRPr="0041132C" w:rsidRDefault="00D11FFE"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Methotrexate versus Placebo</w:t>
            </w:r>
          </w:p>
        </w:tc>
      </w:tr>
      <w:tr w:rsidR="00D11FFE" w:rsidRPr="0041132C" w:rsidTr="00105CFC">
        <w:tc>
          <w:tcPr>
            <w:tcW w:w="1234" w:type="pct"/>
          </w:tcPr>
          <w:p w:rsidR="00D11FFE" w:rsidRPr="0041132C" w:rsidRDefault="00D11FFE" w:rsidP="001445D8">
            <w:pPr>
              <w:keepNext/>
              <w:spacing w:before="40" w:after="0"/>
              <w:rPr>
                <w:rFonts w:ascii="Arial Narrow" w:hAnsi="Arial Narrow"/>
                <w:sz w:val="20"/>
                <w:szCs w:val="20"/>
              </w:rPr>
            </w:pPr>
          </w:p>
        </w:tc>
        <w:tc>
          <w:tcPr>
            <w:tcW w:w="94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Methotrexate</w:t>
            </w:r>
          </w:p>
        </w:tc>
        <w:tc>
          <w:tcPr>
            <w:tcW w:w="81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Placebo</w:t>
            </w:r>
          </w:p>
        </w:tc>
        <w:tc>
          <w:tcPr>
            <w:tcW w:w="1063" w:type="pct"/>
          </w:tcPr>
          <w:p w:rsidR="00D11FFE" w:rsidRPr="0041132C" w:rsidRDefault="00D11FFE" w:rsidP="001445D8">
            <w:pPr>
              <w:keepNext/>
              <w:spacing w:before="40" w:after="0"/>
              <w:rPr>
                <w:rFonts w:ascii="Arial Narrow" w:hAnsi="Arial Narrow"/>
                <w:b/>
                <w:sz w:val="20"/>
                <w:szCs w:val="20"/>
              </w:rPr>
            </w:pPr>
          </w:p>
        </w:tc>
        <w:tc>
          <w:tcPr>
            <w:tcW w:w="947" w:type="pct"/>
          </w:tcPr>
          <w:p w:rsidR="00D11FFE" w:rsidRPr="0041132C" w:rsidRDefault="00D11FFE" w:rsidP="001445D8">
            <w:pPr>
              <w:keepNext/>
              <w:spacing w:before="40" w:after="0"/>
              <w:rPr>
                <w:rFonts w:ascii="Arial Narrow" w:hAnsi="Arial Narrow"/>
                <w:b/>
                <w:sz w:val="20"/>
                <w:szCs w:val="20"/>
              </w:rPr>
            </w:pPr>
          </w:p>
        </w:tc>
      </w:tr>
      <w:tr w:rsidR="00D11FFE" w:rsidRPr="0041132C" w:rsidTr="00105CFC">
        <w:tc>
          <w:tcPr>
            <w:tcW w:w="1234"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Saurat 2008</w:t>
            </w:r>
            <w:r w:rsidRPr="0041132C">
              <w:rPr>
                <w:rFonts w:ascii="Arial Narrow" w:eastAsia="Times New Roman" w:hAnsi="Arial Narrow" w:cs="Times New Roman"/>
                <w:sz w:val="20"/>
                <w:szCs w:val="20"/>
                <w:vertAlign w:val="superscript"/>
              </w:rPr>
              <w:t>a</w:t>
            </w:r>
          </w:p>
        </w:tc>
        <w:tc>
          <w:tcPr>
            <w:tcW w:w="94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 xml:space="preserve">39/110 (35.5%) </w:t>
            </w:r>
          </w:p>
        </w:tc>
        <w:tc>
          <w:tcPr>
            <w:tcW w:w="81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10/53 (18.9%)</w:t>
            </w:r>
          </w:p>
        </w:tc>
        <w:tc>
          <w:tcPr>
            <w:tcW w:w="1063" w:type="pct"/>
          </w:tcPr>
          <w:p w:rsidR="00D11FFE" w:rsidRPr="0041132C" w:rsidRDefault="00D11FFE"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1.88 (1.02, 3.47)</w:t>
            </w:r>
          </w:p>
        </w:tc>
        <w:tc>
          <w:tcPr>
            <w:tcW w:w="947" w:type="pct"/>
          </w:tcPr>
          <w:p w:rsidR="00D11FFE" w:rsidRPr="0041132C" w:rsidRDefault="00D11FFE"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0.17 (0.03, 0.3)</w:t>
            </w:r>
          </w:p>
        </w:tc>
      </w:tr>
      <w:tr w:rsidR="00D11FFE" w:rsidRPr="0041132C" w:rsidTr="00614C89">
        <w:tc>
          <w:tcPr>
            <w:tcW w:w="5000" w:type="pct"/>
            <w:gridSpan w:val="5"/>
          </w:tcPr>
          <w:p w:rsidR="00D11FFE" w:rsidRPr="0041132C" w:rsidRDefault="00D11FFE" w:rsidP="001445D8">
            <w:pPr>
              <w:keepNext/>
              <w:spacing w:before="40" w:after="0"/>
              <w:rPr>
                <w:rFonts w:ascii="Arial Narrow" w:eastAsia="Times New Roman" w:hAnsi="Arial Narrow" w:cs="Times New Roman"/>
                <w:b/>
                <w:sz w:val="20"/>
                <w:szCs w:val="20"/>
              </w:rPr>
            </w:pPr>
            <w:r w:rsidRPr="0041132C">
              <w:rPr>
                <w:rFonts w:ascii="Arial Narrow" w:eastAsia="Times New Roman" w:hAnsi="Arial Narrow" w:cs="Times New Roman"/>
                <w:b/>
                <w:sz w:val="20"/>
                <w:szCs w:val="20"/>
              </w:rPr>
              <w:t>Cyclosporin versus methotrexate</w:t>
            </w:r>
          </w:p>
        </w:tc>
      </w:tr>
      <w:tr w:rsidR="00D11FFE" w:rsidRPr="0041132C" w:rsidTr="00105CFC">
        <w:tc>
          <w:tcPr>
            <w:tcW w:w="1234" w:type="pct"/>
          </w:tcPr>
          <w:p w:rsidR="00D11FFE" w:rsidRPr="0041132C" w:rsidRDefault="00D11FFE" w:rsidP="001445D8">
            <w:pPr>
              <w:keepNext/>
              <w:spacing w:before="40" w:after="0"/>
              <w:rPr>
                <w:rFonts w:ascii="Arial Narrow" w:hAnsi="Arial Narrow"/>
                <w:sz w:val="20"/>
                <w:szCs w:val="20"/>
              </w:rPr>
            </w:pPr>
          </w:p>
        </w:tc>
        <w:tc>
          <w:tcPr>
            <w:tcW w:w="94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Cyclosporin</w:t>
            </w:r>
          </w:p>
        </w:tc>
        <w:tc>
          <w:tcPr>
            <w:tcW w:w="813" w:type="pct"/>
          </w:tcPr>
          <w:p w:rsidR="00D11FFE" w:rsidRPr="0041132C" w:rsidRDefault="00D11FFE" w:rsidP="001445D8">
            <w:pPr>
              <w:keepNext/>
              <w:spacing w:before="40" w:after="0"/>
              <w:rPr>
                <w:rFonts w:ascii="Arial Narrow" w:hAnsi="Arial Narrow"/>
                <w:b/>
                <w:sz w:val="20"/>
                <w:szCs w:val="20"/>
              </w:rPr>
            </w:pPr>
            <w:r w:rsidRPr="0041132C">
              <w:rPr>
                <w:rFonts w:ascii="Arial Narrow" w:hAnsi="Arial Narrow"/>
                <w:b/>
                <w:sz w:val="20"/>
                <w:szCs w:val="20"/>
              </w:rPr>
              <w:t>Methotrexate</w:t>
            </w:r>
          </w:p>
        </w:tc>
        <w:tc>
          <w:tcPr>
            <w:tcW w:w="1063" w:type="pct"/>
          </w:tcPr>
          <w:p w:rsidR="00D11FFE" w:rsidRPr="0041132C" w:rsidRDefault="00D11FFE" w:rsidP="001445D8">
            <w:pPr>
              <w:keepNext/>
              <w:spacing w:before="40" w:after="0"/>
              <w:rPr>
                <w:rFonts w:ascii="Arial Narrow" w:hAnsi="Arial Narrow"/>
                <w:b/>
                <w:sz w:val="20"/>
                <w:szCs w:val="20"/>
              </w:rPr>
            </w:pPr>
          </w:p>
        </w:tc>
        <w:tc>
          <w:tcPr>
            <w:tcW w:w="947" w:type="pct"/>
          </w:tcPr>
          <w:p w:rsidR="00D11FFE" w:rsidRPr="0041132C" w:rsidRDefault="00D11FFE" w:rsidP="001445D8">
            <w:pPr>
              <w:keepNext/>
              <w:spacing w:before="40" w:after="0"/>
              <w:rPr>
                <w:rFonts w:ascii="Arial Narrow" w:hAnsi="Arial Narrow"/>
                <w:b/>
                <w:sz w:val="20"/>
                <w:szCs w:val="20"/>
              </w:rPr>
            </w:pPr>
          </w:p>
        </w:tc>
      </w:tr>
      <w:tr w:rsidR="00D11FFE" w:rsidRPr="0041132C" w:rsidTr="00105CFC">
        <w:tc>
          <w:tcPr>
            <w:tcW w:w="1234"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Heydendael 2003</w:t>
            </w:r>
          </w:p>
        </w:tc>
        <w:tc>
          <w:tcPr>
            <w:tcW w:w="94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 xml:space="preserve">30/42 (71.4%) </w:t>
            </w:r>
          </w:p>
        </w:tc>
        <w:tc>
          <w:tcPr>
            <w:tcW w:w="81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 xml:space="preserve">26/43 (67.4%). </w:t>
            </w:r>
          </w:p>
        </w:tc>
        <w:tc>
          <w:tcPr>
            <w:tcW w:w="1063" w:type="pct"/>
          </w:tcPr>
          <w:p w:rsidR="00D11FFE" w:rsidRPr="0041132C" w:rsidRDefault="00D11FFE" w:rsidP="001445D8">
            <w:pPr>
              <w:keepNext/>
              <w:spacing w:before="40" w:after="0"/>
              <w:rPr>
                <w:rFonts w:ascii="Arial Narrow" w:eastAsia="Times New Roman" w:hAnsi="Arial Narrow" w:cs="Times New Roman"/>
                <w:sz w:val="20"/>
                <w:szCs w:val="20"/>
              </w:rPr>
            </w:pPr>
            <w:r w:rsidRPr="0041132C">
              <w:rPr>
                <w:rFonts w:ascii="Arial Narrow" w:eastAsia="Times New Roman" w:hAnsi="Arial Narrow" w:cs="Times New Roman"/>
                <w:sz w:val="20"/>
                <w:szCs w:val="20"/>
              </w:rPr>
              <w:t>1.18 (0.87, 1.61)</w:t>
            </w:r>
          </w:p>
        </w:tc>
        <w:tc>
          <w:tcPr>
            <w:tcW w:w="947" w:type="pct"/>
          </w:tcPr>
          <w:p w:rsidR="00D11FFE" w:rsidRPr="0041132C" w:rsidRDefault="00D11FFE" w:rsidP="001445D8">
            <w:pPr>
              <w:spacing w:before="0" w:after="0"/>
              <w:rPr>
                <w:rFonts w:ascii="Arial Narrow" w:eastAsia="Times New Roman" w:hAnsi="Arial Narrow" w:cs="Times New Roman"/>
                <w:sz w:val="20"/>
                <w:szCs w:val="20"/>
              </w:rPr>
            </w:pPr>
            <w:r w:rsidRPr="0041132C">
              <w:rPr>
                <w:rFonts w:ascii="Arial Narrow" w:hAnsi="Arial Narrow" w:cs="Arial"/>
                <w:sz w:val="20"/>
                <w:szCs w:val="20"/>
              </w:rPr>
              <w:t>0.11 (-0.09, 0.31)</w:t>
            </w:r>
          </w:p>
        </w:tc>
      </w:tr>
    </w:tbl>
    <w:p w:rsidR="0052758B" w:rsidRPr="0041132C" w:rsidRDefault="00D11FFE" w:rsidP="005348DF">
      <w:pPr>
        <w:pStyle w:val="BodyText"/>
        <w:rPr>
          <w:rFonts w:ascii="Arial Narrow" w:hAnsi="Arial Narrow"/>
          <w:sz w:val="18"/>
        </w:rPr>
      </w:pPr>
      <w:r w:rsidRPr="005348DF">
        <w:rPr>
          <w:rFonts w:ascii="Arial Narrow" w:hAnsi="Arial Narrow"/>
          <w:sz w:val="18"/>
        </w:rPr>
        <w:t xml:space="preserve">Source: Table 2.8.1 p36 of the resubmission and </w:t>
      </w:r>
      <w:r w:rsidR="00105CFC" w:rsidRPr="0021253F">
        <w:rPr>
          <w:rFonts w:ascii="Arial Narrow" w:hAnsi="Arial Narrow"/>
          <w:sz w:val="18"/>
        </w:rPr>
        <w:t>calculated</w:t>
      </w:r>
      <w:r w:rsidRPr="0021253F">
        <w:rPr>
          <w:rFonts w:ascii="Arial Narrow" w:hAnsi="Arial Narrow"/>
          <w:sz w:val="18"/>
        </w:rPr>
        <w:t xml:space="preserve"> during evaluation</w:t>
      </w:r>
    </w:p>
    <w:p w:rsidR="0052758B" w:rsidRPr="0041132C" w:rsidRDefault="00D11FFE">
      <w:pPr>
        <w:pStyle w:val="BodyText"/>
        <w:rPr>
          <w:rFonts w:ascii="Arial Narrow" w:hAnsi="Arial Narrow"/>
          <w:sz w:val="18"/>
          <w:vertAlign w:val="superscript"/>
        </w:rPr>
      </w:pPr>
      <w:r w:rsidRPr="0041132C">
        <w:rPr>
          <w:rFonts w:ascii="Arial Narrow" w:hAnsi="Arial Narrow"/>
          <w:sz w:val="18"/>
        </w:rPr>
        <w:t>CI = confidence interval; n = number of participants with event; N = total participants in group;</w:t>
      </w:r>
      <w:r w:rsidR="00773709" w:rsidRPr="0041132C">
        <w:rPr>
          <w:rFonts w:ascii="Arial Narrow" w:hAnsi="Arial Narrow"/>
          <w:sz w:val="18"/>
        </w:rPr>
        <w:t xml:space="preserve"> </w:t>
      </w:r>
      <w:r w:rsidR="00FD10CC" w:rsidRPr="0041132C">
        <w:rPr>
          <w:rFonts w:ascii="Arial Narrow" w:hAnsi="Arial Narrow"/>
          <w:sz w:val="18"/>
          <w:szCs w:val="18"/>
        </w:rPr>
        <w:t xml:space="preserve">PASI = psoriasis area </w:t>
      </w:r>
      <w:r w:rsidR="003A58D3" w:rsidRPr="0041132C">
        <w:rPr>
          <w:rFonts w:ascii="Arial Narrow" w:hAnsi="Arial Narrow"/>
          <w:sz w:val="18"/>
          <w:szCs w:val="18"/>
        </w:rPr>
        <w:t xml:space="preserve">and </w:t>
      </w:r>
      <w:r w:rsidR="00FD10CC" w:rsidRPr="0041132C">
        <w:rPr>
          <w:rFonts w:ascii="Arial Narrow" w:hAnsi="Arial Narrow"/>
          <w:sz w:val="18"/>
          <w:szCs w:val="18"/>
        </w:rPr>
        <w:t>severity index</w:t>
      </w:r>
      <w:r w:rsidR="0052758B" w:rsidRPr="0041132C">
        <w:rPr>
          <w:rFonts w:ascii="Arial Narrow" w:hAnsi="Arial Narrow"/>
          <w:sz w:val="18"/>
          <w:szCs w:val="18"/>
        </w:rPr>
        <w:t>;</w:t>
      </w:r>
      <w:r w:rsidR="0052758B" w:rsidRPr="0041132C">
        <w:rPr>
          <w:rFonts w:ascii="Arial Narrow" w:hAnsi="Arial Narrow"/>
          <w:sz w:val="18"/>
          <w:vertAlign w:val="superscript"/>
        </w:rPr>
        <w:t xml:space="preserve"> </w:t>
      </w:r>
      <w:r w:rsidR="0052758B" w:rsidRPr="0041132C">
        <w:rPr>
          <w:rFonts w:ascii="Arial Narrow" w:hAnsi="Arial Narrow"/>
          <w:b/>
          <w:sz w:val="18"/>
        </w:rPr>
        <w:t>Bold</w:t>
      </w:r>
      <w:r w:rsidR="0052758B" w:rsidRPr="0041132C">
        <w:rPr>
          <w:rFonts w:ascii="Arial Narrow" w:hAnsi="Arial Narrow"/>
          <w:sz w:val="18"/>
        </w:rPr>
        <w:t xml:space="preserve"> = statistically significant</w:t>
      </w:r>
    </w:p>
    <w:p w:rsidR="00D11FFE" w:rsidRPr="0041132C" w:rsidRDefault="0052758B">
      <w:pPr>
        <w:pStyle w:val="BodyText"/>
        <w:rPr>
          <w:rFonts w:ascii="Arial Narrow" w:hAnsi="Arial Narrow"/>
          <w:sz w:val="18"/>
          <w:szCs w:val="18"/>
        </w:rPr>
      </w:pPr>
      <w:r w:rsidRPr="0041132C">
        <w:rPr>
          <w:rFonts w:ascii="Arial Narrow" w:hAnsi="Arial Narrow"/>
          <w:sz w:val="18"/>
          <w:vertAlign w:val="superscript"/>
        </w:rPr>
        <w:t>a</w:t>
      </w:r>
      <w:r w:rsidRPr="0041132C">
        <w:rPr>
          <w:rFonts w:ascii="Arial Narrow" w:hAnsi="Arial Narrow"/>
          <w:sz w:val="18"/>
        </w:rPr>
        <w:t xml:space="preserve"> Included an adalimumab arm</w:t>
      </w:r>
    </w:p>
    <w:p w:rsidR="00B660D6" w:rsidRPr="0041132C" w:rsidRDefault="00754A10" w:rsidP="00C2633C">
      <w:pPr>
        <w:pStyle w:val="ListParagraph"/>
        <w:numPr>
          <w:ilvl w:val="1"/>
          <w:numId w:val="3"/>
        </w:numPr>
        <w:spacing w:after="120"/>
        <w:jc w:val="both"/>
      </w:pPr>
      <w:r w:rsidRPr="0041132C">
        <w:t xml:space="preserve">The response </w:t>
      </w:r>
      <w:r w:rsidR="00860601" w:rsidRPr="0041132C">
        <w:t>rate for PASI-75 across the trials for the common reference drugs was dissimilar for both placebo and methotrexate. M</w:t>
      </w:r>
      <w:r w:rsidRPr="0041132C">
        <w:t xml:space="preserve">ethotrexate </w:t>
      </w:r>
      <w:r w:rsidR="00D33D5D" w:rsidRPr="0041132C">
        <w:t xml:space="preserve">response </w:t>
      </w:r>
      <w:r w:rsidRPr="0041132C">
        <w:t>was considerably different in the two trials that included methotrexate: 35.5% of patients responded to methotrexate in Saurat (2008); whereas, 67.4% responded to methotrexate</w:t>
      </w:r>
      <w:r w:rsidR="00E136F6" w:rsidRPr="0041132C">
        <w:t xml:space="preserve"> </w:t>
      </w:r>
      <w:r w:rsidRPr="0041132C">
        <w:t xml:space="preserve">in Heydendael (2003). </w:t>
      </w:r>
      <w:r w:rsidR="007D69DF" w:rsidRPr="0041132C">
        <w:t xml:space="preserve">The differences between the trials included </w:t>
      </w:r>
      <w:r w:rsidR="00140F80" w:rsidRPr="0041132C">
        <w:t xml:space="preserve">the </w:t>
      </w:r>
      <w:r w:rsidR="007D69DF" w:rsidRPr="0041132C">
        <w:t xml:space="preserve">eligibility criteria (Saurat </w:t>
      </w:r>
      <w:r w:rsidR="00F533EB" w:rsidRPr="0041132C">
        <w:t xml:space="preserve">[2008] </w:t>
      </w:r>
      <w:r w:rsidR="007D69DF" w:rsidRPr="0041132C">
        <w:t xml:space="preserve">enrolled adults with PASI </w:t>
      </w:r>
      <w:r w:rsidR="007D69DF" w:rsidRPr="0041132C">
        <w:rPr>
          <w:u w:val="single"/>
        </w:rPr>
        <w:t>&gt;</w:t>
      </w:r>
      <w:r w:rsidR="007D69DF" w:rsidRPr="0041132C">
        <w:t xml:space="preserve">10 and Heydendael </w:t>
      </w:r>
      <w:r w:rsidR="00F533EB" w:rsidRPr="0041132C">
        <w:t>[2003]</w:t>
      </w:r>
      <w:r w:rsidR="008D2D79" w:rsidRPr="0041132C">
        <w:t xml:space="preserve"> </w:t>
      </w:r>
      <w:r w:rsidR="007D69DF" w:rsidRPr="0041132C">
        <w:t xml:space="preserve">enrolled adults with PASI </w:t>
      </w:r>
      <w:r w:rsidR="007D69DF" w:rsidRPr="0041132C">
        <w:rPr>
          <w:u w:val="single"/>
        </w:rPr>
        <w:t>&gt;</w:t>
      </w:r>
      <w:r w:rsidR="007D69DF" w:rsidRPr="0041132C">
        <w:t xml:space="preserve">8), study design (Saurat </w:t>
      </w:r>
      <w:r w:rsidR="00F533EB" w:rsidRPr="0041132C">
        <w:t>[2008] was double blind,</w:t>
      </w:r>
      <w:r w:rsidR="007D69DF" w:rsidRPr="0041132C">
        <w:t xml:space="preserve"> Heydendael</w:t>
      </w:r>
      <w:r w:rsidR="00F533EB" w:rsidRPr="0041132C">
        <w:t xml:space="preserve"> [2003] was open label</w:t>
      </w:r>
      <w:r w:rsidR="007D69DF" w:rsidRPr="0041132C">
        <w:t>) and in Saurat</w:t>
      </w:r>
      <w:r w:rsidR="00F533EB" w:rsidRPr="0041132C">
        <w:t xml:space="preserve"> (2008) </w:t>
      </w:r>
      <w:r w:rsidRPr="0041132C">
        <w:t>, methotrexate treated patients were not titrated upwards after reaching PASI-50 (at 8 weeks) which may have had an impact on the numbers reaching PASI-75 (at week 16); this</w:t>
      </w:r>
      <w:r w:rsidR="00DF4225" w:rsidRPr="0041132C">
        <w:t xml:space="preserve"> </w:t>
      </w:r>
      <w:r w:rsidRPr="0041132C">
        <w:t>protocol was different to the other trials</w:t>
      </w:r>
      <w:r w:rsidR="007D69DF" w:rsidRPr="0041132C">
        <w:t xml:space="preserve"> including Heydendael</w:t>
      </w:r>
      <w:r w:rsidR="00F533EB" w:rsidRPr="0041132C">
        <w:t xml:space="preserve"> (2003)</w:t>
      </w:r>
      <w:r w:rsidRPr="0041132C">
        <w:t xml:space="preserve">. </w:t>
      </w:r>
      <w:r w:rsidR="00860601" w:rsidRPr="0041132C">
        <w:t>This</w:t>
      </w:r>
      <w:r w:rsidR="00B660D6" w:rsidRPr="0041132C">
        <w:t xml:space="preserve"> varied treatment response provided evidence that the transitivity assumption may not </w:t>
      </w:r>
      <w:r w:rsidR="004B3EC2" w:rsidRPr="0041132C">
        <w:t>hold</w:t>
      </w:r>
      <w:r w:rsidR="00860601" w:rsidRPr="0041132C">
        <w:t xml:space="preserve"> for the indirect network meta-analysis</w:t>
      </w:r>
      <w:r w:rsidR="00B660D6" w:rsidRPr="0041132C">
        <w:t>.</w:t>
      </w:r>
    </w:p>
    <w:p w:rsidR="003921F4" w:rsidRPr="0041132C" w:rsidRDefault="003921F4" w:rsidP="005348DF">
      <w:pPr>
        <w:pStyle w:val="ListParagraph"/>
        <w:numPr>
          <w:ilvl w:val="1"/>
          <w:numId w:val="3"/>
        </w:numPr>
        <w:spacing w:before="0" w:after="120"/>
        <w:jc w:val="both"/>
      </w:pPr>
      <w:r w:rsidRPr="0041132C">
        <w:t>The results from the indirect comparison for apremilast and cyclosporin arising from the network meta-analysis are presented in the table below.</w:t>
      </w:r>
    </w:p>
    <w:p w:rsidR="003921F4" w:rsidRPr="0041132C" w:rsidRDefault="003921F4" w:rsidP="001445D8">
      <w:pPr>
        <w:pStyle w:val="TableHeading0"/>
        <w:spacing w:after="120"/>
        <w:ind w:left="1418" w:hanging="1418"/>
      </w:pPr>
      <w:r w:rsidRPr="0041132C">
        <w:t>Table 9: Summary of results of the indirect treatment comparison from the resubmission</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019"/>
        <w:gridCol w:w="997"/>
        <w:gridCol w:w="1502"/>
        <w:gridCol w:w="1087"/>
        <w:gridCol w:w="1931"/>
        <w:gridCol w:w="857"/>
      </w:tblGrid>
      <w:tr w:rsidR="003921F4" w:rsidRPr="0041132C" w:rsidTr="00860601">
        <w:trPr>
          <w:tblHeader/>
        </w:trPr>
        <w:tc>
          <w:tcPr>
            <w:tcW w:w="1606" w:type="dxa"/>
          </w:tcPr>
          <w:p w:rsidR="003921F4" w:rsidRPr="0041132C" w:rsidRDefault="003921F4" w:rsidP="001445D8">
            <w:pPr>
              <w:pStyle w:val="TableText"/>
              <w:spacing w:after="0"/>
              <w:rPr>
                <w:b/>
              </w:rPr>
            </w:pPr>
          </w:p>
        </w:tc>
        <w:tc>
          <w:tcPr>
            <w:tcW w:w="994" w:type="dxa"/>
            <w:shd w:val="clear" w:color="auto" w:fill="auto"/>
          </w:tcPr>
          <w:p w:rsidR="003921F4" w:rsidRPr="0041132C" w:rsidRDefault="003921F4" w:rsidP="001445D8">
            <w:pPr>
              <w:pStyle w:val="TableText"/>
              <w:spacing w:after="0"/>
              <w:rPr>
                <w:b/>
              </w:rPr>
            </w:pPr>
            <w:r w:rsidRPr="0041132C">
              <w:rPr>
                <w:b/>
              </w:rPr>
              <w:t>Outcome</w:t>
            </w:r>
          </w:p>
        </w:tc>
        <w:tc>
          <w:tcPr>
            <w:tcW w:w="973" w:type="dxa"/>
            <w:shd w:val="clear" w:color="auto" w:fill="auto"/>
          </w:tcPr>
          <w:p w:rsidR="003921F4" w:rsidRPr="0041132C" w:rsidRDefault="003921F4" w:rsidP="001445D8">
            <w:pPr>
              <w:pStyle w:val="TableText"/>
              <w:spacing w:after="0"/>
              <w:rPr>
                <w:b/>
              </w:rPr>
            </w:pPr>
            <w:r w:rsidRPr="0041132C">
              <w:rPr>
                <w:b/>
                <w:iCs/>
              </w:rPr>
              <w:t>Estimate</w:t>
            </w:r>
          </w:p>
        </w:tc>
        <w:tc>
          <w:tcPr>
            <w:tcW w:w="1465" w:type="dxa"/>
            <w:shd w:val="clear" w:color="auto" w:fill="auto"/>
          </w:tcPr>
          <w:p w:rsidR="003921F4" w:rsidRPr="0041132C" w:rsidRDefault="003921F4" w:rsidP="001445D8">
            <w:pPr>
              <w:pStyle w:val="TableText"/>
              <w:spacing w:after="0"/>
              <w:rPr>
                <w:b/>
              </w:rPr>
            </w:pPr>
            <w:r w:rsidRPr="0041132C">
              <w:rPr>
                <w:b/>
              </w:rPr>
              <w:t>95% Confidence Interval</w:t>
            </w:r>
          </w:p>
        </w:tc>
        <w:tc>
          <w:tcPr>
            <w:tcW w:w="1060" w:type="dxa"/>
            <w:shd w:val="clear" w:color="auto" w:fill="auto"/>
          </w:tcPr>
          <w:p w:rsidR="003921F4" w:rsidRPr="0041132C" w:rsidRDefault="003921F4" w:rsidP="001445D8">
            <w:pPr>
              <w:pStyle w:val="TableText"/>
              <w:spacing w:after="0"/>
              <w:rPr>
                <w:b/>
              </w:rPr>
            </w:pPr>
            <w:r w:rsidRPr="0041132C">
              <w:rPr>
                <w:b/>
              </w:rPr>
              <w:t>P-value</w:t>
            </w:r>
          </w:p>
        </w:tc>
        <w:tc>
          <w:tcPr>
            <w:tcW w:w="1884" w:type="dxa"/>
            <w:shd w:val="clear" w:color="auto" w:fill="auto"/>
          </w:tcPr>
          <w:p w:rsidR="003921F4" w:rsidRPr="0041132C" w:rsidRDefault="003921F4" w:rsidP="001445D8">
            <w:pPr>
              <w:pStyle w:val="TableText"/>
              <w:spacing w:after="0"/>
              <w:rPr>
                <w:b/>
              </w:rPr>
            </w:pPr>
            <w:r w:rsidRPr="0041132C">
              <w:rPr>
                <w:b/>
              </w:rPr>
              <w:t>Test of Heterogeneity</w:t>
            </w:r>
          </w:p>
        </w:tc>
        <w:tc>
          <w:tcPr>
            <w:tcW w:w="836" w:type="dxa"/>
          </w:tcPr>
          <w:p w:rsidR="003921F4" w:rsidRPr="0041132C" w:rsidRDefault="003921F4" w:rsidP="001445D8">
            <w:pPr>
              <w:pStyle w:val="TableText"/>
              <w:spacing w:after="0"/>
              <w:rPr>
                <w:b/>
              </w:rPr>
            </w:pPr>
            <w:r w:rsidRPr="0041132C">
              <w:rPr>
                <w:b/>
              </w:rPr>
              <w:t>I</w:t>
            </w:r>
            <w:r w:rsidRPr="0041132C">
              <w:rPr>
                <w:b/>
                <w:vertAlign w:val="superscript"/>
              </w:rPr>
              <w:t>2</w:t>
            </w:r>
          </w:p>
        </w:tc>
      </w:tr>
      <w:tr w:rsidR="00860601" w:rsidRPr="0041132C" w:rsidTr="00115322">
        <w:trPr>
          <w:trHeight w:val="1038"/>
        </w:trPr>
        <w:tc>
          <w:tcPr>
            <w:tcW w:w="1606" w:type="dxa"/>
          </w:tcPr>
          <w:p w:rsidR="00860601" w:rsidRPr="005348DF" w:rsidRDefault="00860601" w:rsidP="001445D8">
            <w:pPr>
              <w:pStyle w:val="TableText"/>
              <w:spacing w:after="0"/>
              <w:rPr>
                <w:lang w:eastAsia="en-AU"/>
              </w:rPr>
            </w:pPr>
            <w:r w:rsidRPr="005348DF">
              <w:rPr>
                <w:lang w:eastAsia="en-AU"/>
              </w:rPr>
              <w:t>Risk difference (%)</w:t>
            </w:r>
          </w:p>
          <w:p w:rsidR="00860601" w:rsidRPr="0041132C" w:rsidRDefault="00860601" w:rsidP="001445D8">
            <w:pPr>
              <w:spacing w:after="0"/>
              <w:rPr>
                <w:lang w:eastAsia="en-AU"/>
              </w:rPr>
            </w:pPr>
            <w:r w:rsidRPr="0041132C">
              <w:rPr>
                <w:rFonts w:ascii="Arial Narrow" w:hAnsi="Arial Narrow"/>
                <w:sz w:val="20"/>
                <w:lang w:eastAsia="en-AU"/>
              </w:rPr>
              <w:t>(apremilast – cyclosporin)</w:t>
            </w:r>
          </w:p>
        </w:tc>
        <w:tc>
          <w:tcPr>
            <w:tcW w:w="994" w:type="dxa"/>
            <w:shd w:val="clear" w:color="auto" w:fill="auto"/>
          </w:tcPr>
          <w:p w:rsidR="00860601" w:rsidRPr="0041132C" w:rsidRDefault="00860601" w:rsidP="001445D8">
            <w:pPr>
              <w:pStyle w:val="TableText"/>
              <w:spacing w:after="0"/>
              <w:rPr>
                <w:lang w:eastAsia="en-AU"/>
              </w:rPr>
            </w:pPr>
            <w:r w:rsidRPr="0041132C">
              <w:rPr>
                <w:lang w:eastAsia="en-AU"/>
              </w:rPr>
              <w:t>PASI–75</w:t>
            </w:r>
          </w:p>
        </w:tc>
        <w:tc>
          <w:tcPr>
            <w:tcW w:w="973" w:type="dxa"/>
            <w:shd w:val="clear" w:color="auto" w:fill="auto"/>
          </w:tcPr>
          <w:p w:rsidR="00860601" w:rsidRPr="0041132C" w:rsidRDefault="00860601" w:rsidP="001445D8">
            <w:pPr>
              <w:pStyle w:val="TableText"/>
              <w:spacing w:after="0"/>
              <w:rPr>
                <w:rFonts w:eastAsia="Times New Roman" w:cs="Times New Roman"/>
              </w:rPr>
            </w:pPr>
            <w:r w:rsidRPr="0041132C">
              <w:rPr>
                <w:rFonts w:eastAsia="Times New Roman" w:cs="Times New Roman"/>
              </w:rPr>
              <w:t>-1.0%</w:t>
            </w:r>
          </w:p>
        </w:tc>
        <w:tc>
          <w:tcPr>
            <w:tcW w:w="1465" w:type="dxa"/>
            <w:shd w:val="clear" w:color="auto" w:fill="auto"/>
          </w:tcPr>
          <w:p w:rsidR="00860601" w:rsidRPr="0041132C" w:rsidRDefault="00860601" w:rsidP="001445D8">
            <w:pPr>
              <w:pStyle w:val="TableText"/>
              <w:spacing w:after="0"/>
              <w:rPr>
                <w:lang w:eastAsia="en-AU"/>
              </w:rPr>
            </w:pPr>
            <w:r w:rsidRPr="0041132C">
              <w:rPr>
                <w:lang w:eastAsia="en-AU"/>
              </w:rPr>
              <w:t>–26.0%, 24.0%</w:t>
            </w:r>
          </w:p>
        </w:tc>
        <w:tc>
          <w:tcPr>
            <w:tcW w:w="1060" w:type="dxa"/>
            <w:shd w:val="clear" w:color="auto" w:fill="auto"/>
          </w:tcPr>
          <w:p w:rsidR="00860601" w:rsidRPr="0041132C" w:rsidRDefault="00860601" w:rsidP="001445D8">
            <w:pPr>
              <w:pStyle w:val="TableText"/>
              <w:spacing w:after="0"/>
              <w:rPr>
                <w:lang w:eastAsia="en-AU"/>
              </w:rPr>
            </w:pPr>
            <w:r w:rsidRPr="0041132C">
              <w:rPr>
                <w:lang w:eastAsia="en-AU"/>
              </w:rPr>
              <w:t>0.939</w:t>
            </w:r>
          </w:p>
        </w:tc>
        <w:tc>
          <w:tcPr>
            <w:tcW w:w="1884" w:type="dxa"/>
            <w:shd w:val="clear" w:color="auto" w:fill="auto"/>
          </w:tcPr>
          <w:p w:rsidR="00860601" w:rsidRPr="0041132C" w:rsidRDefault="00860601" w:rsidP="001445D8">
            <w:pPr>
              <w:pStyle w:val="TableText"/>
              <w:spacing w:after="0"/>
              <w:rPr>
                <w:lang w:eastAsia="en-AU"/>
              </w:rPr>
            </w:pPr>
            <w:r w:rsidRPr="0041132C">
              <w:rPr>
                <w:lang w:eastAsia="en-AU"/>
              </w:rPr>
              <w:t>Q(df=4) = 4.6, P = 0.333</w:t>
            </w:r>
          </w:p>
        </w:tc>
        <w:tc>
          <w:tcPr>
            <w:tcW w:w="836" w:type="dxa"/>
          </w:tcPr>
          <w:p w:rsidR="00860601" w:rsidRPr="0041132C" w:rsidRDefault="00860601" w:rsidP="001445D8">
            <w:pPr>
              <w:pStyle w:val="TableText"/>
              <w:spacing w:after="0"/>
              <w:rPr>
                <w:lang w:eastAsia="en-AU"/>
              </w:rPr>
            </w:pPr>
            <w:r w:rsidRPr="0041132C">
              <w:rPr>
                <w:lang w:eastAsia="en-AU"/>
              </w:rPr>
              <w:t>12.8%</w:t>
            </w:r>
          </w:p>
        </w:tc>
      </w:tr>
      <w:tr w:rsidR="003921F4" w:rsidRPr="0041132C" w:rsidTr="00860601">
        <w:tc>
          <w:tcPr>
            <w:tcW w:w="1606" w:type="dxa"/>
          </w:tcPr>
          <w:p w:rsidR="003921F4" w:rsidRPr="005348DF" w:rsidRDefault="003921F4" w:rsidP="001445D8">
            <w:pPr>
              <w:pStyle w:val="TableText"/>
              <w:spacing w:after="0"/>
              <w:rPr>
                <w:lang w:eastAsia="en-AU"/>
              </w:rPr>
            </w:pPr>
            <w:r w:rsidRPr="005348DF">
              <w:rPr>
                <w:lang w:eastAsia="en-AU"/>
              </w:rPr>
              <w:t>Risk ratio (%)</w:t>
            </w:r>
          </w:p>
        </w:tc>
        <w:tc>
          <w:tcPr>
            <w:tcW w:w="994" w:type="dxa"/>
            <w:shd w:val="clear" w:color="auto" w:fill="auto"/>
          </w:tcPr>
          <w:p w:rsidR="003921F4" w:rsidRPr="0041132C" w:rsidRDefault="003921F4" w:rsidP="001445D8">
            <w:pPr>
              <w:pStyle w:val="TableText"/>
              <w:spacing w:after="0"/>
              <w:rPr>
                <w:lang w:eastAsia="en-AU"/>
              </w:rPr>
            </w:pPr>
            <w:r w:rsidRPr="0041132C">
              <w:rPr>
                <w:lang w:eastAsia="en-AU"/>
              </w:rPr>
              <w:t>PASI–75</w:t>
            </w:r>
          </w:p>
        </w:tc>
        <w:tc>
          <w:tcPr>
            <w:tcW w:w="973" w:type="dxa"/>
            <w:shd w:val="clear" w:color="auto" w:fill="auto"/>
          </w:tcPr>
          <w:p w:rsidR="003921F4" w:rsidRPr="0041132C" w:rsidRDefault="003921F4" w:rsidP="001445D8">
            <w:pPr>
              <w:pStyle w:val="TableText"/>
              <w:spacing w:after="0"/>
              <w:rPr>
                <w:rFonts w:eastAsia="Times New Roman" w:cs="Times New Roman"/>
              </w:rPr>
            </w:pPr>
            <w:r w:rsidRPr="0041132C">
              <w:rPr>
                <w:rFonts w:eastAsia="Times New Roman" w:cs="Times New Roman"/>
              </w:rPr>
              <w:t>2.25</w:t>
            </w:r>
          </w:p>
        </w:tc>
        <w:tc>
          <w:tcPr>
            <w:tcW w:w="1465" w:type="dxa"/>
            <w:shd w:val="clear" w:color="auto" w:fill="auto"/>
          </w:tcPr>
          <w:p w:rsidR="003921F4" w:rsidRPr="0041132C" w:rsidRDefault="003921F4" w:rsidP="001445D8">
            <w:pPr>
              <w:pStyle w:val="TableText"/>
              <w:spacing w:after="0"/>
              <w:rPr>
                <w:lang w:eastAsia="en-AU"/>
              </w:rPr>
            </w:pPr>
            <w:r w:rsidRPr="0041132C">
              <w:rPr>
                <w:lang w:eastAsia="en-AU"/>
              </w:rPr>
              <w:t>1.06, 4.75</w:t>
            </w:r>
          </w:p>
        </w:tc>
        <w:tc>
          <w:tcPr>
            <w:tcW w:w="1060" w:type="dxa"/>
            <w:shd w:val="clear" w:color="auto" w:fill="auto"/>
          </w:tcPr>
          <w:p w:rsidR="003921F4" w:rsidRPr="0041132C" w:rsidRDefault="003921F4" w:rsidP="001445D8">
            <w:pPr>
              <w:pStyle w:val="TableText"/>
              <w:spacing w:after="0"/>
              <w:rPr>
                <w:lang w:eastAsia="en-AU"/>
              </w:rPr>
            </w:pPr>
            <w:r w:rsidRPr="0041132C">
              <w:rPr>
                <w:lang w:eastAsia="en-AU"/>
              </w:rPr>
              <w:t>0.034</w:t>
            </w:r>
          </w:p>
        </w:tc>
        <w:tc>
          <w:tcPr>
            <w:tcW w:w="1884" w:type="dxa"/>
            <w:shd w:val="clear" w:color="auto" w:fill="auto"/>
          </w:tcPr>
          <w:p w:rsidR="003921F4" w:rsidRPr="0041132C" w:rsidRDefault="003921F4" w:rsidP="001445D8">
            <w:pPr>
              <w:pStyle w:val="TableText"/>
              <w:spacing w:after="0"/>
              <w:rPr>
                <w:lang w:eastAsia="en-AU"/>
              </w:rPr>
            </w:pPr>
            <w:r w:rsidRPr="0041132C">
              <w:rPr>
                <w:lang w:eastAsia="en-AU"/>
              </w:rPr>
              <w:t>Q(df=4) = 3.2, P = 0.526</w:t>
            </w:r>
          </w:p>
        </w:tc>
        <w:tc>
          <w:tcPr>
            <w:tcW w:w="836" w:type="dxa"/>
          </w:tcPr>
          <w:p w:rsidR="003921F4" w:rsidRPr="0041132C" w:rsidRDefault="003921F4" w:rsidP="001445D8">
            <w:pPr>
              <w:pStyle w:val="TableText"/>
              <w:spacing w:after="0"/>
              <w:rPr>
                <w:lang w:eastAsia="en-AU"/>
              </w:rPr>
            </w:pPr>
            <w:r w:rsidRPr="0041132C">
              <w:rPr>
                <w:lang w:eastAsia="en-AU"/>
              </w:rPr>
              <w:t>0%</w:t>
            </w:r>
          </w:p>
        </w:tc>
      </w:tr>
    </w:tbl>
    <w:p w:rsidR="00F10A28" w:rsidRPr="0021253F" w:rsidRDefault="003921F4" w:rsidP="005348DF">
      <w:pPr>
        <w:pStyle w:val="BodyText"/>
        <w:rPr>
          <w:rFonts w:ascii="Arial Narrow" w:hAnsi="Arial Narrow"/>
          <w:sz w:val="18"/>
          <w:szCs w:val="18"/>
        </w:rPr>
      </w:pPr>
      <w:r w:rsidRPr="005348DF">
        <w:rPr>
          <w:rFonts w:ascii="Arial Narrow" w:hAnsi="Arial Narrow"/>
          <w:sz w:val="18"/>
          <w:szCs w:val="18"/>
        </w:rPr>
        <w:t>Source: Table 2.9.</w:t>
      </w:r>
      <w:r w:rsidRPr="0021253F">
        <w:rPr>
          <w:rFonts w:ascii="Arial Narrow" w:hAnsi="Arial Narrow"/>
          <w:sz w:val="18"/>
          <w:szCs w:val="18"/>
        </w:rPr>
        <w:t>2, p40 of the resubmission</w:t>
      </w:r>
    </w:p>
    <w:p w:rsidR="00BF7ABE" w:rsidRPr="0041132C" w:rsidRDefault="00F10A28">
      <w:pPr>
        <w:pStyle w:val="BodyText"/>
        <w:rPr>
          <w:rFonts w:ascii="Arial Narrow" w:hAnsi="Arial Narrow"/>
          <w:sz w:val="18"/>
          <w:szCs w:val="18"/>
        </w:rPr>
      </w:pPr>
      <w:r w:rsidRPr="0041132C">
        <w:rPr>
          <w:rFonts w:ascii="Arial Narrow" w:hAnsi="Arial Narrow"/>
          <w:sz w:val="18"/>
          <w:szCs w:val="18"/>
        </w:rPr>
        <w:t>df = degrees of freedom; I</w:t>
      </w:r>
      <w:r w:rsidRPr="0041132C">
        <w:rPr>
          <w:rFonts w:ascii="Arial Narrow" w:hAnsi="Arial Narrow"/>
          <w:sz w:val="18"/>
          <w:szCs w:val="18"/>
          <w:vertAlign w:val="superscript"/>
        </w:rPr>
        <w:t xml:space="preserve">2 </w:t>
      </w:r>
      <w:r w:rsidRPr="0041132C">
        <w:rPr>
          <w:rFonts w:ascii="Arial Narrow" w:hAnsi="Arial Narrow"/>
          <w:sz w:val="18"/>
          <w:szCs w:val="18"/>
        </w:rPr>
        <w:t xml:space="preserve">= measure of heterogeneity derived from Q; </w:t>
      </w:r>
      <w:r w:rsidR="00773709" w:rsidRPr="0041132C">
        <w:rPr>
          <w:rFonts w:ascii="Arial Narrow" w:hAnsi="Arial Narrow"/>
          <w:sz w:val="18"/>
          <w:szCs w:val="18"/>
        </w:rPr>
        <w:t xml:space="preserve">PASI-75 = 75% reduction in the psoriasis </w:t>
      </w:r>
      <w:r w:rsidR="003A58D3" w:rsidRPr="0041132C">
        <w:rPr>
          <w:rFonts w:ascii="Arial Narrow" w:hAnsi="Arial Narrow"/>
          <w:sz w:val="18"/>
          <w:szCs w:val="18"/>
        </w:rPr>
        <w:t xml:space="preserve">area and </w:t>
      </w:r>
      <w:r w:rsidR="00773709" w:rsidRPr="0041132C">
        <w:rPr>
          <w:rFonts w:ascii="Arial Narrow" w:hAnsi="Arial Narrow"/>
          <w:sz w:val="18"/>
          <w:szCs w:val="18"/>
        </w:rPr>
        <w:t xml:space="preserve">severity index; Q = chi-square statistic from Cochran’s Q test </w:t>
      </w:r>
    </w:p>
    <w:p w:rsidR="003921F4" w:rsidRPr="0041132C" w:rsidRDefault="003921F4" w:rsidP="001445D8">
      <w:pPr>
        <w:pStyle w:val="V50Instructions"/>
        <w:spacing w:before="0" w:after="120"/>
        <w:rPr>
          <w:rFonts w:ascii="Arial Narrow" w:hAnsi="Arial Narrow"/>
          <w:color w:val="auto"/>
          <w:sz w:val="18"/>
          <w:szCs w:val="18"/>
        </w:rPr>
      </w:pPr>
    </w:p>
    <w:p w:rsidR="00065F4A" w:rsidRPr="0041132C" w:rsidRDefault="00993FDF" w:rsidP="005348DF">
      <w:pPr>
        <w:pStyle w:val="ListParagraph"/>
        <w:numPr>
          <w:ilvl w:val="1"/>
          <w:numId w:val="3"/>
        </w:numPr>
        <w:spacing w:before="0" w:after="120"/>
        <w:jc w:val="both"/>
        <w:rPr>
          <w:color w:val="4472C4" w:themeColor="accent5"/>
        </w:rPr>
      </w:pPr>
      <w:r w:rsidRPr="0041132C">
        <w:t>For the</w:t>
      </w:r>
      <w:r w:rsidRPr="0041132C">
        <w:rPr>
          <w:color w:val="4472C4" w:themeColor="accent5"/>
        </w:rPr>
        <w:t xml:space="preserve"> </w:t>
      </w:r>
      <w:r w:rsidRPr="0041132C">
        <w:t>PASI-75 outcome, the estimate for the risk difference is quite small and therefore this suggests that apremilast may be non</w:t>
      </w:r>
      <w:r w:rsidR="00963B6D" w:rsidRPr="0041132C">
        <w:t>-</w:t>
      </w:r>
      <w:r w:rsidRPr="0041132C">
        <w:t>inferior to cyclosporin. However,</w:t>
      </w:r>
      <w:r w:rsidR="00F533EB" w:rsidRPr="0041132C">
        <w:t xml:space="preserve"> the ESC noted that</w:t>
      </w:r>
      <w:r w:rsidRPr="0041132C">
        <w:t xml:space="preserve"> the lower and upper boundaries of the 95% confidence interval for the risk difference exceed</w:t>
      </w:r>
      <w:r w:rsidR="00F533EB" w:rsidRPr="0041132C">
        <w:t>ed</w:t>
      </w:r>
      <w:r w:rsidRPr="0041132C">
        <w:t xml:space="preserve"> the non</w:t>
      </w:r>
      <w:r w:rsidR="00963B6D" w:rsidRPr="0041132C">
        <w:t>-</w:t>
      </w:r>
      <w:r w:rsidRPr="0041132C">
        <w:t>inferiority margin of 20% for the PASI-75 outcome</w:t>
      </w:r>
      <w:r w:rsidR="00F533EB" w:rsidRPr="0041132C">
        <w:t xml:space="preserve"> and considered that</w:t>
      </w:r>
      <w:r w:rsidR="003E6A88" w:rsidRPr="0041132C">
        <w:t xml:space="preserve"> </w:t>
      </w:r>
      <w:r w:rsidRPr="0041132C">
        <w:t xml:space="preserve">there is uncertainty </w:t>
      </w:r>
      <w:r w:rsidR="003E6A88" w:rsidRPr="0041132C">
        <w:t xml:space="preserve">whether </w:t>
      </w:r>
      <w:r w:rsidR="00F533EB" w:rsidRPr="0041132C">
        <w:t xml:space="preserve">non-inferiority has been met </w:t>
      </w:r>
      <w:r w:rsidR="003E6A88" w:rsidRPr="0041132C">
        <w:t>as</w:t>
      </w:r>
      <w:r w:rsidR="00F533EB" w:rsidRPr="0041132C">
        <w:t xml:space="preserve"> </w:t>
      </w:r>
      <w:r w:rsidRPr="0041132C">
        <w:t>the true value of the difference could lie beyond the 20% non</w:t>
      </w:r>
      <w:r w:rsidR="00963B6D" w:rsidRPr="0041132C">
        <w:t>-</w:t>
      </w:r>
      <w:r w:rsidRPr="0041132C">
        <w:t>inferiority margin</w:t>
      </w:r>
      <w:r w:rsidR="009D1948" w:rsidRPr="0041132C">
        <w:t>.</w:t>
      </w:r>
      <w:r w:rsidR="00D12A74" w:rsidRPr="0041132C">
        <w:t xml:space="preserve"> </w:t>
      </w:r>
    </w:p>
    <w:p w:rsidR="000444EA" w:rsidRPr="0041132C" w:rsidRDefault="00860601">
      <w:pPr>
        <w:pStyle w:val="ListParagraph"/>
        <w:numPr>
          <w:ilvl w:val="1"/>
          <w:numId w:val="3"/>
        </w:numPr>
        <w:spacing w:after="120"/>
        <w:jc w:val="both"/>
      </w:pPr>
      <w:r w:rsidRPr="0041132C">
        <w:t xml:space="preserve">There is uncertainty </w:t>
      </w:r>
      <w:r w:rsidR="000444EA" w:rsidRPr="0041132C">
        <w:t>in the</w:t>
      </w:r>
      <w:r w:rsidRPr="0041132C">
        <w:t xml:space="preserve"> clinical efficacy</w:t>
      </w:r>
      <w:r w:rsidR="000444EA" w:rsidRPr="0041132C">
        <w:t xml:space="preserve"> results</w:t>
      </w:r>
      <w:r w:rsidRPr="0041132C">
        <w:t xml:space="preserve"> as the indirect network meta-analysis was not reliable</w:t>
      </w:r>
      <w:r w:rsidR="000444EA" w:rsidRPr="0041132C">
        <w:t xml:space="preserve"> due to a number of issues:</w:t>
      </w:r>
    </w:p>
    <w:p w:rsidR="000444EA" w:rsidRPr="0041132C" w:rsidRDefault="000444EA" w:rsidP="00353DCC">
      <w:pPr>
        <w:pStyle w:val="ListParagraph"/>
        <w:numPr>
          <w:ilvl w:val="0"/>
          <w:numId w:val="17"/>
        </w:numPr>
        <w:spacing w:after="120"/>
        <w:jc w:val="both"/>
        <w:rPr>
          <w:rFonts w:cstheme="minorHAnsi"/>
          <w:szCs w:val="24"/>
        </w:rPr>
      </w:pPr>
      <w:r w:rsidRPr="0041132C">
        <w:rPr>
          <w:rFonts w:cstheme="minorHAnsi"/>
          <w:szCs w:val="24"/>
        </w:rPr>
        <w:t>There was considerable clinical heterogeneity across the included trials (it was not possible to test consistency)</w:t>
      </w:r>
      <w:r w:rsidRPr="0041132C">
        <w:rPr>
          <w:rFonts w:eastAsiaTheme="majorEastAsia" w:cstheme="minorHAnsi"/>
          <w:szCs w:val="24"/>
        </w:rPr>
        <w:t>;</w:t>
      </w:r>
    </w:p>
    <w:p w:rsidR="000444EA" w:rsidRPr="0041132C" w:rsidRDefault="000444EA" w:rsidP="00353DCC">
      <w:pPr>
        <w:pStyle w:val="ListParagraph"/>
        <w:numPr>
          <w:ilvl w:val="0"/>
          <w:numId w:val="17"/>
        </w:numPr>
        <w:spacing w:after="120"/>
        <w:jc w:val="both"/>
        <w:rPr>
          <w:rFonts w:cstheme="minorHAnsi"/>
          <w:szCs w:val="24"/>
        </w:rPr>
      </w:pPr>
      <w:r w:rsidRPr="0041132C">
        <w:rPr>
          <w:rFonts w:cstheme="minorHAnsi"/>
          <w:szCs w:val="24"/>
        </w:rPr>
        <w:t>Heydendael (2003) was substantially different to the rest of the included trials and should have not have been included in the analysis (</w:t>
      </w:r>
      <w:r w:rsidR="003E6A88" w:rsidRPr="0041132C">
        <w:rPr>
          <w:rFonts w:cstheme="minorHAnsi"/>
          <w:szCs w:val="24"/>
        </w:rPr>
        <w:t xml:space="preserve">although the ESC noted that </w:t>
      </w:r>
      <w:r w:rsidRPr="0041132C">
        <w:rPr>
          <w:rFonts w:cstheme="minorHAnsi"/>
          <w:szCs w:val="24"/>
        </w:rPr>
        <w:t xml:space="preserve">this would have meant that the network meta-analysis could not have been conducted); and </w:t>
      </w:r>
    </w:p>
    <w:p w:rsidR="000444EA" w:rsidRPr="0041132C" w:rsidRDefault="00EC16AD" w:rsidP="00353DCC">
      <w:pPr>
        <w:pStyle w:val="ListParagraph"/>
        <w:numPr>
          <w:ilvl w:val="0"/>
          <w:numId w:val="17"/>
        </w:numPr>
        <w:spacing w:after="120"/>
        <w:jc w:val="both"/>
      </w:pPr>
      <w:r w:rsidRPr="0041132C">
        <w:rPr>
          <w:rFonts w:cstheme="minorHAnsi"/>
          <w:szCs w:val="24"/>
        </w:rPr>
        <w:t xml:space="preserve">In Saurat (2008) </w:t>
      </w:r>
      <w:r w:rsidR="000444EA" w:rsidRPr="0041132C">
        <w:rPr>
          <w:rFonts w:cstheme="minorHAnsi"/>
          <w:szCs w:val="24"/>
        </w:rPr>
        <w:t>the proportion of patients in the placebo arm who achieved an outcome of PASI-75 is higher compared to the remaining placebo trials suggesting a possible irregularity in the conduct of the trial; and</w:t>
      </w:r>
    </w:p>
    <w:p w:rsidR="000444EA" w:rsidRPr="0041132C" w:rsidRDefault="000444EA" w:rsidP="00353DCC">
      <w:pPr>
        <w:pStyle w:val="ListParagraph"/>
        <w:numPr>
          <w:ilvl w:val="0"/>
          <w:numId w:val="17"/>
        </w:numPr>
        <w:spacing w:after="120"/>
        <w:jc w:val="both"/>
      </w:pPr>
      <w:r w:rsidRPr="0041132C">
        <w:rPr>
          <w:rFonts w:cstheme="minorHAnsi"/>
          <w:szCs w:val="24"/>
        </w:rPr>
        <w:t>u</w:t>
      </w:r>
      <w:r w:rsidRPr="0041132C">
        <w:rPr>
          <w:rFonts w:eastAsiaTheme="majorEastAsia" w:cstheme="minorHAnsi"/>
          <w:szCs w:val="24"/>
        </w:rPr>
        <w:t>sing a naïve indirect comparison suggests that apremilast</w:t>
      </w:r>
      <w:r w:rsidR="00727D5B" w:rsidRPr="0041132C">
        <w:rPr>
          <w:rFonts w:eastAsiaTheme="majorEastAsia" w:cstheme="minorHAnsi"/>
          <w:szCs w:val="24"/>
        </w:rPr>
        <w:t xml:space="preserve"> (response rate;</w:t>
      </w:r>
      <w:r w:rsidR="00105CFC" w:rsidRPr="0041132C">
        <w:rPr>
          <w:rFonts w:eastAsiaTheme="majorEastAsia" w:cstheme="minorHAnsi"/>
          <w:szCs w:val="24"/>
        </w:rPr>
        <w:t xml:space="preserve"> 33%)</w:t>
      </w:r>
      <w:r w:rsidR="008B1176" w:rsidRPr="0041132C">
        <w:rPr>
          <w:rFonts w:eastAsiaTheme="majorEastAsia" w:cstheme="minorHAnsi"/>
          <w:szCs w:val="24"/>
        </w:rPr>
        <w:t xml:space="preserve"> </w:t>
      </w:r>
      <w:r w:rsidRPr="0041132C">
        <w:rPr>
          <w:rFonts w:eastAsiaTheme="majorEastAsia" w:cstheme="minorHAnsi"/>
          <w:szCs w:val="24"/>
        </w:rPr>
        <w:t>is inferior to cyclosporin</w:t>
      </w:r>
      <w:r w:rsidR="00727D5B" w:rsidRPr="0041132C">
        <w:rPr>
          <w:rFonts w:eastAsiaTheme="majorEastAsia" w:cstheme="minorHAnsi"/>
          <w:szCs w:val="24"/>
        </w:rPr>
        <w:t xml:space="preserve"> </w:t>
      </w:r>
      <w:r w:rsidR="00105CFC" w:rsidRPr="0041132C">
        <w:rPr>
          <w:rFonts w:eastAsiaTheme="majorEastAsia" w:cstheme="minorHAnsi"/>
          <w:szCs w:val="24"/>
        </w:rPr>
        <w:t>(71%</w:t>
      </w:r>
      <w:r w:rsidR="00727D5B" w:rsidRPr="0041132C">
        <w:rPr>
          <w:rFonts w:eastAsiaTheme="majorEastAsia" w:cstheme="minorHAnsi"/>
          <w:szCs w:val="24"/>
        </w:rPr>
        <w:t>)</w:t>
      </w:r>
      <w:r w:rsidRPr="0041132C">
        <w:rPr>
          <w:rFonts w:eastAsiaTheme="majorEastAsia" w:cstheme="minorHAnsi"/>
          <w:szCs w:val="24"/>
        </w:rPr>
        <w:t xml:space="preserve"> (cyclosporin single arm from Heydendael (2003) and meta-analysis of the four apremilast trials (conducted during evaluation)). This comparison should be interpreted with caution</w:t>
      </w:r>
    </w:p>
    <w:p w:rsidR="00F533EB" w:rsidRPr="0041132C" w:rsidRDefault="00F533EB" w:rsidP="001445D8">
      <w:pPr>
        <w:pStyle w:val="ListParagraph"/>
        <w:numPr>
          <w:ilvl w:val="1"/>
          <w:numId w:val="3"/>
        </w:numPr>
        <w:spacing w:before="0" w:after="120"/>
        <w:jc w:val="both"/>
      </w:pPr>
      <w:r w:rsidRPr="0041132C">
        <w:t xml:space="preserve">The PSCR (p.2) agreed that the inclusion of the Saurat (2008) and </w:t>
      </w:r>
      <w:r w:rsidRPr="001445D8">
        <w:t>Heydendael (2003) trials may be sources of heterogeneity, but stated that this was not necessarily reflected in f</w:t>
      </w:r>
      <w:r w:rsidR="00931D02" w:rsidRPr="001445D8">
        <w:t>ormal tests. The PSCR (p.2)</w:t>
      </w:r>
      <w:r w:rsidRPr="001445D8">
        <w:t xml:space="preserve"> also noted that the extent of heterogeneity/inconsistency depends o</w:t>
      </w:r>
      <w:r w:rsidR="00931D02" w:rsidRPr="001445D8">
        <w:t xml:space="preserve">n the comparative measure used and that using the odds ratio as the principal statistical measure demonstrates that apremilast “is not only non-inferior to cyclosporin but notably the ratio estimates are positive”.  The sponsor maintained that despite potential exchangeability issues, the evidence presented in the submission demonstrates that apremilast is at least non-inferior to cyclosporin in terms of comparative efficacy.  </w:t>
      </w:r>
    </w:p>
    <w:p w:rsidR="00754A10" w:rsidRPr="005348DF" w:rsidRDefault="000D1581" w:rsidP="005348DF">
      <w:pPr>
        <w:pStyle w:val="ListParagraph"/>
        <w:numPr>
          <w:ilvl w:val="1"/>
          <w:numId w:val="3"/>
        </w:numPr>
        <w:spacing w:before="0" w:after="120"/>
        <w:jc w:val="both"/>
      </w:pPr>
      <w:r w:rsidRPr="0041132C">
        <w:t>T</w:t>
      </w:r>
      <w:r w:rsidR="00993FDF" w:rsidRPr="0041132C">
        <w:t>he</w:t>
      </w:r>
      <w:r w:rsidR="001052DB" w:rsidRPr="0041132C">
        <w:t xml:space="preserve"> evaluation and ESC considered that there</w:t>
      </w:r>
      <w:r w:rsidR="00993FDF" w:rsidRPr="0041132C">
        <w:t xml:space="preserve"> appears to be a fundamental flaw in the indirect network analysis caused by the inclusion of the Saurat (2008) and Heydendael (2003) trials. This resulted in the uneven distribution of effect modifiers between the trials </w:t>
      </w:r>
      <w:r w:rsidR="006411F3" w:rsidRPr="0041132C">
        <w:t>indicating that the transitivity assumption may not hold</w:t>
      </w:r>
      <w:r w:rsidR="00993FDF" w:rsidRPr="0041132C">
        <w:t xml:space="preserve">. </w:t>
      </w:r>
      <w:r w:rsidR="001052DB" w:rsidRPr="003F719C">
        <w:t>Th</w:t>
      </w:r>
      <w:r w:rsidR="00DF2271" w:rsidRPr="003F719C">
        <w:t>e evaluation and ESC considered th</w:t>
      </w:r>
      <w:r w:rsidR="001052DB" w:rsidRPr="003F719C">
        <w:t>is may make the</w:t>
      </w:r>
      <w:r w:rsidR="00842CB7" w:rsidRPr="005348DF">
        <w:t xml:space="preserve"> network meta-analysis</w:t>
      </w:r>
      <w:r w:rsidR="001052DB" w:rsidRPr="003F719C">
        <w:t xml:space="preserve"> unsuitable for use</w:t>
      </w:r>
      <w:r w:rsidR="00842CB7" w:rsidRPr="005348DF">
        <w:t xml:space="preserve"> </w:t>
      </w:r>
      <w:r w:rsidR="00A26BBC" w:rsidRPr="0021253F">
        <w:t>for decision</w:t>
      </w:r>
      <w:r w:rsidR="00842CB7" w:rsidRPr="0021253F">
        <w:t xml:space="preserve"> making.</w:t>
      </w:r>
    </w:p>
    <w:p w:rsidR="00C317F3" w:rsidRPr="0021253F" w:rsidRDefault="00C317F3" w:rsidP="003F719C">
      <w:pPr>
        <w:pStyle w:val="Heading2"/>
        <w:spacing w:before="120"/>
        <w:rPr>
          <w:i w:val="0"/>
        </w:rPr>
      </w:pPr>
      <w:bookmarkStart w:id="17" w:name="_Toc413139279"/>
      <w:bookmarkStart w:id="18" w:name="_Toc493165615"/>
      <w:r w:rsidRPr="005348DF">
        <w:rPr>
          <w:i w:val="0"/>
        </w:rPr>
        <w:t>Comparative harms</w:t>
      </w:r>
      <w:bookmarkEnd w:id="17"/>
      <w:bookmarkEnd w:id="18"/>
    </w:p>
    <w:p w:rsidR="00105CFC" w:rsidRPr="0041132C" w:rsidRDefault="00105CFC" w:rsidP="005348DF">
      <w:pPr>
        <w:pStyle w:val="ListParagraph"/>
        <w:numPr>
          <w:ilvl w:val="1"/>
          <w:numId w:val="3"/>
        </w:numPr>
        <w:spacing w:before="0" w:after="120"/>
        <w:jc w:val="both"/>
        <w:rPr>
          <w:color w:val="4472C4" w:themeColor="accent5"/>
        </w:rPr>
      </w:pPr>
      <w:r w:rsidRPr="0021253F">
        <w:t>The resubmission presented additional safety evidence to previous submissions to in</w:t>
      </w:r>
      <w:r w:rsidRPr="0041132C">
        <w:t>clude the indirect network meta-analysis above.</w:t>
      </w:r>
      <w:r w:rsidRPr="0041132C">
        <w:rPr>
          <w:color w:val="4472C4" w:themeColor="accent5"/>
        </w:rPr>
        <w:t xml:space="preserve"> </w:t>
      </w:r>
    </w:p>
    <w:p w:rsidR="00C317F3" w:rsidRPr="0041132C" w:rsidRDefault="004A7015">
      <w:pPr>
        <w:pStyle w:val="ListParagraph"/>
        <w:numPr>
          <w:ilvl w:val="1"/>
          <w:numId w:val="3"/>
        </w:numPr>
        <w:spacing w:before="0" w:after="120"/>
        <w:jc w:val="both"/>
        <w:rPr>
          <w:color w:val="4472C4" w:themeColor="accent5"/>
        </w:rPr>
      </w:pPr>
      <w:r w:rsidRPr="0041132C">
        <w:t xml:space="preserve">The adverse event results of the network meta-analysis of apremilast and cyclosporin at 16 weeks </w:t>
      </w:r>
      <w:r w:rsidR="000075EA" w:rsidRPr="0041132C">
        <w:t xml:space="preserve">from the resubmission </w:t>
      </w:r>
      <w:r w:rsidRPr="0041132C">
        <w:t>are presented in the table below.</w:t>
      </w:r>
    </w:p>
    <w:p w:rsidR="002E1B18" w:rsidRPr="0041132C" w:rsidRDefault="002E1B18" w:rsidP="003F719C">
      <w:pPr>
        <w:pStyle w:val="TableName"/>
        <w:spacing w:after="120"/>
        <w:rPr>
          <w:rFonts w:ascii="Arial Narrow" w:hAnsi="Arial Narrow"/>
          <w:b/>
          <w:sz w:val="20"/>
        </w:rPr>
      </w:pPr>
      <w:r w:rsidRPr="0041132C">
        <w:rPr>
          <w:rFonts w:ascii="Arial Narrow" w:hAnsi="Arial Narrow"/>
          <w:b/>
          <w:sz w:val="20"/>
        </w:rPr>
        <w:t>Table</w:t>
      </w:r>
      <w:r w:rsidR="007656EF" w:rsidRPr="0041132C">
        <w:rPr>
          <w:rFonts w:ascii="Arial Narrow" w:hAnsi="Arial Narrow"/>
          <w:b/>
          <w:sz w:val="20"/>
        </w:rPr>
        <w:t xml:space="preserve"> 10</w:t>
      </w:r>
      <w:r w:rsidRPr="0041132C">
        <w:rPr>
          <w:rFonts w:ascii="Arial Narrow" w:hAnsi="Arial Narrow"/>
          <w:b/>
          <w:sz w:val="20"/>
        </w:rPr>
        <w:t xml:space="preserve">: Network meta-analysis of apremilast and cyclosporin on </w:t>
      </w:r>
      <w:r w:rsidR="00EC16AD" w:rsidRPr="0041132C">
        <w:rPr>
          <w:rFonts w:ascii="Arial Narrow" w:hAnsi="Arial Narrow"/>
          <w:b/>
          <w:sz w:val="20"/>
        </w:rPr>
        <w:t>a</w:t>
      </w:r>
      <w:r w:rsidRPr="0041132C">
        <w:rPr>
          <w:rFonts w:ascii="Arial Narrow" w:hAnsi="Arial Narrow"/>
          <w:b/>
          <w:sz w:val="20"/>
        </w:rPr>
        <w:t xml:space="preserve">dverse events at 16 weeks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21"/>
        <w:gridCol w:w="1419"/>
        <w:gridCol w:w="862"/>
        <w:gridCol w:w="1400"/>
        <w:gridCol w:w="862"/>
        <w:gridCol w:w="2114"/>
        <w:gridCol w:w="851"/>
      </w:tblGrid>
      <w:tr w:rsidR="002E1B18" w:rsidRPr="0041132C" w:rsidTr="00105CFC">
        <w:trPr>
          <w:trHeight w:val="345"/>
        </w:trPr>
        <w:tc>
          <w:tcPr>
            <w:tcW w:w="888" w:type="pct"/>
            <w:shd w:val="clear" w:color="auto" w:fill="auto"/>
            <w:noWrap/>
            <w:vAlign w:val="bottom"/>
          </w:tcPr>
          <w:p w:rsidR="002E1B18" w:rsidRPr="0041132C" w:rsidRDefault="002E1B18" w:rsidP="003F719C">
            <w:pPr>
              <w:pStyle w:val="TableHeading"/>
              <w:spacing w:after="0"/>
              <w:rPr>
                <w:lang w:eastAsia="en-AU"/>
              </w:rPr>
            </w:pPr>
          </w:p>
        </w:tc>
        <w:tc>
          <w:tcPr>
            <w:tcW w:w="777" w:type="pct"/>
            <w:shd w:val="clear" w:color="auto" w:fill="auto"/>
            <w:noWrap/>
          </w:tcPr>
          <w:p w:rsidR="002E1B18" w:rsidRPr="0041132C" w:rsidRDefault="002E1B18" w:rsidP="003F719C">
            <w:pPr>
              <w:pStyle w:val="TableHeading"/>
              <w:spacing w:after="0"/>
              <w:ind w:left="94"/>
              <w:rPr>
                <w:lang w:eastAsia="en-AU"/>
              </w:rPr>
            </w:pPr>
            <w:r w:rsidRPr="0041132C">
              <w:rPr>
                <w:lang w:eastAsia="en-AU"/>
              </w:rPr>
              <w:t>Outcome</w:t>
            </w:r>
          </w:p>
        </w:tc>
        <w:tc>
          <w:tcPr>
            <w:tcW w:w="472" w:type="pct"/>
            <w:shd w:val="clear" w:color="auto" w:fill="auto"/>
            <w:noWrap/>
          </w:tcPr>
          <w:p w:rsidR="002E1B18" w:rsidRPr="0041132C" w:rsidRDefault="002E1B18" w:rsidP="003F719C">
            <w:pPr>
              <w:pStyle w:val="TableHeading"/>
              <w:spacing w:after="0"/>
              <w:ind w:left="0"/>
              <w:rPr>
                <w:lang w:eastAsia="en-AU"/>
              </w:rPr>
            </w:pPr>
            <w:r w:rsidRPr="0041132C">
              <w:rPr>
                <w:rFonts w:cs="Palatino Linotype"/>
                <w:lang w:val="en-US" w:eastAsia="en-AU"/>
              </w:rPr>
              <w:t>Estimate</w:t>
            </w:r>
          </w:p>
        </w:tc>
        <w:tc>
          <w:tcPr>
            <w:tcW w:w="767" w:type="pct"/>
            <w:shd w:val="clear" w:color="auto" w:fill="auto"/>
            <w:noWrap/>
          </w:tcPr>
          <w:p w:rsidR="002E1B18" w:rsidRPr="0041132C" w:rsidRDefault="002E1B18" w:rsidP="003F719C">
            <w:pPr>
              <w:pStyle w:val="TableHeading"/>
              <w:spacing w:after="0"/>
              <w:ind w:left="87"/>
              <w:rPr>
                <w:lang w:eastAsia="en-AU"/>
              </w:rPr>
            </w:pPr>
            <w:r w:rsidRPr="0041132C">
              <w:rPr>
                <w:rFonts w:cs="Palatino Linotype"/>
                <w:lang w:val="en-US" w:eastAsia="en-AU"/>
              </w:rPr>
              <w:t>95% confidence interval</w:t>
            </w:r>
          </w:p>
        </w:tc>
        <w:tc>
          <w:tcPr>
            <w:tcW w:w="472" w:type="pct"/>
            <w:shd w:val="clear" w:color="auto" w:fill="auto"/>
            <w:noWrap/>
          </w:tcPr>
          <w:p w:rsidR="002E1B18" w:rsidRPr="0041132C" w:rsidRDefault="002E1B18" w:rsidP="003F719C">
            <w:pPr>
              <w:pStyle w:val="TableHeading"/>
              <w:spacing w:after="0"/>
              <w:ind w:left="67"/>
              <w:rPr>
                <w:lang w:eastAsia="en-AU"/>
              </w:rPr>
            </w:pPr>
            <w:r w:rsidRPr="0041132C">
              <w:rPr>
                <w:rFonts w:cs="Palatino Linotype"/>
                <w:lang w:val="en-US" w:eastAsia="en-AU"/>
              </w:rPr>
              <w:t>P–value</w:t>
            </w:r>
          </w:p>
        </w:tc>
        <w:tc>
          <w:tcPr>
            <w:tcW w:w="1158" w:type="pct"/>
            <w:shd w:val="clear" w:color="auto" w:fill="auto"/>
            <w:noWrap/>
          </w:tcPr>
          <w:p w:rsidR="002E1B18" w:rsidRPr="0041132C" w:rsidRDefault="002E1B18" w:rsidP="003F719C">
            <w:pPr>
              <w:pStyle w:val="TableHeading"/>
              <w:spacing w:after="0"/>
              <w:ind w:left="55"/>
              <w:rPr>
                <w:lang w:eastAsia="en-AU"/>
              </w:rPr>
            </w:pPr>
            <w:r w:rsidRPr="0041132C">
              <w:rPr>
                <w:lang w:val="en-US" w:eastAsia="en-AU"/>
              </w:rPr>
              <w:t>Test of heterogeneity</w:t>
            </w:r>
          </w:p>
        </w:tc>
        <w:tc>
          <w:tcPr>
            <w:tcW w:w="466" w:type="pct"/>
            <w:shd w:val="clear" w:color="auto" w:fill="auto"/>
            <w:noWrap/>
          </w:tcPr>
          <w:p w:rsidR="002E1B18" w:rsidRPr="0041132C" w:rsidRDefault="002E1B18" w:rsidP="003F719C">
            <w:pPr>
              <w:pStyle w:val="TableHeading"/>
              <w:spacing w:after="0"/>
              <w:ind w:left="83"/>
              <w:rPr>
                <w:lang w:eastAsia="en-AU"/>
              </w:rPr>
            </w:pPr>
            <w:r w:rsidRPr="0041132C">
              <w:rPr>
                <w:lang w:val="en-US" w:eastAsia="en-AU"/>
              </w:rPr>
              <w:t>I</w:t>
            </w:r>
            <w:r w:rsidRPr="0041132C">
              <w:rPr>
                <w:vertAlign w:val="superscript"/>
                <w:lang w:val="en-US" w:eastAsia="en-AU"/>
              </w:rPr>
              <w:t>2</w:t>
            </w:r>
          </w:p>
        </w:tc>
      </w:tr>
      <w:tr w:rsidR="002E1B18" w:rsidRPr="0041132C" w:rsidTr="00105CFC">
        <w:trPr>
          <w:trHeight w:val="345"/>
        </w:trPr>
        <w:tc>
          <w:tcPr>
            <w:tcW w:w="888" w:type="pct"/>
            <w:vMerge w:val="restart"/>
            <w:shd w:val="clear" w:color="auto" w:fill="auto"/>
            <w:noWrap/>
            <w:hideMark/>
          </w:tcPr>
          <w:p w:rsidR="002E1B18" w:rsidRPr="005348DF" w:rsidRDefault="002E1B18" w:rsidP="003F719C">
            <w:pPr>
              <w:pStyle w:val="TableText"/>
              <w:spacing w:after="0"/>
              <w:rPr>
                <w:lang w:eastAsia="en-AU"/>
              </w:rPr>
            </w:pPr>
            <w:r w:rsidRPr="005348DF">
              <w:rPr>
                <w:lang w:eastAsia="en-AU"/>
              </w:rPr>
              <w:t>Risk difference (%)</w:t>
            </w:r>
          </w:p>
          <w:p w:rsidR="002E1B18" w:rsidRPr="0041132C" w:rsidRDefault="002E1B18" w:rsidP="003F719C">
            <w:pPr>
              <w:pStyle w:val="TableText"/>
              <w:spacing w:after="0"/>
              <w:rPr>
                <w:lang w:eastAsia="en-AU"/>
              </w:rPr>
            </w:pPr>
            <w:r w:rsidRPr="0041132C">
              <w:rPr>
                <w:lang w:eastAsia="en-AU"/>
              </w:rPr>
              <w:t>(apremilast – cyclosporin)</w:t>
            </w:r>
          </w:p>
        </w:tc>
        <w:tc>
          <w:tcPr>
            <w:tcW w:w="77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Adverse events</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–6.4%</w:t>
            </w:r>
          </w:p>
        </w:tc>
        <w:tc>
          <w:tcPr>
            <w:tcW w:w="76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–29.1%, 16.3%</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0.582</w:t>
            </w:r>
          </w:p>
        </w:tc>
        <w:tc>
          <w:tcPr>
            <w:tcW w:w="1158"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Q(df=4) = 1.6, P = 0.804</w:t>
            </w:r>
          </w:p>
        </w:tc>
        <w:tc>
          <w:tcPr>
            <w:tcW w:w="466"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w:t>
            </w:r>
          </w:p>
        </w:tc>
      </w:tr>
      <w:tr w:rsidR="002E1B18" w:rsidRPr="0041132C" w:rsidTr="00105CFC">
        <w:trPr>
          <w:trHeight w:val="345"/>
        </w:trPr>
        <w:tc>
          <w:tcPr>
            <w:tcW w:w="888" w:type="pct"/>
            <w:vMerge/>
            <w:shd w:val="clear" w:color="auto" w:fill="auto"/>
            <w:noWrap/>
            <w:hideMark/>
          </w:tcPr>
          <w:p w:rsidR="002E1B18" w:rsidRPr="0041132C" w:rsidRDefault="002E1B18" w:rsidP="003F719C">
            <w:pPr>
              <w:pStyle w:val="TableText"/>
              <w:spacing w:after="0"/>
              <w:rPr>
                <w:lang w:eastAsia="en-AU"/>
              </w:rPr>
            </w:pPr>
          </w:p>
        </w:tc>
        <w:tc>
          <w:tcPr>
            <w:tcW w:w="77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SAEs</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1.1%</w:t>
            </w:r>
          </w:p>
        </w:tc>
        <w:tc>
          <w:tcPr>
            <w:tcW w:w="76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–5.1%, 7.3%</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0.726</w:t>
            </w:r>
          </w:p>
        </w:tc>
        <w:tc>
          <w:tcPr>
            <w:tcW w:w="1158"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Q(df=4) = 3.5, P = 0.482</w:t>
            </w:r>
          </w:p>
        </w:tc>
        <w:tc>
          <w:tcPr>
            <w:tcW w:w="466"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w:t>
            </w:r>
          </w:p>
        </w:tc>
      </w:tr>
      <w:tr w:rsidR="002E1B18" w:rsidRPr="0041132C" w:rsidTr="00105CFC">
        <w:trPr>
          <w:trHeight w:val="345"/>
        </w:trPr>
        <w:tc>
          <w:tcPr>
            <w:tcW w:w="888" w:type="pct"/>
            <w:vMerge w:val="restart"/>
            <w:shd w:val="clear" w:color="auto" w:fill="auto"/>
            <w:noWrap/>
            <w:hideMark/>
          </w:tcPr>
          <w:p w:rsidR="002E1B18" w:rsidRPr="005348DF" w:rsidRDefault="002E1B18" w:rsidP="003F719C">
            <w:pPr>
              <w:pStyle w:val="TableText"/>
              <w:spacing w:after="0"/>
              <w:rPr>
                <w:lang w:eastAsia="en-AU"/>
              </w:rPr>
            </w:pPr>
            <w:r w:rsidRPr="005348DF">
              <w:rPr>
                <w:lang w:eastAsia="en-AU"/>
              </w:rPr>
              <w:t>Risk ratio</w:t>
            </w:r>
          </w:p>
          <w:p w:rsidR="002E1B18" w:rsidRPr="0041132C" w:rsidRDefault="002E1B18" w:rsidP="003F719C">
            <w:pPr>
              <w:pStyle w:val="TableText"/>
              <w:spacing w:after="0"/>
              <w:rPr>
                <w:lang w:eastAsia="en-AU"/>
              </w:rPr>
            </w:pPr>
            <w:r w:rsidRPr="0041132C">
              <w:rPr>
                <w:lang w:eastAsia="en-AU"/>
              </w:rPr>
              <w:t>(apremilast / cyclosporin)</w:t>
            </w:r>
          </w:p>
        </w:tc>
        <w:tc>
          <w:tcPr>
            <w:tcW w:w="77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Adverse events</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0.95</w:t>
            </w:r>
          </w:p>
        </w:tc>
        <w:tc>
          <w:tcPr>
            <w:tcW w:w="76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0.70, 1.29</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0.741</w:t>
            </w:r>
          </w:p>
        </w:tc>
        <w:tc>
          <w:tcPr>
            <w:tcW w:w="1158"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Q(df=4) = 1.3, P = 0.866</w:t>
            </w:r>
          </w:p>
        </w:tc>
        <w:tc>
          <w:tcPr>
            <w:tcW w:w="466"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w:t>
            </w:r>
          </w:p>
        </w:tc>
      </w:tr>
      <w:tr w:rsidR="002E1B18" w:rsidRPr="0041132C" w:rsidTr="00105CFC">
        <w:trPr>
          <w:trHeight w:val="345"/>
        </w:trPr>
        <w:tc>
          <w:tcPr>
            <w:tcW w:w="888" w:type="pct"/>
            <w:vMerge/>
            <w:shd w:val="clear" w:color="auto" w:fill="auto"/>
            <w:noWrap/>
            <w:hideMark/>
          </w:tcPr>
          <w:p w:rsidR="002E1B18" w:rsidRPr="0041132C" w:rsidRDefault="002E1B18" w:rsidP="003F719C">
            <w:pPr>
              <w:pStyle w:val="TableText"/>
              <w:spacing w:after="0"/>
              <w:rPr>
                <w:lang w:eastAsia="en-AU"/>
              </w:rPr>
            </w:pPr>
          </w:p>
        </w:tc>
        <w:tc>
          <w:tcPr>
            <w:tcW w:w="77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SAEs</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2.05</w:t>
            </w:r>
          </w:p>
        </w:tc>
        <w:tc>
          <w:tcPr>
            <w:tcW w:w="76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0.02, 252.75</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0.771</w:t>
            </w:r>
          </w:p>
        </w:tc>
        <w:tc>
          <w:tcPr>
            <w:tcW w:w="1158"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Q(df=4) = 2.8, P = 0.591</w:t>
            </w:r>
          </w:p>
        </w:tc>
        <w:tc>
          <w:tcPr>
            <w:tcW w:w="466"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w:t>
            </w:r>
          </w:p>
        </w:tc>
      </w:tr>
      <w:tr w:rsidR="002E1B18" w:rsidRPr="0041132C" w:rsidTr="00105CFC">
        <w:trPr>
          <w:trHeight w:val="345"/>
        </w:trPr>
        <w:tc>
          <w:tcPr>
            <w:tcW w:w="888" w:type="pct"/>
            <w:vMerge w:val="restart"/>
            <w:shd w:val="clear" w:color="auto" w:fill="auto"/>
            <w:noWrap/>
            <w:hideMark/>
          </w:tcPr>
          <w:p w:rsidR="002E1B18" w:rsidRPr="005348DF" w:rsidRDefault="002E1B18" w:rsidP="003F719C">
            <w:pPr>
              <w:pStyle w:val="TableText"/>
              <w:spacing w:after="0"/>
              <w:rPr>
                <w:lang w:eastAsia="en-AU"/>
              </w:rPr>
            </w:pPr>
            <w:r w:rsidRPr="005348DF">
              <w:rPr>
                <w:lang w:eastAsia="en-AU"/>
              </w:rPr>
              <w:t>Odds ratio</w:t>
            </w:r>
          </w:p>
          <w:p w:rsidR="002E1B18" w:rsidRPr="0041132C" w:rsidRDefault="002E1B18" w:rsidP="003F719C">
            <w:pPr>
              <w:pStyle w:val="TableText"/>
              <w:spacing w:after="0"/>
              <w:rPr>
                <w:lang w:eastAsia="en-AU"/>
              </w:rPr>
            </w:pPr>
            <w:r w:rsidRPr="0041132C">
              <w:rPr>
                <w:lang w:eastAsia="en-AU"/>
              </w:rPr>
              <w:t>(apremilast / cyclosporin)</w:t>
            </w:r>
          </w:p>
        </w:tc>
        <w:tc>
          <w:tcPr>
            <w:tcW w:w="77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Adverse events</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0.59</w:t>
            </w:r>
          </w:p>
        </w:tc>
        <w:tc>
          <w:tcPr>
            <w:tcW w:w="76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0.16, 2.25</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0.443</w:t>
            </w:r>
          </w:p>
        </w:tc>
        <w:tc>
          <w:tcPr>
            <w:tcW w:w="1158"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Q(df=4) = 2.2, P = 0.703</w:t>
            </w:r>
          </w:p>
        </w:tc>
        <w:tc>
          <w:tcPr>
            <w:tcW w:w="466"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w:t>
            </w:r>
          </w:p>
        </w:tc>
      </w:tr>
      <w:tr w:rsidR="002E1B18" w:rsidRPr="0041132C" w:rsidTr="00105CFC">
        <w:trPr>
          <w:trHeight w:val="345"/>
        </w:trPr>
        <w:tc>
          <w:tcPr>
            <w:tcW w:w="888" w:type="pct"/>
            <w:vMerge/>
            <w:shd w:val="clear" w:color="auto" w:fill="auto"/>
            <w:noWrap/>
            <w:vAlign w:val="bottom"/>
            <w:hideMark/>
          </w:tcPr>
          <w:p w:rsidR="002E1B18" w:rsidRPr="0041132C" w:rsidRDefault="002E1B18" w:rsidP="003F719C">
            <w:pPr>
              <w:pStyle w:val="TableText"/>
              <w:spacing w:after="0"/>
              <w:rPr>
                <w:lang w:eastAsia="en-AU"/>
              </w:rPr>
            </w:pPr>
          </w:p>
        </w:tc>
        <w:tc>
          <w:tcPr>
            <w:tcW w:w="77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SAEs</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2.07</w:t>
            </w:r>
          </w:p>
        </w:tc>
        <w:tc>
          <w:tcPr>
            <w:tcW w:w="767"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0.02, 272.06</w:t>
            </w:r>
          </w:p>
        </w:tc>
        <w:tc>
          <w:tcPr>
            <w:tcW w:w="472"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0.770</w:t>
            </w:r>
          </w:p>
        </w:tc>
        <w:tc>
          <w:tcPr>
            <w:tcW w:w="1158"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Q(df=4) = 2.8, P = 0.586</w:t>
            </w:r>
          </w:p>
        </w:tc>
        <w:tc>
          <w:tcPr>
            <w:tcW w:w="466" w:type="pct"/>
            <w:shd w:val="clear" w:color="auto" w:fill="auto"/>
            <w:noWrap/>
            <w:vAlign w:val="bottom"/>
            <w:hideMark/>
          </w:tcPr>
          <w:p w:rsidR="002E1B18" w:rsidRPr="0041132C" w:rsidRDefault="002E1B18" w:rsidP="003F719C">
            <w:pPr>
              <w:pStyle w:val="TableText"/>
              <w:spacing w:after="0"/>
              <w:rPr>
                <w:lang w:eastAsia="en-AU"/>
              </w:rPr>
            </w:pPr>
            <w:r w:rsidRPr="0041132C">
              <w:rPr>
                <w:lang w:eastAsia="en-AU"/>
              </w:rPr>
              <w:t>0%</w:t>
            </w:r>
          </w:p>
        </w:tc>
      </w:tr>
    </w:tbl>
    <w:p w:rsidR="00833445" w:rsidRPr="0021253F" w:rsidRDefault="002E1B18" w:rsidP="005348DF">
      <w:pPr>
        <w:pStyle w:val="V50Instructions"/>
        <w:spacing w:before="0" w:after="0"/>
        <w:rPr>
          <w:rFonts w:ascii="Arial Narrow" w:hAnsi="Arial Narrow"/>
          <w:color w:val="auto"/>
          <w:sz w:val="18"/>
          <w:szCs w:val="18"/>
        </w:rPr>
      </w:pPr>
      <w:r w:rsidRPr="005348DF">
        <w:rPr>
          <w:rFonts w:ascii="Arial Narrow" w:hAnsi="Arial Narrow"/>
          <w:color w:val="auto"/>
          <w:sz w:val="18"/>
          <w:szCs w:val="18"/>
        </w:rPr>
        <w:t xml:space="preserve">Source: Table 2.9.2, p41 of the resubmission </w:t>
      </w:r>
    </w:p>
    <w:p w:rsidR="002E1B18" w:rsidRPr="0041132C" w:rsidRDefault="00833445" w:rsidP="003F719C">
      <w:pPr>
        <w:pStyle w:val="V50Instructions"/>
        <w:spacing w:before="0" w:after="0"/>
        <w:rPr>
          <w:rFonts w:ascii="Arial Narrow" w:hAnsi="Arial Narrow"/>
          <w:color w:val="auto"/>
          <w:sz w:val="18"/>
          <w:szCs w:val="18"/>
        </w:rPr>
      </w:pPr>
      <w:r w:rsidRPr="0021253F">
        <w:rPr>
          <w:rFonts w:ascii="Arial Narrow" w:hAnsi="Arial Narrow"/>
          <w:color w:val="auto"/>
          <w:sz w:val="18"/>
          <w:szCs w:val="18"/>
        </w:rPr>
        <w:t>df = degrees of freedom; I</w:t>
      </w:r>
      <w:r w:rsidRPr="0041132C">
        <w:rPr>
          <w:rFonts w:ascii="Arial Narrow" w:hAnsi="Arial Narrow"/>
          <w:color w:val="auto"/>
          <w:sz w:val="18"/>
          <w:szCs w:val="18"/>
          <w:vertAlign w:val="superscript"/>
        </w:rPr>
        <w:t xml:space="preserve">2 </w:t>
      </w:r>
      <w:r w:rsidRPr="0041132C">
        <w:rPr>
          <w:rFonts w:ascii="Arial Narrow" w:hAnsi="Arial Narrow"/>
          <w:color w:val="auto"/>
          <w:sz w:val="18"/>
          <w:szCs w:val="18"/>
        </w:rPr>
        <w:t>= measure of heterogeneity derived from Q; Q = chi-square statistic from Cochran’s Q test</w:t>
      </w:r>
      <w:r w:rsidR="003A2C94" w:rsidRPr="0041132C">
        <w:rPr>
          <w:rFonts w:ascii="Arial Narrow" w:hAnsi="Arial Narrow"/>
          <w:color w:val="auto"/>
          <w:sz w:val="18"/>
          <w:szCs w:val="18"/>
        </w:rPr>
        <w:t>;</w:t>
      </w:r>
      <w:r w:rsidRPr="0041132C">
        <w:rPr>
          <w:rFonts w:ascii="Arial Narrow" w:hAnsi="Arial Narrow"/>
          <w:color w:val="auto"/>
          <w:sz w:val="18"/>
          <w:szCs w:val="18"/>
        </w:rPr>
        <w:t xml:space="preserve"> </w:t>
      </w:r>
      <w:r w:rsidR="002E1B18" w:rsidRPr="0041132C">
        <w:rPr>
          <w:rFonts w:ascii="Arial Narrow" w:hAnsi="Arial Narrow"/>
          <w:color w:val="auto"/>
          <w:sz w:val="18"/>
          <w:szCs w:val="18"/>
        </w:rPr>
        <w:t>SAE = serious adverse events</w:t>
      </w:r>
      <w:r w:rsidR="00773709" w:rsidRPr="0041132C">
        <w:rPr>
          <w:rFonts w:ascii="Arial Narrow" w:hAnsi="Arial Narrow"/>
          <w:color w:val="auto"/>
          <w:sz w:val="18"/>
          <w:szCs w:val="18"/>
        </w:rPr>
        <w:t xml:space="preserve"> </w:t>
      </w:r>
    </w:p>
    <w:p w:rsidR="00C77351" w:rsidRPr="0041132C" w:rsidRDefault="00C77351" w:rsidP="003F719C">
      <w:pPr>
        <w:pStyle w:val="V50Instructions"/>
        <w:spacing w:before="0" w:after="0"/>
        <w:rPr>
          <w:rFonts w:ascii="Arial Narrow" w:hAnsi="Arial Narrow"/>
          <w:color w:val="auto"/>
          <w:sz w:val="18"/>
          <w:szCs w:val="18"/>
        </w:rPr>
      </w:pPr>
    </w:p>
    <w:p w:rsidR="007D1A23" w:rsidRPr="0041132C" w:rsidRDefault="005C2F09" w:rsidP="005348DF">
      <w:pPr>
        <w:pStyle w:val="ListParagraph"/>
        <w:numPr>
          <w:ilvl w:val="1"/>
          <w:numId w:val="3"/>
        </w:numPr>
        <w:spacing w:before="0" w:after="120"/>
        <w:jc w:val="both"/>
      </w:pPr>
      <w:r w:rsidRPr="0041132C">
        <w:t>The risk of adverse events appears to be approximately equal between apremilast and cyclosporin. However, the risk of serious adverse events (SAE) appeared greater with apremilast treatment compared to cyclosporin. Further, the 95% confidence intervals are very large for the risk ratio and there is likely wide variability</w:t>
      </w:r>
      <w:r w:rsidR="00105CFC" w:rsidRPr="0041132C">
        <w:t xml:space="preserve"> due to the low number of events occurring</w:t>
      </w:r>
      <w:r w:rsidRPr="0041132C">
        <w:t>.</w:t>
      </w:r>
    </w:p>
    <w:p w:rsidR="00245CF3" w:rsidRPr="0041132C" w:rsidRDefault="00961C5E">
      <w:pPr>
        <w:pStyle w:val="ListParagraph"/>
        <w:numPr>
          <w:ilvl w:val="1"/>
          <w:numId w:val="3"/>
        </w:numPr>
        <w:spacing w:before="0" w:after="120"/>
        <w:jc w:val="both"/>
      </w:pPr>
      <w:r w:rsidRPr="0041132C">
        <w:t>An updated PSUR (Periodic Safety Update Report</w:t>
      </w:r>
      <w:r w:rsidR="007D33CA" w:rsidRPr="0041132C">
        <w:t xml:space="preserve"> – March 2017</w:t>
      </w:r>
      <w:r w:rsidRPr="0041132C">
        <w:t xml:space="preserve">) </w:t>
      </w:r>
      <w:r w:rsidR="007D33CA" w:rsidRPr="0041132C">
        <w:t xml:space="preserve">was provided </w:t>
      </w:r>
      <w:r w:rsidRPr="0041132C">
        <w:t>on potential safety concerns and confirmed that the benefit-risk balance of apremilast remains favourable for the approved conditions including psoriasis.</w:t>
      </w:r>
      <w:r w:rsidR="007D33CA" w:rsidRPr="0041132C">
        <w:t xml:space="preserve"> The Pharmacovigilance Risk Assessment Committee (PRAC) had recommended the addition of suicidal ideation and behaviour as adverse drug reactions. Subsequently, these recommendations were implemented in the current Australian product information for apremilast in November 2016. </w:t>
      </w:r>
      <w:r w:rsidR="006904CE" w:rsidRPr="0041132C">
        <w:t xml:space="preserve"> </w:t>
      </w:r>
    </w:p>
    <w:p w:rsidR="00C730B7" w:rsidRPr="0041132C" w:rsidRDefault="00C730B7">
      <w:pPr>
        <w:pStyle w:val="ListParagraph"/>
        <w:numPr>
          <w:ilvl w:val="1"/>
          <w:numId w:val="3"/>
        </w:numPr>
        <w:spacing w:before="0" w:after="120"/>
        <w:jc w:val="both"/>
      </w:pPr>
      <w:r w:rsidRPr="0041132C">
        <w:t>Cyclosporin has a well</w:t>
      </w:r>
      <w:r w:rsidR="00EB0353" w:rsidRPr="0041132C">
        <w:t>-</w:t>
      </w:r>
      <w:r w:rsidRPr="0041132C">
        <w:t>established safety profile with very common adverse events including hypertension, hirsutism, impaired renal function, gingival hypertrophy, gastrointestinal disturbances, tremor and fatigue and hyperlipidaemia. Further, t</w:t>
      </w:r>
      <w:r w:rsidRPr="0041132C">
        <w:rPr>
          <w:iCs/>
        </w:rPr>
        <w:t>he Australian Medicines Handbook (2017) reports that long term continuous treatment with cyclosporin is not recommended beyond a period of two years in the treatment of psoriasis due to the risk of nephrotoxicity.</w:t>
      </w:r>
      <w:r w:rsidR="00C85A96" w:rsidRPr="0041132C">
        <w:rPr>
          <w:iCs/>
        </w:rPr>
        <w:t xml:space="preserve"> In comparison, </w:t>
      </w:r>
      <w:r w:rsidR="00DF2271" w:rsidRPr="0041132C">
        <w:rPr>
          <w:iCs/>
        </w:rPr>
        <w:t xml:space="preserve">the </w:t>
      </w:r>
      <w:r w:rsidR="00C85A96" w:rsidRPr="0041132C">
        <w:rPr>
          <w:iCs/>
        </w:rPr>
        <w:t>product information for apremilast reported the most frequently reported adverse events as gastrointestinal related. However, assessment of renal function is recommended prior to initiation of apremilast.</w:t>
      </w:r>
    </w:p>
    <w:p w:rsidR="00624315" w:rsidRPr="0041132C" w:rsidRDefault="00624315">
      <w:pPr>
        <w:pStyle w:val="Heading2"/>
        <w:rPr>
          <w:i w:val="0"/>
        </w:rPr>
      </w:pPr>
      <w:bookmarkStart w:id="19" w:name="_Toc493165616"/>
      <w:bookmarkStart w:id="20" w:name="_Toc413139281"/>
      <w:r w:rsidRPr="0041132C">
        <w:rPr>
          <w:i w:val="0"/>
        </w:rPr>
        <w:t>Benefits and harms</w:t>
      </w:r>
      <w:bookmarkEnd w:id="19"/>
    </w:p>
    <w:p w:rsidR="008A3698" w:rsidRPr="0041132C" w:rsidRDefault="008A3698">
      <w:pPr>
        <w:pStyle w:val="ListParagraph"/>
        <w:numPr>
          <w:ilvl w:val="1"/>
          <w:numId w:val="3"/>
        </w:numPr>
        <w:spacing w:before="0" w:after="120"/>
        <w:jc w:val="both"/>
      </w:pPr>
      <w:r w:rsidRPr="0041132C">
        <w:t>In the resubmission, a claim of non</w:t>
      </w:r>
      <w:r w:rsidR="00D50581" w:rsidRPr="0041132C">
        <w:t>-</w:t>
      </w:r>
      <w:r w:rsidRPr="0041132C">
        <w:t>inferiority was made on the outcome of efficacy and the rate of adverse events. Therefore, a benefits/harms table has not been presented.</w:t>
      </w:r>
    </w:p>
    <w:p w:rsidR="00C317F3" w:rsidRPr="0041132C" w:rsidRDefault="008058E8">
      <w:pPr>
        <w:pStyle w:val="Heading2"/>
        <w:rPr>
          <w:i w:val="0"/>
        </w:rPr>
      </w:pPr>
      <w:bookmarkStart w:id="21" w:name="_Toc493165617"/>
      <w:bookmarkEnd w:id="20"/>
      <w:r w:rsidRPr="0041132C">
        <w:rPr>
          <w:i w:val="0"/>
        </w:rPr>
        <w:t>Interpretation of clinical evidence</w:t>
      </w:r>
      <w:bookmarkEnd w:id="21"/>
    </w:p>
    <w:p w:rsidR="001F52C5" w:rsidRPr="0041132C" w:rsidRDefault="001F52C5">
      <w:pPr>
        <w:pStyle w:val="ListParagraph"/>
        <w:numPr>
          <w:ilvl w:val="1"/>
          <w:numId w:val="3"/>
        </w:numPr>
        <w:spacing w:before="0" w:after="120"/>
        <w:jc w:val="both"/>
      </w:pPr>
      <w:r w:rsidRPr="0041132C">
        <w:t>The clinical claim presented in the current re</w:t>
      </w:r>
      <w:r w:rsidR="00115322" w:rsidRPr="0041132C">
        <w:t>submission was that apremilast wa</w:t>
      </w:r>
      <w:r w:rsidRPr="0041132C">
        <w:t>s non</w:t>
      </w:r>
      <w:r w:rsidR="00D50581" w:rsidRPr="0041132C">
        <w:t>-</w:t>
      </w:r>
      <w:r w:rsidRPr="0041132C">
        <w:t xml:space="preserve">inferior in terms of comparative effectiveness and </w:t>
      </w:r>
      <w:r w:rsidR="000E09D3" w:rsidRPr="0041132C">
        <w:t>non</w:t>
      </w:r>
      <w:r w:rsidR="00D50581" w:rsidRPr="0041132C">
        <w:t>-</w:t>
      </w:r>
      <w:r w:rsidR="000E09D3" w:rsidRPr="0041132C">
        <w:t>inferior</w:t>
      </w:r>
      <w:r w:rsidRPr="0041132C">
        <w:t xml:space="preserve"> in terms of comparative rates of adverse events </w:t>
      </w:r>
      <w:r w:rsidR="001052DB" w:rsidRPr="0041132C">
        <w:t xml:space="preserve">but </w:t>
      </w:r>
      <w:r w:rsidRPr="0041132C">
        <w:t xml:space="preserve">with a superior safety profile. This claim differed from all previous submissions </w:t>
      </w:r>
      <w:r w:rsidR="005B62BA" w:rsidRPr="0041132C">
        <w:t>as follows</w:t>
      </w:r>
      <w:r w:rsidRPr="0041132C">
        <w:t>:</w:t>
      </w:r>
    </w:p>
    <w:p w:rsidR="001F52C5" w:rsidRPr="0041132C" w:rsidRDefault="000E09D3" w:rsidP="00353DCC">
      <w:pPr>
        <w:pStyle w:val="ListParagraph"/>
        <w:numPr>
          <w:ilvl w:val="0"/>
          <w:numId w:val="15"/>
        </w:numPr>
        <w:spacing w:before="0" w:after="120"/>
        <w:jc w:val="both"/>
      </w:pPr>
      <w:r w:rsidRPr="0041132C">
        <w:t>non</w:t>
      </w:r>
      <w:r w:rsidR="00D50581" w:rsidRPr="0041132C">
        <w:t>-</w:t>
      </w:r>
      <w:r w:rsidRPr="0041132C">
        <w:t>inferior</w:t>
      </w:r>
      <w:r w:rsidR="001F52C5" w:rsidRPr="0041132C">
        <w:t>ity in effectiveness and superiority in safety compared to cyclosporin in the March 2015 submission;</w:t>
      </w:r>
    </w:p>
    <w:p w:rsidR="006655DE" w:rsidRPr="0041132C" w:rsidRDefault="001F52C5" w:rsidP="00353DCC">
      <w:pPr>
        <w:pStyle w:val="ListParagraph"/>
        <w:numPr>
          <w:ilvl w:val="0"/>
          <w:numId w:val="15"/>
        </w:numPr>
        <w:spacing w:before="0" w:after="120"/>
        <w:jc w:val="both"/>
      </w:pPr>
      <w:r w:rsidRPr="0041132C">
        <w:t>superiority in both effectiveness and safety compared to cyclosporin in the November 2016 resubmission.</w:t>
      </w:r>
    </w:p>
    <w:p w:rsidR="00B55532" w:rsidRPr="0041132C" w:rsidRDefault="00B55532">
      <w:pPr>
        <w:pStyle w:val="ListParagraph"/>
        <w:numPr>
          <w:ilvl w:val="1"/>
          <w:numId w:val="3"/>
        </w:numPr>
        <w:spacing w:before="0" w:after="120"/>
        <w:jc w:val="both"/>
      </w:pPr>
      <w:r w:rsidRPr="0041132C">
        <w:t xml:space="preserve">The PBAC </w:t>
      </w:r>
      <w:r w:rsidR="00AC7FC7" w:rsidRPr="0041132C">
        <w:t xml:space="preserve">agreed that there was </w:t>
      </w:r>
      <w:r w:rsidR="009B1D1E">
        <w:t xml:space="preserve">remaining </w:t>
      </w:r>
      <w:r w:rsidR="00AC7FC7" w:rsidRPr="005348DF">
        <w:t>uncertaint</w:t>
      </w:r>
      <w:r w:rsidR="00AC7FC7" w:rsidRPr="0021253F">
        <w:t>y regarding the claim of non</w:t>
      </w:r>
      <w:r w:rsidR="00AC7FC7" w:rsidRPr="0021253F">
        <w:noBreakHyphen/>
        <w:t xml:space="preserve">inferior effectiveness </w:t>
      </w:r>
      <w:r w:rsidR="005C51B9" w:rsidRPr="0041132C">
        <w:t>versus</w:t>
      </w:r>
      <w:r w:rsidR="00AC7FC7" w:rsidRPr="0041132C">
        <w:t xml:space="preserve"> cyclosporin based on the clinical evidence provided</w:t>
      </w:r>
      <w:r w:rsidR="000C7D6F" w:rsidRPr="0041132C">
        <w:t xml:space="preserve"> and that the net</w:t>
      </w:r>
      <w:r w:rsidR="009B1D1E" w:rsidRPr="009B1D1E">
        <w:t>work meta-analysis.</w:t>
      </w:r>
      <w:r w:rsidR="009B1D1E">
        <w:t xml:space="preserve"> </w:t>
      </w:r>
      <w:r w:rsidR="00AC7FC7" w:rsidRPr="0021253F">
        <w:t xml:space="preserve">However, on balance, the PBAC </w:t>
      </w:r>
      <w:r w:rsidRPr="0041132C">
        <w:t>considered</w:t>
      </w:r>
      <w:r w:rsidR="006411F3" w:rsidRPr="0041132C">
        <w:t xml:space="preserve"> </w:t>
      </w:r>
      <w:r w:rsidRPr="0041132C">
        <w:t>that the claim of non-inferior comparati</w:t>
      </w:r>
      <w:r w:rsidR="006411F3" w:rsidRPr="0041132C">
        <w:t xml:space="preserve">ve effectiveness </w:t>
      </w:r>
      <w:r w:rsidR="000D1581" w:rsidRPr="0041132C">
        <w:t xml:space="preserve">was </w:t>
      </w:r>
      <w:r w:rsidR="006411F3" w:rsidRPr="0041132C">
        <w:t>reasonable</w:t>
      </w:r>
      <w:r w:rsidRPr="0041132C">
        <w:t>.</w:t>
      </w:r>
    </w:p>
    <w:p w:rsidR="00B55532" w:rsidRPr="0041132C" w:rsidRDefault="00B55532">
      <w:pPr>
        <w:pStyle w:val="ListParagraph"/>
        <w:numPr>
          <w:ilvl w:val="1"/>
          <w:numId w:val="3"/>
        </w:numPr>
        <w:spacing w:before="0" w:after="120"/>
        <w:jc w:val="both"/>
      </w:pPr>
      <w:r w:rsidRPr="0041132C">
        <w:t>The PBAC considered that the claim of non-inferior comparative safety</w:t>
      </w:r>
      <w:r w:rsidR="006411F3" w:rsidRPr="0041132C">
        <w:t xml:space="preserve"> in terms of adverse events and </w:t>
      </w:r>
      <w:r w:rsidR="00DB61AB" w:rsidRPr="0041132C">
        <w:t xml:space="preserve">a </w:t>
      </w:r>
      <w:r w:rsidR="006411F3" w:rsidRPr="0041132C">
        <w:t>superior safety</w:t>
      </w:r>
      <w:r w:rsidRPr="0041132C">
        <w:t xml:space="preserve"> </w:t>
      </w:r>
      <w:r w:rsidR="00DB61AB" w:rsidRPr="0041132C">
        <w:t xml:space="preserve">profile </w:t>
      </w:r>
      <w:r w:rsidRPr="0041132C">
        <w:t>was reasonable</w:t>
      </w:r>
      <w:r w:rsidR="001052DB" w:rsidRPr="0041132C">
        <w:t>, noting the well documented cumulative toxicity of cyclosporin and the limitation on its use in psoriasis to no more than two years</w:t>
      </w:r>
      <w:r w:rsidRPr="0041132C">
        <w:t>.</w:t>
      </w:r>
    </w:p>
    <w:p w:rsidR="00C317F3" w:rsidRPr="0041132C" w:rsidRDefault="00C317F3">
      <w:pPr>
        <w:pStyle w:val="Heading2"/>
        <w:spacing w:before="0"/>
        <w:rPr>
          <w:i w:val="0"/>
        </w:rPr>
      </w:pPr>
      <w:bookmarkStart w:id="22" w:name="_Toc413139282"/>
      <w:bookmarkStart w:id="23" w:name="_Toc493165618"/>
      <w:r w:rsidRPr="0041132C">
        <w:rPr>
          <w:i w:val="0"/>
        </w:rPr>
        <w:t>Economic analysis</w:t>
      </w:r>
      <w:bookmarkEnd w:id="22"/>
      <w:bookmarkEnd w:id="23"/>
    </w:p>
    <w:p w:rsidR="00115322" w:rsidRPr="0041132C" w:rsidRDefault="005B3154">
      <w:pPr>
        <w:pStyle w:val="ListParagraph"/>
        <w:numPr>
          <w:ilvl w:val="1"/>
          <w:numId w:val="3"/>
        </w:numPr>
        <w:spacing w:before="0" w:after="120"/>
        <w:jc w:val="both"/>
        <w:rPr>
          <w:color w:val="4472C4" w:themeColor="accent5"/>
        </w:rPr>
      </w:pPr>
      <w:r w:rsidRPr="0041132C">
        <w:t xml:space="preserve">Previous submissions in March 2015, November 2016 and March 2017 were based on cost-utility models involving apremilast versus cyclosporin. The current resubmission presented a cost-minimisation analysis of apremilast versus cyclosporin. </w:t>
      </w:r>
    </w:p>
    <w:p w:rsidR="00A92749" w:rsidRPr="0041132C" w:rsidRDefault="00115322">
      <w:pPr>
        <w:pStyle w:val="ListParagraph"/>
        <w:numPr>
          <w:ilvl w:val="1"/>
          <w:numId w:val="3"/>
        </w:numPr>
        <w:spacing w:before="0" w:after="120"/>
        <w:jc w:val="both"/>
        <w:rPr>
          <w:color w:val="4472C4" w:themeColor="accent5"/>
        </w:rPr>
      </w:pPr>
      <w:r w:rsidRPr="0041132C">
        <w:t xml:space="preserve">The equi-effective doses were based on clinical data from the indirect network meta-analysis from the clinical evidence and the </w:t>
      </w:r>
      <w:r w:rsidR="00975460" w:rsidRPr="0041132C">
        <w:t>sources of the estimates were as follows</w:t>
      </w:r>
      <w:r w:rsidR="00A15C2C" w:rsidRPr="0041132C">
        <w:t>:</w:t>
      </w:r>
    </w:p>
    <w:p w:rsidR="00A92749" w:rsidRPr="0041132C" w:rsidRDefault="00975460" w:rsidP="00353DCC">
      <w:pPr>
        <w:pStyle w:val="BulletLast"/>
        <w:numPr>
          <w:ilvl w:val="0"/>
          <w:numId w:val="16"/>
        </w:numPr>
        <w:spacing w:after="120"/>
        <w:jc w:val="both"/>
        <w:rPr>
          <w:sz w:val="24"/>
        </w:rPr>
      </w:pPr>
      <w:r w:rsidRPr="0041132C">
        <w:rPr>
          <w:sz w:val="24"/>
        </w:rPr>
        <w:t xml:space="preserve">Apremilast dose was based on the dosing regimen </w:t>
      </w:r>
      <w:r w:rsidR="00A15C2C" w:rsidRPr="0041132C">
        <w:rPr>
          <w:sz w:val="24"/>
        </w:rPr>
        <w:t xml:space="preserve">(one week titration period   followed by </w:t>
      </w:r>
      <w:r w:rsidR="005A6384" w:rsidRPr="0041132C">
        <w:rPr>
          <w:sz w:val="24"/>
        </w:rPr>
        <w:t>60 mg</w:t>
      </w:r>
      <w:r w:rsidR="00A15C2C" w:rsidRPr="0041132C">
        <w:rPr>
          <w:sz w:val="24"/>
        </w:rPr>
        <w:t>/day for a total</w:t>
      </w:r>
      <w:r w:rsidR="008B1176" w:rsidRPr="0041132C">
        <w:rPr>
          <w:sz w:val="24"/>
        </w:rPr>
        <w:t xml:space="preserve"> </w:t>
      </w:r>
      <w:r w:rsidR="00A15C2C" w:rsidRPr="0041132C">
        <w:rPr>
          <w:sz w:val="24"/>
        </w:rPr>
        <w:t xml:space="preserve">of 16 weeks) </w:t>
      </w:r>
      <w:r w:rsidRPr="0041132C">
        <w:rPr>
          <w:sz w:val="24"/>
        </w:rPr>
        <w:t>used in the clinical trials (apremilast versus placebo) included in the network analysis</w:t>
      </w:r>
      <w:r w:rsidR="00A15C2C" w:rsidRPr="0041132C">
        <w:rPr>
          <w:sz w:val="24"/>
        </w:rPr>
        <w:t>;</w:t>
      </w:r>
      <w:r w:rsidR="00EE7453" w:rsidRPr="0041132C">
        <w:rPr>
          <w:sz w:val="24"/>
        </w:rPr>
        <w:t xml:space="preserve"> and</w:t>
      </w:r>
    </w:p>
    <w:p w:rsidR="00A92749" w:rsidRPr="0041132C" w:rsidRDefault="00975460" w:rsidP="00353DCC">
      <w:pPr>
        <w:pStyle w:val="BulletLast"/>
        <w:widowControl w:val="0"/>
        <w:numPr>
          <w:ilvl w:val="0"/>
          <w:numId w:val="16"/>
        </w:numPr>
        <w:spacing w:after="120"/>
        <w:jc w:val="both"/>
        <w:rPr>
          <w:sz w:val="24"/>
          <w:szCs w:val="24"/>
        </w:rPr>
      </w:pPr>
      <w:r w:rsidRPr="0041132C">
        <w:rPr>
          <w:sz w:val="24"/>
          <w:szCs w:val="24"/>
        </w:rPr>
        <w:t xml:space="preserve">Cyclosporin dose was </w:t>
      </w:r>
      <w:r w:rsidR="005A6384" w:rsidRPr="0041132C">
        <w:rPr>
          <w:sz w:val="24"/>
          <w:szCs w:val="24"/>
        </w:rPr>
        <w:t>3.2 mg</w:t>
      </w:r>
      <w:r w:rsidRPr="0041132C">
        <w:rPr>
          <w:sz w:val="24"/>
          <w:szCs w:val="24"/>
        </w:rPr>
        <w:t>/kg/day and based on the average dose/kg/day used in the Heydendael (2003) trial.</w:t>
      </w:r>
    </w:p>
    <w:p w:rsidR="009F159E" w:rsidRPr="0041132C" w:rsidRDefault="009F159E">
      <w:pPr>
        <w:pStyle w:val="ListParagraph"/>
        <w:numPr>
          <w:ilvl w:val="1"/>
          <w:numId w:val="3"/>
        </w:numPr>
        <w:spacing w:before="0" w:after="120"/>
        <w:jc w:val="both"/>
        <w:rPr>
          <w:szCs w:val="24"/>
        </w:rPr>
      </w:pPr>
      <w:r w:rsidRPr="0041132C">
        <w:rPr>
          <w:szCs w:val="24"/>
        </w:rPr>
        <w:t>Based on the results of the analysis, the equi-effective doses for apremilast and cyclosporin were as follows:</w:t>
      </w:r>
    </w:p>
    <w:p w:rsidR="00DF6F5B" w:rsidRPr="0041132C" w:rsidRDefault="009F159E" w:rsidP="00353DCC">
      <w:pPr>
        <w:pStyle w:val="BulletLast"/>
        <w:numPr>
          <w:ilvl w:val="0"/>
          <w:numId w:val="16"/>
        </w:numPr>
        <w:spacing w:after="120"/>
        <w:jc w:val="both"/>
        <w:rPr>
          <w:sz w:val="24"/>
          <w:szCs w:val="24"/>
        </w:rPr>
      </w:pPr>
      <w:r w:rsidRPr="0041132C">
        <w:rPr>
          <w:sz w:val="24"/>
          <w:szCs w:val="24"/>
        </w:rPr>
        <w:t>Apremilast 30 mg BID after an initial titration period over 6 days and cyclosporin 3.29 mg/kg/day are equi-effective over 16 weeks.</w:t>
      </w:r>
    </w:p>
    <w:p w:rsidR="00DF6F5B" w:rsidRPr="0041132C" w:rsidRDefault="00DF6F5B">
      <w:pPr>
        <w:pStyle w:val="ListParagraph"/>
        <w:numPr>
          <w:ilvl w:val="1"/>
          <w:numId w:val="3"/>
        </w:numPr>
        <w:spacing w:before="0" w:after="120"/>
        <w:jc w:val="both"/>
        <w:rPr>
          <w:i/>
        </w:rPr>
      </w:pPr>
      <w:r w:rsidRPr="0041132C">
        <w:t xml:space="preserve">The submission appropriately estimated the cost of cyclosporin at the Approved Ex-Manufacturer Price (AEMP) per mg; however, </w:t>
      </w:r>
      <w:r w:rsidR="00135439" w:rsidRPr="0041132C">
        <w:t>a</w:t>
      </w:r>
      <w:r w:rsidRPr="0041132C">
        <w:t>s cyclosporin is available in four strengths</w:t>
      </w:r>
      <w:r w:rsidRPr="005348DF">
        <w:t xml:space="preserve"> (10mg, 25 mg, 50 mg and 100 mg) with different AEMP/mg prices, the submission calculate</w:t>
      </w:r>
      <w:r w:rsidRPr="0041132C">
        <w:t xml:space="preserve">d an </w:t>
      </w:r>
      <w:r w:rsidR="001052DB" w:rsidRPr="0041132C">
        <w:t xml:space="preserve">unweighted </w:t>
      </w:r>
      <w:r w:rsidRPr="0041132C">
        <w:t xml:space="preserve">average price per mg across the four strengths.  The </w:t>
      </w:r>
      <w:r w:rsidR="001052DB" w:rsidRPr="0041132C">
        <w:t xml:space="preserve">PBAC noted the Department’s advice that the usual </w:t>
      </w:r>
      <w:r w:rsidRPr="0041132C">
        <w:t>pricing methodology used in these situations is the “closest pack method”, where the price of the PBS pack of cyclosporin that contains the number of mg closest to the amount needed to provide one month’s treatment at the equi-effective dose is used.</w:t>
      </w:r>
      <w:r w:rsidR="00DF2271" w:rsidRPr="0041132C">
        <w:t xml:space="preserve"> </w:t>
      </w:r>
      <w:r w:rsidRPr="0041132C">
        <w:t xml:space="preserve">This is the 100 mg cyclosporin pack, with an AEMP of $136.60 </w:t>
      </w:r>
      <w:r w:rsidR="001052DB" w:rsidRPr="0041132C">
        <w:t xml:space="preserve">for 30 capsules </w:t>
      </w:r>
      <w:r w:rsidRPr="0041132C">
        <w:t>or $0.0455 per mg, as opposed to the $</w:t>
      </w:r>
      <w:r w:rsidRPr="00000E96">
        <w:t>0.049</w:t>
      </w:r>
      <w:r w:rsidRPr="0041132C">
        <w:t xml:space="preserve"> used by the submission. </w:t>
      </w:r>
    </w:p>
    <w:p w:rsidR="00E922D7" w:rsidRPr="0041132C" w:rsidRDefault="007379CF" w:rsidP="005348DF">
      <w:pPr>
        <w:pStyle w:val="ListParagraph"/>
        <w:numPr>
          <w:ilvl w:val="1"/>
          <w:numId w:val="3"/>
        </w:numPr>
        <w:spacing w:before="0" w:after="120"/>
        <w:jc w:val="both"/>
        <w:rPr>
          <w:szCs w:val="24"/>
        </w:rPr>
      </w:pPr>
      <w:r w:rsidRPr="005348DF">
        <w:rPr>
          <w:szCs w:val="24"/>
        </w:rPr>
        <w:t xml:space="preserve">The resubmission presented cost offsets associated with different rates of hospitalisation and monitoring arising from </w:t>
      </w:r>
      <w:r w:rsidR="004C1205" w:rsidRPr="0041132C">
        <w:rPr>
          <w:szCs w:val="24"/>
        </w:rPr>
        <w:t>increased</w:t>
      </w:r>
      <w:r w:rsidRPr="0041132C">
        <w:rPr>
          <w:szCs w:val="24"/>
        </w:rPr>
        <w:t xml:space="preserve"> management of </w:t>
      </w:r>
      <w:r w:rsidR="00F81794" w:rsidRPr="0041132C">
        <w:rPr>
          <w:szCs w:val="24"/>
        </w:rPr>
        <w:t xml:space="preserve">potential toxicities with </w:t>
      </w:r>
      <w:r w:rsidRPr="0041132C">
        <w:rPr>
          <w:szCs w:val="24"/>
        </w:rPr>
        <w:t xml:space="preserve">cyclosporin compared to apremilast. </w:t>
      </w:r>
    </w:p>
    <w:p w:rsidR="00E922D7" w:rsidRPr="0041132C" w:rsidRDefault="00E922D7" w:rsidP="00353DCC">
      <w:pPr>
        <w:pStyle w:val="BulletLast"/>
        <w:numPr>
          <w:ilvl w:val="0"/>
          <w:numId w:val="16"/>
        </w:numPr>
        <w:spacing w:after="120"/>
        <w:jc w:val="both"/>
        <w:rPr>
          <w:sz w:val="24"/>
          <w:szCs w:val="24"/>
        </w:rPr>
      </w:pPr>
      <w:r w:rsidRPr="0041132C">
        <w:rPr>
          <w:sz w:val="24"/>
          <w:szCs w:val="24"/>
        </w:rPr>
        <w:t xml:space="preserve">The </w:t>
      </w:r>
      <w:r w:rsidR="00DF2271" w:rsidRPr="0041132C">
        <w:rPr>
          <w:sz w:val="24"/>
          <w:szCs w:val="24"/>
        </w:rPr>
        <w:t xml:space="preserve">submission stated the </w:t>
      </w:r>
      <w:r w:rsidRPr="0041132C">
        <w:rPr>
          <w:sz w:val="24"/>
          <w:szCs w:val="24"/>
        </w:rPr>
        <w:t>monitoring services estimates were based on assumption</w:t>
      </w:r>
      <w:r w:rsidR="00142B31" w:rsidRPr="0041132C">
        <w:rPr>
          <w:sz w:val="24"/>
          <w:szCs w:val="24"/>
        </w:rPr>
        <w:t>s</w:t>
      </w:r>
      <w:r w:rsidRPr="0041132C">
        <w:rPr>
          <w:sz w:val="24"/>
          <w:szCs w:val="24"/>
        </w:rPr>
        <w:t xml:space="preserve"> taken from the PIs of apremilast and cyclosporin</w:t>
      </w:r>
      <w:r w:rsidR="009F159E" w:rsidRPr="0041132C">
        <w:rPr>
          <w:sz w:val="24"/>
          <w:szCs w:val="24"/>
        </w:rPr>
        <w:t>, these estimates are presented in Table 11</w:t>
      </w:r>
      <w:r w:rsidRPr="0041132C">
        <w:rPr>
          <w:sz w:val="24"/>
          <w:szCs w:val="24"/>
        </w:rPr>
        <w:t xml:space="preserve">; </w:t>
      </w:r>
    </w:p>
    <w:p w:rsidR="00E922D7" w:rsidRPr="0041132C" w:rsidRDefault="00E922D7" w:rsidP="00353DCC">
      <w:pPr>
        <w:pStyle w:val="BulletLast"/>
        <w:numPr>
          <w:ilvl w:val="0"/>
          <w:numId w:val="16"/>
        </w:numPr>
        <w:spacing w:after="120"/>
        <w:jc w:val="both"/>
        <w:rPr>
          <w:sz w:val="24"/>
          <w:szCs w:val="24"/>
        </w:rPr>
      </w:pPr>
      <w:r w:rsidRPr="0041132C">
        <w:rPr>
          <w:sz w:val="24"/>
          <w:szCs w:val="24"/>
        </w:rPr>
        <w:t xml:space="preserve">The adverse event rates were based on </w:t>
      </w:r>
      <w:r w:rsidR="00DF2271" w:rsidRPr="0041132C">
        <w:rPr>
          <w:sz w:val="24"/>
          <w:szCs w:val="24"/>
        </w:rPr>
        <w:t>the</w:t>
      </w:r>
      <w:r w:rsidRPr="0041132C">
        <w:rPr>
          <w:sz w:val="24"/>
          <w:szCs w:val="24"/>
        </w:rPr>
        <w:t xml:space="preserve"> naïve indirect comparison of </w:t>
      </w:r>
      <w:r w:rsidR="00FD10CC" w:rsidRPr="0041132C">
        <w:rPr>
          <w:sz w:val="24"/>
          <w:szCs w:val="24"/>
        </w:rPr>
        <w:t>Heydendael, (2003) compared to a meta</w:t>
      </w:r>
      <w:r w:rsidR="00145913" w:rsidRPr="0041132C">
        <w:rPr>
          <w:sz w:val="24"/>
          <w:szCs w:val="24"/>
        </w:rPr>
        <w:t>-</w:t>
      </w:r>
      <w:r w:rsidR="00FD10CC" w:rsidRPr="0041132C">
        <w:rPr>
          <w:sz w:val="24"/>
          <w:szCs w:val="24"/>
        </w:rPr>
        <w:t>analysis of the apremilast trials</w:t>
      </w:r>
      <w:r w:rsidRPr="0041132C">
        <w:rPr>
          <w:sz w:val="24"/>
          <w:szCs w:val="24"/>
        </w:rPr>
        <w:t xml:space="preserve"> rather than the network meta-analysis; and </w:t>
      </w:r>
    </w:p>
    <w:p w:rsidR="00E922D7" w:rsidRPr="0041132C" w:rsidRDefault="00E922D7" w:rsidP="00353DCC">
      <w:pPr>
        <w:pStyle w:val="BulletLast"/>
        <w:numPr>
          <w:ilvl w:val="0"/>
          <w:numId w:val="16"/>
        </w:numPr>
        <w:spacing w:after="120"/>
        <w:jc w:val="both"/>
        <w:rPr>
          <w:sz w:val="24"/>
          <w:szCs w:val="24"/>
        </w:rPr>
      </w:pPr>
      <w:r w:rsidRPr="0041132C">
        <w:rPr>
          <w:sz w:val="24"/>
          <w:szCs w:val="24"/>
        </w:rPr>
        <w:t>The service utilisation due to adverse events was based on a survey of dermatologist</w:t>
      </w:r>
      <w:r w:rsidR="002D0A0B" w:rsidRPr="0041132C">
        <w:rPr>
          <w:sz w:val="24"/>
          <w:szCs w:val="24"/>
        </w:rPr>
        <w:t>s</w:t>
      </w:r>
      <w:r w:rsidRPr="0041132C">
        <w:rPr>
          <w:sz w:val="24"/>
          <w:szCs w:val="24"/>
        </w:rPr>
        <w:t xml:space="preserve"> in the Otezla® Product Familiarisation Program.</w:t>
      </w:r>
    </w:p>
    <w:p w:rsidR="00DF590E" w:rsidRPr="0041132C" w:rsidRDefault="00DF590E" w:rsidP="003F719C">
      <w:pPr>
        <w:pStyle w:val="TableName"/>
        <w:spacing w:after="120"/>
        <w:rPr>
          <w:rFonts w:ascii="Arial Narrow" w:hAnsi="Arial Narrow"/>
          <w:b/>
          <w:sz w:val="20"/>
        </w:rPr>
      </w:pPr>
    </w:p>
    <w:p w:rsidR="009F159E" w:rsidRPr="0041132C" w:rsidRDefault="009F159E" w:rsidP="003F719C">
      <w:pPr>
        <w:pStyle w:val="TableName"/>
        <w:spacing w:after="120"/>
        <w:rPr>
          <w:rFonts w:ascii="Arial Narrow" w:hAnsi="Arial Narrow"/>
          <w:b/>
          <w:sz w:val="20"/>
        </w:rPr>
      </w:pPr>
      <w:r w:rsidRPr="0041132C">
        <w:rPr>
          <w:rFonts w:ascii="Arial Narrow" w:hAnsi="Arial Narrow"/>
          <w:b/>
          <w:sz w:val="20"/>
        </w:rPr>
        <w:t xml:space="preserve">Table </w:t>
      </w:r>
      <w:r w:rsidR="00C50BCC" w:rsidRPr="0041132C">
        <w:rPr>
          <w:rFonts w:ascii="Arial Narrow" w:hAnsi="Arial Narrow"/>
          <w:b/>
          <w:sz w:val="20"/>
        </w:rPr>
        <w:t>11</w:t>
      </w:r>
      <w:r w:rsidRPr="0041132C">
        <w:rPr>
          <w:rFonts w:ascii="Arial Narrow" w:hAnsi="Arial Narrow"/>
          <w:b/>
          <w:sz w:val="20"/>
        </w:rPr>
        <w:t xml:space="preserve">: </w:t>
      </w:r>
      <w:r w:rsidR="001052DB" w:rsidRPr="0041132C">
        <w:rPr>
          <w:rFonts w:ascii="Arial Narrow" w:hAnsi="Arial Narrow"/>
          <w:b/>
          <w:sz w:val="20"/>
        </w:rPr>
        <w:t>Submission</w:t>
      </w:r>
      <w:r w:rsidR="005348DF">
        <w:rPr>
          <w:rFonts w:ascii="Arial Narrow" w:hAnsi="Arial Narrow"/>
          <w:b/>
          <w:sz w:val="20"/>
        </w:rPr>
        <w:t>’</w:t>
      </w:r>
      <w:r w:rsidR="001052DB" w:rsidRPr="005348DF">
        <w:rPr>
          <w:rFonts w:ascii="Arial Narrow" w:hAnsi="Arial Narrow"/>
          <w:b/>
          <w:sz w:val="20"/>
        </w:rPr>
        <w:t>s estimates of</w:t>
      </w:r>
      <w:r w:rsidR="008D3ED1" w:rsidRPr="005348DF">
        <w:rPr>
          <w:rFonts w:ascii="Arial Narrow" w:hAnsi="Arial Narrow"/>
          <w:b/>
          <w:sz w:val="20"/>
        </w:rPr>
        <w:t xml:space="preserve"> differences</w:t>
      </w:r>
      <w:r w:rsidR="001052DB" w:rsidRPr="005348DF">
        <w:rPr>
          <w:rFonts w:ascii="Arial Narrow" w:hAnsi="Arial Narrow"/>
          <w:b/>
          <w:sz w:val="20"/>
        </w:rPr>
        <w:t xml:space="preserve"> </w:t>
      </w:r>
      <w:r w:rsidR="001052DB" w:rsidRPr="0021253F">
        <w:rPr>
          <w:rFonts w:ascii="Arial Narrow" w:hAnsi="Arial Narrow"/>
          <w:b/>
          <w:sz w:val="20"/>
        </w:rPr>
        <w:t>m</w:t>
      </w:r>
      <w:r w:rsidRPr="0041132C">
        <w:rPr>
          <w:rFonts w:ascii="Arial Narrow" w:hAnsi="Arial Narrow"/>
          <w:b/>
          <w:sz w:val="20"/>
        </w:rPr>
        <w:t xml:space="preserve">onitoring costs associated with apremilast and cyclosporin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08"/>
        <w:gridCol w:w="992"/>
        <w:gridCol w:w="1024"/>
        <w:gridCol w:w="993"/>
        <w:gridCol w:w="1050"/>
        <w:gridCol w:w="993"/>
        <w:gridCol w:w="905"/>
      </w:tblGrid>
      <w:tr w:rsidR="009F159E" w:rsidRPr="0041132C" w:rsidTr="004672BF">
        <w:trPr>
          <w:trHeight w:val="300"/>
        </w:trPr>
        <w:tc>
          <w:tcPr>
            <w:tcW w:w="4977" w:type="dxa"/>
            <w:gridSpan w:val="3"/>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p>
        </w:tc>
        <w:tc>
          <w:tcPr>
            <w:tcW w:w="1984" w:type="dxa"/>
            <w:gridSpan w:val="2"/>
            <w:shd w:val="clear" w:color="auto" w:fill="auto"/>
            <w:noWrap/>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Cyclosporin</w:t>
            </w:r>
          </w:p>
        </w:tc>
        <w:tc>
          <w:tcPr>
            <w:tcW w:w="1843" w:type="dxa"/>
            <w:gridSpan w:val="2"/>
            <w:shd w:val="clear" w:color="auto" w:fill="auto"/>
            <w:noWrap/>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Apremilast</w:t>
            </w:r>
          </w:p>
        </w:tc>
      </w:tr>
      <w:tr w:rsidR="009F159E" w:rsidRPr="0041132C" w:rsidTr="004672BF">
        <w:trPr>
          <w:trHeight w:val="212"/>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Item description</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Cost per item</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MBS item number</w:t>
            </w:r>
          </w:p>
        </w:tc>
        <w:tc>
          <w:tcPr>
            <w:tcW w:w="964"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Pre-treatment</w:t>
            </w:r>
          </w:p>
        </w:tc>
        <w:tc>
          <w:tcPr>
            <w:tcW w:w="1020"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Week 1-16</w:t>
            </w:r>
          </w:p>
        </w:tc>
        <w:tc>
          <w:tcPr>
            <w:tcW w:w="964"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Pre-treatment</w:t>
            </w:r>
          </w:p>
        </w:tc>
        <w:tc>
          <w:tcPr>
            <w:tcW w:w="879"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Week 1-16</w:t>
            </w:r>
          </w:p>
        </w:tc>
      </w:tr>
      <w:tr w:rsidR="009F159E" w:rsidRPr="0041132C" w:rsidTr="004672BF">
        <w:trPr>
          <w:trHeight w:val="6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Specialist consultation (subsequent)</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$43.00</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105</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Full blood examination (FBE)</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$16.95</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65070</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13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Liver function tests, Lipid studies, Urea, Electrolytes, Creatinine (LFT, FATS, U&amp;E)</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$17.70</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66512</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Urinalysis (microscopy)</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$12.50</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69300</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Serology – HIV</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$15.65</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69384</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Serology – hepatitis</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$15.65</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69384</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HCG (pregnancy)</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$39.75</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66750</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Tuberculosis</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$34.90</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69471</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Chest x-ray</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$35.35</w:t>
            </w: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58500</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9F159E" w:rsidRPr="0041132C" w:rsidTr="004672BF">
        <w:trPr>
          <w:trHeight w:val="300"/>
        </w:trPr>
        <w:tc>
          <w:tcPr>
            <w:tcW w:w="3019" w:type="dxa"/>
            <w:shd w:val="clear" w:color="auto" w:fill="auto"/>
            <w:tcMar>
              <w:top w:w="15" w:type="dxa"/>
              <w:left w:w="15" w:type="dxa"/>
              <w:bottom w:w="0" w:type="dxa"/>
              <w:right w:w="15" w:type="dxa"/>
            </w:tcMar>
            <w:hideMark/>
          </w:tcPr>
          <w:p w:rsidR="009F159E" w:rsidRPr="0041132C" w:rsidRDefault="009F159E"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b/>
                <w:sz w:val="20"/>
                <w:szCs w:val="20"/>
                <w:lang w:eastAsia="en-AU"/>
              </w:rPr>
              <w:t>Tota</w:t>
            </w:r>
            <w:r w:rsidRPr="0041132C">
              <w:rPr>
                <w:rFonts w:ascii="Arial Narrow" w:eastAsia="Times New Roman" w:hAnsi="Arial Narrow" w:cs="Calibri"/>
                <w:sz w:val="20"/>
                <w:szCs w:val="20"/>
                <w:lang w:eastAsia="en-AU"/>
              </w:rPr>
              <w:t>l</w:t>
            </w:r>
          </w:p>
        </w:tc>
        <w:tc>
          <w:tcPr>
            <w:tcW w:w="963"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p>
        </w:tc>
        <w:tc>
          <w:tcPr>
            <w:tcW w:w="995" w:type="dxa"/>
            <w:shd w:val="clear" w:color="auto" w:fill="auto"/>
            <w:tcMar>
              <w:top w:w="15" w:type="dxa"/>
              <w:left w:w="15" w:type="dxa"/>
              <w:bottom w:w="0" w:type="dxa"/>
              <w:right w:w="15" w:type="dxa"/>
            </w:tcMar>
            <w:hideMark/>
          </w:tcPr>
          <w:p w:rsidR="009F159E" w:rsidRPr="0041132C" w:rsidRDefault="009F159E">
            <w:pPr>
              <w:spacing w:before="0" w:after="0"/>
              <w:rPr>
                <w:rFonts w:ascii="Arial Narrow" w:eastAsia="Times New Roman" w:hAnsi="Arial Narrow" w:cs="Calibri"/>
                <w:sz w:val="20"/>
                <w:szCs w:val="20"/>
                <w:lang w:eastAsia="en-AU"/>
              </w:rPr>
            </w:pP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1020"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964"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879" w:type="dxa"/>
            <w:shd w:val="clear" w:color="auto" w:fill="auto"/>
            <w:tcMar>
              <w:top w:w="15" w:type="dxa"/>
              <w:left w:w="15" w:type="dxa"/>
              <w:bottom w:w="0" w:type="dxa"/>
              <w:right w:w="15" w:type="dxa"/>
            </w:tcMar>
            <w:hideMark/>
          </w:tcPr>
          <w:p w:rsidR="009F159E"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bl>
    <w:p w:rsidR="009F159E" w:rsidRPr="005348DF" w:rsidRDefault="009F159E" w:rsidP="005348DF">
      <w:pPr>
        <w:pStyle w:val="ListParagraph"/>
        <w:spacing w:before="0" w:after="0"/>
        <w:ind w:left="0"/>
        <w:jc w:val="both"/>
        <w:rPr>
          <w:rFonts w:ascii="Arial Narrow" w:hAnsi="Arial Narrow"/>
          <w:sz w:val="18"/>
          <w:szCs w:val="18"/>
        </w:rPr>
      </w:pPr>
      <w:r w:rsidRPr="005348DF">
        <w:rPr>
          <w:rFonts w:ascii="Arial Narrow" w:hAnsi="Arial Narrow"/>
          <w:sz w:val="18"/>
          <w:szCs w:val="18"/>
        </w:rPr>
        <w:t xml:space="preserve">Source: Table 3.4.1, p53 of the submission </w:t>
      </w:r>
    </w:p>
    <w:p w:rsidR="009F159E" w:rsidRPr="005348DF" w:rsidRDefault="009F159E" w:rsidP="005348DF">
      <w:pPr>
        <w:pStyle w:val="ListParagraph"/>
        <w:spacing w:before="0" w:after="0"/>
        <w:ind w:left="0"/>
        <w:jc w:val="both"/>
        <w:rPr>
          <w:rFonts w:ascii="Arial Narrow" w:hAnsi="Arial Narrow"/>
          <w:sz w:val="18"/>
          <w:szCs w:val="18"/>
        </w:rPr>
      </w:pPr>
      <w:r w:rsidRPr="005348DF">
        <w:rPr>
          <w:rFonts w:ascii="Arial Narrow" w:hAnsi="Arial Narrow"/>
          <w:sz w:val="18"/>
          <w:szCs w:val="18"/>
        </w:rPr>
        <w:t>HCG = human chorionic gonadotropin; HIV = human immunodeficiency virus; MBS = Medicare benefits schedule</w:t>
      </w:r>
    </w:p>
    <w:p w:rsidR="00DF590E" w:rsidRPr="005348DF" w:rsidRDefault="00DF590E" w:rsidP="005348DF">
      <w:pPr>
        <w:spacing w:before="0" w:after="120" w:line="259" w:lineRule="auto"/>
        <w:rPr>
          <w:sz w:val="28"/>
        </w:rPr>
      </w:pPr>
    </w:p>
    <w:p w:rsidR="00E054A6" w:rsidRPr="005348DF" w:rsidRDefault="009A0F50" w:rsidP="005348DF">
      <w:pPr>
        <w:pStyle w:val="ListParagraph"/>
        <w:numPr>
          <w:ilvl w:val="1"/>
          <w:numId w:val="3"/>
        </w:numPr>
        <w:spacing w:before="0" w:after="120"/>
        <w:jc w:val="both"/>
        <w:rPr>
          <w:color w:val="4472C4" w:themeColor="accent5"/>
          <w:szCs w:val="24"/>
        </w:rPr>
      </w:pPr>
      <w:r w:rsidRPr="005348DF">
        <w:rPr>
          <w:szCs w:val="24"/>
        </w:rPr>
        <w:t>The impact of these cost offsets</w:t>
      </w:r>
      <w:r w:rsidR="006141C3" w:rsidRPr="005348DF">
        <w:rPr>
          <w:szCs w:val="24"/>
        </w:rPr>
        <w:t xml:space="preserve"> as estimated by the submission</w:t>
      </w:r>
      <w:r w:rsidRPr="005348DF">
        <w:rPr>
          <w:szCs w:val="24"/>
        </w:rPr>
        <w:t xml:space="preserve"> </w:t>
      </w:r>
      <w:r w:rsidR="00F81794" w:rsidRPr="005348DF">
        <w:rPr>
          <w:szCs w:val="24"/>
        </w:rPr>
        <w:t xml:space="preserve">is </w:t>
      </w:r>
      <w:r w:rsidRPr="005348DF">
        <w:rPr>
          <w:szCs w:val="24"/>
        </w:rPr>
        <w:t xml:space="preserve">presented in Table </w:t>
      </w:r>
      <w:r w:rsidR="009F159E" w:rsidRPr="005348DF">
        <w:rPr>
          <w:szCs w:val="24"/>
        </w:rPr>
        <w:t xml:space="preserve">12 </w:t>
      </w:r>
      <w:r w:rsidRPr="005348DF">
        <w:rPr>
          <w:szCs w:val="24"/>
        </w:rPr>
        <w:t>below.</w:t>
      </w:r>
    </w:p>
    <w:p w:rsidR="009A0F50" w:rsidRPr="005348DF" w:rsidRDefault="009A0F50" w:rsidP="005348DF">
      <w:pPr>
        <w:pStyle w:val="TableName"/>
        <w:spacing w:after="120"/>
        <w:rPr>
          <w:rFonts w:ascii="Arial Narrow" w:hAnsi="Arial Narrow"/>
          <w:b/>
          <w:sz w:val="20"/>
        </w:rPr>
      </w:pPr>
      <w:r w:rsidRPr="005348DF">
        <w:rPr>
          <w:rFonts w:ascii="Arial Narrow" w:hAnsi="Arial Narrow"/>
          <w:b/>
          <w:sz w:val="20"/>
        </w:rPr>
        <w:t>Table 1</w:t>
      </w:r>
      <w:r w:rsidR="009F159E" w:rsidRPr="005348DF">
        <w:rPr>
          <w:rFonts w:ascii="Arial Narrow" w:hAnsi="Arial Narrow"/>
          <w:b/>
          <w:sz w:val="20"/>
        </w:rPr>
        <w:t>2</w:t>
      </w:r>
      <w:r w:rsidRPr="005348DF">
        <w:rPr>
          <w:rFonts w:ascii="Arial Narrow" w:hAnsi="Arial Narrow"/>
          <w:b/>
          <w:sz w:val="20"/>
        </w:rPr>
        <w:t xml:space="preserve">: </w:t>
      </w:r>
      <w:r w:rsidR="0059463B" w:rsidRPr="005348DF">
        <w:rPr>
          <w:rFonts w:ascii="Arial Narrow" w:hAnsi="Arial Narrow"/>
          <w:b/>
          <w:sz w:val="20"/>
        </w:rPr>
        <w:t>Submission</w:t>
      </w:r>
      <w:r w:rsidR="005348DF">
        <w:rPr>
          <w:rFonts w:ascii="Arial Narrow" w:hAnsi="Arial Narrow"/>
          <w:b/>
          <w:sz w:val="20"/>
        </w:rPr>
        <w:t>’</w:t>
      </w:r>
      <w:r w:rsidR="0059463B" w:rsidRPr="005348DF">
        <w:rPr>
          <w:rFonts w:ascii="Arial Narrow" w:hAnsi="Arial Narrow"/>
          <w:b/>
          <w:sz w:val="20"/>
        </w:rPr>
        <w:t>s estimate of c</w:t>
      </w:r>
      <w:r w:rsidRPr="005348DF">
        <w:rPr>
          <w:rFonts w:ascii="Arial Narrow" w:hAnsi="Arial Narrow"/>
          <w:b/>
          <w:sz w:val="20"/>
        </w:rPr>
        <w:t xml:space="preserve">omparative cost of treatment over 16 weeks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1944"/>
        <w:gridCol w:w="1943"/>
        <w:gridCol w:w="1943"/>
        <w:gridCol w:w="1943"/>
      </w:tblGrid>
      <w:tr w:rsidR="009A0F50" w:rsidRPr="0041132C" w:rsidTr="00A92749">
        <w:trPr>
          <w:trHeight w:val="460"/>
        </w:trPr>
        <w:tc>
          <w:tcPr>
            <w:tcW w:w="708" w:type="pct"/>
            <w:shd w:val="clear" w:color="auto" w:fill="auto"/>
            <w:tcMar>
              <w:top w:w="15" w:type="dxa"/>
              <w:left w:w="15" w:type="dxa"/>
              <w:bottom w:w="0" w:type="dxa"/>
              <w:right w:w="15" w:type="dxa"/>
            </w:tcMar>
            <w:vAlign w:val="bottom"/>
            <w:hideMark/>
          </w:tcPr>
          <w:p w:rsidR="009A0F50" w:rsidRPr="005348DF" w:rsidRDefault="009A0F50"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 </w:t>
            </w:r>
          </w:p>
        </w:tc>
        <w:tc>
          <w:tcPr>
            <w:tcW w:w="1073" w:type="pct"/>
            <w:shd w:val="clear" w:color="auto" w:fill="auto"/>
            <w:tcMar>
              <w:top w:w="15" w:type="dxa"/>
              <w:left w:w="15" w:type="dxa"/>
              <w:bottom w:w="0" w:type="dxa"/>
              <w:right w:w="15" w:type="dxa"/>
            </w:tcMar>
            <w:hideMark/>
          </w:tcPr>
          <w:p w:rsidR="009A0F50" w:rsidRPr="0041132C" w:rsidRDefault="009A0F50">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Total cost of treatment</w:t>
            </w:r>
          </w:p>
        </w:tc>
        <w:tc>
          <w:tcPr>
            <w:tcW w:w="1073" w:type="pct"/>
            <w:shd w:val="clear" w:color="auto" w:fill="auto"/>
            <w:tcMar>
              <w:top w:w="15" w:type="dxa"/>
              <w:left w:w="15" w:type="dxa"/>
              <w:bottom w:w="0" w:type="dxa"/>
              <w:right w:w="15" w:type="dxa"/>
            </w:tcMar>
            <w:hideMark/>
          </w:tcPr>
          <w:p w:rsidR="009A0F50" w:rsidRPr="0041132C" w:rsidRDefault="009A0F50">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Adverse event costs</w:t>
            </w:r>
          </w:p>
        </w:tc>
        <w:tc>
          <w:tcPr>
            <w:tcW w:w="1073" w:type="pct"/>
            <w:shd w:val="clear" w:color="auto" w:fill="auto"/>
            <w:tcMar>
              <w:top w:w="15" w:type="dxa"/>
              <w:left w:w="15" w:type="dxa"/>
              <w:bottom w:w="0" w:type="dxa"/>
              <w:right w:w="15" w:type="dxa"/>
            </w:tcMar>
            <w:hideMark/>
          </w:tcPr>
          <w:p w:rsidR="009A0F50" w:rsidRPr="0041132C" w:rsidRDefault="009A0F50">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Monitoring costs</w:t>
            </w:r>
          </w:p>
        </w:tc>
        <w:tc>
          <w:tcPr>
            <w:tcW w:w="1073" w:type="pct"/>
            <w:shd w:val="clear" w:color="auto" w:fill="auto"/>
            <w:tcMar>
              <w:top w:w="15" w:type="dxa"/>
              <w:left w:w="15" w:type="dxa"/>
              <w:bottom w:w="0" w:type="dxa"/>
              <w:right w:w="15" w:type="dxa"/>
            </w:tcMar>
            <w:hideMark/>
          </w:tcPr>
          <w:p w:rsidR="009A0F50" w:rsidRPr="0041132C" w:rsidRDefault="009A0F50">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PBS costs (AEMP)</w:t>
            </w:r>
          </w:p>
        </w:tc>
      </w:tr>
      <w:tr w:rsidR="009A0F50" w:rsidRPr="0041132C" w:rsidTr="00A92749">
        <w:trPr>
          <w:trHeight w:val="393"/>
        </w:trPr>
        <w:tc>
          <w:tcPr>
            <w:tcW w:w="708" w:type="pct"/>
            <w:shd w:val="clear" w:color="auto" w:fill="auto"/>
            <w:noWrap/>
            <w:tcMar>
              <w:top w:w="15" w:type="dxa"/>
              <w:left w:w="15" w:type="dxa"/>
              <w:bottom w:w="0" w:type="dxa"/>
              <w:right w:w="15" w:type="dxa"/>
            </w:tcMar>
            <w:hideMark/>
          </w:tcPr>
          <w:p w:rsidR="009A0F50" w:rsidRPr="0041132C" w:rsidRDefault="009A0F50"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Cyclosporin</w:t>
            </w:r>
          </w:p>
        </w:tc>
        <w:tc>
          <w:tcPr>
            <w:tcW w:w="1073" w:type="pct"/>
            <w:shd w:val="clear" w:color="auto" w:fill="auto"/>
            <w:noWrap/>
            <w:tcMar>
              <w:top w:w="15" w:type="dxa"/>
              <w:left w:w="15" w:type="dxa"/>
              <w:bottom w:w="0" w:type="dxa"/>
              <w:right w:w="15" w:type="dxa"/>
            </w:tcMar>
            <w:hideMark/>
          </w:tcPr>
          <w:p w:rsidR="009A0F50"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hideMark/>
          </w:tcPr>
          <w:p w:rsidR="009A0F50"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1073" w:type="pct"/>
            <w:shd w:val="clear" w:color="auto" w:fill="auto"/>
            <w:noWrap/>
            <w:tcMar>
              <w:top w:w="15" w:type="dxa"/>
              <w:left w:w="15" w:type="dxa"/>
              <w:bottom w:w="0" w:type="dxa"/>
              <w:right w:w="15" w:type="dxa"/>
            </w:tcMar>
            <w:hideMark/>
          </w:tcPr>
          <w:p w:rsidR="009A0F50"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1073" w:type="pct"/>
            <w:shd w:val="clear" w:color="auto" w:fill="auto"/>
            <w:noWrap/>
            <w:tcMar>
              <w:top w:w="15" w:type="dxa"/>
              <w:left w:w="15" w:type="dxa"/>
              <w:bottom w:w="0" w:type="dxa"/>
              <w:right w:w="15" w:type="dxa"/>
            </w:tcMar>
            <w:hideMark/>
          </w:tcPr>
          <w:p w:rsidR="009A0F50" w:rsidRPr="0041132C" w:rsidRDefault="009A0F50">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w:t>
            </w:r>
            <w:r w:rsidRPr="00A32228">
              <w:rPr>
                <w:rFonts w:ascii="Arial Narrow" w:eastAsia="Times New Roman" w:hAnsi="Arial Narrow" w:cs="Calibri"/>
                <w:sz w:val="20"/>
                <w:szCs w:val="20"/>
                <w:lang w:eastAsia="en-AU"/>
              </w:rPr>
              <w:t>1,621</w:t>
            </w:r>
            <w:r w:rsidR="001052DB" w:rsidRPr="0041132C">
              <w:rPr>
                <w:rFonts w:ascii="Arial Narrow" w:eastAsia="Times New Roman" w:hAnsi="Arial Narrow" w:cs="Calibri"/>
                <w:sz w:val="20"/>
                <w:szCs w:val="20"/>
                <w:lang w:eastAsia="en-AU"/>
              </w:rPr>
              <w:t>*</w:t>
            </w:r>
          </w:p>
        </w:tc>
      </w:tr>
      <w:tr w:rsidR="009A0F50" w:rsidRPr="0041132C" w:rsidTr="00A92749">
        <w:trPr>
          <w:trHeight w:val="400"/>
        </w:trPr>
        <w:tc>
          <w:tcPr>
            <w:tcW w:w="708" w:type="pct"/>
            <w:shd w:val="clear" w:color="auto" w:fill="auto"/>
            <w:noWrap/>
            <w:tcMar>
              <w:top w:w="15" w:type="dxa"/>
              <w:left w:w="15" w:type="dxa"/>
              <w:bottom w:w="0" w:type="dxa"/>
              <w:right w:w="15" w:type="dxa"/>
            </w:tcMar>
          </w:tcPr>
          <w:p w:rsidR="009A0F50" w:rsidRPr="0041132C" w:rsidRDefault="009A0F50"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Apremilast</w:t>
            </w:r>
          </w:p>
        </w:tc>
        <w:tc>
          <w:tcPr>
            <w:tcW w:w="1073" w:type="pct"/>
            <w:shd w:val="clear" w:color="auto" w:fill="auto"/>
            <w:noWrap/>
            <w:tcMar>
              <w:top w:w="15" w:type="dxa"/>
              <w:left w:w="15" w:type="dxa"/>
              <w:bottom w:w="0" w:type="dxa"/>
              <w:right w:w="15" w:type="dxa"/>
            </w:tcMar>
          </w:tcPr>
          <w:p w:rsidR="009A0F50"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tcPr>
          <w:p w:rsidR="009A0F50"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tcPr>
          <w:p w:rsidR="009A0F50"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1073" w:type="pct"/>
            <w:shd w:val="clear" w:color="auto" w:fill="auto"/>
            <w:noWrap/>
            <w:tcMar>
              <w:top w:w="15" w:type="dxa"/>
              <w:left w:w="15" w:type="dxa"/>
              <w:bottom w:w="0" w:type="dxa"/>
              <w:right w:w="15" w:type="dxa"/>
            </w:tcMar>
          </w:tcPr>
          <w:p w:rsidR="009A0F50"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bl>
    <w:p w:rsidR="00A92749" w:rsidRPr="0041132C" w:rsidRDefault="00975460" w:rsidP="005348DF">
      <w:pPr>
        <w:pStyle w:val="ListParagraph"/>
        <w:spacing w:before="0" w:after="0"/>
        <w:ind w:left="0"/>
        <w:jc w:val="both"/>
        <w:rPr>
          <w:rFonts w:ascii="Arial Narrow" w:hAnsi="Arial Narrow"/>
          <w:sz w:val="18"/>
          <w:szCs w:val="18"/>
        </w:rPr>
      </w:pPr>
      <w:r w:rsidRPr="005348DF">
        <w:rPr>
          <w:rFonts w:ascii="Arial Narrow" w:hAnsi="Arial Narrow"/>
          <w:sz w:val="18"/>
          <w:szCs w:val="18"/>
        </w:rPr>
        <w:t xml:space="preserve">Source: Table 3.5.2, p 56 of the resubmission and </w:t>
      </w:r>
      <w:r w:rsidR="004C1205" w:rsidRPr="005348DF">
        <w:rPr>
          <w:rFonts w:ascii="Arial Narrow" w:hAnsi="Arial Narrow"/>
          <w:sz w:val="18"/>
          <w:szCs w:val="18"/>
        </w:rPr>
        <w:t>correction of error in the text</w:t>
      </w:r>
      <w:r w:rsidR="00DF2271" w:rsidRPr="005348DF">
        <w:rPr>
          <w:rFonts w:ascii="Arial Narrow" w:hAnsi="Arial Narrow"/>
          <w:sz w:val="18"/>
          <w:szCs w:val="18"/>
        </w:rPr>
        <w:t>;</w:t>
      </w:r>
      <w:r w:rsidR="004C1205" w:rsidRPr="005348DF">
        <w:rPr>
          <w:rFonts w:ascii="Arial Narrow" w:hAnsi="Arial Narrow"/>
          <w:sz w:val="18"/>
          <w:szCs w:val="18"/>
        </w:rPr>
        <w:t xml:space="preserve"> </w:t>
      </w:r>
      <w:r w:rsidR="00DF2271" w:rsidRPr="005348DF">
        <w:rPr>
          <w:rFonts w:ascii="Arial Narrow" w:hAnsi="Arial Narrow"/>
          <w:sz w:val="18"/>
          <w:szCs w:val="18"/>
        </w:rPr>
        <w:t>A</w:t>
      </w:r>
      <w:r w:rsidRPr="0041132C">
        <w:rPr>
          <w:rFonts w:ascii="Arial Narrow" w:hAnsi="Arial Narrow"/>
          <w:sz w:val="18"/>
          <w:szCs w:val="18"/>
        </w:rPr>
        <w:t>EMP = approved ex-</w:t>
      </w:r>
      <w:r w:rsidR="009A0F50" w:rsidRPr="0041132C">
        <w:rPr>
          <w:rFonts w:ascii="Arial Narrow" w:hAnsi="Arial Narrow"/>
          <w:sz w:val="18"/>
          <w:szCs w:val="18"/>
        </w:rPr>
        <w:t>manufacturer price</w:t>
      </w:r>
      <w:r w:rsidR="00DC79B9" w:rsidRPr="0041132C">
        <w:rPr>
          <w:rFonts w:ascii="Arial Narrow" w:hAnsi="Arial Narrow"/>
          <w:sz w:val="18"/>
          <w:szCs w:val="18"/>
        </w:rPr>
        <w:t>; PBS = Pharmaceutical Benefits Scheme</w:t>
      </w:r>
      <w:r w:rsidR="0059463B" w:rsidRPr="0041132C">
        <w:rPr>
          <w:rFonts w:ascii="Arial Narrow" w:hAnsi="Arial Narrow"/>
          <w:sz w:val="18"/>
          <w:szCs w:val="18"/>
        </w:rPr>
        <w:t>; * uses price per mg of cyclosporin of $</w:t>
      </w:r>
      <w:r w:rsidR="0059463B" w:rsidRPr="00051F7F">
        <w:rPr>
          <w:rFonts w:ascii="Arial Narrow" w:hAnsi="Arial Narrow"/>
          <w:sz w:val="18"/>
          <w:szCs w:val="18"/>
        </w:rPr>
        <w:t>0.049</w:t>
      </w:r>
    </w:p>
    <w:p w:rsidR="001052DB" w:rsidRPr="005348DF" w:rsidRDefault="001052DB" w:rsidP="005348DF">
      <w:pPr>
        <w:pStyle w:val="ListParagraph"/>
        <w:spacing w:before="0" w:after="120"/>
        <w:ind w:left="0"/>
        <w:jc w:val="both"/>
        <w:rPr>
          <w:rFonts w:ascii="Arial Narrow" w:hAnsi="Arial Narrow"/>
          <w:sz w:val="18"/>
          <w:szCs w:val="18"/>
        </w:rPr>
      </w:pPr>
    </w:p>
    <w:p w:rsidR="000A1D87" w:rsidRPr="005348DF" w:rsidRDefault="000A1D87" w:rsidP="005348DF">
      <w:pPr>
        <w:pStyle w:val="ListParagraph"/>
        <w:numPr>
          <w:ilvl w:val="1"/>
          <w:numId w:val="3"/>
        </w:numPr>
        <w:spacing w:before="0" w:after="120"/>
        <w:jc w:val="both"/>
        <w:rPr>
          <w:szCs w:val="24"/>
        </w:rPr>
      </w:pPr>
      <w:r w:rsidRPr="005348DF">
        <w:rPr>
          <w:szCs w:val="24"/>
        </w:rPr>
        <w:t>The PBAC noted that if the treatment duration was extended to two years using the same inputs the impact of the cost offsets would be:</w:t>
      </w:r>
    </w:p>
    <w:p w:rsidR="00D7339A" w:rsidRPr="0041132C" w:rsidRDefault="00D7339A" w:rsidP="005348DF">
      <w:pPr>
        <w:pStyle w:val="TableName"/>
        <w:spacing w:after="120"/>
        <w:rPr>
          <w:rFonts w:ascii="Arial Narrow" w:hAnsi="Arial Narrow"/>
          <w:b/>
          <w:sz w:val="20"/>
        </w:rPr>
      </w:pPr>
      <w:r w:rsidRPr="005348DF">
        <w:rPr>
          <w:rFonts w:ascii="Arial Narrow" w:hAnsi="Arial Narrow"/>
          <w:b/>
          <w:sz w:val="20"/>
        </w:rPr>
        <w:t xml:space="preserve">Table 13: </w:t>
      </w:r>
      <w:r w:rsidR="00612D98" w:rsidRPr="005348DF">
        <w:rPr>
          <w:rFonts w:ascii="Arial Narrow" w:hAnsi="Arial Narrow"/>
          <w:b/>
          <w:sz w:val="20"/>
        </w:rPr>
        <w:t>Submission’s e</w:t>
      </w:r>
      <w:r w:rsidRPr="0021253F">
        <w:rPr>
          <w:rFonts w:ascii="Arial Narrow" w:hAnsi="Arial Narrow"/>
          <w:b/>
          <w:sz w:val="20"/>
        </w:rPr>
        <w:t>stimate of comparative cost of treatmen</w:t>
      </w:r>
      <w:r w:rsidR="00612D98" w:rsidRPr="0041132C">
        <w:rPr>
          <w:rFonts w:ascii="Arial Narrow" w:hAnsi="Arial Narrow"/>
          <w:b/>
          <w:sz w:val="20"/>
        </w:rPr>
        <w:t xml:space="preserve">t extended </w:t>
      </w:r>
      <w:r w:rsidRPr="0041132C">
        <w:rPr>
          <w:rFonts w:ascii="Arial Narrow" w:hAnsi="Arial Narrow"/>
          <w:b/>
          <w:sz w:val="20"/>
        </w:rPr>
        <w:t>over 2 yea</w:t>
      </w:r>
      <w:r w:rsidR="00612D98" w:rsidRPr="0041132C">
        <w:rPr>
          <w:rFonts w:ascii="Arial Narrow" w:hAnsi="Arial Narrow"/>
          <w:b/>
          <w:sz w:val="20"/>
        </w:rPr>
        <w:t>r period</w:t>
      </w:r>
      <w:r w:rsidRPr="0041132C">
        <w:rPr>
          <w:rFonts w:ascii="Arial Narrow" w:hAnsi="Arial Narrow"/>
          <w:b/>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1944"/>
        <w:gridCol w:w="1943"/>
        <w:gridCol w:w="1943"/>
        <w:gridCol w:w="1943"/>
      </w:tblGrid>
      <w:tr w:rsidR="00D7339A" w:rsidRPr="0041132C" w:rsidTr="00763FEB">
        <w:trPr>
          <w:trHeight w:val="460"/>
        </w:trPr>
        <w:tc>
          <w:tcPr>
            <w:tcW w:w="708" w:type="pct"/>
            <w:shd w:val="clear" w:color="auto" w:fill="auto"/>
            <w:tcMar>
              <w:top w:w="15" w:type="dxa"/>
              <w:left w:w="15" w:type="dxa"/>
              <w:bottom w:w="0" w:type="dxa"/>
              <w:right w:w="15" w:type="dxa"/>
            </w:tcMar>
            <w:vAlign w:val="bottom"/>
            <w:hideMark/>
          </w:tcPr>
          <w:p w:rsidR="00D7339A" w:rsidRPr="0041132C" w:rsidRDefault="00D7339A" w:rsidP="005348DF">
            <w:pPr>
              <w:spacing w:before="0" w:after="0"/>
              <w:rPr>
                <w:rFonts w:ascii="Arial Narrow" w:eastAsia="Times New Roman" w:hAnsi="Arial Narrow" w:cs="Calibri"/>
                <w:sz w:val="20"/>
                <w:szCs w:val="20"/>
                <w:lang w:eastAsia="en-AU"/>
              </w:rPr>
            </w:pPr>
            <w:r w:rsidRPr="0041132C">
              <w:rPr>
                <w:rFonts w:ascii="Calibri" w:hAnsi="Calibri"/>
                <w:b/>
                <w:bCs/>
                <w:color w:val="000000"/>
                <w:sz w:val="22"/>
              </w:rPr>
              <w:t> </w:t>
            </w:r>
          </w:p>
        </w:tc>
        <w:tc>
          <w:tcPr>
            <w:tcW w:w="1073" w:type="pct"/>
            <w:shd w:val="clear" w:color="auto" w:fill="auto"/>
            <w:tcMar>
              <w:top w:w="15" w:type="dxa"/>
              <w:left w:w="15" w:type="dxa"/>
              <w:bottom w:w="0" w:type="dxa"/>
              <w:right w:w="15" w:type="dxa"/>
            </w:tcMar>
            <w:vAlign w:val="bottom"/>
            <w:hideMark/>
          </w:tcPr>
          <w:p w:rsidR="00D7339A" w:rsidRPr="0041132C" w:rsidRDefault="00D7339A">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 xml:space="preserve">Total cost of treatment </w:t>
            </w:r>
          </w:p>
        </w:tc>
        <w:tc>
          <w:tcPr>
            <w:tcW w:w="1073" w:type="pct"/>
            <w:shd w:val="clear" w:color="auto" w:fill="auto"/>
            <w:tcMar>
              <w:top w:w="15" w:type="dxa"/>
              <w:left w:w="15" w:type="dxa"/>
              <w:bottom w:w="0" w:type="dxa"/>
              <w:right w:w="15" w:type="dxa"/>
            </w:tcMar>
            <w:vAlign w:val="center"/>
            <w:hideMark/>
          </w:tcPr>
          <w:p w:rsidR="00D7339A" w:rsidRPr="0041132C" w:rsidRDefault="00D7339A">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Adverse event costs</w:t>
            </w:r>
          </w:p>
        </w:tc>
        <w:tc>
          <w:tcPr>
            <w:tcW w:w="1073" w:type="pct"/>
            <w:shd w:val="clear" w:color="auto" w:fill="auto"/>
            <w:tcMar>
              <w:top w:w="15" w:type="dxa"/>
              <w:left w:w="15" w:type="dxa"/>
              <w:bottom w:w="0" w:type="dxa"/>
              <w:right w:w="15" w:type="dxa"/>
            </w:tcMar>
            <w:vAlign w:val="center"/>
            <w:hideMark/>
          </w:tcPr>
          <w:p w:rsidR="00D7339A" w:rsidRPr="0041132C" w:rsidRDefault="00D7339A">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Monitoring costs</w:t>
            </w:r>
          </w:p>
        </w:tc>
        <w:tc>
          <w:tcPr>
            <w:tcW w:w="1073" w:type="pct"/>
            <w:shd w:val="clear" w:color="auto" w:fill="auto"/>
            <w:tcMar>
              <w:top w:w="15" w:type="dxa"/>
              <w:left w:w="15" w:type="dxa"/>
              <w:bottom w:w="0" w:type="dxa"/>
              <w:right w:w="15" w:type="dxa"/>
            </w:tcMar>
            <w:vAlign w:val="center"/>
            <w:hideMark/>
          </w:tcPr>
          <w:p w:rsidR="00D7339A" w:rsidRPr="0041132C" w:rsidRDefault="00D7339A">
            <w:pPr>
              <w:spacing w:before="0" w:after="0"/>
              <w:rPr>
                <w:rFonts w:ascii="Arial Narrow" w:eastAsia="Times New Roman" w:hAnsi="Arial Narrow" w:cs="Calibri"/>
                <w:b/>
                <w:sz w:val="20"/>
                <w:szCs w:val="20"/>
                <w:lang w:eastAsia="en-AU"/>
              </w:rPr>
            </w:pPr>
            <w:r w:rsidRPr="0041132C">
              <w:rPr>
                <w:rFonts w:ascii="Arial Narrow" w:eastAsia="Times New Roman" w:hAnsi="Arial Narrow" w:cs="Calibri"/>
                <w:b/>
                <w:sz w:val="20"/>
                <w:szCs w:val="20"/>
                <w:lang w:eastAsia="en-AU"/>
              </w:rPr>
              <w:t>PBS costs (AEMP)</w:t>
            </w:r>
          </w:p>
        </w:tc>
      </w:tr>
      <w:tr w:rsidR="00D7339A" w:rsidRPr="0041132C" w:rsidTr="00763FEB">
        <w:trPr>
          <w:trHeight w:val="393"/>
        </w:trPr>
        <w:tc>
          <w:tcPr>
            <w:tcW w:w="708" w:type="pct"/>
            <w:shd w:val="clear" w:color="auto" w:fill="auto"/>
            <w:noWrap/>
            <w:tcMar>
              <w:top w:w="15" w:type="dxa"/>
              <w:left w:w="15" w:type="dxa"/>
              <w:bottom w:w="0" w:type="dxa"/>
              <w:right w:w="15" w:type="dxa"/>
            </w:tcMar>
            <w:vAlign w:val="bottom"/>
            <w:hideMark/>
          </w:tcPr>
          <w:p w:rsidR="00D7339A" w:rsidRPr="0041132C" w:rsidRDefault="00D7339A"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Cyclosporin</w:t>
            </w:r>
          </w:p>
        </w:tc>
        <w:tc>
          <w:tcPr>
            <w:tcW w:w="1073" w:type="pct"/>
            <w:shd w:val="clear" w:color="auto" w:fill="auto"/>
            <w:noWrap/>
            <w:tcMar>
              <w:top w:w="15" w:type="dxa"/>
              <w:left w:w="15" w:type="dxa"/>
              <w:bottom w:w="0" w:type="dxa"/>
              <w:right w:w="15" w:type="dxa"/>
            </w:tcMar>
            <w:vAlign w:val="center"/>
            <w:hideMark/>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center"/>
            <w:hideMark/>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center"/>
            <w:hideMark/>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center"/>
            <w:hideMark/>
          </w:tcPr>
          <w:p w:rsidR="00D7339A" w:rsidRPr="0041132C" w:rsidRDefault="00D7339A">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w:t>
            </w:r>
            <w:r w:rsidRPr="00A32228">
              <w:rPr>
                <w:rFonts w:ascii="Arial Narrow" w:eastAsia="Times New Roman" w:hAnsi="Arial Narrow" w:cs="Calibri"/>
                <w:sz w:val="20"/>
                <w:szCs w:val="20"/>
                <w:lang w:eastAsia="en-AU"/>
              </w:rPr>
              <w:t>10,537</w:t>
            </w:r>
          </w:p>
        </w:tc>
      </w:tr>
      <w:tr w:rsidR="00D7339A" w:rsidRPr="0041132C" w:rsidTr="00763FEB">
        <w:trPr>
          <w:trHeight w:val="400"/>
        </w:trPr>
        <w:tc>
          <w:tcPr>
            <w:tcW w:w="708" w:type="pct"/>
            <w:shd w:val="clear" w:color="auto" w:fill="auto"/>
            <w:noWrap/>
            <w:tcMar>
              <w:top w:w="15" w:type="dxa"/>
              <w:left w:w="15" w:type="dxa"/>
              <w:bottom w:w="0" w:type="dxa"/>
              <w:right w:w="15" w:type="dxa"/>
            </w:tcMar>
            <w:vAlign w:val="bottom"/>
          </w:tcPr>
          <w:p w:rsidR="00D7339A" w:rsidRPr="0041132C" w:rsidRDefault="00D7339A" w:rsidP="005348DF">
            <w:pPr>
              <w:spacing w:before="0" w:after="0"/>
              <w:rPr>
                <w:rFonts w:ascii="Arial Narrow" w:eastAsia="Times New Roman" w:hAnsi="Arial Narrow" w:cs="Calibri"/>
                <w:sz w:val="20"/>
                <w:szCs w:val="20"/>
                <w:lang w:eastAsia="en-AU"/>
              </w:rPr>
            </w:pPr>
            <w:r w:rsidRPr="0041132C">
              <w:rPr>
                <w:rFonts w:ascii="Arial Narrow" w:eastAsia="Times New Roman" w:hAnsi="Arial Narrow" w:cs="Calibri"/>
                <w:sz w:val="20"/>
                <w:szCs w:val="20"/>
                <w:lang w:eastAsia="en-AU"/>
              </w:rPr>
              <w:t>Apremilast</w:t>
            </w:r>
          </w:p>
        </w:tc>
        <w:tc>
          <w:tcPr>
            <w:tcW w:w="1073" w:type="pct"/>
            <w:shd w:val="clear" w:color="auto" w:fill="auto"/>
            <w:noWrap/>
            <w:tcMar>
              <w:top w:w="15" w:type="dxa"/>
              <w:left w:w="15" w:type="dxa"/>
              <w:bottom w:w="0" w:type="dxa"/>
              <w:right w:w="15" w:type="dxa"/>
            </w:tcMar>
            <w:vAlign w:val="center"/>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center"/>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center"/>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center"/>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D7339A" w:rsidRPr="0041132C" w:rsidTr="00763FEB">
        <w:trPr>
          <w:trHeight w:val="400"/>
        </w:trPr>
        <w:tc>
          <w:tcPr>
            <w:tcW w:w="708" w:type="pct"/>
            <w:shd w:val="clear" w:color="auto" w:fill="auto"/>
            <w:noWrap/>
            <w:tcMar>
              <w:top w:w="15" w:type="dxa"/>
              <w:left w:w="15" w:type="dxa"/>
              <w:bottom w:w="0" w:type="dxa"/>
              <w:right w:w="15" w:type="dxa"/>
            </w:tcMar>
            <w:vAlign w:val="bottom"/>
          </w:tcPr>
          <w:p w:rsidR="00D7339A" w:rsidRPr="0041132C" w:rsidRDefault="00D7339A" w:rsidP="005348DF">
            <w:pPr>
              <w:spacing w:before="0" w:after="0"/>
              <w:rPr>
                <w:rFonts w:ascii="Arial Narrow" w:eastAsia="Times New Roman" w:hAnsi="Arial Narrow" w:cs="Calibri"/>
                <w:sz w:val="20"/>
                <w:szCs w:val="20"/>
                <w:lang w:eastAsia="en-AU"/>
              </w:rPr>
            </w:pPr>
          </w:p>
        </w:tc>
        <w:tc>
          <w:tcPr>
            <w:tcW w:w="1073" w:type="pct"/>
            <w:shd w:val="clear" w:color="auto" w:fill="auto"/>
            <w:noWrap/>
            <w:tcMar>
              <w:top w:w="15" w:type="dxa"/>
              <w:left w:w="15" w:type="dxa"/>
              <w:bottom w:w="0" w:type="dxa"/>
              <w:right w:w="15" w:type="dxa"/>
            </w:tcMar>
            <w:vAlign w:val="center"/>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bottom"/>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bottom"/>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73" w:type="pct"/>
            <w:shd w:val="clear" w:color="auto" w:fill="auto"/>
            <w:noWrap/>
            <w:tcMar>
              <w:top w:w="15" w:type="dxa"/>
              <w:left w:w="15" w:type="dxa"/>
              <w:bottom w:w="0" w:type="dxa"/>
              <w:right w:w="15" w:type="dxa"/>
            </w:tcMar>
            <w:vAlign w:val="bottom"/>
          </w:tcPr>
          <w:p w:rsidR="00D7339A" w:rsidRPr="003E2FBE" w:rsidRDefault="003E2FBE">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bl>
    <w:p w:rsidR="000A1D87" w:rsidRPr="005348DF" w:rsidRDefault="000A1D87" w:rsidP="005348DF">
      <w:pPr>
        <w:pStyle w:val="ListParagraph"/>
        <w:spacing w:before="0" w:after="120"/>
        <w:jc w:val="both"/>
        <w:rPr>
          <w:szCs w:val="24"/>
        </w:rPr>
      </w:pPr>
    </w:p>
    <w:p w:rsidR="00E922D7" w:rsidRPr="0041132C" w:rsidRDefault="000A1D87">
      <w:pPr>
        <w:pStyle w:val="ListParagraph"/>
        <w:numPr>
          <w:ilvl w:val="1"/>
          <w:numId w:val="3"/>
        </w:numPr>
        <w:spacing w:before="0" w:after="120"/>
        <w:jc w:val="both"/>
        <w:rPr>
          <w:szCs w:val="24"/>
        </w:rPr>
      </w:pPr>
      <w:r w:rsidRPr="0041132C">
        <w:rPr>
          <w:szCs w:val="24"/>
        </w:rPr>
        <w:t xml:space="preserve">The PBAC considered that </w:t>
      </w:r>
      <w:r w:rsidR="00E922D7" w:rsidRPr="0041132C">
        <w:rPr>
          <w:szCs w:val="24"/>
        </w:rPr>
        <w:t xml:space="preserve">the </w:t>
      </w:r>
      <w:r w:rsidRPr="0041132C">
        <w:rPr>
          <w:szCs w:val="24"/>
        </w:rPr>
        <w:t>submission</w:t>
      </w:r>
      <w:r w:rsidR="000C5F47" w:rsidRPr="0041132C">
        <w:rPr>
          <w:szCs w:val="24"/>
        </w:rPr>
        <w:t xml:space="preserve"> overe</w:t>
      </w:r>
      <w:r w:rsidR="00E922D7" w:rsidRPr="0041132C">
        <w:rPr>
          <w:szCs w:val="24"/>
        </w:rPr>
        <w:t>stimate</w:t>
      </w:r>
      <w:r w:rsidR="000C5F47" w:rsidRPr="0041132C">
        <w:rPr>
          <w:szCs w:val="24"/>
        </w:rPr>
        <w:t>d</w:t>
      </w:r>
      <w:r w:rsidR="00E922D7" w:rsidRPr="0041132C">
        <w:rPr>
          <w:szCs w:val="24"/>
        </w:rPr>
        <w:t xml:space="preserve"> the cost </w:t>
      </w:r>
      <w:r w:rsidR="00C16909" w:rsidRPr="0041132C">
        <w:rPr>
          <w:szCs w:val="24"/>
        </w:rPr>
        <w:t>minimised price for apremilast</w:t>
      </w:r>
      <w:r w:rsidR="000C5F47" w:rsidRPr="0041132C">
        <w:rPr>
          <w:szCs w:val="24"/>
        </w:rPr>
        <w:t xml:space="preserve"> for the following reasons.</w:t>
      </w:r>
      <w:r w:rsidR="00E922D7" w:rsidRPr="0041132C">
        <w:rPr>
          <w:szCs w:val="24"/>
        </w:rPr>
        <w:t xml:space="preserve"> </w:t>
      </w:r>
    </w:p>
    <w:p w:rsidR="00C16909" w:rsidRPr="0021253F" w:rsidRDefault="00C16909" w:rsidP="00353DCC">
      <w:pPr>
        <w:pStyle w:val="BulletLast"/>
        <w:numPr>
          <w:ilvl w:val="0"/>
          <w:numId w:val="16"/>
        </w:numPr>
        <w:spacing w:after="120"/>
        <w:jc w:val="both"/>
        <w:rPr>
          <w:sz w:val="24"/>
          <w:szCs w:val="24"/>
        </w:rPr>
      </w:pPr>
      <w:r w:rsidRPr="0041132C">
        <w:rPr>
          <w:sz w:val="24"/>
          <w:szCs w:val="24"/>
        </w:rPr>
        <w:t xml:space="preserve">The cost of cyclosporin treatment </w:t>
      </w:r>
      <w:r w:rsidR="000C5F47" w:rsidRPr="0041132C">
        <w:rPr>
          <w:sz w:val="24"/>
          <w:szCs w:val="24"/>
        </w:rPr>
        <w:t>was</w:t>
      </w:r>
      <w:r w:rsidR="00DF2271" w:rsidRPr="0041132C">
        <w:rPr>
          <w:sz w:val="24"/>
          <w:szCs w:val="24"/>
        </w:rPr>
        <w:t xml:space="preserve"> </w:t>
      </w:r>
      <w:r w:rsidRPr="0041132C">
        <w:rPr>
          <w:sz w:val="24"/>
          <w:szCs w:val="24"/>
        </w:rPr>
        <w:t>overestimated</w:t>
      </w:r>
      <w:r w:rsidR="000A1D87" w:rsidRPr="0041132C">
        <w:rPr>
          <w:sz w:val="24"/>
          <w:szCs w:val="24"/>
        </w:rPr>
        <w:t xml:space="preserve"> by the submission</w:t>
      </w:r>
      <w:r w:rsidR="009B1D1E">
        <w:rPr>
          <w:sz w:val="24"/>
          <w:szCs w:val="24"/>
        </w:rPr>
        <w:t>,</w:t>
      </w:r>
      <w:r w:rsidR="000C5F47" w:rsidRPr="005348DF">
        <w:rPr>
          <w:sz w:val="24"/>
          <w:szCs w:val="24"/>
        </w:rPr>
        <w:t xml:space="preserve"> both through the use of the incorrect per mg price and through the assumption of an average weight of 92.2 kg for cyclosporin treated patients</w:t>
      </w:r>
      <w:r w:rsidRPr="0021253F">
        <w:rPr>
          <w:sz w:val="24"/>
          <w:szCs w:val="24"/>
        </w:rPr>
        <w:t xml:space="preserve">; </w:t>
      </w:r>
    </w:p>
    <w:p w:rsidR="00E922D7" w:rsidRPr="0041132C" w:rsidRDefault="009F159E" w:rsidP="00353DCC">
      <w:pPr>
        <w:pStyle w:val="BulletLast"/>
        <w:numPr>
          <w:ilvl w:val="0"/>
          <w:numId w:val="16"/>
        </w:numPr>
        <w:spacing w:after="120"/>
        <w:jc w:val="both"/>
        <w:rPr>
          <w:sz w:val="24"/>
          <w:szCs w:val="24"/>
        </w:rPr>
      </w:pPr>
      <w:r w:rsidRPr="005348DF">
        <w:rPr>
          <w:sz w:val="24"/>
          <w:szCs w:val="24"/>
        </w:rPr>
        <w:t xml:space="preserve">The </w:t>
      </w:r>
      <w:r w:rsidR="00E922D7" w:rsidRPr="0041132C">
        <w:rPr>
          <w:sz w:val="24"/>
          <w:szCs w:val="24"/>
        </w:rPr>
        <w:t xml:space="preserve">costs associated with monitoring </w:t>
      </w:r>
      <w:r w:rsidR="000C5F47" w:rsidRPr="0041132C">
        <w:rPr>
          <w:sz w:val="24"/>
          <w:szCs w:val="24"/>
        </w:rPr>
        <w:t>were</w:t>
      </w:r>
      <w:r w:rsidR="00E922D7" w:rsidRPr="0041132C">
        <w:rPr>
          <w:sz w:val="24"/>
          <w:szCs w:val="24"/>
        </w:rPr>
        <w:t xml:space="preserve"> overestimated</w:t>
      </w:r>
      <w:r w:rsidR="00DF2271" w:rsidRPr="0041132C">
        <w:rPr>
          <w:sz w:val="24"/>
          <w:szCs w:val="24"/>
        </w:rPr>
        <w:t xml:space="preserve"> by the submission</w:t>
      </w:r>
      <w:r w:rsidR="00E922D7" w:rsidRPr="0041132C">
        <w:rPr>
          <w:sz w:val="24"/>
          <w:szCs w:val="24"/>
        </w:rPr>
        <w:t xml:space="preserve"> for cyclosporin and underestimated for apremilast</w:t>
      </w:r>
      <w:r w:rsidR="003F719C">
        <w:rPr>
          <w:sz w:val="24"/>
          <w:szCs w:val="24"/>
        </w:rPr>
        <w:t>. In particular medical consultations and</w:t>
      </w:r>
      <w:r w:rsidR="00DF2271" w:rsidRPr="0041132C">
        <w:rPr>
          <w:sz w:val="24"/>
          <w:szCs w:val="24"/>
        </w:rPr>
        <w:t xml:space="preserve"> </w:t>
      </w:r>
      <w:r w:rsidR="008D2D79" w:rsidRPr="0041132C">
        <w:rPr>
          <w:sz w:val="24"/>
          <w:szCs w:val="24"/>
        </w:rPr>
        <w:t xml:space="preserve">the number of tests of </w:t>
      </w:r>
      <w:r w:rsidR="004672BF" w:rsidRPr="0041132C">
        <w:rPr>
          <w:sz w:val="24"/>
          <w:szCs w:val="24"/>
        </w:rPr>
        <w:t>renal function and LFTs were overestimated for cyclosporin; while apremilast costs should include one HCG test and one renal function test.</w:t>
      </w:r>
    </w:p>
    <w:p w:rsidR="00BC7AB4" w:rsidRPr="005348DF" w:rsidRDefault="00E922D7" w:rsidP="00353DCC">
      <w:pPr>
        <w:pStyle w:val="BulletLast"/>
        <w:numPr>
          <w:ilvl w:val="0"/>
          <w:numId w:val="16"/>
        </w:numPr>
        <w:spacing w:after="120"/>
        <w:jc w:val="both"/>
        <w:rPr>
          <w:sz w:val="24"/>
          <w:szCs w:val="24"/>
        </w:rPr>
      </w:pPr>
      <w:r w:rsidRPr="009D7DF7">
        <w:rPr>
          <w:sz w:val="24"/>
          <w:szCs w:val="24"/>
        </w:rPr>
        <w:t xml:space="preserve">The inclusion of </w:t>
      </w:r>
      <w:r w:rsidR="000C7D6F" w:rsidRPr="009D7DF7">
        <w:rPr>
          <w:sz w:val="24"/>
          <w:szCs w:val="24"/>
        </w:rPr>
        <w:t xml:space="preserve">differences in </w:t>
      </w:r>
      <w:r w:rsidRPr="009D7DF7">
        <w:rPr>
          <w:sz w:val="24"/>
          <w:szCs w:val="24"/>
        </w:rPr>
        <w:t>adverse event</w:t>
      </w:r>
      <w:r w:rsidR="000C7D6F" w:rsidRPr="009D7DF7">
        <w:rPr>
          <w:sz w:val="24"/>
          <w:szCs w:val="24"/>
        </w:rPr>
        <w:t xml:space="preserve"> rate</w:t>
      </w:r>
      <w:r w:rsidRPr="0041132C">
        <w:rPr>
          <w:szCs w:val="24"/>
        </w:rPr>
        <w:t xml:space="preserve"> </w:t>
      </w:r>
      <w:r w:rsidR="00BC7AB4" w:rsidRPr="0041132C">
        <w:rPr>
          <w:sz w:val="24"/>
          <w:szCs w:val="24"/>
        </w:rPr>
        <w:t xml:space="preserve"> based on</w:t>
      </w:r>
      <w:r w:rsidR="000C7D6F" w:rsidRPr="0041132C">
        <w:rPr>
          <w:sz w:val="24"/>
          <w:szCs w:val="24"/>
        </w:rPr>
        <w:t xml:space="preserve"> the outcomes</w:t>
      </w:r>
      <w:r w:rsidR="00BC7AB4" w:rsidRPr="0041132C">
        <w:rPr>
          <w:sz w:val="24"/>
          <w:szCs w:val="24"/>
        </w:rPr>
        <w:t xml:space="preserve"> </w:t>
      </w:r>
      <w:r w:rsidR="009D7DF7">
        <w:rPr>
          <w:sz w:val="24"/>
          <w:szCs w:val="24"/>
        </w:rPr>
        <w:t xml:space="preserve">of </w:t>
      </w:r>
      <w:r w:rsidR="00BC7AB4" w:rsidRPr="0041132C">
        <w:rPr>
          <w:sz w:val="24"/>
          <w:szCs w:val="24"/>
        </w:rPr>
        <w:t xml:space="preserve">a naïve indirect comparison of heterogeneous trials </w:t>
      </w:r>
      <w:r w:rsidR="00DB6610" w:rsidRPr="0041132C">
        <w:rPr>
          <w:sz w:val="24"/>
          <w:szCs w:val="24"/>
        </w:rPr>
        <w:t xml:space="preserve">in the network meta-analysis provided by the resubmission, which </w:t>
      </w:r>
      <w:r w:rsidR="00BC7AB4" w:rsidRPr="0041132C">
        <w:rPr>
          <w:sz w:val="24"/>
          <w:szCs w:val="24"/>
        </w:rPr>
        <w:t>showed no difference</w:t>
      </w:r>
      <w:r w:rsidR="000A1D87" w:rsidRPr="0041132C">
        <w:rPr>
          <w:sz w:val="24"/>
          <w:szCs w:val="24"/>
        </w:rPr>
        <w:t>,</w:t>
      </w:r>
      <w:r w:rsidR="00DB6610" w:rsidRPr="0041132C">
        <w:rPr>
          <w:sz w:val="24"/>
          <w:szCs w:val="24"/>
        </w:rPr>
        <w:t xml:space="preserve"> </w:t>
      </w:r>
      <w:r w:rsidR="00BC7AB4" w:rsidRPr="0041132C">
        <w:rPr>
          <w:sz w:val="24"/>
          <w:szCs w:val="24"/>
        </w:rPr>
        <w:t xml:space="preserve"> favoured apremilast</w:t>
      </w:r>
      <w:r w:rsidR="00BC7AB4" w:rsidRPr="005348DF">
        <w:rPr>
          <w:sz w:val="24"/>
          <w:szCs w:val="24"/>
        </w:rPr>
        <w:t xml:space="preserve">; </w:t>
      </w:r>
    </w:p>
    <w:p w:rsidR="00E3187D" w:rsidRPr="0041132C" w:rsidRDefault="00DA715E" w:rsidP="00353DCC">
      <w:pPr>
        <w:pStyle w:val="BulletLast"/>
        <w:numPr>
          <w:ilvl w:val="0"/>
          <w:numId w:val="16"/>
        </w:numPr>
        <w:spacing w:after="120"/>
        <w:jc w:val="both"/>
        <w:rPr>
          <w:sz w:val="24"/>
          <w:szCs w:val="24"/>
        </w:rPr>
      </w:pPr>
      <w:r w:rsidRPr="005348DF">
        <w:rPr>
          <w:sz w:val="24"/>
          <w:szCs w:val="24"/>
        </w:rPr>
        <w:t xml:space="preserve">The survey of clinicians </w:t>
      </w:r>
      <w:r w:rsidR="005B37E9" w:rsidRPr="005348DF">
        <w:rPr>
          <w:sz w:val="24"/>
          <w:szCs w:val="24"/>
        </w:rPr>
        <w:t>used to determine the severity and resource utilisation assoc</w:t>
      </w:r>
      <w:r w:rsidR="005B37E9" w:rsidRPr="0041132C">
        <w:rPr>
          <w:sz w:val="24"/>
          <w:szCs w:val="24"/>
        </w:rPr>
        <w:t xml:space="preserve">iated with adverse events in apremilast and cyclosporin </w:t>
      </w:r>
      <w:r w:rsidRPr="0041132C">
        <w:rPr>
          <w:sz w:val="24"/>
          <w:szCs w:val="24"/>
        </w:rPr>
        <w:t>was likely to have considerable selection bias given the source</w:t>
      </w:r>
      <w:r w:rsidR="007D69DF" w:rsidRPr="0041132C">
        <w:rPr>
          <w:sz w:val="24"/>
          <w:szCs w:val="24"/>
        </w:rPr>
        <w:t xml:space="preserve"> (apremilast experience program) </w:t>
      </w:r>
      <w:r w:rsidRPr="0041132C">
        <w:rPr>
          <w:sz w:val="24"/>
          <w:szCs w:val="24"/>
        </w:rPr>
        <w:t>and the response rate</w:t>
      </w:r>
      <w:r w:rsidR="00F102A4" w:rsidRPr="0041132C">
        <w:rPr>
          <w:sz w:val="24"/>
          <w:szCs w:val="24"/>
        </w:rPr>
        <w:t xml:space="preserve"> (29 of 129 dermatologists (22%))</w:t>
      </w:r>
      <w:r w:rsidR="00E3187D" w:rsidRPr="0041132C">
        <w:rPr>
          <w:sz w:val="24"/>
          <w:szCs w:val="24"/>
        </w:rPr>
        <w:t xml:space="preserve">; </w:t>
      </w:r>
    </w:p>
    <w:p w:rsidR="003219E9" w:rsidRPr="0041132C" w:rsidRDefault="00E3187D" w:rsidP="00353DCC">
      <w:pPr>
        <w:pStyle w:val="BulletLast"/>
        <w:numPr>
          <w:ilvl w:val="0"/>
          <w:numId w:val="16"/>
        </w:numPr>
        <w:spacing w:after="120"/>
        <w:jc w:val="both"/>
        <w:rPr>
          <w:sz w:val="24"/>
          <w:szCs w:val="24"/>
        </w:rPr>
      </w:pPr>
      <w:r w:rsidRPr="0041132C">
        <w:rPr>
          <w:sz w:val="24"/>
          <w:szCs w:val="24"/>
        </w:rPr>
        <w:t>The submission calculate</w:t>
      </w:r>
      <w:r w:rsidR="000A1D87" w:rsidRPr="0041132C">
        <w:rPr>
          <w:sz w:val="24"/>
          <w:szCs w:val="24"/>
        </w:rPr>
        <w:t>d</w:t>
      </w:r>
      <w:r w:rsidRPr="0041132C">
        <w:rPr>
          <w:sz w:val="24"/>
          <w:szCs w:val="24"/>
        </w:rPr>
        <w:t xml:space="preserve"> the cost-minimised price for apremilast over </w:t>
      </w:r>
      <w:r w:rsidR="009D7DF7">
        <w:rPr>
          <w:sz w:val="24"/>
          <w:szCs w:val="24"/>
        </w:rPr>
        <w:t>the initial treatment</w:t>
      </w:r>
      <w:r w:rsidRPr="0041132C">
        <w:rPr>
          <w:sz w:val="24"/>
          <w:szCs w:val="24"/>
        </w:rPr>
        <w:t xml:space="preserve"> period of 16 weeks, whereas treatment will continue for longer. This over-estimates the costs of monitoring and treating adverse events for </w:t>
      </w:r>
      <w:r w:rsidR="009D7DF7">
        <w:rPr>
          <w:sz w:val="24"/>
          <w:szCs w:val="24"/>
        </w:rPr>
        <w:t>cyclosporine; and</w:t>
      </w:r>
      <w:r w:rsidRPr="0041132C">
        <w:rPr>
          <w:sz w:val="24"/>
          <w:szCs w:val="24"/>
        </w:rPr>
        <w:t xml:space="preserve"> </w:t>
      </w:r>
    </w:p>
    <w:p w:rsidR="000C5F47" w:rsidRPr="0041132C" w:rsidRDefault="000C5F47" w:rsidP="00353DCC">
      <w:pPr>
        <w:pStyle w:val="BulletLast"/>
        <w:numPr>
          <w:ilvl w:val="0"/>
          <w:numId w:val="16"/>
        </w:numPr>
        <w:spacing w:after="120"/>
        <w:jc w:val="both"/>
        <w:rPr>
          <w:sz w:val="24"/>
          <w:szCs w:val="24"/>
        </w:rPr>
      </w:pPr>
      <w:r w:rsidRPr="0041132C">
        <w:rPr>
          <w:sz w:val="24"/>
          <w:szCs w:val="24"/>
        </w:rPr>
        <w:t xml:space="preserve">Adjusting the cost of managing adverse events to account for a longer treatment horizon is difficult. One of the issues is that the cost of adverse events is based on the proportion of patients with an event rather than the number of events. The sources for the data in terms of adverse events </w:t>
      </w:r>
      <w:r w:rsidR="009D7DF7">
        <w:rPr>
          <w:sz w:val="24"/>
          <w:szCs w:val="24"/>
        </w:rPr>
        <w:t xml:space="preserve">and how they </w:t>
      </w:r>
      <w:r w:rsidR="003520D7">
        <w:rPr>
          <w:sz w:val="24"/>
          <w:szCs w:val="24"/>
        </w:rPr>
        <w:t>will</w:t>
      </w:r>
      <w:r w:rsidRPr="0041132C">
        <w:rPr>
          <w:sz w:val="24"/>
          <w:szCs w:val="24"/>
        </w:rPr>
        <w:t xml:space="preserve"> be</w:t>
      </w:r>
      <w:r w:rsidR="009B1D1E">
        <w:rPr>
          <w:sz w:val="24"/>
          <w:szCs w:val="24"/>
        </w:rPr>
        <w:t xml:space="preserve"> treated are also not reliable.</w:t>
      </w:r>
    </w:p>
    <w:p w:rsidR="000A1D87" w:rsidRPr="0041132C" w:rsidRDefault="00103987">
      <w:pPr>
        <w:pStyle w:val="ListParagraph"/>
        <w:numPr>
          <w:ilvl w:val="1"/>
          <w:numId w:val="3"/>
        </w:numPr>
        <w:spacing w:before="0" w:after="120"/>
        <w:jc w:val="both"/>
        <w:rPr>
          <w:szCs w:val="24"/>
        </w:rPr>
      </w:pPr>
      <w:r w:rsidRPr="0041132C">
        <w:rPr>
          <w:szCs w:val="24"/>
        </w:rPr>
        <w:t>The PBAC noted that i</w:t>
      </w:r>
      <w:r w:rsidR="004672BF" w:rsidRPr="0041132C">
        <w:rPr>
          <w:szCs w:val="24"/>
        </w:rPr>
        <w:t xml:space="preserve">n the PSCR (p.2) </w:t>
      </w:r>
      <w:r w:rsidR="006141C3" w:rsidRPr="0041132C">
        <w:rPr>
          <w:szCs w:val="24"/>
        </w:rPr>
        <w:t xml:space="preserve">and the pre-PBAC response (p.2), </w:t>
      </w:r>
      <w:r w:rsidR="004672BF" w:rsidRPr="0041132C">
        <w:rPr>
          <w:szCs w:val="24"/>
        </w:rPr>
        <w:t>the sponsor maintained that the monitoring costs included were appropriate and in line with the approved PI and clinical guidelines of the 2017 Australian Medical Handbook (AMH).</w:t>
      </w:r>
      <w:r w:rsidR="00C50BCC" w:rsidRPr="0041132C">
        <w:rPr>
          <w:szCs w:val="24"/>
        </w:rPr>
        <w:t xml:space="preserve">  However the</w:t>
      </w:r>
      <w:r w:rsidR="000A1D87" w:rsidRPr="0041132C">
        <w:rPr>
          <w:szCs w:val="24"/>
        </w:rPr>
        <w:t xml:space="preserve"> PBAC noted that the</w:t>
      </w:r>
      <w:r w:rsidR="00C50BCC" w:rsidRPr="0041132C">
        <w:rPr>
          <w:szCs w:val="24"/>
        </w:rPr>
        <w:t xml:space="preserve"> AMH 2017 recommendations for monitoring of patients receiving cyclosporin for psoriasis are to “measure creatinine concentration every 2 weeks for the first 3 months, then every 2 months (or each month if the dose &gt; 2.5 mg/kg/day” (AMH2017, pp 378).  </w:t>
      </w:r>
      <w:r w:rsidR="001A1188" w:rsidRPr="0041132C">
        <w:rPr>
          <w:szCs w:val="24"/>
        </w:rPr>
        <w:t>The m</w:t>
      </w:r>
      <w:r w:rsidR="00C50BCC" w:rsidRPr="0041132C">
        <w:rPr>
          <w:szCs w:val="24"/>
        </w:rPr>
        <w:t>ore extensive and frequent monitoring</w:t>
      </w:r>
      <w:r w:rsidR="001A1188" w:rsidRPr="0041132C">
        <w:rPr>
          <w:szCs w:val="24"/>
        </w:rPr>
        <w:t xml:space="preserve"> included in the sponsor’s analysis</w:t>
      </w:r>
      <w:r w:rsidR="00C50BCC" w:rsidRPr="0041132C">
        <w:rPr>
          <w:szCs w:val="24"/>
        </w:rPr>
        <w:t xml:space="preserve"> is recommended for cyclosporin when it is used </w:t>
      </w:r>
      <w:r w:rsidR="001A1188" w:rsidRPr="0041132C">
        <w:rPr>
          <w:szCs w:val="24"/>
        </w:rPr>
        <w:t>at higher doses</w:t>
      </w:r>
      <w:r w:rsidR="00C50BCC" w:rsidRPr="0041132C">
        <w:rPr>
          <w:szCs w:val="24"/>
        </w:rPr>
        <w:t xml:space="preserve"> for conditions including prevention of transplant rejection (AMH 2017, pp </w:t>
      </w:r>
      <w:r w:rsidR="001A1188" w:rsidRPr="0041132C">
        <w:rPr>
          <w:szCs w:val="24"/>
        </w:rPr>
        <w:t>664).</w:t>
      </w:r>
    </w:p>
    <w:p w:rsidR="00103987" w:rsidRPr="0041132C" w:rsidRDefault="00646EE3" w:rsidP="005348DF">
      <w:pPr>
        <w:pStyle w:val="ListParagraph"/>
        <w:numPr>
          <w:ilvl w:val="1"/>
          <w:numId w:val="3"/>
        </w:numPr>
        <w:spacing w:before="0" w:after="120"/>
        <w:jc w:val="both"/>
        <w:rPr>
          <w:szCs w:val="24"/>
        </w:rPr>
      </w:pPr>
      <w:r w:rsidRPr="0041132C">
        <w:rPr>
          <w:szCs w:val="24"/>
        </w:rPr>
        <w:t xml:space="preserve">In the PSCR (p.3) </w:t>
      </w:r>
      <w:r w:rsidR="000C5F47" w:rsidRPr="0041132C">
        <w:rPr>
          <w:szCs w:val="24"/>
        </w:rPr>
        <w:t xml:space="preserve">and pre-PBAC response (p.2) </w:t>
      </w:r>
      <w:r w:rsidRPr="0041132C">
        <w:rPr>
          <w:szCs w:val="24"/>
        </w:rPr>
        <w:t>the sponsor argued that the calculation of the cost minimisation over 2 years</w:t>
      </w:r>
      <w:r w:rsidR="000C5F47" w:rsidRPr="0041132C">
        <w:rPr>
          <w:szCs w:val="24"/>
        </w:rPr>
        <w:t xml:space="preserve"> as proposed by the commentary and the ESC</w:t>
      </w:r>
      <w:r w:rsidRPr="0041132C">
        <w:rPr>
          <w:szCs w:val="24"/>
        </w:rPr>
        <w:t xml:space="preserve"> is redundant as the comparative efficacy and safety of apremilast and cyclosporin has not been established over this period. The sponsor further noted that data previously presented to the PBAC, supporting a 1 and 2 year comparison of treatment costs (persistence date based on real world evidence), was rejected by the PBAC.  </w:t>
      </w:r>
      <w:r w:rsidR="000C5F47" w:rsidRPr="0041132C">
        <w:rPr>
          <w:szCs w:val="24"/>
        </w:rPr>
        <w:t>However, the PBAC noted that the submission’s approach to cost-minimising the two treatments over a period of 16 weeks had a large impact on the cost-minimisation outcome, as this approach implausibly assumes all additional costs associated with cyclosporin compared to apremilast over the first 16 week period, will continue to accrue at the same rate over longer treatment periods.</w:t>
      </w:r>
      <w:r w:rsidRPr="0041132C">
        <w:rPr>
          <w:szCs w:val="24"/>
        </w:rPr>
        <w:t xml:space="preserve"> </w:t>
      </w:r>
    </w:p>
    <w:p w:rsidR="009B1D1E" w:rsidRPr="005348DF" w:rsidRDefault="009B1D1E" w:rsidP="005348DF">
      <w:pPr>
        <w:pStyle w:val="ListParagraph"/>
        <w:numPr>
          <w:ilvl w:val="1"/>
          <w:numId w:val="3"/>
        </w:numPr>
        <w:spacing w:before="0" w:after="120"/>
        <w:jc w:val="both"/>
        <w:rPr>
          <w:i/>
          <w:szCs w:val="24"/>
        </w:rPr>
      </w:pPr>
      <w:r w:rsidRPr="009B1D1E">
        <w:rPr>
          <w:szCs w:val="24"/>
        </w:rPr>
        <w:t xml:space="preserve">On the request of the Minister (delegate) under section 101(3) of the </w:t>
      </w:r>
      <w:r w:rsidR="005348DF" w:rsidRPr="005348DF">
        <w:rPr>
          <w:i/>
          <w:szCs w:val="24"/>
        </w:rPr>
        <w:t>National Health Act 1953</w:t>
      </w:r>
      <w:r w:rsidR="005348DF">
        <w:rPr>
          <w:szCs w:val="24"/>
        </w:rPr>
        <w:t xml:space="preserve"> (</w:t>
      </w:r>
      <w:r w:rsidRPr="009B1D1E">
        <w:rPr>
          <w:szCs w:val="24"/>
        </w:rPr>
        <w:t>Act</w:t>
      </w:r>
      <w:r w:rsidR="005348DF">
        <w:rPr>
          <w:szCs w:val="24"/>
        </w:rPr>
        <w:t>)</w:t>
      </w:r>
      <w:r w:rsidRPr="009B1D1E">
        <w:rPr>
          <w:szCs w:val="24"/>
        </w:rPr>
        <w:t xml:space="preserve">, the PBAC considered the price or range of prices at which it considered treatment with </w:t>
      </w:r>
      <w:r>
        <w:rPr>
          <w:szCs w:val="24"/>
        </w:rPr>
        <w:t>apremilast</w:t>
      </w:r>
      <w:r w:rsidRPr="009B1D1E">
        <w:rPr>
          <w:szCs w:val="24"/>
        </w:rPr>
        <w:t xml:space="preserve"> would be acceptably cost-effective for the purposes of the</w:t>
      </w:r>
      <w:r w:rsidR="005348DF">
        <w:rPr>
          <w:szCs w:val="24"/>
        </w:rPr>
        <w:t xml:space="preserve"> Act</w:t>
      </w:r>
      <w:r w:rsidRPr="005348DF">
        <w:rPr>
          <w:i/>
          <w:szCs w:val="24"/>
        </w:rPr>
        <w:t>.</w:t>
      </w:r>
    </w:p>
    <w:p w:rsidR="000A1D87" w:rsidRPr="005348DF" w:rsidRDefault="000A1D87" w:rsidP="005348DF">
      <w:pPr>
        <w:pStyle w:val="ListParagraph"/>
        <w:numPr>
          <w:ilvl w:val="1"/>
          <w:numId w:val="3"/>
        </w:numPr>
        <w:spacing w:before="0" w:after="120"/>
        <w:jc w:val="both"/>
        <w:rPr>
          <w:szCs w:val="24"/>
        </w:rPr>
      </w:pPr>
      <w:r w:rsidRPr="005348DF">
        <w:rPr>
          <w:szCs w:val="24"/>
        </w:rPr>
        <w:t>The PBAC</w:t>
      </w:r>
      <w:r w:rsidR="0041132C" w:rsidRPr="005348DF">
        <w:rPr>
          <w:szCs w:val="24"/>
        </w:rPr>
        <w:t xml:space="preserve"> noted that </w:t>
      </w:r>
      <w:r w:rsidR="00665B18">
        <w:rPr>
          <w:szCs w:val="24"/>
        </w:rPr>
        <w:t>it will</w:t>
      </w:r>
      <w:r w:rsidR="0041132C" w:rsidRPr="005348DF">
        <w:rPr>
          <w:szCs w:val="24"/>
        </w:rPr>
        <w:t xml:space="preserve"> be difficult to address all the areas of uncertainty with the </w:t>
      </w:r>
      <w:r w:rsidR="00612D98" w:rsidRPr="005348DF">
        <w:rPr>
          <w:szCs w:val="24"/>
        </w:rPr>
        <w:t>co</w:t>
      </w:r>
      <w:r w:rsidR="0090742B" w:rsidRPr="005348DF">
        <w:rPr>
          <w:szCs w:val="24"/>
        </w:rPr>
        <w:t xml:space="preserve">st-minimised </w:t>
      </w:r>
      <w:r w:rsidR="0041132C" w:rsidRPr="005348DF">
        <w:rPr>
          <w:szCs w:val="24"/>
        </w:rPr>
        <w:t xml:space="preserve">calculation.  </w:t>
      </w:r>
      <w:r w:rsidR="009B1D1E">
        <w:rPr>
          <w:szCs w:val="24"/>
        </w:rPr>
        <w:t>However</w:t>
      </w:r>
      <w:r w:rsidR="009D7DF7">
        <w:rPr>
          <w:szCs w:val="24"/>
        </w:rPr>
        <w:t xml:space="preserve">, </w:t>
      </w:r>
      <w:r w:rsidR="0041132C" w:rsidRPr="005348DF">
        <w:rPr>
          <w:szCs w:val="24"/>
        </w:rPr>
        <w:t>the Committee considered the following approach to be appropriate.</w:t>
      </w:r>
    </w:p>
    <w:p w:rsidR="000A1D87" w:rsidRPr="005348DF" w:rsidRDefault="000A1D87" w:rsidP="009D7DF7">
      <w:pPr>
        <w:spacing w:before="0" w:after="120"/>
        <w:ind w:left="709"/>
        <w:jc w:val="both"/>
        <w:rPr>
          <w:szCs w:val="24"/>
        </w:rPr>
      </w:pPr>
      <w:r w:rsidRPr="005348DF">
        <w:rPr>
          <w:szCs w:val="24"/>
        </w:rPr>
        <w:t>Step 1: correct price per mg of cyclosporin</w:t>
      </w:r>
      <w:r w:rsidR="0041132C" w:rsidRPr="005348DF">
        <w:rPr>
          <w:szCs w:val="24"/>
        </w:rPr>
        <w:t xml:space="preserve"> to </w:t>
      </w:r>
      <w:r w:rsidR="005348DF">
        <w:rPr>
          <w:szCs w:val="24"/>
        </w:rPr>
        <w:t>$</w:t>
      </w:r>
      <w:r w:rsidR="0041132C" w:rsidRPr="005348DF">
        <w:rPr>
          <w:szCs w:val="24"/>
        </w:rPr>
        <w:t>0.0455 mg (NB weight assumption unchanged)</w:t>
      </w:r>
      <w:r w:rsidRPr="005348DF">
        <w:rPr>
          <w:szCs w:val="24"/>
        </w:rPr>
        <w:t xml:space="preserve"> </w:t>
      </w:r>
    </w:p>
    <w:p w:rsidR="000A1D87" w:rsidRPr="005348DF" w:rsidRDefault="000A1D87" w:rsidP="005348DF">
      <w:pPr>
        <w:pStyle w:val="TableName"/>
        <w:spacing w:after="120"/>
        <w:ind w:left="709" w:hanging="851"/>
        <w:rPr>
          <w:rFonts w:ascii="Arial Narrow" w:hAnsi="Arial Narrow"/>
          <w:b/>
          <w:sz w:val="20"/>
        </w:rPr>
      </w:pPr>
      <w:r w:rsidRPr="005348DF">
        <w:rPr>
          <w:rFonts w:ascii="Arial Narrow" w:hAnsi="Arial Narrow"/>
          <w:b/>
          <w:sz w:val="20"/>
        </w:rPr>
        <w:t>Table 1</w:t>
      </w:r>
      <w:r w:rsidR="00612D98" w:rsidRPr="005348DF">
        <w:rPr>
          <w:rFonts w:ascii="Arial Narrow" w:hAnsi="Arial Narrow"/>
          <w:b/>
          <w:sz w:val="20"/>
        </w:rPr>
        <w:t>4</w:t>
      </w:r>
      <w:r w:rsidRPr="005348DF">
        <w:rPr>
          <w:rFonts w:ascii="Arial Narrow" w:hAnsi="Arial Narrow"/>
          <w:b/>
          <w:sz w:val="20"/>
        </w:rPr>
        <w:t>: Submission</w:t>
      </w:r>
      <w:r w:rsidR="00612D98" w:rsidRPr="005348DF">
        <w:rPr>
          <w:rFonts w:ascii="Arial Narrow" w:hAnsi="Arial Narrow"/>
          <w:b/>
          <w:sz w:val="20"/>
        </w:rPr>
        <w:t>’</w:t>
      </w:r>
      <w:r w:rsidRPr="005348DF">
        <w:rPr>
          <w:rFonts w:ascii="Arial Narrow" w:hAnsi="Arial Narrow"/>
          <w:b/>
          <w:sz w:val="20"/>
        </w:rPr>
        <w:t>s estimate of comparative cost</w:t>
      </w:r>
      <w:r w:rsidR="00612D98" w:rsidRPr="005348DF">
        <w:rPr>
          <w:rFonts w:ascii="Arial Narrow" w:hAnsi="Arial Narrow"/>
          <w:b/>
          <w:sz w:val="20"/>
        </w:rPr>
        <w:t>s</w:t>
      </w:r>
      <w:r w:rsidRPr="005348DF">
        <w:rPr>
          <w:rFonts w:ascii="Arial Narrow" w:hAnsi="Arial Narrow"/>
          <w:b/>
          <w:sz w:val="20"/>
        </w:rPr>
        <w:t xml:space="preserve"> of treatment over 16 weeks with corrected price of cyclosporin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1944"/>
        <w:gridCol w:w="1943"/>
        <w:gridCol w:w="1943"/>
        <w:gridCol w:w="1943"/>
      </w:tblGrid>
      <w:tr w:rsidR="000A1D87" w:rsidRPr="005348DF" w:rsidTr="000C7D6F">
        <w:trPr>
          <w:trHeight w:val="460"/>
        </w:trPr>
        <w:tc>
          <w:tcPr>
            <w:tcW w:w="708" w:type="pct"/>
            <w:shd w:val="clear" w:color="auto" w:fill="auto"/>
            <w:tcMar>
              <w:top w:w="15" w:type="dxa"/>
              <w:left w:w="15" w:type="dxa"/>
              <w:bottom w:w="0" w:type="dxa"/>
              <w:right w:w="15" w:type="dxa"/>
            </w:tcMar>
            <w:vAlign w:val="bottom"/>
            <w:hideMark/>
          </w:tcPr>
          <w:p w:rsidR="000A1D87" w:rsidRPr="005348DF" w:rsidRDefault="000A1D87"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 </w:t>
            </w:r>
          </w:p>
        </w:tc>
        <w:tc>
          <w:tcPr>
            <w:tcW w:w="1073" w:type="pct"/>
            <w:shd w:val="clear" w:color="auto" w:fill="auto"/>
            <w:tcMar>
              <w:top w:w="15" w:type="dxa"/>
              <w:left w:w="15" w:type="dxa"/>
              <w:bottom w:w="0" w:type="dxa"/>
              <w:right w:w="15" w:type="dxa"/>
            </w:tcMar>
            <w:hideMark/>
          </w:tcPr>
          <w:p w:rsidR="000A1D87" w:rsidRPr="005348DF" w:rsidRDefault="000A1D87"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Total cost of treatment</w:t>
            </w:r>
          </w:p>
        </w:tc>
        <w:tc>
          <w:tcPr>
            <w:tcW w:w="1073" w:type="pct"/>
            <w:shd w:val="clear" w:color="auto" w:fill="auto"/>
            <w:tcMar>
              <w:top w:w="15" w:type="dxa"/>
              <w:left w:w="15" w:type="dxa"/>
              <w:bottom w:w="0" w:type="dxa"/>
              <w:right w:w="15" w:type="dxa"/>
            </w:tcMar>
            <w:hideMark/>
          </w:tcPr>
          <w:p w:rsidR="000A1D87" w:rsidRPr="005348DF" w:rsidRDefault="000A1D87"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Adverse event costs</w:t>
            </w:r>
          </w:p>
        </w:tc>
        <w:tc>
          <w:tcPr>
            <w:tcW w:w="1073" w:type="pct"/>
            <w:shd w:val="clear" w:color="auto" w:fill="auto"/>
            <w:tcMar>
              <w:top w:w="15" w:type="dxa"/>
              <w:left w:w="15" w:type="dxa"/>
              <w:bottom w:w="0" w:type="dxa"/>
              <w:right w:w="15" w:type="dxa"/>
            </w:tcMar>
            <w:hideMark/>
          </w:tcPr>
          <w:p w:rsidR="000A1D87" w:rsidRPr="005348DF" w:rsidRDefault="000A1D87"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Monitoring costs</w:t>
            </w:r>
          </w:p>
        </w:tc>
        <w:tc>
          <w:tcPr>
            <w:tcW w:w="1073" w:type="pct"/>
            <w:shd w:val="clear" w:color="auto" w:fill="auto"/>
            <w:tcMar>
              <w:top w:w="15" w:type="dxa"/>
              <w:left w:w="15" w:type="dxa"/>
              <w:bottom w:w="0" w:type="dxa"/>
              <w:right w:w="15" w:type="dxa"/>
            </w:tcMar>
            <w:hideMark/>
          </w:tcPr>
          <w:p w:rsidR="000A1D87" w:rsidRPr="005348DF" w:rsidRDefault="000A1D87"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PBS costs (AEMP)</w:t>
            </w:r>
          </w:p>
        </w:tc>
      </w:tr>
      <w:tr w:rsidR="000A1D87" w:rsidRPr="005348DF" w:rsidTr="000C7D6F">
        <w:trPr>
          <w:trHeight w:val="393"/>
        </w:trPr>
        <w:tc>
          <w:tcPr>
            <w:tcW w:w="708" w:type="pct"/>
            <w:shd w:val="clear" w:color="auto" w:fill="auto"/>
            <w:noWrap/>
            <w:tcMar>
              <w:top w:w="15" w:type="dxa"/>
              <w:left w:w="15" w:type="dxa"/>
              <w:bottom w:w="0" w:type="dxa"/>
              <w:right w:w="15" w:type="dxa"/>
            </w:tcMar>
            <w:hideMark/>
          </w:tcPr>
          <w:p w:rsidR="000A1D87" w:rsidRPr="005348DF" w:rsidRDefault="000A1D87"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Cyclosporin</w:t>
            </w:r>
          </w:p>
        </w:tc>
        <w:tc>
          <w:tcPr>
            <w:tcW w:w="1073" w:type="pct"/>
            <w:shd w:val="clear" w:color="auto" w:fill="auto"/>
            <w:noWrap/>
            <w:tcMar>
              <w:top w:w="15" w:type="dxa"/>
              <w:left w:w="15" w:type="dxa"/>
              <w:bottom w:w="0" w:type="dxa"/>
              <w:right w:w="15" w:type="dxa"/>
            </w:tcMar>
            <w:hideMark/>
          </w:tcPr>
          <w:p w:rsidR="000A1D87"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hAnsi="Arial Narrow"/>
                <w:noProof/>
                <w:color w:val="000000"/>
                <w:sz w:val="20"/>
                <w:szCs w:val="20"/>
                <w:highlight w:val="black"/>
              </w:rPr>
              <w:t>''''''''''''''''</w:t>
            </w:r>
          </w:p>
        </w:tc>
        <w:tc>
          <w:tcPr>
            <w:tcW w:w="1073" w:type="pct"/>
            <w:shd w:val="clear" w:color="auto" w:fill="auto"/>
            <w:noWrap/>
            <w:tcMar>
              <w:top w:w="15" w:type="dxa"/>
              <w:left w:w="15" w:type="dxa"/>
              <w:bottom w:w="0" w:type="dxa"/>
              <w:right w:w="15" w:type="dxa"/>
            </w:tcMar>
            <w:hideMark/>
          </w:tcPr>
          <w:p w:rsidR="000A1D87"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hAnsi="Arial Narrow"/>
                <w:noProof/>
                <w:color w:val="000000"/>
                <w:sz w:val="20"/>
                <w:szCs w:val="20"/>
                <w:highlight w:val="black"/>
              </w:rPr>
              <w:t>'''''''''''''</w:t>
            </w:r>
          </w:p>
        </w:tc>
        <w:tc>
          <w:tcPr>
            <w:tcW w:w="1073" w:type="pct"/>
            <w:shd w:val="clear" w:color="auto" w:fill="auto"/>
            <w:noWrap/>
            <w:tcMar>
              <w:top w:w="15" w:type="dxa"/>
              <w:left w:w="15" w:type="dxa"/>
              <w:bottom w:w="0" w:type="dxa"/>
              <w:right w:w="15" w:type="dxa"/>
            </w:tcMar>
            <w:hideMark/>
          </w:tcPr>
          <w:p w:rsidR="000A1D87"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hAnsi="Arial Narrow"/>
                <w:noProof/>
                <w:color w:val="000000"/>
                <w:sz w:val="20"/>
                <w:szCs w:val="20"/>
                <w:highlight w:val="black"/>
              </w:rPr>
              <w:t>''''''''''''</w:t>
            </w:r>
          </w:p>
        </w:tc>
        <w:tc>
          <w:tcPr>
            <w:tcW w:w="1073" w:type="pct"/>
            <w:shd w:val="clear" w:color="auto" w:fill="auto"/>
            <w:noWrap/>
            <w:tcMar>
              <w:top w:w="15" w:type="dxa"/>
              <w:left w:w="15" w:type="dxa"/>
              <w:bottom w:w="0" w:type="dxa"/>
              <w:right w:w="15" w:type="dxa"/>
            </w:tcMar>
            <w:hideMark/>
          </w:tcPr>
          <w:p w:rsidR="000A1D87" w:rsidRPr="005348DF" w:rsidRDefault="000A1D87" w:rsidP="005348DF">
            <w:pPr>
              <w:spacing w:before="0" w:after="0"/>
              <w:rPr>
                <w:rFonts w:ascii="Arial Narrow" w:eastAsia="Times New Roman" w:hAnsi="Arial Narrow" w:cs="Calibri"/>
                <w:sz w:val="20"/>
                <w:szCs w:val="20"/>
                <w:lang w:eastAsia="en-AU"/>
              </w:rPr>
            </w:pPr>
            <w:r w:rsidRPr="005348DF">
              <w:rPr>
                <w:rFonts w:ascii="Arial Narrow" w:hAnsi="Arial Narrow"/>
                <w:sz w:val="20"/>
                <w:szCs w:val="20"/>
              </w:rPr>
              <w:t>$</w:t>
            </w:r>
            <w:r w:rsidRPr="00A32228">
              <w:rPr>
                <w:rFonts w:ascii="Arial Narrow" w:hAnsi="Arial Narrow"/>
                <w:sz w:val="20"/>
                <w:szCs w:val="20"/>
              </w:rPr>
              <w:t>1,547</w:t>
            </w:r>
          </w:p>
        </w:tc>
      </w:tr>
      <w:tr w:rsidR="000A1D87" w:rsidRPr="005348DF" w:rsidTr="000C7D6F">
        <w:trPr>
          <w:trHeight w:val="400"/>
        </w:trPr>
        <w:tc>
          <w:tcPr>
            <w:tcW w:w="708" w:type="pct"/>
            <w:shd w:val="clear" w:color="auto" w:fill="auto"/>
            <w:noWrap/>
            <w:tcMar>
              <w:top w:w="15" w:type="dxa"/>
              <w:left w:w="15" w:type="dxa"/>
              <w:bottom w:w="0" w:type="dxa"/>
              <w:right w:w="15" w:type="dxa"/>
            </w:tcMar>
          </w:tcPr>
          <w:p w:rsidR="000A1D87" w:rsidRPr="005348DF" w:rsidRDefault="000A1D87"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Apremilast</w:t>
            </w:r>
          </w:p>
        </w:tc>
        <w:tc>
          <w:tcPr>
            <w:tcW w:w="1073" w:type="pct"/>
            <w:shd w:val="clear" w:color="auto" w:fill="auto"/>
            <w:noWrap/>
            <w:tcMar>
              <w:top w:w="15" w:type="dxa"/>
              <w:left w:w="15" w:type="dxa"/>
              <w:bottom w:w="0" w:type="dxa"/>
              <w:right w:w="15" w:type="dxa"/>
            </w:tcMar>
          </w:tcPr>
          <w:p w:rsidR="000A1D87"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hAnsi="Arial Narrow"/>
                <w:noProof/>
                <w:color w:val="000000"/>
                <w:sz w:val="20"/>
                <w:szCs w:val="20"/>
                <w:highlight w:val="black"/>
              </w:rPr>
              <w:t>''''''''''''''''</w:t>
            </w:r>
          </w:p>
        </w:tc>
        <w:tc>
          <w:tcPr>
            <w:tcW w:w="1073" w:type="pct"/>
            <w:shd w:val="clear" w:color="auto" w:fill="auto"/>
            <w:noWrap/>
            <w:tcMar>
              <w:top w:w="15" w:type="dxa"/>
              <w:left w:w="15" w:type="dxa"/>
              <w:bottom w:w="0" w:type="dxa"/>
              <w:right w:w="15" w:type="dxa"/>
            </w:tcMar>
          </w:tcPr>
          <w:p w:rsidR="000A1D87"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hAnsi="Arial Narrow"/>
                <w:noProof/>
                <w:color w:val="000000"/>
                <w:sz w:val="20"/>
                <w:szCs w:val="20"/>
                <w:highlight w:val="black"/>
              </w:rPr>
              <w:t>''''''</w:t>
            </w:r>
          </w:p>
        </w:tc>
        <w:tc>
          <w:tcPr>
            <w:tcW w:w="1073" w:type="pct"/>
            <w:shd w:val="clear" w:color="auto" w:fill="auto"/>
            <w:noWrap/>
            <w:tcMar>
              <w:top w:w="15" w:type="dxa"/>
              <w:left w:w="15" w:type="dxa"/>
              <w:bottom w:w="0" w:type="dxa"/>
              <w:right w:w="15" w:type="dxa"/>
            </w:tcMar>
          </w:tcPr>
          <w:p w:rsidR="000A1D87"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hAnsi="Arial Narrow"/>
                <w:noProof/>
                <w:color w:val="000000"/>
                <w:sz w:val="20"/>
                <w:szCs w:val="20"/>
                <w:highlight w:val="black"/>
              </w:rPr>
              <w:t>'''''''''</w:t>
            </w:r>
          </w:p>
        </w:tc>
        <w:tc>
          <w:tcPr>
            <w:tcW w:w="1073" w:type="pct"/>
            <w:shd w:val="clear" w:color="auto" w:fill="auto"/>
            <w:noWrap/>
            <w:tcMar>
              <w:top w:w="15" w:type="dxa"/>
              <w:left w:w="15" w:type="dxa"/>
              <w:bottom w:w="0" w:type="dxa"/>
              <w:right w:w="15" w:type="dxa"/>
            </w:tcMar>
          </w:tcPr>
          <w:p w:rsidR="000A1D87"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hAnsi="Arial Narrow"/>
                <w:noProof/>
                <w:color w:val="000000"/>
                <w:sz w:val="20"/>
                <w:szCs w:val="20"/>
                <w:highlight w:val="black"/>
              </w:rPr>
              <w:t>'''''''''''''''''</w:t>
            </w:r>
          </w:p>
        </w:tc>
      </w:tr>
    </w:tbl>
    <w:p w:rsidR="000A1D87" w:rsidRPr="005348DF" w:rsidRDefault="000A1D87" w:rsidP="005348DF">
      <w:pPr>
        <w:pStyle w:val="ListParagraph"/>
        <w:spacing w:before="0" w:after="120"/>
        <w:ind w:left="0"/>
        <w:jc w:val="both"/>
        <w:rPr>
          <w:rFonts w:ascii="Arial Narrow" w:hAnsi="Arial Narrow"/>
          <w:sz w:val="18"/>
          <w:szCs w:val="18"/>
        </w:rPr>
      </w:pPr>
    </w:p>
    <w:p w:rsidR="00790D9F" w:rsidRPr="005348DF" w:rsidRDefault="00790D9F" w:rsidP="009D7DF7">
      <w:pPr>
        <w:spacing w:before="0" w:after="120"/>
        <w:ind w:firstLine="360"/>
        <w:jc w:val="both"/>
        <w:rPr>
          <w:szCs w:val="24"/>
        </w:rPr>
      </w:pPr>
      <w:r w:rsidRPr="005348DF">
        <w:rPr>
          <w:szCs w:val="24"/>
        </w:rPr>
        <w:t>Step 2</w:t>
      </w:r>
      <w:r w:rsidR="00612D98" w:rsidRPr="005348DF">
        <w:rPr>
          <w:szCs w:val="24"/>
        </w:rPr>
        <w:t xml:space="preserve">: </w:t>
      </w:r>
      <w:r w:rsidRPr="005348DF">
        <w:rPr>
          <w:szCs w:val="24"/>
        </w:rPr>
        <w:t>Monitoring and adver</w:t>
      </w:r>
      <w:r w:rsidR="0030040F" w:rsidRPr="005348DF">
        <w:rPr>
          <w:szCs w:val="24"/>
        </w:rPr>
        <w:t xml:space="preserve">se event costs adjusted </w:t>
      </w:r>
      <w:r w:rsidR="0090742B" w:rsidRPr="005348DF">
        <w:rPr>
          <w:szCs w:val="24"/>
        </w:rPr>
        <w:t>to assume</w:t>
      </w:r>
      <w:r w:rsidR="00612D98" w:rsidRPr="005348DF">
        <w:rPr>
          <w:szCs w:val="24"/>
        </w:rPr>
        <w:t>:</w:t>
      </w:r>
    </w:p>
    <w:p w:rsidR="00EB16F7" w:rsidRPr="009D7DF7" w:rsidRDefault="003E2FBE" w:rsidP="00353DCC">
      <w:pPr>
        <w:pStyle w:val="BulletLast"/>
        <w:numPr>
          <w:ilvl w:val="0"/>
          <w:numId w:val="16"/>
        </w:numPr>
        <w:spacing w:after="120"/>
        <w:jc w:val="both"/>
        <w:rPr>
          <w:sz w:val="24"/>
          <w:szCs w:val="24"/>
        </w:rPr>
      </w:pPr>
      <w:r>
        <w:rPr>
          <w:noProof/>
          <w:color w:val="000000"/>
          <w:sz w:val="24"/>
          <w:szCs w:val="24"/>
          <w:highlight w:val="black"/>
        </w:rPr>
        <w:t>''' '' ''</w:t>
      </w:r>
      <w:r w:rsidR="00250250">
        <w:rPr>
          <w:sz w:val="24"/>
          <w:szCs w:val="24"/>
        </w:rPr>
        <w:t xml:space="preserve"> </w:t>
      </w:r>
      <w:r w:rsidR="00EB16F7" w:rsidRPr="009D7DF7">
        <w:rPr>
          <w:sz w:val="24"/>
          <w:szCs w:val="24"/>
        </w:rPr>
        <w:t xml:space="preserve"> extra specialist visits over 2 years are assumed for cyclosporin treated patients</w:t>
      </w:r>
      <w:r w:rsidR="00612D98" w:rsidRPr="009D7DF7">
        <w:rPr>
          <w:sz w:val="24"/>
          <w:szCs w:val="24"/>
        </w:rPr>
        <w:t xml:space="preserve"> compared with apremilast treated patients;</w:t>
      </w:r>
    </w:p>
    <w:p w:rsidR="00EB16F7" w:rsidRPr="009D7DF7" w:rsidRDefault="003E2FBE" w:rsidP="00353DCC">
      <w:pPr>
        <w:pStyle w:val="BulletLast"/>
        <w:numPr>
          <w:ilvl w:val="0"/>
          <w:numId w:val="16"/>
        </w:numPr>
        <w:spacing w:after="120"/>
        <w:jc w:val="both"/>
        <w:rPr>
          <w:sz w:val="24"/>
          <w:szCs w:val="24"/>
        </w:rPr>
      </w:pPr>
      <w:r>
        <w:rPr>
          <w:noProof/>
          <w:color w:val="000000"/>
          <w:sz w:val="24"/>
          <w:szCs w:val="24"/>
          <w:highlight w:val="black"/>
        </w:rPr>
        <w:t>''''' ''' ''''''</w:t>
      </w:r>
      <w:r w:rsidR="00EB16F7" w:rsidRPr="009D7DF7">
        <w:rPr>
          <w:sz w:val="24"/>
          <w:szCs w:val="24"/>
        </w:rPr>
        <w:t xml:space="preserve"> extra creatinine tests are conducted over 2 years for</w:t>
      </w:r>
      <w:r w:rsidR="00DF2271" w:rsidRPr="009D7DF7">
        <w:rPr>
          <w:sz w:val="24"/>
          <w:szCs w:val="24"/>
        </w:rPr>
        <w:t xml:space="preserve"> cyclosporin treated patients (</w:t>
      </w:r>
      <w:r>
        <w:rPr>
          <w:noProof/>
          <w:color w:val="000000"/>
          <w:sz w:val="24"/>
          <w:szCs w:val="24"/>
          <w:highlight w:val="black"/>
        </w:rPr>
        <w:t>'''</w:t>
      </w:r>
      <w:r w:rsidR="00EB16F7" w:rsidRPr="009D7DF7">
        <w:rPr>
          <w:sz w:val="24"/>
          <w:szCs w:val="24"/>
        </w:rPr>
        <w:t xml:space="preserve"> pre-treatment, then </w:t>
      </w:r>
      <w:r>
        <w:rPr>
          <w:noProof/>
          <w:color w:val="000000"/>
          <w:sz w:val="24"/>
          <w:szCs w:val="24"/>
          <w:highlight w:val="black"/>
        </w:rPr>
        <w:t>'''''''</w:t>
      </w:r>
      <w:r w:rsidR="00EB16F7" w:rsidRPr="009D7DF7">
        <w:rPr>
          <w:sz w:val="24"/>
          <w:szCs w:val="24"/>
        </w:rPr>
        <w:t xml:space="preserve"> every </w:t>
      </w:r>
      <w:r>
        <w:rPr>
          <w:noProof/>
          <w:color w:val="000000"/>
          <w:sz w:val="24"/>
          <w:szCs w:val="24"/>
          <w:highlight w:val="black"/>
        </w:rPr>
        <w:t>''</w:t>
      </w:r>
      <w:r w:rsidR="00EB16F7" w:rsidRPr="009D7DF7">
        <w:rPr>
          <w:sz w:val="24"/>
          <w:szCs w:val="24"/>
        </w:rPr>
        <w:t xml:space="preserve"> weeks for </w:t>
      </w:r>
      <w:r>
        <w:rPr>
          <w:noProof/>
          <w:color w:val="000000"/>
          <w:sz w:val="24"/>
          <w:szCs w:val="24"/>
          <w:highlight w:val="black"/>
        </w:rPr>
        <w:t>''''''''''</w:t>
      </w:r>
      <w:r w:rsidR="00EB16F7" w:rsidRPr="009D7DF7">
        <w:rPr>
          <w:sz w:val="24"/>
          <w:szCs w:val="24"/>
        </w:rPr>
        <w:t xml:space="preserve"> months, then </w:t>
      </w:r>
      <w:r>
        <w:rPr>
          <w:noProof/>
          <w:color w:val="000000"/>
          <w:sz w:val="24"/>
          <w:szCs w:val="24"/>
          <w:highlight w:val="black"/>
        </w:rPr>
        <w:t>''''''''</w:t>
      </w:r>
      <w:r w:rsidR="00EB16F7" w:rsidRPr="009D7DF7">
        <w:rPr>
          <w:sz w:val="24"/>
          <w:szCs w:val="24"/>
        </w:rPr>
        <w:t xml:space="preserve"> every </w:t>
      </w:r>
      <w:r>
        <w:rPr>
          <w:noProof/>
          <w:color w:val="000000"/>
          <w:sz w:val="24"/>
          <w:szCs w:val="24"/>
          <w:highlight w:val="black"/>
        </w:rPr>
        <w:t>'' '''' '''</w:t>
      </w:r>
      <w:r w:rsidR="00EB16F7" w:rsidRPr="009D7DF7">
        <w:rPr>
          <w:sz w:val="24"/>
          <w:szCs w:val="24"/>
        </w:rPr>
        <w:t xml:space="preserve"> months for </w:t>
      </w:r>
      <w:r>
        <w:rPr>
          <w:noProof/>
          <w:color w:val="000000"/>
          <w:sz w:val="24"/>
          <w:szCs w:val="24"/>
          <w:highlight w:val="black"/>
        </w:rPr>
        <w:t>'''''</w:t>
      </w:r>
      <w:r w:rsidR="00EB16F7" w:rsidRPr="009D7DF7">
        <w:rPr>
          <w:sz w:val="24"/>
          <w:szCs w:val="24"/>
        </w:rPr>
        <w:t xml:space="preserve"> months</w:t>
      </w:r>
      <w:r w:rsidR="008C0A3C" w:rsidRPr="009D7DF7">
        <w:rPr>
          <w:sz w:val="24"/>
          <w:szCs w:val="24"/>
        </w:rPr>
        <w:t xml:space="preserve">; apremilast patients receive </w:t>
      </w:r>
      <w:r>
        <w:rPr>
          <w:noProof/>
          <w:color w:val="000000"/>
          <w:sz w:val="24"/>
          <w:szCs w:val="24"/>
          <w:highlight w:val="black"/>
        </w:rPr>
        <w:t>'''''''</w:t>
      </w:r>
      <w:r w:rsidR="008C0A3C" w:rsidRPr="009D7DF7">
        <w:rPr>
          <w:sz w:val="24"/>
          <w:szCs w:val="24"/>
        </w:rPr>
        <w:t xml:space="preserve"> </w:t>
      </w:r>
      <w:r w:rsidR="0022700B" w:rsidRPr="009D7DF7">
        <w:rPr>
          <w:sz w:val="24"/>
          <w:szCs w:val="24"/>
        </w:rPr>
        <w:t>creatinine test</w:t>
      </w:r>
      <w:r w:rsidR="0022700B">
        <w:rPr>
          <w:sz w:val="24"/>
          <w:szCs w:val="24"/>
        </w:rPr>
        <w:t xml:space="preserve"> pre-treatment </w:t>
      </w:r>
      <w:r w:rsidR="00D25666">
        <w:rPr>
          <w:sz w:val="24"/>
          <w:szCs w:val="24"/>
        </w:rPr>
        <w:t xml:space="preserve">and </w:t>
      </w:r>
      <w:r>
        <w:rPr>
          <w:noProof/>
          <w:color w:val="000000"/>
          <w:sz w:val="24"/>
          <w:szCs w:val="24"/>
          <w:highlight w:val="black"/>
        </w:rPr>
        <w:t>'''''''</w:t>
      </w:r>
      <w:r w:rsidR="00D25666">
        <w:rPr>
          <w:sz w:val="24"/>
          <w:szCs w:val="24"/>
        </w:rPr>
        <w:t xml:space="preserve"> per </w:t>
      </w:r>
      <w:r>
        <w:rPr>
          <w:noProof/>
          <w:color w:val="000000"/>
          <w:sz w:val="24"/>
          <w:szCs w:val="24"/>
          <w:highlight w:val="black"/>
        </w:rPr>
        <w:t>''''''''</w:t>
      </w:r>
      <w:r w:rsidR="00D25666">
        <w:rPr>
          <w:sz w:val="24"/>
          <w:szCs w:val="24"/>
        </w:rPr>
        <w:t xml:space="preserve"> for </w:t>
      </w:r>
      <w:r w:rsidR="00D25666" w:rsidRPr="007E0160">
        <w:rPr>
          <w:sz w:val="24"/>
          <w:szCs w:val="24"/>
        </w:rPr>
        <w:t>2</w:t>
      </w:r>
      <w:r w:rsidR="00D25666">
        <w:rPr>
          <w:sz w:val="24"/>
          <w:szCs w:val="24"/>
        </w:rPr>
        <w:t xml:space="preserve"> years; and </w:t>
      </w:r>
      <w:r>
        <w:rPr>
          <w:noProof/>
          <w:color w:val="000000"/>
          <w:sz w:val="24"/>
          <w:szCs w:val="24"/>
          <w:highlight w:val="black"/>
        </w:rPr>
        <w:t>'''''''</w:t>
      </w:r>
      <w:r w:rsidR="00D25666">
        <w:rPr>
          <w:sz w:val="24"/>
          <w:szCs w:val="24"/>
        </w:rPr>
        <w:t xml:space="preserve"> </w:t>
      </w:r>
      <w:r w:rsidR="008C0A3C" w:rsidRPr="009D7DF7">
        <w:rPr>
          <w:sz w:val="24"/>
          <w:szCs w:val="24"/>
        </w:rPr>
        <w:t>renal function test pre-treatment</w:t>
      </w:r>
      <w:r w:rsidR="00EB16F7" w:rsidRPr="009D7DF7">
        <w:rPr>
          <w:sz w:val="24"/>
          <w:szCs w:val="24"/>
        </w:rPr>
        <w:t>)</w:t>
      </w:r>
      <w:r w:rsidR="00612D98" w:rsidRPr="009D7DF7">
        <w:rPr>
          <w:sz w:val="24"/>
          <w:szCs w:val="24"/>
        </w:rPr>
        <w:t>;</w:t>
      </w:r>
    </w:p>
    <w:p w:rsidR="00EB16F7" w:rsidRPr="009D7DF7" w:rsidRDefault="00612D98" w:rsidP="00353DCC">
      <w:pPr>
        <w:pStyle w:val="BulletLast"/>
        <w:numPr>
          <w:ilvl w:val="0"/>
          <w:numId w:val="16"/>
        </w:numPr>
        <w:spacing w:after="120"/>
        <w:jc w:val="both"/>
        <w:rPr>
          <w:sz w:val="24"/>
          <w:szCs w:val="24"/>
        </w:rPr>
      </w:pPr>
      <w:r w:rsidRPr="009D7DF7">
        <w:rPr>
          <w:sz w:val="24"/>
          <w:szCs w:val="24"/>
        </w:rPr>
        <w:t>t</w:t>
      </w:r>
      <w:r w:rsidR="00EB16F7" w:rsidRPr="009D7DF7">
        <w:rPr>
          <w:sz w:val="24"/>
          <w:szCs w:val="24"/>
        </w:rPr>
        <w:t>he same proportion</w:t>
      </w:r>
      <w:r w:rsidR="008D3ED1" w:rsidRPr="009D7DF7">
        <w:rPr>
          <w:sz w:val="24"/>
          <w:szCs w:val="24"/>
        </w:rPr>
        <w:t>s</w:t>
      </w:r>
      <w:r w:rsidR="00EB16F7" w:rsidRPr="009D7DF7">
        <w:rPr>
          <w:sz w:val="24"/>
          <w:szCs w:val="24"/>
        </w:rPr>
        <w:t xml:space="preserve"> of apremilast</w:t>
      </w:r>
      <w:r w:rsidR="008D3ED1" w:rsidRPr="009D7DF7">
        <w:rPr>
          <w:sz w:val="24"/>
          <w:szCs w:val="24"/>
        </w:rPr>
        <w:t xml:space="preserve"> and</w:t>
      </w:r>
      <w:r w:rsidR="00EB16F7" w:rsidRPr="009D7DF7">
        <w:rPr>
          <w:sz w:val="24"/>
          <w:szCs w:val="24"/>
        </w:rPr>
        <w:t xml:space="preserve"> cyclosporin patients are assumed to require pregnancy testing</w:t>
      </w:r>
      <w:r w:rsidRPr="009D7DF7">
        <w:rPr>
          <w:sz w:val="24"/>
          <w:szCs w:val="24"/>
        </w:rPr>
        <w:t>;</w:t>
      </w:r>
      <w:r w:rsidR="00EB16F7" w:rsidRPr="009D7DF7">
        <w:rPr>
          <w:sz w:val="24"/>
          <w:szCs w:val="24"/>
        </w:rPr>
        <w:t xml:space="preserve"> </w:t>
      </w:r>
    </w:p>
    <w:p w:rsidR="00F60A44" w:rsidRPr="009D7DF7" w:rsidRDefault="0090742B" w:rsidP="00353DCC">
      <w:pPr>
        <w:pStyle w:val="BulletLast"/>
        <w:numPr>
          <w:ilvl w:val="0"/>
          <w:numId w:val="16"/>
        </w:numPr>
        <w:spacing w:after="120"/>
        <w:jc w:val="both"/>
        <w:rPr>
          <w:sz w:val="24"/>
          <w:szCs w:val="24"/>
        </w:rPr>
      </w:pPr>
      <w:r w:rsidRPr="009D7DF7">
        <w:rPr>
          <w:sz w:val="24"/>
          <w:szCs w:val="24"/>
        </w:rPr>
        <w:t>n</w:t>
      </w:r>
      <w:r w:rsidR="00F60A44" w:rsidRPr="009D7DF7">
        <w:rPr>
          <w:sz w:val="24"/>
          <w:szCs w:val="24"/>
        </w:rPr>
        <w:t>o differences in other routine monitoring costs</w:t>
      </w:r>
      <w:r w:rsidR="00612D98" w:rsidRPr="009D7DF7">
        <w:rPr>
          <w:sz w:val="24"/>
          <w:szCs w:val="24"/>
        </w:rPr>
        <w:t>; and</w:t>
      </w:r>
    </w:p>
    <w:p w:rsidR="00F60A44" w:rsidRPr="009D7DF7" w:rsidRDefault="0090742B" w:rsidP="00353DCC">
      <w:pPr>
        <w:pStyle w:val="BulletLast"/>
        <w:numPr>
          <w:ilvl w:val="0"/>
          <w:numId w:val="16"/>
        </w:numPr>
        <w:spacing w:after="120"/>
        <w:jc w:val="both"/>
        <w:rPr>
          <w:sz w:val="24"/>
          <w:szCs w:val="24"/>
        </w:rPr>
      </w:pPr>
      <w:r w:rsidRPr="009D7DF7">
        <w:rPr>
          <w:sz w:val="24"/>
          <w:szCs w:val="24"/>
        </w:rPr>
        <w:t>t</w:t>
      </w:r>
      <w:r w:rsidR="00F60A44" w:rsidRPr="009D7DF7">
        <w:rPr>
          <w:sz w:val="24"/>
          <w:szCs w:val="24"/>
        </w:rPr>
        <w:t>he submission’s estimate of adverse ev</w:t>
      </w:r>
      <w:r w:rsidRPr="009D7DF7">
        <w:rPr>
          <w:sz w:val="24"/>
          <w:szCs w:val="24"/>
        </w:rPr>
        <w:t>ent costs over a 16 week period applies</w:t>
      </w:r>
      <w:r w:rsidR="00F60A44" w:rsidRPr="009D7DF7">
        <w:rPr>
          <w:sz w:val="24"/>
          <w:szCs w:val="24"/>
        </w:rPr>
        <w:t xml:space="preserve"> over a 2 year period</w:t>
      </w:r>
      <w:r w:rsidR="00612D98" w:rsidRPr="009D7DF7">
        <w:rPr>
          <w:sz w:val="24"/>
          <w:szCs w:val="24"/>
        </w:rPr>
        <w:t xml:space="preserve"> without adjustment</w:t>
      </w:r>
      <w:r w:rsidR="00F60A44" w:rsidRPr="009D7DF7">
        <w:rPr>
          <w:sz w:val="24"/>
          <w:szCs w:val="24"/>
        </w:rPr>
        <w:t xml:space="preserve">, or </w:t>
      </w:r>
      <w:r w:rsidRPr="009D7DF7">
        <w:rPr>
          <w:sz w:val="24"/>
          <w:szCs w:val="24"/>
        </w:rPr>
        <w:t>these</w:t>
      </w:r>
      <w:r w:rsidR="00612D98" w:rsidRPr="009D7DF7">
        <w:rPr>
          <w:sz w:val="24"/>
          <w:szCs w:val="24"/>
        </w:rPr>
        <w:t xml:space="preserve"> costs </w:t>
      </w:r>
      <w:r w:rsidR="00F60A44" w:rsidRPr="009D7DF7">
        <w:rPr>
          <w:sz w:val="24"/>
          <w:szCs w:val="24"/>
        </w:rPr>
        <w:t>are doubled</w:t>
      </w:r>
      <w:r w:rsidR="00612D98" w:rsidRPr="009D7DF7">
        <w:rPr>
          <w:sz w:val="24"/>
          <w:szCs w:val="24"/>
        </w:rPr>
        <w:t>.</w:t>
      </w:r>
    </w:p>
    <w:p w:rsidR="008C0A3C" w:rsidRPr="005348DF" w:rsidRDefault="008C0A3C" w:rsidP="005348DF">
      <w:pPr>
        <w:spacing w:after="120"/>
        <w:rPr>
          <w:szCs w:val="24"/>
        </w:rPr>
      </w:pPr>
      <w:r w:rsidRPr="005348DF">
        <w:rPr>
          <w:szCs w:val="24"/>
        </w:rPr>
        <w:t>The adjusted monitoring costs are detailed in Table 15.</w:t>
      </w:r>
    </w:p>
    <w:p w:rsidR="008D3ED1" w:rsidRPr="005348DF" w:rsidRDefault="008D3ED1" w:rsidP="005348DF">
      <w:pPr>
        <w:pStyle w:val="TableName"/>
        <w:spacing w:after="120"/>
        <w:rPr>
          <w:rFonts w:ascii="Arial Narrow" w:hAnsi="Arial Narrow"/>
          <w:b/>
          <w:sz w:val="20"/>
        </w:rPr>
      </w:pPr>
      <w:r w:rsidRPr="005348DF">
        <w:rPr>
          <w:rFonts w:ascii="Arial Narrow" w:hAnsi="Arial Narrow"/>
          <w:b/>
          <w:sz w:val="20"/>
        </w:rPr>
        <w:t xml:space="preserve">Table </w:t>
      </w:r>
      <w:r w:rsidR="008C0A3C" w:rsidRPr="005348DF">
        <w:rPr>
          <w:rFonts w:ascii="Arial Narrow" w:hAnsi="Arial Narrow"/>
          <w:b/>
          <w:sz w:val="20"/>
        </w:rPr>
        <w:t>15</w:t>
      </w:r>
      <w:r w:rsidRPr="005348DF">
        <w:rPr>
          <w:rFonts w:ascii="Arial Narrow" w:hAnsi="Arial Narrow"/>
          <w:b/>
          <w:sz w:val="20"/>
        </w:rPr>
        <w:t xml:space="preserve">: PBAC </w:t>
      </w:r>
      <w:r w:rsidR="0090742B" w:rsidRPr="005348DF">
        <w:rPr>
          <w:rFonts w:ascii="Arial Narrow" w:hAnsi="Arial Narrow"/>
          <w:b/>
          <w:sz w:val="20"/>
        </w:rPr>
        <w:t>estimated</w:t>
      </w:r>
      <w:r w:rsidRPr="005348DF">
        <w:rPr>
          <w:rFonts w:ascii="Arial Narrow" w:hAnsi="Arial Narrow"/>
          <w:b/>
          <w:sz w:val="20"/>
        </w:rPr>
        <w:t xml:space="preserve"> differences in monitoring costs associated with apremilast and cyclosporin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08"/>
        <w:gridCol w:w="992"/>
        <w:gridCol w:w="1024"/>
        <w:gridCol w:w="993"/>
        <w:gridCol w:w="1050"/>
        <w:gridCol w:w="993"/>
        <w:gridCol w:w="905"/>
      </w:tblGrid>
      <w:tr w:rsidR="008D3ED1" w:rsidRPr="005348DF" w:rsidTr="008D3ED1">
        <w:trPr>
          <w:trHeight w:val="300"/>
        </w:trPr>
        <w:tc>
          <w:tcPr>
            <w:tcW w:w="5124" w:type="dxa"/>
            <w:gridSpan w:val="3"/>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p>
        </w:tc>
        <w:tc>
          <w:tcPr>
            <w:tcW w:w="2043" w:type="dxa"/>
            <w:gridSpan w:val="2"/>
            <w:shd w:val="clear" w:color="auto" w:fill="auto"/>
            <w:noWrap/>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Cyclosporin</w:t>
            </w:r>
          </w:p>
        </w:tc>
        <w:tc>
          <w:tcPr>
            <w:tcW w:w="1898" w:type="dxa"/>
            <w:gridSpan w:val="2"/>
            <w:shd w:val="clear" w:color="auto" w:fill="auto"/>
            <w:noWrap/>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Apremilast</w:t>
            </w:r>
          </w:p>
        </w:tc>
      </w:tr>
      <w:tr w:rsidR="008D3ED1" w:rsidRPr="005348DF" w:rsidTr="008D3ED1">
        <w:trPr>
          <w:trHeight w:val="212"/>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Item description</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Cost per item</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MBS item number</w:t>
            </w:r>
          </w:p>
        </w:tc>
        <w:tc>
          <w:tcPr>
            <w:tcW w:w="993"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Pre-treatment</w:t>
            </w:r>
          </w:p>
        </w:tc>
        <w:tc>
          <w:tcPr>
            <w:tcW w:w="1050"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Week 1-104</w:t>
            </w:r>
          </w:p>
        </w:tc>
        <w:tc>
          <w:tcPr>
            <w:tcW w:w="993"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Pre-treatment</w:t>
            </w:r>
          </w:p>
        </w:tc>
        <w:tc>
          <w:tcPr>
            <w:tcW w:w="905"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Week 1-104</w:t>
            </w:r>
          </w:p>
        </w:tc>
      </w:tr>
      <w:tr w:rsidR="008D3ED1" w:rsidRPr="005348DF" w:rsidTr="008D3ED1">
        <w:trPr>
          <w:trHeight w:val="6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Specialist consultation (subsequent)</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$43.00</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105</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Full blood examination (FBE)</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$16.95</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65070</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13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Liver function tests, Lipid studies, Urea, Electrolytes, Creatinine (LFT, FATS, U&amp;E)</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$17.70</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66512</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 xml:space="preserve">''' </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Urinalysis (microscopy)</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$12.50</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69300</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Serology – HIV</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$15.65</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69384</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Serology – hepatitis</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$15.65</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69384</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HCG (pregnancy)</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$39.75</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66750</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Tuberculosis</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$34.90</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69471</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Chest x-ray</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$35.35</w:t>
            </w: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sz w:val="20"/>
                <w:szCs w:val="20"/>
                <w:lang w:eastAsia="en-AU"/>
              </w:rPr>
            </w:pPr>
            <w:r w:rsidRPr="005348DF">
              <w:rPr>
                <w:rFonts w:ascii="Arial Narrow" w:eastAsia="Times New Roman" w:hAnsi="Arial Narrow" w:cs="Calibri"/>
                <w:sz w:val="20"/>
                <w:szCs w:val="20"/>
                <w:lang w:eastAsia="en-AU"/>
              </w:rPr>
              <w:t>58500</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1050"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sz w:val="20"/>
                <w:szCs w:val="20"/>
                <w:highlight w:val="black"/>
                <w:lang w:eastAsia="en-AU"/>
              </w:rPr>
            </w:pPr>
            <w:r>
              <w:rPr>
                <w:rFonts w:ascii="Arial Narrow" w:eastAsia="Times New Roman" w:hAnsi="Arial Narrow" w:cs="Calibri"/>
                <w:noProof/>
                <w:color w:val="000000"/>
                <w:sz w:val="20"/>
                <w:szCs w:val="20"/>
                <w:highlight w:val="black"/>
                <w:lang w:eastAsia="en-AU"/>
              </w:rPr>
              <w:t>'''</w:t>
            </w:r>
          </w:p>
        </w:tc>
      </w:tr>
      <w:tr w:rsidR="008D3ED1" w:rsidRPr="005348DF" w:rsidTr="008D3ED1">
        <w:trPr>
          <w:trHeight w:val="300"/>
        </w:trPr>
        <w:tc>
          <w:tcPr>
            <w:tcW w:w="3108"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r w:rsidRPr="005348DF">
              <w:rPr>
                <w:rFonts w:ascii="Arial Narrow" w:eastAsia="Times New Roman" w:hAnsi="Arial Narrow" w:cs="Calibri"/>
                <w:b/>
                <w:sz w:val="20"/>
                <w:szCs w:val="20"/>
                <w:lang w:eastAsia="en-AU"/>
              </w:rPr>
              <w:t>Total</w:t>
            </w:r>
          </w:p>
        </w:tc>
        <w:tc>
          <w:tcPr>
            <w:tcW w:w="992"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p>
        </w:tc>
        <w:tc>
          <w:tcPr>
            <w:tcW w:w="1024" w:type="dxa"/>
            <w:shd w:val="clear" w:color="auto" w:fill="auto"/>
            <w:tcMar>
              <w:top w:w="15" w:type="dxa"/>
              <w:left w:w="15" w:type="dxa"/>
              <w:bottom w:w="0" w:type="dxa"/>
              <w:right w:w="15" w:type="dxa"/>
            </w:tcMar>
            <w:hideMark/>
          </w:tcPr>
          <w:p w:rsidR="008D3ED1" w:rsidRPr="005348DF" w:rsidRDefault="008D3ED1" w:rsidP="005348DF">
            <w:pPr>
              <w:spacing w:before="0" w:after="0"/>
              <w:rPr>
                <w:rFonts w:ascii="Arial Narrow" w:eastAsia="Times New Roman" w:hAnsi="Arial Narrow" w:cs="Calibri"/>
                <w:b/>
                <w:sz w:val="20"/>
                <w:szCs w:val="20"/>
                <w:lang w:eastAsia="en-AU"/>
              </w:rPr>
            </w:pP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b/>
                <w:sz w:val="20"/>
                <w:szCs w:val="20"/>
                <w:highlight w:val="black"/>
                <w:lang w:eastAsia="en-AU"/>
              </w:rPr>
            </w:pPr>
            <w:r>
              <w:rPr>
                <w:rFonts w:ascii="Arial Narrow" w:eastAsia="Times New Roman" w:hAnsi="Arial Narrow" w:cs="Calibri"/>
                <w:b/>
                <w:noProof/>
                <w:color w:val="000000"/>
                <w:sz w:val="20"/>
                <w:szCs w:val="20"/>
                <w:highlight w:val="black"/>
                <w:lang w:eastAsia="en-AU"/>
              </w:rPr>
              <w:t xml:space="preserve"> '''''''''''''''' </w:t>
            </w:r>
          </w:p>
        </w:tc>
        <w:tc>
          <w:tcPr>
            <w:tcW w:w="1050" w:type="dxa"/>
            <w:shd w:val="clear" w:color="auto" w:fill="auto"/>
            <w:tcMar>
              <w:top w:w="15" w:type="dxa"/>
              <w:left w:w="15" w:type="dxa"/>
              <w:bottom w:w="0" w:type="dxa"/>
              <w:right w:w="15" w:type="dxa"/>
            </w:tcMar>
            <w:hideMark/>
          </w:tcPr>
          <w:p w:rsidR="008D3ED1" w:rsidRPr="003E2FBE" w:rsidRDefault="003E2FBE" w:rsidP="00D25666">
            <w:pPr>
              <w:spacing w:before="0" w:after="0"/>
              <w:rPr>
                <w:rFonts w:ascii="Arial Narrow" w:eastAsia="Times New Roman" w:hAnsi="Arial Narrow" w:cs="Calibri"/>
                <w:b/>
                <w:sz w:val="20"/>
                <w:szCs w:val="20"/>
                <w:highlight w:val="black"/>
                <w:lang w:eastAsia="en-AU"/>
              </w:rPr>
            </w:pPr>
            <w:r>
              <w:rPr>
                <w:rFonts w:ascii="Arial Narrow" w:eastAsia="Times New Roman" w:hAnsi="Arial Narrow" w:cs="Calibri"/>
                <w:b/>
                <w:noProof/>
                <w:color w:val="000000"/>
                <w:sz w:val="20"/>
                <w:szCs w:val="20"/>
                <w:highlight w:val="black"/>
                <w:lang w:eastAsia="en-AU"/>
              </w:rPr>
              <w:t xml:space="preserve">'''''''''''''''' '' ''''''''''''''' </w:t>
            </w:r>
          </w:p>
        </w:tc>
        <w:tc>
          <w:tcPr>
            <w:tcW w:w="993"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b/>
                <w:sz w:val="20"/>
                <w:szCs w:val="20"/>
                <w:highlight w:val="black"/>
                <w:lang w:eastAsia="en-AU"/>
              </w:rPr>
            </w:pPr>
            <w:r>
              <w:rPr>
                <w:rFonts w:ascii="Arial Narrow" w:eastAsia="Times New Roman" w:hAnsi="Arial Narrow" w:cs="Calibri"/>
                <w:b/>
                <w:noProof/>
                <w:color w:val="000000"/>
                <w:sz w:val="20"/>
                <w:szCs w:val="20"/>
                <w:highlight w:val="black"/>
                <w:lang w:eastAsia="en-AU"/>
              </w:rPr>
              <w:t xml:space="preserve"> ''''''''''''' </w:t>
            </w:r>
          </w:p>
        </w:tc>
        <w:tc>
          <w:tcPr>
            <w:tcW w:w="905" w:type="dxa"/>
            <w:shd w:val="clear" w:color="auto" w:fill="auto"/>
            <w:tcMar>
              <w:top w:w="15" w:type="dxa"/>
              <w:left w:w="15" w:type="dxa"/>
              <w:bottom w:w="0" w:type="dxa"/>
              <w:right w:w="15" w:type="dxa"/>
            </w:tcMar>
            <w:hideMark/>
          </w:tcPr>
          <w:p w:rsidR="008D3ED1" w:rsidRPr="003E2FBE" w:rsidRDefault="003E2FBE" w:rsidP="005348DF">
            <w:pPr>
              <w:spacing w:before="0" w:after="0"/>
              <w:rPr>
                <w:rFonts w:ascii="Arial Narrow" w:eastAsia="Times New Roman" w:hAnsi="Arial Narrow" w:cs="Calibri"/>
                <w:b/>
                <w:sz w:val="20"/>
                <w:szCs w:val="20"/>
                <w:highlight w:val="black"/>
                <w:lang w:eastAsia="en-AU"/>
              </w:rPr>
            </w:pPr>
            <w:r>
              <w:rPr>
                <w:rFonts w:ascii="Arial Narrow" w:eastAsia="Times New Roman" w:hAnsi="Arial Narrow" w:cs="Calibri"/>
                <w:b/>
                <w:noProof/>
                <w:color w:val="000000"/>
                <w:sz w:val="20"/>
                <w:szCs w:val="20"/>
                <w:highlight w:val="black"/>
                <w:lang w:eastAsia="en-AU"/>
              </w:rPr>
              <w:t xml:space="preserve"> ''''''''''''</w:t>
            </w:r>
          </w:p>
        </w:tc>
      </w:tr>
    </w:tbl>
    <w:p w:rsidR="00F60A44" w:rsidRPr="005348DF" w:rsidRDefault="008D3ED1" w:rsidP="005348DF">
      <w:pPr>
        <w:pStyle w:val="ListParagraph"/>
        <w:spacing w:before="0" w:after="120"/>
        <w:ind w:left="0"/>
        <w:jc w:val="both"/>
        <w:rPr>
          <w:rFonts w:ascii="Arial Narrow" w:hAnsi="Arial Narrow"/>
          <w:sz w:val="18"/>
          <w:szCs w:val="18"/>
        </w:rPr>
      </w:pPr>
      <w:r w:rsidRPr="005348DF">
        <w:rPr>
          <w:rFonts w:ascii="Arial Narrow" w:hAnsi="Arial Narrow"/>
          <w:sz w:val="18"/>
          <w:szCs w:val="18"/>
        </w:rPr>
        <w:t>HCG = human chorionic gonadotropin; HIV = human immunodeficiency virus; MBS = Medicare benefits schedule</w:t>
      </w:r>
    </w:p>
    <w:p w:rsidR="008C0A3C" w:rsidRPr="005348DF" w:rsidRDefault="008C0A3C" w:rsidP="005348DF">
      <w:pPr>
        <w:pStyle w:val="ListParagraph"/>
        <w:numPr>
          <w:ilvl w:val="1"/>
          <w:numId w:val="3"/>
        </w:numPr>
        <w:spacing w:before="0" w:after="120"/>
        <w:jc w:val="both"/>
        <w:rPr>
          <w:szCs w:val="24"/>
        </w:rPr>
      </w:pPr>
      <w:r w:rsidRPr="005348DF">
        <w:rPr>
          <w:szCs w:val="24"/>
        </w:rPr>
        <w:t>The PBAC noted the minimum and maximum apremilast prices that result</w:t>
      </w:r>
      <w:r w:rsidR="0041132C" w:rsidRPr="005348DF">
        <w:rPr>
          <w:szCs w:val="24"/>
        </w:rPr>
        <w:t xml:space="preserve"> from these adjustments, as recorded in Tables 16 and 17</w:t>
      </w:r>
      <w:r w:rsidRPr="005348DF">
        <w:rPr>
          <w:szCs w:val="24"/>
        </w:rPr>
        <w:t>.</w:t>
      </w:r>
    </w:p>
    <w:p w:rsidR="00F60A44" w:rsidRPr="005348DF" w:rsidRDefault="00646EE3" w:rsidP="005348DF">
      <w:pPr>
        <w:pStyle w:val="TableName"/>
        <w:spacing w:after="120"/>
        <w:rPr>
          <w:rFonts w:ascii="Arial Narrow" w:hAnsi="Arial Narrow"/>
          <w:b/>
          <w:sz w:val="20"/>
        </w:rPr>
      </w:pPr>
      <w:r w:rsidRPr="005348DF">
        <w:rPr>
          <w:rFonts w:ascii="Arial Narrow" w:hAnsi="Arial Narrow"/>
          <w:b/>
          <w:sz w:val="20"/>
        </w:rPr>
        <w:t>Table 16</w:t>
      </w:r>
      <w:r w:rsidR="009D7DF7">
        <w:rPr>
          <w:rFonts w:ascii="Arial Narrow" w:hAnsi="Arial Narrow"/>
          <w:b/>
          <w:sz w:val="20"/>
        </w:rPr>
        <w:t>:</w:t>
      </w:r>
      <w:r w:rsidRPr="005348DF">
        <w:rPr>
          <w:rFonts w:ascii="Arial Narrow" w:hAnsi="Arial Narrow"/>
          <w:b/>
          <w:sz w:val="20"/>
        </w:rPr>
        <w:t xml:space="preserve"> </w:t>
      </w:r>
      <w:r w:rsidR="00F60A44" w:rsidRPr="005348DF">
        <w:rPr>
          <w:rFonts w:ascii="Arial Narrow" w:hAnsi="Arial Narrow"/>
          <w:b/>
          <w:sz w:val="20"/>
        </w:rPr>
        <w:t>Cost minimised price</w:t>
      </w:r>
      <w:r w:rsidRPr="005348DF">
        <w:rPr>
          <w:rFonts w:ascii="Arial Narrow" w:hAnsi="Arial Narrow"/>
          <w:b/>
          <w:sz w:val="20"/>
        </w:rPr>
        <w:t xml:space="preserve"> of apremilast over 2 years</w:t>
      </w:r>
      <w:r w:rsidR="00F60A44" w:rsidRPr="005348DF">
        <w:rPr>
          <w:rFonts w:ascii="Arial Narrow" w:hAnsi="Arial Narrow"/>
          <w:b/>
          <w:sz w:val="20"/>
        </w:rPr>
        <w:t xml:space="preserve"> (minimum)</w:t>
      </w:r>
    </w:p>
    <w:tbl>
      <w:tblPr>
        <w:tblW w:w="9077" w:type="dxa"/>
        <w:tblInd w:w="103" w:type="dxa"/>
        <w:tblLayout w:type="fixed"/>
        <w:tblLook w:val="04A0" w:firstRow="1" w:lastRow="0" w:firstColumn="1" w:lastColumn="0" w:noHBand="0" w:noVBand="1"/>
      </w:tblPr>
      <w:tblGrid>
        <w:gridCol w:w="1260"/>
        <w:gridCol w:w="1563"/>
        <w:gridCol w:w="1563"/>
        <w:gridCol w:w="1564"/>
        <w:gridCol w:w="1563"/>
        <w:gridCol w:w="1564"/>
      </w:tblGrid>
      <w:tr w:rsidR="00F60A44" w:rsidRPr="005348DF" w:rsidTr="00665B18">
        <w:trPr>
          <w:trHeight w:val="900"/>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60A44" w:rsidRPr="005348DF" w:rsidRDefault="00F60A44" w:rsidP="005348DF">
            <w:pPr>
              <w:spacing w:before="0" w:after="120"/>
              <w:rPr>
                <w:rFonts w:ascii="Arial Narrow" w:eastAsia="Times New Roman" w:hAnsi="Arial Narrow" w:cs="Times New Roman"/>
                <w:b/>
                <w:bCs/>
                <w:color w:val="000000"/>
                <w:sz w:val="20"/>
                <w:szCs w:val="20"/>
                <w:lang w:eastAsia="en-AU"/>
              </w:rPr>
            </w:pPr>
            <w:r w:rsidRPr="005348DF">
              <w:rPr>
                <w:rFonts w:ascii="Arial Narrow" w:eastAsia="Times New Roman" w:hAnsi="Arial Narrow" w:cs="Times New Roman"/>
                <w:b/>
                <w:bCs/>
                <w:color w:val="000000"/>
                <w:sz w:val="20"/>
                <w:szCs w:val="20"/>
                <w:lang w:eastAsia="en-AU"/>
              </w:rPr>
              <w:t> </w:t>
            </w:r>
          </w:p>
        </w:tc>
        <w:tc>
          <w:tcPr>
            <w:tcW w:w="1563" w:type="dxa"/>
            <w:tcBorders>
              <w:top w:val="single" w:sz="4" w:space="0" w:color="auto"/>
              <w:left w:val="nil"/>
              <w:bottom w:val="single" w:sz="4" w:space="0" w:color="auto"/>
              <w:right w:val="single" w:sz="4" w:space="0" w:color="auto"/>
            </w:tcBorders>
            <w:shd w:val="clear" w:color="auto" w:fill="FFFFFF" w:themeFill="background1"/>
            <w:vAlign w:val="bottom"/>
            <w:hideMark/>
          </w:tcPr>
          <w:p w:rsidR="00F60A44" w:rsidRPr="005348DF" w:rsidRDefault="00F60A44" w:rsidP="005348DF">
            <w:pPr>
              <w:spacing w:before="0" w:after="120"/>
              <w:jc w:val="center"/>
              <w:rPr>
                <w:rFonts w:ascii="Arial Narrow" w:eastAsia="Times New Roman" w:hAnsi="Arial Narrow" w:cs="Times New Roman"/>
                <w:b/>
                <w:bCs/>
                <w:color w:val="000000"/>
                <w:sz w:val="20"/>
                <w:szCs w:val="20"/>
                <w:lang w:eastAsia="en-AU"/>
              </w:rPr>
            </w:pPr>
            <w:r w:rsidRPr="005348DF">
              <w:rPr>
                <w:rFonts w:ascii="Arial Narrow" w:eastAsia="Times New Roman" w:hAnsi="Arial Narrow" w:cs="Times New Roman"/>
                <w:b/>
                <w:bCs/>
                <w:color w:val="000000"/>
                <w:sz w:val="20"/>
                <w:szCs w:val="20"/>
                <w:lang w:eastAsia="en-AU"/>
              </w:rPr>
              <w:t>Total cost of treatment per 104 weeks</w:t>
            </w:r>
          </w:p>
        </w:tc>
        <w:tc>
          <w:tcPr>
            <w:tcW w:w="156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5348DF" w:rsidRDefault="00F60A44" w:rsidP="005348DF">
            <w:pPr>
              <w:spacing w:before="0" w:after="120"/>
              <w:jc w:val="center"/>
              <w:rPr>
                <w:rFonts w:ascii="Arial Narrow" w:eastAsia="Times New Roman" w:hAnsi="Arial Narrow" w:cs="Times New Roman"/>
                <w:b/>
                <w:sz w:val="20"/>
                <w:szCs w:val="20"/>
                <w:lang w:eastAsia="en-AU"/>
              </w:rPr>
            </w:pPr>
            <w:r w:rsidRPr="005348DF">
              <w:rPr>
                <w:rFonts w:ascii="Arial Narrow" w:eastAsia="Times New Roman" w:hAnsi="Arial Narrow" w:cs="Times New Roman"/>
                <w:b/>
                <w:sz w:val="20"/>
                <w:szCs w:val="20"/>
                <w:lang w:eastAsia="en-AU"/>
              </w:rPr>
              <w:t>Adverse event costs</w:t>
            </w:r>
          </w:p>
        </w:tc>
        <w:tc>
          <w:tcPr>
            <w:tcW w:w="156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5348DF" w:rsidRDefault="00F60A44" w:rsidP="005348DF">
            <w:pPr>
              <w:spacing w:before="0" w:after="120"/>
              <w:jc w:val="center"/>
              <w:rPr>
                <w:rFonts w:ascii="Arial Narrow" w:eastAsia="Times New Roman" w:hAnsi="Arial Narrow" w:cs="Times New Roman"/>
                <w:b/>
                <w:sz w:val="20"/>
                <w:szCs w:val="20"/>
                <w:lang w:eastAsia="en-AU"/>
              </w:rPr>
            </w:pPr>
            <w:r w:rsidRPr="005348DF">
              <w:rPr>
                <w:rFonts w:ascii="Arial Narrow" w:eastAsia="Times New Roman" w:hAnsi="Arial Narrow" w:cs="Times New Roman"/>
                <w:b/>
                <w:sz w:val="20"/>
                <w:szCs w:val="20"/>
                <w:lang w:eastAsia="en-AU"/>
              </w:rPr>
              <w:t>Monitoring costs</w:t>
            </w:r>
          </w:p>
        </w:tc>
        <w:tc>
          <w:tcPr>
            <w:tcW w:w="156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5348DF" w:rsidRDefault="00F60A44" w:rsidP="005348DF">
            <w:pPr>
              <w:spacing w:before="0" w:after="120"/>
              <w:jc w:val="center"/>
              <w:rPr>
                <w:rFonts w:ascii="Arial Narrow" w:eastAsia="Times New Roman" w:hAnsi="Arial Narrow" w:cs="Times New Roman"/>
                <w:b/>
                <w:sz w:val="20"/>
                <w:szCs w:val="20"/>
                <w:lang w:eastAsia="en-AU"/>
              </w:rPr>
            </w:pPr>
            <w:r w:rsidRPr="005348DF">
              <w:rPr>
                <w:rFonts w:ascii="Arial Narrow" w:eastAsia="Times New Roman" w:hAnsi="Arial Narrow" w:cs="Times New Roman"/>
                <w:b/>
                <w:sz w:val="20"/>
                <w:szCs w:val="20"/>
                <w:lang w:eastAsia="en-AU"/>
              </w:rPr>
              <w:t>PBS costs (AEMP)</w:t>
            </w:r>
          </w:p>
        </w:tc>
        <w:tc>
          <w:tcPr>
            <w:tcW w:w="156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5348DF" w:rsidRDefault="00F60A44" w:rsidP="005348DF">
            <w:pPr>
              <w:spacing w:before="0" w:after="120"/>
              <w:jc w:val="center"/>
              <w:rPr>
                <w:rFonts w:ascii="Arial Narrow" w:eastAsia="Times New Roman" w:hAnsi="Arial Narrow" w:cs="Times New Roman"/>
                <w:b/>
                <w:sz w:val="20"/>
                <w:szCs w:val="20"/>
                <w:lang w:eastAsia="en-AU"/>
              </w:rPr>
            </w:pPr>
            <w:r w:rsidRPr="005348DF">
              <w:rPr>
                <w:rFonts w:ascii="Arial Narrow" w:eastAsia="Times New Roman" w:hAnsi="Arial Narrow" w:cs="Times New Roman"/>
                <w:b/>
                <w:sz w:val="20"/>
                <w:szCs w:val="20"/>
                <w:lang w:eastAsia="en-AU"/>
              </w:rPr>
              <w:t>Premium</w:t>
            </w:r>
          </w:p>
        </w:tc>
      </w:tr>
      <w:tr w:rsidR="00612D98" w:rsidRPr="005348DF" w:rsidTr="00665B18">
        <w:trPr>
          <w:trHeight w:val="30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612D98" w:rsidRPr="005348DF" w:rsidRDefault="00612D98" w:rsidP="005348DF">
            <w:pPr>
              <w:spacing w:before="0" w:after="120"/>
              <w:rPr>
                <w:rFonts w:ascii="Arial Narrow" w:eastAsia="Times New Roman" w:hAnsi="Arial Narrow" w:cs="Times New Roman"/>
                <w:sz w:val="20"/>
                <w:szCs w:val="20"/>
                <w:lang w:eastAsia="en-AU"/>
              </w:rPr>
            </w:pPr>
            <w:r w:rsidRPr="005348DF">
              <w:rPr>
                <w:rFonts w:ascii="Arial Narrow" w:eastAsia="Times New Roman" w:hAnsi="Arial Narrow" w:cs="Times New Roman"/>
                <w:sz w:val="20"/>
                <w:szCs w:val="20"/>
                <w:lang w:eastAsia="en-AU"/>
              </w:rPr>
              <w:t>Cyclosporin</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5348DF">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5348DF">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5348DF">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5348DF" w:rsidRDefault="00612D98" w:rsidP="005348DF">
            <w:pPr>
              <w:spacing w:before="0" w:after="120"/>
              <w:jc w:val="center"/>
              <w:rPr>
                <w:rFonts w:ascii="Arial Narrow" w:eastAsia="Times New Roman" w:hAnsi="Arial Narrow" w:cs="Times New Roman"/>
                <w:sz w:val="20"/>
                <w:szCs w:val="20"/>
                <w:lang w:eastAsia="en-AU"/>
              </w:rPr>
            </w:pPr>
            <w:r w:rsidRPr="009D7DF7">
              <w:rPr>
                <w:rFonts w:ascii="Arial Narrow" w:hAnsi="Arial Narrow"/>
                <w:sz w:val="20"/>
                <w:szCs w:val="20"/>
              </w:rPr>
              <w:t>$</w:t>
            </w:r>
            <w:r w:rsidR="00D25666">
              <w:rPr>
                <w:rFonts w:ascii="Arial Narrow" w:hAnsi="Arial Narrow"/>
                <w:sz w:val="20"/>
                <w:szCs w:val="20"/>
              </w:rPr>
              <w:t>9,834</w:t>
            </w:r>
            <w:r w:rsidRPr="009D7DF7">
              <w:rPr>
                <w:rFonts w:ascii="Arial Narrow" w:hAnsi="Arial Narrow"/>
                <w:sz w:val="20"/>
                <w:szCs w:val="20"/>
              </w:rPr>
              <w:t>.50</w:t>
            </w:r>
          </w:p>
        </w:tc>
        <w:tc>
          <w:tcPr>
            <w:tcW w:w="1564" w:type="dxa"/>
            <w:tcBorders>
              <w:top w:val="nil"/>
              <w:left w:val="nil"/>
              <w:bottom w:val="single" w:sz="4" w:space="0" w:color="auto"/>
              <w:right w:val="single" w:sz="4" w:space="0" w:color="auto"/>
            </w:tcBorders>
            <w:shd w:val="clear" w:color="000000" w:fill="FFFFFF"/>
            <w:noWrap/>
            <w:vAlign w:val="center"/>
            <w:hideMark/>
          </w:tcPr>
          <w:p w:rsidR="00612D98" w:rsidRPr="005348DF" w:rsidRDefault="00612D98" w:rsidP="005348DF">
            <w:pPr>
              <w:spacing w:before="0" w:after="120"/>
              <w:jc w:val="center"/>
              <w:rPr>
                <w:rFonts w:ascii="Arial Narrow" w:eastAsia="Times New Roman" w:hAnsi="Arial Narrow" w:cs="Times New Roman"/>
                <w:sz w:val="20"/>
                <w:szCs w:val="20"/>
                <w:lang w:eastAsia="en-AU"/>
              </w:rPr>
            </w:pPr>
            <w:r w:rsidRPr="009D7DF7">
              <w:rPr>
                <w:rFonts w:ascii="Arial Narrow" w:hAnsi="Arial Narrow"/>
                <w:sz w:val="20"/>
                <w:szCs w:val="20"/>
              </w:rPr>
              <w:t> </w:t>
            </w:r>
          </w:p>
        </w:tc>
      </w:tr>
      <w:tr w:rsidR="00612D98" w:rsidRPr="0041132C" w:rsidTr="00665B18">
        <w:trPr>
          <w:trHeight w:val="30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612D98" w:rsidRPr="005348DF" w:rsidRDefault="00612D98" w:rsidP="005348DF">
            <w:pPr>
              <w:spacing w:before="0" w:after="120"/>
              <w:rPr>
                <w:rFonts w:ascii="Arial Narrow" w:eastAsia="Times New Roman" w:hAnsi="Arial Narrow" w:cs="Times New Roman"/>
                <w:sz w:val="20"/>
                <w:szCs w:val="20"/>
                <w:lang w:eastAsia="en-AU"/>
              </w:rPr>
            </w:pPr>
            <w:r w:rsidRPr="005348DF">
              <w:rPr>
                <w:rFonts w:ascii="Arial Narrow" w:eastAsia="Times New Roman" w:hAnsi="Arial Narrow" w:cs="Times New Roman"/>
                <w:sz w:val="20"/>
                <w:szCs w:val="20"/>
                <w:lang w:eastAsia="en-AU"/>
              </w:rPr>
              <w:t>Apremilast</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5348DF">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3" w:type="dxa"/>
            <w:tcBorders>
              <w:top w:val="nil"/>
              <w:left w:val="nil"/>
              <w:bottom w:val="single" w:sz="4" w:space="0" w:color="auto"/>
              <w:right w:val="single" w:sz="4" w:space="0" w:color="auto"/>
            </w:tcBorders>
            <w:shd w:val="clear" w:color="auto" w:fill="FFFFFF" w:themeFill="background1"/>
            <w:noWrap/>
            <w:vAlign w:val="center"/>
            <w:hideMark/>
          </w:tcPr>
          <w:p w:rsidR="00612D98" w:rsidRPr="003E2FBE" w:rsidRDefault="003E2FBE" w:rsidP="005348DF">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D25666">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5348DF">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noWrap/>
            <w:vAlign w:val="center"/>
            <w:hideMark/>
          </w:tcPr>
          <w:p w:rsidR="00612D98" w:rsidRPr="005348DF" w:rsidRDefault="003E2FBE" w:rsidP="005348DF">
            <w:pPr>
              <w:spacing w:before="0" w:after="120"/>
              <w:jc w:val="center"/>
              <w:rPr>
                <w:rFonts w:ascii="Arial Narrow" w:eastAsia="Times New Roman" w:hAnsi="Arial Narrow" w:cs="Times New Roman"/>
                <w:sz w:val="20"/>
                <w:szCs w:val="20"/>
                <w:lang w:eastAsia="en-AU"/>
              </w:rPr>
            </w:pPr>
            <w:r>
              <w:rPr>
                <w:rFonts w:ascii="Arial Narrow" w:hAnsi="Arial Narrow"/>
                <w:noProof/>
                <w:color w:val="000000"/>
                <w:sz w:val="20"/>
                <w:szCs w:val="20"/>
                <w:highlight w:val="black"/>
              </w:rPr>
              <w:t>'''</w:t>
            </w:r>
            <w:r w:rsidR="00612D98" w:rsidRPr="009D7DF7">
              <w:rPr>
                <w:rFonts w:ascii="Arial Narrow" w:hAnsi="Arial Narrow"/>
                <w:sz w:val="20"/>
                <w:szCs w:val="20"/>
              </w:rPr>
              <w:t>%</w:t>
            </w:r>
          </w:p>
        </w:tc>
      </w:tr>
      <w:tr w:rsidR="00612D98" w:rsidRPr="0041132C" w:rsidTr="00665B18">
        <w:trPr>
          <w:trHeight w:val="30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612D98" w:rsidRPr="0041132C" w:rsidRDefault="00612D98" w:rsidP="009D7DF7">
            <w:pPr>
              <w:spacing w:before="0" w:after="120"/>
              <w:rPr>
                <w:rFonts w:ascii="Arial Narrow" w:eastAsia="Times New Roman" w:hAnsi="Arial Narrow" w:cs="Times New Roman"/>
                <w:sz w:val="20"/>
                <w:szCs w:val="20"/>
                <w:lang w:eastAsia="en-AU"/>
              </w:rPr>
            </w:pPr>
            <w:r w:rsidRPr="0041132C">
              <w:rPr>
                <w:rFonts w:ascii="Arial Narrow" w:eastAsia="Times New Roman" w:hAnsi="Arial Narrow" w:cs="Times New Roman"/>
                <w:sz w:val="20"/>
                <w:szCs w:val="20"/>
                <w:lang w:eastAsia="en-AU"/>
              </w:rPr>
              <w:t>Difference</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9D7DF7">
            <w:pPr>
              <w:spacing w:before="0" w:after="120"/>
              <w:jc w:val="center"/>
              <w:rPr>
                <w:rFonts w:ascii="Arial Narrow" w:eastAsia="Times New Roman" w:hAnsi="Arial Narrow" w:cs="Times New Roman"/>
                <w:b/>
                <w:sz w:val="20"/>
                <w:szCs w:val="20"/>
                <w:highlight w:val="black"/>
                <w:lang w:eastAsia="en-AU"/>
              </w:rPr>
            </w:pPr>
            <w:r>
              <w:rPr>
                <w:rFonts w:ascii="Arial Narrow" w:hAnsi="Arial Narrow"/>
                <w:b/>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vAlign w:val="bottom"/>
            <w:hideMark/>
          </w:tcPr>
          <w:p w:rsidR="00612D98" w:rsidRPr="003E2FBE" w:rsidRDefault="003E2FBE" w:rsidP="009D7DF7">
            <w:pPr>
              <w:spacing w:before="0" w:after="120"/>
              <w:jc w:val="center"/>
              <w:rPr>
                <w:rFonts w:ascii="Arial Narrow" w:eastAsia="Times New Roman" w:hAnsi="Arial Narrow" w:cs="Times New Roman"/>
                <w:b/>
                <w:bCs/>
                <w:color w:val="000000"/>
                <w:sz w:val="20"/>
                <w:szCs w:val="20"/>
                <w:highlight w:val="black"/>
                <w:lang w:eastAsia="en-AU"/>
              </w:rPr>
            </w:pPr>
            <w:r>
              <w:rPr>
                <w:rFonts w:ascii="Arial Narrow" w:hAnsi="Arial Narrow"/>
                <w:b/>
                <w:bCs/>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vAlign w:val="bottom"/>
            <w:hideMark/>
          </w:tcPr>
          <w:p w:rsidR="00612D98" w:rsidRPr="003E2FBE" w:rsidRDefault="003E2FBE" w:rsidP="009D7DF7">
            <w:pPr>
              <w:spacing w:before="0" w:after="120"/>
              <w:jc w:val="center"/>
              <w:rPr>
                <w:rFonts w:ascii="Arial Narrow" w:eastAsia="Times New Roman" w:hAnsi="Arial Narrow" w:cs="Times New Roman"/>
                <w:b/>
                <w:bCs/>
                <w:color w:val="000000"/>
                <w:sz w:val="20"/>
                <w:szCs w:val="20"/>
                <w:highlight w:val="black"/>
                <w:lang w:eastAsia="en-AU"/>
              </w:rPr>
            </w:pPr>
            <w:r>
              <w:rPr>
                <w:rFonts w:ascii="Arial Narrow" w:hAnsi="Arial Narrow"/>
                <w:b/>
                <w:bCs/>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vAlign w:val="bottom"/>
            <w:hideMark/>
          </w:tcPr>
          <w:p w:rsidR="00612D98" w:rsidRPr="003E2FBE" w:rsidRDefault="003E2FBE" w:rsidP="009D7DF7">
            <w:pPr>
              <w:spacing w:before="0" w:after="120"/>
              <w:jc w:val="center"/>
              <w:rPr>
                <w:rFonts w:ascii="Arial Narrow" w:eastAsia="Times New Roman" w:hAnsi="Arial Narrow" w:cs="Times New Roman"/>
                <w:b/>
                <w:bCs/>
                <w:color w:val="000000"/>
                <w:sz w:val="20"/>
                <w:szCs w:val="20"/>
                <w:highlight w:val="black"/>
                <w:lang w:eastAsia="en-AU"/>
              </w:rPr>
            </w:pPr>
            <w:r>
              <w:rPr>
                <w:rFonts w:ascii="Arial Narrow" w:hAnsi="Arial Narrow"/>
                <w:b/>
                <w:bCs/>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vAlign w:val="bottom"/>
            <w:hideMark/>
          </w:tcPr>
          <w:p w:rsidR="00612D98" w:rsidRPr="005348DF" w:rsidRDefault="00612D98" w:rsidP="009D7DF7">
            <w:pPr>
              <w:spacing w:before="0" w:after="120"/>
              <w:jc w:val="center"/>
              <w:rPr>
                <w:rFonts w:ascii="Arial Narrow" w:eastAsia="Times New Roman" w:hAnsi="Arial Narrow" w:cs="Times New Roman"/>
                <w:b/>
                <w:bCs/>
                <w:color w:val="000000"/>
                <w:sz w:val="20"/>
                <w:szCs w:val="20"/>
                <w:lang w:eastAsia="en-AU"/>
              </w:rPr>
            </w:pPr>
            <w:r w:rsidRPr="009D7DF7">
              <w:rPr>
                <w:rFonts w:ascii="Arial Narrow" w:hAnsi="Arial Narrow"/>
                <w:b/>
                <w:bCs/>
                <w:color w:val="000000"/>
                <w:sz w:val="20"/>
                <w:szCs w:val="20"/>
              </w:rPr>
              <w:t> </w:t>
            </w:r>
          </w:p>
        </w:tc>
      </w:tr>
    </w:tbl>
    <w:p w:rsidR="00F60A44" w:rsidRPr="005348DF" w:rsidRDefault="00F60A44" w:rsidP="009D7DF7">
      <w:pPr>
        <w:pStyle w:val="ListParagraph"/>
        <w:spacing w:before="0" w:after="120"/>
        <w:ind w:left="0"/>
        <w:jc w:val="both"/>
        <w:rPr>
          <w:rFonts w:ascii="Arial Narrow" w:hAnsi="Arial Narrow"/>
          <w:sz w:val="20"/>
          <w:szCs w:val="20"/>
        </w:rPr>
      </w:pPr>
    </w:p>
    <w:p w:rsidR="00F60A44" w:rsidRPr="009D7DF7" w:rsidRDefault="00646EE3" w:rsidP="009D7DF7">
      <w:pPr>
        <w:pStyle w:val="TableName"/>
        <w:spacing w:after="120"/>
        <w:rPr>
          <w:rFonts w:ascii="Arial Narrow" w:hAnsi="Arial Narrow"/>
          <w:b/>
          <w:sz w:val="20"/>
        </w:rPr>
      </w:pPr>
      <w:r w:rsidRPr="009D7DF7">
        <w:rPr>
          <w:rFonts w:ascii="Arial Narrow" w:hAnsi="Arial Narrow"/>
          <w:b/>
          <w:sz w:val="20"/>
        </w:rPr>
        <w:t>Table 17</w:t>
      </w:r>
      <w:r w:rsidR="009D7DF7">
        <w:rPr>
          <w:rFonts w:ascii="Arial Narrow" w:hAnsi="Arial Narrow"/>
          <w:b/>
          <w:sz w:val="20"/>
        </w:rPr>
        <w:t>:</w:t>
      </w:r>
      <w:r w:rsidRPr="009D7DF7">
        <w:rPr>
          <w:rFonts w:ascii="Arial Narrow" w:hAnsi="Arial Narrow"/>
          <w:b/>
          <w:sz w:val="20"/>
        </w:rPr>
        <w:t xml:space="preserve"> Cost minimised price of apremilast over 2 years (maximum)</w:t>
      </w:r>
    </w:p>
    <w:tbl>
      <w:tblPr>
        <w:tblW w:w="9077" w:type="dxa"/>
        <w:tblInd w:w="103" w:type="dxa"/>
        <w:tblLayout w:type="fixed"/>
        <w:tblLook w:val="04A0" w:firstRow="1" w:lastRow="0" w:firstColumn="1" w:lastColumn="0" w:noHBand="0" w:noVBand="1"/>
      </w:tblPr>
      <w:tblGrid>
        <w:gridCol w:w="1260"/>
        <w:gridCol w:w="1563"/>
        <w:gridCol w:w="1563"/>
        <w:gridCol w:w="1564"/>
        <w:gridCol w:w="1568"/>
        <w:gridCol w:w="1559"/>
      </w:tblGrid>
      <w:tr w:rsidR="00F60A44" w:rsidRPr="0041132C" w:rsidTr="00665B18">
        <w:trPr>
          <w:trHeight w:val="900"/>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60A44" w:rsidRPr="005348DF" w:rsidRDefault="00F60A44" w:rsidP="009D7DF7">
            <w:pPr>
              <w:spacing w:before="0" w:after="120"/>
              <w:rPr>
                <w:rFonts w:ascii="Arial Narrow" w:eastAsia="Times New Roman" w:hAnsi="Arial Narrow" w:cs="Times New Roman"/>
                <w:b/>
                <w:bCs/>
                <w:color w:val="000000"/>
                <w:sz w:val="20"/>
                <w:szCs w:val="20"/>
                <w:lang w:eastAsia="en-AU"/>
              </w:rPr>
            </w:pPr>
            <w:r w:rsidRPr="005348DF">
              <w:rPr>
                <w:rFonts w:ascii="Arial Narrow" w:eastAsia="Times New Roman" w:hAnsi="Arial Narrow" w:cs="Times New Roman"/>
                <w:b/>
                <w:bCs/>
                <w:color w:val="000000"/>
                <w:sz w:val="20"/>
                <w:szCs w:val="20"/>
                <w:lang w:eastAsia="en-AU"/>
              </w:rPr>
              <w:t> </w:t>
            </w:r>
          </w:p>
        </w:tc>
        <w:tc>
          <w:tcPr>
            <w:tcW w:w="1563" w:type="dxa"/>
            <w:tcBorders>
              <w:top w:val="single" w:sz="4" w:space="0" w:color="auto"/>
              <w:left w:val="nil"/>
              <w:bottom w:val="single" w:sz="4" w:space="0" w:color="auto"/>
              <w:right w:val="single" w:sz="4" w:space="0" w:color="auto"/>
            </w:tcBorders>
            <w:shd w:val="clear" w:color="auto" w:fill="FFFFFF" w:themeFill="background1"/>
            <w:vAlign w:val="bottom"/>
            <w:hideMark/>
          </w:tcPr>
          <w:p w:rsidR="00F60A44" w:rsidRPr="005348DF" w:rsidRDefault="00F60A44" w:rsidP="009D7DF7">
            <w:pPr>
              <w:spacing w:before="0" w:after="120"/>
              <w:jc w:val="center"/>
              <w:rPr>
                <w:rFonts w:ascii="Arial Narrow" w:eastAsia="Times New Roman" w:hAnsi="Arial Narrow" w:cs="Times New Roman"/>
                <w:b/>
                <w:bCs/>
                <w:color w:val="000000"/>
                <w:sz w:val="20"/>
                <w:szCs w:val="20"/>
                <w:lang w:eastAsia="en-AU"/>
              </w:rPr>
            </w:pPr>
            <w:r w:rsidRPr="005348DF">
              <w:rPr>
                <w:rFonts w:ascii="Arial Narrow" w:eastAsia="Times New Roman" w:hAnsi="Arial Narrow" w:cs="Times New Roman"/>
                <w:b/>
                <w:bCs/>
                <w:color w:val="000000"/>
                <w:sz w:val="20"/>
                <w:szCs w:val="20"/>
                <w:lang w:eastAsia="en-AU"/>
              </w:rPr>
              <w:t>Total cost of treatment per 104 weeks</w:t>
            </w:r>
          </w:p>
        </w:tc>
        <w:tc>
          <w:tcPr>
            <w:tcW w:w="156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9D7DF7" w:rsidRDefault="00F60A44" w:rsidP="009D7DF7">
            <w:pPr>
              <w:spacing w:before="0" w:after="120"/>
              <w:jc w:val="center"/>
              <w:rPr>
                <w:rFonts w:ascii="Arial Narrow" w:eastAsia="Times New Roman" w:hAnsi="Arial Narrow" w:cs="Times New Roman"/>
                <w:b/>
                <w:sz w:val="20"/>
                <w:szCs w:val="20"/>
                <w:lang w:eastAsia="en-AU"/>
              </w:rPr>
            </w:pPr>
            <w:r w:rsidRPr="009D7DF7">
              <w:rPr>
                <w:rFonts w:ascii="Arial Narrow" w:eastAsia="Times New Roman" w:hAnsi="Arial Narrow" w:cs="Times New Roman"/>
                <w:b/>
                <w:sz w:val="20"/>
                <w:szCs w:val="20"/>
                <w:lang w:eastAsia="en-AU"/>
              </w:rPr>
              <w:t>Adverse event costs</w:t>
            </w:r>
          </w:p>
        </w:tc>
        <w:tc>
          <w:tcPr>
            <w:tcW w:w="156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9D7DF7" w:rsidRDefault="00F60A44" w:rsidP="009D7DF7">
            <w:pPr>
              <w:spacing w:before="0" w:after="120"/>
              <w:jc w:val="center"/>
              <w:rPr>
                <w:rFonts w:ascii="Arial Narrow" w:eastAsia="Times New Roman" w:hAnsi="Arial Narrow" w:cs="Times New Roman"/>
                <w:b/>
                <w:sz w:val="20"/>
                <w:szCs w:val="20"/>
                <w:lang w:eastAsia="en-AU"/>
              </w:rPr>
            </w:pPr>
            <w:r w:rsidRPr="009D7DF7">
              <w:rPr>
                <w:rFonts w:ascii="Arial Narrow" w:eastAsia="Times New Roman" w:hAnsi="Arial Narrow" w:cs="Times New Roman"/>
                <w:b/>
                <w:sz w:val="20"/>
                <w:szCs w:val="20"/>
                <w:lang w:eastAsia="en-AU"/>
              </w:rPr>
              <w:t>Monitoring costs</w:t>
            </w:r>
          </w:p>
        </w:tc>
        <w:tc>
          <w:tcPr>
            <w:tcW w:w="15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9D7DF7" w:rsidRDefault="00F60A44" w:rsidP="009D7DF7">
            <w:pPr>
              <w:spacing w:before="0" w:after="120"/>
              <w:jc w:val="center"/>
              <w:rPr>
                <w:rFonts w:ascii="Arial Narrow" w:eastAsia="Times New Roman" w:hAnsi="Arial Narrow" w:cs="Times New Roman"/>
                <w:b/>
                <w:sz w:val="20"/>
                <w:szCs w:val="20"/>
                <w:lang w:eastAsia="en-AU"/>
              </w:rPr>
            </w:pPr>
            <w:r w:rsidRPr="009D7DF7">
              <w:rPr>
                <w:rFonts w:ascii="Arial Narrow" w:eastAsia="Times New Roman" w:hAnsi="Arial Narrow" w:cs="Times New Roman"/>
                <w:b/>
                <w:sz w:val="20"/>
                <w:szCs w:val="20"/>
                <w:lang w:eastAsia="en-AU"/>
              </w:rPr>
              <w:t>PBS costs (AEMP)</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60A44" w:rsidRPr="009D7DF7" w:rsidRDefault="00F60A44" w:rsidP="009D7DF7">
            <w:pPr>
              <w:spacing w:before="0" w:after="120"/>
              <w:jc w:val="center"/>
              <w:rPr>
                <w:rFonts w:ascii="Arial Narrow" w:eastAsia="Times New Roman" w:hAnsi="Arial Narrow" w:cs="Times New Roman"/>
                <w:b/>
                <w:sz w:val="20"/>
                <w:szCs w:val="20"/>
                <w:lang w:eastAsia="en-AU"/>
              </w:rPr>
            </w:pPr>
            <w:r w:rsidRPr="009D7DF7">
              <w:rPr>
                <w:rFonts w:ascii="Arial Narrow" w:eastAsia="Times New Roman" w:hAnsi="Arial Narrow" w:cs="Times New Roman"/>
                <w:b/>
                <w:sz w:val="20"/>
                <w:szCs w:val="20"/>
                <w:lang w:eastAsia="en-AU"/>
              </w:rPr>
              <w:t>Premium</w:t>
            </w:r>
          </w:p>
        </w:tc>
      </w:tr>
      <w:tr w:rsidR="00612D98" w:rsidRPr="0041132C" w:rsidTr="00665B18">
        <w:trPr>
          <w:trHeight w:val="30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612D98" w:rsidRPr="0041132C" w:rsidRDefault="00612D98" w:rsidP="009D7DF7">
            <w:pPr>
              <w:spacing w:before="0" w:after="120"/>
              <w:rPr>
                <w:rFonts w:ascii="Arial Narrow" w:eastAsia="Times New Roman" w:hAnsi="Arial Narrow" w:cs="Times New Roman"/>
                <w:sz w:val="20"/>
                <w:szCs w:val="20"/>
                <w:lang w:eastAsia="en-AU"/>
              </w:rPr>
            </w:pPr>
            <w:r w:rsidRPr="0041132C">
              <w:rPr>
                <w:rFonts w:ascii="Arial Narrow" w:eastAsia="Times New Roman" w:hAnsi="Arial Narrow" w:cs="Times New Roman"/>
                <w:sz w:val="20"/>
                <w:szCs w:val="20"/>
                <w:lang w:eastAsia="en-AU"/>
              </w:rPr>
              <w:t>Cyclosporin</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9D7DF7">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9D7DF7">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D25666">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8" w:type="dxa"/>
            <w:tcBorders>
              <w:top w:val="nil"/>
              <w:left w:val="nil"/>
              <w:bottom w:val="single" w:sz="4" w:space="0" w:color="auto"/>
              <w:right w:val="single" w:sz="4" w:space="0" w:color="auto"/>
            </w:tcBorders>
            <w:shd w:val="clear" w:color="000000" w:fill="FFFFFF"/>
            <w:noWrap/>
            <w:vAlign w:val="center"/>
            <w:hideMark/>
          </w:tcPr>
          <w:p w:rsidR="00612D98" w:rsidRPr="005348DF" w:rsidRDefault="00612D98" w:rsidP="009D7DF7">
            <w:pPr>
              <w:spacing w:before="0" w:after="120"/>
              <w:jc w:val="center"/>
              <w:rPr>
                <w:rFonts w:ascii="Arial Narrow" w:eastAsia="Times New Roman" w:hAnsi="Arial Narrow" w:cs="Times New Roman"/>
                <w:sz w:val="20"/>
                <w:szCs w:val="20"/>
                <w:lang w:eastAsia="en-AU"/>
              </w:rPr>
            </w:pPr>
            <w:r w:rsidRPr="009D7DF7">
              <w:rPr>
                <w:rFonts w:ascii="Arial Narrow" w:hAnsi="Arial Narrow"/>
                <w:sz w:val="20"/>
                <w:szCs w:val="20"/>
              </w:rPr>
              <w:t>$</w:t>
            </w:r>
            <w:r w:rsidR="00D25666">
              <w:rPr>
                <w:rFonts w:ascii="Arial Narrow" w:hAnsi="Arial Narrow"/>
                <w:sz w:val="20"/>
                <w:szCs w:val="20"/>
              </w:rPr>
              <w:t>9,834</w:t>
            </w:r>
            <w:r w:rsidRPr="009D7DF7">
              <w:rPr>
                <w:rFonts w:ascii="Arial Narrow" w:hAnsi="Arial Narrow"/>
                <w:sz w:val="20"/>
                <w:szCs w:val="20"/>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612D98" w:rsidRPr="005348DF" w:rsidRDefault="00612D98" w:rsidP="009D7DF7">
            <w:pPr>
              <w:spacing w:before="0" w:after="120"/>
              <w:jc w:val="center"/>
              <w:rPr>
                <w:rFonts w:ascii="Arial Narrow" w:eastAsia="Times New Roman" w:hAnsi="Arial Narrow" w:cs="Times New Roman"/>
                <w:sz w:val="20"/>
                <w:szCs w:val="20"/>
                <w:lang w:eastAsia="en-AU"/>
              </w:rPr>
            </w:pPr>
            <w:r w:rsidRPr="009D7DF7">
              <w:rPr>
                <w:rFonts w:ascii="Arial Narrow" w:hAnsi="Arial Narrow"/>
                <w:sz w:val="20"/>
                <w:szCs w:val="20"/>
              </w:rPr>
              <w:t> </w:t>
            </w:r>
          </w:p>
        </w:tc>
      </w:tr>
      <w:tr w:rsidR="00612D98" w:rsidRPr="0041132C" w:rsidTr="00665B18">
        <w:trPr>
          <w:trHeight w:val="30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612D98" w:rsidRPr="0041132C" w:rsidRDefault="00612D98" w:rsidP="009D7DF7">
            <w:pPr>
              <w:spacing w:before="0" w:after="120"/>
              <w:rPr>
                <w:rFonts w:ascii="Arial Narrow" w:eastAsia="Times New Roman" w:hAnsi="Arial Narrow" w:cs="Times New Roman"/>
                <w:sz w:val="20"/>
                <w:szCs w:val="20"/>
                <w:lang w:eastAsia="en-AU"/>
              </w:rPr>
            </w:pPr>
            <w:r w:rsidRPr="0041132C">
              <w:rPr>
                <w:rFonts w:ascii="Arial Narrow" w:eastAsia="Times New Roman" w:hAnsi="Arial Narrow" w:cs="Times New Roman"/>
                <w:sz w:val="20"/>
                <w:szCs w:val="20"/>
                <w:lang w:eastAsia="en-AU"/>
              </w:rPr>
              <w:t>Apremilast</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9D7DF7">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9D7DF7">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D25666">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8"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D25666">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612D98" w:rsidRPr="005348DF" w:rsidRDefault="003E2FBE" w:rsidP="009D7DF7">
            <w:pPr>
              <w:spacing w:before="0" w:after="120"/>
              <w:jc w:val="center"/>
              <w:rPr>
                <w:rFonts w:ascii="Arial Narrow" w:eastAsia="Times New Roman" w:hAnsi="Arial Narrow" w:cs="Times New Roman"/>
                <w:sz w:val="20"/>
                <w:szCs w:val="20"/>
                <w:lang w:eastAsia="en-AU"/>
              </w:rPr>
            </w:pPr>
            <w:r>
              <w:rPr>
                <w:rFonts w:ascii="Arial Narrow" w:hAnsi="Arial Narrow"/>
                <w:noProof/>
                <w:color w:val="000000"/>
                <w:sz w:val="20"/>
                <w:szCs w:val="20"/>
                <w:highlight w:val="black"/>
              </w:rPr>
              <w:t>''''''</w:t>
            </w:r>
            <w:r w:rsidR="00612D98" w:rsidRPr="009D7DF7">
              <w:rPr>
                <w:rFonts w:ascii="Arial Narrow" w:hAnsi="Arial Narrow"/>
                <w:sz w:val="20"/>
                <w:szCs w:val="20"/>
              </w:rPr>
              <w:t>%</w:t>
            </w:r>
          </w:p>
        </w:tc>
      </w:tr>
      <w:tr w:rsidR="00612D98" w:rsidRPr="0041132C" w:rsidTr="00665B18">
        <w:trPr>
          <w:trHeight w:val="300"/>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612D98" w:rsidRPr="0041132C" w:rsidRDefault="00612D98" w:rsidP="009D7DF7">
            <w:pPr>
              <w:spacing w:before="0" w:after="120"/>
              <w:rPr>
                <w:rFonts w:ascii="Arial Narrow" w:eastAsia="Times New Roman" w:hAnsi="Arial Narrow" w:cs="Times New Roman"/>
                <w:sz w:val="20"/>
                <w:szCs w:val="20"/>
                <w:lang w:eastAsia="en-AU"/>
              </w:rPr>
            </w:pPr>
            <w:r w:rsidRPr="0041132C">
              <w:rPr>
                <w:rFonts w:ascii="Arial Narrow" w:eastAsia="Times New Roman" w:hAnsi="Arial Narrow" w:cs="Times New Roman"/>
                <w:sz w:val="20"/>
                <w:szCs w:val="20"/>
                <w:lang w:eastAsia="en-AU"/>
              </w:rPr>
              <w:t>Difference</w:t>
            </w:r>
          </w:p>
        </w:tc>
        <w:tc>
          <w:tcPr>
            <w:tcW w:w="1563" w:type="dxa"/>
            <w:tcBorders>
              <w:top w:val="nil"/>
              <w:left w:val="nil"/>
              <w:bottom w:val="single" w:sz="4" w:space="0" w:color="auto"/>
              <w:right w:val="single" w:sz="4" w:space="0" w:color="auto"/>
            </w:tcBorders>
            <w:shd w:val="clear" w:color="000000" w:fill="FFFFFF"/>
            <w:noWrap/>
            <w:vAlign w:val="center"/>
            <w:hideMark/>
          </w:tcPr>
          <w:p w:rsidR="00612D98" w:rsidRPr="003E2FBE" w:rsidRDefault="003E2FBE" w:rsidP="009D7DF7">
            <w:pPr>
              <w:spacing w:before="0" w:after="120"/>
              <w:jc w:val="center"/>
              <w:rPr>
                <w:rFonts w:ascii="Arial Narrow" w:eastAsia="Times New Roman" w:hAnsi="Arial Narrow" w:cs="Times New Roman"/>
                <w:sz w:val="20"/>
                <w:szCs w:val="20"/>
                <w:highlight w:val="black"/>
                <w:lang w:eastAsia="en-AU"/>
              </w:rPr>
            </w:pPr>
            <w:r>
              <w:rPr>
                <w:rFonts w:ascii="Arial Narrow" w:hAnsi="Arial Narrow"/>
                <w:noProof/>
                <w:color w:val="000000"/>
                <w:sz w:val="20"/>
                <w:szCs w:val="20"/>
                <w:highlight w:val="black"/>
              </w:rPr>
              <w:t>'''''</w:t>
            </w:r>
          </w:p>
        </w:tc>
        <w:tc>
          <w:tcPr>
            <w:tcW w:w="1563" w:type="dxa"/>
            <w:tcBorders>
              <w:top w:val="nil"/>
              <w:left w:val="nil"/>
              <w:bottom w:val="single" w:sz="4" w:space="0" w:color="auto"/>
              <w:right w:val="single" w:sz="4" w:space="0" w:color="auto"/>
            </w:tcBorders>
            <w:shd w:val="clear" w:color="000000" w:fill="FFFFFF"/>
            <w:vAlign w:val="bottom"/>
            <w:hideMark/>
          </w:tcPr>
          <w:p w:rsidR="00612D98" w:rsidRPr="003E2FBE" w:rsidRDefault="003E2FBE" w:rsidP="009D7DF7">
            <w:pPr>
              <w:spacing w:before="0" w:after="120"/>
              <w:jc w:val="center"/>
              <w:rPr>
                <w:rFonts w:ascii="Arial Narrow" w:eastAsia="Times New Roman" w:hAnsi="Arial Narrow" w:cs="Times New Roman"/>
                <w:b/>
                <w:bCs/>
                <w:color w:val="000000"/>
                <w:sz w:val="20"/>
                <w:szCs w:val="20"/>
                <w:highlight w:val="black"/>
                <w:lang w:eastAsia="en-AU"/>
              </w:rPr>
            </w:pPr>
            <w:r>
              <w:rPr>
                <w:rFonts w:ascii="Arial Narrow" w:hAnsi="Arial Narrow"/>
                <w:b/>
                <w:bCs/>
                <w:noProof/>
                <w:color w:val="000000"/>
                <w:sz w:val="20"/>
                <w:szCs w:val="20"/>
                <w:highlight w:val="black"/>
              </w:rPr>
              <w:t>''''''''''</w:t>
            </w:r>
          </w:p>
        </w:tc>
        <w:tc>
          <w:tcPr>
            <w:tcW w:w="1564" w:type="dxa"/>
            <w:tcBorders>
              <w:top w:val="nil"/>
              <w:left w:val="nil"/>
              <w:bottom w:val="single" w:sz="4" w:space="0" w:color="auto"/>
              <w:right w:val="single" w:sz="4" w:space="0" w:color="auto"/>
            </w:tcBorders>
            <w:shd w:val="clear" w:color="000000" w:fill="FFFFFF"/>
            <w:vAlign w:val="bottom"/>
            <w:hideMark/>
          </w:tcPr>
          <w:p w:rsidR="00612D98" w:rsidRPr="003E2FBE" w:rsidRDefault="003E2FBE" w:rsidP="00D25666">
            <w:pPr>
              <w:spacing w:before="0" w:after="120"/>
              <w:jc w:val="center"/>
              <w:rPr>
                <w:rFonts w:ascii="Arial Narrow" w:eastAsia="Times New Roman" w:hAnsi="Arial Narrow" w:cs="Times New Roman"/>
                <w:b/>
                <w:bCs/>
                <w:color w:val="000000"/>
                <w:sz w:val="20"/>
                <w:szCs w:val="20"/>
                <w:highlight w:val="black"/>
                <w:lang w:eastAsia="en-AU"/>
              </w:rPr>
            </w:pPr>
            <w:r>
              <w:rPr>
                <w:rFonts w:ascii="Arial Narrow" w:hAnsi="Arial Narrow"/>
                <w:b/>
                <w:bCs/>
                <w:noProof/>
                <w:color w:val="000000"/>
                <w:sz w:val="20"/>
                <w:szCs w:val="20"/>
                <w:highlight w:val="black"/>
              </w:rPr>
              <w:t>''''''''''''</w:t>
            </w:r>
          </w:p>
        </w:tc>
        <w:tc>
          <w:tcPr>
            <w:tcW w:w="1568" w:type="dxa"/>
            <w:tcBorders>
              <w:top w:val="nil"/>
              <w:left w:val="nil"/>
              <w:bottom w:val="single" w:sz="4" w:space="0" w:color="auto"/>
              <w:right w:val="single" w:sz="4" w:space="0" w:color="auto"/>
            </w:tcBorders>
            <w:shd w:val="clear" w:color="000000" w:fill="FFFFFF"/>
            <w:vAlign w:val="bottom"/>
            <w:hideMark/>
          </w:tcPr>
          <w:p w:rsidR="00612D98" w:rsidRPr="003E2FBE" w:rsidRDefault="003E2FBE" w:rsidP="009D7DF7">
            <w:pPr>
              <w:spacing w:before="0" w:after="120"/>
              <w:jc w:val="center"/>
              <w:rPr>
                <w:rFonts w:ascii="Arial Narrow" w:eastAsia="Times New Roman" w:hAnsi="Arial Narrow" w:cs="Times New Roman"/>
                <w:b/>
                <w:bCs/>
                <w:color w:val="000000"/>
                <w:sz w:val="20"/>
                <w:szCs w:val="20"/>
                <w:highlight w:val="black"/>
                <w:lang w:eastAsia="en-AU"/>
              </w:rPr>
            </w:pPr>
            <w:r>
              <w:rPr>
                <w:rFonts w:ascii="Arial Narrow" w:hAnsi="Arial Narrow"/>
                <w:b/>
                <w:bCs/>
                <w:noProof/>
                <w:color w:val="000000"/>
                <w:sz w:val="20"/>
                <w:szCs w:val="20"/>
                <w:highlight w:val="black"/>
              </w:rPr>
              <w:t>''''''''''''</w:t>
            </w:r>
          </w:p>
        </w:tc>
        <w:tc>
          <w:tcPr>
            <w:tcW w:w="1559" w:type="dxa"/>
            <w:tcBorders>
              <w:top w:val="nil"/>
              <w:left w:val="nil"/>
              <w:bottom w:val="single" w:sz="4" w:space="0" w:color="auto"/>
              <w:right w:val="single" w:sz="4" w:space="0" w:color="auto"/>
            </w:tcBorders>
            <w:shd w:val="clear" w:color="000000" w:fill="FFFFFF"/>
            <w:vAlign w:val="bottom"/>
            <w:hideMark/>
          </w:tcPr>
          <w:p w:rsidR="00612D98" w:rsidRPr="005348DF" w:rsidRDefault="00612D98" w:rsidP="009D7DF7">
            <w:pPr>
              <w:spacing w:before="0" w:after="120"/>
              <w:jc w:val="center"/>
              <w:rPr>
                <w:rFonts w:ascii="Arial Narrow" w:eastAsia="Times New Roman" w:hAnsi="Arial Narrow" w:cs="Times New Roman"/>
                <w:b/>
                <w:bCs/>
                <w:color w:val="000000"/>
                <w:sz w:val="20"/>
                <w:szCs w:val="20"/>
                <w:lang w:eastAsia="en-AU"/>
              </w:rPr>
            </w:pPr>
            <w:r w:rsidRPr="009D7DF7">
              <w:rPr>
                <w:rFonts w:ascii="Arial Narrow" w:hAnsi="Arial Narrow"/>
                <w:b/>
                <w:bCs/>
                <w:color w:val="000000"/>
                <w:sz w:val="20"/>
                <w:szCs w:val="20"/>
              </w:rPr>
              <w:t> </w:t>
            </w:r>
          </w:p>
        </w:tc>
      </w:tr>
    </w:tbl>
    <w:p w:rsidR="0030040F" w:rsidRPr="0041132C" w:rsidRDefault="0030040F">
      <w:pPr>
        <w:spacing w:before="0" w:after="120"/>
        <w:jc w:val="both"/>
        <w:rPr>
          <w:szCs w:val="24"/>
        </w:rPr>
      </w:pPr>
    </w:p>
    <w:p w:rsidR="008D3ED1" w:rsidRPr="005348DF" w:rsidRDefault="009B1D1E">
      <w:pPr>
        <w:pStyle w:val="ListParagraph"/>
        <w:numPr>
          <w:ilvl w:val="1"/>
          <w:numId w:val="3"/>
        </w:numPr>
        <w:spacing w:before="0" w:after="120"/>
        <w:jc w:val="both"/>
        <w:rPr>
          <w:szCs w:val="24"/>
        </w:rPr>
      </w:pPr>
      <w:r>
        <w:rPr>
          <w:szCs w:val="24"/>
        </w:rPr>
        <w:t>O</w:t>
      </w:r>
      <w:r w:rsidR="00646EE3" w:rsidRPr="005348DF">
        <w:rPr>
          <w:szCs w:val="24"/>
        </w:rPr>
        <w:t>n balance</w:t>
      </w:r>
      <w:r w:rsidR="00103987" w:rsidRPr="005348DF">
        <w:rPr>
          <w:szCs w:val="24"/>
        </w:rPr>
        <w:t xml:space="preserve"> the PBAC considered that</w:t>
      </w:r>
      <w:r w:rsidR="0041132C" w:rsidRPr="005348DF">
        <w:rPr>
          <w:szCs w:val="24"/>
        </w:rPr>
        <w:t>,</w:t>
      </w:r>
      <w:r w:rsidR="00103987" w:rsidRPr="005348DF">
        <w:rPr>
          <w:szCs w:val="24"/>
        </w:rPr>
        <w:t xml:space="preserve"> with a premium in this range, apremilast would be </w:t>
      </w:r>
      <w:r w:rsidR="0009198B" w:rsidRPr="005348DF">
        <w:rPr>
          <w:szCs w:val="24"/>
        </w:rPr>
        <w:t xml:space="preserve">likely be </w:t>
      </w:r>
      <w:r w:rsidR="00103987" w:rsidRPr="005348DF">
        <w:rPr>
          <w:szCs w:val="24"/>
        </w:rPr>
        <w:t xml:space="preserve">acceptably cost-effective for the purposes of the </w:t>
      </w:r>
      <w:r w:rsidR="00646EE3" w:rsidRPr="009D7DF7">
        <w:rPr>
          <w:i/>
          <w:szCs w:val="24"/>
        </w:rPr>
        <w:t xml:space="preserve">National Health </w:t>
      </w:r>
      <w:r w:rsidR="00103987" w:rsidRPr="009D7DF7">
        <w:rPr>
          <w:i/>
          <w:szCs w:val="24"/>
        </w:rPr>
        <w:t>Act</w:t>
      </w:r>
      <w:r w:rsidR="00646EE3" w:rsidRPr="009D7DF7">
        <w:rPr>
          <w:i/>
          <w:szCs w:val="24"/>
        </w:rPr>
        <w:t xml:space="preserve"> 1953</w:t>
      </w:r>
      <w:r w:rsidR="00103987" w:rsidRPr="005348DF">
        <w:rPr>
          <w:szCs w:val="24"/>
        </w:rPr>
        <w:t>.</w:t>
      </w:r>
    </w:p>
    <w:p w:rsidR="00C317F3" w:rsidRPr="009D7DF7" w:rsidRDefault="00C317F3" w:rsidP="005348DF">
      <w:pPr>
        <w:pStyle w:val="Heading2"/>
        <w:rPr>
          <w:b w:val="0"/>
          <w:i w:val="0"/>
        </w:rPr>
      </w:pPr>
      <w:bookmarkStart w:id="24" w:name="_Toc413139283"/>
      <w:bookmarkStart w:id="25" w:name="_Toc493165619"/>
      <w:r w:rsidRPr="0041132C">
        <w:rPr>
          <w:i w:val="0"/>
        </w:rPr>
        <w:t>Drug cost/patient/year</w:t>
      </w:r>
      <w:bookmarkEnd w:id="24"/>
      <w:r w:rsidR="00C2543A" w:rsidRPr="0041132C">
        <w:rPr>
          <w:i w:val="0"/>
        </w:rPr>
        <w:t>:</w:t>
      </w:r>
      <w:r w:rsidR="00954D30" w:rsidRPr="0041132C">
        <w:rPr>
          <w:i w:val="0"/>
        </w:rPr>
        <w:t xml:space="preserve"> $</w:t>
      </w:r>
      <w:bookmarkEnd w:id="25"/>
      <w:r w:rsidR="003E2FBE">
        <w:rPr>
          <w:i w:val="0"/>
          <w:noProof/>
          <w:color w:val="000000"/>
          <w:highlight w:val="black"/>
        </w:rPr>
        <w:t>''''''''''</w:t>
      </w:r>
      <w:r w:rsidR="0009198B" w:rsidRPr="0041132C">
        <w:rPr>
          <w:i w:val="0"/>
        </w:rPr>
        <w:t xml:space="preserve"> </w:t>
      </w:r>
      <w:r w:rsidR="00C77351" w:rsidRPr="0041132C">
        <w:rPr>
          <w:i w:val="0"/>
        </w:rPr>
        <w:t>(submission)</w:t>
      </w:r>
    </w:p>
    <w:p w:rsidR="00837C5A" w:rsidRPr="0041132C" w:rsidRDefault="00895297" w:rsidP="005348DF">
      <w:pPr>
        <w:pStyle w:val="ListParagraph"/>
        <w:numPr>
          <w:ilvl w:val="1"/>
          <w:numId w:val="3"/>
        </w:numPr>
        <w:spacing w:before="0" w:after="120"/>
        <w:jc w:val="both"/>
      </w:pPr>
      <w:r w:rsidRPr="005348DF">
        <w:t>Psoriasis is considered a chronic condition and either a</w:t>
      </w:r>
      <w:r w:rsidR="00E474E7" w:rsidRPr="005348DF">
        <w:t xml:space="preserve">premilast </w:t>
      </w:r>
      <w:r w:rsidRPr="005348DF">
        <w:t>or</w:t>
      </w:r>
      <w:r w:rsidR="00837C5A" w:rsidRPr="005348DF">
        <w:t xml:space="preserve"> cyclosporin would be given as ongoing treatment if the patient is responsive. However, cyclosporin </w:t>
      </w:r>
      <w:r w:rsidR="00446BB5" w:rsidRPr="005348DF">
        <w:t xml:space="preserve">should only be </w:t>
      </w:r>
      <w:r w:rsidR="00837C5A" w:rsidRPr="0021253F">
        <w:t xml:space="preserve">given </w:t>
      </w:r>
      <w:r w:rsidR="00446BB5" w:rsidRPr="0041132C">
        <w:t>for</w:t>
      </w:r>
      <w:r w:rsidR="00837C5A" w:rsidRPr="0041132C">
        <w:t xml:space="preserve"> a maximum of two years continuous treatment </w:t>
      </w:r>
      <w:r w:rsidRPr="0041132C">
        <w:t xml:space="preserve">of psoriasis </w:t>
      </w:r>
      <w:r w:rsidR="00837C5A" w:rsidRPr="0041132C">
        <w:t>due to the risk of nephrotoxicity. Apremilast has no restriction</w:t>
      </w:r>
      <w:r w:rsidR="00C16909" w:rsidRPr="0041132C">
        <w:t xml:space="preserve"> on duration of use.</w:t>
      </w:r>
    </w:p>
    <w:p w:rsidR="00837C5A" w:rsidRPr="0041132C" w:rsidRDefault="00C2543A" w:rsidP="005348DF">
      <w:pPr>
        <w:pStyle w:val="ListParagraph"/>
        <w:numPr>
          <w:ilvl w:val="1"/>
          <w:numId w:val="3"/>
        </w:numPr>
        <w:spacing w:before="0" w:after="120"/>
        <w:jc w:val="both"/>
      </w:pPr>
      <w:r w:rsidRPr="0041132C">
        <w:t xml:space="preserve">The </w:t>
      </w:r>
      <w:r w:rsidR="00954D30" w:rsidRPr="0041132C">
        <w:t>drug</w:t>
      </w:r>
      <w:r w:rsidRPr="0041132C">
        <w:t xml:space="preserve"> cost of apremilast was calculated </w:t>
      </w:r>
      <w:r w:rsidR="0009198B" w:rsidRPr="0041132C">
        <w:t xml:space="preserve">by the submission </w:t>
      </w:r>
      <w:r w:rsidRPr="0041132C">
        <w:t>to be $</w:t>
      </w:r>
      <w:r w:rsidR="003E2FBE">
        <w:rPr>
          <w:noProof/>
          <w:color w:val="000000"/>
          <w:highlight w:val="black"/>
        </w:rPr>
        <w:t>''''''''''</w:t>
      </w:r>
      <w:r w:rsidR="00954D30" w:rsidRPr="0041132C">
        <w:t xml:space="preserve"> </w:t>
      </w:r>
      <w:r w:rsidRPr="0041132C">
        <w:t>per patient per year, based on a DPMQ of $</w:t>
      </w:r>
      <w:r w:rsidR="003E2FBE">
        <w:rPr>
          <w:noProof/>
          <w:color w:val="000000"/>
          <w:highlight w:val="black"/>
        </w:rPr>
        <w:t>''''''''''''</w:t>
      </w:r>
      <w:r w:rsidR="00954D30" w:rsidRPr="0041132C">
        <w:t xml:space="preserve"> for the titration pack and $</w:t>
      </w:r>
      <w:r w:rsidR="003E2FBE">
        <w:rPr>
          <w:noProof/>
          <w:color w:val="000000"/>
          <w:highlight w:val="black"/>
        </w:rPr>
        <w:t>''''''''''''''</w:t>
      </w:r>
      <w:r w:rsidR="00954D30" w:rsidRPr="0041132C">
        <w:t xml:space="preserve"> for the standard pack</w:t>
      </w:r>
      <w:r w:rsidRPr="0041132C">
        <w:t>,</w:t>
      </w:r>
      <w:r w:rsidR="00954D30" w:rsidRPr="0041132C">
        <w:t xml:space="preserve"> </w:t>
      </w:r>
      <w:r w:rsidRPr="0041132C">
        <w:t xml:space="preserve">assuming </w:t>
      </w:r>
      <w:r w:rsidRPr="005F48FE">
        <w:t>1</w:t>
      </w:r>
      <w:r w:rsidR="004447E4" w:rsidRPr="005F48FE">
        <w:t>2</w:t>
      </w:r>
      <w:r w:rsidRPr="005F48FE">
        <w:t>.</w:t>
      </w:r>
      <w:r w:rsidR="004447E4" w:rsidRPr="005F48FE">
        <w:t>5</w:t>
      </w:r>
      <w:r w:rsidRPr="0041132C">
        <w:t xml:space="preserve"> prescriptions per year</w:t>
      </w:r>
      <w:r w:rsidR="00954D30" w:rsidRPr="0041132C">
        <w:t xml:space="preserve"> </w:t>
      </w:r>
      <w:r w:rsidR="0084047D" w:rsidRPr="0041132C">
        <w:t xml:space="preserve">for </w:t>
      </w:r>
      <w:r w:rsidR="00954D30" w:rsidRPr="0041132C">
        <w:t>the standard</w:t>
      </w:r>
      <w:r w:rsidR="004447E4" w:rsidRPr="0041132C">
        <w:t xml:space="preserve"> </w:t>
      </w:r>
      <w:r w:rsidR="0084047D" w:rsidRPr="0041132C">
        <w:t xml:space="preserve">pack </w:t>
      </w:r>
      <w:r w:rsidR="004447E4" w:rsidRPr="0041132C">
        <w:t xml:space="preserve">and </w:t>
      </w:r>
      <w:r w:rsidR="0084047D" w:rsidRPr="0041132C">
        <w:t xml:space="preserve">one </w:t>
      </w:r>
      <w:r w:rsidR="004447E4" w:rsidRPr="0041132C">
        <w:t>titration</w:t>
      </w:r>
      <w:r w:rsidR="00954D30" w:rsidRPr="0041132C">
        <w:t xml:space="preserve"> pack</w:t>
      </w:r>
      <w:r w:rsidR="00AF6238" w:rsidRPr="0041132C">
        <w:t xml:space="preserve"> (lasting 2 weeks) </w:t>
      </w:r>
      <w:r w:rsidR="0084047D" w:rsidRPr="0041132C">
        <w:t xml:space="preserve">at the commencement </w:t>
      </w:r>
      <w:r w:rsidR="00954D30" w:rsidRPr="0041132C">
        <w:t>of drug treatment</w:t>
      </w:r>
      <w:r w:rsidRPr="0041132C">
        <w:t>. The total cost of cyclosporin treatment was</w:t>
      </w:r>
      <w:r w:rsidR="0067132A" w:rsidRPr="0041132C">
        <w:t xml:space="preserve"> estimated to be</w:t>
      </w:r>
      <w:r w:rsidRPr="0041132C">
        <w:t xml:space="preserve"> $</w:t>
      </w:r>
      <w:r w:rsidR="0084047D" w:rsidRPr="00000E96">
        <w:t>4,975</w:t>
      </w:r>
      <w:r w:rsidRPr="0041132C">
        <w:t xml:space="preserve"> </w:t>
      </w:r>
      <w:r w:rsidR="0084047D" w:rsidRPr="0041132C">
        <w:t>based on an average DPMQ of $</w:t>
      </w:r>
      <w:r w:rsidR="0084047D" w:rsidRPr="00000E96">
        <w:t>551.38</w:t>
      </w:r>
      <w:r w:rsidR="0084047D" w:rsidRPr="0041132C">
        <w:t xml:space="preserve"> </w:t>
      </w:r>
      <w:r w:rsidR="00AF6238" w:rsidRPr="0041132C">
        <w:t xml:space="preserve">(used in the resubmission) </w:t>
      </w:r>
      <w:r w:rsidR="0084047D" w:rsidRPr="0041132C">
        <w:t>for the 100</w:t>
      </w:r>
      <w:r w:rsidR="009A2995" w:rsidRPr="0041132C">
        <w:t xml:space="preserve"> </w:t>
      </w:r>
      <w:r w:rsidR="0084047D" w:rsidRPr="0041132C">
        <w:t xml:space="preserve">mg </w:t>
      </w:r>
      <w:r w:rsidR="00AF6238" w:rsidRPr="0041132C">
        <w:t>strength</w:t>
      </w:r>
      <w:r w:rsidR="00124BCF" w:rsidRPr="0041132C">
        <w:t xml:space="preserve"> formulations</w:t>
      </w:r>
      <w:r w:rsidR="0084047D" w:rsidRPr="0041132C">
        <w:t xml:space="preserve">, </w:t>
      </w:r>
      <w:r w:rsidRPr="0041132C">
        <w:t xml:space="preserve">assuming </w:t>
      </w:r>
      <w:r w:rsidR="00A4745F" w:rsidRPr="0041132C">
        <w:t xml:space="preserve">continuous treatment for one year with an </w:t>
      </w:r>
      <w:r w:rsidR="0084047D" w:rsidRPr="0041132C">
        <w:t xml:space="preserve">estimated daily dose </w:t>
      </w:r>
      <w:r w:rsidR="00A4745F" w:rsidRPr="0041132C">
        <w:t xml:space="preserve">of </w:t>
      </w:r>
      <w:r w:rsidR="003E2FBE">
        <w:rPr>
          <w:noProof/>
          <w:color w:val="000000"/>
          <w:highlight w:val="black"/>
        </w:rPr>
        <w:t>''''''''</w:t>
      </w:r>
      <w:r w:rsidR="009A2995" w:rsidRPr="0041132C">
        <w:t xml:space="preserve"> </w:t>
      </w:r>
      <w:r w:rsidR="0084047D" w:rsidRPr="0041132C">
        <w:t>mg</w:t>
      </w:r>
      <w:r w:rsidR="006E257F" w:rsidRPr="0041132C">
        <w:t>/day</w:t>
      </w:r>
      <w:r w:rsidR="00124BCF" w:rsidRPr="0041132C">
        <w:t xml:space="preserve"> (based on a weighted average of </w:t>
      </w:r>
      <w:r w:rsidR="00325EA9" w:rsidRPr="0041132C">
        <w:t xml:space="preserve">a </w:t>
      </w:r>
      <w:r w:rsidR="00124BCF" w:rsidRPr="0041132C">
        <w:t>92.29</w:t>
      </w:r>
      <w:r w:rsidR="009A2995" w:rsidRPr="0041132C">
        <w:t xml:space="preserve"> </w:t>
      </w:r>
      <w:r w:rsidR="00124BCF" w:rsidRPr="0041132C">
        <w:t>kg</w:t>
      </w:r>
      <w:r w:rsidR="00325EA9" w:rsidRPr="0041132C">
        <w:t xml:space="preserve"> patient</w:t>
      </w:r>
      <w:r w:rsidR="00124BCF" w:rsidRPr="0041132C">
        <w:t xml:space="preserve"> in the </w:t>
      </w:r>
      <w:r w:rsidR="00325EA9" w:rsidRPr="0041132C">
        <w:t>apremilast</w:t>
      </w:r>
      <w:r w:rsidR="00124BCF" w:rsidRPr="0041132C">
        <w:t xml:space="preserve"> trial</w:t>
      </w:r>
      <w:r w:rsidR="00325EA9" w:rsidRPr="0041132C">
        <w:t>s</w:t>
      </w:r>
      <w:r w:rsidR="00124BCF" w:rsidRPr="0041132C">
        <w:t>)</w:t>
      </w:r>
      <w:r w:rsidR="006E257F" w:rsidRPr="0041132C">
        <w:t xml:space="preserve"> </w:t>
      </w:r>
      <w:r w:rsidR="003A3825" w:rsidRPr="0041132C">
        <w:t xml:space="preserve">and </w:t>
      </w:r>
      <w:r w:rsidR="00D41B2E" w:rsidRPr="0041132C">
        <w:t>nine</w:t>
      </w:r>
      <w:r w:rsidR="003A3825" w:rsidRPr="0041132C">
        <w:t xml:space="preserve"> prescriptions per year</w:t>
      </w:r>
      <w:r w:rsidR="00A4745F" w:rsidRPr="0041132C">
        <w:t>.</w:t>
      </w:r>
      <w:r w:rsidR="00221C9C" w:rsidRPr="0041132C">
        <w:t xml:space="preserve"> </w:t>
      </w:r>
    </w:p>
    <w:p w:rsidR="00C317F3" w:rsidRPr="0041132C" w:rsidRDefault="00C317F3" w:rsidP="005348DF">
      <w:pPr>
        <w:pStyle w:val="Heading2"/>
        <w:rPr>
          <w:i w:val="0"/>
        </w:rPr>
      </w:pPr>
      <w:bookmarkStart w:id="26" w:name="_Toc413139284"/>
      <w:bookmarkStart w:id="27" w:name="_Toc493165620"/>
      <w:r w:rsidRPr="0041132C">
        <w:rPr>
          <w:i w:val="0"/>
        </w:rPr>
        <w:t>Estimated PBS usage &amp; financial implications</w:t>
      </w:r>
      <w:bookmarkEnd w:id="26"/>
      <w:bookmarkEnd w:id="27"/>
    </w:p>
    <w:p w:rsidR="00A6518E" w:rsidRPr="0041132C" w:rsidRDefault="00A6518E">
      <w:pPr>
        <w:pStyle w:val="ListParagraph"/>
        <w:numPr>
          <w:ilvl w:val="1"/>
          <w:numId w:val="3"/>
        </w:numPr>
        <w:spacing w:before="0" w:after="120"/>
        <w:jc w:val="both"/>
      </w:pPr>
      <w:r w:rsidRPr="0041132C">
        <w:t>This resubmission was considered by DUSC</w:t>
      </w:r>
      <w:r w:rsidRPr="0041132C">
        <w:rPr>
          <w:color w:val="4472C4" w:themeColor="accent5"/>
        </w:rPr>
        <w:t xml:space="preserve">. </w:t>
      </w:r>
    </w:p>
    <w:p w:rsidR="00A6518E" w:rsidRPr="0041132C" w:rsidRDefault="00577505">
      <w:pPr>
        <w:pStyle w:val="ListParagraph"/>
        <w:numPr>
          <w:ilvl w:val="1"/>
          <w:numId w:val="3"/>
        </w:numPr>
        <w:spacing w:before="0" w:after="120"/>
        <w:jc w:val="both"/>
      </w:pPr>
      <w:r w:rsidRPr="007B3A14">
        <w:rPr>
          <w:rFonts w:cs="Arial"/>
          <w:szCs w:val="24"/>
        </w:rPr>
        <w:t xml:space="preserve">The </w:t>
      </w:r>
      <w:r>
        <w:rPr>
          <w:rFonts w:cs="Arial"/>
          <w:szCs w:val="24"/>
        </w:rPr>
        <w:t>resubmission used</w:t>
      </w:r>
      <w:r w:rsidRPr="007B3A14">
        <w:rPr>
          <w:rFonts w:cs="Arial"/>
          <w:szCs w:val="24"/>
        </w:rPr>
        <w:t xml:space="preserve"> an mixed epidemiological </w:t>
      </w:r>
      <w:r>
        <w:rPr>
          <w:rFonts w:cs="Arial"/>
          <w:szCs w:val="24"/>
        </w:rPr>
        <w:t>and m</w:t>
      </w:r>
      <w:r w:rsidRPr="007B3A14">
        <w:rPr>
          <w:rFonts w:cs="Arial"/>
          <w:szCs w:val="24"/>
        </w:rPr>
        <w:t xml:space="preserve">arket share </w:t>
      </w:r>
      <w:r>
        <w:rPr>
          <w:rFonts w:cs="Arial"/>
          <w:szCs w:val="24"/>
        </w:rPr>
        <w:t xml:space="preserve">approach </w:t>
      </w:r>
      <w:r w:rsidRPr="007B3A14">
        <w:rPr>
          <w:rFonts w:cs="Arial"/>
          <w:szCs w:val="24"/>
        </w:rPr>
        <w:t xml:space="preserve">for </w:t>
      </w:r>
      <w:r>
        <w:rPr>
          <w:rFonts w:cs="Arial"/>
          <w:szCs w:val="24"/>
        </w:rPr>
        <w:t xml:space="preserve">estimating </w:t>
      </w:r>
      <w:r w:rsidRPr="007B3A14">
        <w:rPr>
          <w:rFonts w:cs="Arial"/>
          <w:szCs w:val="24"/>
        </w:rPr>
        <w:t xml:space="preserve">the utilisation and financial implications associated with the requested </w:t>
      </w:r>
      <w:r>
        <w:rPr>
          <w:rFonts w:cs="Arial"/>
          <w:szCs w:val="24"/>
        </w:rPr>
        <w:t>PBS</w:t>
      </w:r>
      <w:r w:rsidRPr="007B3A14">
        <w:rPr>
          <w:rFonts w:cs="Arial"/>
          <w:szCs w:val="24"/>
        </w:rPr>
        <w:t xml:space="preserve"> listing of apremilast for </w:t>
      </w:r>
      <w:r>
        <w:rPr>
          <w:rFonts w:cs="Arial"/>
          <w:szCs w:val="24"/>
        </w:rPr>
        <w:t xml:space="preserve">the </w:t>
      </w:r>
      <w:r w:rsidRPr="007B3A14">
        <w:rPr>
          <w:rFonts w:cs="Arial"/>
          <w:szCs w:val="24"/>
        </w:rPr>
        <w:t>treatment of moderate to severe psoriasis.</w:t>
      </w:r>
      <w:r w:rsidR="00250250">
        <w:rPr>
          <w:rFonts w:cs="Arial"/>
          <w:szCs w:val="24"/>
        </w:rPr>
        <w:t xml:space="preserve"> </w:t>
      </w:r>
      <w:r w:rsidR="00A6518E" w:rsidRPr="0041132C">
        <w:t xml:space="preserve">The main difference to the previous submission </w:t>
      </w:r>
      <w:r>
        <w:t>was</w:t>
      </w:r>
      <w:r w:rsidR="00250250">
        <w:t xml:space="preserve"> the use of</w:t>
      </w:r>
      <w:r w:rsidR="00A6518E" w:rsidRPr="0041132C">
        <w:t xml:space="preserve"> a dermatologists' survey to estimate the eligible population, displacement and uptake of apremilast.</w:t>
      </w:r>
      <w:r w:rsidR="00A6518E" w:rsidRPr="0041132C">
        <w:rPr>
          <w:color w:val="4472C4" w:themeColor="accent5"/>
        </w:rPr>
        <w:t xml:space="preserve"> </w:t>
      </w:r>
    </w:p>
    <w:p w:rsidR="000B4140" w:rsidRDefault="000B4140">
      <w:pPr>
        <w:spacing w:before="0" w:line="259" w:lineRule="auto"/>
        <w:rPr>
          <w:color w:val="4472C4" w:themeColor="accent5"/>
        </w:rPr>
      </w:pPr>
      <w:r>
        <w:rPr>
          <w:color w:val="4472C4" w:themeColor="accent5"/>
        </w:rPr>
        <w:br w:type="page"/>
      </w:r>
    </w:p>
    <w:p w:rsidR="000B4140" w:rsidRPr="005348DF" w:rsidRDefault="000B4140" w:rsidP="00353DCC">
      <w:pPr>
        <w:pStyle w:val="ListParagraph"/>
        <w:spacing w:before="0" w:after="120"/>
        <w:jc w:val="both"/>
      </w:pPr>
    </w:p>
    <w:p w:rsidR="00A6518E" w:rsidRPr="0041132C" w:rsidRDefault="00A6518E" w:rsidP="005348DF">
      <w:pPr>
        <w:spacing w:before="0" w:after="120"/>
        <w:jc w:val="both"/>
        <w:rPr>
          <w:rFonts w:ascii="Arial Narrow" w:hAnsi="Arial Narrow"/>
          <w:b/>
          <w:sz w:val="20"/>
        </w:rPr>
      </w:pPr>
      <w:r w:rsidRPr="005348DF">
        <w:rPr>
          <w:rFonts w:ascii="Arial Narrow" w:hAnsi="Arial Narrow"/>
          <w:b/>
          <w:sz w:val="20"/>
        </w:rPr>
        <w:t>Table 1</w:t>
      </w:r>
      <w:r w:rsidR="0009198B" w:rsidRPr="005348DF">
        <w:rPr>
          <w:rFonts w:ascii="Arial Narrow" w:hAnsi="Arial Narrow"/>
          <w:b/>
          <w:sz w:val="20"/>
        </w:rPr>
        <w:t>8</w:t>
      </w:r>
      <w:r w:rsidRPr="0041132C">
        <w:rPr>
          <w:rFonts w:ascii="Arial Narrow" w:hAnsi="Arial Narrow"/>
          <w:b/>
          <w:sz w:val="20"/>
        </w:rPr>
        <w:t>: Estimated use and financial implications of apremilast listing on the PBS/RPBS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6"/>
        <w:gridCol w:w="1169"/>
        <w:gridCol w:w="1169"/>
        <w:gridCol w:w="1169"/>
        <w:gridCol w:w="1169"/>
        <w:gridCol w:w="1172"/>
      </w:tblGrid>
      <w:tr w:rsidR="00A6518E" w:rsidRPr="0041132C" w:rsidTr="000A7263">
        <w:trPr>
          <w:tblHeader/>
        </w:trPr>
        <w:tc>
          <w:tcPr>
            <w:tcW w:w="1111" w:type="pct"/>
            <w:shd w:val="clear" w:color="auto" w:fill="auto"/>
            <w:vAlign w:val="center"/>
          </w:tcPr>
          <w:p w:rsidR="00A6518E" w:rsidRPr="0041132C" w:rsidRDefault="00A6518E" w:rsidP="00353DCC">
            <w:pPr>
              <w:pStyle w:val="TableText"/>
              <w:spacing w:after="0"/>
            </w:pPr>
          </w:p>
        </w:tc>
        <w:tc>
          <w:tcPr>
            <w:tcW w:w="642" w:type="pct"/>
            <w:shd w:val="clear" w:color="auto" w:fill="auto"/>
            <w:vAlign w:val="center"/>
          </w:tcPr>
          <w:p w:rsidR="00A6518E" w:rsidRPr="0041132C" w:rsidRDefault="00A6518E" w:rsidP="00353DCC">
            <w:pPr>
              <w:pStyle w:val="TableText"/>
              <w:spacing w:after="0"/>
              <w:jc w:val="center"/>
              <w:rPr>
                <w:b/>
              </w:rPr>
            </w:pPr>
            <w:r w:rsidRPr="0041132C">
              <w:rPr>
                <w:b/>
              </w:rPr>
              <w:t>Year 1</w:t>
            </w:r>
          </w:p>
        </w:tc>
        <w:tc>
          <w:tcPr>
            <w:tcW w:w="649" w:type="pct"/>
            <w:shd w:val="clear" w:color="auto" w:fill="auto"/>
            <w:vAlign w:val="center"/>
          </w:tcPr>
          <w:p w:rsidR="00A6518E" w:rsidRPr="0041132C" w:rsidRDefault="00A6518E" w:rsidP="00353DCC">
            <w:pPr>
              <w:pStyle w:val="TableText"/>
              <w:spacing w:after="0"/>
              <w:jc w:val="center"/>
              <w:rPr>
                <w:b/>
              </w:rPr>
            </w:pPr>
            <w:r w:rsidRPr="0041132C">
              <w:rPr>
                <w:b/>
              </w:rPr>
              <w:t>Year 2</w:t>
            </w:r>
          </w:p>
        </w:tc>
        <w:tc>
          <w:tcPr>
            <w:tcW w:w="649" w:type="pct"/>
            <w:shd w:val="clear" w:color="auto" w:fill="auto"/>
            <w:vAlign w:val="center"/>
          </w:tcPr>
          <w:p w:rsidR="00A6518E" w:rsidRPr="0041132C" w:rsidRDefault="00A6518E" w:rsidP="00353DCC">
            <w:pPr>
              <w:pStyle w:val="TableText"/>
              <w:spacing w:after="0"/>
              <w:jc w:val="center"/>
              <w:rPr>
                <w:b/>
              </w:rPr>
            </w:pPr>
            <w:r w:rsidRPr="0041132C">
              <w:rPr>
                <w:b/>
              </w:rPr>
              <w:t>Year 3</w:t>
            </w:r>
          </w:p>
        </w:tc>
        <w:tc>
          <w:tcPr>
            <w:tcW w:w="649" w:type="pct"/>
            <w:shd w:val="clear" w:color="auto" w:fill="auto"/>
            <w:vAlign w:val="center"/>
          </w:tcPr>
          <w:p w:rsidR="00A6518E" w:rsidRPr="0041132C" w:rsidRDefault="00A6518E" w:rsidP="00353DCC">
            <w:pPr>
              <w:pStyle w:val="TableText"/>
              <w:spacing w:after="0"/>
              <w:jc w:val="center"/>
              <w:rPr>
                <w:b/>
              </w:rPr>
            </w:pPr>
            <w:r w:rsidRPr="0041132C">
              <w:rPr>
                <w:b/>
              </w:rPr>
              <w:t>Year 4</w:t>
            </w:r>
          </w:p>
        </w:tc>
        <w:tc>
          <w:tcPr>
            <w:tcW w:w="649" w:type="pct"/>
            <w:shd w:val="clear" w:color="auto" w:fill="auto"/>
            <w:vAlign w:val="center"/>
          </w:tcPr>
          <w:p w:rsidR="00A6518E" w:rsidRPr="0041132C" w:rsidRDefault="00A6518E" w:rsidP="00353DCC">
            <w:pPr>
              <w:pStyle w:val="TableText"/>
              <w:spacing w:after="0"/>
              <w:jc w:val="center"/>
              <w:rPr>
                <w:b/>
              </w:rPr>
            </w:pPr>
            <w:r w:rsidRPr="0041132C">
              <w:rPr>
                <w:b/>
              </w:rPr>
              <w:t>Year 5</w:t>
            </w:r>
          </w:p>
        </w:tc>
        <w:tc>
          <w:tcPr>
            <w:tcW w:w="651" w:type="pct"/>
          </w:tcPr>
          <w:p w:rsidR="00A6518E" w:rsidRPr="0041132C" w:rsidRDefault="00A6518E" w:rsidP="00353DCC">
            <w:pPr>
              <w:pStyle w:val="TableText"/>
              <w:spacing w:after="0"/>
              <w:jc w:val="center"/>
              <w:rPr>
                <w:b/>
              </w:rPr>
            </w:pPr>
            <w:r w:rsidRPr="0041132C">
              <w:rPr>
                <w:b/>
              </w:rPr>
              <w:t>Year 6</w:t>
            </w:r>
          </w:p>
        </w:tc>
      </w:tr>
      <w:tr w:rsidR="00A6518E" w:rsidRPr="0041132C" w:rsidTr="000A7263">
        <w:tc>
          <w:tcPr>
            <w:tcW w:w="5000" w:type="pct"/>
            <w:gridSpan w:val="7"/>
            <w:shd w:val="clear" w:color="auto" w:fill="auto"/>
            <w:vAlign w:val="center"/>
          </w:tcPr>
          <w:p w:rsidR="00A6518E" w:rsidRPr="005348DF" w:rsidRDefault="00A6518E" w:rsidP="00353DCC">
            <w:pPr>
              <w:pStyle w:val="TableText"/>
              <w:spacing w:after="0"/>
              <w:rPr>
                <w:b/>
                <w:bCs/>
                <w:color w:val="000000"/>
              </w:rPr>
            </w:pPr>
            <w:r w:rsidRPr="005348DF">
              <w:rPr>
                <w:b/>
                <w:bCs/>
                <w:color w:val="000000"/>
              </w:rPr>
              <w:t>Estimated extent of use</w:t>
            </w:r>
          </w:p>
        </w:tc>
      </w:tr>
      <w:tr w:rsidR="00A6518E" w:rsidRPr="0041132C" w:rsidTr="000A7263">
        <w:tc>
          <w:tcPr>
            <w:tcW w:w="1111" w:type="pct"/>
            <w:shd w:val="clear" w:color="auto" w:fill="auto"/>
            <w:vAlign w:val="center"/>
          </w:tcPr>
          <w:p w:rsidR="00A6518E" w:rsidRPr="005348DF" w:rsidRDefault="00A6518E" w:rsidP="00353DCC">
            <w:pPr>
              <w:pStyle w:val="TableText"/>
              <w:spacing w:after="0"/>
            </w:pPr>
            <w:r w:rsidRPr="005348DF">
              <w:t xml:space="preserve">Number of patients </w:t>
            </w:r>
          </w:p>
          <w:p w:rsidR="00A6518E" w:rsidRPr="005348DF" w:rsidRDefault="0009198B" w:rsidP="00353DCC">
            <w:pPr>
              <w:pStyle w:val="TableText"/>
              <w:spacing w:after="0"/>
              <w:rPr>
                <w:rFonts w:ascii="Times" w:eastAsia="Times New Roman" w:hAnsi="Times" w:cs="Times New Roman"/>
              </w:rPr>
            </w:pPr>
            <w:r w:rsidRPr="005348DF">
              <w:t>T</w:t>
            </w:r>
            <w:r w:rsidR="00A6518E" w:rsidRPr="005348DF">
              <w:t>reated</w:t>
            </w:r>
          </w:p>
        </w:tc>
        <w:tc>
          <w:tcPr>
            <w:tcW w:w="642" w:type="pct"/>
            <w:shd w:val="clear" w:color="auto" w:fill="auto"/>
          </w:tcPr>
          <w:p w:rsidR="00A6518E" w:rsidRPr="003E2FBE" w:rsidRDefault="003E2FBE" w:rsidP="00353DCC">
            <w:pPr>
              <w:pStyle w:val="TableText"/>
              <w:spacing w:after="0"/>
              <w:rPr>
                <w:bCs/>
                <w:color w:val="000000"/>
                <w:highlight w:val="black"/>
              </w:rPr>
            </w:pPr>
            <w:r>
              <w:rPr>
                <w:bCs/>
                <w:noProof/>
                <w:color w:val="000000"/>
                <w:highlight w:val="black"/>
              </w:rPr>
              <w:t>'''''''''''''</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noProof/>
                <w:color w:val="000000"/>
                <w:szCs w:val="20"/>
                <w:highlight w:val="black"/>
              </w:rPr>
              <w:t xml:space="preserve">'''''''''''' </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noProof/>
                <w:color w:val="000000"/>
                <w:szCs w:val="20"/>
                <w:highlight w:val="black"/>
              </w:rPr>
              <w:t xml:space="preserve">'''''''''''''' </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noProof/>
                <w:color w:val="000000"/>
                <w:szCs w:val="20"/>
                <w:highlight w:val="black"/>
              </w:rPr>
              <w:t xml:space="preserve">''''''''''''''' </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noProof/>
                <w:color w:val="000000"/>
                <w:szCs w:val="20"/>
                <w:highlight w:val="black"/>
              </w:rPr>
              <w:t xml:space="preserve">'''''''''''''' </w:t>
            </w:r>
          </w:p>
        </w:tc>
        <w:tc>
          <w:tcPr>
            <w:tcW w:w="651" w:type="pct"/>
          </w:tcPr>
          <w:p w:rsidR="00A6518E" w:rsidRPr="003E2FBE" w:rsidRDefault="003E2FBE" w:rsidP="00353DCC">
            <w:pPr>
              <w:pStyle w:val="TableText"/>
              <w:spacing w:after="0"/>
              <w:rPr>
                <w:bCs/>
                <w:color w:val="000000"/>
                <w:highlight w:val="black"/>
              </w:rPr>
            </w:pPr>
            <w:r>
              <w:rPr>
                <w:rFonts w:cs="Arial"/>
                <w:noProof/>
                <w:color w:val="000000"/>
                <w:szCs w:val="20"/>
                <w:highlight w:val="black"/>
              </w:rPr>
              <w:t xml:space="preserve">''''''''''''' </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rFonts w:ascii="Times" w:eastAsia="Times New Roman" w:hAnsi="Times" w:cs="Times New Roman"/>
              </w:rPr>
            </w:pPr>
            <w:r w:rsidRPr="005348DF">
              <w:t>Number of scripts dispensed</w:t>
            </w:r>
            <w:r w:rsidRPr="005348DF">
              <w:rPr>
                <w:vertAlign w:val="superscript"/>
              </w:rPr>
              <w:t>a</w:t>
            </w:r>
          </w:p>
        </w:tc>
        <w:tc>
          <w:tcPr>
            <w:tcW w:w="642" w:type="pct"/>
            <w:shd w:val="clear" w:color="auto" w:fill="auto"/>
          </w:tcPr>
          <w:p w:rsidR="00A6518E" w:rsidRPr="003E2FBE" w:rsidRDefault="003E2FBE" w:rsidP="00353DCC">
            <w:pPr>
              <w:pStyle w:val="TableText"/>
              <w:spacing w:after="0"/>
              <w:rPr>
                <w:bCs/>
                <w:i/>
                <w:color w:val="000000"/>
                <w:highlight w:val="black"/>
              </w:rPr>
            </w:pPr>
            <w:r>
              <w:rPr>
                <w:bCs/>
                <w:i/>
                <w:noProof/>
                <w:color w:val="000000"/>
                <w:highlight w:val="black"/>
              </w:rPr>
              <w:t>'''''''''''''''</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i/>
                <w:noProof/>
                <w:color w:val="000000"/>
                <w:szCs w:val="20"/>
                <w:highlight w:val="black"/>
              </w:rPr>
              <w:t>'''''''''''''''''</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i/>
                <w:noProof/>
                <w:color w:val="000000"/>
                <w:szCs w:val="20"/>
                <w:highlight w:val="black"/>
              </w:rPr>
              <w:t>'''''''''''''''</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i/>
                <w:noProof/>
                <w:color w:val="000000"/>
                <w:szCs w:val="20"/>
                <w:highlight w:val="black"/>
              </w:rPr>
              <w:t>'''''''''''''''''</w:t>
            </w:r>
          </w:p>
        </w:tc>
        <w:tc>
          <w:tcPr>
            <w:tcW w:w="649" w:type="pct"/>
            <w:shd w:val="clear" w:color="auto" w:fill="auto"/>
          </w:tcPr>
          <w:p w:rsidR="00A6518E" w:rsidRPr="003E2FBE" w:rsidRDefault="003E2FBE" w:rsidP="00353DCC">
            <w:pPr>
              <w:pStyle w:val="TableText"/>
              <w:spacing w:after="0"/>
              <w:rPr>
                <w:bCs/>
                <w:color w:val="000000"/>
                <w:highlight w:val="black"/>
              </w:rPr>
            </w:pPr>
            <w:r>
              <w:rPr>
                <w:rFonts w:cs="Arial"/>
                <w:i/>
                <w:noProof/>
                <w:color w:val="000000"/>
                <w:szCs w:val="20"/>
                <w:highlight w:val="black"/>
              </w:rPr>
              <w:t>''''''''''''''''</w:t>
            </w:r>
          </w:p>
        </w:tc>
        <w:tc>
          <w:tcPr>
            <w:tcW w:w="651" w:type="pct"/>
          </w:tcPr>
          <w:p w:rsidR="00A6518E" w:rsidRPr="003E2FBE" w:rsidRDefault="003E2FBE" w:rsidP="00353DCC">
            <w:pPr>
              <w:pStyle w:val="TableText"/>
              <w:spacing w:after="0"/>
              <w:rPr>
                <w:bCs/>
                <w:color w:val="000000"/>
                <w:highlight w:val="black"/>
              </w:rPr>
            </w:pPr>
            <w:r>
              <w:rPr>
                <w:rFonts w:cs="Arial"/>
                <w:i/>
                <w:noProof/>
                <w:color w:val="000000"/>
                <w:szCs w:val="20"/>
                <w:highlight w:val="black"/>
              </w:rPr>
              <w:t>'''''''''''''''</w:t>
            </w:r>
          </w:p>
        </w:tc>
      </w:tr>
      <w:tr w:rsidR="00A6518E" w:rsidRPr="0041132C" w:rsidTr="000A7263">
        <w:tc>
          <w:tcPr>
            <w:tcW w:w="5000" w:type="pct"/>
            <w:gridSpan w:val="7"/>
            <w:shd w:val="clear" w:color="auto" w:fill="auto"/>
            <w:vAlign w:val="center"/>
          </w:tcPr>
          <w:p w:rsidR="00A6518E" w:rsidRPr="005348DF" w:rsidRDefault="00A6518E" w:rsidP="00353DCC">
            <w:pPr>
              <w:pStyle w:val="TableText"/>
              <w:spacing w:after="0"/>
              <w:rPr>
                <w:b/>
                <w:bCs/>
                <w:color w:val="000000"/>
              </w:rPr>
            </w:pPr>
            <w:r w:rsidRPr="005348DF">
              <w:rPr>
                <w:b/>
                <w:bCs/>
                <w:color w:val="000000"/>
              </w:rPr>
              <w:t>Estimated financial implications of apremilast</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rFonts w:ascii="Times" w:eastAsia="Times New Roman" w:hAnsi="Times" w:cs="Times New Roman"/>
              </w:rPr>
            </w:pPr>
            <w:r w:rsidRPr="005348DF">
              <w:rPr>
                <w:sz w:val="19"/>
                <w:szCs w:val="19"/>
              </w:rPr>
              <w:t>Cost to PBS/RPBS</w:t>
            </w:r>
            <w:r w:rsidRPr="005348DF">
              <w:rPr>
                <w:vertAlign w:val="superscript"/>
              </w:rPr>
              <w:t>a</w:t>
            </w:r>
          </w:p>
        </w:tc>
        <w:tc>
          <w:tcPr>
            <w:tcW w:w="642" w:type="pct"/>
            <w:shd w:val="clear" w:color="auto" w:fill="auto"/>
          </w:tcPr>
          <w:p w:rsidR="00A6518E" w:rsidRPr="005348DF" w:rsidRDefault="00A6518E" w:rsidP="00353DCC">
            <w:pPr>
              <w:pStyle w:val="TableText"/>
              <w:spacing w:after="0"/>
              <w:rPr>
                <w:bCs/>
                <w:i/>
                <w:color w:val="000000"/>
              </w:rPr>
            </w:pPr>
            <w:r w:rsidRPr="005348DF">
              <w:rPr>
                <w:bCs/>
                <w:i/>
                <w:color w:val="000000"/>
              </w:rPr>
              <w:t>$</w:t>
            </w:r>
            <w:r w:rsidR="003E2FBE">
              <w:rPr>
                <w:bCs/>
                <w:i/>
                <w:noProof/>
                <w:color w:val="00000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bCs/>
                <w:i/>
                <w:color w:val="000000"/>
              </w:rPr>
              <w:t>$</w:t>
            </w:r>
            <w:r w:rsidR="003E2FBE">
              <w:rPr>
                <w:bCs/>
                <w:i/>
                <w:noProof/>
                <w:color w:val="00000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bCs/>
                <w:i/>
                <w:color w:val="000000"/>
              </w:rPr>
              <w:t>$</w:t>
            </w:r>
            <w:r w:rsidR="003E2FBE">
              <w:rPr>
                <w:bCs/>
                <w:i/>
                <w:noProof/>
                <w:color w:val="00000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bCs/>
                <w:i/>
                <w:color w:val="000000"/>
              </w:rPr>
              <w:t>$</w:t>
            </w:r>
            <w:r w:rsidR="003E2FBE">
              <w:rPr>
                <w:bCs/>
                <w:i/>
                <w:noProof/>
                <w:color w:val="00000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bCs/>
                <w:i/>
                <w:color w:val="000000"/>
              </w:rPr>
              <w:t>$</w:t>
            </w:r>
            <w:r w:rsidR="003E2FBE">
              <w:rPr>
                <w:bCs/>
                <w:i/>
                <w:noProof/>
                <w:color w:val="000000"/>
                <w:highlight w:val="black"/>
              </w:rPr>
              <w:t>'''''''''''''''''''''''''''</w:t>
            </w:r>
          </w:p>
        </w:tc>
        <w:tc>
          <w:tcPr>
            <w:tcW w:w="651" w:type="pct"/>
          </w:tcPr>
          <w:p w:rsidR="00A6518E" w:rsidRPr="0041132C" w:rsidRDefault="00A6518E" w:rsidP="00353DCC">
            <w:pPr>
              <w:pStyle w:val="TableText"/>
              <w:spacing w:after="0"/>
              <w:rPr>
                <w:bCs/>
                <w:i/>
                <w:color w:val="000000"/>
              </w:rPr>
            </w:pPr>
            <w:r w:rsidRPr="0041132C">
              <w:rPr>
                <w:bCs/>
                <w:i/>
                <w:color w:val="000000"/>
              </w:rPr>
              <w:t>$</w:t>
            </w:r>
            <w:r w:rsidR="003E2FBE">
              <w:rPr>
                <w:bCs/>
                <w:i/>
                <w:noProof/>
                <w:color w:val="000000"/>
                <w:highlight w:val="black"/>
              </w:rPr>
              <w:t>''''''''''''''''''''''''''''</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sz w:val="19"/>
                <w:szCs w:val="19"/>
              </w:rPr>
            </w:pPr>
            <w:r w:rsidRPr="005348DF">
              <w:rPr>
                <w:sz w:val="19"/>
                <w:szCs w:val="19"/>
              </w:rPr>
              <w:t>Co-payments</w:t>
            </w:r>
            <w:r w:rsidRPr="005348DF">
              <w:rPr>
                <w:vertAlign w:val="superscript"/>
              </w:rPr>
              <w:t>a</w:t>
            </w:r>
          </w:p>
        </w:tc>
        <w:tc>
          <w:tcPr>
            <w:tcW w:w="642" w:type="pct"/>
            <w:shd w:val="clear" w:color="auto" w:fill="auto"/>
          </w:tcPr>
          <w:p w:rsidR="00A6518E" w:rsidRPr="005348DF" w:rsidRDefault="00A6518E" w:rsidP="00353DCC">
            <w:pPr>
              <w:pStyle w:val="TableText"/>
              <w:spacing w:after="0"/>
              <w:rPr>
                <w:bCs/>
                <w:i/>
              </w:rPr>
            </w:pPr>
            <w:r w:rsidRPr="005348DF">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i/>
                <w:szCs w:val="20"/>
              </w:rPr>
              <w:t>-$</w:t>
            </w:r>
            <w:r w:rsidR="003E2FBE">
              <w:rPr>
                <w:rFonts w:cs="Arial"/>
                <w:i/>
                <w:noProof/>
                <w:color w:val="000000"/>
                <w:szCs w:val="20"/>
                <w:highlight w:val="black"/>
              </w:rPr>
              <w:t>''''''''''''''''''''''</w:t>
            </w:r>
          </w:p>
        </w:tc>
        <w:tc>
          <w:tcPr>
            <w:tcW w:w="651" w:type="pct"/>
          </w:tcPr>
          <w:p w:rsidR="00A6518E" w:rsidRPr="0041132C" w:rsidRDefault="00A6518E" w:rsidP="00353DCC">
            <w:pPr>
              <w:pStyle w:val="TableText"/>
              <w:spacing w:after="0"/>
              <w:rPr>
                <w:bCs/>
                <w:i/>
              </w:rPr>
            </w:pPr>
            <w:r w:rsidRPr="0041132C">
              <w:rPr>
                <w:rFonts w:cs="Arial"/>
                <w:i/>
                <w:szCs w:val="20"/>
              </w:rPr>
              <w:t>-$</w:t>
            </w:r>
            <w:r w:rsidR="003E2FBE">
              <w:rPr>
                <w:rFonts w:cs="Arial"/>
                <w:i/>
                <w:noProof/>
                <w:color w:val="000000"/>
                <w:szCs w:val="20"/>
                <w:highlight w:val="black"/>
              </w:rPr>
              <w:t>'''''''''''''''''''''''''</w:t>
            </w:r>
          </w:p>
        </w:tc>
      </w:tr>
      <w:tr w:rsidR="00A6518E" w:rsidRPr="0041132C" w:rsidTr="000A7263">
        <w:tc>
          <w:tcPr>
            <w:tcW w:w="1111" w:type="pct"/>
            <w:shd w:val="clear" w:color="auto" w:fill="auto"/>
            <w:vAlign w:val="center"/>
          </w:tcPr>
          <w:p w:rsidR="00A6518E" w:rsidRPr="0021253F" w:rsidRDefault="00A6518E" w:rsidP="00353DCC">
            <w:pPr>
              <w:pStyle w:val="TableText"/>
              <w:spacing w:after="0"/>
              <w:rPr>
                <w:sz w:val="19"/>
                <w:szCs w:val="19"/>
              </w:rPr>
            </w:pPr>
            <w:r w:rsidRPr="005348DF">
              <w:rPr>
                <w:sz w:val="19"/>
                <w:szCs w:val="19"/>
              </w:rPr>
              <w:t>Cost to PBS/RPBS less co-payments</w:t>
            </w:r>
            <w:r w:rsidRPr="005348DF">
              <w:rPr>
                <w:vertAlign w:val="superscript"/>
              </w:rPr>
              <w:t xml:space="preserve">a </w:t>
            </w:r>
            <w:r w:rsidRPr="005348DF">
              <w:t>(rounded)</w:t>
            </w:r>
          </w:p>
        </w:tc>
        <w:tc>
          <w:tcPr>
            <w:tcW w:w="642" w:type="pct"/>
            <w:shd w:val="clear" w:color="auto" w:fill="auto"/>
          </w:tcPr>
          <w:p w:rsidR="00A6518E" w:rsidRPr="0041132C" w:rsidRDefault="00A6518E" w:rsidP="00353DCC">
            <w:pPr>
              <w:pStyle w:val="TableText"/>
              <w:spacing w:after="0"/>
              <w:rPr>
                <w:bCs/>
                <w:i/>
                <w:color w:val="000000"/>
              </w:rPr>
            </w:pPr>
            <w:r w:rsidRPr="0041132C">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rFonts w:cs="Arial"/>
                <w:i/>
                <w:szCs w:val="20"/>
              </w:rPr>
              <w:t>$</w:t>
            </w:r>
            <w:r w:rsidR="003E2FBE">
              <w:rPr>
                <w:rFonts w:cs="Arial"/>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color w:val="000000"/>
              </w:rPr>
            </w:pPr>
            <w:r w:rsidRPr="0041132C">
              <w:rPr>
                <w:rFonts w:cs="Arial"/>
                <w:i/>
                <w:szCs w:val="20"/>
              </w:rPr>
              <w:t>$</w:t>
            </w:r>
            <w:r w:rsidR="003E2FBE">
              <w:rPr>
                <w:rFonts w:cs="Arial"/>
                <w:i/>
                <w:noProof/>
                <w:color w:val="000000"/>
                <w:szCs w:val="20"/>
                <w:highlight w:val="black"/>
              </w:rPr>
              <w:t>'''''''''''''''''''''''''</w:t>
            </w:r>
          </w:p>
        </w:tc>
        <w:tc>
          <w:tcPr>
            <w:tcW w:w="651" w:type="pct"/>
          </w:tcPr>
          <w:p w:rsidR="00A6518E" w:rsidRPr="0041132C" w:rsidRDefault="00A6518E" w:rsidP="00353DCC">
            <w:pPr>
              <w:pStyle w:val="TableText"/>
              <w:spacing w:after="0"/>
              <w:rPr>
                <w:bCs/>
                <w:i/>
                <w:color w:val="000000"/>
              </w:rPr>
            </w:pPr>
            <w:r w:rsidRPr="0041132C">
              <w:rPr>
                <w:rFonts w:cs="Arial"/>
                <w:i/>
                <w:szCs w:val="20"/>
              </w:rPr>
              <w:t>$</w:t>
            </w:r>
            <w:r w:rsidR="003E2FBE">
              <w:rPr>
                <w:rFonts w:cs="Arial"/>
                <w:i/>
                <w:noProof/>
                <w:color w:val="000000"/>
                <w:szCs w:val="20"/>
                <w:highlight w:val="black"/>
              </w:rPr>
              <w:t>'''''''''''''''''''''''''''''</w:t>
            </w:r>
          </w:p>
        </w:tc>
      </w:tr>
      <w:tr w:rsidR="00A6518E" w:rsidRPr="0041132C" w:rsidTr="000A7263">
        <w:tc>
          <w:tcPr>
            <w:tcW w:w="5000" w:type="pct"/>
            <w:gridSpan w:val="7"/>
            <w:shd w:val="clear" w:color="auto" w:fill="auto"/>
            <w:vAlign w:val="center"/>
          </w:tcPr>
          <w:p w:rsidR="00A6518E" w:rsidRPr="005348DF" w:rsidRDefault="00A6518E" w:rsidP="00353DCC">
            <w:pPr>
              <w:pStyle w:val="TableText"/>
              <w:spacing w:after="0"/>
              <w:rPr>
                <w:bCs/>
                <w:color w:val="000000"/>
              </w:rPr>
            </w:pPr>
            <w:r w:rsidRPr="005348DF">
              <w:rPr>
                <w:b/>
                <w:bCs/>
                <w:color w:val="000000"/>
              </w:rPr>
              <w:t>Estimated financial implications for other medicines</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sz w:val="19"/>
                <w:szCs w:val="19"/>
                <w:vertAlign w:val="superscript"/>
              </w:rPr>
            </w:pPr>
            <w:r w:rsidRPr="005348DF">
              <w:rPr>
                <w:sz w:val="19"/>
                <w:szCs w:val="19"/>
              </w:rPr>
              <w:t>Cost to PBS/RPBS</w:t>
            </w:r>
            <w:r w:rsidRPr="005348DF">
              <w:rPr>
                <w:sz w:val="19"/>
                <w:szCs w:val="19"/>
                <w:vertAlign w:val="superscript"/>
              </w:rPr>
              <w:t>b</w:t>
            </w:r>
          </w:p>
        </w:tc>
        <w:tc>
          <w:tcPr>
            <w:tcW w:w="642" w:type="pct"/>
            <w:shd w:val="clear" w:color="auto" w:fill="auto"/>
          </w:tcPr>
          <w:p w:rsidR="00A6518E" w:rsidRPr="005348DF" w:rsidRDefault="00A6518E" w:rsidP="00353DCC">
            <w:pPr>
              <w:pStyle w:val="TableText"/>
              <w:spacing w:after="0"/>
              <w:rPr>
                <w:bCs/>
                <w:i/>
                <w:szCs w:val="20"/>
              </w:rPr>
            </w:pPr>
            <w:r w:rsidRPr="005348DF">
              <w:rPr>
                <w:rFonts w:cs="Arial"/>
                <w:szCs w:val="20"/>
              </w:rPr>
              <w:t>$</w:t>
            </w:r>
            <w:r w:rsidR="003E2FBE">
              <w:rPr>
                <w:rFonts w:cs="Arial"/>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szCs w:val="20"/>
              </w:rPr>
              <w:t>$</w:t>
            </w:r>
            <w:r w:rsidR="003E2FBE">
              <w:rPr>
                <w:rFonts w:cs="Arial"/>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szCs w:val="20"/>
              </w:rPr>
              <w:t>$</w:t>
            </w:r>
            <w:r w:rsidR="003E2FBE">
              <w:rPr>
                <w:rFonts w:cs="Arial"/>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szCs w:val="20"/>
              </w:rPr>
              <w:t>$</w:t>
            </w:r>
            <w:r w:rsidR="003E2FBE">
              <w:rPr>
                <w:rFonts w:cs="Arial"/>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szCs w:val="20"/>
              </w:rPr>
              <w:t>$</w:t>
            </w:r>
            <w:r w:rsidR="003E2FBE">
              <w:rPr>
                <w:rFonts w:cs="Arial"/>
                <w:noProof/>
                <w:color w:val="000000"/>
                <w:szCs w:val="20"/>
                <w:highlight w:val="black"/>
              </w:rPr>
              <w:t>'''''''''''''''''''''''</w:t>
            </w:r>
          </w:p>
        </w:tc>
        <w:tc>
          <w:tcPr>
            <w:tcW w:w="651" w:type="pct"/>
          </w:tcPr>
          <w:p w:rsidR="00A6518E" w:rsidRPr="0041132C" w:rsidRDefault="00A6518E" w:rsidP="00353DCC">
            <w:pPr>
              <w:pStyle w:val="TableText"/>
              <w:spacing w:after="0"/>
              <w:rPr>
                <w:bCs/>
                <w:i/>
                <w:szCs w:val="20"/>
              </w:rPr>
            </w:pPr>
            <w:r w:rsidRPr="0041132C">
              <w:rPr>
                <w:rFonts w:cs="Arial"/>
                <w:szCs w:val="20"/>
              </w:rPr>
              <w:t>$</w:t>
            </w:r>
            <w:r w:rsidR="003E2FBE">
              <w:rPr>
                <w:rFonts w:cs="Arial"/>
                <w:noProof/>
                <w:color w:val="000000"/>
                <w:szCs w:val="20"/>
                <w:highlight w:val="black"/>
              </w:rPr>
              <w:t>'''''''''''''''''''''''''''</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sz w:val="19"/>
                <w:szCs w:val="19"/>
              </w:rPr>
            </w:pPr>
            <w:r w:rsidRPr="005348DF">
              <w:rPr>
                <w:sz w:val="19"/>
                <w:szCs w:val="19"/>
              </w:rPr>
              <w:t>Co-payments</w:t>
            </w:r>
            <w:r w:rsidRPr="005348DF">
              <w:rPr>
                <w:sz w:val="19"/>
                <w:szCs w:val="19"/>
                <w:vertAlign w:val="superscript"/>
              </w:rPr>
              <w:t>b</w:t>
            </w:r>
          </w:p>
        </w:tc>
        <w:tc>
          <w:tcPr>
            <w:tcW w:w="642" w:type="pct"/>
            <w:shd w:val="clear" w:color="auto" w:fill="auto"/>
          </w:tcPr>
          <w:p w:rsidR="00A6518E" w:rsidRPr="005348DF" w:rsidRDefault="00A6518E" w:rsidP="00353DCC">
            <w:pPr>
              <w:pStyle w:val="TableText"/>
              <w:spacing w:after="0"/>
              <w:rPr>
                <w:bCs/>
                <w:i/>
              </w:rPr>
            </w:pPr>
            <w:r w:rsidRPr="005348DF">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rPr>
            </w:pPr>
            <w:r w:rsidRPr="0041132C">
              <w:rPr>
                <w:rFonts w:cs="Arial"/>
                <w:bCs/>
                <w:i/>
                <w:szCs w:val="20"/>
              </w:rPr>
              <w:t>-$</w:t>
            </w:r>
            <w:r w:rsidR="003E2FBE">
              <w:rPr>
                <w:rFonts w:cs="Arial"/>
                <w:bCs/>
                <w:i/>
                <w:noProof/>
                <w:color w:val="000000"/>
                <w:szCs w:val="20"/>
                <w:highlight w:val="black"/>
              </w:rPr>
              <w:t>'''''''''''''''''</w:t>
            </w:r>
          </w:p>
        </w:tc>
        <w:tc>
          <w:tcPr>
            <w:tcW w:w="651" w:type="pct"/>
          </w:tcPr>
          <w:p w:rsidR="00A6518E" w:rsidRPr="0041132C" w:rsidRDefault="00A6518E" w:rsidP="00353DCC">
            <w:pPr>
              <w:pStyle w:val="TableText"/>
              <w:spacing w:after="0"/>
              <w:rPr>
                <w:bCs/>
                <w:i/>
              </w:rPr>
            </w:pPr>
            <w:r w:rsidRPr="0041132C">
              <w:rPr>
                <w:rFonts w:cs="Arial"/>
                <w:bCs/>
                <w:i/>
                <w:szCs w:val="20"/>
              </w:rPr>
              <w:t>-$</w:t>
            </w:r>
            <w:r w:rsidR="003E2FBE">
              <w:rPr>
                <w:rFonts w:cs="Arial"/>
                <w:bCs/>
                <w:i/>
                <w:noProof/>
                <w:color w:val="000000"/>
                <w:szCs w:val="20"/>
                <w:highlight w:val="black"/>
              </w:rPr>
              <w:t>''''''''''''''''''''</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sz w:val="19"/>
                <w:szCs w:val="19"/>
              </w:rPr>
            </w:pPr>
            <w:r w:rsidRPr="005348DF">
              <w:rPr>
                <w:sz w:val="19"/>
                <w:szCs w:val="19"/>
              </w:rPr>
              <w:t>Cost to PBS/RPBS</w:t>
            </w:r>
            <w:r w:rsidRPr="005348DF">
              <w:rPr>
                <w:sz w:val="19"/>
                <w:szCs w:val="19"/>
                <w:vertAlign w:val="superscript"/>
              </w:rPr>
              <w:t>b</w:t>
            </w:r>
            <w:r w:rsidRPr="005348DF">
              <w:rPr>
                <w:sz w:val="19"/>
                <w:szCs w:val="19"/>
              </w:rPr>
              <w:t xml:space="preserve"> less co-payments (rounded)</w:t>
            </w:r>
          </w:p>
        </w:tc>
        <w:tc>
          <w:tcPr>
            <w:tcW w:w="642" w:type="pct"/>
            <w:shd w:val="clear" w:color="auto" w:fill="auto"/>
          </w:tcPr>
          <w:p w:rsidR="00A6518E" w:rsidRPr="005348DF" w:rsidRDefault="00A6518E" w:rsidP="00353DCC">
            <w:pPr>
              <w:pStyle w:val="TableText"/>
              <w:spacing w:after="0"/>
              <w:rPr>
                <w:bCs/>
              </w:rPr>
            </w:pPr>
            <w:r w:rsidRPr="005348DF">
              <w:rPr>
                <w:rFonts w:cs="Arial"/>
                <w:bCs/>
                <w:szCs w:val="20"/>
              </w:rPr>
              <w:t>$</w:t>
            </w:r>
            <w:r w:rsidR="003E2FBE">
              <w:rPr>
                <w:rFonts w:cs="Arial"/>
                <w:bCs/>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rPr>
            </w:pPr>
            <w:r w:rsidRPr="0041132C">
              <w:rPr>
                <w:rFonts w:cs="Arial"/>
                <w:bCs/>
                <w:szCs w:val="20"/>
              </w:rPr>
              <w:t>$</w:t>
            </w:r>
            <w:r w:rsidR="003E2FBE">
              <w:rPr>
                <w:rFonts w:cs="Arial"/>
                <w:bCs/>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rPr>
            </w:pPr>
            <w:r w:rsidRPr="0041132C">
              <w:rPr>
                <w:rFonts w:cs="Arial"/>
                <w:bCs/>
                <w:szCs w:val="20"/>
              </w:rPr>
              <w:t>$</w:t>
            </w:r>
            <w:r w:rsidR="003E2FBE">
              <w:rPr>
                <w:rFonts w:cs="Arial"/>
                <w:bCs/>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rPr>
            </w:pPr>
            <w:r w:rsidRPr="0041132C">
              <w:rPr>
                <w:rFonts w:cs="Arial"/>
                <w:bCs/>
                <w:szCs w:val="20"/>
              </w:rPr>
              <w:t>$</w:t>
            </w:r>
            <w:r w:rsidR="003E2FBE">
              <w:rPr>
                <w:rFonts w:cs="Arial"/>
                <w:bCs/>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rPr>
            </w:pPr>
            <w:r w:rsidRPr="0041132C">
              <w:rPr>
                <w:rFonts w:cs="Arial"/>
                <w:bCs/>
                <w:szCs w:val="20"/>
              </w:rPr>
              <w:t>$</w:t>
            </w:r>
            <w:r w:rsidR="003E2FBE">
              <w:rPr>
                <w:rFonts w:cs="Arial"/>
                <w:bCs/>
                <w:noProof/>
                <w:color w:val="000000"/>
                <w:szCs w:val="20"/>
                <w:highlight w:val="black"/>
              </w:rPr>
              <w:t>'''''''''''''''''''''''''''</w:t>
            </w:r>
          </w:p>
        </w:tc>
        <w:tc>
          <w:tcPr>
            <w:tcW w:w="651" w:type="pct"/>
          </w:tcPr>
          <w:p w:rsidR="00A6518E" w:rsidRPr="0041132C" w:rsidRDefault="00A6518E" w:rsidP="00353DCC">
            <w:pPr>
              <w:pStyle w:val="TableText"/>
              <w:spacing w:after="0"/>
              <w:rPr>
                <w:bCs/>
              </w:rPr>
            </w:pPr>
            <w:r w:rsidRPr="0041132C">
              <w:rPr>
                <w:rFonts w:cs="Arial"/>
                <w:bCs/>
                <w:szCs w:val="20"/>
              </w:rPr>
              <w:t>$</w:t>
            </w:r>
            <w:r w:rsidR="003E2FBE">
              <w:rPr>
                <w:rFonts w:cs="Arial"/>
                <w:bCs/>
                <w:noProof/>
                <w:color w:val="000000"/>
                <w:szCs w:val="20"/>
                <w:highlight w:val="black"/>
              </w:rPr>
              <w:t>''''''''''''''''''''''''''''</w:t>
            </w:r>
          </w:p>
        </w:tc>
      </w:tr>
      <w:tr w:rsidR="00A6518E" w:rsidRPr="0041132C" w:rsidTr="000A7263">
        <w:tc>
          <w:tcPr>
            <w:tcW w:w="5000" w:type="pct"/>
            <w:gridSpan w:val="7"/>
            <w:shd w:val="clear" w:color="auto" w:fill="auto"/>
            <w:vAlign w:val="center"/>
          </w:tcPr>
          <w:p w:rsidR="00A6518E" w:rsidRPr="005348DF" w:rsidRDefault="00A6518E" w:rsidP="00353DCC">
            <w:pPr>
              <w:pStyle w:val="TableText"/>
              <w:spacing w:after="0"/>
              <w:rPr>
                <w:b/>
                <w:bCs/>
                <w:color w:val="000000"/>
              </w:rPr>
            </w:pPr>
            <w:r w:rsidRPr="005348DF">
              <w:rPr>
                <w:b/>
                <w:bCs/>
                <w:color w:val="000000"/>
              </w:rPr>
              <w:t>Net financial implications</w:t>
            </w:r>
            <w:r w:rsidRPr="005348DF">
              <w:rPr>
                <w:b/>
                <w:bCs/>
                <w:color w:val="4472C4" w:themeColor="accent5"/>
              </w:rPr>
              <w:t xml:space="preserve"> </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sz w:val="19"/>
                <w:szCs w:val="19"/>
              </w:rPr>
            </w:pPr>
            <w:r w:rsidRPr="005348DF">
              <w:rPr>
                <w:sz w:val="19"/>
                <w:szCs w:val="19"/>
              </w:rPr>
              <w:t>Net cost to PBS/RPBS (rounded) for listing of apremilast on PBS</w:t>
            </w:r>
          </w:p>
        </w:tc>
        <w:tc>
          <w:tcPr>
            <w:tcW w:w="642" w:type="pct"/>
            <w:shd w:val="clear" w:color="auto" w:fill="auto"/>
          </w:tcPr>
          <w:p w:rsidR="00A6518E" w:rsidRPr="005348DF" w:rsidRDefault="00A6518E" w:rsidP="00353DCC">
            <w:pPr>
              <w:pStyle w:val="TableText"/>
              <w:spacing w:after="0"/>
              <w:rPr>
                <w:b/>
                <w:bCs/>
                <w:i/>
                <w:szCs w:val="20"/>
              </w:rPr>
            </w:pPr>
            <w:r w:rsidRPr="005348DF">
              <w:rPr>
                <w:rFonts w:cs="Arial"/>
                <w:b/>
                <w:i/>
                <w:szCs w:val="20"/>
              </w:rPr>
              <w:t>$</w:t>
            </w:r>
            <w:r w:rsidR="003E2FBE">
              <w:rPr>
                <w:rFonts w:cs="Arial"/>
                <w:b/>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
                <w:bCs/>
                <w:i/>
                <w:szCs w:val="20"/>
              </w:rPr>
            </w:pPr>
            <w:r w:rsidRPr="0041132C">
              <w:rPr>
                <w:rFonts w:cs="Arial"/>
                <w:b/>
                <w:i/>
                <w:szCs w:val="20"/>
              </w:rPr>
              <w:t>$</w:t>
            </w:r>
            <w:r w:rsidR="003E2FBE">
              <w:rPr>
                <w:rFonts w:cs="Arial"/>
                <w:b/>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
                <w:bCs/>
                <w:i/>
                <w:szCs w:val="20"/>
              </w:rPr>
            </w:pPr>
            <w:r w:rsidRPr="0041132C">
              <w:rPr>
                <w:rFonts w:cs="Arial"/>
                <w:b/>
                <w:i/>
                <w:szCs w:val="20"/>
              </w:rPr>
              <w:t>$</w:t>
            </w:r>
            <w:r w:rsidR="003E2FBE">
              <w:rPr>
                <w:rFonts w:cs="Arial"/>
                <w:b/>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
                <w:bCs/>
                <w:i/>
                <w:szCs w:val="20"/>
              </w:rPr>
            </w:pPr>
            <w:r w:rsidRPr="0041132C">
              <w:rPr>
                <w:rFonts w:cs="Arial"/>
                <w:b/>
                <w:i/>
                <w:szCs w:val="20"/>
              </w:rPr>
              <w:t>$</w:t>
            </w:r>
            <w:r w:rsidR="003E2FBE">
              <w:rPr>
                <w:rFonts w:cs="Arial"/>
                <w:b/>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
                <w:bCs/>
                <w:i/>
                <w:szCs w:val="20"/>
              </w:rPr>
            </w:pPr>
            <w:r w:rsidRPr="0041132C">
              <w:rPr>
                <w:rFonts w:cs="Arial"/>
                <w:b/>
                <w:i/>
                <w:szCs w:val="20"/>
              </w:rPr>
              <w:t>$</w:t>
            </w:r>
            <w:r w:rsidR="003E2FBE">
              <w:rPr>
                <w:rFonts w:cs="Arial"/>
                <w:b/>
                <w:i/>
                <w:noProof/>
                <w:color w:val="000000"/>
                <w:szCs w:val="20"/>
                <w:highlight w:val="black"/>
              </w:rPr>
              <w:t>'''''''''''''''''''''''</w:t>
            </w:r>
          </w:p>
        </w:tc>
        <w:tc>
          <w:tcPr>
            <w:tcW w:w="651" w:type="pct"/>
          </w:tcPr>
          <w:p w:rsidR="00A6518E" w:rsidRPr="0041132C" w:rsidRDefault="00A6518E" w:rsidP="00353DCC">
            <w:pPr>
              <w:pStyle w:val="TableText"/>
              <w:spacing w:after="0"/>
              <w:rPr>
                <w:b/>
                <w:bCs/>
                <w:i/>
                <w:szCs w:val="20"/>
              </w:rPr>
            </w:pPr>
            <w:r w:rsidRPr="0041132C">
              <w:rPr>
                <w:rFonts w:cs="Arial"/>
                <w:b/>
                <w:i/>
                <w:szCs w:val="20"/>
              </w:rPr>
              <w:t>$</w:t>
            </w:r>
            <w:r w:rsidR="003E2FBE">
              <w:rPr>
                <w:rFonts w:cs="Arial"/>
                <w:b/>
                <w:i/>
                <w:noProof/>
                <w:color w:val="000000"/>
                <w:szCs w:val="20"/>
                <w:highlight w:val="black"/>
              </w:rPr>
              <w:t>'''''''''''''''''''''</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rFonts w:ascii="Times" w:eastAsia="Times New Roman" w:hAnsi="Times" w:cs="Times New Roman"/>
              </w:rPr>
            </w:pPr>
            <w:r w:rsidRPr="005348DF">
              <w:rPr>
                <w:sz w:val="19"/>
                <w:szCs w:val="19"/>
              </w:rPr>
              <w:t>Net cost to MBS</w:t>
            </w:r>
          </w:p>
        </w:tc>
        <w:tc>
          <w:tcPr>
            <w:tcW w:w="642" w:type="pct"/>
            <w:shd w:val="clear" w:color="auto" w:fill="auto"/>
          </w:tcPr>
          <w:p w:rsidR="00A6518E" w:rsidRPr="005348DF" w:rsidRDefault="00A6518E" w:rsidP="00353DCC">
            <w:pPr>
              <w:pStyle w:val="TableText"/>
              <w:spacing w:after="0"/>
              <w:rPr>
                <w:bCs/>
                <w:i/>
                <w:szCs w:val="20"/>
              </w:rPr>
            </w:pPr>
            <w:r w:rsidRPr="005348DF">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51" w:type="pct"/>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r>
      <w:tr w:rsidR="00A6518E" w:rsidRPr="0041132C" w:rsidTr="000A7263">
        <w:tc>
          <w:tcPr>
            <w:tcW w:w="1111" w:type="pct"/>
            <w:shd w:val="clear" w:color="auto" w:fill="auto"/>
            <w:vAlign w:val="center"/>
          </w:tcPr>
          <w:p w:rsidR="00A6518E" w:rsidRPr="005348DF" w:rsidRDefault="00A6518E" w:rsidP="00353DCC">
            <w:pPr>
              <w:pStyle w:val="TableText"/>
              <w:spacing w:after="0"/>
              <w:rPr>
                <w:sz w:val="19"/>
                <w:szCs w:val="19"/>
              </w:rPr>
            </w:pPr>
            <w:r w:rsidRPr="005348DF">
              <w:rPr>
                <w:sz w:val="19"/>
                <w:szCs w:val="19"/>
              </w:rPr>
              <w:t>Net cost (rounded) to health budget</w:t>
            </w:r>
          </w:p>
        </w:tc>
        <w:tc>
          <w:tcPr>
            <w:tcW w:w="642" w:type="pct"/>
            <w:shd w:val="clear" w:color="auto" w:fill="auto"/>
          </w:tcPr>
          <w:p w:rsidR="00A6518E" w:rsidRPr="005348DF" w:rsidRDefault="00A6518E" w:rsidP="00353DCC">
            <w:pPr>
              <w:pStyle w:val="TableText"/>
              <w:spacing w:after="0"/>
              <w:rPr>
                <w:bCs/>
                <w:i/>
                <w:szCs w:val="20"/>
              </w:rPr>
            </w:pPr>
            <w:r w:rsidRPr="005348DF">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49" w:type="pct"/>
            <w:shd w:val="clear" w:color="auto" w:fill="auto"/>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c>
          <w:tcPr>
            <w:tcW w:w="651" w:type="pct"/>
          </w:tcPr>
          <w:p w:rsidR="00A6518E" w:rsidRPr="0041132C" w:rsidRDefault="00A6518E" w:rsidP="00353DCC">
            <w:pPr>
              <w:pStyle w:val="TableText"/>
              <w:spacing w:after="0"/>
              <w:rPr>
                <w:bCs/>
                <w:i/>
                <w:szCs w:val="20"/>
              </w:rPr>
            </w:pPr>
            <w:r w:rsidRPr="0041132C">
              <w:rPr>
                <w:rFonts w:cs="Arial"/>
                <w:bCs/>
                <w:i/>
                <w:szCs w:val="20"/>
              </w:rPr>
              <w:t>$</w:t>
            </w:r>
            <w:r w:rsidR="003E2FBE">
              <w:rPr>
                <w:rFonts w:cs="Arial"/>
                <w:bCs/>
                <w:i/>
                <w:noProof/>
                <w:color w:val="000000"/>
                <w:szCs w:val="20"/>
                <w:highlight w:val="black"/>
              </w:rPr>
              <w:t>'''''''''''''''''''''''''</w:t>
            </w:r>
          </w:p>
        </w:tc>
      </w:tr>
    </w:tbl>
    <w:p w:rsidR="00A6518E" w:rsidRPr="0041132C" w:rsidRDefault="00A6518E" w:rsidP="00353DCC">
      <w:pPr>
        <w:pStyle w:val="TableFooter"/>
        <w:spacing w:after="0"/>
        <w:rPr>
          <w:vertAlign w:val="superscript"/>
        </w:rPr>
      </w:pPr>
      <w:r w:rsidRPr="005348DF">
        <w:t>Source: Table 4.3.1 of the re</w:t>
      </w:r>
      <w:r w:rsidRPr="0021253F">
        <w:t>submission/Excel workbook</w:t>
      </w:r>
      <w:r w:rsidRPr="0041132C">
        <w:t xml:space="preserve"> and </w:t>
      </w:r>
      <w:r w:rsidRPr="0041132C">
        <w:rPr>
          <w:i/>
        </w:rPr>
        <w:t>calculated during the evaluation</w:t>
      </w:r>
      <w:r w:rsidRPr="0041132C">
        <w:rPr>
          <w:vertAlign w:val="superscript"/>
        </w:rPr>
        <w:t xml:space="preserve"> </w:t>
      </w:r>
    </w:p>
    <w:p w:rsidR="00A6518E" w:rsidRPr="0041132C" w:rsidRDefault="00A6518E" w:rsidP="00353DCC">
      <w:pPr>
        <w:pStyle w:val="TableFooter"/>
        <w:spacing w:after="0"/>
        <w:rPr>
          <w:vertAlign w:val="superscript"/>
        </w:rPr>
      </w:pPr>
      <w:r w:rsidRPr="0041132C">
        <w:t>MBS = Medicare Benefits Schedule; PBS = Pharmaceutical Benefits Scheme; RPBS = Repatriation Pharmaceutical Benefits Scheme</w:t>
      </w:r>
    </w:p>
    <w:p w:rsidR="00A6518E" w:rsidRDefault="00A6518E" w:rsidP="00353DCC">
      <w:pPr>
        <w:pStyle w:val="TableFooter"/>
        <w:spacing w:after="0"/>
        <w:rPr>
          <w:szCs w:val="18"/>
        </w:rPr>
      </w:pPr>
      <w:r w:rsidRPr="0041132C">
        <w:rPr>
          <w:vertAlign w:val="superscript"/>
        </w:rPr>
        <w:t>a</w:t>
      </w:r>
      <w:r w:rsidRPr="0041132C">
        <w:t xml:space="preserve">  = includes titration and standard packs of apremilast; </w:t>
      </w:r>
      <w:r w:rsidRPr="0041132C">
        <w:rPr>
          <w:sz w:val="19"/>
          <w:szCs w:val="19"/>
          <w:vertAlign w:val="superscript"/>
        </w:rPr>
        <w:t xml:space="preserve">b </w:t>
      </w:r>
      <w:r w:rsidRPr="0041132C">
        <w:rPr>
          <w:sz w:val="19"/>
          <w:szCs w:val="19"/>
        </w:rPr>
        <w:t xml:space="preserve">= for cyclosporin, acitretin, </w:t>
      </w:r>
      <w:r w:rsidRPr="0041132C">
        <w:rPr>
          <w:szCs w:val="18"/>
        </w:rPr>
        <w:t xml:space="preserve">ustekinumab and secukinumab </w:t>
      </w:r>
    </w:p>
    <w:p w:rsidR="005F48FE" w:rsidRDefault="005F48FE" w:rsidP="00353DCC">
      <w:pPr>
        <w:pStyle w:val="TableFooter"/>
        <w:spacing w:after="0"/>
        <w:rPr>
          <w:szCs w:val="18"/>
        </w:rPr>
      </w:pPr>
    </w:p>
    <w:p w:rsidR="00A6518E" w:rsidRPr="005F48FE" w:rsidRDefault="005F48FE" w:rsidP="005F48FE">
      <w:pPr>
        <w:jc w:val="both"/>
        <w:rPr>
          <w:rFonts w:cs="Arial"/>
          <w:szCs w:val="24"/>
        </w:rPr>
      </w:pPr>
      <w:r w:rsidRPr="005F48FE">
        <w:rPr>
          <w:rFonts w:cs="Arial"/>
          <w:szCs w:val="24"/>
        </w:rPr>
        <w:t xml:space="preserve">The redacted table shows that at year 5, the estimated number of patients was </w:t>
      </w:r>
      <w:r>
        <w:rPr>
          <w:rFonts w:cs="Arial"/>
          <w:szCs w:val="24"/>
        </w:rPr>
        <w:t>less than 10,000 per year</w:t>
      </w:r>
      <w:r w:rsidRPr="005F48FE">
        <w:rPr>
          <w:rFonts w:cs="Arial"/>
          <w:szCs w:val="24"/>
        </w:rPr>
        <w:t xml:space="preserve"> and the net cost to the PBS would be</w:t>
      </w:r>
      <w:r>
        <w:rPr>
          <w:rFonts w:cs="Arial"/>
          <w:szCs w:val="24"/>
        </w:rPr>
        <w:t xml:space="preserve"> </w:t>
      </w:r>
      <w:r w:rsidRPr="00AA338D">
        <w:rPr>
          <w:rFonts w:cs="Times New Roman"/>
          <w:szCs w:val="24"/>
        </w:rPr>
        <w:t>$30 – $60 million per year</w:t>
      </w:r>
      <w:r>
        <w:rPr>
          <w:rFonts w:cs="Times New Roman"/>
          <w:szCs w:val="24"/>
        </w:rPr>
        <w:t xml:space="preserve">. </w:t>
      </w:r>
    </w:p>
    <w:p w:rsidR="000C254F" w:rsidRPr="0041132C" w:rsidRDefault="00A6518E" w:rsidP="005348DF">
      <w:pPr>
        <w:pStyle w:val="ListParagraph"/>
        <w:numPr>
          <w:ilvl w:val="1"/>
          <w:numId w:val="3"/>
        </w:numPr>
        <w:spacing w:before="0" w:after="120"/>
        <w:jc w:val="both"/>
      </w:pPr>
      <w:r w:rsidRPr="0041132C">
        <w:t>The cost of listing apremilast on the PBS/RPBS was estimated</w:t>
      </w:r>
      <w:r w:rsidR="000C254F" w:rsidRPr="0041132C">
        <w:t xml:space="preserve"> by the submission</w:t>
      </w:r>
      <w:r w:rsidRPr="0041132C">
        <w:t xml:space="preserve"> to be approximately </w:t>
      </w:r>
      <w:r w:rsidR="00487F5B" w:rsidRPr="00AA338D">
        <w:rPr>
          <w:rFonts w:cs="Times New Roman"/>
          <w:szCs w:val="24"/>
        </w:rPr>
        <w:t>less than $10 million per year</w:t>
      </w:r>
      <w:r w:rsidR="00487F5B" w:rsidRPr="0041132C" w:rsidDel="00487F5B">
        <w:t xml:space="preserve"> </w:t>
      </w:r>
      <w:r w:rsidRPr="0041132C">
        <w:t xml:space="preserve">in Year 1, </w:t>
      </w:r>
      <w:r w:rsidR="00487F5B" w:rsidRPr="00AA338D">
        <w:rPr>
          <w:rFonts w:cs="Times New Roman"/>
          <w:szCs w:val="24"/>
        </w:rPr>
        <w:t>$30 – $60 million per year</w:t>
      </w:r>
      <w:r w:rsidRPr="0041132C">
        <w:t xml:space="preserve"> in Year 6 and to total </w:t>
      </w:r>
      <w:r w:rsidR="00487F5B" w:rsidRPr="00AA338D">
        <w:rPr>
          <w:rFonts w:cs="Times New Roman"/>
          <w:szCs w:val="24"/>
        </w:rPr>
        <w:t>more than $100 million</w:t>
      </w:r>
      <w:r w:rsidRPr="0041132C">
        <w:t xml:space="preserve"> over the first six years. </w:t>
      </w:r>
    </w:p>
    <w:p w:rsidR="00A6518E" w:rsidRPr="0041132C" w:rsidRDefault="000C254F" w:rsidP="005348DF">
      <w:pPr>
        <w:pStyle w:val="ListParagraph"/>
        <w:numPr>
          <w:ilvl w:val="1"/>
          <w:numId w:val="3"/>
        </w:numPr>
        <w:spacing w:before="0" w:after="120"/>
        <w:jc w:val="both"/>
      </w:pPr>
      <w:r w:rsidRPr="0041132C">
        <w:t xml:space="preserve">The </w:t>
      </w:r>
      <w:r w:rsidR="00FD3FB3" w:rsidRPr="0041132C">
        <w:t>DUSC considered that t</w:t>
      </w:r>
      <w:r w:rsidR="00A6518E" w:rsidRPr="0041132C">
        <w:t xml:space="preserve">he actual cost of apremilast to the PBS/RPBS could potentially vary from the estimates provided in the resubmission </w:t>
      </w:r>
      <w:r w:rsidR="00FD3FB3" w:rsidRPr="0041132C">
        <w:t>as</w:t>
      </w:r>
      <w:r w:rsidR="00A6518E" w:rsidRPr="0041132C">
        <w:t xml:space="preserve">: </w:t>
      </w:r>
    </w:p>
    <w:p w:rsidR="00C60085" w:rsidRDefault="00C60085" w:rsidP="00C60085">
      <w:pPr>
        <w:pStyle w:val="ListParagraph"/>
        <w:numPr>
          <w:ilvl w:val="0"/>
          <w:numId w:val="10"/>
        </w:numPr>
        <w:spacing w:after="120"/>
        <w:jc w:val="both"/>
      </w:pPr>
      <w:r>
        <w:t xml:space="preserve">the proposed restriction does not clearly define the eligible patient population and is open to clinical interpretation. </w:t>
      </w:r>
    </w:p>
    <w:p w:rsidR="00C60085" w:rsidRDefault="005E2842" w:rsidP="003C0D6F">
      <w:pPr>
        <w:pStyle w:val="ListParagraph"/>
        <w:numPr>
          <w:ilvl w:val="0"/>
          <w:numId w:val="10"/>
        </w:numPr>
        <w:spacing w:after="120"/>
        <w:jc w:val="both"/>
      </w:pPr>
      <w:r>
        <w:t>t</w:t>
      </w:r>
      <w:r w:rsidR="00C60085">
        <w:t>he size of the eligible population is uncertain and likely to be underestimated</w:t>
      </w:r>
      <w:r>
        <w:t xml:space="preserve">. </w:t>
      </w:r>
      <w:r w:rsidR="00C60085">
        <w:t>Derivation of the eligible treated population relies heavily on a survey of dermatologists</w:t>
      </w:r>
      <w:r w:rsidRPr="0041132C">
        <w:t xml:space="preserve"> which may have a high risk of bias and not be representative of all dermatologists</w:t>
      </w:r>
      <w:r w:rsidR="00C60085">
        <w:t xml:space="preserve">.  </w:t>
      </w:r>
      <w:r w:rsidR="003C0D6F" w:rsidRPr="003C0D6F">
        <w:t xml:space="preserve">The </w:t>
      </w:r>
      <w:r w:rsidR="003C0D6F">
        <w:t xml:space="preserve">pre-PBAC response contends that as the </w:t>
      </w:r>
      <w:r w:rsidR="003C0D6F" w:rsidRPr="003C0D6F">
        <w:t xml:space="preserve">results were derived from 37 clinicians whom together see ~18,500 patients per month </w:t>
      </w:r>
      <w:r w:rsidR="003C0D6F">
        <w:t xml:space="preserve">that these are </w:t>
      </w:r>
      <w:r w:rsidR="003C0D6F" w:rsidRPr="003C0D6F">
        <w:t>accurate averages for a diverse range of clinicians.</w:t>
      </w:r>
    </w:p>
    <w:p w:rsidR="00C60085" w:rsidRDefault="005E2842" w:rsidP="005E2842">
      <w:pPr>
        <w:pStyle w:val="ListParagraph"/>
        <w:numPr>
          <w:ilvl w:val="0"/>
          <w:numId w:val="10"/>
        </w:numPr>
        <w:spacing w:after="120"/>
        <w:jc w:val="both"/>
      </w:pPr>
      <w:r>
        <w:t>t</w:t>
      </w:r>
      <w:r w:rsidR="00C60085">
        <w:t>he proportion of eligible prevalent patients treated by a dermatologist is underestimated</w:t>
      </w:r>
      <w:r>
        <w:t>. Further, a</w:t>
      </w:r>
      <w:r w:rsidR="00C60085">
        <w:t xml:space="preserve"> possible increase in the proportion of moderate to severe plaque psoriasis patients seeing a dermatologist once apremilast is available has not been accounted for.</w:t>
      </w:r>
    </w:p>
    <w:p w:rsidR="005E2842" w:rsidRDefault="005E2842" w:rsidP="003C0D6F">
      <w:pPr>
        <w:pStyle w:val="ListParagraph"/>
        <w:numPr>
          <w:ilvl w:val="0"/>
          <w:numId w:val="10"/>
        </w:numPr>
        <w:spacing w:after="120"/>
        <w:jc w:val="both"/>
      </w:pPr>
      <w:r>
        <w:t xml:space="preserve">the uptake </w:t>
      </w:r>
      <w:r w:rsidR="00C60085">
        <w:t>rate of apremilast</w:t>
      </w:r>
      <w:r>
        <w:t xml:space="preserve"> is underestimated</w:t>
      </w:r>
      <w:r w:rsidR="00C60085">
        <w:t>. The submission estimate</w:t>
      </w:r>
      <w:r>
        <w:t>d</w:t>
      </w:r>
      <w:r w:rsidR="00C60085">
        <w:t xml:space="preserve"> an uptake of </w:t>
      </w:r>
      <w:r w:rsidR="003E2FBE">
        <w:rPr>
          <w:noProof/>
          <w:color w:val="000000"/>
          <w:highlight w:val="black"/>
        </w:rPr>
        <w:t>'''''</w:t>
      </w:r>
      <w:r w:rsidR="00C60085">
        <w:t xml:space="preserve">% in Year 1 increasing to </w:t>
      </w:r>
      <w:r w:rsidR="003E2FBE">
        <w:rPr>
          <w:noProof/>
          <w:color w:val="000000"/>
          <w:highlight w:val="black"/>
        </w:rPr>
        <w:t>''''''</w:t>
      </w:r>
      <w:r w:rsidR="00C60085">
        <w:t>% in Year 6</w:t>
      </w:r>
      <w:r>
        <w:t>.</w:t>
      </w:r>
      <w:r w:rsidR="00C60085">
        <w:t xml:space="preserve"> </w:t>
      </w:r>
      <w:r w:rsidR="003C0D6F">
        <w:t>The pre-PBAC response reiterates that the</w:t>
      </w:r>
      <w:r w:rsidR="003C0D6F" w:rsidRPr="003C0D6F">
        <w:t xml:space="preserve"> estimated numbers of patients treated with apremilast is comparable to overseas markets where apremilast has been available for several years</w:t>
      </w:r>
      <w:r w:rsidR="003C0D6F">
        <w:t>.</w:t>
      </w:r>
    </w:p>
    <w:p w:rsidR="00A6518E" w:rsidRPr="0041132C" w:rsidRDefault="005E2842" w:rsidP="005E2842">
      <w:pPr>
        <w:pStyle w:val="ListParagraph"/>
        <w:numPr>
          <w:ilvl w:val="0"/>
          <w:numId w:val="10"/>
        </w:numPr>
        <w:spacing w:after="120"/>
        <w:jc w:val="both"/>
      </w:pPr>
      <w:r>
        <w:t>t</w:t>
      </w:r>
      <w:r w:rsidRPr="005E2842">
        <w:t>he methods and calculations used to quantify the cost of medicines displaced by apremilast were unclear and cannot be relied on to determine the net financial impact to the PBS arising from the listing of apremilast.</w:t>
      </w:r>
      <w:r w:rsidR="00A6518E" w:rsidRPr="0041132C">
        <w:t xml:space="preserve"> </w:t>
      </w:r>
    </w:p>
    <w:p w:rsidR="00F17D6D" w:rsidRPr="005348DF" w:rsidRDefault="00F17D6D" w:rsidP="005348DF">
      <w:pPr>
        <w:pStyle w:val="ListParagraph"/>
        <w:numPr>
          <w:ilvl w:val="1"/>
          <w:numId w:val="3"/>
        </w:numPr>
        <w:spacing w:before="0" w:after="120"/>
        <w:jc w:val="both"/>
      </w:pPr>
      <w:r w:rsidRPr="005348DF">
        <w:t>The pre-PBAC response (p.3) presented a sensitivity analys</w:t>
      </w:r>
      <w:r w:rsidR="003C0D6F">
        <w:t>e</w:t>
      </w:r>
      <w:r w:rsidRPr="005348DF">
        <w:t xml:space="preserve">s </w:t>
      </w:r>
      <w:r w:rsidR="003C0D6F">
        <w:t>to address the</w:t>
      </w:r>
      <w:r w:rsidRPr="005348DF">
        <w:t xml:space="preserve"> DUSC </w:t>
      </w:r>
      <w:r w:rsidR="003C0D6F">
        <w:t>concerns</w:t>
      </w:r>
      <w:r w:rsidR="003C0D6F" w:rsidRPr="005348DF">
        <w:t xml:space="preserve"> </w:t>
      </w:r>
      <w:r w:rsidRPr="005348DF">
        <w:t xml:space="preserve">outlined above. The results are presented in the table below. </w:t>
      </w:r>
    </w:p>
    <w:p w:rsidR="00F17D6D" w:rsidRPr="0041132C" w:rsidRDefault="00F17D6D" w:rsidP="005348DF">
      <w:pPr>
        <w:pStyle w:val="ListParagraph"/>
        <w:spacing w:before="0" w:after="120"/>
        <w:ind w:left="0"/>
        <w:jc w:val="both"/>
      </w:pPr>
      <w:r w:rsidRPr="0041132C">
        <w:rPr>
          <w:rFonts w:ascii="Arial Narrow" w:hAnsi="Arial Narrow"/>
          <w:b/>
          <w:sz w:val="20"/>
        </w:rPr>
        <w:t>Table 1</w:t>
      </w:r>
      <w:r w:rsidR="0009198B" w:rsidRPr="0041132C">
        <w:rPr>
          <w:rFonts w:ascii="Arial Narrow" w:hAnsi="Arial Narrow"/>
          <w:b/>
          <w:sz w:val="20"/>
        </w:rPr>
        <w:t>9</w:t>
      </w:r>
      <w:r w:rsidRPr="0041132C">
        <w:rPr>
          <w:rFonts w:ascii="Arial Narrow" w:hAnsi="Arial Narrow"/>
          <w:b/>
          <w:sz w:val="20"/>
        </w:rPr>
        <w:t>: Estimated use and financial implications of apremilast listing on the PBS/RPBS</w:t>
      </w:r>
    </w:p>
    <w:tbl>
      <w:tblPr>
        <w:tblStyle w:val="TableGrid"/>
        <w:tblW w:w="4942" w:type="pct"/>
        <w:tblInd w:w="108" w:type="dxa"/>
        <w:tblLook w:val="04A0" w:firstRow="1" w:lastRow="0" w:firstColumn="1" w:lastColumn="0" w:noHBand="0" w:noVBand="1"/>
        <w:tblCaption w:val="Table 19: Estimated use and financial implications of apremilast listing on the PBS/RPBS"/>
      </w:tblPr>
      <w:tblGrid>
        <w:gridCol w:w="2266"/>
        <w:gridCol w:w="1144"/>
        <w:gridCol w:w="1144"/>
        <w:gridCol w:w="1144"/>
        <w:gridCol w:w="1144"/>
        <w:gridCol w:w="1144"/>
        <w:gridCol w:w="1149"/>
      </w:tblGrid>
      <w:tr w:rsidR="00F17D6D" w:rsidRPr="0041132C" w:rsidTr="001F4726">
        <w:trPr>
          <w:cnfStyle w:val="100000000000" w:firstRow="1" w:lastRow="0" w:firstColumn="0" w:lastColumn="0" w:oddVBand="0" w:evenVBand="0" w:oddHBand="0" w:evenHBand="0" w:firstRowFirstColumn="0" w:firstRowLastColumn="0" w:lastRowFirstColumn="0" w:lastRowLastColumn="0"/>
          <w:tblHeader/>
        </w:trPr>
        <w:tc>
          <w:tcPr>
            <w:tcW w:w="1241" w:type="pct"/>
            <w:shd w:val="clear" w:color="auto" w:fill="auto"/>
          </w:tcPr>
          <w:p w:rsidR="00F17D6D" w:rsidRPr="0041132C" w:rsidRDefault="00F17D6D" w:rsidP="00353DCC">
            <w:pPr>
              <w:spacing w:before="100" w:beforeAutospacing="1"/>
              <w:jc w:val="both"/>
              <w:rPr>
                <w:rFonts w:ascii="Arial Narrow" w:hAnsi="Arial Narrow"/>
                <w:b w:val="0"/>
                <w:sz w:val="20"/>
                <w:szCs w:val="20"/>
              </w:rPr>
            </w:pPr>
          </w:p>
        </w:tc>
        <w:tc>
          <w:tcPr>
            <w:tcW w:w="626" w:type="pct"/>
            <w:shd w:val="clear" w:color="auto" w:fill="auto"/>
          </w:tcPr>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Year 1</w:t>
            </w:r>
          </w:p>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(2018)</w:t>
            </w:r>
          </w:p>
        </w:tc>
        <w:tc>
          <w:tcPr>
            <w:tcW w:w="626" w:type="pct"/>
            <w:shd w:val="clear" w:color="auto" w:fill="auto"/>
          </w:tcPr>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Year 2</w:t>
            </w:r>
          </w:p>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(2019)</w:t>
            </w:r>
          </w:p>
        </w:tc>
        <w:tc>
          <w:tcPr>
            <w:tcW w:w="626" w:type="pct"/>
            <w:shd w:val="clear" w:color="auto" w:fill="auto"/>
          </w:tcPr>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Year 3</w:t>
            </w:r>
          </w:p>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(2020)</w:t>
            </w:r>
          </w:p>
        </w:tc>
        <w:tc>
          <w:tcPr>
            <w:tcW w:w="626" w:type="pct"/>
            <w:shd w:val="clear" w:color="auto" w:fill="auto"/>
          </w:tcPr>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Year 4</w:t>
            </w:r>
          </w:p>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(2021)</w:t>
            </w:r>
          </w:p>
        </w:tc>
        <w:tc>
          <w:tcPr>
            <w:tcW w:w="626" w:type="pct"/>
            <w:shd w:val="clear" w:color="auto" w:fill="auto"/>
          </w:tcPr>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Year 5</w:t>
            </w:r>
          </w:p>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(2022)</w:t>
            </w:r>
          </w:p>
        </w:tc>
        <w:tc>
          <w:tcPr>
            <w:tcW w:w="628" w:type="pct"/>
            <w:shd w:val="clear" w:color="auto" w:fill="auto"/>
          </w:tcPr>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Year 6</w:t>
            </w:r>
          </w:p>
          <w:p w:rsidR="00F17D6D" w:rsidRPr="0041132C" w:rsidRDefault="00F17D6D" w:rsidP="00353DCC">
            <w:pPr>
              <w:spacing w:before="100" w:beforeAutospacing="1"/>
              <w:jc w:val="center"/>
              <w:rPr>
                <w:rFonts w:ascii="Arial Narrow" w:hAnsi="Arial Narrow"/>
                <w:b w:val="0"/>
                <w:sz w:val="20"/>
                <w:szCs w:val="20"/>
              </w:rPr>
            </w:pPr>
            <w:r w:rsidRPr="0041132C">
              <w:rPr>
                <w:rFonts w:ascii="Arial Narrow" w:hAnsi="Arial Narrow"/>
                <w:sz w:val="20"/>
                <w:szCs w:val="20"/>
              </w:rPr>
              <w:t>(2023)</w:t>
            </w:r>
          </w:p>
        </w:tc>
      </w:tr>
      <w:tr w:rsidR="00F17D6D" w:rsidRPr="0041132C" w:rsidTr="001F4726">
        <w:tc>
          <w:tcPr>
            <w:tcW w:w="5000" w:type="pct"/>
            <w:gridSpan w:val="7"/>
          </w:tcPr>
          <w:p w:rsidR="00F17D6D" w:rsidRPr="00353DCC" w:rsidRDefault="00F17D6D" w:rsidP="00180405">
            <w:pPr>
              <w:spacing w:before="100" w:beforeAutospacing="1"/>
              <w:jc w:val="both"/>
              <w:rPr>
                <w:rFonts w:ascii="Arial Narrow" w:hAnsi="Arial Narrow"/>
                <w:b/>
                <w:sz w:val="20"/>
                <w:szCs w:val="20"/>
              </w:rPr>
            </w:pPr>
            <w:r w:rsidRPr="00353DCC">
              <w:rPr>
                <w:rFonts w:ascii="Arial Narrow" w:hAnsi="Arial Narrow"/>
                <w:b/>
                <w:sz w:val="20"/>
                <w:szCs w:val="20"/>
              </w:rPr>
              <w:t>Base case (</w:t>
            </w:r>
            <w:r w:rsidR="00180405">
              <w:rPr>
                <w:rFonts w:ascii="Arial Narrow" w:hAnsi="Arial Narrow"/>
                <w:b/>
                <w:sz w:val="20"/>
                <w:szCs w:val="20"/>
              </w:rPr>
              <w:t>November</w:t>
            </w:r>
            <w:r w:rsidRPr="00353DCC">
              <w:rPr>
                <w:rFonts w:ascii="Arial Narrow" w:hAnsi="Arial Narrow"/>
                <w:b/>
                <w:sz w:val="20"/>
                <w:szCs w:val="20"/>
              </w:rPr>
              <w:t xml:space="preserve"> 2017 submission)</w:t>
            </w:r>
          </w:p>
        </w:tc>
      </w:tr>
      <w:tr w:rsidR="00F17D6D" w:rsidRPr="0041132C" w:rsidTr="001F4726">
        <w:tc>
          <w:tcPr>
            <w:tcW w:w="1241" w:type="pct"/>
          </w:tcPr>
          <w:p w:rsidR="00F17D6D" w:rsidRPr="0041132C" w:rsidRDefault="00F17D6D" w:rsidP="00353DCC">
            <w:pPr>
              <w:spacing w:before="100" w:beforeAutospacing="1"/>
              <w:jc w:val="both"/>
              <w:rPr>
                <w:rFonts w:ascii="Arial Narrow" w:hAnsi="Arial Narrow"/>
                <w:sz w:val="20"/>
                <w:szCs w:val="20"/>
              </w:rPr>
            </w:pPr>
            <w:r w:rsidRPr="0041132C">
              <w:rPr>
                <w:rFonts w:ascii="Arial Narrow" w:hAnsi="Arial Narrow"/>
                <w:sz w:val="20"/>
                <w:szCs w:val="20"/>
              </w:rPr>
              <w:t>Apremilast uptake</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7D6D" w:rsidRPr="0041132C" w:rsidTr="001F4726">
        <w:tc>
          <w:tcPr>
            <w:tcW w:w="1241" w:type="pct"/>
          </w:tcPr>
          <w:p w:rsidR="00F17D6D" w:rsidRPr="005348DF" w:rsidRDefault="00F17D6D" w:rsidP="00353DCC">
            <w:pPr>
              <w:spacing w:before="100" w:beforeAutospacing="1"/>
              <w:jc w:val="both"/>
              <w:rPr>
                <w:rFonts w:ascii="Arial Narrow" w:hAnsi="Arial Narrow"/>
                <w:sz w:val="20"/>
                <w:szCs w:val="20"/>
              </w:rPr>
            </w:pPr>
            <w:r w:rsidRPr="00353DCC">
              <w:rPr>
                <w:rFonts w:ascii="Arial Narrow" w:hAnsi="Arial Narrow"/>
                <w:sz w:val="20"/>
                <w:szCs w:val="20"/>
              </w:rPr>
              <w:t>Cost to PBS ($)</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7D6D" w:rsidRPr="0041132C" w:rsidTr="001F4726">
        <w:tc>
          <w:tcPr>
            <w:tcW w:w="1241" w:type="pct"/>
          </w:tcPr>
          <w:p w:rsidR="00F17D6D" w:rsidRPr="005348DF" w:rsidRDefault="00F17D6D" w:rsidP="00353DCC">
            <w:pPr>
              <w:spacing w:before="100" w:beforeAutospacing="1"/>
              <w:jc w:val="both"/>
              <w:rPr>
                <w:rFonts w:ascii="Arial Narrow" w:hAnsi="Arial Narrow"/>
                <w:sz w:val="20"/>
                <w:szCs w:val="20"/>
              </w:rPr>
            </w:pPr>
            <w:r w:rsidRPr="00353DCC">
              <w:rPr>
                <w:rFonts w:ascii="Arial Narrow" w:hAnsi="Arial Narrow"/>
                <w:sz w:val="20"/>
                <w:szCs w:val="20"/>
              </w:rPr>
              <w:t>Cost to RPBS ($)</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7D6D" w:rsidRPr="0041132C" w:rsidTr="001F4726">
        <w:tc>
          <w:tcPr>
            <w:tcW w:w="1241" w:type="pct"/>
          </w:tcPr>
          <w:p w:rsidR="00F17D6D" w:rsidRPr="005348DF" w:rsidRDefault="00F17D6D" w:rsidP="00353DCC">
            <w:pPr>
              <w:spacing w:before="100" w:beforeAutospacing="1"/>
              <w:jc w:val="both"/>
              <w:rPr>
                <w:rFonts w:ascii="Arial Narrow" w:hAnsi="Arial Narrow"/>
                <w:sz w:val="20"/>
                <w:szCs w:val="20"/>
              </w:rPr>
            </w:pPr>
            <w:r w:rsidRPr="00353DCC">
              <w:rPr>
                <w:rFonts w:ascii="Arial Narrow" w:hAnsi="Arial Narrow"/>
                <w:sz w:val="20"/>
                <w:szCs w:val="20"/>
              </w:rPr>
              <w:t>Net cost to PBS/RPBS ($)</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7D6D" w:rsidRPr="0041132C" w:rsidTr="001F4726">
        <w:tc>
          <w:tcPr>
            <w:tcW w:w="5000" w:type="pct"/>
            <w:gridSpan w:val="7"/>
          </w:tcPr>
          <w:p w:rsidR="00F17D6D" w:rsidRPr="00353DCC" w:rsidRDefault="00F17D6D" w:rsidP="00353DCC">
            <w:pPr>
              <w:spacing w:before="100" w:beforeAutospacing="1"/>
              <w:jc w:val="both"/>
              <w:rPr>
                <w:rFonts w:ascii="Arial Narrow" w:hAnsi="Arial Narrow"/>
                <w:b/>
                <w:sz w:val="20"/>
                <w:szCs w:val="20"/>
              </w:rPr>
            </w:pPr>
            <w:r w:rsidRPr="00353DCC">
              <w:rPr>
                <w:rFonts w:ascii="Arial Narrow" w:hAnsi="Arial Narrow"/>
                <w:b/>
                <w:sz w:val="20"/>
                <w:szCs w:val="20"/>
              </w:rPr>
              <w:t>Sensitivity analysis 3: DUSC assumptions</w:t>
            </w:r>
          </w:p>
        </w:tc>
      </w:tr>
      <w:tr w:rsidR="00F17D6D" w:rsidRPr="0041132C" w:rsidTr="001F4726">
        <w:tc>
          <w:tcPr>
            <w:tcW w:w="1241" w:type="pct"/>
          </w:tcPr>
          <w:p w:rsidR="00F17D6D" w:rsidRPr="0041132C" w:rsidRDefault="00F17D6D" w:rsidP="00353DCC">
            <w:pPr>
              <w:spacing w:before="100" w:beforeAutospacing="1"/>
              <w:jc w:val="both"/>
              <w:rPr>
                <w:rFonts w:ascii="Arial Narrow" w:hAnsi="Arial Narrow"/>
                <w:sz w:val="20"/>
                <w:szCs w:val="20"/>
              </w:rPr>
            </w:pPr>
            <w:r w:rsidRPr="0041132C">
              <w:rPr>
                <w:rFonts w:ascii="Arial Narrow" w:hAnsi="Arial Narrow"/>
                <w:sz w:val="20"/>
                <w:szCs w:val="20"/>
              </w:rPr>
              <w:t>Apremilast uptake</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7D6D" w:rsidRPr="0041132C" w:rsidTr="001F4726">
        <w:tc>
          <w:tcPr>
            <w:tcW w:w="1241" w:type="pct"/>
          </w:tcPr>
          <w:p w:rsidR="00F17D6D" w:rsidRPr="0041132C" w:rsidRDefault="00F17D6D" w:rsidP="00353DCC">
            <w:pPr>
              <w:spacing w:before="100" w:beforeAutospacing="1"/>
              <w:jc w:val="both"/>
              <w:rPr>
                <w:rFonts w:ascii="Arial Narrow" w:hAnsi="Arial Narrow"/>
                <w:sz w:val="20"/>
                <w:szCs w:val="20"/>
              </w:rPr>
            </w:pPr>
            <w:r w:rsidRPr="0041132C">
              <w:rPr>
                <w:rFonts w:ascii="Arial Narrow" w:hAnsi="Arial Narrow"/>
                <w:sz w:val="20"/>
                <w:szCs w:val="20"/>
              </w:rPr>
              <w:t>Cost to PBS ($)</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7D6D" w:rsidRPr="0041132C" w:rsidTr="001F4726">
        <w:tc>
          <w:tcPr>
            <w:tcW w:w="1241" w:type="pct"/>
          </w:tcPr>
          <w:p w:rsidR="00F17D6D" w:rsidRPr="0041132C" w:rsidRDefault="00F17D6D" w:rsidP="00353DCC">
            <w:pPr>
              <w:spacing w:before="100" w:beforeAutospacing="1"/>
              <w:jc w:val="both"/>
              <w:rPr>
                <w:rFonts w:ascii="Arial Narrow" w:hAnsi="Arial Narrow"/>
                <w:sz w:val="20"/>
                <w:szCs w:val="20"/>
              </w:rPr>
            </w:pPr>
            <w:r w:rsidRPr="0041132C">
              <w:rPr>
                <w:rFonts w:ascii="Arial Narrow" w:hAnsi="Arial Narrow"/>
                <w:sz w:val="20"/>
                <w:szCs w:val="20"/>
              </w:rPr>
              <w:t>Cost to RPBS ($)</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7D6D" w:rsidRPr="0041132C" w:rsidTr="001F4726">
        <w:tc>
          <w:tcPr>
            <w:tcW w:w="1241" w:type="pct"/>
          </w:tcPr>
          <w:p w:rsidR="00F17D6D" w:rsidRPr="0041132C" w:rsidRDefault="00F17D6D" w:rsidP="00353DCC">
            <w:pPr>
              <w:spacing w:before="100" w:beforeAutospacing="1"/>
              <w:jc w:val="both"/>
              <w:rPr>
                <w:rFonts w:ascii="Arial Narrow" w:hAnsi="Arial Narrow"/>
                <w:sz w:val="20"/>
                <w:szCs w:val="20"/>
              </w:rPr>
            </w:pPr>
            <w:r w:rsidRPr="0041132C">
              <w:rPr>
                <w:rFonts w:ascii="Arial Narrow" w:hAnsi="Arial Narrow"/>
                <w:sz w:val="20"/>
                <w:szCs w:val="20"/>
              </w:rPr>
              <w:t>Net cost to PBS/RPBS ($)</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8" w:type="pct"/>
            <w:vAlign w:val="center"/>
          </w:tcPr>
          <w:p w:rsidR="00F17D6D" w:rsidRPr="003E2FBE" w:rsidRDefault="003E2FBE" w:rsidP="00353DCC">
            <w:pPr>
              <w:spacing w:before="100" w:beforeAutospacing="1"/>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1F4726" w:rsidRDefault="001F4726" w:rsidP="001F4726">
      <w:bookmarkStart w:id="28" w:name="_Toc413139285"/>
      <w:bookmarkStart w:id="29" w:name="_Toc493165621"/>
    </w:p>
    <w:p w:rsidR="00C530C4" w:rsidRPr="00C530C4" w:rsidRDefault="00C530C4" w:rsidP="001F4726">
      <w:r w:rsidRPr="00C530C4">
        <w:t>The red</w:t>
      </w:r>
      <w:r>
        <w:t xml:space="preserve">acted table shows that at year </w:t>
      </w:r>
      <w:r w:rsidR="00B10BEE">
        <w:t>6</w:t>
      </w:r>
      <w:r w:rsidRPr="00C530C4">
        <w:t>, the estimated net cost to the PBS</w:t>
      </w:r>
      <w:r>
        <w:t xml:space="preserve"> for the base case (July 2017 submission)</w:t>
      </w:r>
      <w:r w:rsidRPr="00C530C4">
        <w:t xml:space="preserve"> would be $30 – $60 million per year</w:t>
      </w:r>
      <w:r>
        <w:t xml:space="preserve">. The </w:t>
      </w:r>
      <w:r w:rsidRPr="00C530C4">
        <w:t>estimated net cost to the PBS</w:t>
      </w:r>
      <w:r>
        <w:t xml:space="preserve"> for the sensitivity analysis (DUSC assumptions)</w:t>
      </w:r>
      <w:r w:rsidRPr="00C530C4">
        <w:t xml:space="preserve"> would be</w:t>
      </w:r>
      <w:r>
        <w:t xml:space="preserve"> </w:t>
      </w:r>
      <w:r w:rsidRPr="00C530C4">
        <w:t>$</w:t>
      </w:r>
      <w:r w:rsidR="00B10BEE">
        <w:t>6</w:t>
      </w:r>
      <w:r w:rsidRPr="00C530C4">
        <w:t>0 – $</w:t>
      </w:r>
      <w:r w:rsidR="00B10BEE">
        <w:t>10</w:t>
      </w:r>
      <w:r w:rsidRPr="00C530C4">
        <w:t>0 million per year</w:t>
      </w:r>
      <w:r>
        <w:t>.</w:t>
      </w:r>
    </w:p>
    <w:p w:rsidR="00A6518E" w:rsidRPr="005348DF" w:rsidRDefault="00A6518E" w:rsidP="005348DF">
      <w:pPr>
        <w:pStyle w:val="Heading2"/>
      </w:pPr>
      <w:r w:rsidRPr="005348DF">
        <w:t>Quality use of medicines</w:t>
      </w:r>
      <w:bookmarkEnd w:id="28"/>
      <w:bookmarkEnd w:id="29"/>
    </w:p>
    <w:p w:rsidR="00A6518E" w:rsidRPr="0041132C" w:rsidRDefault="00A6518E" w:rsidP="005348DF">
      <w:pPr>
        <w:pStyle w:val="ListParagraph"/>
        <w:numPr>
          <w:ilvl w:val="1"/>
          <w:numId w:val="3"/>
        </w:numPr>
        <w:spacing w:before="0" w:after="120"/>
        <w:jc w:val="both"/>
      </w:pPr>
      <w:r w:rsidRPr="0041132C">
        <w:t xml:space="preserve">No issues regarding the quality use of medicines were </w:t>
      </w:r>
      <w:r w:rsidR="000C254F" w:rsidRPr="0041132C">
        <w:t xml:space="preserve">identified </w:t>
      </w:r>
      <w:r w:rsidRPr="0041132C">
        <w:t>in the resubmission. A post-marketing surveillance study had not been proposed.</w:t>
      </w:r>
    </w:p>
    <w:p w:rsidR="00A6518E" w:rsidRPr="0041132C" w:rsidRDefault="00A6518E" w:rsidP="005348DF">
      <w:pPr>
        <w:pStyle w:val="Heading2"/>
      </w:pPr>
      <w:bookmarkStart w:id="30" w:name="_Toc413139286"/>
      <w:bookmarkStart w:id="31" w:name="_Toc493165622"/>
      <w:r w:rsidRPr="0041132C">
        <w:t>Financial management – risk sharing arrangements</w:t>
      </w:r>
      <w:bookmarkEnd w:id="30"/>
      <w:bookmarkEnd w:id="31"/>
    </w:p>
    <w:p w:rsidR="0009198B" w:rsidRPr="00353DCC" w:rsidRDefault="00A6518E" w:rsidP="005348DF">
      <w:pPr>
        <w:pStyle w:val="ListParagraph"/>
        <w:numPr>
          <w:ilvl w:val="1"/>
          <w:numId w:val="3"/>
        </w:numPr>
        <w:spacing w:before="0" w:after="120"/>
        <w:jc w:val="both"/>
        <w:rPr>
          <w:color w:val="4472C4" w:themeColor="accent5"/>
        </w:rPr>
      </w:pPr>
      <w:r w:rsidRPr="0041132C">
        <w:t xml:space="preserve">In the resubmission, a financial-based risk sharing arrangement (RSA) was </w:t>
      </w:r>
      <w:r w:rsidRPr="005348DF">
        <w:t xml:space="preserve">proposed to address the uncertainty surrounding the expected usage and overall financial impact of the proposed PBS listing of apremilast. </w:t>
      </w:r>
      <w:r w:rsidR="0009198B" w:rsidRPr="005348DF">
        <w:t xml:space="preserve">The submission </w:t>
      </w:r>
      <w:r w:rsidRPr="0041132C">
        <w:t xml:space="preserve">proposed that </w:t>
      </w:r>
      <w:r w:rsidR="003E2FBE">
        <w:rPr>
          <w:noProof/>
          <w:color w:val="000000"/>
          <w:highlight w:val="black"/>
        </w:rPr>
        <w:t>'''''</w:t>
      </w:r>
      <w:r w:rsidRPr="0041132C">
        <w:t>% of any expenditure over the estimated annual net cost to the PBS/RPBS would be reimbursed</w:t>
      </w:r>
      <w:r w:rsidR="000C254F" w:rsidRPr="0041132C">
        <w:t>.</w:t>
      </w:r>
      <w:r w:rsidRPr="0041132C">
        <w:t xml:space="preserve"> </w:t>
      </w:r>
    </w:p>
    <w:p w:rsidR="002467B7" w:rsidRPr="0041132C" w:rsidRDefault="00FD3FB3">
      <w:pPr>
        <w:pStyle w:val="ListParagraph"/>
        <w:numPr>
          <w:ilvl w:val="1"/>
          <w:numId w:val="3"/>
        </w:numPr>
        <w:spacing w:before="0" w:after="120"/>
        <w:jc w:val="both"/>
        <w:rPr>
          <w:color w:val="4472C4" w:themeColor="accent5"/>
        </w:rPr>
      </w:pPr>
      <w:r w:rsidRPr="005348DF">
        <w:t xml:space="preserve">Based on the uncertainty regarding the utilisation estimates, the PBAC </w:t>
      </w:r>
      <w:r w:rsidR="002467B7" w:rsidRPr="005348DF">
        <w:t>recommended</w:t>
      </w:r>
      <w:r w:rsidRPr="005348DF">
        <w:t xml:space="preserve"> that a tiered </w:t>
      </w:r>
      <w:r w:rsidR="006F31C3" w:rsidRPr="005348DF">
        <w:t xml:space="preserve">RSA based on </w:t>
      </w:r>
      <w:r w:rsidR="000C254F" w:rsidRPr="0041132C">
        <w:t xml:space="preserve">the </w:t>
      </w:r>
      <w:r w:rsidR="006F31C3" w:rsidRPr="0041132C">
        <w:t>patient</w:t>
      </w:r>
      <w:r w:rsidR="000C254F" w:rsidRPr="0041132C">
        <w:t xml:space="preserve"> </w:t>
      </w:r>
      <w:r w:rsidR="006F31C3" w:rsidRPr="0041132C">
        <w:t>numbers</w:t>
      </w:r>
      <w:r w:rsidR="000C254F" w:rsidRPr="0041132C">
        <w:t xml:space="preserve"> estimated by the submission</w:t>
      </w:r>
      <w:r w:rsidR="006F31C3" w:rsidRPr="0041132C">
        <w:t xml:space="preserve"> </w:t>
      </w:r>
      <w:r w:rsidR="000C254F" w:rsidRPr="0041132C">
        <w:t>be put in place</w:t>
      </w:r>
      <w:r w:rsidR="002467B7" w:rsidRPr="0041132C">
        <w:t xml:space="preserve"> if apremilast </w:t>
      </w:r>
      <w:r w:rsidR="00247286" w:rsidRPr="0041132C">
        <w:t>is</w:t>
      </w:r>
      <w:r w:rsidR="002467B7" w:rsidRPr="0041132C">
        <w:t xml:space="preserve"> listed on the PBS. The PBAC considered that this </w:t>
      </w:r>
      <w:r w:rsidR="00D131B4" w:rsidRPr="0041132C">
        <w:t>RSA</w:t>
      </w:r>
      <w:r w:rsidR="002467B7" w:rsidRPr="0041132C">
        <w:t xml:space="preserve"> should have three tiers as outlined below: </w:t>
      </w:r>
    </w:p>
    <w:p w:rsidR="00A6518E" w:rsidRPr="0041132C" w:rsidRDefault="002467B7" w:rsidP="00353DCC">
      <w:pPr>
        <w:pStyle w:val="ListParagraph"/>
        <w:numPr>
          <w:ilvl w:val="0"/>
          <w:numId w:val="10"/>
        </w:numPr>
        <w:spacing w:after="120"/>
        <w:jc w:val="both"/>
      </w:pPr>
      <w:r w:rsidRPr="0041132C">
        <w:t xml:space="preserve">Tier 1 – </w:t>
      </w:r>
      <w:r w:rsidR="006F31C3" w:rsidRPr="0041132C">
        <w:t>for</w:t>
      </w:r>
      <w:r w:rsidR="000C254F" w:rsidRPr="0041132C">
        <w:t xml:space="preserve"> expenditure relating to</w:t>
      </w:r>
      <w:r w:rsidR="006F31C3" w:rsidRPr="0041132C">
        <w:t xml:space="preserve"> patient numbers up to those estimated in the submission, the appropriate cost-effective price for apremilast </w:t>
      </w:r>
      <w:r w:rsidR="000C254F" w:rsidRPr="0041132C">
        <w:t xml:space="preserve">should </w:t>
      </w:r>
      <w:r w:rsidR="006F31C3" w:rsidRPr="0041132C">
        <w:t>apply.</w:t>
      </w:r>
    </w:p>
    <w:p w:rsidR="006F31C3" w:rsidRPr="005348DF" w:rsidRDefault="006F31C3" w:rsidP="00353DCC">
      <w:pPr>
        <w:pStyle w:val="ListParagraph"/>
        <w:numPr>
          <w:ilvl w:val="0"/>
          <w:numId w:val="10"/>
        </w:numPr>
        <w:spacing w:after="120"/>
        <w:jc w:val="both"/>
      </w:pPr>
      <w:r w:rsidRPr="0041132C">
        <w:t xml:space="preserve">Tier 2 – for </w:t>
      </w:r>
      <w:r w:rsidR="000C254F" w:rsidRPr="0041132C">
        <w:t xml:space="preserve">expenditure relating to </w:t>
      </w:r>
      <w:r w:rsidRPr="0041132C">
        <w:t xml:space="preserve">patient numbers above those estimated by the submission and up to those estimated </w:t>
      </w:r>
      <w:r w:rsidR="00C53DA7" w:rsidRPr="0041132C">
        <w:t xml:space="preserve">using the </w:t>
      </w:r>
      <w:r w:rsidRPr="0041132C">
        <w:t xml:space="preserve">DUSC </w:t>
      </w:r>
      <w:r w:rsidR="00C53DA7" w:rsidRPr="005348DF">
        <w:t>assumptions</w:t>
      </w:r>
      <w:r w:rsidR="00205D5D" w:rsidRPr="00205D5D">
        <w:t xml:space="preserve"> </w:t>
      </w:r>
      <w:r w:rsidR="00205D5D">
        <w:t>and the sponsor’s projected uptake rate</w:t>
      </w:r>
      <w:r w:rsidRPr="005348DF">
        <w:t xml:space="preserve">, the cyclosporin price </w:t>
      </w:r>
      <w:r w:rsidR="000C254F" w:rsidRPr="005348DF">
        <w:t xml:space="preserve">should </w:t>
      </w:r>
      <w:r w:rsidRPr="005348DF">
        <w:t>apply.</w:t>
      </w:r>
    </w:p>
    <w:p w:rsidR="006F31C3" w:rsidRPr="005348DF" w:rsidRDefault="006F31C3" w:rsidP="00353DCC">
      <w:pPr>
        <w:pStyle w:val="ListParagraph"/>
        <w:numPr>
          <w:ilvl w:val="0"/>
          <w:numId w:val="10"/>
        </w:numPr>
        <w:spacing w:after="120"/>
        <w:jc w:val="both"/>
      </w:pPr>
      <w:r w:rsidRPr="005348DF">
        <w:t>Tier 3 – a hard cap</w:t>
      </w:r>
      <w:r w:rsidR="00247286" w:rsidRPr="0041132C">
        <w:t xml:space="preserve"> should apply</w:t>
      </w:r>
      <w:r w:rsidR="00D131B4" w:rsidRPr="0041132C">
        <w:t>,</w:t>
      </w:r>
      <w:r w:rsidRPr="0041132C">
        <w:t xml:space="preserve"> with </w:t>
      </w:r>
      <w:r w:rsidR="003E2FBE">
        <w:rPr>
          <w:noProof/>
          <w:color w:val="000000"/>
          <w:highlight w:val="black"/>
        </w:rPr>
        <w:t>'''''''</w:t>
      </w:r>
      <w:r w:rsidRPr="0041132C">
        <w:t>% of Commonwealth expenditure above the annual caps reimbursed</w:t>
      </w:r>
      <w:r w:rsidR="00D131B4" w:rsidRPr="0041132C">
        <w:t>,</w:t>
      </w:r>
      <w:r w:rsidRPr="0041132C">
        <w:t xml:space="preserve"> for</w:t>
      </w:r>
      <w:r w:rsidR="000C254F" w:rsidRPr="0041132C">
        <w:t xml:space="preserve"> expenditure resulting from </w:t>
      </w:r>
      <w:r w:rsidRPr="0041132C">
        <w:t>patient numbers in excess of those in sensitivity analysis</w:t>
      </w:r>
      <w:r w:rsidR="003C0D6F">
        <w:t xml:space="preserve"> 3</w:t>
      </w:r>
      <w:r w:rsidR="00C53DA7" w:rsidRPr="0041132C">
        <w:t xml:space="preserve"> presented in the pre-PBAC Response based on DUSC assumptions</w:t>
      </w:r>
      <w:r w:rsidR="00205D5D">
        <w:t xml:space="preserve"> and the sponsor’s projected uptake rate</w:t>
      </w:r>
      <w:r w:rsidRPr="0041132C">
        <w:t xml:space="preserve">. </w:t>
      </w:r>
    </w:p>
    <w:p w:rsidR="00B55532" w:rsidRPr="0041132C" w:rsidRDefault="00B55532" w:rsidP="00353DCC">
      <w:pPr>
        <w:pStyle w:val="ListParagraph"/>
        <w:spacing w:after="120"/>
        <w:ind w:left="709"/>
        <w:jc w:val="both"/>
        <w:rPr>
          <w:i/>
        </w:rPr>
      </w:pPr>
      <w:r w:rsidRPr="005348DF">
        <w:rPr>
          <w:i/>
        </w:rPr>
        <w:t>For more detail on PBAC’s view, see section 7 PBAC outcome.</w:t>
      </w:r>
    </w:p>
    <w:p w:rsidR="00C25026" w:rsidRPr="0041132C" w:rsidRDefault="00C25026" w:rsidP="002E7E13">
      <w:pPr>
        <w:widowControl w:val="0"/>
        <w:numPr>
          <w:ilvl w:val="0"/>
          <w:numId w:val="3"/>
        </w:numPr>
        <w:spacing w:before="240" w:after="120"/>
        <w:jc w:val="both"/>
        <w:outlineLvl w:val="0"/>
        <w:rPr>
          <w:rFonts w:cs="Arial"/>
          <w:b/>
          <w:bCs/>
          <w:snapToGrid w:val="0"/>
          <w:sz w:val="32"/>
        </w:rPr>
      </w:pPr>
      <w:r w:rsidRPr="0041132C">
        <w:rPr>
          <w:rFonts w:cs="Arial"/>
          <w:b/>
          <w:bCs/>
          <w:snapToGrid w:val="0"/>
          <w:sz w:val="32"/>
        </w:rPr>
        <w:t>PBAC Outcome</w:t>
      </w:r>
    </w:p>
    <w:p w:rsidR="00602587" w:rsidRPr="0041132C" w:rsidRDefault="00602587" w:rsidP="005348DF">
      <w:pPr>
        <w:widowControl w:val="0"/>
        <w:numPr>
          <w:ilvl w:val="1"/>
          <w:numId w:val="3"/>
        </w:numPr>
        <w:spacing w:before="0" w:after="120"/>
        <w:jc w:val="both"/>
        <w:rPr>
          <w:rFonts w:cs="Arial"/>
          <w:bCs/>
          <w:snapToGrid w:val="0"/>
          <w:lang w:val="en-GB"/>
        </w:rPr>
      </w:pPr>
      <w:r w:rsidRPr="0041132C">
        <w:rPr>
          <w:rFonts w:cs="Arial"/>
          <w:bCs/>
          <w:snapToGrid w:val="0"/>
          <w:lang w:val="en-GB"/>
        </w:rPr>
        <w:t xml:space="preserve">The PBAC deferred making a recommendation on whether apremilast should be listed on the PBS for the treatment of </w:t>
      </w:r>
      <w:r w:rsidRPr="0041132C">
        <w:t>moderate to severe plaque psoriasis in adults</w:t>
      </w:r>
      <w:r w:rsidR="00A8433D" w:rsidRPr="0041132C">
        <w:t xml:space="preserve"> to allow further work to establish a price that could be considered cost effective. </w:t>
      </w:r>
    </w:p>
    <w:p w:rsidR="00582876" w:rsidRPr="005348DF" w:rsidRDefault="000A7263">
      <w:pPr>
        <w:widowControl w:val="0"/>
        <w:numPr>
          <w:ilvl w:val="1"/>
          <w:numId w:val="3"/>
        </w:numPr>
        <w:spacing w:before="0" w:after="120"/>
        <w:jc w:val="both"/>
        <w:rPr>
          <w:rFonts w:cs="Arial"/>
          <w:bCs/>
          <w:snapToGrid w:val="0"/>
          <w:lang w:val="en-GB"/>
        </w:rPr>
      </w:pPr>
      <w:r w:rsidRPr="0041132C">
        <w:t>In making this decision, t</w:t>
      </w:r>
      <w:r w:rsidR="00A8433D" w:rsidRPr="0041132C">
        <w:t xml:space="preserve">he PBAC </w:t>
      </w:r>
      <w:r w:rsidR="00582876" w:rsidRPr="0041132C">
        <w:t xml:space="preserve">considered that </w:t>
      </w:r>
      <w:r w:rsidR="0008165D" w:rsidRPr="0041132C">
        <w:t xml:space="preserve">the monitoring and adverse event cost offsets presented in the submission, which gave apremilast a </w:t>
      </w:r>
      <w:r w:rsidR="00066683" w:rsidRPr="0041132C">
        <w:t xml:space="preserve">significant </w:t>
      </w:r>
      <w:r w:rsidR="0008165D" w:rsidRPr="0041132C">
        <w:t xml:space="preserve">price advantage over cyclosporin, were </w:t>
      </w:r>
      <w:r w:rsidR="00066683" w:rsidRPr="0041132C">
        <w:t xml:space="preserve">considerably </w:t>
      </w:r>
      <w:r w:rsidR="0008165D" w:rsidRPr="0041132C">
        <w:t xml:space="preserve">overestimated. Further, the committee considered there was significant uncertainty in the utilisation estimates presented. </w:t>
      </w:r>
      <w:r w:rsidR="00247286" w:rsidRPr="0041132C">
        <w:t>Overall</w:t>
      </w:r>
      <w:r w:rsidR="0008165D" w:rsidRPr="0041132C">
        <w:t>, the PBAC considered that apremilast was not cost-effective</w:t>
      </w:r>
      <w:r w:rsidR="00D575A7">
        <w:t xml:space="preserve"> at the proposed price</w:t>
      </w:r>
      <w:r w:rsidR="0008165D" w:rsidRPr="005348DF">
        <w:t>.</w:t>
      </w:r>
    </w:p>
    <w:p w:rsidR="00582876" w:rsidRPr="0041132C" w:rsidRDefault="00066683">
      <w:pPr>
        <w:widowControl w:val="0"/>
        <w:numPr>
          <w:ilvl w:val="1"/>
          <w:numId w:val="3"/>
        </w:numPr>
        <w:spacing w:before="0" w:after="120"/>
        <w:jc w:val="both"/>
        <w:rPr>
          <w:rFonts w:cs="Arial"/>
          <w:bCs/>
          <w:snapToGrid w:val="0"/>
          <w:lang w:val="en-GB"/>
        </w:rPr>
      </w:pPr>
      <w:r w:rsidRPr="005348DF">
        <w:rPr>
          <w:rFonts w:cs="Arial"/>
          <w:bCs/>
          <w:snapToGrid w:val="0"/>
          <w:lang w:val="en-GB"/>
        </w:rPr>
        <w:t xml:space="preserve">The PBAC recalled that </w:t>
      </w:r>
      <w:r w:rsidRPr="005348DF">
        <w:t>that it had rejected apremilast for moderate to severe plaque psoriasis in its previous considerations in March 2017 and November 2016 on the basis that the evidence presented was insufficient to support a claim of</w:t>
      </w:r>
      <w:r w:rsidRPr="0041132C">
        <w:t xml:space="preserve"> superior comparative efficacy or safety versus cyclosporin. The PBAC noted that the current resubmission </w:t>
      </w:r>
      <w:r w:rsidR="00247286" w:rsidRPr="0041132C">
        <w:t xml:space="preserve">more </w:t>
      </w:r>
      <w:r w:rsidRPr="0041132C">
        <w:t>appropriately presented a cost-minimisation approach</w:t>
      </w:r>
      <w:r w:rsidR="00C73D3E" w:rsidRPr="0041132C">
        <w:t>, with offsets for additional monitoring and adverse event costs associated with cyclosporin.</w:t>
      </w:r>
      <w:r w:rsidR="005C51B9" w:rsidRPr="0041132C">
        <w:t xml:space="preserve"> </w:t>
      </w:r>
    </w:p>
    <w:p w:rsidR="008D137D" w:rsidRPr="0041132C" w:rsidRDefault="005C51B9">
      <w:pPr>
        <w:widowControl w:val="0"/>
        <w:numPr>
          <w:ilvl w:val="1"/>
          <w:numId w:val="3"/>
        </w:numPr>
        <w:spacing w:before="0" w:after="120"/>
        <w:jc w:val="both"/>
        <w:rPr>
          <w:rFonts w:cs="Arial"/>
          <w:bCs/>
          <w:snapToGrid w:val="0"/>
          <w:lang w:val="en-GB"/>
        </w:rPr>
      </w:pPr>
      <w:r w:rsidRPr="0041132C">
        <w:t>The PBAC noted the input received from individuals and health professionals</w:t>
      </w:r>
      <w:r w:rsidR="001531B4" w:rsidRPr="0041132C">
        <w:t xml:space="preserve"> and</w:t>
      </w:r>
      <w:r w:rsidRPr="0041132C">
        <w:t xml:space="preserve"> </w:t>
      </w:r>
      <w:r w:rsidR="00FC4B91" w:rsidRPr="0041132C">
        <w:t>acknowledged that there was a consumer need for an alternative therapy for psori</w:t>
      </w:r>
      <w:r w:rsidR="00A94E47" w:rsidRPr="0041132C">
        <w:t>asis. I</w:t>
      </w:r>
      <w:r w:rsidR="00FC4B91" w:rsidRPr="0041132C">
        <w:t>n particular</w:t>
      </w:r>
      <w:r w:rsidRPr="0041132C">
        <w:t>,</w:t>
      </w:r>
      <w:r w:rsidR="00FC4B91" w:rsidRPr="0041132C">
        <w:t xml:space="preserve"> </w:t>
      </w:r>
      <w:r w:rsidR="00A94E47" w:rsidRPr="0041132C">
        <w:t>the committee noted</w:t>
      </w:r>
      <w:r w:rsidR="00FC4B91" w:rsidRPr="0041132C">
        <w:t xml:space="preserve"> that apremilast </w:t>
      </w:r>
      <w:r w:rsidRPr="0041132C">
        <w:t>would likely provide</w:t>
      </w:r>
      <w:r w:rsidR="001531B4" w:rsidRPr="0041132C">
        <w:t xml:space="preserve"> patients with a</w:t>
      </w:r>
      <w:r w:rsidR="00993292" w:rsidRPr="0041132C">
        <w:t xml:space="preserve"> safer,</w:t>
      </w:r>
      <w:r w:rsidR="00A94E47" w:rsidRPr="0041132C">
        <w:t xml:space="preserve"> longer term treatment option</w:t>
      </w:r>
      <w:r w:rsidR="00582876" w:rsidRPr="0041132C">
        <w:t xml:space="preserve"> compared to cyclosporin, </w:t>
      </w:r>
      <w:r w:rsidR="00A94E47" w:rsidRPr="0041132C">
        <w:t>which has limitations of its therapeutic use in psoriasis to no more than two years</w:t>
      </w:r>
      <w:r w:rsidR="00FC4B91" w:rsidRPr="0041132C">
        <w:t xml:space="preserve">. </w:t>
      </w:r>
    </w:p>
    <w:p w:rsidR="005C51B9" w:rsidRPr="0041132C" w:rsidRDefault="005C51B9">
      <w:pPr>
        <w:widowControl w:val="0"/>
        <w:numPr>
          <w:ilvl w:val="1"/>
          <w:numId w:val="3"/>
        </w:numPr>
        <w:spacing w:before="0" w:after="120"/>
        <w:jc w:val="both"/>
        <w:rPr>
          <w:rFonts w:cs="Arial"/>
          <w:bCs/>
          <w:snapToGrid w:val="0"/>
          <w:lang w:val="en-GB"/>
        </w:rPr>
      </w:pPr>
      <w:r w:rsidRPr="0041132C">
        <w:t xml:space="preserve">The PBAC noted the comparator and clinical place of therapy were unchanged from the previous submission. The PBAC recalled it previously accepted cyclosporin as the </w:t>
      </w:r>
      <w:r w:rsidR="00020D30" w:rsidRPr="0041132C">
        <w:t>appropriate</w:t>
      </w:r>
      <w:r w:rsidRPr="0041132C">
        <w:t xml:space="preserve"> comparator if apremilast was restricted to patients who have failed treatment with methotrexate. The committee also noted it previously accepted the proposed place in therapy as an additional treatment option in the same line as cyclosporin in patients who have failed to achieve an adequate response or are contraindicated to treatment with methotrexate. </w:t>
      </w:r>
    </w:p>
    <w:p w:rsidR="007F7926" w:rsidRPr="0041132C" w:rsidRDefault="007F7926">
      <w:pPr>
        <w:widowControl w:val="0"/>
        <w:numPr>
          <w:ilvl w:val="1"/>
          <w:numId w:val="3"/>
        </w:numPr>
        <w:spacing w:before="0" w:after="120"/>
        <w:jc w:val="both"/>
        <w:rPr>
          <w:rFonts w:cs="Arial"/>
          <w:bCs/>
          <w:snapToGrid w:val="0"/>
          <w:lang w:val="en-GB"/>
        </w:rPr>
      </w:pPr>
      <w:r w:rsidRPr="0041132C">
        <w:t xml:space="preserve">The </w:t>
      </w:r>
      <w:r w:rsidR="00BA34D9" w:rsidRPr="0041132C">
        <w:t>PBAC</w:t>
      </w:r>
      <w:r w:rsidRPr="0041132C">
        <w:t xml:space="preserve"> </w:t>
      </w:r>
      <w:r w:rsidR="00BA34D9" w:rsidRPr="0041132C">
        <w:t xml:space="preserve">agreed with </w:t>
      </w:r>
      <w:r w:rsidR="00247286" w:rsidRPr="0041132C">
        <w:t>its</w:t>
      </w:r>
      <w:r w:rsidR="00BA34D9" w:rsidRPr="0041132C">
        <w:t xml:space="preserve"> ESC that the claim of non-inferior efficacy was not well supported by the evidence presented in the submission</w:t>
      </w:r>
      <w:r w:rsidR="00D070D8" w:rsidRPr="0041132C">
        <w:t>,</w:t>
      </w:r>
      <w:r w:rsidR="00BA34D9" w:rsidRPr="0041132C">
        <w:t xml:space="preserve"> in particular</w:t>
      </w:r>
      <w:r w:rsidR="00326F89" w:rsidRPr="0041132C">
        <w:t xml:space="preserve"> noting the </w:t>
      </w:r>
      <w:r w:rsidR="00BA34D9" w:rsidRPr="0041132C">
        <w:t>clinical hete</w:t>
      </w:r>
      <w:r w:rsidR="00D070D8" w:rsidRPr="0041132C">
        <w:t>rogeneity of the trials included in the NMA</w:t>
      </w:r>
      <w:r w:rsidR="00BA34D9" w:rsidRPr="0041132C">
        <w:t xml:space="preserve">. </w:t>
      </w:r>
      <w:r w:rsidR="00BA34D9" w:rsidRPr="0041132C">
        <w:rPr>
          <w:rFonts w:cs="Arial"/>
          <w:snapToGrid w:val="0"/>
          <w:szCs w:val="20"/>
        </w:rPr>
        <w:t>H</w:t>
      </w:r>
      <w:r w:rsidRPr="0041132C">
        <w:rPr>
          <w:rFonts w:cs="Arial"/>
          <w:snapToGrid w:val="0"/>
          <w:szCs w:val="20"/>
        </w:rPr>
        <w:t xml:space="preserve">owever, on balance, the PBAC considered that the claim of non-inferior comparative effectiveness is likely to be reasonable. </w:t>
      </w:r>
    </w:p>
    <w:p w:rsidR="00BA34D9" w:rsidRPr="0041132C" w:rsidRDefault="00BA34D9">
      <w:pPr>
        <w:widowControl w:val="0"/>
        <w:numPr>
          <w:ilvl w:val="1"/>
          <w:numId w:val="3"/>
        </w:numPr>
        <w:spacing w:before="0" w:after="120"/>
        <w:jc w:val="both"/>
        <w:rPr>
          <w:rFonts w:cs="Arial"/>
          <w:bCs/>
          <w:snapToGrid w:val="0"/>
          <w:lang w:val="en-GB"/>
        </w:rPr>
      </w:pPr>
      <w:r w:rsidRPr="0041132C">
        <w:rPr>
          <w:rFonts w:cs="Arial"/>
          <w:snapToGrid w:val="0"/>
          <w:szCs w:val="20"/>
        </w:rPr>
        <w:t xml:space="preserve">The PBAC considered that the claim of </w:t>
      </w:r>
      <w:r w:rsidR="00020D30" w:rsidRPr="0041132C">
        <w:t xml:space="preserve">non-inferior comparative safety in terms of adverse events </w:t>
      </w:r>
      <w:r w:rsidR="00326F89" w:rsidRPr="0041132C">
        <w:t xml:space="preserve">was reasonable. The PBAC considered that the superiority claim for safety profile was not well supported by the clinical evidence provided. However, noting the well documented cumulative toxicity of cyclosporin and the limitations of its therapeutic use in psoriasis to no more than two years, the PBAC considered that the safety profile of apremilast was likely to be superior to cyclosporin.  </w:t>
      </w:r>
    </w:p>
    <w:p w:rsidR="00C31347" w:rsidRPr="005348DF" w:rsidRDefault="00326F89">
      <w:pPr>
        <w:widowControl w:val="0"/>
        <w:numPr>
          <w:ilvl w:val="1"/>
          <w:numId w:val="3"/>
        </w:numPr>
        <w:spacing w:before="0" w:after="120"/>
        <w:jc w:val="both"/>
        <w:rPr>
          <w:rFonts w:cs="Arial"/>
          <w:bCs/>
          <w:snapToGrid w:val="0"/>
          <w:lang w:val="en-GB"/>
        </w:rPr>
      </w:pPr>
      <w:r w:rsidRPr="0041132C">
        <w:t xml:space="preserve">The PBAC </w:t>
      </w:r>
      <w:r w:rsidR="0042472B" w:rsidRPr="0041132C">
        <w:t>agreed with ESC</w:t>
      </w:r>
      <w:r w:rsidRPr="0041132C">
        <w:t xml:space="preserve"> that the cost</w:t>
      </w:r>
      <w:r w:rsidR="0042472B" w:rsidRPr="0041132C">
        <w:t>-offsets associated with</w:t>
      </w:r>
      <w:r w:rsidRPr="0041132C">
        <w:t xml:space="preserve"> </w:t>
      </w:r>
      <w:r w:rsidR="0042472B" w:rsidRPr="0041132C">
        <w:t>monitoring and adverse events in the resubmission</w:t>
      </w:r>
      <w:r w:rsidR="00570232" w:rsidRPr="0041132C">
        <w:t xml:space="preserve"> were</w:t>
      </w:r>
      <w:r w:rsidR="0042472B" w:rsidRPr="0041132C">
        <w:t xml:space="preserve"> overestimate</w:t>
      </w:r>
      <w:r w:rsidR="001C3C13" w:rsidRPr="0041132C">
        <w:t>d, noting that while the resubmission presented a cost-minimisation analysis, the application of the cost offsets provided apremilast with a</w:t>
      </w:r>
      <w:r w:rsidR="00247286" w:rsidRPr="0041132C">
        <w:t xml:space="preserve"> substantial </w:t>
      </w:r>
      <w:r w:rsidR="001C3C13" w:rsidRPr="005348DF">
        <w:t>price premium over cyclosporin.</w:t>
      </w:r>
      <w:r w:rsidR="00570232" w:rsidRPr="005348DF">
        <w:t xml:space="preserve"> The committee also noted the sponsor’s argument in both the PSCR and pre-PBAC Response that the offsets </w:t>
      </w:r>
      <w:r w:rsidR="00247286" w:rsidRPr="0041132C">
        <w:rPr>
          <w:szCs w:val="24"/>
        </w:rPr>
        <w:t xml:space="preserve">applied in the submission </w:t>
      </w:r>
      <w:r w:rsidR="00570232" w:rsidRPr="0041132C">
        <w:rPr>
          <w:szCs w:val="24"/>
        </w:rPr>
        <w:t xml:space="preserve">align with recommended clinical practice. </w:t>
      </w:r>
      <w:r w:rsidR="001C3C13" w:rsidRPr="0041132C">
        <w:rPr>
          <w:szCs w:val="24"/>
        </w:rPr>
        <w:t xml:space="preserve">The </w:t>
      </w:r>
      <w:r w:rsidR="00570232" w:rsidRPr="0041132C">
        <w:rPr>
          <w:szCs w:val="24"/>
        </w:rPr>
        <w:t xml:space="preserve">PBAC considered that the </w:t>
      </w:r>
      <w:r w:rsidR="006E5562" w:rsidRPr="0041132C">
        <w:rPr>
          <w:szCs w:val="24"/>
        </w:rPr>
        <w:t xml:space="preserve">cost </w:t>
      </w:r>
      <w:r w:rsidR="001C3C13" w:rsidRPr="0041132C">
        <w:rPr>
          <w:szCs w:val="24"/>
        </w:rPr>
        <w:t>offsets for monitoring and adverse e</w:t>
      </w:r>
      <w:r w:rsidR="006E5562" w:rsidRPr="0041132C">
        <w:rPr>
          <w:szCs w:val="24"/>
        </w:rPr>
        <w:t>vents likely lie</w:t>
      </w:r>
      <w:r w:rsidR="001C3C13" w:rsidRPr="0041132C">
        <w:rPr>
          <w:szCs w:val="24"/>
        </w:rPr>
        <w:t xml:space="preserve"> between the figures provided in the resubmission and those presented in the sensitivity analysis</w:t>
      </w:r>
      <w:r w:rsidR="00247286" w:rsidRPr="0041132C">
        <w:rPr>
          <w:szCs w:val="24"/>
        </w:rPr>
        <w:t xml:space="preserve"> conducted during the evaluation</w:t>
      </w:r>
      <w:r w:rsidR="001C3C13" w:rsidRPr="0041132C">
        <w:rPr>
          <w:szCs w:val="24"/>
        </w:rPr>
        <w:t xml:space="preserve">, but </w:t>
      </w:r>
      <w:r w:rsidR="006E5562" w:rsidRPr="0041132C">
        <w:rPr>
          <w:szCs w:val="24"/>
        </w:rPr>
        <w:t xml:space="preserve">are </w:t>
      </w:r>
      <w:r w:rsidR="001C3C13" w:rsidRPr="0041132C">
        <w:rPr>
          <w:szCs w:val="24"/>
        </w:rPr>
        <w:t xml:space="preserve">overall closer to those provided in the sensitivity analysis. </w:t>
      </w:r>
    </w:p>
    <w:p w:rsidR="00247286" w:rsidRPr="005348DF" w:rsidRDefault="006E5562" w:rsidP="00353DCC">
      <w:pPr>
        <w:pStyle w:val="ListParagraph"/>
        <w:numPr>
          <w:ilvl w:val="1"/>
          <w:numId w:val="3"/>
        </w:numPr>
        <w:spacing w:after="120"/>
        <w:rPr>
          <w:rFonts w:cs="Arial"/>
          <w:bCs/>
          <w:snapToGrid w:val="0"/>
          <w:lang w:val="en-GB"/>
        </w:rPr>
      </w:pPr>
      <w:r w:rsidRPr="005348DF">
        <w:rPr>
          <w:szCs w:val="24"/>
        </w:rPr>
        <w:t xml:space="preserve">Based on the uncertainty in the clinical data provided regarding non-inferior efficacy, but taking into account the </w:t>
      </w:r>
      <w:r w:rsidR="001C3C13" w:rsidRPr="005348DF">
        <w:rPr>
          <w:szCs w:val="24"/>
        </w:rPr>
        <w:t>reduced toxicity</w:t>
      </w:r>
      <w:r w:rsidRPr="005348DF">
        <w:rPr>
          <w:szCs w:val="24"/>
        </w:rPr>
        <w:t xml:space="preserve"> of apremilast</w:t>
      </w:r>
      <w:r w:rsidR="001C3C13" w:rsidRPr="0041132C">
        <w:rPr>
          <w:szCs w:val="24"/>
        </w:rPr>
        <w:t xml:space="preserve"> compared to cyclosporin </w:t>
      </w:r>
      <w:r w:rsidRPr="0041132C">
        <w:rPr>
          <w:szCs w:val="24"/>
        </w:rPr>
        <w:t>and the requirement for less monitoring, the PBAC considered that</w:t>
      </w:r>
      <w:r w:rsidR="00247286" w:rsidRPr="0041132C">
        <w:rPr>
          <w:szCs w:val="24"/>
        </w:rPr>
        <w:t xml:space="preserve"> with</w:t>
      </w:r>
      <w:r w:rsidRPr="0041132C">
        <w:rPr>
          <w:szCs w:val="24"/>
        </w:rPr>
        <w:t xml:space="preserve"> a price premium of </w:t>
      </w:r>
      <w:r w:rsidR="003E2FBE">
        <w:rPr>
          <w:rFonts w:cs="Arial"/>
          <w:bCs/>
          <w:noProof/>
          <w:snapToGrid w:val="0"/>
          <w:color w:val="000000"/>
          <w:highlight w:val="black"/>
          <w:lang w:val="en-GB"/>
        </w:rPr>
        <w:t>'''</w:t>
      </w:r>
      <w:r w:rsidRPr="0041132C">
        <w:rPr>
          <w:rFonts w:cs="Arial"/>
          <w:bCs/>
          <w:snapToGrid w:val="0"/>
          <w:lang w:val="en-GB"/>
        </w:rPr>
        <w:noBreakHyphen/>
      </w:r>
      <w:r w:rsidR="003E2FBE">
        <w:rPr>
          <w:rFonts w:cs="Arial"/>
          <w:bCs/>
          <w:noProof/>
          <w:snapToGrid w:val="0"/>
          <w:color w:val="000000"/>
          <w:highlight w:val="black"/>
          <w:lang w:val="en-GB"/>
        </w:rPr>
        <w:t>'''''</w:t>
      </w:r>
      <w:r w:rsidRPr="0041132C">
        <w:rPr>
          <w:rFonts w:cs="Arial"/>
          <w:bCs/>
          <w:snapToGrid w:val="0"/>
          <w:lang w:val="en-GB"/>
        </w:rPr>
        <w:t xml:space="preserve">%  over </w:t>
      </w:r>
      <w:r w:rsidR="00C31347" w:rsidRPr="0041132C">
        <w:rPr>
          <w:rFonts w:cs="Arial"/>
          <w:bCs/>
          <w:snapToGrid w:val="0"/>
          <w:lang w:val="en-GB"/>
        </w:rPr>
        <w:t>cyclosporin</w:t>
      </w:r>
      <w:r w:rsidR="00247286" w:rsidRPr="0041132C">
        <w:rPr>
          <w:rFonts w:cs="Arial"/>
          <w:bCs/>
          <w:snapToGrid w:val="0"/>
          <w:lang w:val="en-GB"/>
        </w:rPr>
        <w:t xml:space="preserve">, apremilast would be likely be acceptably cost-effective for the purposes of the </w:t>
      </w:r>
      <w:r w:rsidR="00247286" w:rsidRPr="00353DCC">
        <w:rPr>
          <w:rFonts w:cs="Arial"/>
          <w:bCs/>
          <w:i/>
          <w:snapToGrid w:val="0"/>
          <w:lang w:val="en-GB"/>
        </w:rPr>
        <w:t>National Health Act 1953.</w:t>
      </w:r>
    </w:p>
    <w:p w:rsidR="00C22EAE" w:rsidRPr="0041132C" w:rsidRDefault="00247286" w:rsidP="005348DF">
      <w:pPr>
        <w:widowControl w:val="0"/>
        <w:numPr>
          <w:ilvl w:val="1"/>
          <w:numId w:val="3"/>
        </w:numPr>
        <w:spacing w:before="0" w:after="120"/>
        <w:jc w:val="both"/>
        <w:rPr>
          <w:rFonts w:cs="Arial"/>
          <w:bCs/>
          <w:snapToGrid w:val="0"/>
          <w:lang w:val="en-GB"/>
        </w:rPr>
      </w:pPr>
      <w:r w:rsidRPr="005348DF">
        <w:rPr>
          <w:rFonts w:cs="Arial"/>
          <w:bCs/>
          <w:snapToGrid w:val="0"/>
          <w:lang w:val="en-GB"/>
        </w:rPr>
        <w:t>The</w:t>
      </w:r>
      <w:r w:rsidR="006E5562" w:rsidRPr="005348DF">
        <w:rPr>
          <w:rFonts w:cs="Arial"/>
          <w:bCs/>
          <w:snapToGrid w:val="0"/>
          <w:lang w:val="en-GB"/>
        </w:rPr>
        <w:t xml:space="preserve"> </w:t>
      </w:r>
      <w:r w:rsidR="00C22EAE" w:rsidRPr="0041132C">
        <w:rPr>
          <w:rFonts w:cs="Arial"/>
          <w:bCs/>
          <w:snapToGrid w:val="0"/>
          <w:lang w:val="en-GB"/>
        </w:rPr>
        <w:t>PBAC considered that there was significant uncertainty in the utilisation estimates presented in the submission, noting that they are likely an underestimated. The PBAC considered that this uncertainty could be addressed through the implementation of a</w:t>
      </w:r>
      <w:r w:rsidR="00D575A7">
        <w:rPr>
          <w:rFonts w:cs="Arial"/>
          <w:bCs/>
          <w:snapToGrid w:val="0"/>
          <w:lang w:val="en-GB"/>
        </w:rPr>
        <w:t xml:space="preserve"> tiered</w:t>
      </w:r>
      <w:r w:rsidR="00C22EAE" w:rsidRPr="0041132C">
        <w:rPr>
          <w:rFonts w:cs="Arial"/>
          <w:bCs/>
          <w:snapToGrid w:val="0"/>
          <w:lang w:val="en-GB"/>
        </w:rPr>
        <w:t xml:space="preserve"> RSA based on patient numbers (see Section 6). </w:t>
      </w:r>
    </w:p>
    <w:p w:rsidR="00C25026" w:rsidRDefault="006E5562" w:rsidP="005348DF">
      <w:pPr>
        <w:widowControl w:val="0"/>
        <w:numPr>
          <w:ilvl w:val="1"/>
          <w:numId w:val="3"/>
        </w:numPr>
        <w:spacing w:before="0" w:after="120"/>
        <w:jc w:val="both"/>
        <w:rPr>
          <w:rFonts w:cs="Arial"/>
          <w:bCs/>
          <w:snapToGrid w:val="0"/>
          <w:lang w:val="en-GB"/>
        </w:rPr>
      </w:pPr>
      <w:r w:rsidRPr="0041132C">
        <w:rPr>
          <w:rFonts w:cs="Arial"/>
          <w:bCs/>
          <w:snapToGrid w:val="0"/>
          <w:lang w:val="en-GB"/>
        </w:rPr>
        <w:t>The</w:t>
      </w:r>
      <w:r w:rsidRPr="005348DF">
        <w:rPr>
          <w:rFonts w:cs="Arial"/>
          <w:bCs/>
          <w:snapToGrid w:val="0"/>
          <w:lang w:val="en-GB"/>
        </w:rPr>
        <w:t xml:space="preserve"> PBAC considered that if apremilast were to be listed on the PBS, the indication should be changed from ‘moderate to severe plaque psoriasis’ to ‘severe plaque psoriasis’ so that it is aligned with current restrictions for </w:t>
      </w:r>
      <w:r w:rsidR="00C22EAE" w:rsidRPr="005348DF">
        <w:rPr>
          <w:rFonts w:cs="Arial"/>
          <w:bCs/>
          <w:snapToGrid w:val="0"/>
          <w:lang w:val="en-GB"/>
        </w:rPr>
        <w:t xml:space="preserve">existing plaque </w:t>
      </w:r>
      <w:r w:rsidRPr="0041132C">
        <w:rPr>
          <w:rFonts w:cs="Arial"/>
          <w:bCs/>
          <w:snapToGrid w:val="0"/>
          <w:lang w:val="en-GB"/>
        </w:rPr>
        <w:t xml:space="preserve">psoriasis treatments on the PBS.  In addition the PBAC considered that the restriction should specify the treatment population as adults. </w:t>
      </w:r>
    </w:p>
    <w:p w:rsidR="00CF2F2C" w:rsidRPr="00CF2F2C" w:rsidRDefault="00CF2F2C" w:rsidP="00CF2F2C">
      <w:pPr>
        <w:pStyle w:val="ListParagraph"/>
        <w:numPr>
          <w:ilvl w:val="1"/>
          <w:numId w:val="3"/>
        </w:numPr>
        <w:spacing w:before="0" w:after="120"/>
        <w:jc w:val="both"/>
        <w:rPr>
          <w:szCs w:val="24"/>
        </w:rPr>
      </w:pPr>
      <w:r w:rsidRPr="00A35598">
        <w:rPr>
          <w:szCs w:val="24"/>
        </w:rPr>
        <w:t>The PBAC noted that this submission is not eligible for an Independent Review as it has been deferred.</w:t>
      </w:r>
    </w:p>
    <w:p w:rsidR="00C25026" w:rsidRPr="0041132C" w:rsidRDefault="00C25026" w:rsidP="00353DCC">
      <w:pPr>
        <w:spacing w:before="240" w:after="120"/>
        <w:jc w:val="both"/>
        <w:rPr>
          <w:rFonts w:cs="Arial"/>
          <w:b/>
          <w:bCs/>
          <w:snapToGrid w:val="0"/>
          <w:lang w:val="en-GB"/>
        </w:rPr>
      </w:pPr>
      <w:r w:rsidRPr="0041132C">
        <w:rPr>
          <w:rFonts w:cs="Arial"/>
          <w:b/>
          <w:bCs/>
          <w:snapToGrid w:val="0"/>
          <w:lang w:val="en-GB"/>
        </w:rPr>
        <w:t>Outcome:</w:t>
      </w:r>
    </w:p>
    <w:p w:rsidR="00C25026" w:rsidRDefault="00C25026" w:rsidP="006D1C8A">
      <w:pPr>
        <w:spacing w:after="120"/>
        <w:jc w:val="both"/>
        <w:rPr>
          <w:rFonts w:cs="Arial"/>
          <w:bCs/>
          <w:snapToGrid w:val="0"/>
          <w:lang w:val="en-GB"/>
        </w:rPr>
      </w:pPr>
      <w:r w:rsidRPr="0041132C">
        <w:rPr>
          <w:rFonts w:cs="Arial"/>
          <w:bCs/>
          <w:snapToGrid w:val="0"/>
          <w:lang w:val="en-GB"/>
        </w:rPr>
        <w:t xml:space="preserve">Deferred </w:t>
      </w:r>
    </w:p>
    <w:p w:rsidR="00D97245" w:rsidRPr="00EC2BB1" w:rsidRDefault="00D97245" w:rsidP="002E7E13">
      <w:pPr>
        <w:pStyle w:val="PBACHeading1"/>
        <w:spacing w:before="240"/>
        <w:ind w:left="709" w:hanging="709"/>
        <w:outlineLvl w:val="0"/>
        <w:rPr>
          <w:rFonts w:asciiTheme="minorHAnsi" w:hAnsiTheme="minorHAnsi"/>
          <w:sz w:val="32"/>
          <w:szCs w:val="32"/>
        </w:rPr>
      </w:pPr>
      <w:r w:rsidRPr="00EC2BB1">
        <w:rPr>
          <w:rFonts w:asciiTheme="minorHAnsi" w:hAnsiTheme="minorHAnsi"/>
          <w:sz w:val="32"/>
          <w:szCs w:val="32"/>
        </w:rPr>
        <w:t>Context for Decision</w:t>
      </w:r>
    </w:p>
    <w:p w:rsidR="00D97245" w:rsidRPr="003D3A59" w:rsidRDefault="00D97245" w:rsidP="0098447D">
      <w:pPr>
        <w:spacing w:after="0"/>
        <w:ind w:left="709"/>
        <w:jc w:val="both"/>
        <w:rPr>
          <w:rFonts w:cs="Arial"/>
          <w:szCs w:val="24"/>
        </w:rPr>
      </w:pPr>
      <w:r w:rsidRPr="003D3A59">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97245" w:rsidRPr="003D3A59" w:rsidRDefault="00D97245" w:rsidP="00D97245">
      <w:pPr>
        <w:ind w:left="426"/>
        <w:jc w:val="both"/>
        <w:rPr>
          <w:rFonts w:cs="Arial"/>
          <w:szCs w:val="24"/>
        </w:rPr>
      </w:pPr>
    </w:p>
    <w:p w:rsidR="00D97245" w:rsidRPr="00EC2BB1" w:rsidRDefault="00D97245" w:rsidP="002E7E13">
      <w:pPr>
        <w:pStyle w:val="PBACHeading1"/>
        <w:spacing w:before="240"/>
        <w:ind w:left="709" w:hanging="709"/>
        <w:outlineLvl w:val="0"/>
        <w:rPr>
          <w:rFonts w:asciiTheme="minorHAnsi" w:hAnsiTheme="minorHAnsi"/>
          <w:sz w:val="32"/>
          <w:szCs w:val="32"/>
        </w:rPr>
      </w:pPr>
      <w:r w:rsidRPr="00EC2BB1">
        <w:rPr>
          <w:rFonts w:asciiTheme="minorHAnsi" w:hAnsiTheme="minorHAnsi"/>
          <w:sz w:val="32"/>
          <w:szCs w:val="32"/>
        </w:rPr>
        <w:t>Sponsor’s Comment</w:t>
      </w:r>
    </w:p>
    <w:p w:rsidR="00D97245" w:rsidRPr="00C912FB" w:rsidRDefault="00180405" w:rsidP="00180405">
      <w:pPr>
        <w:spacing w:after="120"/>
        <w:ind w:left="709"/>
        <w:jc w:val="both"/>
        <w:rPr>
          <w:rFonts w:cs="Arial"/>
          <w:bCs/>
          <w:szCs w:val="24"/>
        </w:rPr>
      </w:pPr>
      <w:r>
        <w:rPr>
          <w:rFonts w:eastAsia="Times New Roman"/>
        </w:rPr>
        <w:t>Celgene will continue to work with the Department and the PBAC to make apremilast available to Australian patients.</w:t>
      </w:r>
    </w:p>
    <w:sectPr w:rsidR="00D97245" w:rsidRPr="00C912FB" w:rsidSect="0007761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504C70" w15:done="0"/>
  <w15:commentEx w15:paraId="1E54993F" w15:done="0"/>
  <w15:commentEx w15:paraId="289C9D5E" w15:done="0"/>
  <w15:commentEx w15:paraId="7C5E78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BE" w:rsidRDefault="003E2FBE" w:rsidP="00BA3306">
      <w:pPr>
        <w:spacing w:before="0" w:after="0"/>
      </w:pPr>
      <w:r>
        <w:separator/>
      </w:r>
    </w:p>
  </w:endnote>
  <w:endnote w:type="continuationSeparator" w:id="0">
    <w:p w:rsidR="003E2FBE" w:rsidRDefault="003E2FBE"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60" w:rsidRDefault="007E0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933016"/>
      <w:docPartObj>
        <w:docPartGallery w:val="Page Numbers (Bottom of Page)"/>
        <w:docPartUnique/>
      </w:docPartObj>
    </w:sdtPr>
    <w:sdtEndPr>
      <w:rPr>
        <w:noProof/>
      </w:rPr>
    </w:sdtEndPr>
    <w:sdtContent>
      <w:p w:rsidR="007E0160" w:rsidRDefault="007E0160">
        <w:pPr>
          <w:pStyle w:val="Footer"/>
          <w:jc w:val="center"/>
        </w:pPr>
        <w:r>
          <w:fldChar w:fldCharType="begin"/>
        </w:r>
        <w:r>
          <w:instrText xml:space="preserve"> PAGE   \* MERGEFORMAT </w:instrText>
        </w:r>
        <w:r>
          <w:fldChar w:fldCharType="separate"/>
        </w:r>
        <w:r w:rsidR="003E2FBE">
          <w:rPr>
            <w:noProof/>
          </w:rPr>
          <w:t>1</w:t>
        </w:r>
        <w:r>
          <w:rPr>
            <w:noProof/>
          </w:rPr>
          <w:fldChar w:fldCharType="end"/>
        </w:r>
      </w:p>
    </w:sdtContent>
  </w:sdt>
  <w:p w:rsidR="007E0160" w:rsidRDefault="007E0160" w:rsidP="00796B9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60" w:rsidRDefault="007E0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BE" w:rsidRDefault="003E2FBE" w:rsidP="00BA3306">
      <w:pPr>
        <w:spacing w:before="0" w:after="0"/>
      </w:pPr>
      <w:r>
        <w:separator/>
      </w:r>
    </w:p>
  </w:footnote>
  <w:footnote w:type="continuationSeparator" w:id="0">
    <w:p w:rsidR="003E2FBE" w:rsidRDefault="003E2FBE"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60" w:rsidRDefault="007E0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60" w:rsidRPr="00A61C40" w:rsidRDefault="007E0160" w:rsidP="00A61C40">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November 2017</w:t>
    </w:r>
    <w:r w:rsidRPr="00F90A91">
      <w:rPr>
        <w:rFonts w:cs="Arial"/>
        <w:i/>
        <w:color w:val="808080"/>
        <w:sz w:val="22"/>
      </w:rPr>
      <w:t xml:space="preserve">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60" w:rsidRDefault="007E0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6B7"/>
    <w:multiLevelType w:val="hybridMultilevel"/>
    <w:tmpl w:val="E8FC9D2C"/>
    <w:lvl w:ilvl="0" w:tplc="0C090003">
      <w:start w:val="1"/>
      <w:numFmt w:val="bullet"/>
      <w:lvlText w:val="o"/>
      <w:lvlJc w:val="left"/>
      <w:pPr>
        <w:ind w:left="1134" w:hanging="360"/>
      </w:pPr>
      <w:rPr>
        <w:rFonts w:ascii="Courier New" w:hAnsi="Courier New" w:cs="Courier New"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1">
    <w:nsid w:val="054676A0"/>
    <w:multiLevelType w:val="hybridMultilevel"/>
    <w:tmpl w:val="3A5AD9E8"/>
    <w:lvl w:ilvl="0" w:tplc="0C090003">
      <w:start w:val="1"/>
      <w:numFmt w:val="bullet"/>
      <w:lvlText w:val="o"/>
      <w:lvlJc w:val="left"/>
      <w:pPr>
        <w:ind w:left="1004" w:hanging="360"/>
      </w:pPr>
      <w:rPr>
        <w:rFonts w:ascii="Courier New" w:hAnsi="Courier New" w:cs="Courier New" w:hint="default"/>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FFF556F"/>
    <w:multiLevelType w:val="hybridMultilevel"/>
    <w:tmpl w:val="50FE9DD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4E6825"/>
    <w:multiLevelType w:val="multilevel"/>
    <w:tmpl w:val="1EC868D4"/>
    <w:lvl w:ilvl="0">
      <w:start w:val="1"/>
      <w:numFmt w:val="decimal"/>
      <w:pStyle w:val="Heading1"/>
      <w:lvlText w:val="%1"/>
      <w:lvlJc w:val="left"/>
      <w:pPr>
        <w:ind w:left="574" w:hanging="432"/>
      </w:pPr>
      <w:rPr>
        <w:rFonts w:hint="default"/>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63307BC"/>
    <w:multiLevelType w:val="hybridMultilevel"/>
    <w:tmpl w:val="EE2EFB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nsid w:val="37A456C9"/>
    <w:multiLevelType w:val="hybridMultilevel"/>
    <w:tmpl w:val="D65C16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4897"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8943937"/>
    <w:multiLevelType w:val="hybridMultilevel"/>
    <w:tmpl w:val="1B1C5E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F166EB6"/>
    <w:multiLevelType w:val="hybridMultilevel"/>
    <w:tmpl w:val="36F6FD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62F4A0B"/>
    <w:multiLevelType w:val="hybridMultilevel"/>
    <w:tmpl w:val="490267CC"/>
    <w:lvl w:ilvl="0" w:tplc="37762F46">
      <w:start w:val="1"/>
      <w:numFmt w:val="bullet"/>
      <w:pStyle w:val="TableBullet0"/>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955BDC"/>
    <w:multiLevelType w:val="hybridMultilevel"/>
    <w:tmpl w:val="A3404BA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084FBF"/>
    <w:multiLevelType w:val="hybridMultilevel"/>
    <w:tmpl w:val="3286930C"/>
    <w:lvl w:ilvl="0" w:tplc="34E82D62">
      <w:start w:val="1"/>
      <w:numFmt w:val="bullet"/>
      <w:pStyle w:val="TableBullets"/>
      <w:lvlText w:val=""/>
      <w:lvlJc w:val="left"/>
      <w:pPr>
        <w:ind w:left="720" w:hanging="360"/>
      </w:pPr>
      <w:rPr>
        <w:rFonts w:ascii="Symbol" w:hAnsi="Symbol" w:hint="default"/>
      </w:rPr>
    </w:lvl>
    <w:lvl w:ilvl="1" w:tplc="63F4EE78">
      <w:start w:val="1"/>
      <w:numFmt w:val="bullet"/>
      <w:lvlText w:val="o"/>
      <w:lvlJc w:val="left"/>
      <w:pPr>
        <w:ind w:left="1440" w:hanging="360"/>
      </w:pPr>
      <w:rPr>
        <w:rFonts w:ascii="Courier New" w:hAnsi="Courier New" w:cs="Courier New" w:hint="default"/>
      </w:rPr>
    </w:lvl>
    <w:lvl w:ilvl="2" w:tplc="055E37F0" w:tentative="1">
      <w:start w:val="1"/>
      <w:numFmt w:val="bullet"/>
      <w:lvlText w:val=""/>
      <w:lvlJc w:val="left"/>
      <w:pPr>
        <w:ind w:left="2160" w:hanging="360"/>
      </w:pPr>
      <w:rPr>
        <w:rFonts w:ascii="Wingdings" w:hAnsi="Wingdings" w:hint="default"/>
      </w:rPr>
    </w:lvl>
    <w:lvl w:ilvl="3" w:tplc="4186119A" w:tentative="1">
      <w:start w:val="1"/>
      <w:numFmt w:val="bullet"/>
      <w:lvlText w:val=""/>
      <w:lvlJc w:val="left"/>
      <w:pPr>
        <w:ind w:left="2880" w:hanging="360"/>
      </w:pPr>
      <w:rPr>
        <w:rFonts w:ascii="Symbol" w:hAnsi="Symbol" w:hint="default"/>
      </w:rPr>
    </w:lvl>
    <w:lvl w:ilvl="4" w:tplc="BDC60924" w:tentative="1">
      <w:start w:val="1"/>
      <w:numFmt w:val="bullet"/>
      <w:lvlText w:val="o"/>
      <w:lvlJc w:val="left"/>
      <w:pPr>
        <w:ind w:left="3600" w:hanging="360"/>
      </w:pPr>
      <w:rPr>
        <w:rFonts w:ascii="Courier New" w:hAnsi="Courier New" w:cs="Courier New" w:hint="default"/>
      </w:rPr>
    </w:lvl>
    <w:lvl w:ilvl="5" w:tplc="FA484FA0" w:tentative="1">
      <w:start w:val="1"/>
      <w:numFmt w:val="bullet"/>
      <w:lvlText w:val=""/>
      <w:lvlJc w:val="left"/>
      <w:pPr>
        <w:ind w:left="4320" w:hanging="360"/>
      </w:pPr>
      <w:rPr>
        <w:rFonts w:ascii="Wingdings" w:hAnsi="Wingdings" w:hint="default"/>
      </w:rPr>
    </w:lvl>
    <w:lvl w:ilvl="6" w:tplc="2F5AD752" w:tentative="1">
      <w:start w:val="1"/>
      <w:numFmt w:val="bullet"/>
      <w:lvlText w:val=""/>
      <w:lvlJc w:val="left"/>
      <w:pPr>
        <w:ind w:left="5040" w:hanging="360"/>
      </w:pPr>
      <w:rPr>
        <w:rFonts w:ascii="Symbol" w:hAnsi="Symbol" w:hint="default"/>
      </w:rPr>
    </w:lvl>
    <w:lvl w:ilvl="7" w:tplc="1730EB84" w:tentative="1">
      <w:start w:val="1"/>
      <w:numFmt w:val="bullet"/>
      <w:lvlText w:val="o"/>
      <w:lvlJc w:val="left"/>
      <w:pPr>
        <w:ind w:left="5760" w:hanging="360"/>
      </w:pPr>
      <w:rPr>
        <w:rFonts w:ascii="Courier New" w:hAnsi="Courier New" w:cs="Courier New" w:hint="default"/>
      </w:rPr>
    </w:lvl>
    <w:lvl w:ilvl="8" w:tplc="C5108742" w:tentative="1">
      <w:start w:val="1"/>
      <w:numFmt w:val="bullet"/>
      <w:lvlText w:val=""/>
      <w:lvlJc w:val="left"/>
      <w:pPr>
        <w:ind w:left="6480" w:hanging="360"/>
      </w:pPr>
      <w:rPr>
        <w:rFonts w:ascii="Wingdings" w:hAnsi="Wingdings" w:hint="default"/>
      </w:rPr>
    </w:lvl>
  </w:abstractNum>
  <w:abstractNum w:abstractNumId="16">
    <w:nsid w:val="714E7A80"/>
    <w:multiLevelType w:val="hybridMultilevel"/>
    <w:tmpl w:val="E5E047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84D033C"/>
    <w:multiLevelType w:val="multilevel"/>
    <w:tmpl w:val="9A08AC4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1"/>
  </w:num>
  <w:num w:numId="3">
    <w:abstractNumId w:val="17"/>
  </w:num>
  <w:num w:numId="4">
    <w:abstractNumId w:val="5"/>
  </w:num>
  <w:num w:numId="5">
    <w:abstractNumId w:val="14"/>
  </w:num>
  <w:num w:numId="6">
    <w:abstractNumId w:val="2"/>
  </w:num>
  <w:num w:numId="7">
    <w:abstractNumId w:val="3"/>
  </w:num>
  <w:num w:numId="8">
    <w:abstractNumId w:val="10"/>
  </w:num>
  <w:num w:numId="9">
    <w:abstractNumId w:val="15"/>
  </w:num>
  <w:num w:numId="10">
    <w:abstractNumId w:val="6"/>
  </w:num>
  <w:num w:numId="11">
    <w:abstractNumId w:val="7"/>
  </w:num>
  <w:num w:numId="12">
    <w:abstractNumId w:val="12"/>
  </w:num>
  <w:num w:numId="13">
    <w:abstractNumId w:val="0"/>
  </w:num>
  <w:num w:numId="14">
    <w:abstractNumId w:val="1"/>
  </w:num>
  <w:num w:numId="15">
    <w:abstractNumId w:val="8"/>
  </w:num>
  <w:num w:numId="16">
    <w:abstractNumId w:val="16"/>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num>
  <w:num w:numId="23">
    <w:abstractNumId w:val="4"/>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0F"/>
    <w:rsid w:val="0000002C"/>
    <w:rsid w:val="0000023C"/>
    <w:rsid w:val="000003BE"/>
    <w:rsid w:val="00000403"/>
    <w:rsid w:val="0000074A"/>
    <w:rsid w:val="00000D98"/>
    <w:rsid w:val="00000E96"/>
    <w:rsid w:val="00000F9B"/>
    <w:rsid w:val="0000113A"/>
    <w:rsid w:val="00001AB4"/>
    <w:rsid w:val="00001B7E"/>
    <w:rsid w:val="00001E3A"/>
    <w:rsid w:val="00003187"/>
    <w:rsid w:val="0000558F"/>
    <w:rsid w:val="0000581D"/>
    <w:rsid w:val="000061EC"/>
    <w:rsid w:val="00006587"/>
    <w:rsid w:val="000067F8"/>
    <w:rsid w:val="00006FB8"/>
    <w:rsid w:val="000073BB"/>
    <w:rsid w:val="000075EA"/>
    <w:rsid w:val="00010554"/>
    <w:rsid w:val="0001066F"/>
    <w:rsid w:val="0001067B"/>
    <w:rsid w:val="00010711"/>
    <w:rsid w:val="00011222"/>
    <w:rsid w:val="00011425"/>
    <w:rsid w:val="000114A2"/>
    <w:rsid w:val="0001185A"/>
    <w:rsid w:val="0001185D"/>
    <w:rsid w:val="000120EE"/>
    <w:rsid w:val="00012852"/>
    <w:rsid w:val="00013222"/>
    <w:rsid w:val="00014113"/>
    <w:rsid w:val="000145EC"/>
    <w:rsid w:val="00014E2B"/>
    <w:rsid w:val="000157AC"/>
    <w:rsid w:val="00015A38"/>
    <w:rsid w:val="00016112"/>
    <w:rsid w:val="0002095B"/>
    <w:rsid w:val="00020D30"/>
    <w:rsid w:val="00023001"/>
    <w:rsid w:val="00023D7D"/>
    <w:rsid w:val="00023FED"/>
    <w:rsid w:val="0002468F"/>
    <w:rsid w:val="000253B4"/>
    <w:rsid w:val="000256E7"/>
    <w:rsid w:val="00026055"/>
    <w:rsid w:val="00026A31"/>
    <w:rsid w:val="000309B1"/>
    <w:rsid w:val="00031BD8"/>
    <w:rsid w:val="00032073"/>
    <w:rsid w:val="00032331"/>
    <w:rsid w:val="00032382"/>
    <w:rsid w:val="00032521"/>
    <w:rsid w:val="00032F34"/>
    <w:rsid w:val="0003370B"/>
    <w:rsid w:val="00034404"/>
    <w:rsid w:val="0003497D"/>
    <w:rsid w:val="00035216"/>
    <w:rsid w:val="00035EAF"/>
    <w:rsid w:val="00035F92"/>
    <w:rsid w:val="00036ABD"/>
    <w:rsid w:val="00036B5B"/>
    <w:rsid w:val="00036CD4"/>
    <w:rsid w:val="00036D06"/>
    <w:rsid w:val="00036DC5"/>
    <w:rsid w:val="0003724A"/>
    <w:rsid w:val="00037522"/>
    <w:rsid w:val="00040666"/>
    <w:rsid w:val="00040A60"/>
    <w:rsid w:val="00040B3C"/>
    <w:rsid w:val="00040D21"/>
    <w:rsid w:val="00040F40"/>
    <w:rsid w:val="000414A0"/>
    <w:rsid w:val="0004174D"/>
    <w:rsid w:val="000423E2"/>
    <w:rsid w:val="000444EA"/>
    <w:rsid w:val="00044872"/>
    <w:rsid w:val="00044BDC"/>
    <w:rsid w:val="000453F8"/>
    <w:rsid w:val="00045F84"/>
    <w:rsid w:val="000461CF"/>
    <w:rsid w:val="00046C14"/>
    <w:rsid w:val="00047488"/>
    <w:rsid w:val="0005137C"/>
    <w:rsid w:val="00051A59"/>
    <w:rsid w:val="00051DDE"/>
    <w:rsid w:val="00051F7F"/>
    <w:rsid w:val="000520EF"/>
    <w:rsid w:val="00053254"/>
    <w:rsid w:val="00053F53"/>
    <w:rsid w:val="0005567C"/>
    <w:rsid w:val="00055F67"/>
    <w:rsid w:val="00056424"/>
    <w:rsid w:val="000564FA"/>
    <w:rsid w:val="00057459"/>
    <w:rsid w:val="00057F71"/>
    <w:rsid w:val="00061353"/>
    <w:rsid w:val="000616E7"/>
    <w:rsid w:val="00061F12"/>
    <w:rsid w:val="00062067"/>
    <w:rsid w:val="0006206C"/>
    <w:rsid w:val="00062F44"/>
    <w:rsid w:val="000635D4"/>
    <w:rsid w:val="00063B94"/>
    <w:rsid w:val="00063CDE"/>
    <w:rsid w:val="00063FA5"/>
    <w:rsid w:val="000652C7"/>
    <w:rsid w:val="00065499"/>
    <w:rsid w:val="000655DC"/>
    <w:rsid w:val="00065B2D"/>
    <w:rsid w:val="00065C62"/>
    <w:rsid w:val="00065CDE"/>
    <w:rsid w:val="00065E1D"/>
    <w:rsid w:val="00065F4A"/>
    <w:rsid w:val="000662E3"/>
    <w:rsid w:val="0006633C"/>
    <w:rsid w:val="00066683"/>
    <w:rsid w:val="00066896"/>
    <w:rsid w:val="00066A30"/>
    <w:rsid w:val="00066D9F"/>
    <w:rsid w:val="00066E74"/>
    <w:rsid w:val="00070F8F"/>
    <w:rsid w:val="00071231"/>
    <w:rsid w:val="00071520"/>
    <w:rsid w:val="00072FCB"/>
    <w:rsid w:val="00073C55"/>
    <w:rsid w:val="000740F9"/>
    <w:rsid w:val="00074125"/>
    <w:rsid w:val="00074B5D"/>
    <w:rsid w:val="000765DA"/>
    <w:rsid w:val="000766FF"/>
    <w:rsid w:val="00076A0C"/>
    <w:rsid w:val="00076E60"/>
    <w:rsid w:val="00077506"/>
    <w:rsid w:val="00077612"/>
    <w:rsid w:val="000778EF"/>
    <w:rsid w:val="00077A95"/>
    <w:rsid w:val="00077C12"/>
    <w:rsid w:val="00080310"/>
    <w:rsid w:val="00080C33"/>
    <w:rsid w:val="00080FF3"/>
    <w:rsid w:val="0008165D"/>
    <w:rsid w:val="00081BEF"/>
    <w:rsid w:val="0008207A"/>
    <w:rsid w:val="000827EF"/>
    <w:rsid w:val="00082CB8"/>
    <w:rsid w:val="00083DA3"/>
    <w:rsid w:val="000847FE"/>
    <w:rsid w:val="00084DEF"/>
    <w:rsid w:val="00085532"/>
    <w:rsid w:val="00086133"/>
    <w:rsid w:val="00086746"/>
    <w:rsid w:val="00087AF1"/>
    <w:rsid w:val="000901B4"/>
    <w:rsid w:val="00090ABE"/>
    <w:rsid w:val="000910AE"/>
    <w:rsid w:val="000914A6"/>
    <w:rsid w:val="0009198B"/>
    <w:rsid w:val="00091D04"/>
    <w:rsid w:val="000921E2"/>
    <w:rsid w:val="000925A3"/>
    <w:rsid w:val="000925C5"/>
    <w:rsid w:val="00092DD6"/>
    <w:rsid w:val="00092FC0"/>
    <w:rsid w:val="00092FCB"/>
    <w:rsid w:val="000933BF"/>
    <w:rsid w:val="00093705"/>
    <w:rsid w:val="000948E8"/>
    <w:rsid w:val="00094952"/>
    <w:rsid w:val="00095015"/>
    <w:rsid w:val="00095EAA"/>
    <w:rsid w:val="00095FAC"/>
    <w:rsid w:val="00096CC4"/>
    <w:rsid w:val="0009735B"/>
    <w:rsid w:val="00097410"/>
    <w:rsid w:val="00097A9D"/>
    <w:rsid w:val="00097C23"/>
    <w:rsid w:val="000A06C1"/>
    <w:rsid w:val="000A071C"/>
    <w:rsid w:val="000A0DFF"/>
    <w:rsid w:val="000A0FD4"/>
    <w:rsid w:val="000A11DF"/>
    <w:rsid w:val="000A1D87"/>
    <w:rsid w:val="000A253C"/>
    <w:rsid w:val="000A2694"/>
    <w:rsid w:val="000A2EF1"/>
    <w:rsid w:val="000A2FD8"/>
    <w:rsid w:val="000A3C4F"/>
    <w:rsid w:val="000A3E0E"/>
    <w:rsid w:val="000A451A"/>
    <w:rsid w:val="000A4800"/>
    <w:rsid w:val="000A4C2D"/>
    <w:rsid w:val="000A4ED4"/>
    <w:rsid w:val="000A54B7"/>
    <w:rsid w:val="000A6668"/>
    <w:rsid w:val="000A68FC"/>
    <w:rsid w:val="000A6D9F"/>
    <w:rsid w:val="000A6FBD"/>
    <w:rsid w:val="000A7263"/>
    <w:rsid w:val="000A76D3"/>
    <w:rsid w:val="000B0CA9"/>
    <w:rsid w:val="000B2AF1"/>
    <w:rsid w:val="000B39CB"/>
    <w:rsid w:val="000B3C21"/>
    <w:rsid w:val="000B408E"/>
    <w:rsid w:val="000B4140"/>
    <w:rsid w:val="000B44F3"/>
    <w:rsid w:val="000B4C62"/>
    <w:rsid w:val="000B56CD"/>
    <w:rsid w:val="000B57AF"/>
    <w:rsid w:val="000B5CEE"/>
    <w:rsid w:val="000B5EAE"/>
    <w:rsid w:val="000B6B69"/>
    <w:rsid w:val="000B6FC5"/>
    <w:rsid w:val="000B7627"/>
    <w:rsid w:val="000B7D8B"/>
    <w:rsid w:val="000C0142"/>
    <w:rsid w:val="000C05A6"/>
    <w:rsid w:val="000C095F"/>
    <w:rsid w:val="000C0D69"/>
    <w:rsid w:val="000C0FA5"/>
    <w:rsid w:val="000C254F"/>
    <w:rsid w:val="000C32EA"/>
    <w:rsid w:val="000C3809"/>
    <w:rsid w:val="000C3D1F"/>
    <w:rsid w:val="000C4BAC"/>
    <w:rsid w:val="000C559F"/>
    <w:rsid w:val="000C5913"/>
    <w:rsid w:val="000C5C71"/>
    <w:rsid w:val="000C5F47"/>
    <w:rsid w:val="000C666C"/>
    <w:rsid w:val="000C6842"/>
    <w:rsid w:val="000C6A40"/>
    <w:rsid w:val="000C6A75"/>
    <w:rsid w:val="000C6AD0"/>
    <w:rsid w:val="000C7D6F"/>
    <w:rsid w:val="000D0023"/>
    <w:rsid w:val="000D0073"/>
    <w:rsid w:val="000D11ED"/>
    <w:rsid w:val="000D134C"/>
    <w:rsid w:val="000D14AD"/>
    <w:rsid w:val="000D1581"/>
    <w:rsid w:val="000D17DE"/>
    <w:rsid w:val="000D1B67"/>
    <w:rsid w:val="000D234A"/>
    <w:rsid w:val="000D281D"/>
    <w:rsid w:val="000D2E92"/>
    <w:rsid w:val="000D4578"/>
    <w:rsid w:val="000D546F"/>
    <w:rsid w:val="000D556F"/>
    <w:rsid w:val="000D6341"/>
    <w:rsid w:val="000D6377"/>
    <w:rsid w:val="000D7DD7"/>
    <w:rsid w:val="000E00E5"/>
    <w:rsid w:val="000E02FA"/>
    <w:rsid w:val="000E08A3"/>
    <w:rsid w:val="000E09D3"/>
    <w:rsid w:val="000E1A28"/>
    <w:rsid w:val="000E1D53"/>
    <w:rsid w:val="000E2605"/>
    <w:rsid w:val="000E38E6"/>
    <w:rsid w:val="000E428B"/>
    <w:rsid w:val="000E4413"/>
    <w:rsid w:val="000E4523"/>
    <w:rsid w:val="000E4F36"/>
    <w:rsid w:val="000E4F7E"/>
    <w:rsid w:val="000E5102"/>
    <w:rsid w:val="000E563A"/>
    <w:rsid w:val="000E7196"/>
    <w:rsid w:val="000E7CCD"/>
    <w:rsid w:val="000F02F2"/>
    <w:rsid w:val="000F04A4"/>
    <w:rsid w:val="000F135C"/>
    <w:rsid w:val="000F1A51"/>
    <w:rsid w:val="000F2534"/>
    <w:rsid w:val="000F287F"/>
    <w:rsid w:val="000F2C10"/>
    <w:rsid w:val="000F2F5B"/>
    <w:rsid w:val="000F3652"/>
    <w:rsid w:val="000F3704"/>
    <w:rsid w:val="000F3E5C"/>
    <w:rsid w:val="000F49EE"/>
    <w:rsid w:val="000F5B2D"/>
    <w:rsid w:val="000F7593"/>
    <w:rsid w:val="000F7CF7"/>
    <w:rsid w:val="001001C2"/>
    <w:rsid w:val="001006BD"/>
    <w:rsid w:val="001007F4"/>
    <w:rsid w:val="00101463"/>
    <w:rsid w:val="0010176A"/>
    <w:rsid w:val="00102DD6"/>
    <w:rsid w:val="00102FEB"/>
    <w:rsid w:val="00103987"/>
    <w:rsid w:val="00104C83"/>
    <w:rsid w:val="00105290"/>
    <w:rsid w:val="001052DB"/>
    <w:rsid w:val="00105C06"/>
    <w:rsid w:val="00105CFC"/>
    <w:rsid w:val="001061FD"/>
    <w:rsid w:val="001063AF"/>
    <w:rsid w:val="0010733B"/>
    <w:rsid w:val="00107D45"/>
    <w:rsid w:val="00111BF9"/>
    <w:rsid w:val="00112860"/>
    <w:rsid w:val="00112E87"/>
    <w:rsid w:val="0011380D"/>
    <w:rsid w:val="001152C6"/>
    <w:rsid w:val="00115307"/>
    <w:rsid w:val="00115322"/>
    <w:rsid w:val="00115817"/>
    <w:rsid w:val="00115A18"/>
    <w:rsid w:val="00115C50"/>
    <w:rsid w:val="00115E94"/>
    <w:rsid w:val="00115ED1"/>
    <w:rsid w:val="00116704"/>
    <w:rsid w:val="00116779"/>
    <w:rsid w:val="001167F7"/>
    <w:rsid w:val="00116F81"/>
    <w:rsid w:val="0011727A"/>
    <w:rsid w:val="00117306"/>
    <w:rsid w:val="001208FC"/>
    <w:rsid w:val="00120A42"/>
    <w:rsid w:val="00120D37"/>
    <w:rsid w:val="00121E6D"/>
    <w:rsid w:val="00122027"/>
    <w:rsid w:val="00122FC4"/>
    <w:rsid w:val="0012311C"/>
    <w:rsid w:val="00123975"/>
    <w:rsid w:val="00124A08"/>
    <w:rsid w:val="00124BAB"/>
    <w:rsid w:val="00124BCF"/>
    <w:rsid w:val="00124E50"/>
    <w:rsid w:val="00124F56"/>
    <w:rsid w:val="00125273"/>
    <w:rsid w:val="00125327"/>
    <w:rsid w:val="001253AF"/>
    <w:rsid w:val="001254B6"/>
    <w:rsid w:val="00126147"/>
    <w:rsid w:val="00126369"/>
    <w:rsid w:val="00126539"/>
    <w:rsid w:val="00126844"/>
    <w:rsid w:val="00126989"/>
    <w:rsid w:val="00126CCA"/>
    <w:rsid w:val="00126CF9"/>
    <w:rsid w:val="00126F56"/>
    <w:rsid w:val="0012701F"/>
    <w:rsid w:val="00127431"/>
    <w:rsid w:val="001279AE"/>
    <w:rsid w:val="001300A5"/>
    <w:rsid w:val="00130556"/>
    <w:rsid w:val="0013092C"/>
    <w:rsid w:val="00130FFF"/>
    <w:rsid w:val="0013174F"/>
    <w:rsid w:val="00131ADC"/>
    <w:rsid w:val="00131B00"/>
    <w:rsid w:val="00131B67"/>
    <w:rsid w:val="00132DB3"/>
    <w:rsid w:val="001332E9"/>
    <w:rsid w:val="00133783"/>
    <w:rsid w:val="00133931"/>
    <w:rsid w:val="00133E63"/>
    <w:rsid w:val="0013400D"/>
    <w:rsid w:val="001341F7"/>
    <w:rsid w:val="00134256"/>
    <w:rsid w:val="00134415"/>
    <w:rsid w:val="00135439"/>
    <w:rsid w:val="001355F6"/>
    <w:rsid w:val="00135E86"/>
    <w:rsid w:val="001364A7"/>
    <w:rsid w:val="00136C40"/>
    <w:rsid w:val="00136E76"/>
    <w:rsid w:val="001378F0"/>
    <w:rsid w:val="00140597"/>
    <w:rsid w:val="00140A9F"/>
    <w:rsid w:val="00140EBA"/>
    <w:rsid w:val="00140F80"/>
    <w:rsid w:val="0014177B"/>
    <w:rsid w:val="00142B31"/>
    <w:rsid w:val="0014308C"/>
    <w:rsid w:val="00143539"/>
    <w:rsid w:val="00143AB6"/>
    <w:rsid w:val="00144203"/>
    <w:rsid w:val="00144476"/>
    <w:rsid w:val="001445D8"/>
    <w:rsid w:val="0014484D"/>
    <w:rsid w:val="00144943"/>
    <w:rsid w:val="00144F5B"/>
    <w:rsid w:val="00144F8C"/>
    <w:rsid w:val="00145913"/>
    <w:rsid w:val="001468C6"/>
    <w:rsid w:val="00146C47"/>
    <w:rsid w:val="00146D89"/>
    <w:rsid w:val="001471EE"/>
    <w:rsid w:val="00147D00"/>
    <w:rsid w:val="0015090E"/>
    <w:rsid w:val="00150E6E"/>
    <w:rsid w:val="001513EC"/>
    <w:rsid w:val="001514BD"/>
    <w:rsid w:val="001520CE"/>
    <w:rsid w:val="00152CAD"/>
    <w:rsid w:val="001531B4"/>
    <w:rsid w:val="0015351D"/>
    <w:rsid w:val="001541AF"/>
    <w:rsid w:val="0015421B"/>
    <w:rsid w:val="0015466B"/>
    <w:rsid w:val="0015540B"/>
    <w:rsid w:val="00155816"/>
    <w:rsid w:val="00156546"/>
    <w:rsid w:val="001565B2"/>
    <w:rsid w:val="00157D65"/>
    <w:rsid w:val="00160FB5"/>
    <w:rsid w:val="00161116"/>
    <w:rsid w:val="00161996"/>
    <w:rsid w:val="00161F48"/>
    <w:rsid w:val="00162405"/>
    <w:rsid w:val="00162E7C"/>
    <w:rsid w:val="001632D9"/>
    <w:rsid w:val="0016401A"/>
    <w:rsid w:val="00164730"/>
    <w:rsid w:val="001648BA"/>
    <w:rsid w:val="00164CCE"/>
    <w:rsid w:val="00165A49"/>
    <w:rsid w:val="00165B86"/>
    <w:rsid w:val="00166622"/>
    <w:rsid w:val="0016762A"/>
    <w:rsid w:val="00167D89"/>
    <w:rsid w:val="0017077E"/>
    <w:rsid w:val="0017085F"/>
    <w:rsid w:val="00170B7C"/>
    <w:rsid w:val="00170C11"/>
    <w:rsid w:val="001714D2"/>
    <w:rsid w:val="0017190E"/>
    <w:rsid w:val="001722AD"/>
    <w:rsid w:val="00172900"/>
    <w:rsid w:val="00172BEC"/>
    <w:rsid w:val="00172DBC"/>
    <w:rsid w:val="00172EA0"/>
    <w:rsid w:val="00173577"/>
    <w:rsid w:val="0017371C"/>
    <w:rsid w:val="00173B5E"/>
    <w:rsid w:val="00173C8F"/>
    <w:rsid w:val="00173E98"/>
    <w:rsid w:val="00173EC1"/>
    <w:rsid w:val="0017501F"/>
    <w:rsid w:val="001751BC"/>
    <w:rsid w:val="00175683"/>
    <w:rsid w:val="00175E09"/>
    <w:rsid w:val="00175EE3"/>
    <w:rsid w:val="0017638E"/>
    <w:rsid w:val="00176AA5"/>
    <w:rsid w:val="0017720E"/>
    <w:rsid w:val="001772B0"/>
    <w:rsid w:val="00177893"/>
    <w:rsid w:val="00177FB4"/>
    <w:rsid w:val="00177FC4"/>
    <w:rsid w:val="00180405"/>
    <w:rsid w:val="00180DAD"/>
    <w:rsid w:val="001816CF"/>
    <w:rsid w:val="00181B95"/>
    <w:rsid w:val="00181CA2"/>
    <w:rsid w:val="00181FB2"/>
    <w:rsid w:val="001820C5"/>
    <w:rsid w:val="00182639"/>
    <w:rsid w:val="0018278A"/>
    <w:rsid w:val="00182EAA"/>
    <w:rsid w:val="00183873"/>
    <w:rsid w:val="00184221"/>
    <w:rsid w:val="001848BA"/>
    <w:rsid w:val="00184EBB"/>
    <w:rsid w:val="001855F1"/>
    <w:rsid w:val="00185F94"/>
    <w:rsid w:val="00186206"/>
    <w:rsid w:val="00186307"/>
    <w:rsid w:val="0018689A"/>
    <w:rsid w:val="00186BE0"/>
    <w:rsid w:val="00186EBC"/>
    <w:rsid w:val="0018704D"/>
    <w:rsid w:val="0018713C"/>
    <w:rsid w:val="00187226"/>
    <w:rsid w:val="00187447"/>
    <w:rsid w:val="0019027A"/>
    <w:rsid w:val="00190ECE"/>
    <w:rsid w:val="00191813"/>
    <w:rsid w:val="00192FC0"/>
    <w:rsid w:val="00193405"/>
    <w:rsid w:val="001935E9"/>
    <w:rsid w:val="00193B42"/>
    <w:rsid w:val="00193C47"/>
    <w:rsid w:val="00194044"/>
    <w:rsid w:val="001941CE"/>
    <w:rsid w:val="00195117"/>
    <w:rsid w:val="00195406"/>
    <w:rsid w:val="00195B75"/>
    <w:rsid w:val="00195DA4"/>
    <w:rsid w:val="00196C5D"/>
    <w:rsid w:val="00196E12"/>
    <w:rsid w:val="00197341"/>
    <w:rsid w:val="00197703"/>
    <w:rsid w:val="001978FC"/>
    <w:rsid w:val="00197D77"/>
    <w:rsid w:val="001A0142"/>
    <w:rsid w:val="001A02B2"/>
    <w:rsid w:val="001A1188"/>
    <w:rsid w:val="001A1C04"/>
    <w:rsid w:val="001A2597"/>
    <w:rsid w:val="001A2734"/>
    <w:rsid w:val="001A3009"/>
    <w:rsid w:val="001A3998"/>
    <w:rsid w:val="001A3E7E"/>
    <w:rsid w:val="001A4545"/>
    <w:rsid w:val="001A485F"/>
    <w:rsid w:val="001A5423"/>
    <w:rsid w:val="001A5861"/>
    <w:rsid w:val="001A5DBB"/>
    <w:rsid w:val="001A6105"/>
    <w:rsid w:val="001A61B6"/>
    <w:rsid w:val="001B00CE"/>
    <w:rsid w:val="001B0C7C"/>
    <w:rsid w:val="001B1845"/>
    <w:rsid w:val="001B1A42"/>
    <w:rsid w:val="001B1C0D"/>
    <w:rsid w:val="001B2407"/>
    <w:rsid w:val="001B2B68"/>
    <w:rsid w:val="001B3600"/>
    <w:rsid w:val="001B40C1"/>
    <w:rsid w:val="001B4790"/>
    <w:rsid w:val="001B4C72"/>
    <w:rsid w:val="001B5A4F"/>
    <w:rsid w:val="001B6389"/>
    <w:rsid w:val="001C0476"/>
    <w:rsid w:val="001C04CC"/>
    <w:rsid w:val="001C051E"/>
    <w:rsid w:val="001C1ACE"/>
    <w:rsid w:val="001C1C11"/>
    <w:rsid w:val="001C27C7"/>
    <w:rsid w:val="001C30AF"/>
    <w:rsid w:val="001C3C13"/>
    <w:rsid w:val="001C3E85"/>
    <w:rsid w:val="001C4329"/>
    <w:rsid w:val="001C4D8E"/>
    <w:rsid w:val="001C5639"/>
    <w:rsid w:val="001C5D7A"/>
    <w:rsid w:val="001C6199"/>
    <w:rsid w:val="001C6BCD"/>
    <w:rsid w:val="001C6D80"/>
    <w:rsid w:val="001C739A"/>
    <w:rsid w:val="001C795D"/>
    <w:rsid w:val="001C7B76"/>
    <w:rsid w:val="001D0570"/>
    <w:rsid w:val="001D07C4"/>
    <w:rsid w:val="001D08F0"/>
    <w:rsid w:val="001D1396"/>
    <w:rsid w:val="001D14F1"/>
    <w:rsid w:val="001D1C66"/>
    <w:rsid w:val="001D1D9C"/>
    <w:rsid w:val="001D1E9F"/>
    <w:rsid w:val="001D4309"/>
    <w:rsid w:val="001D4F8B"/>
    <w:rsid w:val="001D5052"/>
    <w:rsid w:val="001D5125"/>
    <w:rsid w:val="001D5DE3"/>
    <w:rsid w:val="001D6D76"/>
    <w:rsid w:val="001D6E2F"/>
    <w:rsid w:val="001D6F15"/>
    <w:rsid w:val="001D72C8"/>
    <w:rsid w:val="001E079C"/>
    <w:rsid w:val="001E098F"/>
    <w:rsid w:val="001E0FBB"/>
    <w:rsid w:val="001E18C4"/>
    <w:rsid w:val="001E1B7E"/>
    <w:rsid w:val="001E1B84"/>
    <w:rsid w:val="001E1D10"/>
    <w:rsid w:val="001E24E2"/>
    <w:rsid w:val="001E3C51"/>
    <w:rsid w:val="001E4037"/>
    <w:rsid w:val="001E4361"/>
    <w:rsid w:val="001E4891"/>
    <w:rsid w:val="001E4B0A"/>
    <w:rsid w:val="001E4DA3"/>
    <w:rsid w:val="001E5125"/>
    <w:rsid w:val="001E52D6"/>
    <w:rsid w:val="001E5918"/>
    <w:rsid w:val="001E609D"/>
    <w:rsid w:val="001E6978"/>
    <w:rsid w:val="001E71AD"/>
    <w:rsid w:val="001E72A6"/>
    <w:rsid w:val="001F008B"/>
    <w:rsid w:val="001F0131"/>
    <w:rsid w:val="001F056E"/>
    <w:rsid w:val="001F073C"/>
    <w:rsid w:val="001F097D"/>
    <w:rsid w:val="001F0988"/>
    <w:rsid w:val="001F0EAE"/>
    <w:rsid w:val="001F1D57"/>
    <w:rsid w:val="001F2011"/>
    <w:rsid w:val="001F2587"/>
    <w:rsid w:val="001F2912"/>
    <w:rsid w:val="001F2930"/>
    <w:rsid w:val="001F294B"/>
    <w:rsid w:val="001F329A"/>
    <w:rsid w:val="001F4726"/>
    <w:rsid w:val="001F4F83"/>
    <w:rsid w:val="001F52C5"/>
    <w:rsid w:val="001F5663"/>
    <w:rsid w:val="001F636E"/>
    <w:rsid w:val="001F6A0D"/>
    <w:rsid w:val="001F6FB4"/>
    <w:rsid w:val="002001C6"/>
    <w:rsid w:val="00200296"/>
    <w:rsid w:val="00201419"/>
    <w:rsid w:val="00201ADB"/>
    <w:rsid w:val="00202DC9"/>
    <w:rsid w:val="00204AB1"/>
    <w:rsid w:val="00204CD8"/>
    <w:rsid w:val="00204DC3"/>
    <w:rsid w:val="00204E44"/>
    <w:rsid w:val="002058E5"/>
    <w:rsid w:val="002059D7"/>
    <w:rsid w:val="00205D5D"/>
    <w:rsid w:val="002102A1"/>
    <w:rsid w:val="00210345"/>
    <w:rsid w:val="0021076F"/>
    <w:rsid w:val="00210BF8"/>
    <w:rsid w:val="00210E19"/>
    <w:rsid w:val="00210FAA"/>
    <w:rsid w:val="0021155B"/>
    <w:rsid w:val="00211845"/>
    <w:rsid w:val="00211F02"/>
    <w:rsid w:val="00212369"/>
    <w:rsid w:val="0021247E"/>
    <w:rsid w:val="0021253F"/>
    <w:rsid w:val="002125B3"/>
    <w:rsid w:val="00212B08"/>
    <w:rsid w:val="0021394F"/>
    <w:rsid w:val="00213A26"/>
    <w:rsid w:val="002156AD"/>
    <w:rsid w:val="00215BA0"/>
    <w:rsid w:val="00215D95"/>
    <w:rsid w:val="002162A3"/>
    <w:rsid w:val="00216B8A"/>
    <w:rsid w:val="0021726E"/>
    <w:rsid w:val="002177B3"/>
    <w:rsid w:val="002177F5"/>
    <w:rsid w:val="0022098C"/>
    <w:rsid w:val="00221C9C"/>
    <w:rsid w:val="00222FA0"/>
    <w:rsid w:val="002233D5"/>
    <w:rsid w:val="002234A6"/>
    <w:rsid w:val="00223DB2"/>
    <w:rsid w:val="00224596"/>
    <w:rsid w:val="00224A44"/>
    <w:rsid w:val="002256ED"/>
    <w:rsid w:val="002257C7"/>
    <w:rsid w:val="00225DD8"/>
    <w:rsid w:val="00226B45"/>
    <w:rsid w:val="00226C21"/>
    <w:rsid w:val="00226F81"/>
    <w:rsid w:val="0022700B"/>
    <w:rsid w:val="0022751F"/>
    <w:rsid w:val="002275BF"/>
    <w:rsid w:val="002278E2"/>
    <w:rsid w:val="0022797C"/>
    <w:rsid w:val="00227C1D"/>
    <w:rsid w:val="002301EF"/>
    <w:rsid w:val="00230757"/>
    <w:rsid w:val="00230D07"/>
    <w:rsid w:val="002311CF"/>
    <w:rsid w:val="00231D92"/>
    <w:rsid w:val="00231DD9"/>
    <w:rsid w:val="00232279"/>
    <w:rsid w:val="00232717"/>
    <w:rsid w:val="00233193"/>
    <w:rsid w:val="002335BF"/>
    <w:rsid w:val="002350C7"/>
    <w:rsid w:val="00235B14"/>
    <w:rsid w:val="00235F66"/>
    <w:rsid w:val="00236440"/>
    <w:rsid w:val="002366DD"/>
    <w:rsid w:val="00237007"/>
    <w:rsid w:val="00237A57"/>
    <w:rsid w:val="00237DCB"/>
    <w:rsid w:val="002422EF"/>
    <w:rsid w:val="002424E0"/>
    <w:rsid w:val="002425EA"/>
    <w:rsid w:val="00242B78"/>
    <w:rsid w:val="00242C2D"/>
    <w:rsid w:val="00242C7D"/>
    <w:rsid w:val="00242EA0"/>
    <w:rsid w:val="00243685"/>
    <w:rsid w:val="0024440F"/>
    <w:rsid w:val="002447DA"/>
    <w:rsid w:val="0024485E"/>
    <w:rsid w:val="00244C3A"/>
    <w:rsid w:val="00244C44"/>
    <w:rsid w:val="00245340"/>
    <w:rsid w:val="002455DE"/>
    <w:rsid w:val="00245CF3"/>
    <w:rsid w:val="00246097"/>
    <w:rsid w:val="002467B7"/>
    <w:rsid w:val="00246890"/>
    <w:rsid w:val="00246F96"/>
    <w:rsid w:val="00247286"/>
    <w:rsid w:val="002472CB"/>
    <w:rsid w:val="00247451"/>
    <w:rsid w:val="00250250"/>
    <w:rsid w:val="002510DE"/>
    <w:rsid w:val="00251D74"/>
    <w:rsid w:val="002521C8"/>
    <w:rsid w:val="00252803"/>
    <w:rsid w:val="002528BD"/>
    <w:rsid w:val="00252E67"/>
    <w:rsid w:val="00253240"/>
    <w:rsid w:val="0025426A"/>
    <w:rsid w:val="00254324"/>
    <w:rsid w:val="0025474C"/>
    <w:rsid w:val="00254BA0"/>
    <w:rsid w:val="00254ED0"/>
    <w:rsid w:val="0025613F"/>
    <w:rsid w:val="002563FE"/>
    <w:rsid w:val="00260174"/>
    <w:rsid w:val="00261242"/>
    <w:rsid w:val="00261348"/>
    <w:rsid w:val="00261DC6"/>
    <w:rsid w:val="002621D4"/>
    <w:rsid w:val="002624EA"/>
    <w:rsid w:val="00262932"/>
    <w:rsid w:val="002629BB"/>
    <w:rsid w:val="00263CA4"/>
    <w:rsid w:val="00263D66"/>
    <w:rsid w:val="00264585"/>
    <w:rsid w:val="00264623"/>
    <w:rsid w:val="00264FD2"/>
    <w:rsid w:val="00265443"/>
    <w:rsid w:val="00265B24"/>
    <w:rsid w:val="00265DB1"/>
    <w:rsid w:val="00265DDE"/>
    <w:rsid w:val="00265EA8"/>
    <w:rsid w:val="00265F61"/>
    <w:rsid w:val="00266123"/>
    <w:rsid w:val="00266C2F"/>
    <w:rsid w:val="00267DE5"/>
    <w:rsid w:val="00270D89"/>
    <w:rsid w:val="00270E06"/>
    <w:rsid w:val="00270E2D"/>
    <w:rsid w:val="00271711"/>
    <w:rsid w:val="0027232F"/>
    <w:rsid w:val="00272BF2"/>
    <w:rsid w:val="00272F9F"/>
    <w:rsid w:val="002733D3"/>
    <w:rsid w:val="00273C92"/>
    <w:rsid w:val="00273E97"/>
    <w:rsid w:val="002758FC"/>
    <w:rsid w:val="00275F09"/>
    <w:rsid w:val="0027653A"/>
    <w:rsid w:val="002772A2"/>
    <w:rsid w:val="002779D0"/>
    <w:rsid w:val="00280448"/>
    <w:rsid w:val="002806FD"/>
    <w:rsid w:val="00280B5B"/>
    <w:rsid w:val="00281A8C"/>
    <w:rsid w:val="00281B37"/>
    <w:rsid w:val="00282031"/>
    <w:rsid w:val="00282D1F"/>
    <w:rsid w:val="002830CC"/>
    <w:rsid w:val="00283463"/>
    <w:rsid w:val="002836DF"/>
    <w:rsid w:val="002838B8"/>
    <w:rsid w:val="00284D88"/>
    <w:rsid w:val="00285239"/>
    <w:rsid w:val="0028547E"/>
    <w:rsid w:val="00285559"/>
    <w:rsid w:val="002858BC"/>
    <w:rsid w:val="00285A9B"/>
    <w:rsid w:val="00285F14"/>
    <w:rsid w:val="002864A5"/>
    <w:rsid w:val="00286A4C"/>
    <w:rsid w:val="002874E0"/>
    <w:rsid w:val="00287A35"/>
    <w:rsid w:val="00287F80"/>
    <w:rsid w:val="00287FA6"/>
    <w:rsid w:val="0029024F"/>
    <w:rsid w:val="00290A9A"/>
    <w:rsid w:val="00291373"/>
    <w:rsid w:val="00291A79"/>
    <w:rsid w:val="00291B26"/>
    <w:rsid w:val="00291CED"/>
    <w:rsid w:val="002928F4"/>
    <w:rsid w:val="00292A16"/>
    <w:rsid w:val="00292C37"/>
    <w:rsid w:val="00292D0F"/>
    <w:rsid w:val="00292E35"/>
    <w:rsid w:val="002937F7"/>
    <w:rsid w:val="002941F7"/>
    <w:rsid w:val="00294239"/>
    <w:rsid w:val="00295459"/>
    <w:rsid w:val="00295476"/>
    <w:rsid w:val="00295705"/>
    <w:rsid w:val="0029645B"/>
    <w:rsid w:val="0029653C"/>
    <w:rsid w:val="00297BD9"/>
    <w:rsid w:val="00297E0F"/>
    <w:rsid w:val="002A02D5"/>
    <w:rsid w:val="002A051A"/>
    <w:rsid w:val="002A0EF9"/>
    <w:rsid w:val="002A1232"/>
    <w:rsid w:val="002A1AF0"/>
    <w:rsid w:val="002A343E"/>
    <w:rsid w:val="002A43D0"/>
    <w:rsid w:val="002A4503"/>
    <w:rsid w:val="002A4DAF"/>
    <w:rsid w:val="002A5BBE"/>
    <w:rsid w:val="002A5D9C"/>
    <w:rsid w:val="002A6273"/>
    <w:rsid w:val="002A6611"/>
    <w:rsid w:val="002A6B77"/>
    <w:rsid w:val="002A6C00"/>
    <w:rsid w:val="002A7A75"/>
    <w:rsid w:val="002A7D27"/>
    <w:rsid w:val="002B02AF"/>
    <w:rsid w:val="002B02D4"/>
    <w:rsid w:val="002B0E95"/>
    <w:rsid w:val="002B17A0"/>
    <w:rsid w:val="002B1806"/>
    <w:rsid w:val="002B19D5"/>
    <w:rsid w:val="002B1FB0"/>
    <w:rsid w:val="002B2F83"/>
    <w:rsid w:val="002B36A7"/>
    <w:rsid w:val="002B3724"/>
    <w:rsid w:val="002B39EC"/>
    <w:rsid w:val="002B4616"/>
    <w:rsid w:val="002B4941"/>
    <w:rsid w:val="002B4B39"/>
    <w:rsid w:val="002B51DA"/>
    <w:rsid w:val="002B5D74"/>
    <w:rsid w:val="002B63CD"/>
    <w:rsid w:val="002B6CFA"/>
    <w:rsid w:val="002B7318"/>
    <w:rsid w:val="002B771B"/>
    <w:rsid w:val="002B79D8"/>
    <w:rsid w:val="002B7ADB"/>
    <w:rsid w:val="002C1D2F"/>
    <w:rsid w:val="002C2F90"/>
    <w:rsid w:val="002C36AE"/>
    <w:rsid w:val="002C4148"/>
    <w:rsid w:val="002C46B3"/>
    <w:rsid w:val="002C4AA1"/>
    <w:rsid w:val="002C4B59"/>
    <w:rsid w:val="002C4B78"/>
    <w:rsid w:val="002C623B"/>
    <w:rsid w:val="002C631D"/>
    <w:rsid w:val="002C707E"/>
    <w:rsid w:val="002C748F"/>
    <w:rsid w:val="002C7875"/>
    <w:rsid w:val="002C78E0"/>
    <w:rsid w:val="002D019C"/>
    <w:rsid w:val="002D0273"/>
    <w:rsid w:val="002D0911"/>
    <w:rsid w:val="002D0A0B"/>
    <w:rsid w:val="002D18E1"/>
    <w:rsid w:val="002D224B"/>
    <w:rsid w:val="002D2499"/>
    <w:rsid w:val="002D2A50"/>
    <w:rsid w:val="002D2FCA"/>
    <w:rsid w:val="002D3454"/>
    <w:rsid w:val="002D34C2"/>
    <w:rsid w:val="002D489D"/>
    <w:rsid w:val="002D5061"/>
    <w:rsid w:val="002D5576"/>
    <w:rsid w:val="002D55DE"/>
    <w:rsid w:val="002D591B"/>
    <w:rsid w:val="002D5E56"/>
    <w:rsid w:val="002D5EA7"/>
    <w:rsid w:val="002D64AB"/>
    <w:rsid w:val="002D7796"/>
    <w:rsid w:val="002D7823"/>
    <w:rsid w:val="002E0EBF"/>
    <w:rsid w:val="002E0F11"/>
    <w:rsid w:val="002E171F"/>
    <w:rsid w:val="002E17AF"/>
    <w:rsid w:val="002E1B18"/>
    <w:rsid w:val="002E2B29"/>
    <w:rsid w:val="002E2D0E"/>
    <w:rsid w:val="002E31F7"/>
    <w:rsid w:val="002E3E86"/>
    <w:rsid w:val="002E42FD"/>
    <w:rsid w:val="002E4C2D"/>
    <w:rsid w:val="002E4CA9"/>
    <w:rsid w:val="002E556F"/>
    <w:rsid w:val="002E5DEA"/>
    <w:rsid w:val="002E6306"/>
    <w:rsid w:val="002E6403"/>
    <w:rsid w:val="002E724A"/>
    <w:rsid w:val="002E7252"/>
    <w:rsid w:val="002E7C75"/>
    <w:rsid w:val="002E7E13"/>
    <w:rsid w:val="002F0437"/>
    <w:rsid w:val="002F08BA"/>
    <w:rsid w:val="002F0CC4"/>
    <w:rsid w:val="002F1752"/>
    <w:rsid w:val="002F1D0F"/>
    <w:rsid w:val="002F2329"/>
    <w:rsid w:val="002F311E"/>
    <w:rsid w:val="002F34CD"/>
    <w:rsid w:val="002F3629"/>
    <w:rsid w:val="002F3706"/>
    <w:rsid w:val="002F487F"/>
    <w:rsid w:val="002F5AC0"/>
    <w:rsid w:val="002F5B87"/>
    <w:rsid w:val="002F5C0A"/>
    <w:rsid w:val="002F6569"/>
    <w:rsid w:val="002F6B16"/>
    <w:rsid w:val="002F6CA2"/>
    <w:rsid w:val="002F71B8"/>
    <w:rsid w:val="002F7260"/>
    <w:rsid w:val="002F759F"/>
    <w:rsid w:val="002F7710"/>
    <w:rsid w:val="0030040F"/>
    <w:rsid w:val="0030057F"/>
    <w:rsid w:val="00300645"/>
    <w:rsid w:val="00301155"/>
    <w:rsid w:val="0030162B"/>
    <w:rsid w:val="0030172E"/>
    <w:rsid w:val="00301EA1"/>
    <w:rsid w:val="003029ED"/>
    <w:rsid w:val="00302B4C"/>
    <w:rsid w:val="00302FCC"/>
    <w:rsid w:val="00303CB3"/>
    <w:rsid w:val="00303CE1"/>
    <w:rsid w:val="00303FD6"/>
    <w:rsid w:val="003043D1"/>
    <w:rsid w:val="00304674"/>
    <w:rsid w:val="00304DC6"/>
    <w:rsid w:val="003053AD"/>
    <w:rsid w:val="00305705"/>
    <w:rsid w:val="00305855"/>
    <w:rsid w:val="00305873"/>
    <w:rsid w:val="003058D2"/>
    <w:rsid w:val="003062AE"/>
    <w:rsid w:val="00306454"/>
    <w:rsid w:val="00306C54"/>
    <w:rsid w:val="00306E08"/>
    <w:rsid w:val="003078A8"/>
    <w:rsid w:val="00307B33"/>
    <w:rsid w:val="00310529"/>
    <w:rsid w:val="00310E77"/>
    <w:rsid w:val="00312CA7"/>
    <w:rsid w:val="00313210"/>
    <w:rsid w:val="00313F0F"/>
    <w:rsid w:val="00315514"/>
    <w:rsid w:val="003157FF"/>
    <w:rsid w:val="00315A74"/>
    <w:rsid w:val="00315E59"/>
    <w:rsid w:val="00316F77"/>
    <w:rsid w:val="00317908"/>
    <w:rsid w:val="00317BD3"/>
    <w:rsid w:val="003204D3"/>
    <w:rsid w:val="003208C6"/>
    <w:rsid w:val="00320F8E"/>
    <w:rsid w:val="0032100A"/>
    <w:rsid w:val="003219E9"/>
    <w:rsid w:val="0032219F"/>
    <w:rsid w:val="0032261F"/>
    <w:rsid w:val="003228BE"/>
    <w:rsid w:val="0032480D"/>
    <w:rsid w:val="003248A8"/>
    <w:rsid w:val="00324FDB"/>
    <w:rsid w:val="0032531C"/>
    <w:rsid w:val="00325477"/>
    <w:rsid w:val="00325A0A"/>
    <w:rsid w:val="00325EA9"/>
    <w:rsid w:val="00326125"/>
    <w:rsid w:val="003261E3"/>
    <w:rsid w:val="0032655E"/>
    <w:rsid w:val="00326B2E"/>
    <w:rsid w:val="00326F51"/>
    <w:rsid w:val="00326F89"/>
    <w:rsid w:val="00327A9F"/>
    <w:rsid w:val="00330435"/>
    <w:rsid w:val="0033059C"/>
    <w:rsid w:val="00330766"/>
    <w:rsid w:val="003313F7"/>
    <w:rsid w:val="0033192D"/>
    <w:rsid w:val="0033212E"/>
    <w:rsid w:val="003329A7"/>
    <w:rsid w:val="00333022"/>
    <w:rsid w:val="00333916"/>
    <w:rsid w:val="003339A9"/>
    <w:rsid w:val="003339F1"/>
    <w:rsid w:val="0033428E"/>
    <w:rsid w:val="00334ACF"/>
    <w:rsid w:val="003354CA"/>
    <w:rsid w:val="00335684"/>
    <w:rsid w:val="003357D6"/>
    <w:rsid w:val="00335F67"/>
    <w:rsid w:val="00335FCF"/>
    <w:rsid w:val="0033617B"/>
    <w:rsid w:val="00337921"/>
    <w:rsid w:val="00337DB9"/>
    <w:rsid w:val="00337E14"/>
    <w:rsid w:val="00340376"/>
    <w:rsid w:val="00340658"/>
    <w:rsid w:val="00341164"/>
    <w:rsid w:val="00341721"/>
    <w:rsid w:val="00341A14"/>
    <w:rsid w:val="00343021"/>
    <w:rsid w:val="0034340B"/>
    <w:rsid w:val="00343B6B"/>
    <w:rsid w:val="00343C46"/>
    <w:rsid w:val="00343DEA"/>
    <w:rsid w:val="0034593F"/>
    <w:rsid w:val="00345D20"/>
    <w:rsid w:val="003463FD"/>
    <w:rsid w:val="003465BE"/>
    <w:rsid w:val="003467DF"/>
    <w:rsid w:val="00347204"/>
    <w:rsid w:val="0034721F"/>
    <w:rsid w:val="0035027F"/>
    <w:rsid w:val="003504CA"/>
    <w:rsid w:val="003508E4"/>
    <w:rsid w:val="003510F9"/>
    <w:rsid w:val="00351381"/>
    <w:rsid w:val="00351C3F"/>
    <w:rsid w:val="00352040"/>
    <w:rsid w:val="003520D7"/>
    <w:rsid w:val="00352AC0"/>
    <w:rsid w:val="003530A6"/>
    <w:rsid w:val="00353627"/>
    <w:rsid w:val="00353DCC"/>
    <w:rsid w:val="00355BDC"/>
    <w:rsid w:val="00355F72"/>
    <w:rsid w:val="00355FE9"/>
    <w:rsid w:val="003568DE"/>
    <w:rsid w:val="00357657"/>
    <w:rsid w:val="00357AB4"/>
    <w:rsid w:val="003603D9"/>
    <w:rsid w:val="003621A4"/>
    <w:rsid w:val="00362490"/>
    <w:rsid w:val="00362A2C"/>
    <w:rsid w:val="0036319C"/>
    <w:rsid w:val="003639A6"/>
    <w:rsid w:val="003651B4"/>
    <w:rsid w:val="00365689"/>
    <w:rsid w:val="00366966"/>
    <w:rsid w:val="003679AE"/>
    <w:rsid w:val="00367A03"/>
    <w:rsid w:val="00367F89"/>
    <w:rsid w:val="003703A9"/>
    <w:rsid w:val="00371B3F"/>
    <w:rsid w:val="00373140"/>
    <w:rsid w:val="00374008"/>
    <w:rsid w:val="00375886"/>
    <w:rsid w:val="00375A41"/>
    <w:rsid w:val="003764BF"/>
    <w:rsid w:val="00377992"/>
    <w:rsid w:val="00380680"/>
    <w:rsid w:val="003806E5"/>
    <w:rsid w:val="00381767"/>
    <w:rsid w:val="00381A2D"/>
    <w:rsid w:val="0038203D"/>
    <w:rsid w:val="00382680"/>
    <w:rsid w:val="0038281C"/>
    <w:rsid w:val="00382844"/>
    <w:rsid w:val="00383305"/>
    <w:rsid w:val="00383665"/>
    <w:rsid w:val="00383789"/>
    <w:rsid w:val="003838C3"/>
    <w:rsid w:val="00383AFC"/>
    <w:rsid w:val="00383BF4"/>
    <w:rsid w:val="00384E11"/>
    <w:rsid w:val="00384F28"/>
    <w:rsid w:val="003851FE"/>
    <w:rsid w:val="00385A64"/>
    <w:rsid w:val="003866A7"/>
    <w:rsid w:val="003869BC"/>
    <w:rsid w:val="00386D1A"/>
    <w:rsid w:val="00387A83"/>
    <w:rsid w:val="00390020"/>
    <w:rsid w:val="003901F6"/>
    <w:rsid w:val="00390215"/>
    <w:rsid w:val="003902E7"/>
    <w:rsid w:val="003903A7"/>
    <w:rsid w:val="0039072F"/>
    <w:rsid w:val="00390FE1"/>
    <w:rsid w:val="0039137D"/>
    <w:rsid w:val="0039142E"/>
    <w:rsid w:val="003917DC"/>
    <w:rsid w:val="00391B4C"/>
    <w:rsid w:val="00391F01"/>
    <w:rsid w:val="003921F4"/>
    <w:rsid w:val="00392B65"/>
    <w:rsid w:val="00392E42"/>
    <w:rsid w:val="003936FB"/>
    <w:rsid w:val="00393E55"/>
    <w:rsid w:val="00393F8E"/>
    <w:rsid w:val="003945D9"/>
    <w:rsid w:val="00394F97"/>
    <w:rsid w:val="00395F42"/>
    <w:rsid w:val="003963EA"/>
    <w:rsid w:val="00396AE5"/>
    <w:rsid w:val="00397170"/>
    <w:rsid w:val="0039796E"/>
    <w:rsid w:val="003A0B21"/>
    <w:rsid w:val="003A24B0"/>
    <w:rsid w:val="003A28D6"/>
    <w:rsid w:val="003A2C94"/>
    <w:rsid w:val="003A3433"/>
    <w:rsid w:val="003A3825"/>
    <w:rsid w:val="003A3C05"/>
    <w:rsid w:val="003A42D7"/>
    <w:rsid w:val="003A4C71"/>
    <w:rsid w:val="003A4F88"/>
    <w:rsid w:val="003A537E"/>
    <w:rsid w:val="003A58D3"/>
    <w:rsid w:val="003A5A9A"/>
    <w:rsid w:val="003A5AAD"/>
    <w:rsid w:val="003A623F"/>
    <w:rsid w:val="003A660F"/>
    <w:rsid w:val="003A72F4"/>
    <w:rsid w:val="003B0148"/>
    <w:rsid w:val="003B027A"/>
    <w:rsid w:val="003B0393"/>
    <w:rsid w:val="003B095E"/>
    <w:rsid w:val="003B0E12"/>
    <w:rsid w:val="003B0EB6"/>
    <w:rsid w:val="003B13FA"/>
    <w:rsid w:val="003B1643"/>
    <w:rsid w:val="003B2570"/>
    <w:rsid w:val="003B31F0"/>
    <w:rsid w:val="003B326D"/>
    <w:rsid w:val="003B4A19"/>
    <w:rsid w:val="003B4DE1"/>
    <w:rsid w:val="003B58B6"/>
    <w:rsid w:val="003B6486"/>
    <w:rsid w:val="003B6BF8"/>
    <w:rsid w:val="003B72BF"/>
    <w:rsid w:val="003B7365"/>
    <w:rsid w:val="003B738A"/>
    <w:rsid w:val="003C0BF9"/>
    <w:rsid w:val="003C0D6F"/>
    <w:rsid w:val="003C0EAF"/>
    <w:rsid w:val="003C1A9F"/>
    <w:rsid w:val="003C2341"/>
    <w:rsid w:val="003C2355"/>
    <w:rsid w:val="003C36A1"/>
    <w:rsid w:val="003C373F"/>
    <w:rsid w:val="003C4FA0"/>
    <w:rsid w:val="003C5F28"/>
    <w:rsid w:val="003C62F8"/>
    <w:rsid w:val="003C7460"/>
    <w:rsid w:val="003D00CA"/>
    <w:rsid w:val="003D10DB"/>
    <w:rsid w:val="003D11A9"/>
    <w:rsid w:val="003D13BE"/>
    <w:rsid w:val="003D2334"/>
    <w:rsid w:val="003D23FD"/>
    <w:rsid w:val="003D2A37"/>
    <w:rsid w:val="003D355F"/>
    <w:rsid w:val="003D3D05"/>
    <w:rsid w:val="003D3E31"/>
    <w:rsid w:val="003D418E"/>
    <w:rsid w:val="003D4CC8"/>
    <w:rsid w:val="003D4E75"/>
    <w:rsid w:val="003D54C6"/>
    <w:rsid w:val="003D59FA"/>
    <w:rsid w:val="003D6359"/>
    <w:rsid w:val="003D69EF"/>
    <w:rsid w:val="003D6A1D"/>
    <w:rsid w:val="003D7581"/>
    <w:rsid w:val="003D76A5"/>
    <w:rsid w:val="003D7F8C"/>
    <w:rsid w:val="003E03CB"/>
    <w:rsid w:val="003E060F"/>
    <w:rsid w:val="003E0EDB"/>
    <w:rsid w:val="003E0EF3"/>
    <w:rsid w:val="003E1A95"/>
    <w:rsid w:val="003E1CC3"/>
    <w:rsid w:val="003E26DB"/>
    <w:rsid w:val="003E2FBE"/>
    <w:rsid w:val="003E470D"/>
    <w:rsid w:val="003E51C7"/>
    <w:rsid w:val="003E58F9"/>
    <w:rsid w:val="003E5D91"/>
    <w:rsid w:val="003E6475"/>
    <w:rsid w:val="003E648B"/>
    <w:rsid w:val="003E693D"/>
    <w:rsid w:val="003E6A88"/>
    <w:rsid w:val="003E6D90"/>
    <w:rsid w:val="003E7201"/>
    <w:rsid w:val="003E72CD"/>
    <w:rsid w:val="003E766E"/>
    <w:rsid w:val="003E7735"/>
    <w:rsid w:val="003E7BFF"/>
    <w:rsid w:val="003F0937"/>
    <w:rsid w:val="003F105A"/>
    <w:rsid w:val="003F1C11"/>
    <w:rsid w:val="003F283D"/>
    <w:rsid w:val="003F2B3A"/>
    <w:rsid w:val="003F3955"/>
    <w:rsid w:val="003F3B3E"/>
    <w:rsid w:val="003F4BB2"/>
    <w:rsid w:val="003F4C06"/>
    <w:rsid w:val="003F4C90"/>
    <w:rsid w:val="003F5CEA"/>
    <w:rsid w:val="003F6199"/>
    <w:rsid w:val="003F6AF6"/>
    <w:rsid w:val="003F719C"/>
    <w:rsid w:val="003F768D"/>
    <w:rsid w:val="003F7B06"/>
    <w:rsid w:val="004001C9"/>
    <w:rsid w:val="00400541"/>
    <w:rsid w:val="0040083E"/>
    <w:rsid w:val="00400AFD"/>
    <w:rsid w:val="0040290C"/>
    <w:rsid w:val="00402AC6"/>
    <w:rsid w:val="00403318"/>
    <w:rsid w:val="004033BF"/>
    <w:rsid w:val="004038CF"/>
    <w:rsid w:val="00403BAF"/>
    <w:rsid w:val="004040C8"/>
    <w:rsid w:val="0040411B"/>
    <w:rsid w:val="0040467D"/>
    <w:rsid w:val="00404895"/>
    <w:rsid w:val="00405676"/>
    <w:rsid w:val="00405CB0"/>
    <w:rsid w:val="00405F7D"/>
    <w:rsid w:val="0040682C"/>
    <w:rsid w:val="0041003A"/>
    <w:rsid w:val="004104AB"/>
    <w:rsid w:val="00410B8D"/>
    <w:rsid w:val="00410EB6"/>
    <w:rsid w:val="0041132C"/>
    <w:rsid w:val="004123FE"/>
    <w:rsid w:val="0041312E"/>
    <w:rsid w:val="00414A95"/>
    <w:rsid w:val="00415191"/>
    <w:rsid w:val="00415583"/>
    <w:rsid w:val="004155D3"/>
    <w:rsid w:val="00415FB8"/>
    <w:rsid w:val="0041673A"/>
    <w:rsid w:val="00417363"/>
    <w:rsid w:val="00420B72"/>
    <w:rsid w:val="004210F2"/>
    <w:rsid w:val="004211D9"/>
    <w:rsid w:val="004211FD"/>
    <w:rsid w:val="0042136D"/>
    <w:rsid w:val="00421450"/>
    <w:rsid w:val="00421F5B"/>
    <w:rsid w:val="0042295E"/>
    <w:rsid w:val="00422A06"/>
    <w:rsid w:val="00422A1C"/>
    <w:rsid w:val="00422BFA"/>
    <w:rsid w:val="004238FA"/>
    <w:rsid w:val="00423C51"/>
    <w:rsid w:val="0042472B"/>
    <w:rsid w:val="00424785"/>
    <w:rsid w:val="0042500E"/>
    <w:rsid w:val="00425103"/>
    <w:rsid w:val="0042537D"/>
    <w:rsid w:val="00425469"/>
    <w:rsid w:val="004254EF"/>
    <w:rsid w:val="00425D0E"/>
    <w:rsid w:val="00426391"/>
    <w:rsid w:val="004267B6"/>
    <w:rsid w:val="0042782C"/>
    <w:rsid w:val="00427CB8"/>
    <w:rsid w:val="00427E55"/>
    <w:rsid w:val="00431149"/>
    <w:rsid w:val="00431478"/>
    <w:rsid w:val="00431BF1"/>
    <w:rsid w:val="00431F4C"/>
    <w:rsid w:val="00433547"/>
    <w:rsid w:val="00433588"/>
    <w:rsid w:val="00433F5C"/>
    <w:rsid w:val="0043409C"/>
    <w:rsid w:val="00434237"/>
    <w:rsid w:val="00434503"/>
    <w:rsid w:val="00434D41"/>
    <w:rsid w:val="00434DDC"/>
    <w:rsid w:val="00435414"/>
    <w:rsid w:val="00435651"/>
    <w:rsid w:val="00435AEE"/>
    <w:rsid w:val="004363F9"/>
    <w:rsid w:val="00436DD1"/>
    <w:rsid w:val="00436FF8"/>
    <w:rsid w:val="0043729E"/>
    <w:rsid w:val="00437BB5"/>
    <w:rsid w:val="00440654"/>
    <w:rsid w:val="00441DDE"/>
    <w:rsid w:val="0044255B"/>
    <w:rsid w:val="00443261"/>
    <w:rsid w:val="004441A3"/>
    <w:rsid w:val="004447E4"/>
    <w:rsid w:val="00445582"/>
    <w:rsid w:val="0044588F"/>
    <w:rsid w:val="00445ECD"/>
    <w:rsid w:val="00446BB5"/>
    <w:rsid w:val="00446E0B"/>
    <w:rsid w:val="0044735F"/>
    <w:rsid w:val="00447876"/>
    <w:rsid w:val="00447A86"/>
    <w:rsid w:val="00447D04"/>
    <w:rsid w:val="00447F98"/>
    <w:rsid w:val="0045066B"/>
    <w:rsid w:val="0045084F"/>
    <w:rsid w:val="00450D93"/>
    <w:rsid w:val="004514FE"/>
    <w:rsid w:val="004529E9"/>
    <w:rsid w:val="00452DEC"/>
    <w:rsid w:val="00452E8B"/>
    <w:rsid w:val="004532EF"/>
    <w:rsid w:val="00453803"/>
    <w:rsid w:val="00453905"/>
    <w:rsid w:val="00453BAE"/>
    <w:rsid w:val="00453D59"/>
    <w:rsid w:val="0045433E"/>
    <w:rsid w:val="00454493"/>
    <w:rsid w:val="00454F6F"/>
    <w:rsid w:val="00455B4C"/>
    <w:rsid w:val="00455F6E"/>
    <w:rsid w:val="004561B0"/>
    <w:rsid w:val="004578EE"/>
    <w:rsid w:val="00460175"/>
    <w:rsid w:val="0046039D"/>
    <w:rsid w:val="004605AB"/>
    <w:rsid w:val="00461758"/>
    <w:rsid w:val="004617F9"/>
    <w:rsid w:val="004619BB"/>
    <w:rsid w:val="00462230"/>
    <w:rsid w:val="00462BDA"/>
    <w:rsid w:val="00462D77"/>
    <w:rsid w:val="004638C1"/>
    <w:rsid w:val="00463917"/>
    <w:rsid w:val="00463B69"/>
    <w:rsid w:val="00463BAB"/>
    <w:rsid w:val="004644DB"/>
    <w:rsid w:val="0046542E"/>
    <w:rsid w:val="00465D3F"/>
    <w:rsid w:val="00465E00"/>
    <w:rsid w:val="0046621E"/>
    <w:rsid w:val="0046686B"/>
    <w:rsid w:val="004672BF"/>
    <w:rsid w:val="0046743F"/>
    <w:rsid w:val="00467AD1"/>
    <w:rsid w:val="004701B3"/>
    <w:rsid w:val="00470B90"/>
    <w:rsid w:val="00470E27"/>
    <w:rsid w:val="00471C1D"/>
    <w:rsid w:val="00471C84"/>
    <w:rsid w:val="00471F8E"/>
    <w:rsid w:val="00472D4D"/>
    <w:rsid w:val="00472F10"/>
    <w:rsid w:val="00473800"/>
    <w:rsid w:val="00474516"/>
    <w:rsid w:val="00474A90"/>
    <w:rsid w:val="00474B16"/>
    <w:rsid w:val="00474CCF"/>
    <w:rsid w:val="00475018"/>
    <w:rsid w:val="00475238"/>
    <w:rsid w:val="00475C3C"/>
    <w:rsid w:val="004763CA"/>
    <w:rsid w:val="00476942"/>
    <w:rsid w:val="00476A53"/>
    <w:rsid w:val="0047708C"/>
    <w:rsid w:val="00477A01"/>
    <w:rsid w:val="00477E65"/>
    <w:rsid w:val="004800FB"/>
    <w:rsid w:val="00480381"/>
    <w:rsid w:val="00480D2A"/>
    <w:rsid w:val="004818F0"/>
    <w:rsid w:val="00481919"/>
    <w:rsid w:val="00481C00"/>
    <w:rsid w:val="00481C20"/>
    <w:rsid w:val="00482F6C"/>
    <w:rsid w:val="004835FD"/>
    <w:rsid w:val="00483BA4"/>
    <w:rsid w:val="0048429E"/>
    <w:rsid w:val="0048495B"/>
    <w:rsid w:val="00484C39"/>
    <w:rsid w:val="004855A6"/>
    <w:rsid w:val="00485A90"/>
    <w:rsid w:val="00485DAF"/>
    <w:rsid w:val="00486A30"/>
    <w:rsid w:val="00486B39"/>
    <w:rsid w:val="00487B18"/>
    <w:rsid w:val="00487F5B"/>
    <w:rsid w:val="00490038"/>
    <w:rsid w:val="0049025B"/>
    <w:rsid w:val="00490719"/>
    <w:rsid w:val="00490CE8"/>
    <w:rsid w:val="004919DD"/>
    <w:rsid w:val="00492827"/>
    <w:rsid w:val="00492F64"/>
    <w:rsid w:val="0049375F"/>
    <w:rsid w:val="00493EC5"/>
    <w:rsid w:val="00494472"/>
    <w:rsid w:val="004946BF"/>
    <w:rsid w:val="00494849"/>
    <w:rsid w:val="00494F7C"/>
    <w:rsid w:val="00495316"/>
    <w:rsid w:val="00495559"/>
    <w:rsid w:val="004958CA"/>
    <w:rsid w:val="004960D4"/>
    <w:rsid w:val="004962B4"/>
    <w:rsid w:val="00496721"/>
    <w:rsid w:val="0049724C"/>
    <w:rsid w:val="00497579"/>
    <w:rsid w:val="004A0300"/>
    <w:rsid w:val="004A04D6"/>
    <w:rsid w:val="004A0725"/>
    <w:rsid w:val="004A0B57"/>
    <w:rsid w:val="004A12D8"/>
    <w:rsid w:val="004A1438"/>
    <w:rsid w:val="004A18E3"/>
    <w:rsid w:val="004A1C80"/>
    <w:rsid w:val="004A1F49"/>
    <w:rsid w:val="004A1FE2"/>
    <w:rsid w:val="004A2142"/>
    <w:rsid w:val="004A2278"/>
    <w:rsid w:val="004A26D7"/>
    <w:rsid w:val="004A29C0"/>
    <w:rsid w:val="004A2DF5"/>
    <w:rsid w:val="004A39DD"/>
    <w:rsid w:val="004A432B"/>
    <w:rsid w:val="004A49DD"/>
    <w:rsid w:val="004A4E71"/>
    <w:rsid w:val="004A4EF3"/>
    <w:rsid w:val="004A5691"/>
    <w:rsid w:val="004A582A"/>
    <w:rsid w:val="004A7015"/>
    <w:rsid w:val="004A7479"/>
    <w:rsid w:val="004A76E1"/>
    <w:rsid w:val="004B0084"/>
    <w:rsid w:val="004B086D"/>
    <w:rsid w:val="004B0E4A"/>
    <w:rsid w:val="004B0E73"/>
    <w:rsid w:val="004B1025"/>
    <w:rsid w:val="004B1341"/>
    <w:rsid w:val="004B1394"/>
    <w:rsid w:val="004B16F2"/>
    <w:rsid w:val="004B26CA"/>
    <w:rsid w:val="004B3BBD"/>
    <w:rsid w:val="004B3C00"/>
    <w:rsid w:val="004B3EC2"/>
    <w:rsid w:val="004B51B1"/>
    <w:rsid w:val="004B5575"/>
    <w:rsid w:val="004B5811"/>
    <w:rsid w:val="004B67D5"/>
    <w:rsid w:val="004B748B"/>
    <w:rsid w:val="004B7C8F"/>
    <w:rsid w:val="004C0827"/>
    <w:rsid w:val="004C0F48"/>
    <w:rsid w:val="004C1031"/>
    <w:rsid w:val="004C1205"/>
    <w:rsid w:val="004C14BA"/>
    <w:rsid w:val="004C2E49"/>
    <w:rsid w:val="004C2E4B"/>
    <w:rsid w:val="004C30E4"/>
    <w:rsid w:val="004C3A82"/>
    <w:rsid w:val="004C3B9E"/>
    <w:rsid w:val="004C3F8D"/>
    <w:rsid w:val="004C46ED"/>
    <w:rsid w:val="004C4DDA"/>
    <w:rsid w:val="004C4E4D"/>
    <w:rsid w:val="004C5448"/>
    <w:rsid w:val="004C5C46"/>
    <w:rsid w:val="004C6C6D"/>
    <w:rsid w:val="004C7A0E"/>
    <w:rsid w:val="004D0307"/>
    <w:rsid w:val="004D03EA"/>
    <w:rsid w:val="004D0A3D"/>
    <w:rsid w:val="004D0ABE"/>
    <w:rsid w:val="004D0ECE"/>
    <w:rsid w:val="004D1006"/>
    <w:rsid w:val="004D274A"/>
    <w:rsid w:val="004D2CA8"/>
    <w:rsid w:val="004D2EA0"/>
    <w:rsid w:val="004D391E"/>
    <w:rsid w:val="004D3AF9"/>
    <w:rsid w:val="004D412C"/>
    <w:rsid w:val="004D45DF"/>
    <w:rsid w:val="004D5CB8"/>
    <w:rsid w:val="004E05A3"/>
    <w:rsid w:val="004E096E"/>
    <w:rsid w:val="004E0C0B"/>
    <w:rsid w:val="004E0DF7"/>
    <w:rsid w:val="004E1026"/>
    <w:rsid w:val="004E108C"/>
    <w:rsid w:val="004E17E1"/>
    <w:rsid w:val="004E1A5B"/>
    <w:rsid w:val="004E2125"/>
    <w:rsid w:val="004E2249"/>
    <w:rsid w:val="004E25AA"/>
    <w:rsid w:val="004E2AE6"/>
    <w:rsid w:val="004E2CFA"/>
    <w:rsid w:val="004E4229"/>
    <w:rsid w:val="004E4308"/>
    <w:rsid w:val="004E46A0"/>
    <w:rsid w:val="004E4848"/>
    <w:rsid w:val="004E4CE3"/>
    <w:rsid w:val="004E4D51"/>
    <w:rsid w:val="004E552E"/>
    <w:rsid w:val="004E5F76"/>
    <w:rsid w:val="004E5FE4"/>
    <w:rsid w:val="004E6EC7"/>
    <w:rsid w:val="004E75E2"/>
    <w:rsid w:val="004E7C35"/>
    <w:rsid w:val="004F0832"/>
    <w:rsid w:val="004F0BC2"/>
    <w:rsid w:val="004F124F"/>
    <w:rsid w:val="004F1910"/>
    <w:rsid w:val="004F1F8F"/>
    <w:rsid w:val="004F21E7"/>
    <w:rsid w:val="004F24A1"/>
    <w:rsid w:val="004F2FF7"/>
    <w:rsid w:val="004F32C7"/>
    <w:rsid w:val="004F33B5"/>
    <w:rsid w:val="004F3688"/>
    <w:rsid w:val="004F3AAE"/>
    <w:rsid w:val="004F3DA6"/>
    <w:rsid w:val="004F3F45"/>
    <w:rsid w:val="004F4415"/>
    <w:rsid w:val="004F4A6E"/>
    <w:rsid w:val="004F4BDE"/>
    <w:rsid w:val="004F5C6D"/>
    <w:rsid w:val="004F5EC9"/>
    <w:rsid w:val="004F6163"/>
    <w:rsid w:val="004F69F6"/>
    <w:rsid w:val="004F6D5F"/>
    <w:rsid w:val="004F6D7E"/>
    <w:rsid w:val="004F7655"/>
    <w:rsid w:val="004F77B2"/>
    <w:rsid w:val="004F7CAC"/>
    <w:rsid w:val="00500BAA"/>
    <w:rsid w:val="00501222"/>
    <w:rsid w:val="00501B5C"/>
    <w:rsid w:val="00502916"/>
    <w:rsid w:val="00502BB7"/>
    <w:rsid w:val="00502CC3"/>
    <w:rsid w:val="00502E6F"/>
    <w:rsid w:val="005035B9"/>
    <w:rsid w:val="00503B60"/>
    <w:rsid w:val="00504437"/>
    <w:rsid w:val="00505C6E"/>
    <w:rsid w:val="00506277"/>
    <w:rsid w:val="005064ED"/>
    <w:rsid w:val="0050657F"/>
    <w:rsid w:val="005065F0"/>
    <w:rsid w:val="005066A7"/>
    <w:rsid w:val="00506C3E"/>
    <w:rsid w:val="00507713"/>
    <w:rsid w:val="00507BF6"/>
    <w:rsid w:val="00510120"/>
    <w:rsid w:val="00510D13"/>
    <w:rsid w:val="0051103E"/>
    <w:rsid w:val="005111AB"/>
    <w:rsid w:val="00511320"/>
    <w:rsid w:val="0051144A"/>
    <w:rsid w:val="005116A2"/>
    <w:rsid w:val="005116FA"/>
    <w:rsid w:val="00512077"/>
    <w:rsid w:val="00512917"/>
    <w:rsid w:val="0051297E"/>
    <w:rsid w:val="00512EB9"/>
    <w:rsid w:val="00513A76"/>
    <w:rsid w:val="005143F9"/>
    <w:rsid w:val="00514879"/>
    <w:rsid w:val="005154AD"/>
    <w:rsid w:val="0051595D"/>
    <w:rsid w:val="00515E65"/>
    <w:rsid w:val="00516033"/>
    <w:rsid w:val="00516566"/>
    <w:rsid w:val="00516E0D"/>
    <w:rsid w:val="00517301"/>
    <w:rsid w:val="005200EA"/>
    <w:rsid w:val="005207C5"/>
    <w:rsid w:val="00520E52"/>
    <w:rsid w:val="00521432"/>
    <w:rsid w:val="005218C3"/>
    <w:rsid w:val="005231E9"/>
    <w:rsid w:val="005236CF"/>
    <w:rsid w:val="00523EC4"/>
    <w:rsid w:val="00525395"/>
    <w:rsid w:val="0052643C"/>
    <w:rsid w:val="00526E2B"/>
    <w:rsid w:val="0052758B"/>
    <w:rsid w:val="00527A24"/>
    <w:rsid w:val="00530C04"/>
    <w:rsid w:val="00531604"/>
    <w:rsid w:val="00531C00"/>
    <w:rsid w:val="00531C11"/>
    <w:rsid w:val="00531CB7"/>
    <w:rsid w:val="00532728"/>
    <w:rsid w:val="005348DF"/>
    <w:rsid w:val="005349CE"/>
    <w:rsid w:val="005352C4"/>
    <w:rsid w:val="00535A2C"/>
    <w:rsid w:val="00535BBD"/>
    <w:rsid w:val="00535C74"/>
    <w:rsid w:val="005361AB"/>
    <w:rsid w:val="00536318"/>
    <w:rsid w:val="00536B38"/>
    <w:rsid w:val="00536C05"/>
    <w:rsid w:val="00537176"/>
    <w:rsid w:val="005378E0"/>
    <w:rsid w:val="00537F48"/>
    <w:rsid w:val="00537FB4"/>
    <w:rsid w:val="00540A09"/>
    <w:rsid w:val="00540F7B"/>
    <w:rsid w:val="00541009"/>
    <w:rsid w:val="0054114E"/>
    <w:rsid w:val="005416B1"/>
    <w:rsid w:val="00541D43"/>
    <w:rsid w:val="00542068"/>
    <w:rsid w:val="005423AB"/>
    <w:rsid w:val="005423F3"/>
    <w:rsid w:val="00542EE7"/>
    <w:rsid w:val="00542F60"/>
    <w:rsid w:val="00542F7E"/>
    <w:rsid w:val="00542FE4"/>
    <w:rsid w:val="005430C3"/>
    <w:rsid w:val="005432BB"/>
    <w:rsid w:val="005434E5"/>
    <w:rsid w:val="00543656"/>
    <w:rsid w:val="00543AF9"/>
    <w:rsid w:val="0054453D"/>
    <w:rsid w:val="00544853"/>
    <w:rsid w:val="00544A02"/>
    <w:rsid w:val="0054504B"/>
    <w:rsid w:val="005453EB"/>
    <w:rsid w:val="00545B8C"/>
    <w:rsid w:val="005462AC"/>
    <w:rsid w:val="00546381"/>
    <w:rsid w:val="005478BF"/>
    <w:rsid w:val="00550D48"/>
    <w:rsid w:val="005517D2"/>
    <w:rsid w:val="00551F4D"/>
    <w:rsid w:val="00552331"/>
    <w:rsid w:val="00552C0B"/>
    <w:rsid w:val="00553026"/>
    <w:rsid w:val="00553B9A"/>
    <w:rsid w:val="00553D2F"/>
    <w:rsid w:val="00553FFC"/>
    <w:rsid w:val="0055532F"/>
    <w:rsid w:val="005558A9"/>
    <w:rsid w:val="0055612E"/>
    <w:rsid w:val="0055630A"/>
    <w:rsid w:val="00556628"/>
    <w:rsid w:val="005568A1"/>
    <w:rsid w:val="00556944"/>
    <w:rsid w:val="00556A03"/>
    <w:rsid w:val="00557FA2"/>
    <w:rsid w:val="00560AD8"/>
    <w:rsid w:val="00560F50"/>
    <w:rsid w:val="005619D3"/>
    <w:rsid w:val="00561D24"/>
    <w:rsid w:val="00561D4D"/>
    <w:rsid w:val="005620D8"/>
    <w:rsid w:val="00562756"/>
    <w:rsid w:val="00562A94"/>
    <w:rsid w:val="0056304E"/>
    <w:rsid w:val="00564A6D"/>
    <w:rsid w:val="00565171"/>
    <w:rsid w:val="00565232"/>
    <w:rsid w:val="005652DB"/>
    <w:rsid w:val="00565311"/>
    <w:rsid w:val="00565967"/>
    <w:rsid w:val="00565C5D"/>
    <w:rsid w:val="005661F3"/>
    <w:rsid w:val="00566580"/>
    <w:rsid w:val="0056676D"/>
    <w:rsid w:val="00566B38"/>
    <w:rsid w:val="005672AC"/>
    <w:rsid w:val="00567454"/>
    <w:rsid w:val="00567512"/>
    <w:rsid w:val="00570232"/>
    <w:rsid w:val="00570B59"/>
    <w:rsid w:val="00571058"/>
    <w:rsid w:val="00571066"/>
    <w:rsid w:val="005714CC"/>
    <w:rsid w:val="005714F3"/>
    <w:rsid w:val="00571B30"/>
    <w:rsid w:val="0057251A"/>
    <w:rsid w:val="00572A6B"/>
    <w:rsid w:val="00572B61"/>
    <w:rsid w:val="00572DAD"/>
    <w:rsid w:val="00572E72"/>
    <w:rsid w:val="00572FCD"/>
    <w:rsid w:val="005740C4"/>
    <w:rsid w:val="00574112"/>
    <w:rsid w:val="00574612"/>
    <w:rsid w:val="00575109"/>
    <w:rsid w:val="00575B33"/>
    <w:rsid w:val="00576999"/>
    <w:rsid w:val="00576ADE"/>
    <w:rsid w:val="00576BB8"/>
    <w:rsid w:val="00577249"/>
    <w:rsid w:val="00577505"/>
    <w:rsid w:val="0057757B"/>
    <w:rsid w:val="00577656"/>
    <w:rsid w:val="005776DC"/>
    <w:rsid w:val="00577922"/>
    <w:rsid w:val="00577BF7"/>
    <w:rsid w:val="00577CFD"/>
    <w:rsid w:val="00577DEF"/>
    <w:rsid w:val="00580153"/>
    <w:rsid w:val="005801C8"/>
    <w:rsid w:val="0058033C"/>
    <w:rsid w:val="00580EB1"/>
    <w:rsid w:val="005811F5"/>
    <w:rsid w:val="005812C8"/>
    <w:rsid w:val="00581617"/>
    <w:rsid w:val="0058204D"/>
    <w:rsid w:val="00582239"/>
    <w:rsid w:val="00582876"/>
    <w:rsid w:val="0058291D"/>
    <w:rsid w:val="00582BDB"/>
    <w:rsid w:val="00582C87"/>
    <w:rsid w:val="00582F06"/>
    <w:rsid w:val="00583AD7"/>
    <w:rsid w:val="00583D4E"/>
    <w:rsid w:val="00584034"/>
    <w:rsid w:val="0058491F"/>
    <w:rsid w:val="00585345"/>
    <w:rsid w:val="00585AB9"/>
    <w:rsid w:val="00585C7C"/>
    <w:rsid w:val="00586C7B"/>
    <w:rsid w:val="00586F13"/>
    <w:rsid w:val="00587023"/>
    <w:rsid w:val="005872D1"/>
    <w:rsid w:val="005902FD"/>
    <w:rsid w:val="00591516"/>
    <w:rsid w:val="0059189A"/>
    <w:rsid w:val="005924A7"/>
    <w:rsid w:val="00592F58"/>
    <w:rsid w:val="00594621"/>
    <w:rsid w:val="0059463B"/>
    <w:rsid w:val="005948F6"/>
    <w:rsid w:val="005949CE"/>
    <w:rsid w:val="00595A25"/>
    <w:rsid w:val="00596B91"/>
    <w:rsid w:val="005977C7"/>
    <w:rsid w:val="00597972"/>
    <w:rsid w:val="00597CF8"/>
    <w:rsid w:val="00597FCB"/>
    <w:rsid w:val="005A01FA"/>
    <w:rsid w:val="005A04A4"/>
    <w:rsid w:val="005A09A7"/>
    <w:rsid w:val="005A2485"/>
    <w:rsid w:val="005A2586"/>
    <w:rsid w:val="005A2AE8"/>
    <w:rsid w:val="005A2B9C"/>
    <w:rsid w:val="005A5862"/>
    <w:rsid w:val="005A5AD6"/>
    <w:rsid w:val="005A6384"/>
    <w:rsid w:val="005A6C9B"/>
    <w:rsid w:val="005A6ECA"/>
    <w:rsid w:val="005A6F48"/>
    <w:rsid w:val="005A7203"/>
    <w:rsid w:val="005B07CB"/>
    <w:rsid w:val="005B1C25"/>
    <w:rsid w:val="005B297E"/>
    <w:rsid w:val="005B2E59"/>
    <w:rsid w:val="005B3154"/>
    <w:rsid w:val="005B37E9"/>
    <w:rsid w:val="005B42FE"/>
    <w:rsid w:val="005B4757"/>
    <w:rsid w:val="005B62BA"/>
    <w:rsid w:val="005B70D8"/>
    <w:rsid w:val="005B7469"/>
    <w:rsid w:val="005B762E"/>
    <w:rsid w:val="005B7EB2"/>
    <w:rsid w:val="005C01B4"/>
    <w:rsid w:val="005C06C5"/>
    <w:rsid w:val="005C0884"/>
    <w:rsid w:val="005C0F12"/>
    <w:rsid w:val="005C1E90"/>
    <w:rsid w:val="005C2112"/>
    <w:rsid w:val="005C2891"/>
    <w:rsid w:val="005C2E79"/>
    <w:rsid w:val="005C2F09"/>
    <w:rsid w:val="005C2FE7"/>
    <w:rsid w:val="005C3BD2"/>
    <w:rsid w:val="005C51B9"/>
    <w:rsid w:val="005C5577"/>
    <w:rsid w:val="005C5702"/>
    <w:rsid w:val="005C5AD5"/>
    <w:rsid w:val="005C6285"/>
    <w:rsid w:val="005C730E"/>
    <w:rsid w:val="005C7705"/>
    <w:rsid w:val="005C7971"/>
    <w:rsid w:val="005D01CC"/>
    <w:rsid w:val="005D01F0"/>
    <w:rsid w:val="005D0420"/>
    <w:rsid w:val="005D1C13"/>
    <w:rsid w:val="005D2284"/>
    <w:rsid w:val="005D2422"/>
    <w:rsid w:val="005D2925"/>
    <w:rsid w:val="005D2A69"/>
    <w:rsid w:val="005D2F71"/>
    <w:rsid w:val="005D3DFD"/>
    <w:rsid w:val="005D44D3"/>
    <w:rsid w:val="005D46D7"/>
    <w:rsid w:val="005D5853"/>
    <w:rsid w:val="005D5BA1"/>
    <w:rsid w:val="005D5C5E"/>
    <w:rsid w:val="005D5F50"/>
    <w:rsid w:val="005D622E"/>
    <w:rsid w:val="005D62FF"/>
    <w:rsid w:val="005D7E5E"/>
    <w:rsid w:val="005E0866"/>
    <w:rsid w:val="005E0BE2"/>
    <w:rsid w:val="005E0EE1"/>
    <w:rsid w:val="005E13AF"/>
    <w:rsid w:val="005E13FE"/>
    <w:rsid w:val="005E15AE"/>
    <w:rsid w:val="005E1E96"/>
    <w:rsid w:val="005E27A4"/>
    <w:rsid w:val="005E2842"/>
    <w:rsid w:val="005E2AD9"/>
    <w:rsid w:val="005E2B55"/>
    <w:rsid w:val="005E2D17"/>
    <w:rsid w:val="005E3880"/>
    <w:rsid w:val="005E3B19"/>
    <w:rsid w:val="005E4634"/>
    <w:rsid w:val="005E49B2"/>
    <w:rsid w:val="005E4A2A"/>
    <w:rsid w:val="005E5064"/>
    <w:rsid w:val="005E52F0"/>
    <w:rsid w:val="005E687E"/>
    <w:rsid w:val="005E6C69"/>
    <w:rsid w:val="005E715A"/>
    <w:rsid w:val="005E7A63"/>
    <w:rsid w:val="005E7E75"/>
    <w:rsid w:val="005F0254"/>
    <w:rsid w:val="005F0949"/>
    <w:rsid w:val="005F0A03"/>
    <w:rsid w:val="005F0AC7"/>
    <w:rsid w:val="005F0AE8"/>
    <w:rsid w:val="005F1080"/>
    <w:rsid w:val="005F14F4"/>
    <w:rsid w:val="005F1C29"/>
    <w:rsid w:val="005F1EEE"/>
    <w:rsid w:val="005F2537"/>
    <w:rsid w:val="005F2A6B"/>
    <w:rsid w:val="005F34E1"/>
    <w:rsid w:val="005F37E6"/>
    <w:rsid w:val="005F3C3F"/>
    <w:rsid w:val="005F3E39"/>
    <w:rsid w:val="005F40C1"/>
    <w:rsid w:val="005F45B3"/>
    <w:rsid w:val="005F462C"/>
    <w:rsid w:val="005F48FE"/>
    <w:rsid w:val="005F4F94"/>
    <w:rsid w:val="005F51C7"/>
    <w:rsid w:val="005F61BE"/>
    <w:rsid w:val="005F684C"/>
    <w:rsid w:val="005F76E4"/>
    <w:rsid w:val="00600E37"/>
    <w:rsid w:val="00600F57"/>
    <w:rsid w:val="006014D6"/>
    <w:rsid w:val="006024D3"/>
    <w:rsid w:val="00602587"/>
    <w:rsid w:val="00602736"/>
    <w:rsid w:val="00602F48"/>
    <w:rsid w:val="00604104"/>
    <w:rsid w:val="00604833"/>
    <w:rsid w:val="00604C4B"/>
    <w:rsid w:val="00604D8D"/>
    <w:rsid w:val="006051FB"/>
    <w:rsid w:val="00605CAB"/>
    <w:rsid w:val="00606EF9"/>
    <w:rsid w:val="00606F67"/>
    <w:rsid w:val="0060706A"/>
    <w:rsid w:val="006070C4"/>
    <w:rsid w:val="00607301"/>
    <w:rsid w:val="00607758"/>
    <w:rsid w:val="00607E83"/>
    <w:rsid w:val="00607F35"/>
    <w:rsid w:val="00610474"/>
    <w:rsid w:val="00610D5E"/>
    <w:rsid w:val="006110E8"/>
    <w:rsid w:val="0061110F"/>
    <w:rsid w:val="00612519"/>
    <w:rsid w:val="00612D98"/>
    <w:rsid w:val="00613467"/>
    <w:rsid w:val="00613D47"/>
    <w:rsid w:val="006140A6"/>
    <w:rsid w:val="006141C3"/>
    <w:rsid w:val="00614C89"/>
    <w:rsid w:val="00615475"/>
    <w:rsid w:val="006155F1"/>
    <w:rsid w:val="0061590E"/>
    <w:rsid w:val="0061600D"/>
    <w:rsid w:val="00616723"/>
    <w:rsid w:val="00616E2A"/>
    <w:rsid w:val="006171D9"/>
    <w:rsid w:val="0062058C"/>
    <w:rsid w:val="006207A8"/>
    <w:rsid w:val="00620A4D"/>
    <w:rsid w:val="00621B59"/>
    <w:rsid w:val="00621B80"/>
    <w:rsid w:val="00621F02"/>
    <w:rsid w:val="00621FC9"/>
    <w:rsid w:val="0062240C"/>
    <w:rsid w:val="00622E7B"/>
    <w:rsid w:val="00623771"/>
    <w:rsid w:val="00624315"/>
    <w:rsid w:val="00624387"/>
    <w:rsid w:val="0062545B"/>
    <w:rsid w:val="0062552A"/>
    <w:rsid w:val="0062607A"/>
    <w:rsid w:val="00626636"/>
    <w:rsid w:val="00630031"/>
    <w:rsid w:val="006301D4"/>
    <w:rsid w:val="00630C00"/>
    <w:rsid w:val="0063193E"/>
    <w:rsid w:val="0063237A"/>
    <w:rsid w:val="00632C53"/>
    <w:rsid w:val="006332BE"/>
    <w:rsid w:val="00634521"/>
    <w:rsid w:val="00635C3D"/>
    <w:rsid w:val="00635EF8"/>
    <w:rsid w:val="00637934"/>
    <w:rsid w:val="00640540"/>
    <w:rsid w:val="006408C3"/>
    <w:rsid w:val="00640CFA"/>
    <w:rsid w:val="006411F3"/>
    <w:rsid w:val="00641ACC"/>
    <w:rsid w:val="006422CC"/>
    <w:rsid w:val="006430E5"/>
    <w:rsid w:val="006435D7"/>
    <w:rsid w:val="00643DBC"/>
    <w:rsid w:val="0064404E"/>
    <w:rsid w:val="006444AF"/>
    <w:rsid w:val="00644556"/>
    <w:rsid w:val="00644BA2"/>
    <w:rsid w:val="00645C12"/>
    <w:rsid w:val="0064620D"/>
    <w:rsid w:val="006468E5"/>
    <w:rsid w:val="00646C60"/>
    <w:rsid w:val="00646D49"/>
    <w:rsid w:val="00646EE3"/>
    <w:rsid w:val="00647FCB"/>
    <w:rsid w:val="006507ED"/>
    <w:rsid w:val="00650C42"/>
    <w:rsid w:val="00651773"/>
    <w:rsid w:val="006529B4"/>
    <w:rsid w:val="00652FB1"/>
    <w:rsid w:val="00652FF5"/>
    <w:rsid w:val="006543E5"/>
    <w:rsid w:val="0065449C"/>
    <w:rsid w:val="00654785"/>
    <w:rsid w:val="006555CF"/>
    <w:rsid w:val="00655FB4"/>
    <w:rsid w:val="00657670"/>
    <w:rsid w:val="00657754"/>
    <w:rsid w:val="006578A8"/>
    <w:rsid w:val="00657AB7"/>
    <w:rsid w:val="006607BA"/>
    <w:rsid w:val="00660B1C"/>
    <w:rsid w:val="00661286"/>
    <w:rsid w:val="006612D8"/>
    <w:rsid w:val="00661341"/>
    <w:rsid w:val="0066168A"/>
    <w:rsid w:val="00661A64"/>
    <w:rsid w:val="00661BA6"/>
    <w:rsid w:val="00662469"/>
    <w:rsid w:val="00662DCD"/>
    <w:rsid w:val="00662DFF"/>
    <w:rsid w:val="00663101"/>
    <w:rsid w:val="006638F3"/>
    <w:rsid w:val="00664356"/>
    <w:rsid w:val="006655DE"/>
    <w:rsid w:val="00665B18"/>
    <w:rsid w:val="00666644"/>
    <w:rsid w:val="00667894"/>
    <w:rsid w:val="00670366"/>
    <w:rsid w:val="006709FA"/>
    <w:rsid w:val="0067132A"/>
    <w:rsid w:val="00671460"/>
    <w:rsid w:val="00672120"/>
    <w:rsid w:val="006725F2"/>
    <w:rsid w:val="0067407F"/>
    <w:rsid w:val="00674766"/>
    <w:rsid w:val="006748C0"/>
    <w:rsid w:val="00674E23"/>
    <w:rsid w:val="00675E0E"/>
    <w:rsid w:val="006761E4"/>
    <w:rsid w:val="00676BCF"/>
    <w:rsid w:val="006778D3"/>
    <w:rsid w:val="0068014D"/>
    <w:rsid w:val="0068025E"/>
    <w:rsid w:val="00680A2F"/>
    <w:rsid w:val="0068289F"/>
    <w:rsid w:val="00683070"/>
    <w:rsid w:val="00683225"/>
    <w:rsid w:val="00683E6E"/>
    <w:rsid w:val="00684023"/>
    <w:rsid w:val="00684141"/>
    <w:rsid w:val="006846B3"/>
    <w:rsid w:val="006849B3"/>
    <w:rsid w:val="00684A0D"/>
    <w:rsid w:val="006854ED"/>
    <w:rsid w:val="006864A6"/>
    <w:rsid w:val="00687276"/>
    <w:rsid w:val="0069015F"/>
    <w:rsid w:val="006904CE"/>
    <w:rsid w:val="00690854"/>
    <w:rsid w:val="00690936"/>
    <w:rsid w:val="00690A42"/>
    <w:rsid w:val="00691913"/>
    <w:rsid w:val="00691CD0"/>
    <w:rsid w:val="0069262A"/>
    <w:rsid w:val="00692B7D"/>
    <w:rsid w:val="00692FB3"/>
    <w:rsid w:val="006934BF"/>
    <w:rsid w:val="006934E0"/>
    <w:rsid w:val="00693893"/>
    <w:rsid w:val="00694206"/>
    <w:rsid w:val="00694485"/>
    <w:rsid w:val="00694650"/>
    <w:rsid w:val="00694E40"/>
    <w:rsid w:val="00694E66"/>
    <w:rsid w:val="00695B4C"/>
    <w:rsid w:val="00695EE1"/>
    <w:rsid w:val="00696305"/>
    <w:rsid w:val="00696E04"/>
    <w:rsid w:val="006972E5"/>
    <w:rsid w:val="006974E5"/>
    <w:rsid w:val="00697C08"/>
    <w:rsid w:val="006A138B"/>
    <w:rsid w:val="006A1404"/>
    <w:rsid w:val="006A19F8"/>
    <w:rsid w:val="006A1C8A"/>
    <w:rsid w:val="006A24F3"/>
    <w:rsid w:val="006A29E1"/>
    <w:rsid w:val="006A40A9"/>
    <w:rsid w:val="006A4105"/>
    <w:rsid w:val="006A4922"/>
    <w:rsid w:val="006A501E"/>
    <w:rsid w:val="006A589C"/>
    <w:rsid w:val="006A6568"/>
    <w:rsid w:val="006A6887"/>
    <w:rsid w:val="006A688E"/>
    <w:rsid w:val="006A6A28"/>
    <w:rsid w:val="006A709B"/>
    <w:rsid w:val="006A7211"/>
    <w:rsid w:val="006B0100"/>
    <w:rsid w:val="006B01AA"/>
    <w:rsid w:val="006B02E7"/>
    <w:rsid w:val="006B0B22"/>
    <w:rsid w:val="006B0CE9"/>
    <w:rsid w:val="006B1281"/>
    <w:rsid w:val="006B140A"/>
    <w:rsid w:val="006B159C"/>
    <w:rsid w:val="006B1EFB"/>
    <w:rsid w:val="006B233F"/>
    <w:rsid w:val="006B24A6"/>
    <w:rsid w:val="006B293E"/>
    <w:rsid w:val="006B386B"/>
    <w:rsid w:val="006B5004"/>
    <w:rsid w:val="006B5BE0"/>
    <w:rsid w:val="006B6788"/>
    <w:rsid w:val="006B782E"/>
    <w:rsid w:val="006B7845"/>
    <w:rsid w:val="006B7985"/>
    <w:rsid w:val="006B7992"/>
    <w:rsid w:val="006B7B0C"/>
    <w:rsid w:val="006C0AA2"/>
    <w:rsid w:val="006C1BCC"/>
    <w:rsid w:val="006C2935"/>
    <w:rsid w:val="006C2ABE"/>
    <w:rsid w:val="006C2E76"/>
    <w:rsid w:val="006C2EB0"/>
    <w:rsid w:val="006C461B"/>
    <w:rsid w:val="006C483F"/>
    <w:rsid w:val="006C4906"/>
    <w:rsid w:val="006C4911"/>
    <w:rsid w:val="006C6861"/>
    <w:rsid w:val="006C6B0D"/>
    <w:rsid w:val="006C6C79"/>
    <w:rsid w:val="006C6D5E"/>
    <w:rsid w:val="006C7BBE"/>
    <w:rsid w:val="006C7DA5"/>
    <w:rsid w:val="006D132E"/>
    <w:rsid w:val="006D1C8A"/>
    <w:rsid w:val="006D217F"/>
    <w:rsid w:val="006D21D6"/>
    <w:rsid w:val="006D224B"/>
    <w:rsid w:val="006D2F9B"/>
    <w:rsid w:val="006D317F"/>
    <w:rsid w:val="006D3271"/>
    <w:rsid w:val="006D3F17"/>
    <w:rsid w:val="006D4378"/>
    <w:rsid w:val="006D4FD9"/>
    <w:rsid w:val="006D58B0"/>
    <w:rsid w:val="006D6403"/>
    <w:rsid w:val="006D6C42"/>
    <w:rsid w:val="006D74CC"/>
    <w:rsid w:val="006D781F"/>
    <w:rsid w:val="006D7DE9"/>
    <w:rsid w:val="006E0092"/>
    <w:rsid w:val="006E0783"/>
    <w:rsid w:val="006E1283"/>
    <w:rsid w:val="006E1A19"/>
    <w:rsid w:val="006E1D44"/>
    <w:rsid w:val="006E1D64"/>
    <w:rsid w:val="006E257F"/>
    <w:rsid w:val="006E2905"/>
    <w:rsid w:val="006E2B80"/>
    <w:rsid w:val="006E2E7F"/>
    <w:rsid w:val="006E311A"/>
    <w:rsid w:val="006E41F7"/>
    <w:rsid w:val="006E4A7C"/>
    <w:rsid w:val="006E5562"/>
    <w:rsid w:val="006E5C5A"/>
    <w:rsid w:val="006E678E"/>
    <w:rsid w:val="006E689A"/>
    <w:rsid w:val="006E6B45"/>
    <w:rsid w:val="006E6CD7"/>
    <w:rsid w:val="006E7302"/>
    <w:rsid w:val="006E74B6"/>
    <w:rsid w:val="006E7733"/>
    <w:rsid w:val="006F0CEF"/>
    <w:rsid w:val="006F157E"/>
    <w:rsid w:val="006F161E"/>
    <w:rsid w:val="006F21CC"/>
    <w:rsid w:val="006F2535"/>
    <w:rsid w:val="006F269B"/>
    <w:rsid w:val="006F26E4"/>
    <w:rsid w:val="006F2C03"/>
    <w:rsid w:val="006F31C3"/>
    <w:rsid w:val="006F3BB5"/>
    <w:rsid w:val="006F3CDC"/>
    <w:rsid w:val="006F3E14"/>
    <w:rsid w:val="006F49BC"/>
    <w:rsid w:val="006F4F18"/>
    <w:rsid w:val="006F5765"/>
    <w:rsid w:val="006F577F"/>
    <w:rsid w:val="006F64AF"/>
    <w:rsid w:val="006F7469"/>
    <w:rsid w:val="006F78CB"/>
    <w:rsid w:val="006F7C22"/>
    <w:rsid w:val="00700016"/>
    <w:rsid w:val="0070047B"/>
    <w:rsid w:val="007005A5"/>
    <w:rsid w:val="0070063E"/>
    <w:rsid w:val="00701225"/>
    <w:rsid w:val="007015FA"/>
    <w:rsid w:val="00701C80"/>
    <w:rsid w:val="00701D2C"/>
    <w:rsid w:val="0070244B"/>
    <w:rsid w:val="00702D77"/>
    <w:rsid w:val="00702F26"/>
    <w:rsid w:val="007030E2"/>
    <w:rsid w:val="007032A1"/>
    <w:rsid w:val="00703C7B"/>
    <w:rsid w:val="00703D99"/>
    <w:rsid w:val="007053F7"/>
    <w:rsid w:val="007054EA"/>
    <w:rsid w:val="00705E8C"/>
    <w:rsid w:val="00705EE6"/>
    <w:rsid w:val="007066EF"/>
    <w:rsid w:val="00707082"/>
    <w:rsid w:val="00710E42"/>
    <w:rsid w:val="00711FA7"/>
    <w:rsid w:val="00712BF1"/>
    <w:rsid w:val="00712C73"/>
    <w:rsid w:val="007131CB"/>
    <w:rsid w:val="00713919"/>
    <w:rsid w:val="00714623"/>
    <w:rsid w:val="007146B4"/>
    <w:rsid w:val="00714D54"/>
    <w:rsid w:val="00715064"/>
    <w:rsid w:val="00716156"/>
    <w:rsid w:val="007168FD"/>
    <w:rsid w:val="0071760B"/>
    <w:rsid w:val="00717D9E"/>
    <w:rsid w:val="00720509"/>
    <w:rsid w:val="007208E3"/>
    <w:rsid w:val="00721B79"/>
    <w:rsid w:val="007228CD"/>
    <w:rsid w:val="00722C62"/>
    <w:rsid w:val="00722F34"/>
    <w:rsid w:val="0072303A"/>
    <w:rsid w:val="00723737"/>
    <w:rsid w:val="00723AB1"/>
    <w:rsid w:val="00723E1E"/>
    <w:rsid w:val="00723F1F"/>
    <w:rsid w:val="00724054"/>
    <w:rsid w:val="00724098"/>
    <w:rsid w:val="007271A0"/>
    <w:rsid w:val="007272B0"/>
    <w:rsid w:val="0072731B"/>
    <w:rsid w:val="0072790E"/>
    <w:rsid w:val="00727D5B"/>
    <w:rsid w:val="00727E18"/>
    <w:rsid w:val="00730358"/>
    <w:rsid w:val="007307EC"/>
    <w:rsid w:val="00730A58"/>
    <w:rsid w:val="00730A74"/>
    <w:rsid w:val="00730FF7"/>
    <w:rsid w:val="007313F4"/>
    <w:rsid w:val="00731A55"/>
    <w:rsid w:val="00731BDB"/>
    <w:rsid w:val="00732742"/>
    <w:rsid w:val="0073335D"/>
    <w:rsid w:val="007339E0"/>
    <w:rsid w:val="00733B71"/>
    <w:rsid w:val="00734483"/>
    <w:rsid w:val="00735542"/>
    <w:rsid w:val="00735FB7"/>
    <w:rsid w:val="007361BB"/>
    <w:rsid w:val="007363B8"/>
    <w:rsid w:val="00736690"/>
    <w:rsid w:val="007375C4"/>
    <w:rsid w:val="0073797C"/>
    <w:rsid w:val="007379CF"/>
    <w:rsid w:val="00737CDC"/>
    <w:rsid w:val="0074014A"/>
    <w:rsid w:val="00740418"/>
    <w:rsid w:val="00740438"/>
    <w:rsid w:val="007416B9"/>
    <w:rsid w:val="007419DB"/>
    <w:rsid w:val="00741FDF"/>
    <w:rsid w:val="0074201F"/>
    <w:rsid w:val="0074212A"/>
    <w:rsid w:val="0074226E"/>
    <w:rsid w:val="00742570"/>
    <w:rsid w:val="00742DCD"/>
    <w:rsid w:val="00742E95"/>
    <w:rsid w:val="007433AB"/>
    <w:rsid w:val="007433C0"/>
    <w:rsid w:val="00743867"/>
    <w:rsid w:val="00743C03"/>
    <w:rsid w:val="00744A63"/>
    <w:rsid w:val="00746233"/>
    <w:rsid w:val="00747333"/>
    <w:rsid w:val="00747B35"/>
    <w:rsid w:val="00750100"/>
    <w:rsid w:val="007504EB"/>
    <w:rsid w:val="0075089B"/>
    <w:rsid w:val="007509A6"/>
    <w:rsid w:val="00750B5A"/>
    <w:rsid w:val="00750C37"/>
    <w:rsid w:val="00750C4B"/>
    <w:rsid w:val="00751912"/>
    <w:rsid w:val="00751984"/>
    <w:rsid w:val="007525AD"/>
    <w:rsid w:val="0075272D"/>
    <w:rsid w:val="007529E5"/>
    <w:rsid w:val="00753951"/>
    <w:rsid w:val="00753AC5"/>
    <w:rsid w:val="00754204"/>
    <w:rsid w:val="00754709"/>
    <w:rsid w:val="00754A10"/>
    <w:rsid w:val="00756614"/>
    <w:rsid w:val="00756F8E"/>
    <w:rsid w:val="007571FE"/>
    <w:rsid w:val="007577E3"/>
    <w:rsid w:val="00757A3A"/>
    <w:rsid w:val="007604FC"/>
    <w:rsid w:val="0076053C"/>
    <w:rsid w:val="00760F1F"/>
    <w:rsid w:val="007617C9"/>
    <w:rsid w:val="007622D7"/>
    <w:rsid w:val="00762BE7"/>
    <w:rsid w:val="007633B0"/>
    <w:rsid w:val="00763FEB"/>
    <w:rsid w:val="0076424A"/>
    <w:rsid w:val="00764A3E"/>
    <w:rsid w:val="00764D6D"/>
    <w:rsid w:val="00764DB0"/>
    <w:rsid w:val="007656EF"/>
    <w:rsid w:val="00765A54"/>
    <w:rsid w:val="007668D1"/>
    <w:rsid w:val="00766D13"/>
    <w:rsid w:val="00767653"/>
    <w:rsid w:val="00767835"/>
    <w:rsid w:val="00767E7B"/>
    <w:rsid w:val="00767EE9"/>
    <w:rsid w:val="00770E02"/>
    <w:rsid w:val="00770EA6"/>
    <w:rsid w:val="007715D2"/>
    <w:rsid w:val="00772210"/>
    <w:rsid w:val="00772501"/>
    <w:rsid w:val="00772948"/>
    <w:rsid w:val="00772C70"/>
    <w:rsid w:val="00773709"/>
    <w:rsid w:val="00773ADF"/>
    <w:rsid w:val="00773C77"/>
    <w:rsid w:val="0077460F"/>
    <w:rsid w:val="00774C5B"/>
    <w:rsid w:val="0077633B"/>
    <w:rsid w:val="00780735"/>
    <w:rsid w:val="00780A41"/>
    <w:rsid w:val="00780F93"/>
    <w:rsid w:val="00781E8B"/>
    <w:rsid w:val="00782354"/>
    <w:rsid w:val="00782CB9"/>
    <w:rsid w:val="007839D3"/>
    <w:rsid w:val="00783D51"/>
    <w:rsid w:val="00784124"/>
    <w:rsid w:val="007847FA"/>
    <w:rsid w:val="00784ED1"/>
    <w:rsid w:val="0078506D"/>
    <w:rsid w:val="00785216"/>
    <w:rsid w:val="007853D7"/>
    <w:rsid w:val="007857A8"/>
    <w:rsid w:val="007864EF"/>
    <w:rsid w:val="007866C7"/>
    <w:rsid w:val="007867DF"/>
    <w:rsid w:val="00786AFF"/>
    <w:rsid w:val="007877F7"/>
    <w:rsid w:val="00787F88"/>
    <w:rsid w:val="00790910"/>
    <w:rsid w:val="00790D82"/>
    <w:rsid w:val="00790D9F"/>
    <w:rsid w:val="00791DE1"/>
    <w:rsid w:val="00791E21"/>
    <w:rsid w:val="0079290E"/>
    <w:rsid w:val="00792B94"/>
    <w:rsid w:val="00792E5C"/>
    <w:rsid w:val="00793945"/>
    <w:rsid w:val="00794030"/>
    <w:rsid w:val="00794185"/>
    <w:rsid w:val="00794358"/>
    <w:rsid w:val="00794484"/>
    <w:rsid w:val="00794631"/>
    <w:rsid w:val="0079487E"/>
    <w:rsid w:val="007956B3"/>
    <w:rsid w:val="00795F19"/>
    <w:rsid w:val="00795F37"/>
    <w:rsid w:val="007961CE"/>
    <w:rsid w:val="007964C6"/>
    <w:rsid w:val="00796A8D"/>
    <w:rsid w:val="00796B92"/>
    <w:rsid w:val="00796D59"/>
    <w:rsid w:val="00797877"/>
    <w:rsid w:val="00797B7F"/>
    <w:rsid w:val="00797FC1"/>
    <w:rsid w:val="007A0960"/>
    <w:rsid w:val="007A0F92"/>
    <w:rsid w:val="007A105F"/>
    <w:rsid w:val="007A13FF"/>
    <w:rsid w:val="007A14F9"/>
    <w:rsid w:val="007A174A"/>
    <w:rsid w:val="007A1C96"/>
    <w:rsid w:val="007A1E3C"/>
    <w:rsid w:val="007A22F3"/>
    <w:rsid w:val="007A29BD"/>
    <w:rsid w:val="007A2B62"/>
    <w:rsid w:val="007A2C22"/>
    <w:rsid w:val="007A362D"/>
    <w:rsid w:val="007A3735"/>
    <w:rsid w:val="007A3A8C"/>
    <w:rsid w:val="007A51D0"/>
    <w:rsid w:val="007A5F38"/>
    <w:rsid w:val="007A5FE0"/>
    <w:rsid w:val="007A6679"/>
    <w:rsid w:val="007A6BEF"/>
    <w:rsid w:val="007B055C"/>
    <w:rsid w:val="007B0826"/>
    <w:rsid w:val="007B082B"/>
    <w:rsid w:val="007B098E"/>
    <w:rsid w:val="007B0D95"/>
    <w:rsid w:val="007B0E0C"/>
    <w:rsid w:val="007B1074"/>
    <w:rsid w:val="007B1D5F"/>
    <w:rsid w:val="007B3D2C"/>
    <w:rsid w:val="007B3F81"/>
    <w:rsid w:val="007B4B73"/>
    <w:rsid w:val="007B512A"/>
    <w:rsid w:val="007B5139"/>
    <w:rsid w:val="007B5394"/>
    <w:rsid w:val="007B57DF"/>
    <w:rsid w:val="007B5BC0"/>
    <w:rsid w:val="007B5ED3"/>
    <w:rsid w:val="007B6CB2"/>
    <w:rsid w:val="007B72A3"/>
    <w:rsid w:val="007B7463"/>
    <w:rsid w:val="007B7561"/>
    <w:rsid w:val="007B79A7"/>
    <w:rsid w:val="007B7CFA"/>
    <w:rsid w:val="007C0E82"/>
    <w:rsid w:val="007C26E5"/>
    <w:rsid w:val="007C2E90"/>
    <w:rsid w:val="007C3A77"/>
    <w:rsid w:val="007C3CA8"/>
    <w:rsid w:val="007C45C3"/>
    <w:rsid w:val="007C4B5A"/>
    <w:rsid w:val="007C5211"/>
    <w:rsid w:val="007C610F"/>
    <w:rsid w:val="007C6DEC"/>
    <w:rsid w:val="007C720A"/>
    <w:rsid w:val="007C7289"/>
    <w:rsid w:val="007C7684"/>
    <w:rsid w:val="007D0976"/>
    <w:rsid w:val="007D1092"/>
    <w:rsid w:val="007D1A23"/>
    <w:rsid w:val="007D2621"/>
    <w:rsid w:val="007D33CA"/>
    <w:rsid w:val="007D3E8E"/>
    <w:rsid w:val="007D42D4"/>
    <w:rsid w:val="007D478C"/>
    <w:rsid w:val="007D487D"/>
    <w:rsid w:val="007D4F28"/>
    <w:rsid w:val="007D4FBA"/>
    <w:rsid w:val="007D5449"/>
    <w:rsid w:val="007D6222"/>
    <w:rsid w:val="007D69DF"/>
    <w:rsid w:val="007D6A85"/>
    <w:rsid w:val="007D6D60"/>
    <w:rsid w:val="007D70D4"/>
    <w:rsid w:val="007D776A"/>
    <w:rsid w:val="007D7C72"/>
    <w:rsid w:val="007D7D61"/>
    <w:rsid w:val="007E0160"/>
    <w:rsid w:val="007E06DC"/>
    <w:rsid w:val="007E1CB6"/>
    <w:rsid w:val="007E1EC8"/>
    <w:rsid w:val="007E31D4"/>
    <w:rsid w:val="007E3562"/>
    <w:rsid w:val="007E4557"/>
    <w:rsid w:val="007E4B75"/>
    <w:rsid w:val="007E5417"/>
    <w:rsid w:val="007E591A"/>
    <w:rsid w:val="007E5FC4"/>
    <w:rsid w:val="007E6257"/>
    <w:rsid w:val="007E7250"/>
    <w:rsid w:val="007F019F"/>
    <w:rsid w:val="007F072A"/>
    <w:rsid w:val="007F08CA"/>
    <w:rsid w:val="007F111D"/>
    <w:rsid w:val="007F2298"/>
    <w:rsid w:val="007F331C"/>
    <w:rsid w:val="007F3386"/>
    <w:rsid w:val="007F3B6E"/>
    <w:rsid w:val="007F4DF4"/>
    <w:rsid w:val="007F52A0"/>
    <w:rsid w:val="007F5B70"/>
    <w:rsid w:val="007F5CBF"/>
    <w:rsid w:val="007F67BA"/>
    <w:rsid w:val="007F70EF"/>
    <w:rsid w:val="007F7117"/>
    <w:rsid w:val="007F72DA"/>
    <w:rsid w:val="007F74F3"/>
    <w:rsid w:val="007F76C3"/>
    <w:rsid w:val="007F7926"/>
    <w:rsid w:val="008011F8"/>
    <w:rsid w:val="00802422"/>
    <w:rsid w:val="00803DD0"/>
    <w:rsid w:val="008044A1"/>
    <w:rsid w:val="00804A75"/>
    <w:rsid w:val="00804F94"/>
    <w:rsid w:val="00804FFD"/>
    <w:rsid w:val="00805446"/>
    <w:rsid w:val="00805509"/>
    <w:rsid w:val="008058E8"/>
    <w:rsid w:val="00806434"/>
    <w:rsid w:val="00806F8C"/>
    <w:rsid w:val="008071D7"/>
    <w:rsid w:val="008073E2"/>
    <w:rsid w:val="008079CD"/>
    <w:rsid w:val="00807F0B"/>
    <w:rsid w:val="00810F72"/>
    <w:rsid w:val="008122F6"/>
    <w:rsid w:val="008125DB"/>
    <w:rsid w:val="00812F62"/>
    <w:rsid w:val="00813288"/>
    <w:rsid w:val="008139D5"/>
    <w:rsid w:val="0081437C"/>
    <w:rsid w:val="00814F55"/>
    <w:rsid w:val="00815090"/>
    <w:rsid w:val="0081548F"/>
    <w:rsid w:val="00815C4C"/>
    <w:rsid w:val="00815CFD"/>
    <w:rsid w:val="00816925"/>
    <w:rsid w:val="0081727C"/>
    <w:rsid w:val="00817968"/>
    <w:rsid w:val="00820848"/>
    <w:rsid w:val="00820B5A"/>
    <w:rsid w:val="00821382"/>
    <w:rsid w:val="008213CE"/>
    <w:rsid w:val="0082168D"/>
    <w:rsid w:val="00821A29"/>
    <w:rsid w:val="00822710"/>
    <w:rsid w:val="008227AD"/>
    <w:rsid w:val="00823233"/>
    <w:rsid w:val="0082339F"/>
    <w:rsid w:val="008236D0"/>
    <w:rsid w:val="0082403C"/>
    <w:rsid w:val="00824426"/>
    <w:rsid w:val="00824627"/>
    <w:rsid w:val="00824862"/>
    <w:rsid w:val="00824A2E"/>
    <w:rsid w:val="00826267"/>
    <w:rsid w:val="00826580"/>
    <w:rsid w:val="00826CC1"/>
    <w:rsid w:val="00827267"/>
    <w:rsid w:val="00827BB6"/>
    <w:rsid w:val="008300B4"/>
    <w:rsid w:val="008303F0"/>
    <w:rsid w:val="00830B8D"/>
    <w:rsid w:val="00830E52"/>
    <w:rsid w:val="008324E3"/>
    <w:rsid w:val="00832631"/>
    <w:rsid w:val="00832998"/>
    <w:rsid w:val="00833309"/>
    <w:rsid w:val="00833445"/>
    <w:rsid w:val="008335E3"/>
    <w:rsid w:val="00834790"/>
    <w:rsid w:val="008349E3"/>
    <w:rsid w:val="00834B2B"/>
    <w:rsid w:val="00834DD9"/>
    <w:rsid w:val="00835879"/>
    <w:rsid w:val="008358EA"/>
    <w:rsid w:val="0083611E"/>
    <w:rsid w:val="00836653"/>
    <w:rsid w:val="00836E8D"/>
    <w:rsid w:val="008371D2"/>
    <w:rsid w:val="00837958"/>
    <w:rsid w:val="00837B43"/>
    <w:rsid w:val="00837C5A"/>
    <w:rsid w:val="00837FB9"/>
    <w:rsid w:val="008400FE"/>
    <w:rsid w:val="00840408"/>
    <w:rsid w:val="0084047D"/>
    <w:rsid w:val="00840547"/>
    <w:rsid w:val="00842CB7"/>
    <w:rsid w:val="00842CC2"/>
    <w:rsid w:val="0084384A"/>
    <w:rsid w:val="00844303"/>
    <w:rsid w:val="00844B7C"/>
    <w:rsid w:val="00844BF0"/>
    <w:rsid w:val="00844C58"/>
    <w:rsid w:val="008453D5"/>
    <w:rsid w:val="00845587"/>
    <w:rsid w:val="00845946"/>
    <w:rsid w:val="00846263"/>
    <w:rsid w:val="0084628F"/>
    <w:rsid w:val="00846459"/>
    <w:rsid w:val="00846D5D"/>
    <w:rsid w:val="008475C4"/>
    <w:rsid w:val="008476A0"/>
    <w:rsid w:val="00847A8F"/>
    <w:rsid w:val="00847FA1"/>
    <w:rsid w:val="0085075D"/>
    <w:rsid w:val="00850E1F"/>
    <w:rsid w:val="00850F3C"/>
    <w:rsid w:val="00851F95"/>
    <w:rsid w:val="00852D98"/>
    <w:rsid w:val="00852F38"/>
    <w:rsid w:val="00853104"/>
    <w:rsid w:val="00853167"/>
    <w:rsid w:val="00853289"/>
    <w:rsid w:val="00853A73"/>
    <w:rsid w:val="00854C36"/>
    <w:rsid w:val="00855344"/>
    <w:rsid w:val="008557DA"/>
    <w:rsid w:val="00855A3F"/>
    <w:rsid w:val="00855D6B"/>
    <w:rsid w:val="0085609A"/>
    <w:rsid w:val="00856219"/>
    <w:rsid w:val="0085659A"/>
    <w:rsid w:val="00856C34"/>
    <w:rsid w:val="008571B7"/>
    <w:rsid w:val="00857426"/>
    <w:rsid w:val="0085790A"/>
    <w:rsid w:val="00857BBD"/>
    <w:rsid w:val="00857EB1"/>
    <w:rsid w:val="00860601"/>
    <w:rsid w:val="008607AB"/>
    <w:rsid w:val="00861256"/>
    <w:rsid w:val="00861788"/>
    <w:rsid w:val="00861A59"/>
    <w:rsid w:val="00862F6F"/>
    <w:rsid w:val="00863410"/>
    <w:rsid w:val="00863804"/>
    <w:rsid w:val="00863AAE"/>
    <w:rsid w:val="00864BCC"/>
    <w:rsid w:val="008651D6"/>
    <w:rsid w:val="00865DC1"/>
    <w:rsid w:val="008660C8"/>
    <w:rsid w:val="00866201"/>
    <w:rsid w:val="00866316"/>
    <w:rsid w:val="00866535"/>
    <w:rsid w:val="00866FBD"/>
    <w:rsid w:val="008675C5"/>
    <w:rsid w:val="00867922"/>
    <w:rsid w:val="00870089"/>
    <w:rsid w:val="00870217"/>
    <w:rsid w:val="008713A4"/>
    <w:rsid w:val="008714CC"/>
    <w:rsid w:val="00872293"/>
    <w:rsid w:val="0087234E"/>
    <w:rsid w:val="0087237B"/>
    <w:rsid w:val="00872BBA"/>
    <w:rsid w:val="00874841"/>
    <w:rsid w:val="00874AD3"/>
    <w:rsid w:val="0087504B"/>
    <w:rsid w:val="008750F9"/>
    <w:rsid w:val="00875341"/>
    <w:rsid w:val="0087536F"/>
    <w:rsid w:val="008753BF"/>
    <w:rsid w:val="008760D6"/>
    <w:rsid w:val="00876D3C"/>
    <w:rsid w:val="00876E47"/>
    <w:rsid w:val="008773AB"/>
    <w:rsid w:val="00877889"/>
    <w:rsid w:val="00877A18"/>
    <w:rsid w:val="0088047D"/>
    <w:rsid w:val="008809CC"/>
    <w:rsid w:val="00880A40"/>
    <w:rsid w:val="00881913"/>
    <w:rsid w:val="0088196F"/>
    <w:rsid w:val="00881B26"/>
    <w:rsid w:val="00881C76"/>
    <w:rsid w:val="00881F22"/>
    <w:rsid w:val="00881FD1"/>
    <w:rsid w:val="00882244"/>
    <w:rsid w:val="008829C2"/>
    <w:rsid w:val="00882B1D"/>
    <w:rsid w:val="00882B53"/>
    <w:rsid w:val="00882DB4"/>
    <w:rsid w:val="008836C5"/>
    <w:rsid w:val="008837D1"/>
    <w:rsid w:val="00883C24"/>
    <w:rsid w:val="00884330"/>
    <w:rsid w:val="0088454F"/>
    <w:rsid w:val="0088530E"/>
    <w:rsid w:val="00885C38"/>
    <w:rsid w:val="008869F4"/>
    <w:rsid w:val="00886ABD"/>
    <w:rsid w:val="008871E8"/>
    <w:rsid w:val="00887DE6"/>
    <w:rsid w:val="00887ED8"/>
    <w:rsid w:val="00887F3A"/>
    <w:rsid w:val="00887FAD"/>
    <w:rsid w:val="008900E3"/>
    <w:rsid w:val="00890CFB"/>
    <w:rsid w:val="008911DB"/>
    <w:rsid w:val="00891207"/>
    <w:rsid w:val="00891985"/>
    <w:rsid w:val="00891C38"/>
    <w:rsid w:val="00892137"/>
    <w:rsid w:val="008921B2"/>
    <w:rsid w:val="008928AE"/>
    <w:rsid w:val="008930EB"/>
    <w:rsid w:val="008933D1"/>
    <w:rsid w:val="00893700"/>
    <w:rsid w:val="008937BB"/>
    <w:rsid w:val="00893EEF"/>
    <w:rsid w:val="00893FA9"/>
    <w:rsid w:val="008942C5"/>
    <w:rsid w:val="00894CA8"/>
    <w:rsid w:val="008951FF"/>
    <w:rsid w:val="00895297"/>
    <w:rsid w:val="008953AC"/>
    <w:rsid w:val="00895D58"/>
    <w:rsid w:val="00895E0E"/>
    <w:rsid w:val="008963A6"/>
    <w:rsid w:val="00896B02"/>
    <w:rsid w:val="00896B84"/>
    <w:rsid w:val="00896DF7"/>
    <w:rsid w:val="008971F6"/>
    <w:rsid w:val="00897327"/>
    <w:rsid w:val="008976B3"/>
    <w:rsid w:val="0089797E"/>
    <w:rsid w:val="008A0395"/>
    <w:rsid w:val="008A0621"/>
    <w:rsid w:val="008A0D99"/>
    <w:rsid w:val="008A1401"/>
    <w:rsid w:val="008A1511"/>
    <w:rsid w:val="008A190B"/>
    <w:rsid w:val="008A2EA4"/>
    <w:rsid w:val="008A347B"/>
    <w:rsid w:val="008A3698"/>
    <w:rsid w:val="008A3C58"/>
    <w:rsid w:val="008A4032"/>
    <w:rsid w:val="008A4321"/>
    <w:rsid w:val="008A4880"/>
    <w:rsid w:val="008A4D87"/>
    <w:rsid w:val="008A52B1"/>
    <w:rsid w:val="008A55E0"/>
    <w:rsid w:val="008A5BCA"/>
    <w:rsid w:val="008A5E79"/>
    <w:rsid w:val="008A5EB0"/>
    <w:rsid w:val="008A5EFB"/>
    <w:rsid w:val="008A7165"/>
    <w:rsid w:val="008A7880"/>
    <w:rsid w:val="008B0062"/>
    <w:rsid w:val="008B05B4"/>
    <w:rsid w:val="008B1176"/>
    <w:rsid w:val="008B1288"/>
    <w:rsid w:val="008B1C63"/>
    <w:rsid w:val="008B2846"/>
    <w:rsid w:val="008B2C34"/>
    <w:rsid w:val="008B31F1"/>
    <w:rsid w:val="008B34CA"/>
    <w:rsid w:val="008B35A6"/>
    <w:rsid w:val="008B3BDD"/>
    <w:rsid w:val="008B46AB"/>
    <w:rsid w:val="008B4A8A"/>
    <w:rsid w:val="008B545A"/>
    <w:rsid w:val="008B5B32"/>
    <w:rsid w:val="008B5BD2"/>
    <w:rsid w:val="008B5FA1"/>
    <w:rsid w:val="008B6359"/>
    <w:rsid w:val="008B6558"/>
    <w:rsid w:val="008B6F71"/>
    <w:rsid w:val="008B724D"/>
    <w:rsid w:val="008C0A3C"/>
    <w:rsid w:val="008C0BA6"/>
    <w:rsid w:val="008C19A4"/>
    <w:rsid w:val="008C1D80"/>
    <w:rsid w:val="008C22A0"/>
    <w:rsid w:val="008C2ACE"/>
    <w:rsid w:val="008C388F"/>
    <w:rsid w:val="008C4659"/>
    <w:rsid w:val="008C4B0D"/>
    <w:rsid w:val="008C5F28"/>
    <w:rsid w:val="008C61B3"/>
    <w:rsid w:val="008C63E4"/>
    <w:rsid w:val="008C6655"/>
    <w:rsid w:val="008C6C24"/>
    <w:rsid w:val="008C70AB"/>
    <w:rsid w:val="008C7797"/>
    <w:rsid w:val="008D04F5"/>
    <w:rsid w:val="008D0706"/>
    <w:rsid w:val="008D137D"/>
    <w:rsid w:val="008D276E"/>
    <w:rsid w:val="008D2D79"/>
    <w:rsid w:val="008D3126"/>
    <w:rsid w:val="008D3534"/>
    <w:rsid w:val="008D3EA8"/>
    <w:rsid w:val="008D3ED1"/>
    <w:rsid w:val="008D557D"/>
    <w:rsid w:val="008D60CA"/>
    <w:rsid w:val="008D694E"/>
    <w:rsid w:val="008D700A"/>
    <w:rsid w:val="008D7676"/>
    <w:rsid w:val="008D78FF"/>
    <w:rsid w:val="008E0CCB"/>
    <w:rsid w:val="008E0E10"/>
    <w:rsid w:val="008E116F"/>
    <w:rsid w:val="008E15DE"/>
    <w:rsid w:val="008E1772"/>
    <w:rsid w:val="008E2194"/>
    <w:rsid w:val="008E2D08"/>
    <w:rsid w:val="008E3F4E"/>
    <w:rsid w:val="008E434B"/>
    <w:rsid w:val="008E4619"/>
    <w:rsid w:val="008E5542"/>
    <w:rsid w:val="008E590A"/>
    <w:rsid w:val="008E5D7D"/>
    <w:rsid w:val="008E6666"/>
    <w:rsid w:val="008E7238"/>
    <w:rsid w:val="008E7365"/>
    <w:rsid w:val="008E73BE"/>
    <w:rsid w:val="008F0116"/>
    <w:rsid w:val="008F0FC9"/>
    <w:rsid w:val="008F12DA"/>
    <w:rsid w:val="008F1466"/>
    <w:rsid w:val="008F14EA"/>
    <w:rsid w:val="008F1C8F"/>
    <w:rsid w:val="008F28B0"/>
    <w:rsid w:val="008F3A07"/>
    <w:rsid w:val="008F3B8B"/>
    <w:rsid w:val="008F3C3D"/>
    <w:rsid w:val="008F492A"/>
    <w:rsid w:val="008F583D"/>
    <w:rsid w:val="008F5B07"/>
    <w:rsid w:val="008F5DBF"/>
    <w:rsid w:val="008F6365"/>
    <w:rsid w:val="008F6FBC"/>
    <w:rsid w:val="008F7231"/>
    <w:rsid w:val="008F7672"/>
    <w:rsid w:val="009002D8"/>
    <w:rsid w:val="009012D3"/>
    <w:rsid w:val="009017AF"/>
    <w:rsid w:val="00901B1B"/>
    <w:rsid w:val="00902409"/>
    <w:rsid w:val="009025E8"/>
    <w:rsid w:val="00902C28"/>
    <w:rsid w:val="009032DC"/>
    <w:rsid w:val="009033F8"/>
    <w:rsid w:val="00903606"/>
    <w:rsid w:val="0090392A"/>
    <w:rsid w:val="00903B62"/>
    <w:rsid w:val="00903BD6"/>
    <w:rsid w:val="00903ECB"/>
    <w:rsid w:val="009046C9"/>
    <w:rsid w:val="00905F3F"/>
    <w:rsid w:val="0090614E"/>
    <w:rsid w:val="00906367"/>
    <w:rsid w:val="00906D33"/>
    <w:rsid w:val="00907075"/>
    <w:rsid w:val="0090742B"/>
    <w:rsid w:val="00910475"/>
    <w:rsid w:val="0091062C"/>
    <w:rsid w:val="0091211B"/>
    <w:rsid w:val="009121CA"/>
    <w:rsid w:val="009122CB"/>
    <w:rsid w:val="00913071"/>
    <w:rsid w:val="00913419"/>
    <w:rsid w:val="00913459"/>
    <w:rsid w:val="00913AF8"/>
    <w:rsid w:val="00913E00"/>
    <w:rsid w:val="00914DA7"/>
    <w:rsid w:val="00914E12"/>
    <w:rsid w:val="00915A46"/>
    <w:rsid w:val="00915F63"/>
    <w:rsid w:val="00916269"/>
    <w:rsid w:val="00916C59"/>
    <w:rsid w:val="0091701B"/>
    <w:rsid w:val="0091768A"/>
    <w:rsid w:val="009177E9"/>
    <w:rsid w:val="00917B66"/>
    <w:rsid w:val="0092085A"/>
    <w:rsid w:val="0092088E"/>
    <w:rsid w:val="00920B5C"/>
    <w:rsid w:val="00920BD0"/>
    <w:rsid w:val="00920D5A"/>
    <w:rsid w:val="00921C8A"/>
    <w:rsid w:val="009245B6"/>
    <w:rsid w:val="009247E3"/>
    <w:rsid w:val="00924861"/>
    <w:rsid w:val="00924964"/>
    <w:rsid w:val="009250E6"/>
    <w:rsid w:val="0092606A"/>
    <w:rsid w:val="009276C6"/>
    <w:rsid w:val="00927AD9"/>
    <w:rsid w:val="00930164"/>
    <w:rsid w:val="009305D3"/>
    <w:rsid w:val="00931182"/>
    <w:rsid w:val="00931429"/>
    <w:rsid w:val="0093172B"/>
    <w:rsid w:val="009318E2"/>
    <w:rsid w:val="00931D02"/>
    <w:rsid w:val="00931DB1"/>
    <w:rsid w:val="009321E5"/>
    <w:rsid w:val="0093237F"/>
    <w:rsid w:val="009325CF"/>
    <w:rsid w:val="009331CF"/>
    <w:rsid w:val="009334AC"/>
    <w:rsid w:val="00933549"/>
    <w:rsid w:val="0093422C"/>
    <w:rsid w:val="00935297"/>
    <w:rsid w:val="00935E83"/>
    <w:rsid w:val="00936A0F"/>
    <w:rsid w:val="00936CC8"/>
    <w:rsid w:val="00937C7E"/>
    <w:rsid w:val="009402B6"/>
    <w:rsid w:val="00940857"/>
    <w:rsid w:val="009409BA"/>
    <w:rsid w:val="0094123F"/>
    <w:rsid w:val="00942010"/>
    <w:rsid w:val="00942024"/>
    <w:rsid w:val="0094320A"/>
    <w:rsid w:val="0094336E"/>
    <w:rsid w:val="00943E31"/>
    <w:rsid w:val="00943ED7"/>
    <w:rsid w:val="00944398"/>
    <w:rsid w:val="00944D57"/>
    <w:rsid w:val="00946036"/>
    <w:rsid w:val="00946484"/>
    <w:rsid w:val="00946637"/>
    <w:rsid w:val="009466B0"/>
    <w:rsid w:val="00946FEC"/>
    <w:rsid w:val="009470D1"/>
    <w:rsid w:val="009477A4"/>
    <w:rsid w:val="0094786B"/>
    <w:rsid w:val="00947FCB"/>
    <w:rsid w:val="00950499"/>
    <w:rsid w:val="009505D5"/>
    <w:rsid w:val="00950AB0"/>
    <w:rsid w:val="00950EB9"/>
    <w:rsid w:val="0095170D"/>
    <w:rsid w:val="0095307F"/>
    <w:rsid w:val="009536AA"/>
    <w:rsid w:val="00954342"/>
    <w:rsid w:val="009545AC"/>
    <w:rsid w:val="00954AA0"/>
    <w:rsid w:val="00954D30"/>
    <w:rsid w:val="00954FAB"/>
    <w:rsid w:val="00955526"/>
    <w:rsid w:val="00956C2D"/>
    <w:rsid w:val="0096079F"/>
    <w:rsid w:val="0096093E"/>
    <w:rsid w:val="00961A08"/>
    <w:rsid w:val="00961C5E"/>
    <w:rsid w:val="00961EE7"/>
    <w:rsid w:val="0096303F"/>
    <w:rsid w:val="00963160"/>
    <w:rsid w:val="009631F4"/>
    <w:rsid w:val="009632C2"/>
    <w:rsid w:val="0096340B"/>
    <w:rsid w:val="009636B8"/>
    <w:rsid w:val="009639BA"/>
    <w:rsid w:val="00963B6D"/>
    <w:rsid w:val="0096464A"/>
    <w:rsid w:val="00964DB3"/>
    <w:rsid w:val="00964DBB"/>
    <w:rsid w:val="00965016"/>
    <w:rsid w:val="00965767"/>
    <w:rsid w:val="00965AFC"/>
    <w:rsid w:val="00966976"/>
    <w:rsid w:val="00966C09"/>
    <w:rsid w:val="009677B5"/>
    <w:rsid w:val="00970521"/>
    <w:rsid w:val="009711AD"/>
    <w:rsid w:val="00972563"/>
    <w:rsid w:val="009729E0"/>
    <w:rsid w:val="00972A2C"/>
    <w:rsid w:val="00972EB6"/>
    <w:rsid w:val="00973105"/>
    <w:rsid w:val="00973BE9"/>
    <w:rsid w:val="00973F23"/>
    <w:rsid w:val="0097490A"/>
    <w:rsid w:val="00975460"/>
    <w:rsid w:val="0097571C"/>
    <w:rsid w:val="009760B1"/>
    <w:rsid w:val="00976B1F"/>
    <w:rsid w:val="00976F6A"/>
    <w:rsid w:val="009770BA"/>
    <w:rsid w:val="009770F3"/>
    <w:rsid w:val="009803BC"/>
    <w:rsid w:val="009803DE"/>
    <w:rsid w:val="009813A5"/>
    <w:rsid w:val="00981646"/>
    <w:rsid w:val="00981B34"/>
    <w:rsid w:val="00981EB9"/>
    <w:rsid w:val="00982047"/>
    <w:rsid w:val="0098220D"/>
    <w:rsid w:val="00982602"/>
    <w:rsid w:val="009827DD"/>
    <w:rsid w:val="00982B04"/>
    <w:rsid w:val="00982B31"/>
    <w:rsid w:val="00982CD5"/>
    <w:rsid w:val="00982CF0"/>
    <w:rsid w:val="0098358C"/>
    <w:rsid w:val="0098372B"/>
    <w:rsid w:val="00984441"/>
    <w:rsid w:val="0098447D"/>
    <w:rsid w:val="009844CF"/>
    <w:rsid w:val="00984784"/>
    <w:rsid w:val="00984DD8"/>
    <w:rsid w:val="00985609"/>
    <w:rsid w:val="00987399"/>
    <w:rsid w:val="009875D1"/>
    <w:rsid w:val="009878A7"/>
    <w:rsid w:val="009879A3"/>
    <w:rsid w:val="0099057C"/>
    <w:rsid w:val="0099085F"/>
    <w:rsid w:val="009912F9"/>
    <w:rsid w:val="00991415"/>
    <w:rsid w:val="00991FF9"/>
    <w:rsid w:val="009925DB"/>
    <w:rsid w:val="009929A5"/>
    <w:rsid w:val="00993292"/>
    <w:rsid w:val="0099358F"/>
    <w:rsid w:val="00993A3E"/>
    <w:rsid w:val="00993CC9"/>
    <w:rsid w:val="00993FDF"/>
    <w:rsid w:val="009947D5"/>
    <w:rsid w:val="009950BF"/>
    <w:rsid w:val="00995D9E"/>
    <w:rsid w:val="0099761D"/>
    <w:rsid w:val="009979DD"/>
    <w:rsid w:val="00997BE5"/>
    <w:rsid w:val="009A0899"/>
    <w:rsid w:val="009A0EEE"/>
    <w:rsid w:val="009A0F50"/>
    <w:rsid w:val="009A1447"/>
    <w:rsid w:val="009A14A3"/>
    <w:rsid w:val="009A157E"/>
    <w:rsid w:val="009A1920"/>
    <w:rsid w:val="009A1E28"/>
    <w:rsid w:val="009A25DE"/>
    <w:rsid w:val="009A2995"/>
    <w:rsid w:val="009A3216"/>
    <w:rsid w:val="009A3B9A"/>
    <w:rsid w:val="009A42BF"/>
    <w:rsid w:val="009A4416"/>
    <w:rsid w:val="009A4880"/>
    <w:rsid w:val="009A63B0"/>
    <w:rsid w:val="009A6CAF"/>
    <w:rsid w:val="009A6F74"/>
    <w:rsid w:val="009A7764"/>
    <w:rsid w:val="009B0952"/>
    <w:rsid w:val="009B0AD3"/>
    <w:rsid w:val="009B0BF9"/>
    <w:rsid w:val="009B0D5D"/>
    <w:rsid w:val="009B12E5"/>
    <w:rsid w:val="009B171D"/>
    <w:rsid w:val="009B1775"/>
    <w:rsid w:val="009B1A16"/>
    <w:rsid w:val="009B1D1E"/>
    <w:rsid w:val="009B2288"/>
    <w:rsid w:val="009B2347"/>
    <w:rsid w:val="009B2929"/>
    <w:rsid w:val="009B2B7C"/>
    <w:rsid w:val="009B376D"/>
    <w:rsid w:val="009B3D7B"/>
    <w:rsid w:val="009B46F6"/>
    <w:rsid w:val="009B54AB"/>
    <w:rsid w:val="009B63CA"/>
    <w:rsid w:val="009B700B"/>
    <w:rsid w:val="009B7BA2"/>
    <w:rsid w:val="009C07B6"/>
    <w:rsid w:val="009C1197"/>
    <w:rsid w:val="009C1C51"/>
    <w:rsid w:val="009C2B5E"/>
    <w:rsid w:val="009C3014"/>
    <w:rsid w:val="009C3CB4"/>
    <w:rsid w:val="009C43EC"/>
    <w:rsid w:val="009C466B"/>
    <w:rsid w:val="009C493B"/>
    <w:rsid w:val="009C4E73"/>
    <w:rsid w:val="009C5108"/>
    <w:rsid w:val="009C52D2"/>
    <w:rsid w:val="009C5483"/>
    <w:rsid w:val="009C66D0"/>
    <w:rsid w:val="009C6E7F"/>
    <w:rsid w:val="009C6EB0"/>
    <w:rsid w:val="009C7E7F"/>
    <w:rsid w:val="009C7E90"/>
    <w:rsid w:val="009C7ED7"/>
    <w:rsid w:val="009D0A95"/>
    <w:rsid w:val="009D1948"/>
    <w:rsid w:val="009D2955"/>
    <w:rsid w:val="009D3628"/>
    <w:rsid w:val="009D3BF0"/>
    <w:rsid w:val="009D4C2A"/>
    <w:rsid w:val="009D55EE"/>
    <w:rsid w:val="009D5D19"/>
    <w:rsid w:val="009D6914"/>
    <w:rsid w:val="009D6C58"/>
    <w:rsid w:val="009D78F6"/>
    <w:rsid w:val="009D7DF7"/>
    <w:rsid w:val="009E05B1"/>
    <w:rsid w:val="009E07EB"/>
    <w:rsid w:val="009E0857"/>
    <w:rsid w:val="009E1222"/>
    <w:rsid w:val="009E1C22"/>
    <w:rsid w:val="009E1FE3"/>
    <w:rsid w:val="009E2481"/>
    <w:rsid w:val="009E2601"/>
    <w:rsid w:val="009E31C0"/>
    <w:rsid w:val="009E3393"/>
    <w:rsid w:val="009E35FD"/>
    <w:rsid w:val="009E4592"/>
    <w:rsid w:val="009E4611"/>
    <w:rsid w:val="009E4D06"/>
    <w:rsid w:val="009E582D"/>
    <w:rsid w:val="009E6186"/>
    <w:rsid w:val="009E7D15"/>
    <w:rsid w:val="009F018D"/>
    <w:rsid w:val="009F05EB"/>
    <w:rsid w:val="009F087A"/>
    <w:rsid w:val="009F144B"/>
    <w:rsid w:val="009F1457"/>
    <w:rsid w:val="009F159E"/>
    <w:rsid w:val="009F17F4"/>
    <w:rsid w:val="009F2608"/>
    <w:rsid w:val="009F311E"/>
    <w:rsid w:val="009F3358"/>
    <w:rsid w:val="009F341C"/>
    <w:rsid w:val="009F359B"/>
    <w:rsid w:val="009F3631"/>
    <w:rsid w:val="009F3790"/>
    <w:rsid w:val="009F39D2"/>
    <w:rsid w:val="009F458A"/>
    <w:rsid w:val="009F4902"/>
    <w:rsid w:val="009F51FA"/>
    <w:rsid w:val="009F6404"/>
    <w:rsid w:val="009F7951"/>
    <w:rsid w:val="009F7CEB"/>
    <w:rsid w:val="009F7E4F"/>
    <w:rsid w:val="00A012D7"/>
    <w:rsid w:val="00A02472"/>
    <w:rsid w:val="00A0283C"/>
    <w:rsid w:val="00A02F06"/>
    <w:rsid w:val="00A03149"/>
    <w:rsid w:val="00A035DA"/>
    <w:rsid w:val="00A03CE0"/>
    <w:rsid w:val="00A040FD"/>
    <w:rsid w:val="00A0412A"/>
    <w:rsid w:val="00A0426A"/>
    <w:rsid w:val="00A04796"/>
    <w:rsid w:val="00A04859"/>
    <w:rsid w:val="00A04C0D"/>
    <w:rsid w:val="00A04FD6"/>
    <w:rsid w:val="00A05C07"/>
    <w:rsid w:val="00A0649D"/>
    <w:rsid w:val="00A06FA4"/>
    <w:rsid w:val="00A07156"/>
    <w:rsid w:val="00A07972"/>
    <w:rsid w:val="00A07A7F"/>
    <w:rsid w:val="00A07CDD"/>
    <w:rsid w:val="00A104B6"/>
    <w:rsid w:val="00A10769"/>
    <w:rsid w:val="00A108DA"/>
    <w:rsid w:val="00A10AF4"/>
    <w:rsid w:val="00A10FB8"/>
    <w:rsid w:val="00A10FF2"/>
    <w:rsid w:val="00A111A7"/>
    <w:rsid w:val="00A116B1"/>
    <w:rsid w:val="00A12983"/>
    <w:rsid w:val="00A12EA4"/>
    <w:rsid w:val="00A12FE9"/>
    <w:rsid w:val="00A13700"/>
    <w:rsid w:val="00A13B1A"/>
    <w:rsid w:val="00A141D0"/>
    <w:rsid w:val="00A14206"/>
    <w:rsid w:val="00A14296"/>
    <w:rsid w:val="00A1439D"/>
    <w:rsid w:val="00A14628"/>
    <w:rsid w:val="00A14E93"/>
    <w:rsid w:val="00A14F1E"/>
    <w:rsid w:val="00A15593"/>
    <w:rsid w:val="00A15C2C"/>
    <w:rsid w:val="00A173C9"/>
    <w:rsid w:val="00A17703"/>
    <w:rsid w:val="00A20A73"/>
    <w:rsid w:val="00A20B1A"/>
    <w:rsid w:val="00A20BBB"/>
    <w:rsid w:val="00A217EB"/>
    <w:rsid w:val="00A22223"/>
    <w:rsid w:val="00A22240"/>
    <w:rsid w:val="00A22542"/>
    <w:rsid w:val="00A22A39"/>
    <w:rsid w:val="00A22B40"/>
    <w:rsid w:val="00A24AC2"/>
    <w:rsid w:val="00A24DB9"/>
    <w:rsid w:val="00A25C90"/>
    <w:rsid w:val="00A2629C"/>
    <w:rsid w:val="00A26345"/>
    <w:rsid w:val="00A2663E"/>
    <w:rsid w:val="00A266E9"/>
    <w:rsid w:val="00A26BBC"/>
    <w:rsid w:val="00A277E5"/>
    <w:rsid w:val="00A27B05"/>
    <w:rsid w:val="00A27BED"/>
    <w:rsid w:val="00A3053D"/>
    <w:rsid w:val="00A30917"/>
    <w:rsid w:val="00A30988"/>
    <w:rsid w:val="00A310FB"/>
    <w:rsid w:val="00A32228"/>
    <w:rsid w:val="00A325F0"/>
    <w:rsid w:val="00A330BD"/>
    <w:rsid w:val="00A330DA"/>
    <w:rsid w:val="00A3488A"/>
    <w:rsid w:val="00A34F45"/>
    <w:rsid w:val="00A366E3"/>
    <w:rsid w:val="00A36738"/>
    <w:rsid w:val="00A36824"/>
    <w:rsid w:val="00A36C4D"/>
    <w:rsid w:val="00A36C54"/>
    <w:rsid w:val="00A36C94"/>
    <w:rsid w:val="00A36D22"/>
    <w:rsid w:val="00A3703F"/>
    <w:rsid w:val="00A370EA"/>
    <w:rsid w:val="00A37B9D"/>
    <w:rsid w:val="00A403EC"/>
    <w:rsid w:val="00A40665"/>
    <w:rsid w:val="00A40A69"/>
    <w:rsid w:val="00A40C27"/>
    <w:rsid w:val="00A4180D"/>
    <w:rsid w:val="00A41E5D"/>
    <w:rsid w:val="00A4334F"/>
    <w:rsid w:val="00A4355C"/>
    <w:rsid w:val="00A43E6F"/>
    <w:rsid w:val="00A43EBB"/>
    <w:rsid w:val="00A44792"/>
    <w:rsid w:val="00A44CC3"/>
    <w:rsid w:val="00A45FD1"/>
    <w:rsid w:val="00A4692B"/>
    <w:rsid w:val="00A46EA6"/>
    <w:rsid w:val="00A46FF9"/>
    <w:rsid w:val="00A4745F"/>
    <w:rsid w:val="00A47677"/>
    <w:rsid w:val="00A504C8"/>
    <w:rsid w:val="00A505B3"/>
    <w:rsid w:val="00A50E6B"/>
    <w:rsid w:val="00A51F3D"/>
    <w:rsid w:val="00A532C8"/>
    <w:rsid w:val="00A535FB"/>
    <w:rsid w:val="00A536EE"/>
    <w:rsid w:val="00A53D30"/>
    <w:rsid w:val="00A53E40"/>
    <w:rsid w:val="00A5457D"/>
    <w:rsid w:val="00A55C41"/>
    <w:rsid w:val="00A56305"/>
    <w:rsid w:val="00A56B53"/>
    <w:rsid w:val="00A57BF2"/>
    <w:rsid w:val="00A60E88"/>
    <w:rsid w:val="00A615D1"/>
    <w:rsid w:val="00A616CD"/>
    <w:rsid w:val="00A61B52"/>
    <w:rsid w:val="00A61C40"/>
    <w:rsid w:val="00A62156"/>
    <w:rsid w:val="00A62BF8"/>
    <w:rsid w:val="00A632FF"/>
    <w:rsid w:val="00A6374D"/>
    <w:rsid w:val="00A64036"/>
    <w:rsid w:val="00A644BD"/>
    <w:rsid w:val="00A64AA5"/>
    <w:rsid w:val="00A64CE4"/>
    <w:rsid w:val="00A6518E"/>
    <w:rsid w:val="00A674CF"/>
    <w:rsid w:val="00A67707"/>
    <w:rsid w:val="00A67C0F"/>
    <w:rsid w:val="00A707C0"/>
    <w:rsid w:val="00A7136E"/>
    <w:rsid w:val="00A71734"/>
    <w:rsid w:val="00A71FFC"/>
    <w:rsid w:val="00A7297B"/>
    <w:rsid w:val="00A72B1E"/>
    <w:rsid w:val="00A73049"/>
    <w:rsid w:val="00A7357C"/>
    <w:rsid w:val="00A73781"/>
    <w:rsid w:val="00A757B9"/>
    <w:rsid w:val="00A75EFE"/>
    <w:rsid w:val="00A767CB"/>
    <w:rsid w:val="00A76BFA"/>
    <w:rsid w:val="00A76CAD"/>
    <w:rsid w:val="00A7752B"/>
    <w:rsid w:val="00A77CF6"/>
    <w:rsid w:val="00A77DD0"/>
    <w:rsid w:val="00A8054B"/>
    <w:rsid w:val="00A80F26"/>
    <w:rsid w:val="00A8132E"/>
    <w:rsid w:val="00A81EE4"/>
    <w:rsid w:val="00A81F82"/>
    <w:rsid w:val="00A824FC"/>
    <w:rsid w:val="00A82916"/>
    <w:rsid w:val="00A82B35"/>
    <w:rsid w:val="00A82FFD"/>
    <w:rsid w:val="00A832B8"/>
    <w:rsid w:val="00A83E8B"/>
    <w:rsid w:val="00A841B0"/>
    <w:rsid w:val="00A8433D"/>
    <w:rsid w:val="00A84561"/>
    <w:rsid w:val="00A856E3"/>
    <w:rsid w:val="00A8577E"/>
    <w:rsid w:val="00A85A2B"/>
    <w:rsid w:val="00A8641E"/>
    <w:rsid w:val="00A86967"/>
    <w:rsid w:val="00A8727E"/>
    <w:rsid w:val="00A8761C"/>
    <w:rsid w:val="00A87971"/>
    <w:rsid w:val="00A87B9F"/>
    <w:rsid w:val="00A87C35"/>
    <w:rsid w:val="00A905E7"/>
    <w:rsid w:val="00A92749"/>
    <w:rsid w:val="00A9287E"/>
    <w:rsid w:val="00A92A86"/>
    <w:rsid w:val="00A92A8F"/>
    <w:rsid w:val="00A9312D"/>
    <w:rsid w:val="00A934CB"/>
    <w:rsid w:val="00A93543"/>
    <w:rsid w:val="00A9358B"/>
    <w:rsid w:val="00A93A43"/>
    <w:rsid w:val="00A94B80"/>
    <w:rsid w:val="00A94E47"/>
    <w:rsid w:val="00A94EFC"/>
    <w:rsid w:val="00A969F9"/>
    <w:rsid w:val="00A96A56"/>
    <w:rsid w:val="00A979CB"/>
    <w:rsid w:val="00AA076B"/>
    <w:rsid w:val="00AA0A03"/>
    <w:rsid w:val="00AA0DEA"/>
    <w:rsid w:val="00AA0FDB"/>
    <w:rsid w:val="00AA155D"/>
    <w:rsid w:val="00AA1681"/>
    <w:rsid w:val="00AA18F6"/>
    <w:rsid w:val="00AA1D6E"/>
    <w:rsid w:val="00AA2868"/>
    <w:rsid w:val="00AA28C0"/>
    <w:rsid w:val="00AA2FA1"/>
    <w:rsid w:val="00AA3FDC"/>
    <w:rsid w:val="00AA446E"/>
    <w:rsid w:val="00AA4651"/>
    <w:rsid w:val="00AA4A3B"/>
    <w:rsid w:val="00AA4C44"/>
    <w:rsid w:val="00AA51C1"/>
    <w:rsid w:val="00AA5332"/>
    <w:rsid w:val="00AA5D7D"/>
    <w:rsid w:val="00AA6156"/>
    <w:rsid w:val="00AA63D2"/>
    <w:rsid w:val="00AA6558"/>
    <w:rsid w:val="00AA66A8"/>
    <w:rsid w:val="00AA6E24"/>
    <w:rsid w:val="00AA73AC"/>
    <w:rsid w:val="00AA7B77"/>
    <w:rsid w:val="00AB0989"/>
    <w:rsid w:val="00AB0F65"/>
    <w:rsid w:val="00AB1371"/>
    <w:rsid w:val="00AB187A"/>
    <w:rsid w:val="00AB2468"/>
    <w:rsid w:val="00AB341D"/>
    <w:rsid w:val="00AB4CBD"/>
    <w:rsid w:val="00AB514A"/>
    <w:rsid w:val="00AB58C0"/>
    <w:rsid w:val="00AB7768"/>
    <w:rsid w:val="00AB7B14"/>
    <w:rsid w:val="00AC00CA"/>
    <w:rsid w:val="00AC0866"/>
    <w:rsid w:val="00AC11EB"/>
    <w:rsid w:val="00AC1279"/>
    <w:rsid w:val="00AC269F"/>
    <w:rsid w:val="00AC29DA"/>
    <w:rsid w:val="00AC2F40"/>
    <w:rsid w:val="00AC3161"/>
    <w:rsid w:val="00AC34A7"/>
    <w:rsid w:val="00AC37AF"/>
    <w:rsid w:val="00AC3C4C"/>
    <w:rsid w:val="00AC46DC"/>
    <w:rsid w:val="00AC4A5E"/>
    <w:rsid w:val="00AC4B47"/>
    <w:rsid w:val="00AC4DEA"/>
    <w:rsid w:val="00AC4E33"/>
    <w:rsid w:val="00AC50E3"/>
    <w:rsid w:val="00AC5228"/>
    <w:rsid w:val="00AC537E"/>
    <w:rsid w:val="00AC688A"/>
    <w:rsid w:val="00AC68FA"/>
    <w:rsid w:val="00AC6909"/>
    <w:rsid w:val="00AC6C31"/>
    <w:rsid w:val="00AC751D"/>
    <w:rsid w:val="00AC7C29"/>
    <w:rsid w:val="00AC7FC7"/>
    <w:rsid w:val="00AD04D5"/>
    <w:rsid w:val="00AD04EC"/>
    <w:rsid w:val="00AD05C6"/>
    <w:rsid w:val="00AD05F5"/>
    <w:rsid w:val="00AD12A5"/>
    <w:rsid w:val="00AD17EE"/>
    <w:rsid w:val="00AD1E7E"/>
    <w:rsid w:val="00AD2059"/>
    <w:rsid w:val="00AD2254"/>
    <w:rsid w:val="00AD2959"/>
    <w:rsid w:val="00AD2BC2"/>
    <w:rsid w:val="00AD3DA3"/>
    <w:rsid w:val="00AD3EA5"/>
    <w:rsid w:val="00AD41A5"/>
    <w:rsid w:val="00AD51C9"/>
    <w:rsid w:val="00AD5218"/>
    <w:rsid w:val="00AD5531"/>
    <w:rsid w:val="00AD5D07"/>
    <w:rsid w:val="00AD5D29"/>
    <w:rsid w:val="00AD6212"/>
    <w:rsid w:val="00AD7817"/>
    <w:rsid w:val="00AD781B"/>
    <w:rsid w:val="00AD7956"/>
    <w:rsid w:val="00AE1367"/>
    <w:rsid w:val="00AE1FDF"/>
    <w:rsid w:val="00AE2A3C"/>
    <w:rsid w:val="00AE2A68"/>
    <w:rsid w:val="00AE2BCB"/>
    <w:rsid w:val="00AE3C88"/>
    <w:rsid w:val="00AE3E55"/>
    <w:rsid w:val="00AE41A0"/>
    <w:rsid w:val="00AE4A74"/>
    <w:rsid w:val="00AE513E"/>
    <w:rsid w:val="00AE54EA"/>
    <w:rsid w:val="00AE609E"/>
    <w:rsid w:val="00AE6C34"/>
    <w:rsid w:val="00AE7413"/>
    <w:rsid w:val="00AE7AA8"/>
    <w:rsid w:val="00AE7AAE"/>
    <w:rsid w:val="00AF054B"/>
    <w:rsid w:val="00AF0D20"/>
    <w:rsid w:val="00AF0DF9"/>
    <w:rsid w:val="00AF1493"/>
    <w:rsid w:val="00AF1BD5"/>
    <w:rsid w:val="00AF2442"/>
    <w:rsid w:val="00AF28ED"/>
    <w:rsid w:val="00AF415A"/>
    <w:rsid w:val="00AF4BE4"/>
    <w:rsid w:val="00AF54D8"/>
    <w:rsid w:val="00AF5A60"/>
    <w:rsid w:val="00AF6238"/>
    <w:rsid w:val="00AF6275"/>
    <w:rsid w:val="00AF7491"/>
    <w:rsid w:val="00B00A18"/>
    <w:rsid w:val="00B00AE6"/>
    <w:rsid w:val="00B00F8A"/>
    <w:rsid w:val="00B015D3"/>
    <w:rsid w:val="00B0175E"/>
    <w:rsid w:val="00B026D4"/>
    <w:rsid w:val="00B0284F"/>
    <w:rsid w:val="00B046DD"/>
    <w:rsid w:val="00B04E5E"/>
    <w:rsid w:val="00B0574A"/>
    <w:rsid w:val="00B05A6C"/>
    <w:rsid w:val="00B05C09"/>
    <w:rsid w:val="00B0616D"/>
    <w:rsid w:val="00B07082"/>
    <w:rsid w:val="00B071A3"/>
    <w:rsid w:val="00B10BEE"/>
    <w:rsid w:val="00B110CD"/>
    <w:rsid w:val="00B1136A"/>
    <w:rsid w:val="00B11EA0"/>
    <w:rsid w:val="00B123A0"/>
    <w:rsid w:val="00B12AD1"/>
    <w:rsid w:val="00B12B48"/>
    <w:rsid w:val="00B13080"/>
    <w:rsid w:val="00B137CF"/>
    <w:rsid w:val="00B15041"/>
    <w:rsid w:val="00B1574F"/>
    <w:rsid w:val="00B1589A"/>
    <w:rsid w:val="00B15988"/>
    <w:rsid w:val="00B16976"/>
    <w:rsid w:val="00B16D67"/>
    <w:rsid w:val="00B17FDB"/>
    <w:rsid w:val="00B20502"/>
    <w:rsid w:val="00B2052D"/>
    <w:rsid w:val="00B20FA1"/>
    <w:rsid w:val="00B21826"/>
    <w:rsid w:val="00B21BB1"/>
    <w:rsid w:val="00B21BC2"/>
    <w:rsid w:val="00B21E60"/>
    <w:rsid w:val="00B222B0"/>
    <w:rsid w:val="00B232A0"/>
    <w:rsid w:val="00B235EB"/>
    <w:rsid w:val="00B23884"/>
    <w:rsid w:val="00B240EF"/>
    <w:rsid w:val="00B24126"/>
    <w:rsid w:val="00B2426F"/>
    <w:rsid w:val="00B2485E"/>
    <w:rsid w:val="00B250B2"/>
    <w:rsid w:val="00B25D55"/>
    <w:rsid w:val="00B25D68"/>
    <w:rsid w:val="00B26638"/>
    <w:rsid w:val="00B270F8"/>
    <w:rsid w:val="00B2777B"/>
    <w:rsid w:val="00B30618"/>
    <w:rsid w:val="00B31D60"/>
    <w:rsid w:val="00B328AD"/>
    <w:rsid w:val="00B33146"/>
    <w:rsid w:val="00B331D4"/>
    <w:rsid w:val="00B33226"/>
    <w:rsid w:val="00B3370D"/>
    <w:rsid w:val="00B33961"/>
    <w:rsid w:val="00B33C35"/>
    <w:rsid w:val="00B34271"/>
    <w:rsid w:val="00B34CFF"/>
    <w:rsid w:val="00B35517"/>
    <w:rsid w:val="00B35C16"/>
    <w:rsid w:val="00B368EA"/>
    <w:rsid w:val="00B37266"/>
    <w:rsid w:val="00B37A53"/>
    <w:rsid w:val="00B40463"/>
    <w:rsid w:val="00B408BE"/>
    <w:rsid w:val="00B40B7A"/>
    <w:rsid w:val="00B41DFC"/>
    <w:rsid w:val="00B429CB"/>
    <w:rsid w:val="00B43204"/>
    <w:rsid w:val="00B43748"/>
    <w:rsid w:val="00B43B92"/>
    <w:rsid w:val="00B444B1"/>
    <w:rsid w:val="00B4456E"/>
    <w:rsid w:val="00B44A77"/>
    <w:rsid w:val="00B46FD4"/>
    <w:rsid w:val="00B47141"/>
    <w:rsid w:val="00B476EF"/>
    <w:rsid w:val="00B507F3"/>
    <w:rsid w:val="00B50D5E"/>
    <w:rsid w:val="00B515CC"/>
    <w:rsid w:val="00B51820"/>
    <w:rsid w:val="00B51FE8"/>
    <w:rsid w:val="00B52062"/>
    <w:rsid w:val="00B52D49"/>
    <w:rsid w:val="00B53306"/>
    <w:rsid w:val="00B539FB"/>
    <w:rsid w:val="00B53ACC"/>
    <w:rsid w:val="00B545DF"/>
    <w:rsid w:val="00B54B92"/>
    <w:rsid w:val="00B55532"/>
    <w:rsid w:val="00B556B9"/>
    <w:rsid w:val="00B5651D"/>
    <w:rsid w:val="00B57009"/>
    <w:rsid w:val="00B573D4"/>
    <w:rsid w:val="00B5750B"/>
    <w:rsid w:val="00B577E3"/>
    <w:rsid w:val="00B57D83"/>
    <w:rsid w:val="00B604B3"/>
    <w:rsid w:val="00B604C2"/>
    <w:rsid w:val="00B61D35"/>
    <w:rsid w:val="00B61DB8"/>
    <w:rsid w:val="00B61FD9"/>
    <w:rsid w:val="00B621AC"/>
    <w:rsid w:val="00B62206"/>
    <w:rsid w:val="00B625D7"/>
    <w:rsid w:val="00B62972"/>
    <w:rsid w:val="00B62F01"/>
    <w:rsid w:val="00B6367E"/>
    <w:rsid w:val="00B63B06"/>
    <w:rsid w:val="00B6417C"/>
    <w:rsid w:val="00B647A0"/>
    <w:rsid w:val="00B65CE0"/>
    <w:rsid w:val="00B660D6"/>
    <w:rsid w:val="00B66C37"/>
    <w:rsid w:val="00B67119"/>
    <w:rsid w:val="00B6715B"/>
    <w:rsid w:val="00B70748"/>
    <w:rsid w:val="00B709EA"/>
    <w:rsid w:val="00B70B4A"/>
    <w:rsid w:val="00B71675"/>
    <w:rsid w:val="00B71ACB"/>
    <w:rsid w:val="00B71B62"/>
    <w:rsid w:val="00B721E8"/>
    <w:rsid w:val="00B723FF"/>
    <w:rsid w:val="00B72B4B"/>
    <w:rsid w:val="00B73D05"/>
    <w:rsid w:val="00B73D28"/>
    <w:rsid w:val="00B73DB7"/>
    <w:rsid w:val="00B7463D"/>
    <w:rsid w:val="00B74901"/>
    <w:rsid w:val="00B749E6"/>
    <w:rsid w:val="00B758FD"/>
    <w:rsid w:val="00B75BC0"/>
    <w:rsid w:val="00B761C5"/>
    <w:rsid w:val="00B76264"/>
    <w:rsid w:val="00B76AC2"/>
    <w:rsid w:val="00B76FFB"/>
    <w:rsid w:val="00B77661"/>
    <w:rsid w:val="00B7796D"/>
    <w:rsid w:val="00B77975"/>
    <w:rsid w:val="00B77CFD"/>
    <w:rsid w:val="00B806E1"/>
    <w:rsid w:val="00B80A7F"/>
    <w:rsid w:val="00B80B83"/>
    <w:rsid w:val="00B81A5A"/>
    <w:rsid w:val="00B81BCD"/>
    <w:rsid w:val="00B81C2E"/>
    <w:rsid w:val="00B821F2"/>
    <w:rsid w:val="00B82A8C"/>
    <w:rsid w:val="00B82ECF"/>
    <w:rsid w:val="00B83ECA"/>
    <w:rsid w:val="00B84AE5"/>
    <w:rsid w:val="00B85927"/>
    <w:rsid w:val="00B86230"/>
    <w:rsid w:val="00B863A0"/>
    <w:rsid w:val="00B866F9"/>
    <w:rsid w:val="00B868F1"/>
    <w:rsid w:val="00B86950"/>
    <w:rsid w:val="00B87FB7"/>
    <w:rsid w:val="00B9000A"/>
    <w:rsid w:val="00B90C8D"/>
    <w:rsid w:val="00B915D3"/>
    <w:rsid w:val="00B91A0C"/>
    <w:rsid w:val="00B920DA"/>
    <w:rsid w:val="00B93BCE"/>
    <w:rsid w:val="00B94BC2"/>
    <w:rsid w:val="00B951E2"/>
    <w:rsid w:val="00B96365"/>
    <w:rsid w:val="00B9666E"/>
    <w:rsid w:val="00B9675D"/>
    <w:rsid w:val="00B967FB"/>
    <w:rsid w:val="00B97719"/>
    <w:rsid w:val="00B97CDA"/>
    <w:rsid w:val="00B97F19"/>
    <w:rsid w:val="00BA01AB"/>
    <w:rsid w:val="00BA0ACF"/>
    <w:rsid w:val="00BA2630"/>
    <w:rsid w:val="00BA3306"/>
    <w:rsid w:val="00BA34D9"/>
    <w:rsid w:val="00BA3A2D"/>
    <w:rsid w:val="00BA3F30"/>
    <w:rsid w:val="00BA4BC5"/>
    <w:rsid w:val="00BA6271"/>
    <w:rsid w:val="00BA6998"/>
    <w:rsid w:val="00BA6C33"/>
    <w:rsid w:val="00BA6C43"/>
    <w:rsid w:val="00BA73EE"/>
    <w:rsid w:val="00BA795D"/>
    <w:rsid w:val="00BA7FA4"/>
    <w:rsid w:val="00BB006F"/>
    <w:rsid w:val="00BB06D8"/>
    <w:rsid w:val="00BB0A91"/>
    <w:rsid w:val="00BB0E2E"/>
    <w:rsid w:val="00BB0F0D"/>
    <w:rsid w:val="00BB1626"/>
    <w:rsid w:val="00BB16D7"/>
    <w:rsid w:val="00BB1EA0"/>
    <w:rsid w:val="00BB2B3B"/>
    <w:rsid w:val="00BB32D1"/>
    <w:rsid w:val="00BB3F01"/>
    <w:rsid w:val="00BB4550"/>
    <w:rsid w:val="00BB5116"/>
    <w:rsid w:val="00BB557A"/>
    <w:rsid w:val="00BB63C6"/>
    <w:rsid w:val="00BB7B09"/>
    <w:rsid w:val="00BC07C9"/>
    <w:rsid w:val="00BC1637"/>
    <w:rsid w:val="00BC1A30"/>
    <w:rsid w:val="00BC23B6"/>
    <w:rsid w:val="00BC324E"/>
    <w:rsid w:val="00BC435D"/>
    <w:rsid w:val="00BC44AC"/>
    <w:rsid w:val="00BC4679"/>
    <w:rsid w:val="00BC46AB"/>
    <w:rsid w:val="00BC5204"/>
    <w:rsid w:val="00BC52EE"/>
    <w:rsid w:val="00BC53DB"/>
    <w:rsid w:val="00BC56E2"/>
    <w:rsid w:val="00BC5FEE"/>
    <w:rsid w:val="00BC68B5"/>
    <w:rsid w:val="00BC68D8"/>
    <w:rsid w:val="00BC6E7B"/>
    <w:rsid w:val="00BC7AB4"/>
    <w:rsid w:val="00BC7D26"/>
    <w:rsid w:val="00BC7FCB"/>
    <w:rsid w:val="00BD03EC"/>
    <w:rsid w:val="00BD0C77"/>
    <w:rsid w:val="00BD3D2F"/>
    <w:rsid w:val="00BD46CB"/>
    <w:rsid w:val="00BD52FC"/>
    <w:rsid w:val="00BD6344"/>
    <w:rsid w:val="00BD736F"/>
    <w:rsid w:val="00BD7F4E"/>
    <w:rsid w:val="00BE0F80"/>
    <w:rsid w:val="00BE1BAD"/>
    <w:rsid w:val="00BE2942"/>
    <w:rsid w:val="00BE3520"/>
    <w:rsid w:val="00BE3A22"/>
    <w:rsid w:val="00BE3CAA"/>
    <w:rsid w:val="00BE3E5F"/>
    <w:rsid w:val="00BE51C4"/>
    <w:rsid w:val="00BE52B4"/>
    <w:rsid w:val="00BE583A"/>
    <w:rsid w:val="00BE5C9A"/>
    <w:rsid w:val="00BE5D8E"/>
    <w:rsid w:val="00BE6B29"/>
    <w:rsid w:val="00BE7B69"/>
    <w:rsid w:val="00BF0449"/>
    <w:rsid w:val="00BF05F7"/>
    <w:rsid w:val="00BF06A2"/>
    <w:rsid w:val="00BF0700"/>
    <w:rsid w:val="00BF076C"/>
    <w:rsid w:val="00BF08BB"/>
    <w:rsid w:val="00BF0A67"/>
    <w:rsid w:val="00BF0DD8"/>
    <w:rsid w:val="00BF17FE"/>
    <w:rsid w:val="00BF1EFE"/>
    <w:rsid w:val="00BF2830"/>
    <w:rsid w:val="00BF30E9"/>
    <w:rsid w:val="00BF3247"/>
    <w:rsid w:val="00BF37BC"/>
    <w:rsid w:val="00BF3ECC"/>
    <w:rsid w:val="00BF3F74"/>
    <w:rsid w:val="00BF4CC9"/>
    <w:rsid w:val="00BF57C5"/>
    <w:rsid w:val="00BF58C7"/>
    <w:rsid w:val="00BF69D2"/>
    <w:rsid w:val="00BF79C4"/>
    <w:rsid w:val="00BF7ABE"/>
    <w:rsid w:val="00C008D6"/>
    <w:rsid w:val="00C00E26"/>
    <w:rsid w:val="00C022A6"/>
    <w:rsid w:val="00C04315"/>
    <w:rsid w:val="00C046AF"/>
    <w:rsid w:val="00C04774"/>
    <w:rsid w:val="00C0527A"/>
    <w:rsid w:val="00C0602A"/>
    <w:rsid w:val="00C060BF"/>
    <w:rsid w:val="00C06418"/>
    <w:rsid w:val="00C07250"/>
    <w:rsid w:val="00C07417"/>
    <w:rsid w:val="00C0747C"/>
    <w:rsid w:val="00C07B18"/>
    <w:rsid w:val="00C07B89"/>
    <w:rsid w:val="00C07BBA"/>
    <w:rsid w:val="00C07E00"/>
    <w:rsid w:val="00C07FBF"/>
    <w:rsid w:val="00C100DF"/>
    <w:rsid w:val="00C104C2"/>
    <w:rsid w:val="00C109DE"/>
    <w:rsid w:val="00C11033"/>
    <w:rsid w:val="00C110E2"/>
    <w:rsid w:val="00C1186B"/>
    <w:rsid w:val="00C11CB0"/>
    <w:rsid w:val="00C11DD2"/>
    <w:rsid w:val="00C12321"/>
    <w:rsid w:val="00C132CE"/>
    <w:rsid w:val="00C1350D"/>
    <w:rsid w:val="00C13538"/>
    <w:rsid w:val="00C13F81"/>
    <w:rsid w:val="00C1460D"/>
    <w:rsid w:val="00C147B8"/>
    <w:rsid w:val="00C1571C"/>
    <w:rsid w:val="00C16909"/>
    <w:rsid w:val="00C16D35"/>
    <w:rsid w:val="00C200D4"/>
    <w:rsid w:val="00C207F6"/>
    <w:rsid w:val="00C21AA9"/>
    <w:rsid w:val="00C22346"/>
    <w:rsid w:val="00C22EAE"/>
    <w:rsid w:val="00C236EF"/>
    <w:rsid w:val="00C239E3"/>
    <w:rsid w:val="00C23FEA"/>
    <w:rsid w:val="00C244BF"/>
    <w:rsid w:val="00C24FD2"/>
    <w:rsid w:val="00C25026"/>
    <w:rsid w:val="00C2543A"/>
    <w:rsid w:val="00C25BEA"/>
    <w:rsid w:val="00C2633C"/>
    <w:rsid w:val="00C2636B"/>
    <w:rsid w:val="00C272F3"/>
    <w:rsid w:val="00C27467"/>
    <w:rsid w:val="00C27966"/>
    <w:rsid w:val="00C3120C"/>
    <w:rsid w:val="00C31347"/>
    <w:rsid w:val="00C313CB"/>
    <w:rsid w:val="00C317F3"/>
    <w:rsid w:val="00C31CF6"/>
    <w:rsid w:val="00C32002"/>
    <w:rsid w:val="00C3234B"/>
    <w:rsid w:val="00C327F7"/>
    <w:rsid w:val="00C32B74"/>
    <w:rsid w:val="00C33C82"/>
    <w:rsid w:val="00C33E4F"/>
    <w:rsid w:val="00C33EE4"/>
    <w:rsid w:val="00C35C3C"/>
    <w:rsid w:val="00C37D12"/>
    <w:rsid w:val="00C4014C"/>
    <w:rsid w:val="00C40B19"/>
    <w:rsid w:val="00C4156D"/>
    <w:rsid w:val="00C415A0"/>
    <w:rsid w:val="00C417C7"/>
    <w:rsid w:val="00C418AD"/>
    <w:rsid w:val="00C41C37"/>
    <w:rsid w:val="00C43310"/>
    <w:rsid w:val="00C43723"/>
    <w:rsid w:val="00C43A9B"/>
    <w:rsid w:val="00C44C37"/>
    <w:rsid w:val="00C44DA4"/>
    <w:rsid w:val="00C45142"/>
    <w:rsid w:val="00C4548B"/>
    <w:rsid w:val="00C45812"/>
    <w:rsid w:val="00C46695"/>
    <w:rsid w:val="00C469EA"/>
    <w:rsid w:val="00C46AE5"/>
    <w:rsid w:val="00C46D56"/>
    <w:rsid w:val="00C47060"/>
    <w:rsid w:val="00C47065"/>
    <w:rsid w:val="00C47654"/>
    <w:rsid w:val="00C50182"/>
    <w:rsid w:val="00C50667"/>
    <w:rsid w:val="00C50BCC"/>
    <w:rsid w:val="00C510A3"/>
    <w:rsid w:val="00C512C1"/>
    <w:rsid w:val="00C515AC"/>
    <w:rsid w:val="00C516D0"/>
    <w:rsid w:val="00C5177E"/>
    <w:rsid w:val="00C5225F"/>
    <w:rsid w:val="00C52875"/>
    <w:rsid w:val="00C52ACF"/>
    <w:rsid w:val="00C52BC2"/>
    <w:rsid w:val="00C52C8C"/>
    <w:rsid w:val="00C5309E"/>
    <w:rsid w:val="00C530C4"/>
    <w:rsid w:val="00C5353F"/>
    <w:rsid w:val="00C53BE1"/>
    <w:rsid w:val="00C53DA7"/>
    <w:rsid w:val="00C543BA"/>
    <w:rsid w:val="00C544F2"/>
    <w:rsid w:val="00C55510"/>
    <w:rsid w:val="00C55767"/>
    <w:rsid w:val="00C55B00"/>
    <w:rsid w:val="00C56ABD"/>
    <w:rsid w:val="00C56D46"/>
    <w:rsid w:val="00C57181"/>
    <w:rsid w:val="00C57E4D"/>
    <w:rsid w:val="00C60085"/>
    <w:rsid w:val="00C60214"/>
    <w:rsid w:val="00C60D6D"/>
    <w:rsid w:val="00C61E09"/>
    <w:rsid w:val="00C6266C"/>
    <w:rsid w:val="00C626A7"/>
    <w:rsid w:val="00C626E2"/>
    <w:rsid w:val="00C628C8"/>
    <w:rsid w:val="00C62C7F"/>
    <w:rsid w:val="00C6533F"/>
    <w:rsid w:val="00C6585C"/>
    <w:rsid w:val="00C66E80"/>
    <w:rsid w:val="00C71605"/>
    <w:rsid w:val="00C71B67"/>
    <w:rsid w:val="00C71CD2"/>
    <w:rsid w:val="00C72F1F"/>
    <w:rsid w:val="00C730B7"/>
    <w:rsid w:val="00C734C6"/>
    <w:rsid w:val="00C73806"/>
    <w:rsid w:val="00C73D3E"/>
    <w:rsid w:val="00C74C2F"/>
    <w:rsid w:val="00C75198"/>
    <w:rsid w:val="00C7519E"/>
    <w:rsid w:val="00C759AD"/>
    <w:rsid w:val="00C76183"/>
    <w:rsid w:val="00C77351"/>
    <w:rsid w:val="00C77770"/>
    <w:rsid w:val="00C779F7"/>
    <w:rsid w:val="00C80099"/>
    <w:rsid w:val="00C80D62"/>
    <w:rsid w:val="00C81A12"/>
    <w:rsid w:val="00C81D66"/>
    <w:rsid w:val="00C823E0"/>
    <w:rsid w:val="00C8298A"/>
    <w:rsid w:val="00C83063"/>
    <w:rsid w:val="00C83D7A"/>
    <w:rsid w:val="00C83DE3"/>
    <w:rsid w:val="00C8446C"/>
    <w:rsid w:val="00C846BE"/>
    <w:rsid w:val="00C854FC"/>
    <w:rsid w:val="00C857CC"/>
    <w:rsid w:val="00C85A96"/>
    <w:rsid w:val="00C85DC0"/>
    <w:rsid w:val="00C85F78"/>
    <w:rsid w:val="00C8739F"/>
    <w:rsid w:val="00C87433"/>
    <w:rsid w:val="00C87489"/>
    <w:rsid w:val="00C87517"/>
    <w:rsid w:val="00C90A3A"/>
    <w:rsid w:val="00C90E7A"/>
    <w:rsid w:val="00C912FB"/>
    <w:rsid w:val="00C919CF"/>
    <w:rsid w:val="00C926DF"/>
    <w:rsid w:val="00C92B5E"/>
    <w:rsid w:val="00C92C08"/>
    <w:rsid w:val="00C9301E"/>
    <w:rsid w:val="00C93EF2"/>
    <w:rsid w:val="00C94322"/>
    <w:rsid w:val="00C94EB8"/>
    <w:rsid w:val="00C95074"/>
    <w:rsid w:val="00C95164"/>
    <w:rsid w:val="00C958C3"/>
    <w:rsid w:val="00C95A62"/>
    <w:rsid w:val="00C963DE"/>
    <w:rsid w:val="00C969B6"/>
    <w:rsid w:val="00C97137"/>
    <w:rsid w:val="00C973F2"/>
    <w:rsid w:val="00CA0C26"/>
    <w:rsid w:val="00CA1448"/>
    <w:rsid w:val="00CA2038"/>
    <w:rsid w:val="00CA385F"/>
    <w:rsid w:val="00CA4D56"/>
    <w:rsid w:val="00CA58A1"/>
    <w:rsid w:val="00CA5C89"/>
    <w:rsid w:val="00CA7366"/>
    <w:rsid w:val="00CA7802"/>
    <w:rsid w:val="00CA792F"/>
    <w:rsid w:val="00CB07A8"/>
    <w:rsid w:val="00CB11E7"/>
    <w:rsid w:val="00CB13A0"/>
    <w:rsid w:val="00CB14A1"/>
    <w:rsid w:val="00CB203B"/>
    <w:rsid w:val="00CB2156"/>
    <w:rsid w:val="00CB225F"/>
    <w:rsid w:val="00CB3C4A"/>
    <w:rsid w:val="00CB535B"/>
    <w:rsid w:val="00CB5389"/>
    <w:rsid w:val="00CB671A"/>
    <w:rsid w:val="00CB67A1"/>
    <w:rsid w:val="00CB6C9F"/>
    <w:rsid w:val="00CB71F5"/>
    <w:rsid w:val="00CB7E99"/>
    <w:rsid w:val="00CB7F9E"/>
    <w:rsid w:val="00CC0267"/>
    <w:rsid w:val="00CC0AD9"/>
    <w:rsid w:val="00CC0EB4"/>
    <w:rsid w:val="00CC10DB"/>
    <w:rsid w:val="00CC10E1"/>
    <w:rsid w:val="00CC1AB9"/>
    <w:rsid w:val="00CC2CFD"/>
    <w:rsid w:val="00CC2D10"/>
    <w:rsid w:val="00CC2E55"/>
    <w:rsid w:val="00CC3B72"/>
    <w:rsid w:val="00CC3CA5"/>
    <w:rsid w:val="00CC3EF7"/>
    <w:rsid w:val="00CC4018"/>
    <w:rsid w:val="00CC4B7A"/>
    <w:rsid w:val="00CC5035"/>
    <w:rsid w:val="00CC51FF"/>
    <w:rsid w:val="00CC5FD2"/>
    <w:rsid w:val="00CC65E0"/>
    <w:rsid w:val="00CC77EE"/>
    <w:rsid w:val="00CC78D6"/>
    <w:rsid w:val="00CD04E9"/>
    <w:rsid w:val="00CD12E3"/>
    <w:rsid w:val="00CD2302"/>
    <w:rsid w:val="00CD28F6"/>
    <w:rsid w:val="00CD3EF8"/>
    <w:rsid w:val="00CD43C0"/>
    <w:rsid w:val="00CD45CA"/>
    <w:rsid w:val="00CD53DA"/>
    <w:rsid w:val="00CD577E"/>
    <w:rsid w:val="00CD5AB4"/>
    <w:rsid w:val="00CD6327"/>
    <w:rsid w:val="00CD6E7A"/>
    <w:rsid w:val="00CE0833"/>
    <w:rsid w:val="00CE0A55"/>
    <w:rsid w:val="00CE1282"/>
    <w:rsid w:val="00CE2361"/>
    <w:rsid w:val="00CE24D3"/>
    <w:rsid w:val="00CE27E4"/>
    <w:rsid w:val="00CE281B"/>
    <w:rsid w:val="00CE2B78"/>
    <w:rsid w:val="00CE375B"/>
    <w:rsid w:val="00CE382E"/>
    <w:rsid w:val="00CE49F4"/>
    <w:rsid w:val="00CE4FD2"/>
    <w:rsid w:val="00CE501F"/>
    <w:rsid w:val="00CE5796"/>
    <w:rsid w:val="00CE637A"/>
    <w:rsid w:val="00CE6735"/>
    <w:rsid w:val="00CE74A3"/>
    <w:rsid w:val="00CE768A"/>
    <w:rsid w:val="00CE7F39"/>
    <w:rsid w:val="00CF097D"/>
    <w:rsid w:val="00CF142F"/>
    <w:rsid w:val="00CF154D"/>
    <w:rsid w:val="00CF15CD"/>
    <w:rsid w:val="00CF1B2C"/>
    <w:rsid w:val="00CF2EA1"/>
    <w:rsid w:val="00CF2F2C"/>
    <w:rsid w:val="00CF302A"/>
    <w:rsid w:val="00CF318A"/>
    <w:rsid w:val="00CF3C78"/>
    <w:rsid w:val="00CF3D5F"/>
    <w:rsid w:val="00CF5127"/>
    <w:rsid w:val="00CF586C"/>
    <w:rsid w:val="00CF5FEB"/>
    <w:rsid w:val="00CF61FE"/>
    <w:rsid w:val="00CF65BC"/>
    <w:rsid w:val="00CF7197"/>
    <w:rsid w:val="00CF7A1F"/>
    <w:rsid w:val="00CF7EC3"/>
    <w:rsid w:val="00D003BC"/>
    <w:rsid w:val="00D009AA"/>
    <w:rsid w:val="00D009F0"/>
    <w:rsid w:val="00D014AA"/>
    <w:rsid w:val="00D014C2"/>
    <w:rsid w:val="00D01990"/>
    <w:rsid w:val="00D0239E"/>
    <w:rsid w:val="00D02B95"/>
    <w:rsid w:val="00D031E8"/>
    <w:rsid w:val="00D034D0"/>
    <w:rsid w:val="00D034DD"/>
    <w:rsid w:val="00D03D0C"/>
    <w:rsid w:val="00D03F64"/>
    <w:rsid w:val="00D04125"/>
    <w:rsid w:val="00D0427A"/>
    <w:rsid w:val="00D04952"/>
    <w:rsid w:val="00D04954"/>
    <w:rsid w:val="00D059D6"/>
    <w:rsid w:val="00D05ECE"/>
    <w:rsid w:val="00D06A16"/>
    <w:rsid w:val="00D070D8"/>
    <w:rsid w:val="00D103D1"/>
    <w:rsid w:val="00D10472"/>
    <w:rsid w:val="00D1078F"/>
    <w:rsid w:val="00D10835"/>
    <w:rsid w:val="00D10E60"/>
    <w:rsid w:val="00D10ECC"/>
    <w:rsid w:val="00D1110A"/>
    <w:rsid w:val="00D11FFE"/>
    <w:rsid w:val="00D1222E"/>
    <w:rsid w:val="00D12A74"/>
    <w:rsid w:val="00D12CD2"/>
    <w:rsid w:val="00D12DF3"/>
    <w:rsid w:val="00D131B4"/>
    <w:rsid w:val="00D13CCF"/>
    <w:rsid w:val="00D13D86"/>
    <w:rsid w:val="00D14A6F"/>
    <w:rsid w:val="00D14D23"/>
    <w:rsid w:val="00D1517E"/>
    <w:rsid w:val="00D154B6"/>
    <w:rsid w:val="00D15858"/>
    <w:rsid w:val="00D15D8B"/>
    <w:rsid w:val="00D16906"/>
    <w:rsid w:val="00D16E2D"/>
    <w:rsid w:val="00D17362"/>
    <w:rsid w:val="00D17984"/>
    <w:rsid w:val="00D17A07"/>
    <w:rsid w:val="00D204F0"/>
    <w:rsid w:val="00D2057E"/>
    <w:rsid w:val="00D20B26"/>
    <w:rsid w:val="00D210EE"/>
    <w:rsid w:val="00D22333"/>
    <w:rsid w:val="00D2291F"/>
    <w:rsid w:val="00D22F2C"/>
    <w:rsid w:val="00D23084"/>
    <w:rsid w:val="00D239F3"/>
    <w:rsid w:val="00D23B87"/>
    <w:rsid w:val="00D247E9"/>
    <w:rsid w:val="00D24DAD"/>
    <w:rsid w:val="00D24FEE"/>
    <w:rsid w:val="00D25666"/>
    <w:rsid w:val="00D2578D"/>
    <w:rsid w:val="00D25916"/>
    <w:rsid w:val="00D25FAC"/>
    <w:rsid w:val="00D264A7"/>
    <w:rsid w:val="00D26E27"/>
    <w:rsid w:val="00D27612"/>
    <w:rsid w:val="00D27BD9"/>
    <w:rsid w:val="00D3031C"/>
    <w:rsid w:val="00D30608"/>
    <w:rsid w:val="00D30832"/>
    <w:rsid w:val="00D3088A"/>
    <w:rsid w:val="00D30B5B"/>
    <w:rsid w:val="00D30EB5"/>
    <w:rsid w:val="00D30EB7"/>
    <w:rsid w:val="00D31323"/>
    <w:rsid w:val="00D329E6"/>
    <w:rsid w:val="00D33047"/>
    <w:rsid w:val="00D33CCC"/>
    <w:rsid w:val="00D33D5D"/>
    <w:rsid w:val="00D348F4"/>
    <w:rsid w:val="00D355DF"/>
    <w:rsid w:val="00D35798"/>
    <w:rsid w:val="00D35A61"/>
    <w:rsid w:val="00D35A9E"/>
    <w:rsid w:val="00D35DC4"/>
    <w:rsid w:val="00D364DA"/>
    <w:rsid w:val="00D366B4"/>
    <w:rsid w:val="00D36B04"/>
    <w:rsid w:val="00D37144"/>
    <w:rsid w:val="00D37568"/>
    <w:rsid w:val="00D37972"/>
    <w:rsid w:val="00D37A8A"/>
    <w:rsid w:val="00D37AFA"/>
    <w:rsid w:val="00D40896"/>
    <w:rsid w:val="00D409A9"/>
    <w:rsid w:val="00D41534"/>
    <w:rsid w:val="00D4176F"/>
    <w:rsid w:val="00D417DD"/>
    <w:rsid w:val="00D41B2E"/>
    <w:rsid w:val="00D41BE2"/>
    <w:rsid w:val="00D42354"/>
    <w:rsid w:val="00D425A7"/>
    <w:rsid w:val="00D426CC"/>
    <w:rsid w:val="00D43DE4"/>
    <w:rsid w:val="00D442B3"/>
    <w:rsid w:val="00D44E7E"/>
    <w:rsid w:val="00D451FC"/>
    <w:rsid w:val="00D45AAC"/>
    <w:rsid w:val="00D45CB1"/>
    <w:rsid w:val="00D45DA7"/>
    <w:rsid w:val="00D4611C"/>
    <w:rsid w:val="00D46182"/>
    <w:rsid w:val="00D46799"/>
    <w:rsid w:val="00D46A87"/>
    <w:rsid w:val="00D470C0"/>
    <w:rsid w:val="00D47BEE"/>
    <w:rsid w:val="00D500E3"/>
    <w:rsid w:val="00D50243"/>
    <w:rsid w:val="00D50581"/>
    <w:rsid w:val="00D5081E"/>
    <w:rsid w:val="00D50D56"/>
    <w:rsid w:val="00D50EF6"/>
    <w:rsid w:val="00D5106C"/>
    <w:rsid w:val="00D513B1"/>
    <w:rsid w:val="00D51BB7"/>
    <w:rsid w:val="00D51BBB"/>
    <w:rsid w:val="00D52001"/>
    <w:rsid w:val="00D52701"/>
    <w:rsid w:val="00D531A3"/>
    <w:rsid w:val="00D539BC"/>
    <w:rsid w:val="00D53B94"/>
    <w:rsid w:val="00D54B80"/>
    <w:rsid w:val="00D54CAD"/>
    <w:rsid w:val="00D54E14"/>
    <w:rsid w:val="00D54E9B"/>
    <w:rsid w:val="00D5508D"/>
    <w:rsid w:val="00D5571D"/>
    <w:rsid w:val="00D55C28"/>
    <w:rsid w:val="00D55DC9"/>
    <w:rsid w:val="00D5631D"/>
    <w:rsid w:val="00D56856"/>
    <w:rsid w:val="00D574CB"/>
    <w:rsid w:val="00D575A7"/>
    <w:rsid w:val="00D601FB"/>
    <w:rsid w:val="00D602B0"/>
    <w:rsid w:val="00D60EAB"/>
    <w:rsid w:val="00D616EC"/>
    <w:rsid w:val="00D622D2"/>
    <w:rsid w:val="00D63748"/>
    <w:rsid w:val="00D63C48"/>
    <w:rsid w:val="00D64289"/>
    <w:rsid w:val="00D64F0F"/>
    <w:rsid w:val="00D65915"/>
    <w:rsid w:val="00D65E54"/>
    <w:rsid w:val="00D6667B"/>
    <w:rsid w:val="00D66A46"/>
    <w:rsid w:val="00D674CE"/>
    <w:rsid w:val="00D70259"/>
    <w:rsid w:val="00D702C3"/>
    <w:rsid w:val="00D7034D"/>
    <w:rsid w:val="00D71400"/>
    <w:rsid w:val="00D715A9"/>
    <w:rsid w:val="00D71714"/>
    <w:rsid w:val="00D72581"/>
    <w:rsid w:val="00D72B23"/>
    <w:rsid w:val="00D72B5A"/>
    <w:rsid w:val="00D72C23"/>
    <w:rsid w:val="00D72CCE"/>
    <w:rsid w:val="00D7339A"/>
    <w:rsid w:val="00D73A8D"/>
    <w:rsid w:val="00D73D87"/>
    <w:rsid w:val="00D74EF8"/>
    <w:rsid w:val="00D74F3C"/>
    <w:rsid w:val="00D756B5"/>
    <w:rsid w:val="00D75922"/>
    <w:rsid w:val="00D75D16"/>
    <w:rsid w:val="00D76624"/>
    <w:rsid w:val="00D76FF7"/>
    <w:rsid w:val="00D772A1"/>
    <w:rsid w:val="00D77D65"/>
    <w:rsid w:val="00D81353"/>
    <w:rsid w:val="00D818D3"/>
    <w:rsid w:val="00D81A24"/>
    <w:rsid w:val="00D838A0"/>
    <w:rsid w:val="00D8435D"/>
    <w:rsid w:val="00D84B4F"/>
    <w:rsid w:val="00D84E34"/>
    <w:rsid w:val="00D8567E"/>
    <w:rsid w:val="00D85C1D"/>
    <w:rsid w:val="00D86458"/>
    <w:rsid w:val="00D868C8"/>
    <w:rsid w:val="00D86BA4"/>
    <w:rsid w:val="00D879C5"/>
    <w:rsid w:val="00D90410"/>
    <w:rsid w:val="00D91262"/>
    <w:rsid w:val="00D913DD"/>
    <w:rsid w:val="00D92DCF"/>
    <w:rsid w:val="00D93C5C"/>
    <w:rsid w:val="00D93EA7"/>
    <w:rsid w:val="00D93F42"/>
    <w:rsid w:val="00D94FB4"/>
    <w:rsid w:val="00D95394"/>
    <w:rsid w:val="00D958C1"/>
    <w:rsid w:val="00D95C47"/>
    <w:rsid w:val="00D95DD2"/>
    <w:rsid w:val="00D970E7"/>
    <w:rsid w:val="00D97245"/>
    <w:rsid w:val="00D9753B"/>
    <w:rsid w:val="00DA003E"/>
    <w:rsid w:val="00DA032B"/>
    <w:rsid w:val="00DA0456"/>
    <w:rsid w:val="00DA0532"/>
    <w:rsid w:val="00DA1721"/>
    <w:rsid w:val="00DA202B"/>
    <w:rsid w:val="00DA21ED"/>
    <w:rsid w:val="00DA22FC"/>
    <w:rsid w:val="00DA2DBE"/>
    <w:rsid w:val="00DA2FC8"/>
    <w:rsid w:val="00DA3356"/>
    <w:rsid w:val="00DA3A0F"/>
    <w:rsid w:val="00DA4455"/>
    <w:rsid w:val="00DA4785"/>
    <w:rsid w:val="00DA49E4"/>
    <w:rsid w:val="00DA4A1D"/>
    <w:rsid w:val="00DA4D0F"/>
    <w:rsid w:val="00DA4DD4"/>
    <w:rsid w:val="00DA4F7A"/>
    <w:rsid w:val="00DA55BB"/>
    <w:rsid w:val="00DA5679"/>
    <w:rsid w:val="00DA6544"/>
    <w:rsid w:val="00DA715E"/>
    <w:rsid w:val="00DA73C4"/>
    <w:rsid w:val="00DA73EE"/>
    <w:rsid w:val="00DB1AA0"/>
    <w:rsid w:val="00DB26DF"/>
    <w:rsid w:val="00DB2805"/>
    <w:rsid w:val="00DB2FEE"/>
    <w:rsid w:val="00DB3659"/>
    <w:rsid w:val="00DB37D4"/>
    <w:rsid w:val="00DB3B3A"/>
    <w:rsid w:val="00DB4A33"/>
    <w:rsid w:val="00DB4ABB"/>
    <w:rsid w:val="00DB5093"/>
    <w:rsid w:val="00DB54D8"/>
    <w:rsid w:val="00DB61AB"/>
    <w:rsid w:val="00DB6610"/>
    <w:rsid w:val="00DB6954"/>
    <w:rsid w:val="00DB6BCE"/>
    <w:rsid w:val="00DB7856"/>
    <w:rsid w:val="00DB7A56"/>
    <w:rsid w:val="00DC08B7"/>
    <w:rsid w:val="00DC09A0"/>
    <w:rsid w:val="00DC0C9A"/>
    <w:rsid w:val="00DC1601"/>
    <w:rsid w:val="00DC1743"/>
    <w:rsid w:val="00DC1F73"/>
    <w:rsid w:val="00DC2747"/>
    <w:rsid w:val="00DC294D"/>
    <w:rsid w:val="00DC2DD4"/>
    <w:rsid w:val="00DC2FB2"/>
    <w:rsid w:val="00DC2FE3"/>
    <w:rsid w:val="00DC32C4"/>
    <w:rsid w:val="00DC34D0"/>
    <w:rsid w:val="00DC3AD6"/>
    <w:rsid w:val="00DC3B9F"/>
    <w:rsid w:val="00DC4CC9"/>
    <w:rsid w:val="00DC4D03"/>
    <w:rsid w:val="00DC579E"/>
    <w:rsid w:val="00DC5840"/>
    <w:rsid w:val="00DC6248"/>
    <w:rsid w:val="00DC6941"/>
    <w:rsid w:val="00DC697D"/>
    <w:rsid w:val="00DC6B84"/>
    <w:rsid w:val="00DC7746"/>
    <w:rsid w:val="00DC79B9"/>
    <w:rsid w:val="00DC7A1F"/>
    <w:rsid w:val="00DC7E28"/>
    <w:rsid w:val="00DD0524"/>
    <w:rsid w:val="00DD0BB6"/>
    <w:rsid w:val="00DD0DB1"/>
    <w:rsid w:val="00DD1C26"/>
    <w:rsid w:val="00DD1C47"/>
    <w:rsid w:val="00DD1E1F"/>
    <w:rsid w:val="00DD3049"/>
    <w:rsid w:val="00DD342D"/>
    <w:rsid w:val="00DD3E93"/>
    <w:rsid w:val="00DD445F"/>
    <w:rsid w:val="00DD487E"/>
    <w:rsid w:val="00DD4C6B"/>
    <w:rsid w:val="00DD50D0"/>
    <w:rsid w:val="00DD57A8"/>
    <w:rsid w:val="00DD5DA1"/>
    <w:rsid w:val="00DD7770"/>
    <w:rsid w:val="00DD7C97"/>
    <w:rsid w:val="00DD7CD1"/>
    <w:rsid w:val="00DE0C02"/>
    <w:rsid w:val="00DE0DCB"/>
    <w:rsid w:val="00DE14DB"/>
    <w:rsid w:val="00DE16B2"/>
    <w:rsid w:val="00DE26E2"/>
    <w:rsid w:val="00DE297D"/>
    <w:rsid w:val="00DE30E2"/>
    <w:rsid w:val="00DE3A9A"/>
    <w:rsid w:val="00DE3D11"/>
    <w:rsid w:val="00DE4DD8"/>
    <w:rsid w:val="00DE573C"/>
    <w:rsid w:val="00DE5D93"/>
    <w:rsid w:val="00DE5ED1"/>
    <w:rsid w:val="00DE6348"/>
    <w:rsid w:val="00DE63F0"/>
    <w:rsid w:val="00DE6421"/>
    <w:rsid w:val="00DE64AD"/>
    <w:rsid w:val="00DE6876"/>
    <w:rsid w:val="00DE74FC"/>
    <w:rsid w:val="00DE7A8B"/>
    <w:rsid w:val="00DF0065"/>
    <w:rsid w:val="00DF16C0"/>
    <w:rsid w:val="00DF18B8"/>
    <w:rsid w:val="00DF1F46"/>
    <w:rsid w:val="00DF1F93"/>
    <w:rsid w:val="00DF1FCE"/>
    <w:rsid w:val="00DF2172"/>
    <w:rsid w:val="00DF2271"/>
    <w:rsid w:val="00DF2D67"/>
    <w:rsid w:val="00DF2E08"/>
    <w:rsid w:val="00DF3C6D"/>
    <w:rsid w:val="00DF4225"/>
    <w:rsid w:val="00DF431A"/>
    <w:rsid w:val="00DF46E2"/>
    <w:rsid w:val="00DF4BD6"/>
    <w:rsid w:val="00DF53AD"/>
    <w:rsid w:val="00DF548B"/>
    <w:rsid w:val="00DF5490"/>
    <w:rsid w:val="00DF590E"/>
    <w:rsid w:val="00DF5926"/>
    <w:rsid w:val="00DF5CF7"/>
    <w:rsid w:val="00DF6041"/>
    <w:rsid w:val="00DF6390"/>
    <w:rsid w:val="00DF6F5B"/>
    <w:rsid w:val="00DF702A"/>
    <w:rsid w:val="00DF71D7"/>
    <w:rsid w:val="00DF7305"/>
    <w:rsid w:val="00DF7E29"/>
    <w:rsid w:val="00DF7F81"/>
    <w:rsid w:val="00DF7FAE"/>
    <w:rsid w:val="00E005FC"/>
    <w:rsid w:val="00E02489"/>
    <w:rsid w:val="00E04109"/>
    <w:rsid w:val="00E0526C"/>
    <w:rsid w:val="00E054A6"/>
    <w:rsid w:val="00E05C81"/>
    <w:rsid w:val="00E05FBC"/>
    <w:rsid w:val="00E06333"/>
    <w:rsid w:val="00E068E7"/>
    <w:rsid w:val="00E07AD9"/>
    <w:rsid w:val="00E07C96"/>
    <w:rsid w:val="00E07F00"/>
    <w:rsid w:val="00E1050D"/>
    <w:rsid w:val="00E10B7D"/>
    <w:rsid w:val="00E123E5"/>
    <w:rsid w:val="00E12795"/>
    <w:rsid w:val="00E12C6D"/>
    <w:rsid w:val="00E134A7"/>
    <w:rsid w:val="00E136F6"/>
    <w:rsid w:val="00E139CA"/>
    <w:rsid w:val="00E13D62"/>
    <w:rsid w:val="00E140A6"/>
    <w:rsid w:val="00E147EC"/>
    <w:rsid w:val="00E1491C"/>
    <w:rsid w:val="00E14A78"/>
    <w:rsid w:val="00E15837"/>
    <w:rsid w:val="00E1585B"/>
    <w:rsid w:val="00E15A88"/>
    <w:rsid w:val="00E160D1"/>
    <w:rsid w:val="00E16C84"/>
    <w:rsid w:val="00E175E3"/>
    <w:rsid w:val="00E17C2E"/>
    <w:rsid w:val="00E20051"/>
    <w:rsid w:val="00E204C3"/>
    <w:rsid w:val="00E2151A"/>
    <w:rsid w:val="00E21644"/>
    <w:rsid w:val="00E218DA"/>
    <w:rsid w:val="00E227EA"/>
    <w:rsid w:val="00E23660"/>
    <w:rsid w:val="00E23964"/>
    <w:rsid w:val="00E23C32"/>
    <w:rsid w:val="00E23D53"/>
    <w:rsid w:val="00E2470E"/>
    <w:rsid w:val="00E25974"/>
    <w:rsid w:val="00E25C97"/>
    <w:rsid w:val="00E26493"/>
    <w:rsid w:val="00E2661C"/>
    <w:rsid w:val="00E26715"/>
    <w:rsid w:val="00E2683D"/>
    <w:rsid w:val="00E2761D"/>
    <w:rsid w:val="00E27A52"/>
    <w:rsid w:val="00E30B2A"/>
    <w:rsid w:val="00E30B64"/>
    <w:rsid w:val="00E316F6"/>
    <w:rsid w:val="00E3187D"/>
    <w:rsid w:val="00E31A1E"/>
    <w:rsid w:val="00E327D2"/>
    <w:rsid w:val="00E32837"/>
    <w:rsid w:val="00E3392D"/>
    <w:rsid w:val="00E33E17"/>
    <w:rsid w:val="00E34484"/>
    <w:rsid w:val="00E34553"/>
    <w:rsid w:val="00E350E8"/>
    <w:rsid w:val="00E35160"/>
    <w:rsid w:val="00E35614"/>
    <w:rsid w:val="00E356AA"/>
    <w:rsid w:val="00E358AF"/>
    <w:rsid w:val="00E361C5"/>
    <w:rsid w:val="00E37090"/>
    <w:rsid w:val="00E37424"/>
    <w:rsid w:val="00E37F2D"/>
    <w:rsid w:val="00E37FA1"/>
    <w:rsid w:val="00E4041E"/>
    <w:rsid w:val="00E40CE9"/>
    <w:rsid w:val="00E41322"/>
    <w:rsid w:val="00E42068"/>
    <w:rsid w:val="00E4383D"/>
    <w:rsid w:val="00E439E9"/>
    <w:rsid w:val="00E440F8"/>
    <w:rsid w:val="00E44C57"/>
    <w:rsid w:val="00E44D31"/>
    <w:rsid w:val="00E45180"/>
    <w:rsid w:val="00E45305"/>
    <w:rsid w:val="00E4634C"/>
    <w:rsid w:val="00E4647E"/>
    <w:rsid w:val="00E46AC9"/>
    <w:rsid w:val="00E474E7"/>
    <w:rsid w:val="00E476C9"/>
    <w:rsid w:val="00E4775E"/>
    <w:rsid w:val="00E4777A"/>
    <w:rsid w:val="00E502B4"/>
    <w:rsid w:val="00E51315"/>
    <w:rsid w:val="00E5153A"/>
    <w:rsid w:val="00E516F8"/>
    <w:rsid w:val="00E517C8"/>
    <w:rsid w:val="00E51A81"/>
    <w:rsid w:val="00E5238C"/>
    <w:rsid w:val="00E528E9"/>
    <w:rsid w:val="00E5391C"/>
    <w:rsid w:val="00E53C97"/>
    <w:rsid w:val="00E53DB6"/>
    <w:rsid w:val="00E549DA"/>
    <w:rsid w:val="00E54EAE"/>
    <w:rsid w:val="00E54FB3"/>
    <w:rsid w:val="00E554CF"/>
    <w:rsid w:val="00E558A2"/>
    <w:rsid w:val="00E55904"/>
    <w:rsid w:val="00E55C24"/>
    <w:rsid w:val="00E55E72"/>
    <w:rsid w:val="00E56B3C"/>
    <w:rsid w:val="00E57518"/>
    <w:rsid w:val="00E57AFD"/>
    <w:rsid w:val="00E57D48"/>
    <w:rsid w:val="00E60391"/>
    <w:rsid w:val="00E60688"/>
    <w:rsid w:val="00E613FD"/>
    <w:rsid w:val="00E61EA2"/>
    <w:rsid w:val="00E626EE"/>
    <w:rsid w:val="00E62817"/>
    <w:rsid w:val="00E63A62"/>
    <w:rsid w:val="00E63F7C"/>
    <w:rsid w:val="00E644CE"/>
    <w:rsid w:val="00E645BC"/>
    <w:rsid w:val="00E64BE8"/>
    <w:rsid w:val="00E65022"/>
    <w:rsid w:val="00E653B1"/>
    <w:rsid w:val="00E65CF6"/>
    <w:rsid w:val="00E65FFD"/>
    <w:rsid w:val="00E66614"/>
    <w:rsid w:val="00E669E2"/>
    <w:rsid w:val="00E66DF3"/>
    <w:rsid w:val="00E674F3"/>
    <w:rsid w:val="00E677F8"/>
    <w:rsid w:val="00E679DD"/>
    <w:rsid w:val="00E67F21"/>
    <w:rsid w:val="00E7040E"/>
    <w:rsid w:val="00E70D4A"/>
    <w:rsid w:val="00E71946"/>
    <w:rsid w:val="00E71BD4"/>
    <w:rsid w:val="00E721CE"/>
    <w:rsid w:val="00E72866"/>
    <w:rsid w:val="00E730CE"/>
    <w:rsid w:val="00E736E8"/>
    <w:rsid w:val="00E7375C"/>
    <w:rsid w:val="00E739A9"/>
    <w:rsid w:val="00E73D23"/>
    <w:rsid w:val="00E748C9"/>
    <w:rsid w:val="00E74950"/>
    <w:rsid w:val="00E75A55"/>
    <w:rsid w:val="00E75BD7"/>
    <w:rsid w:val="00E76E16"/>
    <w:rsid w:val="00E76F7D"/>
    <w:rsid w:val="00E773DF"/>
    <w:rsid w:val="00E77B61"/>
    <w:rsid w:val="00E77D49"/>
    <w:rsid w:val="00E80E1E"/>
    <w:rsid w:val="00E81AB0"/>
    <w:rsid w:val="00E81CEE"/>
    <w:rsid w:val="00E825FE"/>
    <w:rsid w:val="00E8269B"/>
    <w:rsid w:val="00E839FA"/>
    <w:rsid w:val="00E84CDD"/>
    <w:rsid w:val="00E84E68"/>
    <w:rsid w:val="00E8507C"/>
    <w:rsid w:val="00E85C8D"/>
    <w:rsid w:val="00E85D22"/>
    <w:rsid w:val="00E864F8"/>
    <w:rsid w:val="00E86677"/>
    <w:rsid w:val="00E86794"/>
    <w:rsid w:val="00E876A7"/>
    <w:rsid w:val="00E87F4B"/>
    <w:rsid w:val="00E900FE"/>
    <w:rsid w:val="00E90A1E"/>
    <w:rsid w:val="00E91806"/>
    <w:rsid w:val="00E91B5E"/>
    <w:rsid w:val="00E91C18"/>
    <w:rsid w:val="00E91D97"/>
    <w:rsid w:val="00E922D7"/>
    <w:rsid w:val="00E92521"/>
    <w:rsid w:val="00E92AA3"/>
    <w:rsid w:val="00E92CD5"/>
    <w:rsid w:val="00E930A3"/>
    <w:rsid w:val="00E930DB"/>
    <w:rsid w:val="00E930FA"/>
    <w:rsid w:val="00E931F3"/>
    <w:rsid w:val="00E94121"/>
    <w:rsid w:val="00E94345"/>
    <w:rsid w:val="00E9472F"/>
    <w:rsid w:val="00E947C0"/>
    <w:rsid w:val="00E948AE"/>
    <w:rsid w:val="00E9554B"/>
    <w:rsid w:val="00E95750"/>
    <w:rsid w:val="00E96264"/>
    <w:rsid w:val="00E9761B"/>
    <w:rsid w:val="00E976BB"/>
    <w:rsid w:val="00EA018E"/>
    <w:rsid w:val="00EA0AB4"/>
    <w:rsid w:val="00EA119C"/>
    <w:rsid w:val="00EA1476"/>
    <w:rsid w:val="00EA1B29"/>
    <w:rsid w:val="00EA2281"/>
    <w:rsid w:val="00EA363A"/>
    <w:rsid w:val="00EA36D6"/>
    <w:rsid w:val="00EA3701"/>
    <w:rsid w:val="00EA3757"/>
    <w:rsid w:val="00EA3976"/>
    <w:rsid w:val="00EA41C2"/>
    <w:rsid w:val="00EA48D3"/>
    <w:rsid w:val="00EA49E8"/>
    <w:rsid w:val="00EA4CCB"/>
    <w:rsid w:val="00EA5808"/>
    <w:rsid w:val="00EA5C6D"/>
    <w:rsid w:val="00EA5FCD"/>
    <w:rsid w:val="00EA655F"/>
    <w:rsid w:val="00EA66E6"/>
    <w:rsid w:val="00EB0353"/>
    <w:rsid w:val="00EB0F23"/>
    <w:rsid w:val="00EB16F7"/>
    <w:rsid w:val="00EB1EA2"/>
    <w:rsid w:val="00EB2A8D"/>
    <w:rsid w:val="00EB3104"/>
    <w:rsid w:val="00EB31BD"/>
    <w:rsid w:val="00EB3D19"/>
    <w:rsid w:val="00EB3F3E"/>
    <w:rsid w:val="00EB426B"/>
    <w:rsid w:val="00EB454A"/>
    <w:rsid w:val="00EB4657"/>
    <w:rsid w:val="00EB4780"/>
    <w:rsid w:val="00EB47F3"/>
    <w:rsid w:val="00EB541F"/>
    <w:rsid w:val="00EB5657"/>
    <w:rsid w:val="00EB5C58"/>
    <w:rsid w:val="00EB5E6D"/>
    <w:rsid w:val="00EB74AE"/>
    <w:rsid w:val="00EB7AD3"/>
    <w:rsid w:val="00EC0699"/>
    <w:rsid w:val="00EC0A23"/>
    <w:rsid w:val="00EC0A75"/>
    <w:rsid w:val="00EC16AD"/>
    <w:rsid w:val="00EC1BE3"/>
    <w:rsid w:val="00EC2FD7"/>
    <w:rsid w:val="00EC33C1"/>
    <w:rsid w:val="00EC357C"/>
    <w:rsid w:val="00EC3B26"/>
    <w:rsid w:val="00EC4887"/>
    <w:rsid w:val="00EC51FB"/>
    <w:rsid w:val="00EC5B36"/>
    <w:rsid w:val="00EC5BB4"/>
    <w:rsid w:val="00EC5C3D"/>
    <w:rsid w:val="00EC65EA"/>
    <w:rsid w:val="00EC76A1"/>
    <w:rsid w:val="00EC7BBE"/>
    <w:rsid w:val="00ED08E9"/>
    <w:rsid w:val="00ED12D8"/>
    <w:rsid w:val="00ED45F6"/>
    <w:rsid w:val="00ED471E"/>
    <w:rsid w:val="00ED528F"/>
    <w:rsid w:val="00ED6133"/>
    <w:rsid w:val="00ED6E6E"/>
    <w:rsid w:val="00ED6EED"/>
    <w:rsid w:val="00ED7117"/>
    <w:rsid w:val="00ED7506"/>
    <w:rsid w:val="00ED7C08"/>
    <w:rsid w:val="00EE02FA"/>
    <w:rsid w:val="00EE3156"/>
    <w:rsid w:val="00EE3898"/>
    <w:rsid w:val="00EE3A90"/>
    <w:rsid w:val="00EE3A92"/>
    <w:rsid w:val="00EE4AB0"/>
    <w:rsid w:val="00EE4BEC"/>
    <w:rsid w:val="00EE4E47"/>
    <w:rsid w:val="00EE53B1"/>
    <w:rsid w:val="00EE56E2"/>
    <w:rsid w:val="00EE5B11"/>
    <w:rsid w:val="00EE6343"/>
    <w:rsid w:val="00EE7453"/>
    <w:rsid w:val="00EE7477"/>
    <w:rsid w:val="00EF0500"/>
    <w:rsid w:val="00EF0526"/>
    <w:rsid w:val="00EF0CAE"/>
    <w:rsid w:val="00EF1039"/>
    <w:rsid w:val="00EF253F"/>
    <w:rsid w:val="00EF3138"/>
    <w:rsid w:val="00EF3278"/>
    <w:rsid w:val="00EF39F4"/>
    <w:rsid w:val="00EF4FAC"/>
    <w:rsid w:val="00EF4FDD"/>
    <w:rsid w:val="00EF531A"/>
    <w:rsid w:val="00EF5614"/>
    <w:rsid w:val="00EF5CF1"/>
    <w:rsid w:val="00EF6083"/>
    <w:rsid w:val="00EF615B"/>
    <w:rsid w:val="00EF6581"/>
    <w:rsid w:val="00EF6848"/>
    <w:rsid w:val="00EF7746"/>
    <w:rsid w:val="00EF7A8E"/>
    <w:rsid w:val="00EF7F64"/>
    <w:rsid w:val="00F00CF6"/>
    <w:rsid w:val="00F00D87"/>
    <w:rsid w:val="00F01AE4"/>
    <w:rsid w:val="00F01CC7"/>
    <w:rsid w:val="00F01D94"/>
    <w:rsid w:val="00F01E11"/>
    <w:rsid w:val="00F024B7"/>
    <w:rsid w:val="00F02A21"/>
    <w:rsid w:val="00F02FAE"/>
    <w:rsid w:val="00F03AF6"/>
    <w:rsid w:val="00F03ED2"/>
    <w:rsid w:val="00F0475E"/>
    <w:rsid w:val="00F049D7"/>
    <w:rsid w:val="00F049EC"/>
    <w:rsid w:val="00F04CD7"/>
    <w:rsid w:val="00F052B6"/>
    <w:rsid w:val="00F069F6"/>
    <w:rsid w:val="00F06AF3"/>
    <w:rsid w:val="00F06B23"/>
    <w:rsid w:val="00F06ED4"/>
    <w:rsid w:val="00F07609"/>
    <w:rsid w:val="00F0764E"/>
    <w:rsid w:val="00F07D52"/>
    <w:rsid w:val="00F07D70"/>
    <w:rsid w:val="00F102A4"/>
    <w:rsid w:val="00F10A28"/>
    <w:rsid w:val="00F11725"/>
    <w:rsid w:val="00F117A2"/>
    <w:rsid w:val="00F11BCE"/>
    <w:rsid w:val="00F13B82"/>
    <w:rsid w:val="00F13E14"/>
    <w:rsid w:val="00F15373"/>
    <w:rsid w:val="00F159E4"/>
    <w:rsid w:val="00F15A00"/>
    <w:rsid w:val="00F16065"/>
    <w:rsid w:val="00F16522"/>
    <w:rsid w:val="00F17410"/>
    <w:rsid w:val="00F176F7"/>
    <w:rsid w:val="00F17D6D"/>
    <w:rsid w:val="00F20DC0"/>
    <w:rsid w:val="00F20E32"/>
    <w:rsid w:val="00F21419"/>
    <w:rsid w:val="00F2146F"/>
    <w:rsid w:val="00F21901"/>
    <w:rsid w:val="00F21CC7"/>
    <w:rsid w:val="00F21E9E"/>
    <w:rsid w:val="00F22577"/>
    <w:rsid w:val="00F226AD"/>
    <w:rsid w:val="00F2358A"/>
    <w:rsid w:val="00F23725"/>
    <w:rsid w:val="00F23990"/>
    <w:rsid w:val="00F23CCD"/>
    <w:rsid w:val="00F24644"/>
    <w:rsid w:val="00F24721"/>
    <w:rsid w:val="00F26B4B"/>
    <w:rsid w:val="00F26FF3"/>
    <w:rsid w:val="00F2706C"/>
    <w:rsid w:val="00F3094A"/>
    <w:rsid w:val="00F31279"/>
    <w:rsid w:val="00F32D08"/>
    <w:rsid w:val="00F32D23"/>
    <w:rsid w:val="00F33B9F"/>
    <w:rsid w:val="00F33F0E"/>
    <w:rsid w:val="00F3482D"/>
    <w:rsid w:val="00F34A4D"/>
    <w:rsid w:val="00F35522"/>
    <w:rsid w:val="00F35AEC"/>
    <w:rsid w:val="00F35FEE"/>
    <w:rsid w:val="00F3605A"/>
    <w:rsid w:val="00F3636C"/>
    <w:rsid w:val="00F412B2"/>
    <w:rsid w:val="00F419C5"/>
    <w:rsid w:val="00F41DCA"/>
    <w:rsid w:val="00F420D3"/>
    <w:rsid w:val="00F429C6"/>
    <w:rsid w:val="00F42CED"/>
    <w:rsid w:val="00F42EC1"/>
    <w:rsid w:val="00F435FD"/>
    <w:rsid w:val="00F43C16"/>
    <w:rsid w:val="00F43D53"/>
    <w:rsid w:val="00F44098"/>
    <w:rsid w:val="00F441BE"/>
    <w:rsid w:val="00F4423D"/>
    <w:rsid w:val="00F4479D"/>
    <w:rsid w:val="00F44979"/>
    <w:rsid w:val="00F44EFB"/>
    <w:rsid w:val="00F45024"/>
    <w:rsid w:val="00F4638F"/>
    <w:rsid w:val="00F46C37"/>
    <w:rsid w:val="00F473E8"/>
    <w:rsid w:val="00F47450"/>
    <w:rsid w:val="00F5047E"/>
    <w:rsid w:val="00F50AE8"/>
    <w:rsid w:val="00F51195"/>
    <w:rsid w:val="00F5186D"/>
    <w:rsid w:val="00F51988"/>
    <w:rsid w:val="00F52DD8"/>
    <w:rsid w:val="00F52F7F"/>
    <w:rsid w:val="00F533EB"/>
    <w:rsid w:val="00F535B1"/>
    <w:rsid w:val="00F535BF"/>
    <w:rsid w:val="00F5406B"/>
    <w:rsid w:val="00F544E5"/>
    <w:rsid w:val="00F55249"/>
    <w:rsid w:val="00F55366"/>
    <w:rsid w:val="00F55827"/>
    <w:rsid w:val="00F56314"/>
    <w:rsid w:val="00F56685"/>
    <w:rsid w:val="00F56940"/>
    <w:rsid w:val="00F57008"/>
    <w:rsid w:val="00F57C40"/>
    <w:rsid w:val="00F57C7E"/>
    <w:rsid w:val="00F60853"/>
    <w:rsid w:val="00F608EE"/>
    <w:rsid w:val="00F60A38"/>
    <w:rsid w:val="00F60A44"/>
    <w:rsid w:val="00F61400"/>
    <w:rsid w:val="00F62A0A"/>
    <w:rsid w:val="00F62F46"/>
    <w:rsid w:val="00F63FD8"/>
    <w:rsid w:val="00F63FFF"/>
    <w:rsid w:val="00F643F3"/>
    <w:rsid w:val="00F64B6E"/>
    <w:rsid w:val="00F654D0"/>
    <w:rsid w:val="00F654FD"/>
    <w:rsid w:val="00F65A0F"/>
    <w:rsid w:val="00F65AFC"/>
    <w:rsid w:val="00F65B53"/>
    <w:rsid w:val="00F66841"/>
    <w:rsid w:val="00F66A45"/>
    <w:rsid w:val="00F67C12"/>
    <w:rsid w:val="00F70215"/>
    <w:rsid w:val="00F707C1"/>
    <w:rsid w:val="00F709D5"/>
    <w:rsid w:val="00F7205E"/>
    <w:rsid w:val="00F72189"/>
    <w:rsid w:val="00F726AE"/>
    <w:rsid w:val="00F72B42"/>
    <w:rsid w:val="00F72F29"/>
    <w:rsid w:val="00F732C8"/>
    <w:rsid w:val="00F733F3"/>
    <w:rsid w:val="00F73A34"/>
    <w:rsid w:val="00F73A39"/>
    <w:rsid w:val="00F7484B"/>
    <w:rsid w:val="00F74CA3"/>
    <w:rsid w:val="00F74DB3"/>
    <w:rsid w:val="00F754D1"/>
    <w:rsid w:val="00F75638"/>
    <w:rsid w:val="00F75746"/>
    <w:rsid w:val="00F75D3A"/>
    <w:rsid w:val="00F75F3F"/>
    <w:rsid w:val="00F76668"/>
    <w:rsid w:val="00F766AD"/>
    <w:rsid w:val="00F76740"/>
    <w:rsid w:val="00F76ADC"/>
    <w:rsid w:val="00F76CCF"/>
    <w:rsid w:val="00F771B2"/>
    <w:rsid w:val="00F77605"/>
    <w:rsid w:val="00F77736"/>
    <w:rsid w:val="00F80139"/>
    <w:rsid w:val="00F80493"/>
    <w:rsid w:val="00F81794"/>
    <w:rsid w:val="00F818FF"/>
    <w:rsid w:val="00F828BE"/>
    <w:rsid w:val="00F82B5F"/>
    <w:rsid w:val="00F82CEF"/>
    <w:rsid w:val="00F83353"/>
    <w:rsid w:val="00F83528"/>
    <w:rsid w:val="00F83B45"/>
    <w:rsid w:val="00F840CE"/>
    <w:rsid w:val="00F844FE"/>
    <w:rsid w:val="00F850DC"/>
    <w:rsid w:val="00F85FA3"/>
    <w:rsid w:val="00F86BE0"/>
    <w:rsid w:val="00F86EC2"/>
    <w:rsid w:val="00F86FE8"/>
    <w:rsid w:val="00F87A11"/>
    <w:rsid w:val="00F87C31"/>
    <w:rsid w:val="00F87D8B"/>
    <w:rsid w:val="00F90599"/>
    <w:rsid w:val="00F90A5D"/>
    <w:rsid w:val="00F91269"/>
    <w:rsid w:val="00F912A8"/>
    <w:rsid w:val="00F915EF"/>
    <w:rsid w:val="00F91CF1"/>
    <w:rsid w:val="00F9212E"/>
    <w:rsid w:val="00F92C37"/>
    <w:rsid w:val="00F92EF7"/>
    <w:rsid w:val="00F93419"/>
    <w:rsid w:val="00F9356C"/>
    <w:rsid w:val="00F93791"/>
    <w:rsid w:val="00F951FA"/>
    <w:rsid w:val="00F95999"/>
    <w:rsid w:val="00F95D62"/>
    <w:rsid w:val="00F9641E"/>
    <w:rsid w:val="00F96727"/>
    <w:rsid w:val="00F96CE8"/>
    <w:rsid w:val="00F96CFA"/>
    <w:rsid w:val="00F96FD8"/>
    <w:rsid w:val="00F97183"/>
    <w:rsid w:val="00F9783F"/>
    <w:rsid w:val="00F97E3C"/>
    <w:rsid w:val="00FA0329"/>
    <w:rsid w:val="00FA113B"/>
    <w:rsid w:val="00FA159D"/>
    <w:rsid w:val="00FA226F"/>
    <w:rsid w:val="00FA25E4"/>
    <w:rsid w:val="00FA3130"/>
    <w:rsid w:val="00FA382C"/>
    <w:rsid w:val="00FA382F"/>
    <w:rsid w:val="00FA460B"/>
    <w:rsid w:val="00FA55C4"/>
    <w:rsid w:val="00FA5B8F"/>
    <w:rsid w:val="00FA5C3A"/>
    <w:rsid w:val="00FA79C9"/>
    <w:rsid w:val="00FB0400"/>
    <w:rsid w:val="00FB0AE1"/>
    <w:rsid w:val="00FB10CF"/>
    <w:rsid w:val="00FB1120"/>
    <w:rsid w:val="00FB128E"/>
    <w:rsid w:val="00FB16C9"/>
    <w:rsid w:val="00FB1CB8"/>
    <w:rsid w:val="00FB21C4"/>
    <w:rsid w:val="00FB2327"/>
    <w:rsid w:val="00FB2C62"/>
    <w:rsid w:val="00FB366A"/>
    <w:rsid w:val="00FB3BED"/>
    <w:rsid w:val="00FB3C78"/>
    <w:rsid w:val="00FB4103"/>
    <w:rsid w:val="00FB4CD3"/>
    <w:rsid w:val="00FB5075"/>
    <w:rsid w:val="00FB55E4"/>
    <w:rsid w:val="00FB567A"/>
    <w:rsid w:val="00FB57DB"/>
    <w:rsid w:val="00FB6238"/>
    <w:rsid w:val="00FB62A6"/>
    <w:rsid w:val="00FB62F5"/>
    <w:rsid w:val="00FB70B4"/>
    <w:rsid w:val="00FB748C"/>
    <w:rsid w:val="00FB7CF9"/>
    <w:rsid w:val="00FC06E3"/>
    <w:rsid w:val="00FC12E6"/>
    <w:rsid w:val="00FC212A"/>
    <w:rsid w:val="00FC22AB"/>
    <w:rsid w:val="00FC33F4"/>
    <w:rsid w:val="00FC347D"/>
    <w:rsid w:val="00FC4332"/>
    <w:rsid w:val="00FC4996"/>
    <w:rsid w:val="00FC4B5C"/>
    <w:rsid w:val="00FC4B91"/>
    <w:rsid w:val="00FC52D6"/>
    <w:rsid w:val="00FC567E"/>
    <w:rsid w:val="00FC594B"/>
    <w:rsid w:val="00FC5A82"/>
    <w:rsid w:val="00FC6652"/>
    <w:rsid w:val="00FC665C"/>
    <w:rsid w:val="00FC6F4E"/>
    <w:rsid w:val="00FC7533"/>
    <w:rsid w:val="00FD049C"/>
    <w:rsid w:val="00FD082C"/>
    <w:rsid w:val="00FD086D"/>
    <w:rsid w:val="00FD0DA5"/>
    <w:rsid w:val="00FD10CC"/>
    <w:rsid w:val="00FD2818"/>
    <w:rsid w:val="00FD2A0A"/>
    <w:rsid w:val="00FD2C08"/>
    <w:rsid w:val="00FD2F66"/>
    <w:rsid w:val="00FD3FB3"/>
    <w:rsid w:val="00FD418F"/>
    <w:rsid w:val="00FD5886"/>
    <w:rsid w:val="00FD67D2"/>
    <w:rsid w:val="00FD6ADF"/>
    <w:rsid w:val="00FD6E04"/>
    <w:rsid w:val="00FD74CC"/>
    <w:rsid w:val="00FD7841"/>
    <w:rsid w:val="00FD7B6C"/>
    <w:rsid w:val="00FE07F5"/>
    <w:rsid w:val="00FE121A"/>
    <w:rsid w:val="00FE1A17"/>
    <w:rsid w:val="00FE2431"/>
    <w:rsid w:val="00FE2B71"/>
    <w:rsid w:val="00FE3135"/>
    <w:rsid w:val="00FE31EC"/>
    <w:rsid w:val="00FE3908"/>
    <w:rsid w:val="00FE3E6F"/>
    <w:rsid w:val="00FE3FC0"/>
    <w:rsid w:val="00FE438C"/>
    <w:rsid w:val="00FE4C58"/>
    <w:rsid w:val="00FE4E22"/>
    <w:rsid w:val="00FE4EE8"/>
    <w:rsid w:val="00FE5FEB"/>
    <w:rsid w:val="00FE6746"/>
    <w:rsid w:val="00FE6883"/>
    <w:rsid w:val="00FE78E2"/>
    <w:rsid w:val="00FE7EFE"/>
    <w:rsid w:val="00FF1296"/>
    <w:rsid w:val="00FF16E4"/>
    <w:rsid w:val="00FF1939"/>
    <w:rsid w:val="00FF2033"/>
    <w:rsid w:val="00FF2550"/>
    <w:rsid w:val="00FF2620"/>
    <w:rsid w:val="00FF3CB4"/>
    <w:rsid w:val="00FF3D1C"/>
    <w:rsid w:val="00FF4421"/>
    <w:rsid w:val="00FF4833"/>
    <w:rsid w:val="00FF4863"/>
    <w:rsid w:val="00FF4AF5"/>
    <w:rsid w:val="00FF610D"/>
    <w:rsid w:val="00FF6BB5"/>
    <w:rsid w:val="00FF6ECC"/>
    <w:rsid w:val="00FF6F17"/>
    <w:rsid w:val="00FF7550"/>
    <w:rsid w:val="00FF7E6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9A"/>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TableTextCA">
    <w:name w:val="Table Text CA"/>
    <w:basedOn w:val="TableText"/>
    <w:qFormat/>
    <w:rsid w:val="005B07CB"/>
    <w:pPr>
      <w:keepNext w:val="0"/>
      <w:jc w:val="center"/>
    </w:pPr>
  </w:style>
  <w:style w:type="paragraph" w:customStyle="1" w:styleId="Default">
    <w:name w:val="Default"/>
    <w:rsid w:val="00F643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qFormat/>
    <w:rsid w:val="00031BD8"/>
    <w:pPr>
      <w:numPr>
        <w:numId w:val="6"/>
      </w:numPr>
      <w:spacing w:before="0" w:after="120"/>
    </w:pPr>
    <w:rPr>
      <w:sz w:val="22"/>
    </w:rPr>
  </w:style>
  <w:style w:type="paragraph" w:styleId="DocumentMap">
    <w:name w:val="Document Map"/>
    <w:basedOn w:val="Normal"/>
    <w:link w:val="DocumentMapChar"/>
    <w:uiPriority w:val="99"/>
    <w:semiHidden/>
    <w:unhideWhenUsed/>
    <w:rsid w:val="008B6558"/>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6558"/>
    <w:rPr>
      <w:rFonts w:ascii="Tahoma" w:hAnsi="Tahoma" w:cs="Tahoma"/>
      <w:sz w:val="16"/>
      <w:szCs w:val="16"/>
    </w:rPr>
  </w:style>
  <w:style w:type="paragraph" w:customStyle="1" w:styleId="TableBullet">
    <w:name w:val="Table Bullet"/>
    <w:basedOn w:val="TableText"/>
    <w:qFormat/>
    <w:rsid w:val="00097C23"/>
    <w:pPr>
      <w:keepNext w:val="0"/>
      <w:numPr>
        <w:numId w:val="7"/>
      </w:numPr>
      <w:ind w:left="357" w:hanging="357"/>
    </w:pPr>
  </w:style>
  <w:style w:type="paragraph" w:customStyle="1" w:styleId="NormalBeforeBullet">
    <w:name w:val="Normal Before Bullet"/>
    <w:basedOn w:val="Normal"/>
    <w:qFormat/>
    <w:rsid w:val="002B3724"/>
    <w:pPr>
      <w:keepNext/>
      <w:spacing w:before="0" w:after="120"/>
    </w:pPr>
    <w:rPr>
      <w:sz w:val="22"/>
    </w:rPr>
  </w:style>
  <w:style w:type="paragraph" w:customStyle="1" w:styleId="TableBullet0">
    <w:name w:val="TableBullet"/>
    <w:basedOn w:val="TableText1"/>
    <w:rsid w:val="0021076F"/>
    <w:pPr>
      <w:numPr>
        <w:numId w:val="8"/>
      </w:numPr>
      <w:tabs>
        <w:tab w:val="left" w:pos="216"/>
      </w:tabs>
      <w:spacing w:before="20" w:after="20"/>
    </w:pPr>
    <w:rPr>
      <w:rFonts w:cs="Times New Roman"/>
      <w:color w:val="000000"/>
      <w:szCs w:val="21"/>
      <w:lang w:eastAsia="en-AU"/>
    </w:rPr>
  </w:style>
  <w:style w:type="character" w:customStyle="1" w:styleId="Small">
    <w:name w:val="Small"/>
    <w:basedOn w:val="DefaultParagraphFont"/>
    <w:qFormat/>
    <w:rsid w:val="004E552E"/>
    <w:rPr>
      <w:rFonts w:ascii="Candara" w:hAnsi="Candara"/>
      <w:sz w:val="20"/>
    </w:rPr>
  </w:style>
  <w:style w:type="paragraph" w:customStyle="1" w:styleId="TableBullets">
    <w:name w:val="Table Bullets"/>
    <w:basedOn w:val="Normal"/>
    <w:link w:val="TableBulletsChar"/>
    <w:uiPriority w:val="5"/>
    <w:qFormat/>
    <w:rsid w:val="008F3C3D"/>
    <w:pPr>
      <w:keepLines/>
      <w:numPr>
        <w:numId w:val="9"/>
      </w:numPr>
      <w:spacing w:before="0" w:after="0"/>
    </w:pPr>
    <w:rPr>
      <w:rFonts w:eastAsiaTheme="majorEastAsia" w:cstheme="majorBidi"/>
      <w:sz w:val="20"/>
      <w:lang w:bidi="en-US"/>
    </w:rPr>
  </w:style>
  <w:style w:type="character" w:customStyle="1" w:styleId="TableBulletsChar">
    <w:name w:val="Table Bullets Char"/>
    <w:basedOn w:val="DefaultParagraphFont"/>
    <w:link w:val="TableBullets"/>
    <w:uiPriority w:val="5"/>
    <w:rsid w:val="008F3C3D"/>
    <w:rPr>
      <w:rFonts w:eastAsiaTheme="majorEastAsia" w:cstheme="majorBidi"/>
      <w:sz w:val="20"/>
      <w:lang w:bidi="en-US"/>
    </w:rPr>
  </w:style>
  <w:style w:type="table" w:customStyle="1" w:styleId="GridTable1Light11">
    <w:name w:val="Grid Table 1 Light11"/>
    <w:basedOn w:val="TableNormal"/>
    <w:next w:val="TableNormal"/>
    <w:uiPriority w:val="46"/>
    <w:rsid w:val="008F6365"/>
    <w:pPr>
      <w:spacing w:after="0" w:line="240" w:lineRule="auto"/>
    </w:pPr>
    <w:rPr>
      <w:rFonts w:ascii="Calibri" w:eastAsia="Calibri" w:hAnsi="Calibri" w:cs="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5378E0"/>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customStyle="1" w:styleId="TableCentre">
    <w:name w:val="Table Centre"/>
    <w:basedOn w:val="Normal"/>
    <w:qFormat/>
    <w:rsid w:val="000F287F"/>
    <w:pPr>
      <w:keepLines/>
      <w:spacing w:before="0" w:after="0"/>
      <w:jc w:val="center"/>
    </w:pPr>
    <w:rPr>
      <w:rFonts w:eastAsiaTheme="majorEastAsia" w:cstheme="majorBidi"/>
      <w:sz w:val="20"/>
      <w:lang w:val="en-US" w:eastAsia="ja-JP"/>
    </w:rPr>
  </w:style>
  <w:style w:type="paragraph" w:customStyle="1" w:styleId="Table">
    <w:name w:val="Table"/>
    <w:basedOn w:val="Normal"/>
    <w:link w:val="TableChar"/>
    <w:qFormat/>
    <w:rsid w:val="00165B86"/>
    <w:pPr>
      <w:keepLines/>
      <w:spacing w:before="0" w:after="0"/>
    </w:pPr>
    <w:rPr>
      <w:rFonts w:eastAsiaTheme="majorEastAsia" w:cstheme="majorBidi"/>
      <w:sz w:val="20"/>
      <w:lang w:bidi="en-US"/>
    </w:rPr>
  </w:style>
  <w:style w:type="character" w:customStyle="1" w:styleId="TableChar">
    <w:name w:val="Table Char"/>
    <w:basedOn w:val="DefaultParagraphFont"/>
    <w:link w:val="Table"/>
    <w:locked/>
    <w:rsid w:val="00165B86"/>
    <w:rPr>
      <w:rFonts w:eastAsiaTheme="majorEastAsia" w:cstheme="majorBidi"/>
      <w:sz w:val="20"/>
      <w:lang w:bidi="en-US"/>
    </w:rPr>
  </w:style>
  <w:style w:type="table" w:customStyle="1" w:styleId="TableGridbeth1">
    <w:name w:val="Table Gridbeth1"/>
    <w:basedOn w:val="TableNormal"/>
    <w:next w:val="TableGrid"/>
    <w:uiPriority w:val="59"/>
    <w:rsid w:val="0067132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9A"/>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TableTextCA">
    <w:name w:val="Table Text CA"/>
    <w:basedOn w:val="TableText"/>
    <w:qFormat/>
    <w:rsid w:val="005B07CB"/>
    <w:pPr>
      <w:keepNext w:val="0"/>
      <w:jc w:val="center"/>
    </w:pPr>
  </w:style>
  <w:style w:type="paragraph" w:customStyle="1" w:styleId="Default">
    <w:name w:val="Default"/>
    <w:rsid w:val="00F643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qFormat/>
    <w:rsid w:val="00031BD8"/>
    <w:pPr>
      <w:numPr>
        <w:numId w:val="6"/>
      </w:numPr>
      <w:spacing w:before="0" w:after="120"/>
    </w:pPr>
    <w:rPr>
      <w:sz w:val="22"/>
    </w:rPr>
  </w:style>
  <w:style w:type="paragraph" w:styleId="DocumentMap">
    <w:name w:val="Document Map"/>
    <w:basedOn w:val="Normal"/>
    <w:link w:val="DocumentMapChar"/>
    <w:uiPriority w:val="99"/>
    <w:semiHidden/>
    <w:unhideWhenUsed/>
    <w:rsid w:val="008B6558"/>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6558"/>
    <w:rPr>
      <w:rFonts w:ascii="Tahoma" w:hAnsi="Tahoma" w:cs="Tahoma"/>
      <w:sz w:val="16"/>
      <w:szCs w:val="16"/>
    </w:rPr>
  </w:style>
  <w:style w:type="paragraph" w:customStyle="1" w:styleId="TableBullet">
    <w:name w:val="Table Bullet"/>
    <w:basedOn w:val="TableText"/>
    <w:qFormat/>
    <w:rsid w:val="00097C23"/>
    <w:pPr>
      <w:keepNext w:val="0"/>
      <w:numPr>
        <w:numId w:val="7"/>
      </w:numPr>
      <w:ind w:left="357" w:hanging="357"/>
    </w:pPr>
  </w:style>
  <w:style w:type="paragraph" w:customStyle="1" w:styleId="NormalBeforeBullet">
    <w:name w:val="Normal Before Bullet"/>
    <w:basedOn w:val="Normal"/>
    <w:qFormat/>
    <w:rsid w:val="002B3724"/>
    <w:pPr>
      <w:keepNext/>
      <w:spacing w:before="0" w:after="120"/>
    </w:pPr>
    <w:rPr>
      <w:sz w:val="22"/>
    </w:rPr>
  </w:style>
  <w:style w:type="paragraph" w:customStyle="1" w:styleId="TableBullet0">
    <w:name w:val="TableBullet"/>
    <w:basedOn w:val="TableText1"/>
    <w:rsid w:val="0021076F"/>
    <w:pPr>
      <w:numPr>
        <w:numId w:val="8"/>
      </w:numPr>
      <w:tabs>
        <w:tab w:val="left" w:pos="216"/>
      </w:tabs>
      <w:spacing w:before="20" w:after="20"/>
    </w:pPr>
    <w:rPr>
      <w:rFonts w:cs="Times New Roman"/>
      <w:color w:val="000000"/>
      <w:szCs w:val="21"/>
      <w:lang w:eastAsia="en-AU"/>
    </w:rPr>
  </w:style>
  <w:style w:type="character" w:customStyle="1" w:styleId="Small">
    <w:name w:val="Small"/>
    <w:basedOn w:val="DefaultParagraphFont"/>
    <w:qFormat/>
    <w:rsid w:val="004E552E"/>
    <w:rPr>
      <w:rFonts w:ascii="Candara" w:hAnsi="Candara"/>
      <w:sz w:val="20"/>
    </w:rPr>
  </w:style>
  <w:style w:type="paragraph" w:customStyle="1" w:styleId="TableBullets">
    <w:name w:val="Table Bullets"/>
    <w:basedOn w:val="Normal"/>
    <w:link w:val="TableBulletsChar"/>
    <w:uiPriority w:val="5"/>
    <w:qFormat/>
    <w:rsid w:val="008F3C3D"/>
    <w:pPr>
      <w:keepLines/>
      <w:numPr>
        <w:numId w:val="9"/>
      </w:numPr>
      <w:spacing w:before="0" w:after="0"/>
    </w:pPr>
    <w:rPr>
      <w:rFonts w:eastAsiaTheme="majorEastAsia" w:cstheme="majorBidi"/>
      <w:sz w:val="20"/>
      <w:lang w:bidi="en-US"/>
    </w:rPr>
  </w:style>
  <w:style w:type="character" w:customStyle="1" w:styleId="TableBulletsChar">
    <w:name w:val="Table Bullets Char"/>
    <w:basedOn w:val="DefaultParagraphFont"/>
    <w:link w:val="TableBullets"/>
    <w:uiPriority w:val="5"/>
    <w:rsid w:val="008F3C3D"/>
    <w:rPr>
      <w:rFonts w:eastAsiaTheme="majorEastAsia" w:cstheme="majorBidi"/>
      <w:sz w:val="20"/>
      <w:lang w:bidi="en-US"/>
    </w:rPr>
  </w:style>
  <w:style w:type="table" w:customStyle="1" w:styleId="GridTable1Light11">
    <w:name w:val="Grid Table 1 Light11"/>
    <w:basedOn w:val="TableNormal"/>
    <w:next w:val="TableNormal"/>
    <w:uiPriority w:val="46"/>
    <w:rsid w:val="008F6365"/>
    <w:pPr>
      <w:spacing w:after="0" w:line="240" w:lineRule="auto"/>
    </w:pPr>
    <w:rPr>
      <w:rFonts w:ascii="Calibri" w:eastAsia="Calibri" w:hAnsi="Calibri" w:cs="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5378E0"/>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customStyle="1" w:styleId="TableCentre">
    <w:name w:val="Table Centre"/>
    <w:basedOn w:val="Normal"/>
    <w:qFormat/>
    <w:rsid w:val="000F287F"/>
    <w:pPr>
      <w:keepLines/>
      <w:spacing w:before="0" w:after="0"/>
      <w:jc w:val="center"/>
    </w:pPr>
    <w:rPr>
      <w:rFonts w:eastAsiaTheme="majorEastAsia" w:cstheme="majorBidi"/>
      <w:sz w:val="20"/>
      <w:lang w:val="en-US" w:eastAsia="ja-JP"/>
    </w:rPr>
  </w:style>
  <w:style w:type="paragraph" w:customStyle="1" w:styleId="Table">
    <w:name w:val="Table"/>
    <w:basedOn w:val="Normal"/>
    <w:link w:val="TableChar"/>
    <w:qFormat/>
    <w:rsid w:val="00165B86"/>
    <w:pPr>
      <w:keepLines/>
      <w:spacing w:before="0" w:after="0"/>
    </w:pPr>
    <w:rPr>
      <w:rFonts w:eastAsiaTheme="majorEastAsia" w:cstheme="majorBidi"/>
      <w:sz w:val="20"/>
      <w:lang w:bidi="en-US"/>
    </w:rPr>
  </w:style>
  <w:style w:type="character" w:customStyle="1" w:styleId="TableChar">
    <w:name w:val="Table Char"/>
    <w:basedOn w:val="DefaultParagraphFont"/>
    <w:link w:val="Table"/>
    <w:locked/>
    <w:rsid w:val="00165B86"/>
    <w:rPr>
      <w:rFonts w:eastAsiaTheme="majorEastAsia" w:cstheme="majorBidi"/>
      <w:sz w:val="20"/>
      <w:lang w:bidi="en-US"/>
    </w:rPr>
  </w:style>
  <w:style w:type="table" w:customStyle="1" w:styleId="TableGridbeth1">
    <w:name w:val="Table Gridbeth1"/>
    <w:basedOn w:val="TableNormal"/>
    <w:next w:val="TableGrid"/>
    <w:uiPriority w:val="59"/>
    <w:rsid w:val="0067132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36">
      <w:bodyDiv w:val="1"/>
      <w:marLeft w:val="0"/>
      <w:marRight w:val="0"/>
      <w:marTop w:val="0"/>
      <w:marBottom w:val="0"/>
      <w:divBdr>
        <w:top w:val="none" w:sz="0" w:space="0" w:color="auto"/>
        <w:left w:val="none" w:sz="0" w:space="0" w:color="auto"/>
        <w:bottom w:val="none" w:sz="0" w:space="0" w:color="auto"/>
        <w:right w:val="none" w:sz="0" w:space="0" w:color="auto"/>
      </w:divBdr>
    </w:div>
    <w:div w:id="40711286">
      <w:bodyDiv w:val="1"/>
      <w:marLeft w:val="0"/>
      <w:marRight w:val="0"/>
      <w:marTop w:val="0"/>
      <w:marBottom w:val="0"/>
      <w:divBdr>
        <w:top w:val="none" w:sz="0" w:space="0" w:color="auto"/>
        <w:left w:val="none" w:sz="0" w:space="0" w:color="auto"/>
        <w:bottom w:val="none" w:sz="0" w:space="0" w:color="auto"/>
        <w:right w:val="none" w:sz="0" w:space="0" w:color="auto"/>
      </w:divBdr>
    </w:div>
    <w:div w:id="43258290">
      <w:bodyDiv w:val="1"/>
      <w:marLeft w:val="0"/>
      <w:marRight w:val="0"/>
      <w:marTop w:val="0"/>
      <w:marBottom w:val="0"/>
      <w:divBdr>
        <w:top w:val="none" w:sz="0" w:space="0" w:color="auto"/>
        <w:left w:val="none" w:sz="0" w:space="0" w:color="auto"/>
        <w:bottom w:val="none" w:sz="0" w:space="0" w:color="auto"/>
        <w:right w:val="none" w:sz="0" w:space="0" w:color="auto"/>
      </w:divBdr>
    </w:div>
    <w:div w:id="70547867">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96600632">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20017884">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80377235">
      <w:bodyDiv w:val="1"/>
      <w:marLeft w:val="0"/>
      <w:marRight w:val="0"/>
      <w:marTop w:val="0"/>
      <w:marBottom w:val="0"/>
      <w:divBdr>
        <w:top w:val="none" w:sz="0" w:space="0" w:color="auto"/>
        <w:left w:val="none" w:sz="0" w:space="0" w:color="auto"/>
        <w:bottom w:val="none" w:sz="0" w:space="0" w:color="auto"/>
        <w:right w:val="none" w:sz="0" w:space="0" w:color="auto"/>
      </w:divBdr>
      <w:divsChild>
        <w:div w:id="944196660">
          <w:marLeft w:val="1166"/>
          <w:marRight w:val="0"/>
          <w:marTop w:val="0"/>
          <w:marBottom w:val="0"/>
          <w:divBdr>
            <w:top w:val="none" w:sz="0" w:space="0" w:color="auto"/>
            <w:left w:val="none" w:sz="0" w:space="0" w:color="auto"/>
            <w:bottom w:val="none" w:sz="0" w:space="0" w:color="auto"/>
            <w:right w:val="none" w:sz="0" w:space="0" w:color="auto"/>
          </w:divBdr>
        </w:div>
        <w:div w:id="634483897">
          <w:marLeft w:val="1800"/>
          <w:marRight w:val="0"/>
          <w:marTop w:val="0"/>
          <w:marBottom w:val="0"/>
          <w:divBdr>
            <w:top w:val="none" w:sz="0" w:space="0" w:color="auto"/>
            <w:left w:val="none" w:sz="0" w:space="0" w:color="auto"/>
            <w:bottom w:val="none" w:sz="0" w:space="0" w:color="auto"/>
            <w:right w:val="none" w:sz="0" w:space="0" w:color="auto"/>
          </w:divBdr>
        </w:div>
      </w:divsChild>
    </w:div>
    <w:div w:id="308941874">
      <w:bodyDiv w:val="1"/>
      <w:marLeft w:val="0"/>
      <w:marRight w:val="0"/>
      <w:marTop w:val="0"/>
      <w:marBottom w:val="0"/>
      <w:divBdr>
        <w:top w:val="none" w:sz="0" w:space="0" w:color="auto"/>
        <w:left w:val="none" w:sz="0" w:space="0" w:color="auto"/>
        <w:bottom w:val="none" w:sz="0" w:space="0" w:color="auto"/>
        <w:right w:val="none" w:sz="0" w:space="0" w:color="auto"/>
      </w:divBdr>
    </w:div>
    <w:div w:id="388236126">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35448317">
      <w:bodyDiv w:val="1"/>
      <w:marLeft w:val="0"/>
      <w:marRight w:val="0"/>
      <w:marTop w:val="0"/>
      <w:marBottom w:val="0"/>
      <w:divBdr>
        <w:top w:val="none" w:sz="0" w:space="0" w:color="auto"/>
        <w:left w:val="none" w:sz="0" w:space="0" w:color="auto"/>
        <w:bottom w:val="none" w:sz="0" w:space="0" w:color="auto"/>
        <w:right w:val="none" w:sz="0" w:space="0" w:color="auto"/>
      </w:divBdr>
    </w:div>
    <w:div w:id="452678790">
      <w:bodyDiv w:val="1"/>
      <w:marLeft w:val="0"/>
      <w:marRight w:val="0"/>
      <w:marTop w:val="0"/>
      <w:marBottom w:val="0"/>
      <w:divBdr>
        <w:top w:val="none" w:sz="0" w:space="0" w:color="auto"/>
        <w:left w:val="none" w:sz="0" w:space="0" w:color="auto"/>
        <w:bottom w:val="none" w:sz="0" w:space="0" w:color="auto"/>
        <w:right w:val="none" w:sz="0" w:space="0" w:color="auto"/>
      </w:divBdr>
    </w:div>
    <w:div w:id="466434967">
      <w:bodyDiv w:val="1"/>
      <w:marLeft w:val="0"/>
      <w:marRight w:val="0"/>
      <w:marTop w:val="0"/>
      <w:marBottom w:val="0"/>
      <w:divBdr>
        <w:top w:val="none" w:sz="0" w:space="0" w:color="auto"/>
        <w:left w:val="none" w:sz="0" w:space="0" w:color="auto"/>
        <w:bottom w:val="none" w:sz="0" w:space="0" w:color="auto"/>
        <w:right w:val="none" w:sz="0" w:space="0" w:color="auto"/>
      </w:divBdr>
    </w:div>
    <w:div w:id="515311577">
      <w:bodyDiv w:val="1"/>
      <w:marLeft w:val="0"/>
      <w:marRight w:val="0"/>
      <w:marTop w:val="0"/>
      <w:marBottom w:val="0"/>
      <w:divBdr>
        <w:top w:val="none" w:sz="0" w:space="0" w:color="auto"/>
        <w:left w:val="none" w:sz="0" w:space="0" w:color="auto"/>
        <w:bottom w:val="none" w:sz="0" w:space="0" w:color="auto"/>
        <w:right w:val="none" w:sz="0" w:space="0" w:color="auto"/>
      </w:divBdr>
    </w:div>
    <w:div w:id="586159795">
      <w:bodyDiv w:val="1"/>
      <w:marLeft w:val="0"/>
      <w:marRight w:val="0"/>
      <w:marTop w:val="0"/>
      <w:marBottom w:val="0"/>
      <w:divBdr>
        <w:top w:val="none" w:sz="0" w:space="0" w:color="auto"/>
        <w:left w:val="none" w:sz="0" w:space="0" w:color="auto"/>
        <w:bottom w:val="none" w:sz="0" w:space="0" w:color="auto"/>
        <w:right w:val="none" w:sz="0" w:space="0" w:color="auto"/>
      </w:divBdr>
    </w:div>
    <w:div w:id="646478030">
      <w:bodyDiv w:val="1"/>
      <w:marLeft w:val="0"/>
      <w:marRight w:val="0"/>
      <w:marTop w:val="0"/>
      <w:marBottom w:val="0"/>
      <w:divBdr>
        <w:top w:val="none" w:sz="0" w:space="0" w:color="auto"/>
        <w:left w:val="none" w:sz="0" w:space="0" w:color="auto"/>
        <w:bottom w:val="none" w:sz="0" w:space="0" w:color="auto"/>
        <w:right w:val="none" w:sz="0" w:space="0" w:color="auto"/>
      </w:divBdr>
    </w:div>
    <w:div w:id="703597378">
      <w:bodyDiv w:val="1"/>
      <w:marLeft w:val="0"/>
      <w:marRight w:val="0"/>
      <w:marTop w:val="0"/>
      <w:marBottom w:val="0"/>
      <w:divBdr>
        <w:top w:val="none" w:sz="0" w:space="0" w:color="auto"/>
        <w:left w:val="none" w:sz="0" w:space="0" w:color="auto"/>
        <w:bottom w:val="none" w:sz="0" w:space="0" w:color="auto"/>
        <w:right w:val="none" w:sz="0" w:space="0" w:color="auto"/>
      </w:divBdr>
    </w:div>
    <w:div w:id="746421006">
      <w:bodyDiv w:val="1"/>
      <w:marLeft w:val="0"/>
      <w:marRight w:val="0"/>
      <w:marTop w:val="0"/>
      <w:marBottom w:val="0"/>
      <w:divBdr>
        <w:top w:val="none" w:sz="0" w:space="0" w:color="auto"/>
        <w:left w:val="none" w:sz="0" w:space="0" w:color="auto"/>
        <w:bottom w:val="none" w:sz="0" w:space="0" w:color="auto"/>
        <w:right w:val="none" w:sz="0" w:space="0" w:color="auto"/>
      </w:divBdr>
    </w:div>
    <w:div w:id="813832559">
      <w:bodyDiv w:val="1"/>
      <w:marLeft w:val="0"/>
      <w:marRight w:val="0"/>
      <w:marTop w:val="0"/>
      <w:marBottom w:val="0"/>
      <w:divBdr>
        <w:top w:val="none" w:sz="0" w:space="0" w:color="auto"/>
        <w:left w:val="none" w:sz="0" w:space="0" w:color="auto"/>
        <w:bottom w:val="none" w:sz="0" w:space="0" w:color="auto"/>
        <w:right w:val="none" w:sz="0" w:space="0" w:color="auto"/>
      </w:divBdr>
    </w:div>
    <w:div w:id="837232546">
      <w:bodyDiv w:val="1"/>
      <w:marLeft w:val="0"/>
      <w:marRight w:val="0"/>
      <w:marTop w:val="0"/>
      <w:marBottom w:val="0"/>
      <w:divBdr>
        <w:top w:val="none" w:sz="0" w:space="0" w:color="auto"/>
        <w:left w:val="none" w:sz="0" w:space="0" w:color="auto"/>
        <w:bottom w:val="none" w:sz="0" w:space="0" w:color="auto"/>
        <w:right w:val="none" w:sz="0" w:space="0" w:color="auto"/>
      </w:divBdr>
    </w:div>
    <w:div w:id="865171576">
      <w:bodyDiv w:val="1"/>
      <w:marLeft w:val="0"/>
      <w:marRight w:val="0"/>
      <w:marTop w:val="0"/>
      <w:marBottom w:val="0"/>
      <w:divBdr>
        <w:top w:val="none" w:sz="0" w:space="0" w:color="auto"/>
        <w:left w:val="none" w:sz="0" w:space="0" w:color="auto"/>
        <w:bottom w:val="none" w:sz="0" w:space="0" w:color="auto"/>
        <w:right w:val="none" w:sz="0" w:space="0" w:color="auto"/>
      </w:divBdr>
    </w:div>
    <w:div w:id="871310462">
      <w:bodyDiv w:val="1"/>
      <w:marLeft w:val="0"/>
      <w:marRight w:val="0"/>
      <w:marTop w:val="0"/>
      <w:marBottom w:val="0"/>
      <w:divBdr>
        <w:top w:val="none" w:sz="0" w:space="0" w:color="auto"/>
        <w:left w:val="none" w:sz="0" w:space="0" w:color="auto"/>
        <w:bottom w:val="none" w:sz="0" w:space="0" w:color="auto"/>
        <w:right w:val="none" w:sz="0" w:space="0" w:color="auto"/>
      </w:divBdr>
    </w:div>
    <w:div w:id="945111770">
      <w:bodyDiv w:val="1"/>
      <w:marLeft w:val="0"/>
      <w:marRight w:val="0"/>
      <w:marTop w:val="0"/>
      <w:marBottom w:val="0"/>
      <w:divBdr>
        <w:top w:val="none" w:sz="0" w:space="0" w:color="auto"/>
        <w:left w:val="none" w:sz="0" w:space="0" w:color="auto"/>
        <w:bottom w:val="none" w:sz="0" w:space="0" w:color="auto"/>
        <w:right w:val="none" w:sz="0" w:space="0" w:color="auto"/>
      </w:divBdr>
    </w:div>
    <w:div w:id="956714293">
      <w:bodyDiv w:val="1"/>
      <w:marLeft w:val="0"/>
      <w:marRight w:val="0"/>
      <w:marTop w:val="0"/>
      <w:marBottom w:val="0"/>
      <w:divBdr>
        <w:top w:val="none" w:sz="0" w:space="0" w:color="auto"/>
        <w:left w:val="none" w:sz="0" w:space="0" w:color="auto"/>
        <w:bottom w:val="none" w:sz="0" w:space="0" w:color="auto"/>
        <w:right w:val="none" w:sz="0" w:space="0" w:color="auto"/>
      </w:divBdr>
    </w:div>
    <w:div w:id="1024205635">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98084633">
      <w:bodyDiv w:val="1"/>
      <w:marLeft w:val="0"/>
      <w:marRight w:val="0"/>
      <w:marTop w:val="0"/>
      <w:marBottom w:val="0"/>
      <w:divBdr>
        <w:top w:val="none" w:sz="0" w:space="0" w:color="auto"/>
        <w:left w:val="none" w:sz="0" w:space="0" w:color="auto"/>
        <w:bottom w:val="none" w:sz="0" w:space="0" w:color="auto"/>
        <w:right w:val="none" w:sz="0" w:space="0" w:color="auto"/>
      </w:divBdr>
    </w:div>
    <w:div w:id="1208105987">
      <w:bodyDiv w:val="1"/>
      <w:marLeft w:val="0"/>
      <w:marRight w:val="0"/>
      <w:marTop w:val="0"/>
      <w:marBottom w:val="0"/>
      <w:divBdr>
        <w:top w:val="none" w:sz="0" w:space="0" w:color="auto"/>
        <w:left w:val="none" w:sz="0" w:space="0" w:color="auto"/>
        <w:bottom w:val="none" w:sz="0" w:space="0" w:color="auto"/>
        <w:right w:val="none" w:sz="0" w:space="0" w:color="auto"/>
      </w:divBdr>
    </w:div>
    <w:div w:id="1210145174">
      <w:bodyDiv w:val="1"/>
      <w:marLeft w:val="0"/>
      <w:marRight w:val="0"/>
      <w:marTop w:val="0"/>
      <w:marBottom w:val="0"/>
      <w:divBdr>
        <w:top w:val="none" w:sz="0" w:space="0" w:color="auto"/>
        <w:left w:val="none" w:sz="0" w:space="0" w:color="auto"/>
        <w:bottom w:val="none" w:sz="0" w:space="0" w:color="auto"/>
        <w:right w:val="none" w:sz="0" w:space="0" w:color="auto"/>
      </w:divBdr>
    </w:div>
    <w:div w:id="1216308677">
      <w:bodyDiv w:val="1"/>
      <w:marLeft w:val="0"/>
      <w:marRight w:val="0"/>
      <w:marTop w:val="0"/>
      <w:marBottom w:val="0"/>
      <w:divBdr>
        <w:top w:val="none" w:sz="0" w:space="0" w:color="auto"/>
        <w:left w:val="none" w:sz="0" w:space="0" w:color="auto"/>
        <w:bottom w:val="none" w:sz="0" w:space="0" w:color="auto"/>
        <w:right w:val="none" w:sz="0" w:space="0" w:color="auto"/>
      </w:divBdr>
    </w:div>
    <w:div w:id="122548662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3291402">
      <w:bodyDiv w:val="1"/>
      <w:marLeft w:val="0"/>
      <w:marRight w:val="0"/>
      <w:marTop w:val="0"/>
      <w:marBottom w:val="0"/>
      <w:divBdr>
        <w:top w:val="none" w:sz="0" w:space="0" w:color="auto"/>
        <w:left w:val="none" w:sz="0" w:space="0" w:color="auto"/>
        <w:bottom w:val="none" w:sz="0" w:space="0" w:color="auto"/>
        <w:right w:val="none" w:sz="0" w:space="0" w:color="auto"/>
      </w:divBdr>
    </w:div>
    <w:div w:id="1309898379">
      <w:bodyDiv w:val="1"/>
      <w:marLeft w:val="0"/>
      <w:marRight w:val="0"/>
      <w:marTop w:val="0"/>
      <w:marBottom w:val="0"/>
      <w:divBdr>
        <w:top w:val="none" w:sz="0" w:space="0" w:color="auto"/>
        <w:left w:val="none" w:sz="0" w:space="0" w:color="auto"/>
        <w:bottom w:val="none" w:sz="0" w:space="0" w:color="auto"/>
        <w:right w:val="none" w:sz="0" w:space="0" w:color="auto"/>
      </w:divBdr>
    </w:div>
    <w:div w:id="1341543817">
      <w:bodyDiv w:val="1"/>
      <w:marLeft w:val="0"/>
      <w:marRight w:val="0"/>
      <w:marTop w:val="0"/>
      <w:marBottom w:val="0"/>
      <w:divBdr>
        <w:top w:val="none" w:sz="0" w:space="0" w:color="auto"/>
        <w:left w:val="none" w:sz="0" w:space="0" w:color="auto"/>
        <w:bottom w:val="none" w:sz="0" w:space="0" w:color="auto"/>
        <w:right w:val="none" w:sz="0" w:space="0" w:color="auto"/>
      </w:divBdr>
    </w:div>
    <w:div w:id="1386757227">
      <w:bodyDiv w:val="1"/>
      <w:marLeft w:val="0"/>
      <w:marRight w:val="0"/>
      <w:marTop w:val="0"/>
      <w:marBottom w:val="0"/>
      <w:divBdr>
        <w:top w:val="none" w:sz="0" w:space="0" w:color="auto"/>
        <w:left w:val="none" w:sz="0" w:space="0" w:color="auto"/>
        <w:bottom w:val="none" w:sz="0" w:space="0" w:color="auto"/>
        <w:right w:val="none" w:sz="0" w:space="0" w:color="auto"/>
      </w:divBdr>
    </w:div>
    <w:div w:id="1409645904">
      <w:bodyDiv w:val="1"/>
      <w:marLeft w:val="0"/>
      <w:marRight w:val="0"/>
      <w:marTop w:val="0"/>
      <w:marBottom w:val="0"/>
      <w:divBdr>
        <w:top w:val="none" w:sz="0" w:space="0" w:color="auto"/>
        <w:left w:val="none" w:sz="0" w:space="0" w:color="auto"/>
        <w:bottom w:val="none" w:sz="0" w:space="0" w:color="auto"/>
        <w:right w:val="none" w:sz="0" w:space="0" w:color="auto"/>
      </w:divBdr>
    </w:div>
    <w:div w:id="1416782177">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73594989">
      <w:bodyDiv w:val="1"/>
      <w:marLeft w:val="0"/>
      <w:marRight w:val="0"/>
      <w:marTop w:val="0"/>
      <w:marBottom w:val="0"/>
      <w:divBdr>
        <w:top w:val="none" w:sz="0" w:space="0" w:color="auto"/>
        <w:left w:val="none" w:sz="0" w:space="0" w:color="auto"/>
        <w:bottom w:val="none" w:sz="0" w:space="0" w:color="auto"/>
        <w:right w:val="none" w:sz="0" w:space="0" w:color="auto"/>
      </w:divBdr>
    </w:div>
    <w:div w:id="1511871878">
      <w:bodyDiv w:val="1"/>
      <w:marLeft w:val="0"/>
      <w:marRight w:val="0"/>
      <w:marTop w:val="0"/>
      <w:marBottom w:val="0"/>
      <w:divBdr>
        <w:top w:val="none" w:sz="0" w:space="0" w:color="auto"/>
        <w:left w:val="none" w:sz="0" w:space="0" w:color="auto"/>
        <w:bottom w:val="none" w:sz="0" w:space="0" w:color="auto"/>
        <w:right w:val="none" w:sz="0" w:space="0" w:color="auto"/>
      </w:divBdr>
    </w:div>
    <w:div w:id="1513226861">
      <w:bodyDiv w:val="1"/>
      <w:marLeft w:val="0"/>
      <w:marRight w:val="0"/>
      <w:marTop w:val="0"/>
      <w:marBottom w:val="0"/>
      <w:divBdr>
        <w:top w:val="none" w:sz="0" w:space="0" w:color="auto"/>
        <w:left w:val="none" w:sz="0" w:space="0" w:color="auto"/>
        <w:bottom w:val="none" w:sz="0" w:space="0" w:color="auto"/>
        <w:right w:val="none" w:sz="0" w:space="0" w:color="auto"/>
      </w:divBdr>
    </w:div>
    <w:div w:id="1527324841">
      <w:bodyDiv w:val="1"/>
      <w:marLeft w:val="0"/>
      <w:marRight w:val="0"/>
      <w:marTop w:val="0"/>
      <w:marBottom w:val="0"/>
      <w:divBdr>
        <w:top w:val="none" w:sz="0" w:space="0" w:color="auto"/>
        <w:left w:val="none" w:sz="0" w:space="0" w:color="auto"/>
        <w:bottom w:val="none" w:sz="0" w:space="0" w:color="auto"/>
        <w:right w:val="none" w:sz="0" w:space="0" w:color="auto"/>
      </w:divBdr>
    </w:div>
    <w:div w:id="1532956294">
      <w:bodyDiv w:val="1"/>
      <w:marLeft w:val="0"/>
      <w:marRight w:val="0"/>
      <w:marTop w:val="0"/>
      <w:marBottom w:val="0"/>
      <w:divBdr>
        <w:top w:val="none" w:sz="0" w:space="0" w:color="auto"/>
        <w:left w:val="none" w:sz="0" w:space="0" w:color="auto"/>
        <w:bottom w:val="none" w:sz="0" w:space="0" w:color="auto"/>
        <w:right w:val="none" w:sz="0" w:space="0" w:color="auto"/>
      </w:divBdr>
    </w:div>
    <w:div w:id="1540781529">
      <w:bodyDiv w:val="1"/>
      <w:marLeft w:val="0"/>
      <w:marRight w:val="0"/>
      <w:marTop w:val="0"/>
      <w:marBottom w:val="0"/>
      <w:divBdr>
        <w:top w:val="none" w:sz="0" w:space="0" w:color="auto"/>
        <w:left w:val="none" w:sz="0" w:space="0" w:color="auto"/>
        <w:bottom w:val="none" w:sz="0" w:space="0" w:color="auto"/>
        <w:right w:val="none" w:sz="0" w:space="0" w:color="auto"/>
      </w:divBdr>
    </w:div>
    <w:div w:id="1541942280">
      <w:bodyDiv w:val="1"/>
      <w:marLeft w:val="0"/>
      <w:marRight w:val="0"/>
      <w:marTop w:val="0"/>
      <w:marBottom w:val="0"/>
      <w:divBdr>
        <w:top w:val="none" w:sz="0" w:space="0" w:color="auto"/>
        <w:left w:val="none" w:sz="0" w:space="0" w:color="auto"/>
        <w:bottom w:val="none" w:sz="0" w:space="0" w:color="auto"/>
        <w:right w:val="none" w:sz="0" w:space="0" w:color="auto"/>
      </w:divBdr>
    </w:div>
    <w:div w:id="1558937416">
      <w:bodyDiv w:val="1"/>
      <w:marLeft w:val="0"/>
      <w:marRight w:val="0"/>
      <w:marTop w:val="0"/>
      <w:marBottom w:val="0"/>
      <w:divBdr>
        <w:top w:val="none" w:sz="0" w:space="0" w:color="auto"/>
        <w:left w:val="none" w:sz="0" w:space="0" w:color="auto"/>
        <w:bottom w:val="none" w:sz="0" w:space="0" w:color="auto"/>
        <w:right w:val="none" w:sz="0" w:space="0" w:color="auto"/>
      </w:divBdr>
    </w:div>
    <w:div w:id="1564833358">
      <w:bodyDiv w:val="1"/>
      <w:marLeft w:val="0"/>
      <w:marRight w:val="0"/>
      <w:marTop w:val="0"/>
      <w:marBottom w:val="0"/>
      <w:divBdr>
        <w:top w:val="none" w:sz="0" w:space="0" w:color="auto"/>
        <w:left w:val="none" w:sz="0" w:space="0" w:color="auto"/>
        <w:bottom w:val="none" w:sz="0" w:space="0" w:color="auto"/>
        <w:right w:val="none" w:sz="0" w:space="0" w:color="auto"/>
      </w:divBdr>
    </w:div>
    <w:div w:id="1571695786">
      <w:bodyDiv w:val="1"/>
      <w:marLeft w:val="0"/>
      <w:marRight w:val="0"/>
      <w:marTop w:val="0"/>
      <w:marBottom w:val="0"/>
      <w:divBdr>
        <w:top w:val="none" w:sz="0" w:space="0" w:color="auto"/>
        <w:left w:val="none" w:sz="0" w:space="0" w:color="auto"/>
        <w:bottom w:val="none" w:sz="0" w:space="0" w:color="auto"/>
        <w:right w:val="none" w:sz="0" w:space="0" w:color="auto"/>
      </w:divBdr>
    </w:div>
    <w:div w:id="1574851199">
      <w:bodyDiv w:val="1"/>
      <w:marLeft w:val="0"/>
      <w:marRight w:val="0"/>
      <w:marTop w:val="0"/>
      <w:marBottom w:val="0"/>
      <w:divBdr>
        <w:top w:val="none" w:sz="0" w:space="0" w:color="auto"/>
        <w:left w:val="none" w:sz="0" w:space="0" w:color="auto"/>
        <w:bottom w:val="none" w:sz="0" w:space="0" w:color="auto"/>
        <w:right w:val="none" w:sz="0" w:space="0" w:color="auto"/>
      </w:divBdr>
    </w:div>
    <w:div w:id="1578175528">
      <w:bodyDiv w:val="1"/>
      <w:marLeft w:val="0"/>
      <w:marRight w:val="0"/>
      <w:marTop w:val="0"/>
      <w:marBottom w:val="0"/>
      <w:divBdr>
        <w:top w:val="none" w:sz="0" w:space="0" w:color="auto"/>
        <w:left w:val="none" w:sz="0" w:space="0" w:color="auto"/>
        <w:bottom w:val="none" w:sz="0" w:space="0" w:color="auto"/>
        <w:right w:val="none" w:sz="0" w:space="0" w:color="auto"/>
      </w:divBdr>
    </w:div>
    <w:div w:id="1634603732">
      <w:bodyDiv w:val="1"/>
      <w:marLeft w:val="0"/>
      <w:marRight w:val="0"/>
      <w:marTop w:val="0"/>
      <w:marBottom w:val="0"/>
      <w:divBdr>
        <w:top w:val="none" w:sz="0" w:space="0" w:color="auto"/>
        <w:left w:val="none" w:sz="0" w:space="0" w:color="auto"/>
        <w:bottom w:val="none" w:sz="0" w:space="0" w:color="auto"/>
        <w:right w:val="none" w:sz="0" w:space="0" w:color="auto"/>
      </w:divBdr>
    </w:div>
    <w:div w:id="1683242669">
      <w:bodyDiv w:val="1"/>
      <w:marLeft w:val="0"/>
      <w:marRight w:val="0"/>
      <w:marTop w:val="0"/>
      <w:marBottom w:val="0"/>
      <w:divBdr>
        <w:top w:val="none" w:sz="0" w:space="0" w:color="auto"/>
        <w:left w:val="none" w:sz="0" w:space="0" w:color="auto"/>
        <w:bottom w:val="none" w:sz="0" w:space="0" w:color="auto"/>
        <w:right w:val="none" w:sz="0" w:space="0" w:color="auto"/>
      </w:divBdr>
    </w:div>
    <w:div w:id="1709337502">
      <w:bodyDiv w:val="1"/>
      <w:marLeft w:val="0"/>
      <w:marRight w:val="0"/>
      <w:marTop w:val="0"/>
      <w:marBottom w:val="0"/>
      <w:divBdr>
        <w:top w:val="none" w:sz="0" w:space="0" w:color="auto"/>
        <w:left w:val="none" w:sz="0" w:space="0" w:color="auto"/>
        <w:bottom w:val="none" w:sz="0" w:space="0" w:color="auto"/>
        <w:right w:val="none" w:sz="0" w:space="0" w:color="auto"/>
      </w:divBdr>
    </w:div>
    <w:div w:id="1735733992">
      <w:bodyDiv w:val="1"/>
      <w:marLeft w:val="0"/>
      <w:marRight w:val="0"/>
      <w:marTop w:val="0"/>
      <w:marBottom w:val="0"/>
      <w:divBdr>
        <w:top w:val="none" w:sz="0" w:space="0" w:color="auto"/>
        <w:left w:val="none" w:sz="0" w:space="0" w:color="auto"/>
        <w:bottom w:val="none" w:sz="0" w:space="0" w:color="auto"/>
        <w:right w:val="none" w:sz="0" w:space="0" w:color="auto"/>
      </w:divBdr>
    </w:div>
    <w:div w:id="1740595446">
      <w:bodyDiv w:val="1"/>
      <w:marLeft w:val="0"/>
      <w:marRight w:val="0"/>
      <w:marTop w:val="0"/>
      <w:marBottom w:val="0"/>
      <w:divBdr>
        <w:top w:val="none" w:sz="0" w:space="0" w:color="auto"/>
        <w:left w:val="none" w:sz="0" w:space="0" w:color="auto"/>
        <w:bottom w:val="none" w:sz="0" w:space="0" w:color="auto"/>
        <w:right w:val="none" w:sz="0" w:space="0" w:color="auto"/>
      </w:divBdr>
    </w:div>
    <w:div w:id="1839539546">
      <w:bodyDiv w:val="1"/>
      <w:marLeft w:val="0"/>
      <w:marRight w:val="0"/>
      <w:marTop w:val="0"/>
      <w:marBottom w:val="0"/>
      <w:divBdr>
        <w:top w:val="none" w:sz="0" w:space="0" w:color="auto"/>
        <w:left w:val="none" w:sz="0" w:space="0" w:color="auto"/>
        <w:bottom w:val="none" w:sz="0" w:space="0" w:color="auto"/>
        <w:right w:val="none" w:sz="0" w:space="0" w:color="auto"/>
      </w:divBdr>
    </w:div>
    <w:div w:id="1884176984">
      <w:bodyDiv w:val="1"/>
      <w:marLeft w:val="0"/>
      <w:marRight w:val="0"/>
      <w:marTop w:val="0"/>
      <w:marBottom w:val="0"/>
      <w:divBdr>
        <w:top w:val="none" w:sz="0" w:space="0" w:color="auto"/>
        <w:left w:val="none" w:sz="0" w:space="0" w:color="auto"/>
        <w:bottom w:val="none" w:sz="0" w:space="0" w:color="auto"/>
        <w:right w:val="none" w:sz="0" w:space="0" w:color="auto"/>
      </w:divBdr>
    </w:div>
    <w:div w:id="1903056347">
      <w:bodyDiv w:val="1"/>
      <w:marLeft w:val="0"/>
      <w:marRight w:val="0"/>
      <w:marTop w:val="0"/>
      <w:marBottom w:val="0"/>
      <w:divBdr>
        <w:top w:val="none" w:sz="0" w:space="0" w:color="auto"/>
        <w:left w:val="none" w:sz="0" w:space="0" w:color="auto"/>
        <w:bottom w:val="none" w:sz="0" w:space="0" w:color="auto"/>
        <w:right w:val="none" w:sz="0" w:space="0" w:color="auto"/>
      </w:divBdr>
    </w:div>
    <w:div w:id="1927953687">
      <w:bodyDiv w:val="1"/>
      <w:marLeft w:val="0"/>
      <w:marRight w:val="0"/>
      <w:marTop w:val="0"/>
      <w:marBottom w:val="0"/>
      <w:divBdr>
        <w:top w:val="none" w:sz="0" w:space="0" w:color="auto"/>
        <w:left w:val="none" w:sz="0" w:space="0" w:color="auto"/>
        <w:bottom w:val="none" w:sz="0" w:space="0" w:color="auto"/>
        <w:right w:val="none" w:sz="0" w:space="0" w:color="auto"/>
      </w:divBdr>
    </w:div>
    <w:div w:id="1978493079">
      <w:bodyDiv w:val="1"/>
      <w:marLeft w:val="0"/>
      <w:marRight w:val="0"/>
      <w:marTop w:val="0"/>
      <w:marBottom w:val="0"/>
      <w:divBdr>
        <w:top w:val="none" w:sz="0" w:space="0" w:color="auto"/>
        <w:left w:val="none" w:sz="0" w:space="0" w:color="auto"/>
        <w:bottom w:val="none" w:sz="0" w:space="0" w:color="auto"/>
        <w:right w:val="none" w:sz="0" w:space="0" w:color="auto"/>
      </w:divBdr>
    </w:div>
    <w:div w:id="1980768164">
      <w:bodyDiv w:val="1"/>
      <w:marLeft w:val="0"/>
      <w:marRight w:val="0"/>
      <w:marTop w:val="0"/>
      <w:marBottom w:val="0"/>
      <w:divBdr>
        <w:top w:val="none" w:sz="0" w:space="0" w:color="auto"/>
        <w:left w:val="none" w:sz="0" w:space="0" w:color="auto"/>
        <w:bottom w:val="none" w:sz="0" w:space="0" w:color="auto"/>
        <w:right w:val="none" w:sz="0" w:space="0" w:color="auto"/>
      </w:divBdr>
    </w:div>
    <w:div w:id="2016882541">
      <w:bodyDiv w:val="1"/>
      <w:marLeft w:val="0"/>
      <w:marRight w:val="0"/>
      <w:marTop w:val="0"/>
      <w:marBottom w:val="0"/>
      <w:divBdr>
        <w:top w:val="none" w:sz="0" w:space="0" w:color="auto"/>
        <w:left w:val="none" w:sz="0" w:space="0" w:color="auto"/>
        <w:bottom w:val="none" w:sz="0" w:space="0" w:color="auto"/>
        <w:right w:val="none" w:sz="0" w:space="0" w:color="auto"/>
      </w:divBdr>
    </w:div>
    <w:div w:id="2052682874">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0708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A398-3BF0-4BB7-8480-2E7E77B7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9235</Words>
  <Characters>52643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2018-02-19T00:35:00Z</dcterms:created>
  <dcterms:modified xsi:type="dcterms:W3CDTF">2018-02-19T00:36:00Z</dcterms:modified>
</cp:coreProperties>
</file>