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91" w:rsidRPr="006D767C" w:rsidRDefault="00042C0C" w:rsidP="00042C0C">
      <w:pPr>
        <w:ind w:left="992" w:hanging="992"/>
        <w:outlineLvl w:val="0"/>
      </w:pPr>
      <w:bookmarkStart w:id="0" w:name="_GoBack"/>
      <w:bookmarkEnd w:id="0"/>
      <w:r w:rsidRPr="006D767C">
        <w:rPr>
          <w:b/>
          <w:sz w:val="36"/>
          <w:szCs w:val="36"/>
        </w:rPr>
        <w:t>5.02</w:t>
      </w:r>
      <w:r w:rsidRPr="006D767C">
        <w:rPr>
          <w:b/>
          <w:sz w:val="36"/>
          <w:szCs w:val="36"/>
        </w:rPr>
        <w:tab/>
        <w:t>ATEZOLIZUMAB,</w:t>
      </w:r>
      <w:r w:rsidRPr="006D767C">
        <w:rPr>
          <w:b/>
          <w:sz w:val="36"/>
          <w:szCs w:val="36"/>
        </w:rPr>
        <w:br/>
        <w:t xml:space="preserve">1200 mg / 20 mL injection, 1 x 20 mL vial, </w:t>
      </w:r>
      <w:r w:rsidRPr="006D767C">
        <w:rPr>
          <w:b/>
          <w:sz w:val="36"/>
          <w:szCs w:val="36"/>
        </w:rPr>
        <w:br/>
        <w:t>T</w:t>
      </w:r>
      <w:r w:rsidR="00794CD1" w:rsidRPr="006D767C">
        <w:rPr>
          <w:b/>
          <w:sz w:val="36"/>
          <w:szCs w:val="36"/>
        </w:rPr>
        <w:t>ecentriq</w:t>
      </w:r>
      <w:r w:rsidRPr="006D767C">
        <w:rPr>
          <w:b/>
          <w:sz w:val="36"/>
          <w:szCs w:val="36"/>
        </w:rPr>
        <w:t>®, Roche Products Pty Ltd</w:t>
      </w:r>
    </w:p>
    <w:p w:rsidR="0089504C" w:rsidRPr="006D767C" w:rsidRDefault="0089504C" w:rsidP="00E417C6">
      <w:pPr>
        <w:pStyle w:val="Heading1"/>
      </w:pPr>
      <w:bookmarkStart w:id="1" w:name="_Toc413139271"/>
      <w:bookmarkStart w:id="2" w:name="_Toc492917623"/>
      <w:r w:rsidRPr="006D767C">
        <w:t>Purpose of application</w:t>
      </w:r>
      <w:bookmarkEnd w:id="1"/>
      <w:bookmarkEnd w:id="2"/>
    </w:p>
    <w:p w:rsidR="00E417C6" w:rsidRPr="006D767C" w:rsidRDefault="00E417C6" w:rsidP="002D73C8">
      <w:pPr>
        <w:numPr>
          <w:ilvl w:val="1"/>
          <w:numId w:val="2"/>
        </w:numPr>
        <w:spacing w:before="0" w:after="120"/>
      </w:pPr>
      <w:r w:rsidRPr="006D767C">
        <w:t>Section 100 (Efficient Funding of Chemotherapy), Authority Required (STREAMLINED) listing for atezolizumab for the treatment of locally advanced or metastatic non-small cell lung cancer (NSCLC) in patients who have disease progression on or after pri</w:t>
      </w:r>
      <w:r w:rsidR="00AE0DC9" w:rsidRPr="006D767C">
        <w:t>or platinum based chemotherapy.</w:t>
      </w:r>
    </w:p>
    <w:p w:rsidR="00E417C6" w:rsidRPr="006D767C" w:rsidRDefault="00E417C6" w:rsidP="002D73C8">
      <w:pPr>
        <w:numPr>
          <w:ilvl w:val="1"/>
          <w:numId w:val="2"/>
        </w:numPr>
        <w:spacing w:before="0" w:after="120"/>
      </w:pPr>
      <w:r w:rsidRPr="006D767C">
        <w:t>The requested listing was based on a cost-minimisation analysis of atezolizumab compared with nivolumab</w:t>
      </w:r>
      <w:r w:rsidR="00AE0DC9" w:rsidRPr="006D767C">
        <w:t>.</w:t>
      </w:r>
    </w:p>
    <w:p w:rsidR="00531A12" w:rsidRPr="006D767C" w:rsidRDefault="00531A12" w:rsidP="0089504C">
      <w:pPr>
        <w:spacing w:before="0" w:after="60"/>
        <w:rPr>
          <w:rFonts w:ascii="Arial Narrow" w:hAnsi="Arial Narrow"/>
          <w:b/>
          <w:sz w:val="20"/>
          <w:szCs w:val="20"/>
        </w:rPr>
      </w:pPr>
    </w:p>
    <w:p w:rsidR="0089504C" w:rsidRPr="006D767C" w:rsidRDefault="004D4E2C" w:rsidP="0089504C">
      <w:pPr>
        <w:spacing w:before="0" w:after="60"/>
        <w:rPr>
          <w:b/>
        </w:rPr>
      </w:pPr>
      <w:r w:rsidRPr="006D767C">
        <w:rPr>
          <w:rFonts w:ascii="Arial Narrow" w:hAnsi="Arial Narrow"/>
          <w:b/>
          <w:sz w:val="20"/>
          <w:szCs w:val="20"/>
        </w:rPr>
        <w:t>Table 1</w:t>
      </w:r>
      <w:r w:rsidR="0089504C" w:rsidRPr="006D767C">
        <w:rPr>
          <w:rFonts w:ascii="Arial Narrow" w:hAnsi="Arial Narrow"/>
          <w:b/>
          <w:sz w:val="20"/>
          <w:szCs w:val="20"/>
        </w:rPr>
        <w:t>: Key components of the clinical issue addressed by the submission</w:t>
      </w:r>
      <w:r w:rsidR="0089504C" w:rsidRPr="006D767C">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58"/>
      </w:tblGrid>
      <w:tr w:rsidR="0089504C" w:rsidRPr="006D767C" w:rsidTr="00176B31">
        <w:trPr>
          <w:tblHeader/>
        </w:trPr>
        <w:tc>
          <w:tcPr>
            <w:tcW w:w="1276" w:type="dxa"/>
          </w:tcPr>
          <w:p w:rsidR="0089504C" w:rsidRPr="006D767C" w:rsidRDefault="0089504C" w:rsidP="0089504C">
            <w:pPr>
              <w:widowControl w:val="0"/>
              <w:spacing w:before="40" w:after="40"/>
              <w:rPr>
                <w:rFonts w:ascii="Arial Narrow" w:hAnsi="Arial Narrow"/>
                <w:b/>
                <w:sz w:val="20"/>
              </w:rPr>
            </w:pPr>
            <w:r w:rsidRPr="006D767C">
              <w:rPr>
                <w:rFonts w:ascii="Arial Narrow" w:hAnsi="Arial Narrow"/>
                <w:b/>
                <w:sz w:val="20"/>
              </w:rPr>
              <w:t>Component</w:t>
            </w:r>
          </w:p>
        </w:tc>
        <w:tc>
          <w:tcPr>
            <w:tcW w:w="7858" w:type="dxa"/>
          </w:tcPr>
          <w:p w:rsidR="0089504C" w:rsidRPr="006D767C" w:rsidRDefault="0089504C" w:rsidP="0089504C">
            <w:pPr>
              <w:widowControl w:val="0"/>
              <w:spacing w:before="40" w:after="40"/>
              <w:rPr>
                <w:rFonts w:ascii="Arial Narrow" w:hAnsi="Arial Narrow"/>
                <w:b/>
                <w:sz w:val="20"/>
              </w:rPr>
            </w:pPr>
            <w:r w:rsidRPr="006D767C">
              <w:rPr>
                <w:rFonts w:ascii="Arial Narrow" w:hAnsi="Arial Narrow"/>
                <w:b/>
                <w:sz w:val="20"/>
              </w:rPr>
              <w:t>Description</w:t>
            </w:r>
          </w:p>
        </w:tc>
      </w:tr>
      <w:tr w:rsidR="0089504C" w:rsidRPr="006D767C" w:rsidTr="00176B31">
        <w:tc>
          <w:tcPr>
            <w:tcW w:w="1276"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Population</w:t>
            </w:r>
          </w:p>
        </w:tc>
        <w:tc>
          <w:tcPr>
            <w:tcW w:w="7858"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 xml:space="preserve">Patients with locally advanced or metastatic NSCLC with a performance status of 0 or 1, who have progressed on or after treatment with platinum based chemotherapy </w:t>
            </w:r>
          </w:p>
        </w:tc>
      </w:tr>
      <w:tr w:rsidR="0089504C" w:rsidRPr="006D767C" w:rsidTr="00176B31">
        <w:tc>
          <w:tcPr>
            <w:tcW w:w="1276"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Intervention</w:t>
            </w:r>
          </w:p>
        </w:tc>
        <w:tc>
          <w:tcPr>
            <w:tcW w:w="7858" w:type="dxa"/>
          </w:tcPr>
          <w:p w:rsidR="0089504C" w:rsidRPr="006D767C" w:rsidRDefault="0089504C" w:rsidP="00410D22">
            <w:pPr>
              <w:widowControl w:val="0"/>
              <w:spacing w:before="40" w:after="40"/>
              <w:rPr>
                <w:rFonts w:ascii="Arial Narrow" w:hAnsi="Arial Narrow"/>
                <w:sz w:val="20"/>
              </w:rPr>
            </w:pPr>
            <w:r w:rsidRPr="006D767C">
              <w:rPr>
                <w:rFonts w:ascii="Arial Narrow" w:hAnsi="Arial Narrow"/>
                <w:sz w:val="20"/>
              </w:rPr>
              <w:t>Atezolizumab 1200 mg administered by IV infusion every three weeks until loss of clinical benefit</w:t>
            </w:r>
            <w:r w:rsidR="000B27C5" w:rsidRPr="006D767C">
              <w:rPr>
                <w:rFonts w:ascii="Arial Narrow" w:hAnsi="Arial Narrow"/>
                <w:sz w:val="20"/>
              </w:rPr>
              <w:t>*</w:t>
            </w:r>
          </w:p>
        </w:tc>
      </w:tr>
      <w:tr w:rsidR="0089504C" w:rsidRPr="006D767C" w:rsidTr="00176B31">
        <w:tc>
          <w:tcPr>
            <w:tcW w:w="1276"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Comparator</w:t>
            </w:r>
          </w:p>
        </w:tc>
        <w:tc>
          <w:tcPr>
            <w:tcW w:w="7858"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Nivolumab 3</w:t>
            </w:r>
            <w:r w:rsidR="00E55C7B" w:rsidRPr="006D767C">
              <w:rPr>
                <w:rFonts w:ascii="Arial Narrow" w:hAnsi="Arial Narrow"/>
                <w:sz w:val="20"/>
              </w:rPr>
              <w:t xml:space="preserve"> </w:t>
            </w:r>
            <w:r w:rsidRPr="006D767C">
              <w:rPr>
                <w:rFonts w:ascii="Arial Narrow" w:hAnsi="Arial Narrow"/>
                <w:sz w:val="20"/>
              </w:rPr>
              <w:t>mg/kg IV every two weeks until loss of clinical benefit*</w:t>
            </w:r>
          </w:p>
        </w:tc>
      </w:tr>
      <w:tr w:rsidR="0089504C" w:rsidRPr="006D767C" w:rsidTr="00176B31">
        <w:tc>
          <w:tcPr>
            <w:tcW w:w="1276"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Outcomes</w:t>
            </w:r>
          </w:p>
        </w:tc>
        <w:tc>
          <w:tcPr>
            <w:tcW w:w="7858" w:type="dxa"/>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Overall survival (OS)</w:t>
            </w:r>
          </w:p>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Duration of Response (DOR)</w:t>
            </w:r>
          </w:p>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Progression-free survival (PFS)^</w:t>
            </w:r>
          </w:p>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Safety</w:t>
            </w:r>
          </w:p>
        </w:tc>
      </w:tr>
      <w:tr w:rsidR="0089504C" w:rsidRPr="006D767C" w:rsidTr="00176B31">
        <w:tc>
          <w:tcPr>
            <w:tcW w:w="1276" w:type="dxa"/>
            <w:tcBorders>
              <w:bottom w:val="single" w:sz="4" w:space="0" w:color="auto"/>
            </w:tcBorders>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Clinical claim</w:t>
            </w:r>
          </w:p>
        </w:tc>
        <w:tc>
          <w:tcPr>
            <w:tcW w:w="7858" w:type="dxa"/>
            <w:tcBorders>
              <w:bottom w:val="single" w:sz="4" w:space="0" w:color="auto"/>
            </w:tcBorders>
          </w:tcPr>
          <w:p w:rsidR="0089504C" w:rsidRPr="006D767C" w:rsidRDefault="0089504C" w:rsidP="0089504C">
            <w:pPr>
              <w:widowControl w:val="0"/>
              <w:spacing w:before="40" w:after="40"/>
              <w:rPr>
                <w:rFonts w:ascii="Arial Narrow" w:hAnsi="Arial Narrow"/>
                <w:sz w:val="20"/>
              </w:rPr>
            </w:pPr>
            <w:r w:rsidRPr="006D767C">
              <w:rPr>
                <w:rFonts w:ascii="Arial Narrow" w:hAnsi="Arial Narrow"/>
                <w:sz w:val="20"/>
              </w:rPr>
              <w:t xml:space="preserve">Atezolizumab is non-inferior to nivolumab in terms of efficacy and safety in the treatment of locally advanced or metastatic NSCLC patients who have progressed on or after platinum-based chemotherapy. </w:t>
            </w:r>
          </w:p>
        </w:tc>
      </w:tr>
    </w:tbl>
    <w:p w:rsidR="00E417C6" w:rsidRPr="006D767C" w:rsidRDefault="00E417C6" w:rsidP="00E417C6">
      <w:pPr>
        <w:widowControl w:val="0"/>
        <w:spacing w:before="0" w:after="120"/>
        <w:ind w:left="709" w:hanging="709"/>
        <w:contextualSpacing/>
        <w:rPr>
          <w:rFonts w:ascii="Arial Narrow" w:eastAsia="Times New Roman" w:hAnsi="Arial Narrow" w:cs="Arial"/>
          <w:snapToGrid w:val="0"/>
          <w:sz w:val="18"/>
          <w:szCs w:val="20"/>
        </w:rPr>
      </w:pPr>
      <w:r w:rsidRPr="006D767C">
        <w:rPr>
          <w:rFonts w:ascii="Arial Narrow" w:eastAsia="Times New Roman" w:hAnsi="Arial Narrow" w:cs="Arial"/>
          <w:snapToGrid w:val="0"/>
          <w:sz w:val="18"/>
          <w:szCs w:val="20"/>
        </w:rPr>
        <w:t>NSCLC</w:t>
      </w:r>
      <w:r w:rsidR="00B1543B" w:rsidRPr="006D767C">
        <w:rPr>
          <w:rFonts w:ascii="Arial Narrow" w:eastAsia="Times New Roman" w:hAnsi="Arial Narrow" w:cs="Arial"/>
          <w:snapToGrid w:val="0"/>
          <w:sz w:val="18"/>
          <w:szCs w:val="20"/>
        </w:rPr>
        <w:t xml:space="preserve"> </w:t>
      </w:r>
      <w:r w:rsidR="00230315" w:rsidRPr="006D767C">
        <w:rPr>
          <w:rFonts w:ascii="Arial Narrow" w:eastAsia="Times New Roman" w:hAnsi="Arial Narrow" w:cs="Arial"/>
          <w:snapToGrid w:val="0"/>
          <w:sz w:val="18"/>
          <w:szCs w:val="20"/>
        </w:rPr>
        <w:t>=</w:t>
      </w:r>
      <w:r w:rsidR="00B1543B" w:rsidRPr="006D767C">
        <w:rPr>
          <w:rFonts w:ascii="Arial Narrow" w:eastAsia="Times New Roman" w:hAnsi="Arial Narrow" w:cs="Arial"/>
          <w:snapToGrid w:val="0"/>
          <w:sz w:val="18"/>
          <w:szCs w:val="20"/>
        </w:rPr>
        <w:t xml:space="preserve"> </w:t>
      </w:r>
      <w:r w:rsidR="00230315" w:rsidRPr="006D767C">
        <w:rPr>
          <w:rFonts w:ascii="Arial Narrow" w:eastAsia="Times New Roman" w:hAnsi="Arial Narrow" w:cs="Arial"/>
          <w:snapToGrid w:val="0"/>
          <w:sz w:val="18"/>
          <w:szCs w:val="20"/>
        </w:rPr>
        <w:t>non-small cell lung cancer; IV</w:t>
      </w:r>
      <w:r w:rsidR="00B1543B" w:rsidRPr="006D767C">
        <w:rPr>
          <w:rFonts w:ascii="Arial Narrow" w:eastAsia="Times New Roman" w:hAnsi="Arial Narrow" w:cs="Arial"/>
          <w:snapToGrid w:val="0"/>
          <w:sz w:val="18"/>
          <w:szCs w:val="20"/>
        </w:rPr>
        <w:t xml:space="preserve"> </w:t>
      </w:r>
      <w:r w:rsidRPr="006D767C">
        <w:rPr>
          <w:rFonts w:ascii="Arial Narrow" w:eastAsia="Times New Roman" w:hAnsi="Arial Narrow" w:cs="Arial"/>
          <w:snapToGrid w:val="0"/>
          <w:sz w:val="18"/>
          <w:szCs w:val="20"/>
        </w:rPr>
        <w:t>=</w:t>
      </w:r>
      <w:r w:rsidR="00B1543B" w:rsidRPr="006D767C">
        <w:rPr>
          <w:rFonts w:ascii="Arial Narrow" w:eastAsia="Times New Roman" w:hAnsi="Arial Narrow" w:cs="Arial"/>
          <w:snapToGrid w:val="0"/>
          <w:sz w:val="18"/>
          <w:szCs w:val="20"/>
        </w:rPr>
        <w:t xml:space="preserve"> </w:t>
      </w:r>
      <w:r w:rsidRPr="006D767C">
        <w:rPr>
          <w:rFonts w:ascii="Arial Narrow" w:eastAsia="Times New Roman" w:hAnsi="Arial Narrow" w:cs="Arial"/>
          <w:snapToGrid w:val="0"/>
          <w:sz w:val="18"/>
          <w:szCs w:val="20"/>
        </w:rPr>
        <w:t>intravenous</w:t>
      </w:r>
      <w:r w:rsidR="00230315" w:rsidRPr="006D767C">
        <w:rPr>
          <w:rFonts w:ascii="Arial Narrow" w:eastAsia="Times New Roman" w:hAnsi="Arial Narrow" w:cs="Arial"/>
          <w:snapToGrid w:val="0"/>
          <w:sz w:val="18"/>
          <w:szCs w:val="20"/>
        </w:rPr>
        <w:t>.</w:t>
      </w:r>
    </w:p>
    <w:p w:rsidR="00E417C6" w:rsidRPr="006D767C" w:rsidRDefault="00E417C6" w:rsidP="00E417C6">
      <w:pPr>
        <w:widowControl w:val="0"/>
        <w:spacing w:before="0" w:after="120"/>
        <w:contextualSpacing/>
        <w:rPr>
          <w:rFonts w:ascii="Arial Narrow" w:eastAsia="Times New Roman" w:hAnsi="Arial Narrow" w:cs="Arial"/>
          <w:snapToGrid w:val="0"/>
          <w:sz w:val="18"/>
          <w:szCs w:val="20"/>
        </w:rPr>
      </w:pPr>
      <w:r w:rsidRPr="006D767C">
        <w:rPr>
          <w:rFonts w:ascii="Arial Narrow" w:eastAsia="Times New Roman" w:hAnsi="Arial Narrow" w:cs="Arial"/>
          <w:snapToGrid w:val="0"/>
          <w:sz w:val="18"/>
          <w:szCs w:val="20"/>
        </w:rPr>
        <w:t>*</w:t>
      </w:r>
      <w:r w:rsidR="00E55C7B" w:rsidRPr="006D767C">
        <w:rPr>
          <w:rFonts w:ascii="Arial Narrow" w:eastAsia="Times New Roman" w:hAnsi="Arial Narrow" w:cs="Arial"/>
          <w:snapToGrid w:val="0"/>
          <w:sz w:val="18"/>
          <w:szCs w:val="20"/>
        </w:rPr>
        <w:t xml:space="preserve"> </w:t>
      </w:r>
      <w:r w:rsidRPr="006D767C">
        <w:rPr>
          <w:rFonts w:ascii="Arial Narrow" w:eastAsia="Times New Roman" w:hAnsi="Arial Narrow" w:cs="Arial"/>
          <w:snapToGrid w:val="0"/>
          <w:sz w:val="18"/>
          <w:szCs w:val="20"/>
        </w:rPr>
        <w:t>Loss of clinical benefit is defined in proposed PBS restrictions for atezolizumab and nivolumab as patients who no longer have stable or responding disease.</w:t>
      </w:r>
    </w:p>
    <w:p w:rsidR="00E417C6" w:rsidRPr="006D767C" w:rsidRDefault="00E417C6" w:rsidP="00E417C6">
      <w:pPr>
        <w:widowControl w:val="0"/>
        <w:spacing w:before="0" w:after="0"/>
        <w:contextualSpacing/>
        <w:rPr>
          <w:rFonts w:ascii="Arial Narrow" w:eastAsia="Times New Roman" w:hAnsi="Arial Narrow" w:cs="Arial"/>
          <w:snapToGrid w:val="0"/>
          <w:sz w:val="18"/>
          <w:szCs w:val="20"/>
        </w:rPr>
      </w:pPr>
      <w:r w:rsidRPr="006D767C">
        <w:rPr>
          <w:rFonts w:ascii="Arial Narrow" w:eastAsia="Times New Roman" w:hAnsi="Arial Narrow" w:cs="Arial"/>
          <w:snapToGrid w:val="0"/>
          <w:sz w:val="18"/>
          <w:szCs w:val="20"/>
        </w:rPr>
        <w:t>^ The submission indicated that PFS as measured by RECIST 1.1 may not be adequate to characterise the anti-tumour activity of immunotherapeutic agents like atezolizumab, which can produce delayed responses that may be preceded by initial apparent radiological progression, including the appearance of new lesions.</w:t>
      </w:r>
    </w:p>
    <w:p w:rsidR="0089504C" w:rsidRPr="006D767C" w:rsidRDefault="00E417C6" w:rsidP="00790A75">
      <w:pPr>
        <w:spacing w:before="0" w:after="60"/>
        <w:rPr>
          <w:rFonts w:ascii="Arial Narrow" w:hAnsi="Arial Narrow" w:cs="Arial"/>
          <w:sz w:val="18"/>
          <w:szCs w:val="18"/>
        </w:rPr>
      </w:pPr>
      <w:r w:rsidRPr="006D767C">
        <w:rPr>
          <w:rFonts w:ascii="Arial Narrow" w:eastAsia="Times New Roman" w:hAnsi="Arial Narrow" w:cs="Arial"/>
          <w:snapToGrid w:val="0"/>
          <w:sz w:val="18"/>
          <w:szCs w:val="20"/>
        </w:rPr>
        <w:t>Source: Table 1.1.1, Section 1 of the submission</w:t>
      </w:r>
      <w:r w:rsidR="00F42A62" w:rsidRPr="006D767C">
        <w:rPr>
          <w:rFonts w:ascii="Arial Narrow" w:eastAsia="Times New Roman" w:hAnsi="Arial Narrow" w:cs="Arial"/>
          <w:snapToGrid w:val="0"/>
          <w:sz w:val="18"/>
          <w:szCs w:val="20"/>
        </w:rPr>
        <w:t>.</w:t>
      </w:r>
    </w:p>
    <w:p w:rsidR="00A1086F" w:rsidRPr="006D767C" w:rsidRDefault="0089504C" w:rsidP="00A1086F">
      <w:pPr>
        <w:pStyle w:val="Heading1"/>
      </w:pPr>
      <w:bookmarkStart w:id="3" w:name="_Toc413139272"/>
      <w:bookmarkStart w:id="4" w:name="_Toc492917624"/>
      <w:r w:rsidRPr="006D767C">
        <w:t>Requested listing</w:t>
      </w:r>
      <w:bookmarkEnd w:id="3"/>
      <w:bookmarkEnd w:id="4"/>
    </w:p>
    <w:p w:rsidR="00531A12" w:rsidRPr="001608E0" w:rsidRDefault="00531A12" w:rsidP="002D73C8">
      <w:pPr>
        <w:pStyle w:val="ListParagraph"/>
        <w:numPr>
          <w:ilvl w:val="1"/>
          <w:numId w:val="1"/>
        </w:numPr>
        <w:rPr>
          <w:szCs w:val="24"/>
        </w:rPr>
      </w:pPr>
      <w:r w:rsidRPr="001608E0">
        <w:rPr>
          <w:szCs w:val="24"/>
        </w:rPr>
        <w:t>Suggestions and additions are in italics</w:t>
      </w:r>
      <w:r w:rsidRPr="001608E0">
        <w:rPr>
          <w:i/>
          <w:szCs w:val="24"/>
        </w:rPr>
        <w:t xml:space="preserve"> </w:t>
      </w:r>
      <w:r w:rsidRPr="001608E0">
        <w:rPr>
          <w:szCs w:val="24"/>
        </w:rPr>
        <w:t>and deletions are in strikethrough.</w:t>
      </w:r>
    </w:p>
    <w:p w:rsidR="00256A09" w:rsidRDefault="00256A09">
      <w:pPr>
        <w:spacing w:before="0" w:line="259" w:lineRule="auto"/>
        <w:jc w:val="left"/>
      </w:pPr>
      <w:r>
        <w:br w:type="page"/>
      </w:r>
    </w:p>
    <w:p w:rsidR="00531A12" w:rsidRPr="006D767C" w:rsidRDefault="00531A12" w:rsidP="00531A12">
      <w:pPr>
        <w:spacing w:before="0" w:after="0"/>
      </w:pPr>
    </w:p>
    <w:tbl>
      <w:tblPr>
        <w:tblW w:w="8364" w:type="dxa"/>
        <w:tblInd w:w="108" w:type="dxa"/>
        <w:tblLayout w:type="fixed"/>
        <w:tblLook w:val="0000" w:firstRow="0" w:lastRow="0" w:firstColumn="0" w:lastColumn="0" w:noHBand="0" w:noVBand="0"/>
      </w:tblPr>
      <w:tblGrid>
        <w:gridCol w:w="2410"/>
        <w:gridCol w:w="851"/>
        <w:gridCol w:w="708"/>
        <w:gridCol w:w="2410"/>
        <w:gridCol w:w="992"/>
        <w:gridCol w:w="993"/>
      </w:tblGrid>
      <w:tr w:rsidR="00531A12" w:rsidRPr="006D767C" w:rsidTr="0076659D">
        <w:trPr>
          <w:cantSplit/>
          <w:trHeight w:val="471"/>
        </w:trPr>
        <w:tc>
          <w:tcPr>
            <w:tcW w:w="2410" w:type="dxa"/>
            <w:tcBorders>
              <w:bottom w:val="single" w:sz="4" w:space="0" w:color="auto"/>
            </w:tcBorders>
            <w:vAlign w:val="center"/>
          </w:tcPr>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Name, Restriction,</w:t>
            </w:r>
          </w:p>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Manner of administration and form</w:t>
            </w:r>
          </w:p>
        </w:tc>
        <w:tc>
          <w:tcPr>
            <w:tcW w:w="851" w:type="dxa"/>
            <w:tcBorders>
              <w:bottom w:val="single" w:sz="4" w:space="0" w:color="auto"/>
            </w:tcBorders>
            <w:vAlign w:val="center"/>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Max.</w:t>
            </w:r>
            <w:r w:rsidRPr="006D767C">
              <w:rPr>
                <w:rFonts w:ascii="Arial Narrow" w:hAnsi="Arial Narrow" w:cstheme="minorHAnsi"/>
                <w:sz w:val="20"/>
              </w:rPr>
              <w:br/>
              <w:t>amount</w:t>
            </w:r>
          </w:p>
        </w:tc>
        <w:tc>
          <w:tcPr>
            <w:tcW w:w="708" w:type="dxa"/>
            <w:tcBorders>
              <w:bottom w:val="single" w:sz="4" w:space="0" w:color="auto"/>
            </w:tcBorders>
            <w:vAlign w:val="center"/>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№.of</w:t>
            </w:r>
            <w:r w:rsidRPr="006D767C">
              <w:rPr>
                <w:rFonts w:ascii="Arial Narrow" w:hAnsi="Arial Narrow" w:cstheme="minorHAnsi"/>
                <w:sz w:val="20"/>
              </w:rPr>
              <w:br/>
              <w:t>Rpts</w:t>
            </w:r>
          </w:p>
        </w:tc>
        <w:tc>
          <w:tcPr>
            <w:tcW w:w="2410" w:type="dxa"/>
            <w:tcBorders>
              <w:bottom w:val="single" w:sz="4" w:space="0" w:color="auto"/>
            </w:tcBorders>
            <w:vAlign w:val="center"/>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sz w:val="20"/>
              </w:rPr>
              <w:t>Dispensed Price for Max. Amount</w:t>
            </w:r>
          </w:p>
        </w:tc>
        <w:tc>
          <w:tcPr>
            <w:tcW w:w="1985" w:type="dxa"/>
            <w:gridSpan w:val="2"/>
            <w:tcBorders>
              <w:bottom w:val="single" w:sz="4" w:space="0" w:color="auto"/>
            </w:tcBorders>
            <w:vAlign w:val="center"/>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sz w:val="20"/>
              </w:rPr>
              <w:t>Proprietary Name and Manufacturer</w:t>
            </w:r>
          </w:p>
        </w:tc>
      </w:tr>
      <w:tr w:rsidR="00531A12" w:rsidRPr="006D767C" w:rsidTr="0076659D">
        <w:trPr>
          <w:cantSplit/>
          <w:trHeight w:val="577"/>
        </w:trPr>
        <w:tc>
          <w:tcPr>
            <w:tcW w:w="2410" w:type="dxa"/>
            <w:tcBorders>
              <w:top w:val="single" w:sz="4" w:space="0" w:color="auto"/>
            </w:tcBorders>
          </w:tcPr>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atezolizumab, 1200 mg/20 mL injection, 20 mL vial, 1</w:t>
            </w:r>
          </w:p>
        </w:tc>
        <w:tc>
          <w:tcPr>
            <w:tcW w:w="851" w:type="dxa"/>
            <w:tcBorders>
              <w:top w:val="single" w:sz="4" w:space="0" w:color="auto"/>
            </w:tcBorders>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1200 mg</w:t>
            </w:r>
          </w:p>
        </w:tc>
        <w:tc>
          <w:tcPr>
            <w:tcW w:w="708" w:type="dxa"/>
            <w:tcBorders>
              <w:top w:val="single" w:sz="4" w:space="0" w:color="auto"/>
            </w:tcBorders>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5</w:t>
            </w:r>
          </w:p>
        </w:tc>
        <w:tc>
          <w:tcPr>
            <w:tcW w:w="2410" w:type="dxa"/>
            <w:tcBorders>
              <w:top w:val="single" w:sz="4" w:space="0" w:color="auto"/>
            </w:tcBorders>
          </w:tcPr>
          <w:p w:rsidR="00531A12" w:rsidRPr="006D767C" w:rsidRDefault="00531A12" w:rsidP="0076659D">
            <w:pPr>
              <w:keepNext/>
              <w:spacing w:before="0" w:after="0"/>
              <w:ind w:left="-108"/>
              <w:jc w:val="center"/>
              <w:rPr>
                <w:rFonts w:ascii="Arial Narrow" w:hAnsi="Arial Narrow"/>
                <w:sz w:val="20"/>
              </w:rPr>
            </w:pPr>
            <w:r w:rsidRPr="006D767C">
              <w:rPr>
                <w:rFonts w:ascii="Arial Narrow" w:hAnsi="Arial Narrow"/>
                <w:sz w:val="20"/>
              </w:rPr>
              <w:t>$</w:t>
            </w:r>
            <w:r w:rsidR="002041B0">
              <w:rPr>
                <w:rFonts w:ascii="Arial Narrow" w:hAnsi="Arial Narrow" w:cs="Arial Narrow"/>
                <w:noProof/>
                <w:color w:val="000000"/>
                <w:sz w:val="20"/>
                <w:highlight w:val="black"/>
              </w:rPr>
              <w:t>'''''''''''''''''''''''</w:t>
            </w:r>
            <w:r w:rsidRPr="006D767C">
              <w:rPr>
                <w:rFonts w:ascii="Arial Narrow" w:hAnsi="Arial Narrow"/>
                <w:sz w:val="20"/>
              </w:rPr>
              <w:t xml:space="preserve"> (Public, published)</w:t>
            </w:r>
          </w:p>
          <w:p w:rsidR="00531A12" w:rsidRPr="006D767C" w:rsidRDefault="00531A12" w:rsidP="0076659D">
            <w:pPr>
              <w:keepNext/>
              <w:spacing w:before="0" w:after="0"/>
              <w:ind w:left="-108"/>
              <w:jc w:val="center"/>
              <w:rPr>
                <w:rFonts w:ascii="Arial Narrow" w:hAnsi="Arial Narrow"/>
                <w:sz w:val="20"/>
              </w:rPr>
            </w:pPr>
            <w:r w:rsidRPr="006D767C">
              <w:rPr>
                <w:rFonts w:ascii="Arial Narrow" w:hAnsi="Arial Narrow"/>
                <w:sz w:val="20"/>
              </w:rPr>
              <w:t>$</w:t>
            </w:r>
            <w:r w:rsidR="002041B0">
              <w:rPr>
                <w:rFonts w:ascii="Arial Narrow" w:hAnsi="Arial Narrow" w:cs="Arial Narrow"/>
                <w:noProof/>
                <w:color w:val="000000"/>
                <w:sz w:val="20"/>
                <w:highlight w:val="black"/>
              </w:rPr>
              <w:t>'''''''''''''''''''</w:t>
            </w:r>
            <w:r w:rsidRPr="006D767C">
              <w:rPr>
                <w:rFonts w:ascii="Arial Narrow" w:hAnsi="Arial Narrow"/>
                <w:sz w:val="20"/>
              </w:rPr>
              <w:t xml:space="preserve"> (Private, published)</w:t>
            </w:r>
          </w:p>
          <w:p w:rsidR="00531A12" w:rsidRPr="006D767C" w:rsidRDefault="00531A12" w:rsidP="0076659D">
            <w:pPr>
              <w:keepNext/>
              <w:spacing w:before="0" w:after="0"/>
              <w:ind w:left="-108"/>
              <w:jc w:val="center"/>
              <w:rPr>
                <w:rFonts w:ascii="Arial Narrow" w:hAnsi="Arial Narrow"/>
                <w:i/>
                <w:sz w:val="20"/>
              </w:rPr>
            </w:pPr>
            <w:r w:rsidRPr="006D767C">
              <w:rPr>
                <w:rFonts w:ascii="Arial Narrow" w:hAnsi="Arial Narrow"/>
                <w:i/>
                <w:sz w:val="20"/>
              </w:rPr>
              <w:t>Effective prices to be confirmed</w:t>
            </w:r>
          </w:p>
          <w:p w:rsidR="00531A12" w:rsidRPr="006D767C" w:rsidRDefault="00531A12" w:rsidP="0076659D">
            <w:pPr>
              <w:keepNext/>
              <w:spacing w:before="0" w:after="0"/>
              <w:ind w:left="-108"/>
              <w:jc w:val="center"/>
              <w:rPr>
                <w:rFonts w:ascii="Arial Narrow" w:hAnsi="Arial Narrow" w:cstheme="minorHAnsi"/>
                <w:sz w:val="20"/>
              </w:rPr>
            </w:pPr>
          </w:p>
        </w:tc>
        <w:tc>
          <w:tcPr>
            <w:tcW w:w="992" w:type="dxa"/>
            <w:tcBorders>
              <w:top w:val="single" w:sz="4" w:space="0" w:color="auto"/>
            </w:tcBorders>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cstheme="minorHAnsi"/>
                <w:sz w:val="20"/>
              </w:rPr>
              <w:t>Tecentriq</w:t>
            </w:r>
          </w:p>
        </w:tc>
        <w:tc>
          <w:tcPr>
            <w:tcW w:w="993" w:type="dxa"/>
            <w:tcBorders>
              <w:top w:val="single" w:sz="4" w:space="0" w:color="auto"/>
            </w:tcBorders>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cstheme="minorHAnsi"/>
                <w:sz w:val="20"/>
              </w:rPr>
              <w:t>Roche Products Pty Ltd</w:t>
            </w:r>
          </w:p>
        </w:tc>
      </w:tr>
      <w:tr w:rsidR="00531A12" w:rsidRPr="006D767C" w:rsidTr="0076659D">
        <w:trPr>
          <w:cantSplit/>
          <w:trHeight w:val="65"/>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Category / Program:</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Section 100 – Efficient Funding of Chemotherapy</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sz w:val="20"/>
              </w:rPr>
            </w:pPr>
            <w:r w:rsidRPr="006D767C">
              <w:rPr>
                <w:rFonts w:ascii="Arial Narrow" w:hAnsi="Arial Narrow"/>
                <w:sz w:val="20"/>
              </w:rPr>
              <w:fldChar w:fldCharType="begin">
                <w:ffData>
                  <w:name w:val="Check1"/>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Dental  </w:t>
            </w:r>
            <w:r w:rsidRPr="006D767C">
              <w:rPr>
                <w:rFonts w:ascii="Arial Narrow" w:hAnsi="Arial Narrow"/>
                <w:sz w:val="20"/>
              </w:rPr>
              <w:fldChar w:fldCharType="begin">
                <w:ffData>
                  <w:name w:val=""/>
                  <w:enabled/>
                  <w:calcOnExit w:val="0"/>
                  <w:checkBox>
                    <w:sizeAuto/>
                    <w:default w:val="1"/>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Medical Practitioners  </w:t>
            </w:r>
            <w:r w:rsidRPr="006D767C">
              <w:rPr>
                <w:rFonts w:ascii="Arial Narrow" w:hAnsi="Arial Narrow"/>
                <w:sz w:val="20"/>
              </w:rPr>
              <w:fldChar w:fldCharType="begin">
                <w:ffData>
                  <w:name w:val="Check3"/>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Nurse practitioners  </w:t>
            </w:r>
            <w:r w:rsidRPr="006D767C">
              <w:rPr>
                <w:rFonts w:ascii="Arial Narrow" w:hAnsi="Arial Narrow"/>
                <w:sz w:val="20"/>
              </w:rPr>
              <w:fldChar w:fldCharType="begin">
                <w:ffData>
                  <w:name w:val=""/>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Optometrists</w:t>
            </w:r>
          </w:p>
          <w:p w:rsidR="00531A12" w:rsidRPr="006D767C" w:rsidRDefault="00531A12" w:rsidP="0076659D">
            <w:pPr>
              <w:spacing w:before="0" w:after="0"/>
              <w:rPr>
                <w:rFonts w:ascii="Arial Narrow" w:eastAsia="Calibri" w:hAnsi="Arial Narrow" w:cstheme="minorHAnsi"/>
                <w:sz w:val="20"/>
              </w:rPr>
            </w:pPr>
            <w:r w:rsidRPr="006D767C">
              <w:rPr>
                <w:rFonts w:ascii="Arial Narrow" w:hAnsi="Arial Narrow"/>
                <w:sz w:val="20"/>
              </w:rPr>
              <w:fldChar w:fldCharType="begin">
                <w:ffData>
                  <w:name w:val="Check5"/>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Midwives</w:t>
            </w:r>
          </w:p>
        </w:tc>
      </w:tr>
      <w:tr w:rsidR="00531A12" w:rsidRPr="006D767C" w:rsidTr="0076659D">
        <w:trPr>
          <w:cantSplit/>
          <w:trHeight w:val="263"/>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w:t>
            </w:r>
          </w:p>
        </w:tc>
      </w:tr>
      <w:tr w:rsidR="00531A12" w:rsidRPr="006D767C" w:rsidTr="0076659D">
        <w:trPr>
          <w:cantSplit/>
          <w:trHeight w:val="169"/>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t>Non-small cell lung cancer (NSCLC)</w:t>
            </w:r>
          </w:p>
        </w:tc>
      </w:tr>
      <w:tr w:rsidR="00531A12" w:rsidRPr="006D767C" w:rsidTr="0076659D">
        <w:trPr>
          <w:cantSplit/>
          <w:trHeight w:val="217"/>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 xml:space="preserve">PBS Indication: </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 NSCLC</w:t>
            </w:r>
          </w:p>
        </w:tc>
      </w:tr>
      <w:tr w:rsidR="00531A12" w:rsidRPr="006D767C" w:rsidTr="0076659D">
        <w:trPr>
          <w:cantSplit/>
          <w:trHeight w:val="137"/>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i/>
                <w:sz w:val="20"/>
              </w:rPr>
              <w:t>Initial treatment</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b/>
                <w:sz w:val="20"/>
              </w:rPr>
              <w:t>Restriction:</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Check1"/>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Restricted benefit</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In Writing</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Check3"/>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Telephone</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Emergency</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Check5"/>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Electronic</w:t>
            </w:r>
          </w:p>
          <w:p w:rsidR="00531A12" w:rsidRPr="006D767C" w:rsidRDefault="00531A12" w:rsidP="0076659D">
            <w:pPr>
              <w:spacing w:before="0" w:after="0"/>
              <w:rPr>
                <w:rFonts w:ascii="Arial Narrow" w:hAnsi="Arial Narrow" w:cstheme="minorHAnsi"/>
                <w:i/>
                <w:sz w:val="20"/>
              </w:rPr>
            </w:pPr>
            <w:r w:rsidRPr="006D767C">
              <w:rPr>
                <w:rFonts w:ascii="Arial Narrow" w:hAnsi="Arial Narrow" w:cstheme="minorHAnsi"/>
                <w:sz w:val="20"/>
              </w:rPr>
              <w:fldChar w:fldCharType="begin">
                <w:ffData>
                  <w:name w:val="Check5"/>
                  <w:enabled/>
                  <w:calcOnExit w:val="0"/>
                  <w:checkBox>
                    <w:sizeAuto/>
                    <w:default w:val="1"/>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Streamlined</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b/>
                <w:sz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Patient must not have received prior treatment with a PD-1 (programmed cell death-1) inhibitor for this condition</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Patient must have a</w:t>
            </w:r>
            <w:r w:rsidRPr="006D767C">
              <w:rPr>
                <w:rFonts w:ascii="Arial Narrow" w:eastAsia="Calibri" w:hAnsi="Arial Narrow" w:cstheme="minorHAnsi"/>
                <w:strike/>
                <w:sz w:val="20"/>
              </w:rPr>
              <w:t xml:space="preserve"> ECOG</w:t>
            </w:r>
            <w:r w:rsidRPr="006D767C">
              <w:rPr>
                <w:rFonts w:ascii="Arial Narrow" w:eastAsia="Calibri" w:hAnsi="Arial Narrow" w:cstheme="minorHAnsi"/>
                <w:sz w:val="20"/>
              </w:rPr>
              <w:t xml:space="preserve"> </w:t>
            </w:r>
            <w:r w:rsidRPr="006D767C">
              <w:rPr>
                <w:rFonts w:ascii="Arial Narrow" w:eastAsia="Calibri" w:hAnsi="Arial Narrow" w:cstheme="minorHAnsi"/>
                <w:i/>
                <w:sz w:val="20"/>
              </w:rPr>
              <w:t xml:space="preserve">WHO </w:t>
            </w:r>
            <w:r w:rsidRPr="006D767C">
              <w:rPr>
                <w:rFonts w:ascii="Arial Narrow" w:eastAsia="Calibri" w:hAnsi="Arial Narrow" w:cstheme="minorHAnsi"/>
                <w:sz w:val="20"/>
              </w:rPr>
              <w:t>performance status of 0 or 1</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The treatment must be the sole PBS-subsidised therapy for this condition</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hAnsi="Arial Narrow" w:cstheme="minorHAnsi"/>
                <w:i/>
                <w:sz w:val="20"/>
              </w:rPr>
            </w:pPr>
            <w:r w:rsidRPr="006D767C">
              <w:rPr>
                <w:rFonts w:ascii="Arial Narrow" w:eastAsia="Calibri" w:hAnsi="Arial Narrow" w:cstheme="minorHAnsi"/>
                <w:sz w:val="20"/>
              </w:rPr>
              <w:t>The condition must have progressed on or after prior platinum based chemotherapy.</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vAlign w:val="center"/>
          </w:tcPr>
          <w:p w:rsidR="00531A12" w:rsidRPr="006D767C" w:rsidRDefault="00531A12" w:rsidP="0076659D">
            <w:pPr>
              <w:spacing w:before="0" w:after="0"/>
              <w:rPr>
                <w:rFonts w:ascii="Arial Narrow" w:hAnsi="Arial Narrow" w:cstheme="minorHAnsi"/>
                <w:i/>
                <w:sz w:val="20"/>
              </w:rPr>
            </w:pPr>
            <w:r w:rsidRPr="006D767C">
              <w:rPr>
                <w:rFonts w:ascii="Arial Narrow" w:hAnsi="Arial Narrow" w:cstheme="minorHAnsi"/>
                <w:b/>
                <w:sz w:val="20"/>
              </w:rPr>
              <w:t>Administrative Advice</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i/>
                <w:sz w:val="20"/>
              </w:rPr>
              <w:t>No increase in the maximum number of repeats may be authorised.</w:t>
            </w:r>
          </w:p>
          <w:p w:rsidR="00531A12" w:rsidRPr="006D767C" w:rsidRDefault="00531A12" w:rsidP="0076659D">
            <w:pPr>
              <w:spacing w:before="0" w:after="0"/>
              <w:rPr>
                <w:rFonts w:ascii="Arial Narrow" w:hAnsi="Arial Narrow" w:cstheme="minorHAnsi"/>
                <w:i/>
                <w:sz w:val="20"/>
              </w:rPr>
            </w:pPr>
            <w:r w:rsidRPr="006D767C">
              <w:rPr>
                <w:rFonts w:ascii="Arial Narrow" w:eastAsia="Calibri" w:hAnsi="Arial Narrow" w:cstheme="minorHAnsi"/>
                <w:i/>
                <w:sz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256A09" w:rsidRDefault="00256A09" w:rsidP="00531A12">
      <w:pPr>
        <w:spacing w:before="0" w:after="0"/>
      </w:pPr>
    </w:p>
    <w:p w:rsidR="00256A09" w:rsidRDefault="00256A09">
      <w:pPr>
        <w:spacing w:before="0" w:line="259" w:lineRule="auto"/>
        <w:jc w:val="left"/>
      </w:pPr>
      <w:r>
        <w:br w:type="page"/>
      </w:r>
    </w:p>
    <w:p w:rsidR="00531A12" w:rsidRPr="006D767C" w:rsidRDefault="00531A12" w:rsidP="00531A12">
      <w:pPr>
        <w:spacing w:before="0" w:after="0"/>
      </w:pPr>
    </w:p>
    <w:tbl>
      <w:tblPr>
        <w:tblW w:w="8364" w:type="dxa"/>
        <w:tblInd w:w="108" w:type="dxa"/>
        <w:tblLayout w:type="fixed"/>
        <w:tblLook w:val="0000" w:firstRow="0" w:lastRow="0" w:firstColumn="0" w:lastColumn="0" w:noHBand="0" w:noVBand="0"/>
      </w:tblPr>
      <w:tblGrid>
        <w:gridCol w:w="2410"/>
        <w:gridCol w:w="851"/>
        <w:gridCol w:w="708"/>
        <w:gridCol w:w="2410"/>
        <w:gridCol w:w="992"/>
        <w:gridCol w:w="993"/>
      </w:tblGrid>
      <w:tr w:rsidR="00531A12" w:rsidRPr="006D767C" w:rsidTr="0076659D">
        <w:trPr>
          <w:cantSplit/>
          <w:trHeight w:val="471"/>
        </w:trPr>
        <w:tc>
          <w:tcPr>
            <w:tcW w:w="2410" w:type="dxa"/>
            <w:tcBorders>
              <w:bottom w:val="single" w:sz="4" w:space="0" w:color="auto"/>
            </w:tcBorders>
            <w:vAlign w:val="center"/>
          </w:tcPr>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Name, Restriction,</w:t>
            </w:r>
          </w:p>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Manner of administration and form</w:t>
            </w:r>
          </w:p>
        </w:tc>
        <w:tc>
          <w:tcPr>
            <w:tcW w:w="851" w:type="dxa"/>
            <w:tcBorders>
              <w:bottom w:val="single" w:sz="4" w:space="0" w:color="auto"/>
            </w:tcBorders>
            <w:vAlign w:val="center"/>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Max.</w:t>
            </w:r>
            <w:r w:rsidRPr="006D767C">
              <w:rPr>
                <w:rFonts w:ascii="Arial Narrow" w:hAnsi="Arial Narrow" w:cstheme="minorHAnsi"/>
                <w:sz w:val="20"/>
              </w:rPr>
              <w:br/>
              <w:t>amount</w:t>
            </w:r>
          </w:p>
        </w:tc>
        <w:tc>
          <w:tcPr>
            <w:tcW w:w="708" w:type="dxa"/>
            <w:tcBorders>
              <w:bottom w:val="single" w:sz="4" w:space="0" w:color="auto"/>
            </w:tcBorders>
            <w:vAlign w:val="center"/>
          </w:tcPr>
          <w:p w:rsidR="00531A12" w:rsidRPr="006D767C" w:rsidRDefault="00531A12" w:rsidP="0076659D">
            <w:pPr>
              <w:keepNext/>
              <w:spacing w:before="0" w:after="0"/>
              <w:ind w:left="34"/>
              <w:jc w:val="center"/>
              <w:rPr>
                <w:rFonts w:ascii="Arial Narrow" w:hAnsi="Arial Narrow" w:cstheme="minorHAnsi"/>
                <w:sz w:val="20"/>
              </w:rPr>
            </w:pPr>
            <w:r w:rsidRPr="006D767C">
              <w:rPr>
                <w:rFonts w:ascii="Arial Narrow" w:hAnsi="Arial Narrow" w:cstheme="minorHAnsi"/>
                <w:sz w:val="20"/>
              </w:rPr>
              <w:t>№.of</w:t>
            </w:r>
            <w:r w:rsidRPr="006D767C">
              <w:rPr>
                <w:rFonts w:ascii="Arial Narrow" w:hAnsi="Arial Narrow" w:cstheme="minorHAnsi"/>
                <w:sz w:val="20"/>
              </w:rPr>
              <w:br/>
              <w:t>Rpts</w:t>
            </w:r>
          </w:p>
        </w:tc>
        <w:tc>
          <w:tcPr>
            <w:tcW w:w="2410" w:type="dxa"/>
            <w:tcBorders>
              <w:bottom w:val="single" w:sz="4" w:space="0" w:color="auto"/>
            </w:tcBorders>
            <w:vAlign w:val="center"/>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sz w:val="20"/>
              </w:rPr>
              <w:t>Dispensed Price for Max. Amount</w:t>
            </w:r>
          </w:p>
        </w:tc>
        <w:tc>
          <w:tcPr>
            <w:tcW w:w="1985" w:type="dxa"/>
            <w:gridSpan w:val="2"/>
            <w:tcBorders>
              <w:bottom w:val="single" w:sz="4" w:space="0" w:color="auto"/>
            </w:tcBorders>
            <w:vAlign w:val="center"/>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sz w:val="20"/>
              </w:rPr>
              <w:t>Proprietary Name and Manufacturer</w:t>
            </w:r>
          </w:p>
        </w:tc>
      </w:tr>
      <w:tr w:rsidR="00531A12" w:rsidRPr="006D767C" w:rsidTr="0076659D">
        <w:trPr>
          <w:cantSplit/>
          <w:trHeight w:val="577"/>
        </w:trPr>
        <w:tc>
          <w:tcPr>
            <w:tcW w:w="2410" w:type="dxa"/>
            <w:tcBorders>
              <w:top w:val="single" w:sz="4" w:space="0" w:color="auto"/>
            </w:tcBorders>
          </w:tcPr>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atezolizumab, 1200 mg/20 mL injection, 20 mL vial</w:t>
            </w:r>
            <w:r w:rsidR="00F42A62" w:rsidRPr="006D767C">
              <w:rPr>
                <w:rFonts w:ascii="Arial Narrow" w:hAnsi="Arial Narrow" w:cstheme="minorHAnsi"/>
                <w:sz w:val="20"/>
              </w:rPr>
              <w:t>, 1</w:t>
            </w:r>
          </w:p>
        </w:tc>
        <w:tc>
          <w:tcPr>
            <w:tcW w:w="851" w:type="dxa"/>
            <w:tcBorders>
              <w:top w:val="single" w:sz="4" w:space="0" w:color="auto"/>
            </w:tcBorders>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1200 mg</w:t>
            </w:r>
          </w:p>
        </w:tc>
        <w:tc>
          <w:tcPr>
            <w:tcW w:w="708" w:type="dxa"/>
            <w:tcBorders>
              <w:top w:val="single" w:sz="4" w:space="0" w:color="auto"/>
            </w:tcBorders>
          </w:tcPr>
          <w:p w:rsidR="00531A12" w:rsidRPr="006D767C" w:rsidRDefault="00531A12" w:rsidP="0076659D">
            <w:pPr>
              <w:keepNext/>
              <w:spacing w:before="0" w:after="0"/>
              <w:ind w:left="34"/>
              <w:jc w:val="center"/>
              <w:rPr>
                <w:rFonts w:ascii="Arial Narrow" w:hAnsi="Arial Narrow" w:cstheme="minorHAnsi"/>
                <w:sz w:val="20"/>
              </w:rPr>
            </w:pPr>
            <w:r w:rsidRPr="006D767C">
              <w:rPr>
                <w:rFonts w:ascii="Arial Narrow" w:hAnsi="Arial Narrow" w:cstheme="minorHAnsi"/>
                <w:sz w:val="20"/>
              </w:rPr>
              <w:t>7</w:t>
            </w:r>
          </w:p>
        </w:tc>
        <w:tc>
          <w:tcPr>
            <w:tcW w:w="2410" w:type="dxa"/>
            <w:tcBorders>
              <w:top w:val="single" w:sz="4" w:space="0" w:color="auto"/>
            </w:tcBorders>
          </w:tcPr>
          <w:p w:rsidR="00531A12" w:rsidRPr="006D767C" w:rsidRDefault="00531A12" w:rsidP="0076659D">
            <w:pPr>
              <w:keepNext/>
              <w:spacing w:before="0" w:after="0"/>
              <w:ind w:left="-108"/>
              <w:jc w:val="center"/>
              <w:rPr>
                <w:rFonts w:ascii="Arial Narrow" w:hAnsi="Arial Narrow"/>
                <w:sz w:val="20"/>
              </w:rPr>
            </w:pPr>
            <w:r w:rsidRPr="006D767C">
              <w:rPr>
                <w:rFonts w:ascii="Arial Narrow" w:hAnsi="Arial Narrow"/>
                <w:sz w:val="20"/>
              </w:rPr>
              <w:t>$</w:t>
            </w:r>
            <w:r w:rsidR="002041B0">
              <w:rPr>
                <w:rFonts w:ascii="Arial Narrow" w:hAnsi="Arial Narrow" w:cs="Arial Narrow"/>
                <w:noProof/>
                <w:color w:val="000000"/>
                <w:sz w:val="20"/>
                <w:highlight w:val="black"/>
              </w:rPr>
              <w:t>'''''''''''''''''''''''</w:t>
            </w:r>
            <w:r w:rsidRPr="006D767C">
              <w:rPr>
                <w:rFonts w:ascii="Arial Narrow" w:hAnsi="Arial Narrow"/>
                <w:sz w:val="20"/>
              </w:rPr>
              <w:t xml:space="preserve"> (Public, published)</w:t>
            </w:r>
          </w:p>
          <w:p w:rsidR="00531A12" w:rsidRPr="006D767C" w:rsidRDefault="00531A12" w:rsidP="0076659D">
            <w:pPr>
              <w:keepNext/>
              <w:spacing w:before="0" w:after="0"/>
              <w:ind w:left="-108"/>
              <w:jc w:val="center"/>
              <w:rPr>
                <w:rFonts w:ascii="Arial Narrow" w:hAnsi="Arial Narrow"/>
                <w:sz w:val="20"/>
              </w:rPr>
            </w:pPr>
            <w:r w:rsidRPr="006D767C">
              <w:rPr>
                <w:rFonts w:ascii="Arial Narrow" w:hAnsi="Arial Narrow"/>
                <w:sz w:val="20"/>
              </w:rPr>
              <w:t>$</w:t>
            </w:r>
            <w:r w:rsidR="002041B0">
              <w:rPr>
                <w:rFonts w:ascii="Arial Narrow" w:hAnsi="Arial Narrow" w:cs="Arial Narrow"/>
                <w:noProof/>
                <w:color w:val="000000"/>
                <w:sz w:val="20"/>
                <w:highlight w:val="black"/>
              </w:rPr>
              <w:t>''''''''''''''''''''''</w:t>
            </w:r>
            <w:r w:rsidRPr="006D767C">
              <w:rPr>
                <w:rFonts w:ascii="Arial Narrow" w:hAnsi="Arial Narrow"/>
                <w:sz w:val="20"/>
              </w:rPr>
              <w:t xml:space="preserve"> (Private, published)</w:t>
            </w:r>
          </w:p>
          <w:p w:rsidR="00531A12" w:rsidRPr="006D767C" w:rsidRDefault="00531A12" w:rsidP="0076659D">
            <w:pPr>
              <w:keepNext/>
              <w:spacing w:before="0" w:after="0"/>
              <w:ind w:left="-108"/>
              <w:jc w:val="center"/>
              <w:rPr>
                <w:rFonts w:ascii="Arial Narrow" w:hAnsi="Arial Narrow"/>
                <w:i/>
                <w:sz w:val="20"/>
              </w:rPr>
            </w:pPr>
            <w:r w:rsidRPr="006D767C">
              <w:rPr>
                <w:rFonts w:ascii="Arial Narrow" w:hAnsi="Arial Narrow"/>
                <w:i/>
                <w:sz w:val="20"/>
              </w:rPr>
              <w:t>Effective prices to be confirmed</w:t>
            </w:r>
          </w:p>
          <w:p w:rsidR="00531A12" w:rsidRPr="006D767C" w:rsidRDefault="00531A12" w:rsidP="0076659D">
            <w:pPr>
              <w:keepNext/>
              <w:spacing w:before="0" w:after="0"/>
              <w:ind w:left="-108"/>
              <w:jc w:val="center"/>
              <w:rPr>
                <w:rFonts w:ascii="Arial Narrow" w:hAnsi="Arial Narrow" w:cstheme="minorHAnsi"/>
                <w:sz w:val="20"/>
              </w:rPr>
            </w:pPr>
          </w:p>
        </w:tc>
        <w:tc>
          <w:tcPr>
            <w:tcW w:w="992" w:type="dxa"/>
            <w:tcBorders>
              <w:top w:val="single" w:sz="4" w:space="0" w:color="auto"/>
            </w:tcBorders>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cstheme="minorHAnsi"/>
                <w:sz w:val="20"/>
              </w:rPr>
              <w:t>Tecentriq</w:t>
            </w:r>
          </w:p>
        </w:tc>
        <w:tc>
          <w:tcPr>
            <w:tcW w:w="993" w:type="dxa"/>
            <w:tcBorders>
              <w:top w:val="single" w:sz="4" w:space="0" w:color="auto"/>
            </w:tcBorders>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cstheme="minorHAnsi"/>
                <w:sz w:val="20"/>
              </w:rPr>
              <w:t>Roche Products Pty Ltd</w:t>
            </w:r>
          </w:p>
        </w:tc>
      </w:tr>
      <w:tr w:rsidR="00531A12" w:rsidRPr="006D767C" w:rsidTr="0076659D">
        <w:trPr>
          <w:cantSplit/>
          <w:trHeight w:val="127"/>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Category / Program:</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Section 100 – Efficient Funding of Chemotherapy</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sz w:val="20"/>
              </w:rPr>
            </w:pPr>
            <w:r w:rsidRPr="006D767C">
              <w:rPr>
                <w:rFonts w:ascii="Arial Narrow" w:hAnsi="Arial Narrow"/>
                <w:sz w:val="20"/>
              </w:rPr>
              <w:fldChar w:fldCharType="begin">
                <w:ffData>
                  <w:name w:val="Check1"/>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Dental  </w:t>
            </w:r>
            <w:r w:rsidRPr="006D767C">
              <w:rPr>
                <w:rFonts w:ascii="Arial Narrow" w:hAnsi="Arial Narrow"/>
                <w:sz w:val="20"/>
              </w:rPr>
              <w:fldChar w:fldCharType="begin">
                <w:ffData>
                  <w:name w:val=""/>
                  <w:enabled/>
                  <w:calcOnExit w:val="0"/>
                  <w:checkBox>
                    <w:sizeAuto/>
                    <w:default w:val="1"/>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Medical Practitioners  </w:t>
            </w:r>
            <w:r w:rsidRPr="006D767C">
              <w:rPr>
                <w:rFonts w:ascii="Arial Narrow" w:hAnsi="Arial Narrow"/>
                <w:sz w:val="20"/>
              </w:rPr>
              <w:fldChar w:fldCharType="begin">
                <w:ffData>
                  <w:name w:val="Check3"/>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Nurse practitioners  </w:t>
            </w:r>
            <w:r w:rsidRPr="006D767C">
              <w:rPr>
                <w:rFonts w:ascii="Arial Narrow" w:hAnsi="Arial Narrow"/>
                <w:sz w:val="20"/>
              </w:rPr>
              <w:fldChar w:fldCharType="begin">
                <w:ffData>
                  <w:name w:val=""/>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Optometrists</w:t>
            </w:r>
          </w:p>
          <w:p w:rsidR="00531A12" w:rsidRPr="006D767C" w:rsidRDefault="00531A12" w:rsidP="0076659D">
            <w:pPr>
              <w:spacing w:before="0" w:after="0"/>
              <w:rPr>
                <w:rFonts w:ascii="Arial Narrow" w:eastAsia="Calibri" w:hAnsi="Arial Narrow" w:cstheme="minorHAnsi"/>
                <w:sz w:val="20"/>
              </w:rPr>
            </w:pPr>
            <w:r w:rsidRPr="006D767C">
              <w:rPr>
                <w:rFonts w:ascii="Arial Narrow" w:hAnsi="Arial Narrow"/>
                <w:sz w:val="20"/>
              </w:rPr>
              <w:fldChar w:fldCharType="begin">
                <w:ffData>
                  <w:name w:val="Check5"/>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Midwives</w:t>
            </w:r>
          </w:p>
        </w:tc>
      </w:tr>
      <w:tr w:rsidR="00531A12" w:rsidRPr="006D767C" w:rsidTr="0076659D">
        <w:trPr>
          <w:cantSplit/>
          <w:trHeight w:val="64"/>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w:t>
            </w:r>
          </w:p>
        </w:tc>
      </w:tr>
      <w:tr w:rsidR="00531A12" w:rsidRPr="006D767C" w:rsidTr="0076659D">
        <w:trPr>
          <w:cantSplit/>
          <w:trHeight w:val="132"/>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t>Non-small cell lung cancer (NSCLC)</w:t>
            </w:r>
          </w:p>
        </w:tc>
      </w:tr>
      <w:tr w:rsidR="00531A12" w:rsidRPr="006D767C" w:rsidTr="0076659D">
        <w:trPr>
          <w:cantSplit/>
          <w:trHeight w:val="194"/>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 xml:space="preserve">PBS Indication: </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 NSCLC</w:t>
            </w:r>
          </w:p>
        </w:tc>
      </w:tr>
      <w:tr w:rsidR="00531A12" w:rsidRPr="006D767C" w:rsidTr="0076659D">
        <w:trPr>
          <w:cantSplit/>
          <w:trHeight w:val="114"/>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i/>
                <w:sz w:val="20"/>
              </w:rPr>
              <w:t>Continuing treatment</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b/>
                <w:sz w:val="20"/>
              </w:rPr>
              <w:t>Restriction Level / Method:</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1"/>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Restricted benefit</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1"/>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In Writing</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3"/>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Telephone</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Emergency</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5"/>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Electronic</w:t>
            </w:r>
          </w:p>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sz w:val="20"/>
              </w:rPr>
              <w:fldChar w:fldCharType="begin">
                <w:ffData>
                  <w:name w:val=""/>
                  <w:enabled/>
                  <w:calcOnExit w:val="0"/>
                  <w:checkBox>
                    <w:sizeAuto/>
                    <w:default w:val="1"/>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Streamlined</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Patient must have previously been issued with an authority prescription for this drug for this condition</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The treatment must be the sole PBS-subsidised therapy for this condition</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i/>
                <w:sz w:val="20"/>
              </w:rPr>
            </w:pPr>
            <w:r w:rsidRPr="006D767C">
              <w:rPr>
                <w:rFonts w:ascii="Arial Narrow" w:hAnsi="Arial Narrow" w:cstheme="minorHAnsi"/>
                <w:iCs/>
                <w:sz w:val="20"/>
              </w:rPr>
              <w:t>Patient must have stable or responding disease.</w:t>
            </w:r>
          </w:p>
        </w:tc>
      </w:tr>
      <w:tr w:rsidR="00531A12" w:rsidRPr="006D767C" w:rsidTr="0076659D">
        <w:trPr>
          <w:cantSplit/>
          <w:trHeight w:val="74"/>
        </w:trPr>
        <w:tc>
          <w:tcPr>
            <w:tcW w:w="2410" w:type="dxa"/>
            <w:tcBorders>
              <w:top w:val="single" w:sz="4" w:space="0" w:color="auto"/>
              <w:left w:val="single" w:sz="4" w:space="0" w:color="auto"/>
              <w:bottom w:val="single" w:sz="4" w:space="0" w:color="auto"/>
              <w:right w:val="single" w:sz="4" w:space="0" w:color="auto"/>
            </w:tcBorders>
            <w:vAlign w:val="center"/>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Administrative Advice</w:t>
            </w:r>
          </w:p>
        </w:tc>
        <w:tc>
          <w:tcPr>
            <w:tcW w:w="5954" w:type="dxa"/>
            <w:gridSpan w:val="5"/>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i/>
                <w:sz w:val="20"/>
              </w:rPr>
              <w:t>No increase in the maximum number of repeats may be authorised.</w:t>
            </w:r>
          </w:p>
        </w:tc>
      </w:tr>
    </w:tbl>
    <w:p w:rsidR="00256A09" w:rsidRDefault="00256A09" w:rsidP="00531A12">
      <w:pPr>
        <w:spacing w:before="0" w:after="0"/>
      </w:pPr>
    </w:p>
    <w:p w:rsidR="00256A09" w:rsidRDefault="00256A09">
      <w:pPr>
        <w:spacing w:before="0" w:line="259" w:lineRule="auto"/>
        <w:jc w:val="left"/>
      </w:pPr>
      <w:r>
        <w:br w:type="page"/>
      </w:r>
    </w:p>
    <w:p w:rsidR="00531A12" w:rsidRPr="006D767C" w:rsidRDefault="00531A12" w:rsidP="00531A12">
      <w:pPr>
        <w:spacing w:before="0" w:after="0"/>
      </w:pPr>
    </w:p>
    <w:tbl>
      <w:tblPr>
        <w:tblW w:w="8364" w:type="dxa"/>
        <w:tblInd w:w="108" w:type="dxa"/>
        <w:tblLayout w:type="fixed"/>
        <w:tblLook w:val="0000" w:firstRow="0" w:lastRow="0" w:firstColumn="0" w:lastColumn="0" w:noHBand="0" w:noVBand="0"/>
      </w:tblPr>
      <w:tblGrid>
        <w:gridCol w:w="2410"/>
        <w:gridCol w:w="142"/>
        <w:gridCol w:w="709"/>
        <w:gridCol w:w="141"/>
        <w:gridCol w:w="567"/>
        <w:gridCol w:w="142"/>
        <w:gridCol w:w="2268"/>
        <w:gridCol w:w="284"/>
        <w:gridCol w:w="708"/>
        <w:gridCol w:w="993"/>
      </w:tblGrid>
      <w:tr w:rsidR="00531A12" w:rsidRPr="006D767C" w:rsidTr="0076659D">
        <w:trPr>
          <w:cantSplit/>
          <w:trHeight w:val="471"/>
        </w:trPr>
        <w:tc>
          <w:tcPr>
            <w:tcW w:w="2552" w:type="dxa"/>
            <w:gridSpan w:val="2"/>
            <w:tcBorders>
              <w:bottom w:val="single" w:sz="4" w:space="0" w:color="auto"/>
            </w:tcBorders>
            <w:vAlign w:val="center"/>
          </w:tcPr>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Name, Restriction,</w:t>
            </w:r>
          </w:p>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Manner of administration and form</w:t>
            </w:r>
          </w:p>
        </w:tc>
        <w:tc>
          <w:tcPr>
            <w:tcW w:w="850" w:type="dxa"/>
            <w:gridSpan w:val="2"/>
            <w:tcBorders>
              <w:bottom w:val="single" w:sz="4" w:space="0" w:color="auto"/>
            </w:tcBorders>
            <w:vAlign w:val="center"/>
          </w:tcPr>
          <w:p w:rsidR="00531A12" w:rsidRPr="006D767C" w:rsidRDefault="00531A12" w:rsidP="0076659D">
            <w:pPr>
              <w:keepNext/>
              <w:spacing w:before="0" w:after="0"/>
              <w:ind w:left="34"/>
              <w:jc w:val="center"/>
              <w:rPr>
                <w:rFonts w:ascii="Arial Narrow" w:hAnsi="Arial Narrow" w:cstheme="minorHAnsi"/>
                <w:sz w:val="20"/>
              </w:rPr>
            </w:pPr>
            <w:r w:rsidRPr="006D767C">
              <w:rPr>
                <w:rFonts w:ascii="Arial Narrow" w:hAnsi="Arial Narrow" w:cstheme="minorHAnsi"/>
                <w:sz w:val="20"/>
              </w:rPr>
              <w:t>Max.</w:t>
            </w:r>
            <w:r w:rsidRPr="006D767C">
              <w:rPr>
                <w:rFonts w:ascii="Arial Narrow" w:hAnsi="Arial Narrow" w:cstheme="minorHAnsi"/>
                <w:sz w:val="20"/>
              </w:rPr>
              <w:br/>
              <w:t>amount</w:t>
            </w:r>
          </w:p>
        </w:tc>
        <w:tc>
          <w:tcPr>
            <w:tcW w:w="709" w:type="dxa"/>
            <w:gridSpan w:val="2"/>
            <w:tcBorders>
              <w:bottom w:val="single" w:sz="4" w:space="0" w:color="auto"/>
            </w:tcBorders>
            <w:vAlign w:val="center"/>
          </w:tcPr>
          <w:p w:rsidR="00531A12" w:rsidRPr="006D767C" w:rsidRDefault="00531A12" w:rsidP="0076659D">
            <w:pPr>
              <w:keepNext/>
              <w:spacing w:before="0" w:after="0"/>
              <w:ind w:left="34"/>
              <w:jc w:val="center"/>
              <w:rPr>
                <w:rFonts w:ascii="Arial Narrow" w:hAnsi="Arial Narrow" w:cstheme="minorHAnsi"/>
                <w:sz w:val="20"/>
              </w:rPr>
            </w:pPr>
            <w:r w:rsidRPr="006D767C">
              <w:rPr>
                <w:rFonts w:ascii="Arial Narrow" w:hAnsi="Arial Narrow" w:cstheme="minorHAnsi"/>
                <w:sz w:val="20"/>
              </w:rPr>
              <w:t>№.of</w:t>
            </w:r>
            <w:r w:rsidRPr="006D767C">
              <w:rPr>
                <w:rFonts w:ascii="Arial Narrow" w:hAnsi="Arial Narrow" w:cstheme="minorHAnsi"/>
                <w:sz w:val="20"/>
              </w:rPr>
              <w:br/>
              <w:t>Rpts</w:t>
            </w:r>
          </w:p>
        </w:tc>
        <w:tc>
          <w:tcPr>
            <w:tcW w:w="2552" w:type="dxa"/>
            <w:gridSpan w:val="2"/>
            <w:tcBorders>
              <w:bottom w:val="single" w:sz="4" w:space="0" w:color="auto"/>
            </w:tcBorders>
            <w:vAlign w:val="center"/>
          </w:tcPr>
          <w:p w:rsidR="00531A12" w:rsidRPr="006D767C" w:rsidRDefault="00531A12" w:rsidP="0076659D">
            <w:pPr>
              <w:keepNext/>
              <w:spacing w:before="0" w:after="0"/>
              <w:jc w:val="center"/>
              <w:rPr>
                <w:rFonts w:ascii="Arial Narrow" w:hAnsi="Arial Narrow"/>
                <w:sz w:val="20"/>
              </w:rPr>
            </w:pPr>
            <w:r w:rsidRPr="006D767C">
              <w:rPr>
                <w:rFonts w:ascii="Arial Narrow" w:hAnsi="Arial Narrow"/>
                <w:sz w:val="20"/>
              </w:rPr>
              <w:t>Dispensed Price for Max. Amount</w:t>
            </w:r>
          </w:p>
        </w:tc>
        <w:tc>
          <w:tcPr>
            <w:tcW w:w="1701" w:type="dxa"/>
            <w:gridSpan w:val="2"/>
            <w:tcBorders>
              <w:bottom w:val="single" w:sz="4" w:space="0" w:color="auto"/>
            </w:tcBorders>
            <w:vAlign w:val="center"/>
          </w:tcPr>
          <w:p w:rsidR="00531A12" w:rsidRPr="006D767C" w:rsidRDefault="00531A12" w:rsidP="0076659D">
            <w:pPr>
              <w:keepNext/>
              <w:spacing w:before="0" w:after="0"/>
              <w:jc w:val="center"/>
              <w:rPr>
                <w:rFonts w:ascii="Arial Narrow" w:hAnsi="Arial Narrow"/>
                <w:sz w:val="20"/>
              </w:rPr>
            </w:pPr>
            <w:r w:rsidRPr="006D767C">
              <w:rPr>
                <w:rFonts w:ascii="Arial Narrow" w:hAnsi="Arial Narrow"/>
                <w:sz w:val="20"/>
              </w:rPr>
              <w:t>Proprietary Name and Manufacturer</w:t>
            </w:r>
          </w:p>
        </w:tc>
      </w:tr>
      <w:tr w:rsidR="00531A12" w:rsidRPr="006D767C" w:rsidTr="0076659D">
        <w:trPr>
          <w:cantSplit/>
          <w:trHeight w:val="577"/>
        </w:trPr>
        <w:tc>
          <w:tcPr>
            <w:tcW w:w="2410" w:type="dxa"/>
            <w:tcBorders>
              <w:top w:val="single" w:sz="4" w:space="0" w:color="auto"/>
            </w:tcBorders>
          </w:tcPr>
          <w:p w:rsidR="00531A12" w:rsidRPr="006D767C" w:rsidRDefault="00531A12" w:rsidP="0076659D">
            <w:pPr>
              <w:keepNext/>
              <w:spacing w:before="0" w:after="0"/>
              <w:ind w:left="-108"/>
              <w:jc w:val="left"/>
              <w:rPr>
                <w:rFonts w:ascii="Arial Narrow" w:hAnsi="Arial Narrow" w:cstheme="minorHAnsi"/>
                <w:sz w:val="20"/>
              </w:rPr>
            </w:pPr>
            <w:r w:rsidRPr="006D767C">
              <w:rPr>
                <w:rFonts w:ascii="Arial Narrow" w:hAnsi="Arial Narrow" w:cstheme="minorHAnsi"/>
                <w:sz w:val="20"/>
              </w:rPr>
              <w:t xml:space="preserve">atezolizumab, 1200 mg/20 mL injection, 20 mL vial, 1 </w:t>
            </w:r>
          </w:p>
        </w:tc>
        <w:tc>
          <w:tcPr>
            <w:tcW w:w="851" w:type="dxa"/>
            <w:gridSpan w:val="2"/>
            <w:tcBorders>
              <w:top w:val="single" w:sz="4" w:space="0" w:color="auto"/>
            </w:tcBorders>
          </w:tcPr>
          <w:p w:rsidR="00531A12" w:rsidRPr="006D767C" w:rsidRDefault="00531A12" w:rsidP="0076659D">
            <w:pPr>
              <w:keepNext/>
              <w:spacing w:before="0" w:after="0"/>
              <w:ind w:left="-108"/>
              <w:jc w:val="center"/>
              <w:rPr>
                <w:rFonts w:ascii="Arial Narrow" w:hAnsi="Arial Narrow" w:cstheme="minorHAnsi"/>
                <w:sz w:val="20"/>
              </w:rPr>
            </w:pPr>
            <w:r w:rsidRPr="006D767C">
              <w:rPr>
                <w:rFonts w:ascii="Arial Narrow" w:hAnsi="Arial Narrow" w:cstheme="minorHAnsi"/>
                <w:sz w:val="20"/>
              </w:rPr>
              <w:t>1200 mg</w:t>
            </w:r>
          </w:p>
        </w:tc>
        <w:tc>
          <w:tcPr>
            <w:tcW w:w="708" w:type="dxa"/>
            <w:gridSpan w:val="2"/>
            <w:tcBorders>
              <w:top w:val="single" w:sz="4" w:space="0" w:color="auto"/>
            </w:tcBorders>
          </w:tcPr>
          <w:p w:rsidR="00531A12" w:rsidRPr="006D767C" w:rsidRDefault="00531A12" w:rsidP="0076659D">
            <w:pPr>
              <w:keepNext/>
              <w:spacing w:before="0" w:after="0"/>
              <w:ind w:left="34"/>
              <w:jc w:val="center"/>
              <w:rPr>
                <w:rFonts w:ascii="Arial Narrow" w:hAnsi="Arial Narrow" w:cstheme="minorHAnsi"/>
                <w:sz w:val="20"/>
              </w:rPr>
            </w:pPr>
            <w:r w:rsidRPr="006D767C">
              <w:rPr>
                <w:rFonts w:ascii="Arial Narrow" w:hAnsi="Arial Narrow" w:cstheme="minorHAnsi"/>
                <w:sz w:val="20"/>
              </w:rPr>
              <w:t>5</w:t>
            </w:r>
          </w:p>
        </w:tc>
        <w:tc>
          <w:tcPr>
            <w:tcW w:w="2410" w:type="dxa"/>
            <w:gridSpan w:val="2"/>
            <w:tcBorders>
              <w:top w:val="single" w:sz="4" w:space="0" w:color="auto"/>
            </w:tcBorders>
          </w:tcPr>
          <w:p w:rsidR="00531A12" w:rsidRPr="006D767C" w:rsidRDefault="00531A12" w:rsidP="0076659D">
            <w:pPr>
              <w:keepNext/>
              <w:spacing w:before="0" w:after="0"/>
              <w:ind w:left="-108"/>
              <w:jc w:val="center"/>
              <w:rPr>
                <w:rFonts w:ascii="Arial Narrow" w:hAnsi="Arial Narrow"/>
                <w:sz w:val="20"/>
              </w:rPr>
            </w:pPr>
            <w:r w:rsidRPr="006D767C">
              <w:rPr>
                <w:rFonts w:ascii="Arial Narrow" w:hAnsi="Arial Narrow"/>
                <w:sz w:val="20"/>
              </w:rPr>
              <w:t>$</w:t>
            </w:r>
            <w:r w:rsidR="002041B0">
              <w:rPr>
                <w:rFonts w:ascii="Arial Narrow" w:hAnsi="Arial Narrow" w:cs="Arial Narrow"/>
                <w:noProof/>
                <w:color w:val="000000"/>
                <w:sz w:val="20"/>
                <w:highlight w:val="black"/>
              </w:rPr>
              <w:t>'''''''''''''''''''''</w:t>
            </w:r>
            <w:r w:rsidRPr="006D767C">
              <w:rPr>
                <w:rFonts w:ascii="Arial Narrow" w:hAnsi="Arial Narrow"/>
                <w:sz w:val="20"/>
              </w:rPr>
              <w:t xml:space="preserve"> (Public, published)</w:t>
            </w:r>
          </w:p>
          <w:p w:rsidR="00531A12" w:rsidRPr="006D767C" w:rsidRDefault="00531A12" w:rsidP="0076659D">
            <w:pPr>
              <w:keepNext/>
              <w:spacing w:before="0" w:after="0"/>
              <w:ind w:left="-108"/>
              <w:jc w:val="center"/>
              <w:rPr>
                <w:rFonts w:ascii="Arial Narrow" w:hAnsi="Arial Narrow"/>
                <w:sz w:val="20"/>
              </w:rPr>
            </w:pPr>
            <w:r w:rsidRPr="006D767C">
              <w:rPr>
                <w:rFonts w:ascii="Arial Narrow" w:hAnsi="Arial Narrow"/>
                <w:sz w:val="20"/>
              </w:rPr>
              <w:t>$</w:t>
            </w:r>
            <w:r w:rsidR="002041B0">
              <w:rPr>
                <w:rFonts w:ascii="Arial Narrow" w:hAnsi="Arial Narrow" w:cs="Arial Narrow"/>
                <w:noProof/>
                <w:color w:val="000000"/>
                <w:sz w:val="20"/>
                <w:highlight w:val="black"/>
              </w:rPr>
              <w:t>''''''''''''''''''''</w:t>
            </w:r>
            <w:r w:rsidRPr="006D767C">
              <w:rPr>
                <w:rFonts w:ascii="Arial Narrow" w:hAnsi="Arial Narrow"/>
                <w:sz w:val="20"/>
              </w:rPr>
              <w:t xml:space="preserve"> (Private, published)</w:t>
            </w:r>
          </w:p>
          <w:p w:rsidR="00531A12" w:rsidRPr="006D767C" w:rsidRDefault="00531A12" w:rsidP="0076659D">
            <w:pPr>
              <w:keepNext/>
              <w:spacing w:before="0" w:after="0"/>
              <w:ind w:left="-108"/>
              <w:jc w:val="center"/>
              <w:rPr>
                <w:rFonts w:ascii="Arial Narrow" w:hAnsi="Arial Narrow"/>
                <w:i/>
                <w:sz w:val="20"/>
              </w:rPr>
            </w:pPr>
            <w:r w:rsidRPr="006D767C">
              <w:rPr>
                <w:rFonts w:ascii="Arial Narrow" w:hAnsi="Arial Narrow"/>
                <w:i/>
                <w:sz w:val="20"/>
              </w:rPr>
              <w:t>Effective prices to be confirmed</w:t>
            </w:r>
          </w:p>
          <w:p w:rsidR="00531A12" w:rsidRPr="006D767C" w:rsidRDefault="00531A12" w:rsidP="0076659D">
            <w:pPr>
              <w:keepNext/>
              <w:spacing w:before="0" w:after="0"/>
              <w:ind w:left="-108"/>
              <w:jc w:val="center"/>
              <w:rPr>
                <w:rFonts w:ascii="Arial Narrow" w:hAnsi="Arial Narrow" w:cstheme="minorHAnsi"/>
                <w:sz w:val="20"/>
              </w:rPr>
            </w:pPr>
          </w:p>
        </w:tc>
        <w:tc>
          <w:tcPr>
            <w:tcW w:w="992" w:type="dxa"/>
            <w:gridSpan w:val="2"/>
            <w:tcBorders>
              <w:top w:val="single" w:sz="4" w:space="0" w:color="auto"/>
            </w:tcBorders>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cstheme="minorHAnsi"/>
                <w:sz w:val="20"/>
              </w:rPr>
              <w:t>Tecentriq</w:t>
            </w:r>
          </w:p>
        </w:tc>
        <w:tc>
          <w:tcPr>
            <w:tcW w:w="993" w:type="dxa"/>
            <w:tcBorders>
              <w:top w:val="single" w:sz="4" w:space="0" w:color="auto"/>
            </w:tcBorders>
          </w:tcPr>
          <w:p w:rsidR="00531A12" w:rsidRPr="006D767C" w:rsidRDefault="00531A12" w:rsidP="0076659D">
            <w:pPr>
              <w:keepNext/>
              <w:spacing w:before="0" w:after="0"/>
              <w:jc w:val="center"/>
              <w:rPr>
                <w:rFonts w:ascii="Arial Narrow" w:hAnsi="Arial Narrow" w:cstheme="minorHAnsi"/>
                <w:sz w:val="20"/>
              </w:rPr>
            </w:pPr>
            <w:r w:rsidRPr="006D767C">
              <w:rPr>
                <w:rFonts w:ascii="Arial Narrow" w:hAnsi="Arial Narrow" w:cstheme="minorHAnsi"/>
                <w:sz w:val="20"/>
              </w:rPr>
              <w:t>Roche Products Pty Ltd</w:t>
            </w:r>
          </w:p>
        </w:tc>
      </w:tr>
      <w:tr w:rsidR="00531A12" w:rsidRPr="006D767C" w:rsidTr="0076659D">
        <w:trPr>
          <w:cantSplit/>
          <w:trHeight w:val="249"/>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Category / Program:</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Section 100 – Efficient Funding of Chemotherapy</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Prescriber type:</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sz w:val="20"/>
              </w:rPr>
            </w:pPr>
            <w:r w:rsidRPr="006D767C">
              <w:rPr>
                <w:rFonts w:ascii="Arial Narrow" w:hAnsi="Arial Narrow"/>
                <w:sz w:val="20"/>
              </w:rPr>
              <w:fldChar w:fldCharType="begin">
                <w:ffData>
                  <w:name w:val="Check1"/>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Dental  </w:t>
            </w:r>
            <w:r w:rsidRPr="006D767C">
              <w:rPr>
                <w:rFonts w:ascii="Arial Narrow" w:hAnsi="Arial Narrow"/>
                <w:sz w:val="20"/>
              </w:rPr>
              <w:fldChar w:fldCharType="begin">
                <w:ffData>
                  <w:name w:val=""/>
                  <w:enabled/>
                  <w:calcOnExit w:val="0"/>
                  <w:checkBox>
                    <w:sizeAuto/>
                    <w:default w:val="1"/>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Medical Practitioners  </w:t>
            </w:r>
            <w:r w:rsidRPr="006D767C">
              <w:rPr>
                <w:rFonts w:ascii="Arial Narrow" w:hAnsi="Arial Narrow"/>
                <w:sz w:val="20"/>
              </w:rPr>
              <w:fldChar w:fldCharType="begin">
                <w:ffData>
                  <w:name w:val="Check3"/>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Nurse practitioners  </w:t>
            </w:r>
            <w:r w:rsidRPr="006D767C">
              <w:rPr>
                <w:rFonts w:ascii="Arial Narrow" w:hAnsi="Arial Narrow"/>
                <w:sz w:val="20"/>
              </w:rPr>
              <w:fldChar w:fldCharType="begin">
                <w:ffData>
                  <w:name w:val=""/>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Optometrists</w:t>
            </w:r>
          </w:p>
          <w:p w:rsidR="00531A12" w:rsidRPr="006D767C" w:rsidRDefault="00531A12" w:rsidP="0076659D">
            <w:pPr>
              <w:spacing w:before="0" w:after="0"/>
              <w:rPr>
                <w:rFonts w:ascii="Arial Narrow" w:eastAsia="Calibri" w:hAnsi="Arial Narrow" w:cstheme="minorHAnsi"/>
                <w:sz w:val="20"/>
              </w:rPr>
            </w:pPr>
            <w:r w:rsidRPr="006D767C">
              <w:rPr>
                <w:rFonts w:ascii="Arial Narrow" w:hAnsi="Arial Narrow"/>
                <w:sz w:val="20"/>
              </w:rPr>
              <w:fldChar w:fldCharType="begin">
                <w:ffData>
                  <w:name w:val="Check5"/>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Midwives</w:t>
            </w:r>
          </w:p>
        </w:tc>
      </w:tr>
      <w:tr w:rsidR="00531A12" w:rsidRPr="006D767C" w:rsidTr="0076659D">
        <w:trPr>
          <w:cantSplit/>
          <w:trHeight w:val="64"/>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Severity:</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w:t>
            </w:r>
          </w:p>
        </w:tc>
      </w:tr>
      <w:tr w:rsidR="00531A12" w:rsidRPr="006D767C" w:rsidTr="0076659D">
        <w:trPr>
          <w:cantSplit/>
          <w:trHeight w:val="195"/>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Condition:</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t>Non-small cell lung cancer (NSCLC)</w:t>
            </w:r>
          </w:p>
        </w:tc>
      </w:tr>
      <w:tr w:rsidR="00531A12" w:rsidRPr="006D767C" w:rsidTr="0076659D">
        <w:trPr>
          <w:cantSplit/>
          <w:trHeight w:val="99"/>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b/>
                <w:sz w:val="20"/>
              </w:rPr>
            </w:pPr>
            <w:r w:rsidRPr="006D767C">
              <w:rPr>
                <w:rFonts w:ascii="Arial Narrow" w:eastAsia="Calibri" w:hAnsi="Arial Narrow" w:cstheme="minorHAnsi"/>
                <w:b/>
                <w:sz w:val="20"/>
              </w:rPr>
              <w:t xml:space="preserve">PBS Indication: </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 NSCLC</w:t>
            </w:r>
          </w:p>
        </w:tc>
      </w:tr>
      <w:tr w:rsidR="00531A12" w:rsidRPr="006D767C" w:rsidTr="0076659D">
        <w:trPr>
          <w:cantSplit/>
          <w:trHeight w:val="145"/>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Treatment phase:</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i/>
                <w:sz w:val="20"/>
              </w:rPr>
              <w:t>Grandfathering treatment</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b/>
                <w:sz w:val="20"/>
              </w:rPr>
              <w:t>Restriction:</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Check1"/>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Restricted benefit</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In Writing</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Check3"/>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Telephone</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Emergency</w:t>
            </w:r>
          </w:p>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sz w:val="20"/>
              </w:rPr>
              <w:fldChar w:fldCharType="begin">
                <w:ffData>
                  <w:name w:val="Check5"/>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Electronic</w:t>
            </w:r>
          </w:p>
          <w:p w:rsidR="00531A12" w:rsidRPr="006D767C" w:rsidRDefault="00531A12" w:rsidP="0076659D">
            <w:pPr>
              <w:spacing w:before="0" w:after="0"/>
              <w:rPr>
                <w:rFonts w:ascii="Arial Narrow" w:hAnsi="Arial Narrow" w:cstheme="minorHAnsi"/>
                <w:i/>
                <w:sz w:val="20"/>
              </w:rPr>
            </w:pPr>
            <w:r w:rsidRPr="006D767C">
              <w:rPr>
                <w:rFonts w:ascii="Arial Narrow" w:hAnsi="Arial Narrow" w:cstheme="minorHAnsi"/>
                <w:sz w:val="20"/>
              </w:rPr>
              <w:fldChar w:fldCharType="begin">
                <w:ffData>
                  <w:name w:val="Check5"/>
                  <w:enabled/>
                  <w:calcOnExit w:val="0"/>
                  <w:checkBox>
                    <w:sizeAuto/>
                    <w:default w:val="1"/>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Streamlined</w:t>
            </w:r>
          </w:p>
        </w:tc>
      </w:tr>
      <w:tr w:rsidR="00531A12" w:rsidRPr="006D767C" w:rsidTr="0076659D">
        <w:trPr>
          <w:cantSplit/>
          <w:trHeight w:val="360"/>
        </w:trPr>
        <w:tc>
          <w:tcPr>
            <w:tcW w:w="2410" w:type="dxa"/>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hAnsi="Arial Narrow" w:cstheme="minorHAnsi"/>
                <w:sz w:val="20"/>
              </w:rPr>
            </w:pPr>
            <w:r w:rsidRPr="006D767C">
              <w:rPr>
                <w:rFonts w:ascii="Arial Narrow" w:hAnsi="Arial Narrow" w:cstheme="minorHAnsi"/>
                <w:b/>
                <w:sz w:val="20"/>
              </w:rPr>
              <w:t>Clinical criteria:</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 xml:space="preserve">Patient must have previously received treatment with this drug for this condition prior to [PBS listing date] </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The treatment must be the sole PBS-subsidised therapy for this condition</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Patient must have stable or responding disease</w:t>
            </w:r>
          </w:p>
          <w:p w:rsidR="00531A12" w:rsidRPr="006D767C" w:rsidRDefault="00531A12" w:rsidP="0076659D">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sz w:val="20"/>
              </w:rPr>
              <w:t xml:space="preserve">Patient must have a </w:t>
            </w:r>
            <w:r w:rsidRPr="006D767C">
              <w:rPr>
                <w:rFonts w:ascii="Arial Narrow" w:eastAsia="Calibri" w:hAnsi="Arial Narrow" w:cstheme="minorHAnsi"/>
                <w:strike/>
                <w:sz w:val="20"/>
              </w:rPr>
              <w:t>ECOG</w:t>
            </w:r>
            <w:r w:rsidRPr="006D767C">
              <w:rPr>
                <w:rFonts w:ascii="Arial Narrow" w:eastAsia="Calibri" w:hAnsi="Arial Narrow" w:cstheme="minorHAnsi"/>
                <w:sz w:val="20"/>
              </w:rPr>
              <w:t xml:space="preserve"> </w:t>
            </w:r>
            <w:r w:rsidRPr="006D767C">
              <w:rPr>
                <w:rFonts w:ascii="Arial Narrow" w:eastAsia="Calibri" w:hAnsi="Arial Narrow" w:cstheme="minorHAnsi"/>
                <w:i/>
                <w:sz w:val="20"/>
              </w:rPr>
              <w:t>WHO</w:t>
            </w:r>
            <w:r w:rsidRPr="006D767C">
              <w:rPr>
                <w:rFonts w:ascii="Arial Narrow" w:eastAsia="Calibri" w:hAnsi="Arial Narrow" w:cstheme="minorHAnsi"/>
                <w:sz w:val="20"/>
              </w:rPr>
              <w:t xml:space="preserve"> performance status of 0 or 1</w:t>
            </w:r>
          </w:p>
        </w:tc>
      </w:tr>
      <w:tr w:rsidR="00531A12" w:rsidRPr="006D767C" w:rsidTr="0076659D">
        <w:trPr>
          <w:cantSplit/>
          <w:trHeight w:val="209"/>
        </w:trPr>
        <w:tc>
          <w:tcPr>
            <w:tcW w:w="2410" w:type="dxa"/>
            <w:tcBorders>
              <w:top w:val="single" w:sz="4" w:space="0" w:color="auto"/>
              <w:left w:val="single" w:sz="4" w:space="0" w:color="auto"/>
              <w:bottom w:val="single" w:sz="4" w:space="0" w:color="auto"/>
              <w:right w:val="single" w:sz="4" w:space="0" w:color="auto"/>
            </w:tcBorders>
            <w:vAlign w:val="center"/>
          </w:tcPr>
          <w:p w:rsidR="00531A12" w:rsidRPr="006D767C" w:rsidRDefault="00531A12" w:rsidP="0076659D">
            <w:pPr>
              <w:spacing w:before="0" w:after="0"/>
              <w:rPr>
                <w:rFonts w:ascii="Arial Narrow" w:hAnsi="Arial Narrow" w:cstheme="minorHAnsi"/>
                <w:b/>
                <w:sz w:val="20"/>
              </w:rPr>
            </w:pPr>
            <w:r w:rsidRPr="006D767C">
              <w:rPr>
                <w:rFonts w:ascii="Arial Narrow" w:hAnsi="Arial Narrow" w:cstheme="minorHAnsi"/>
                <w:b/>
                <w:sz w:val="20"/>
              </w:rPr>
              <w:t>Prescriber Instructions</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76659D">
            <w:pPr>
              <w:spacing w:before="0" w:after="0"/>
              <w:rPr>
                <w:rFonts w:ascii="Arial Narrow" w:eastAsia="Calibri" w:hAnsi="Arial Narrow" w:cstheme="minorHAnsi"/>
                <w:i/>
                <w:sz w:val="20"/>
              </w:rPr>
            </w:pPr>
            <w:r w:rsidRPr="006D767C">
              <w:rPr>
                <w:rFonts w:ascii="Arial Narrow" w:eastAsia="Calibri" w:hAnsi="Arial Narrow" w:cstheme="minorHAnsi"/>
                <w:i/>
                <w:sz w:val="20"/>
              </w:rPr>
              <w:t>A patient may qualify for PBS-subsidised treatment under this restriction once only.</w:t>
            </w:r>
          </w:p>
        </w:tc>
      </w:tr>
      <w:tr w:rsidR="00531A12" w:rsidRPr="006D767C" w:rsidTr="0076659D">
        <w:trPr>
          <w:cantSplit/>
          <w:trHeight w:val="209"/>
        </w:trPr>
        <w:tc>
          <w:tcPr>
            <w:tcW w:w="2410" w:type="dxa"/>
            <w:tcBorders>
              <w:top w:val="single" w:sz="4" w:space="0" w:color="auto"/>
              <w:left w:val="single" w:sz="4" w:space="0" w:color="auto"/>
              <w:bottom w:val="single" w:sz="4" w:space="0" w:color="auto"/>
              <w:right w:val="single" w:sz="4" w:space="0" w:color="auto"/>
            </w:tcBorders>
            <w:vAlign w:val="center"/>
          </w:tcPr>
          <w:p w:rsidR="00531A12" w:rsidRPr="006D767C" w:rsidRDefault="00531A12" w:rsidP="0076659D">
            <w:pPr>
              <w:spacing w:before="0" w:after="0"/>
              <w:rPr>
                <w:rFonts w:ascii="Arial Narrow" w:hAnsi="Arial Narrow" w:cstheme="minorHAnsi"/>
                <w:i/>
                <w:sz w:val="20"/>
              </w:rPr>
            </w:pPr>
            <w:r w:rsidRPr="006D767C">
              <w:rPr>
                <w:rFonts w:ascii="Arial Narrow" w:hAnsi="Arial Narrow" w:cstheme="minorHAnsi"/>
                <w:b/>
                <w:sz w:val="20"/>
              </w:rPr>
              <w:t>Administrative Advice</w:t>
            </w:r>
          </w:p>
        </w:tc>
        <w:tc>
          <w:tcPr>
            <w:tcW w:w="5954" w:type="dxa"/>
            <w:gridSpan w:val="9"/>
            <w:tcBorders>
              <w:top w:val="single" w:sz="4" w:space="0" w:color="auto"/>
              <w:left w:val="single" w:sz="4" w:space="0" w:color="auto"/>
              <w:bottom w:val="single" w:sz="4" w:space="0" w:color="auto"/>
              <w:right w:val="single" w:sz="4" w:space="0" w:color="auto"/>
            </w:tcBorders>
          </w:tcPr>
          <w:p w:rsidR="00531A12" w:rsidRPr="006D767C" w:rsidRDefault="00531A12" w:rsidP="00176B31">
            <w:pPr>
              <w:spacing w:before="0" w:after="0"/>
              <w:rPr>
                <w:rFonts w:ascii="Arial Narrow" w:eastAsia="Calibri" w:hAnsi="Arial Narrow" w:cstheme="minorHAnsi"/>
                <w:i/>
                <w:sz w:val="20"/>
              </w:rPr>
            </w:pPr>
            <w:r w:rsidRPr="006D767C">
              <w:rPr>
                <w:rFonts w:ascii="Arial Narrow" w:eastAsia="Calibri" w:hAnsi="Arial Narrow" w:cstheme="minorHAnsi"/>
                <w:i/>
                <w:sz w:val="20"/>
              </w:rPr>
              <w:t>No increase in the maximum number of repeats may be authorised.</w:t>
            </w:r>
          </w:p>
        </w:tc>
      </w:tr>
    </w:tbl>
    <w:p w:rsidR="001A69BF" w:rsidRPr="006D767C" w:rsidRDefault="001A69BF" w:rsidP="002D73C8">
      <w:pPr>
        <w:pStyle w:val="ListParagraph"/>
        <w:numPr>
          <w:ilvl w:val="1"/>
          <w:numId w:val="1"/>
        </w:numPr>
      </w:pPr>
      <w:bookmarkStart w:id="5" w:name="_Toc413139273"/>
      <w:r w:rsidRPr="006D767C">
        <w:t>The published dispensed price for maximum amount (DPMA) requested for atezolizumab is based on the equi-effective dose for a three weekly cycle of atezolizumab versus a two weekly cycle of nivolumab</w:t>
      </w:r>
      <w:r w:rsidR="00857622" w:rsidRPr="006D767C">
        <w:t xml:space="preserve"> (cost-minimised using </w:t>
      </w:r>
      <w:r w:rsidRPr="006D767C">
        <w:t>the published price for nivolumab</w:t>
      </w:r>
      <w:r w:rsidR="00096DB3" w:rsidRPr="006D767C">
        <w:t>)</w:t>
      </w:r>
      <w:r w:rsidR="00176B31" w:rsidRPr="006D767C">
        <w:t>.</w:t>
      </w:r>
    </w:p>
    <w:p w:rsidR="001A69BF" w:rsidRPr="006D767C" w:rsidRDefault="00B8060D" w:rsidP="002D73C8">
      <w:pPr>
        <w:numPr>
          <w:ilvl w:val="1"/>
          <w:numId w:val="1"/>
        </w:numPr>
      </w:pPr>
      <w:r w:rsidRPr="006D767C">
        <w:t xml:space="preserve">Although the use of atezolizumab after targeted therapy is implied by the submission’s clinical management algorithm, it is not explicitly specified in the proposed listing of atezolizumab. This is inconsistent with the TGA approved indication which specifies that </w:t>
      </w:r>
      <w:r w:rsidR="00096DB3" w:rsidRPr="006D767C">
        <w:t>“</w:t>
      </w:r>
      <w:r w:rsidRPr="006D767C">
        <w:t xml:space="preserve">in patients with tumour EGFR or ALK genomic aberrations, atezolizumab should be used after progression on or after targeted therapy”. </w:t>
      </w:r>
      <w:r w:rsidR="001A69BF" w:rsidRPr="006D767C">
        <w:t>However, the proposed listing is consistent with the current PBS listing of nivolumab for locally advanced or metastatic NSCLC patients who have progressed on or after prior chemotherapy.</w:t>
      </w:r>
    </w:p>
    <w:p w:rsidR="001A69BF" w:rsidRPr="006D767C" w:rsidRDefault="00AE0DC9" w:rsidP="002D73C8">
      <w:pPr>
        <w:numPr>
          <w:ilvl w:val="1"/>
          <w:numId w:val="1"/>
        </w:numPr>
      </w:pPr>
      <w:r w:rsidRPr="006D767C">
        <w:t>One of t</w:t>
      </w:r>
      <w:r w:rsidR="001A69BF" w:rsidRPr="006D767C">
        <w:t xml:space="preserve">he clinical criteria </w:t>
      </w:r>
      <w:r w:rsidR="00344B66" w:rsidRPr="006D767C">
        <w:t xml:space="preserve">of the proposed PBS listing </w:t>
      </w:r>
      <w:r w:rsidR="001A69BF" w:rsidRPr="006D767C">
        <w:t xml:space="preserve">specifies that the patient must not have received prior treatment with a PD-1 inhibitor for this condition. </w:t>
      </w:r>
      <w:r w:rsidR="00D6550B" w:rsidRPr="006D767C">
        <w:t xml:space="preserve">The </w:t>
      </w:r>
      <w:r w:rsidR="001A69BF" w:rsidRPr="006D767C">
        <w:t>PBAC may wish to consider whether the restriction should be further refined to exclude patients who have received treatment with either a PD-1 or PD-L1 inhibitor.</w:t>
      </w:r>
      <w:r w:rsidR="00591E48" w:rsidRPr="006D767C">
        <w:t xml:space="preserve"> </w:t>
      </w:r>
      <w:r w:rsidR="00653383" w:rsidRPr="006D767C">
        <w:t xml:space="preserve">The PBS listing for nivolumab specifies that patients must not have </w:t>
      </w:r>
      <w:r w:rsidR="0001739D" w:rsidRPr="006D767C">
        <w:t>received</w:t>
      </w:r>
      <w:r w:rsidR="00653383" w:rsidRPr="006D767C">
        <w:t xml:space="preserve"> prior treatment with a PD-1 inhibitor. </w:t>
      </w:r>
      <w:r w:rsidR="00D6550B" w:rsidRPr="006D767C">
        <w:t>As such,</w:t>
      </w:r>
      <w:r w:rsidR="00653383" w:rsidRPr="006D767C">
        <w:t xml:space="preserve"> </w:t>
      </w:r>
      <w:r w:rsidR="00096DB3" w:rsidRPr="006D767C">
        <w:t xml:space="preserve">the use of </w:t>
      </w:r>
      <w:r w:rsidR="00653383" w:rsidRPr="006D767C">
        <w:t>nivolumab (a PD-1 inhibitor) after treatment with atezolizumab (a PD-L1 inhibitor)</w:t>
      </w:r>
      <w:r w:rsidR="00096DB3" w:rsidRPr="006D767C">
        <w:t xml:space="preserve"> </w:t>
      </w:r>
      <w:r w:rsidR="00D6550B" w:rsidRPr="006D767C">
        <w:t xml:space="preserve">would </w:t>
      </w:r>
      <w:r w:rsidR="00096DB3" w:rsidRPr="006D767C">
        <w:t>not</w:t>
      </w:r>
      <w:r w:rsidR="00D6550B" w:rsidRPr="006D767C">
        <w:t xml:space="preserve"> be</w:t>
      </w:r>
      <w:r w:rsidR="00096DB3" w:rsidRPr="006D767C">
        <w:t xml:space="preserve"> precluded</w:t>
      </w:r>
      <w:r w:rsidR="00D6550B" w:rsidRPr="006D767C">
        <w:t xml:space="preserve"> under the proposed restriction criteria</w:t>
      </w:r>
      <w:r w:rsidR="00653383" w:rsidRPr="006D767C">
        <w:t>.</w:t>
      </w:r>
      <w:r w:rsidR="007309ED" w:rsidRPr="006D767C">
        <w:t xml:space="preserve"> The </w:t>
      </w:r>
      <w:r w:rsidR="007309ED" w:rsidRPr="006D767C">
        <w:rPr>
          <w:color w:val="000000" w:themeColor="text1"/>
        </w:rPr>
        <w:t>Pre-Sub-Committee Response (PSCR) (p4) agreed to the inclusion of a restriction criterion excluding patients who had previously received a</w:t>
      </w:r>
      <w:r w:rsidR="007309ED" w:rsidRPr="006D767C">
        <w:t xml:space="preserve"> PD-1 or PD-L1 inhibitor, but stated that the same criterion should apply to nivolumab as well. The</w:t>
      </w:r>
      <w:r w:rsidR="00A66742" w:rsidRPr="006D767C">
        <w:t xml:space="preserve"> ESC noted the</w:t>
      </w:r>
      <w:r w:rsidR="007309ED" w:rsidRPr="006D767C">
        <w:t xml:space="preserve"> PSCR’s comments, and advised that this criterion should be included in the proposed restriction for atezolizumab, and the current restriction for nivolumab should be updated to include this criterion as well.</w:t>
      </w:r>
    </w:p>
    <w:p w:rsidR="001A69BF" w:rsidRPr="006D767C" w:rsidRDefault="001A69BF" w:rsidP="002D73C8">
      <w:pPr>
        <w:numPr>
          <w:ilvl w:val="1"/>
          <w:numId w:val="1"/>
        </w:numPr>
      </w:pPr>
      <w:r w:rsidRPr="006D767C">
        <w:t xml:space="preserve">The submission stated that a patient access program will be established for atezolizumab. </w:t>
      </w:r>
      <w:r w:rsidRPr="006D767C">
        <w:rPr>
          <w:rFonts w:eastAsia="Calibri" w:cstheme="minorHAnsi"/>
        </w:rPr>
        <w:t xml:space="preserve">The submission estimated that </w:t>
      </w:r>
      <w:r w:rsidR="002041B0">
        <w:rPr>
          <w:rFonts w:eastAsia="Calibri" w:cstheme="minorHAnsi"/>
          <w:noProof/>
          <w:color w:val="000000"/>
          <w:highlight w:val="black"/>
        </w:rPr>
        <w:t>''''''''</w:t>
      </w:r>
      <w:r w:rsidRPr="006D767C">
        <w:rPr>
          <w:rFonts w:eastAsia="Calibri" w:cstheme="minorHAnsi"/>
        </w:rPr>
        <w:t xml:space="preserve"> patients will be on the access program and be eligible for grandfathering at the time of PBS listing (assumed April 2018).</w:t>
      </w:r>
    </w:p>
    <w:p w:rsidR="005E7260" w:rsidRPr="006D767C" w:rsidRDefault="005E7260" w:rsidP="00825D93">
      <w:pPr>
        <w:pStyle w:val="ListParagraph"/>
        <w:rPr>
          <w:i/>
        </w:rPr>
      </w:pPr>
      <w:r w:rsidRPr="006D767C">
        <w:rPr>
          <w:i/>
        </w:rPr>
        <w:t>For more detail on PBAC’s view, see section 7 PBAC outcome.</w:t>
      </w:r>
    </w:p>
    <w:p w:rsidR="0089504C" w:rsidRPr="006D767C" w:rsidRDefault="0089504C" w:rsidP="00344B66">
      <w:pPr>
        <w:pStyle w:val="Heading1"/>
      </w:pPr>
      <w:bookmarkStart w:id="6" w:name="_Toc492917625"/>
      <w:r w:rsidRPr="006D767C">
        <w:t>Background</w:t>
      </w:r>
      <w:bookmarkEnd w:id="5"/>
      <w:bookmarkEnd w:id="6"/>
    </w:p>
    <w:p w:rsidR="0089504C" w:rsidRPr="006D767C" w:rsidRDefault="0089504C" w:rsidP="00344B66">
      <w:pPr>
        <w:pStyle w:val="Heading2"/>
      </w:pPr>
      <w:bookmarkStart w:id="7" w:name="_Toc492917626"/>
      <w:r w:rsidRPr="006D767C">
        <w:t>Registration status</w:t>
      </w:r>
      <w:bookmarkEnd w:id="7"/>
    </w:p>
    <w:p w:rsidR="0089504C" w:rsidRPr="006D767C" w:rsidRDefault="0089504C" w:rsidP="002D73C8">
      <w:pPr>
        <w:numPr>
          <w:ilvl w:val="1"/>
          <w:numId w:val="1"/>
        </w:numPr>
      </w:pPr>
      <w:r w:rsidRPr="006D767C">
        <w:t>TGA status: – Atezolizumab was approved by the TGA (on 27</w:t>
      </w:r>
      <w:r w:rsidRPr="006D767C">
        <w:rPr>
          <w:vertAlign w:val="superscript"/>
        </w:rPr>
        <w:t>th</w:t>
      </w:r>
      <w:r w:rsidRPr="006D767C">
        <w:t xml:space="preserve"> July 2017) for the following indication:</w:t>
      </w:r>
    </w:p>
    <w:p w:rsidR="0089504C" w:rsidRPr="006D767C" w:rsidRDefault="0089504C" w:rsidP="00CE58FF">
      <w:pPr>
        <w:spacing w:before="0" w:after="120"/>
        <w:ind w:left="720"/>
      </w:pPr>
      <w:r w:rsidRPr="006D767C">
        <w:rPr>
          <w:lang w:eastAsia="en-AU"/>
        </w:rPr>
        <w:t>Atezolizumab is indicated for the treatment of patients with locally advanced or metastatic non-small cell lung cancer (NSCLC) with progression on or after prior chemotherapy. In patients with tumour EGFR or ALK genomic aberrations, atezolizumab should be used after progression on or after targeted therapy.</w:t>
      </w:r>
    </w:p>
    <w:p w:rsidR="0089504C" w:rsidRPr="006D767C" w:rsidRDefault="0089504C" w:rsidP="00344B66">
      <w:pPr>
        <w:pStyle w:val="Heading2"/>
      </w:pPr>
      <w:bookmarkStart w:id="8" w:name="_Toc492917627"/>
      <w:r w:rsidRPr="006D767C">
        <w:t>Previous PBAC consideration</w:t>
      </w:r>
      <w:bookmarkEnd w:id="8"/>
    </w:p>
    <w:p w:rsidR="0089504C" w:rsidRPr="006D767C" w:rsidRDefault="0089504C" w:rsidP="002D73C8">
      <w:pPr>
        <w:numPr>
          <w:ilvl w:val="1"/>
          <w:numId w:val="1"/>
        </w:numPr>
        <w:spacing w:before="0" w:after="120"/>
        <w:jc w:val="left"/>
      </w:pPr>
      <w:r w:rsidRPr="006D767C">
        <w:t>This is the first submission of atezolizumab to the PBAC.</w:t>
      </w:r>
    </w:p>
    <w:p w:rsidR="0089504C" w:rsidRPr="006D767C" w:rsidRDefault="0089504C" w:rsidP="00344B66">
      <w:pPr>
        <w:pStyle w:val="Heading1"/>
      </w:pPr>
      <w:bookmarkStart w:id="9" w:name="_Toc492917628"/>
      <w:r w:rsidRPr="006D767C">
        <w:t>Population and disease</w:t>
      </w:r>
      <w:bookmarkEnd w:id="9"/>
    </w:p>
    <w:p w:rsidR="0089504C" w:rsidRPr="006D767C" w:rsidRDefault="0089504C" w:rsidP="002D73C8">
      <w:pPr>
        <w:numPr>
          <w:ilvl w:val="1"/>
          <w:numId w:val="1"/>
        </w:numPr>
      </w:pPr>
      <w:r w:rsidRPr="006D767C">
        <w:t xml:space="preserve">NSCLC represents the main histological type of lung cancer. For therapeutic purposes, NSCLC can be broadly categorised into two histologic subtypes: squamous (15%-25%) and non-squamous (75%-85%). Extent of disease is evaluated by staging, which determines the most appropriate form of treatment and prognosis. </w:t>
      </w:r>
    </w:p>
    <w:p w:rsidR="0089504C" w:rsidRPr="006D767C" w:rsidRDefault="00344B66" w:rsidP="002D73C8">
      <w:pPr>
        <w:numPr>
          <w:ilvl w:val="1"/>
          <w:numId w:val="1"/>
        </w:numPr>
      </w:pPr>
      <w:r w:rsidRPr="006D767C">
        <w:rPr>
          <w:snapToGrid w:val="0"/>
        </w:rPr>
        <w:t>In current practice, approximately 20% of patients would receive tyrosine kinase inhibitors (TKIs) first-line (targeting EGFR gene mutations or ALK translocations), followed by platinum-based chemotherapy upon progression, and subsequent nivolumab treatment. Patients with no EGFR or ALK mutations/translocations would initiate treatment with platinum-based chemotherapy, and subsequently receive nivolumab.</w:t>
      </w:r>
    </w:p>
    <w:p w:rsidR="00192745" w:rsidRPr="006D767C" w:rsidRDefault="0089504C" w:rsidP="002D73C8">
      <w:pPr>
        <w:numPr>
          <w:ilvl w:val="1"/>
          <w:numId w:val="1"/>
        </w:numPr>
      </w:pPr>
      <w:r w:rsidRPr="006D767C">
        <w:t>Atezolizumab is proposed for use in patients with locally advanced (Stage IIIB) or metastatic (Stage IV) NSCLC who have experienced disease progression on or after prior platinum based chemotherapy.</w:t>
      </w:r>
    </w:p>
    <w:p w:rsidR="008C62B2" w:rsidRPr="006D767C" w:rsidRDefault="008C62B2" w:rsidP="002D73C8">
      <w:pPr>
        <w:numPr>
          <w:ilvl w:val="1"/>
          <w:numId w:val="1"/>
        </w:numPr>
        <w:spacing w:before="0" w:after="120"/>
      </w:pPr>
      <w:r w:rsidRPr="006D767C">
        <w:t>Atezolizumab is a humanised immunoglobulin monoclonal antibody that facilitates anticancer immune response through the binding to PD-L1. PD-L1 is an immune-checkpoint protein expressed on tumour cells and tumour infiltrating immune cells that, when activated, down regulates anti-tumour T-cell function by binding to PD-1 and B7.1 receptors. In contrast, the main comparator, nivolumab, is a human monoclonal antibody that blocks the interaction between PD-1 and its ligands, PD-L1 and PD-L2. Binding of the PD-1 ligands, PD-L1 and PD-L2, to the PD-1 receptor found on T cells, inhibits T-cell proliferation and cytokine production.</w:t>
      </w:r>
    </w:p>
    <w:p w:rsidR="002B4AD5" w:rsidRPr="006D767C" w:rsidRDefault="002C39B1" w:rsidP="002D73C8">
      <w:pPr>
        <w:numPr>
          <w:ilvl w:val="1"/>
          <w:numId w:val="1"/>
        </w:numPr>
      </w:pPr>
      <w:r w:rsidRPr="006D767C">
        <w:t xml:space="preserve">The proposed listing is for a patient population that is unselected based on PD-L1 expression. </w:t>
      </w:r>
      <w:r w:rsidR="005B514C" w:rsidRPr="006D767C">
        <w:t>The TGA evaluator noted that overall</w:t>
      </w:r>
      <w:r w:rsidR="00CE2A9E" w:rsidRPr="006D767C">
        <w:t xml:space="preserve">, </w:t>
      </w:r>
      <w:r w:rsidR="005B514C" w:rsidRPr="006D767C">
        <w:t>the results suggest</w:t>
      </w:r>
      <w:r w:rsidR="00CE2A9E" w:rsidRPr="006D767C">
        <w:t>ed</w:t>
      </w:r>
      <w:r w:rsidR="005B514C" w:rsidRPr="006D767C">
        <w:t xml:space="preserve"> that OS survival in patients treated with atezolizumab increases when patients with increased </w:t>
      </w:r>
      <w:r w:rsidR="00CB0934" w:rsidRPr="006D767C">
        <w:t>tumour</w:t>
      </w:r>
      <w:r w:rsidR="00185E15" w:rsidRPr="006D767C">
        <w:t xml:space="preserve"> cell (</w:t>
      </w:r>
      <w:r w:rsidR="005B514C" w:rsidRPr="006D767C">
        <w:t>TC</w:t>
      </w:r>
      <w:r w:rsidR="00185E15" w:rsidRPr="006D767C">
        <w:t>)</w:t>
      </w:r>
      <w:r w:rsidR="005B514C" w:rsidRPr="006D767C">
        <w:t xml:space="preserve"> and </w:t>
      </w:r>
      <w:r w:rsidR="00CB0934" w:rsidRPr="006D767C">
        <w:t>tumour</w:t>
      </w:r>
      <w:r w:rsidR="00185E15" w:rsidRPr="006D767C">
        <w:t>-infiltrating immune cell (IC)</w:t>
      </w:r>
      <w:r w:rsidR="005B514C" w:rsidRPr="006D767C">
        <w:t xml:space="preserve"> PD-L1 expression are included in the treatment group. </w:t>
      </w:r>
      <w:r w:rsidR="00A92A6F" w:rsidRPr="006D767C">
        <w:t xml:space="preserve">The TGA delegate raised an issue of whether the Product Information (PI) for atezolizumab should recommend PD-L1 testing in NSCLC, or given the apparent benefit in PD-L1 negative patients (in the atezolizumab trials), should this be left to clinician/patient choice. The </w:t>
      </w:r>
      <w:r w:rsidR="00185E15" w:rsidRPr="006D767C">
        <w:t>Advisory Committee on Medicines (</w:t>
      </w:r>
      <w:r w:rsidR="00A92A6F" w:rsidRPr="006D767C">
        <w:t>ACM</w:t>
      </w:r>
      <w:r w:rsidR="00185E15" w:rsidRPr="006D767C">
        <w:t>)</w:t>
      </w:r>
      <w:r w:rsidR="00A92A6F" w:rsidRPr="006D767C">
        <w:t xml:space="preserve"> agreed that prognostic testing for PD-L1 expression in NSCLC is recommended, but not mandatory. The ACM also agreed that it would be reasonable for PD-L1 testing in NSCLC be left to the discretion of treating clinicians in the absence</w:t>
      </w:r>
      <w:r w:rsidR="00AE0DC9" w:rsidRPr="006D767C">
        <w:t xml:space="preserve"> of robust and consistent data.</w:t>
      </w:r>
    </w:p>
    <w:p w:rsidR="002C39B1" w:rsidRPr="006D767C" w:rsidRDefault="002C39B1" w:rsidP="002D73C8">
      <w:pPr>
        <w:numPr>
          <w:ilvl w:val="1"/>
          <w:numId w:val="1"/>
        </w:numPr>
      </w:pPr>
      <w:r w:rsidRPr="006D767C">
        <w:t>Although the clinical utility of the PD-L1 testing and the</w:t>
      </w:r>
      <w:r w:rsidR="00D17023" w:rsidRPr="006D767C">
        <w:t xml:space="preserve"> </w:t>
      </w:r>
      <w:r w:rsidR="0070507A" w:rsidRPr="006D767C">
        <w:t xml:space="preserve">Royal College of Pathologists of Australasia (RCPA) </w:t>
      </w:r>
      <w:r w:rsidR="00D17023" w:rsidRPr="006D767C">
        <w:t>Quality Assurance Program</w:t>
      </w:r>
      <w:r w:rsidRPr="006D767C">
        <w:t xml:space="preserve"> </w:t>
      </w:r>
      <w:r w:rsidR="00D17023" w:rsidRPr="006D767C">
        <w:t>(</w:t>
      </w:r>
      <w:r w:rsidRPr="006D767C">
        <w:t>QAP</w:t>
      </w:r>
      <w:r w:rsidR="00D17023" w:rsidRPr="006D767C">
        <w:t>)</w:t>
      </w:r>
      <w:r w:rsidRPr="006D767C">
        <w:t xml:space="preserve"> are developing, and there is a lack of evidence for the appropriate PD-L1 expression threshold, these should not be considered as the basis for requesting an unselected population. This decision should be based </w:t>
      </w:r>
      <w:r w:rsidR="00AE0DC9" w:rsidRPr="006D767C">
        <w:t>primarily</w:t>
      </w:r>
      <w:r w:rsidRPr="006D767C">
        <w:t xml:space="preserve"> on clinical evidence showing that PD-L1 expression is not an effect</w:t>
      </w:r>
      <w:r w:rsidR="0070507A" w:rsidRPr="006D767C">
        <w:t xml:space="preserve"> modif</w:t>
      </w:r>
      <w:r w:rsidR="00CE1DD9" w:rsidRPr="006D767C">
        <w:t>i</w:t>
      </w:r>
      <w:r w:rsidR="0070507A" w:rsidRPr="006D767C">
        <w:t>er</w:t>
      </w:r>
      <w:r w:rsidRPr="006D767C">
        <w:t>.</w:t>
      </w:r>
      <w:r w:rsidR="0067066C" w:rsidRPr="006D767C">
        <w:t xml:space="preserve"> The ESC considered that the utility of PD-L1 testing in this condition was a contentious matter, given that the sensitivity and specificity of the </w:t>
      </w:r>
      <w:r w:rsidR="00A66742" w:rsidRPr="006D767C">
        <w:t xml:space="preserve">available </w:t>
      </w:r>
      <w:r w:rsidR="0067066C" w:rsidRPr="006D767C">
        <w:t>tests were still an evolving area in molecular pathology. Additionally, noting that the current listing of ni</w:t>
      </w:r>
      <w:r w:rsidR="002058E3" w:rsidRPr="006D767C">
        <w:t xml:space="preserve">volumab is not conditional </w:t>
      </w:r>
      <w:r w:rsidR="009D4D95" w:rsidRPr="006D767C">
        <w:t>on</w:t>
      </w:r>
      <w:r w:rsidR="002058E3" w:rsidRPr="006D767C">
        <w:t xml:space="preserve"> P</w:t>
      </w:r>
      <w:r w:rsidR="0067066C" w:rsidRPr="006D767C">
        <w:t>D-L1 status, the ESC considered that</w:t>
      </w:r>
      <w:r w:rsidR="00AE0DC9" w:rsidRPr="006D767C">
        <w:t>,</w:t>
      </w:r>
      <w:r w:rsidR="0067066C" w:rsidRPr="006D767C">
        <w:t xml:space="preserve"> at the present time, it was difficult to determine if there was any benefit in stratifying patients based on PD-L1 status for atezolizumab</w:t>
      </w:r>
      <w:r w:rsidR="00A66742" w:rsidRPr="006D767C">
        <w:t xml:space="preserve"> (see paragraph</w:t>
      </w:r>
      <w:r w:rsidR="00CD2D40" w:rsidRPr="006D767C">
        <w:t xml:space="preserve"> </w:t>
      </w:r>
      <w:r w:rsidR="005B3D65" w:rsidRPr="006D767C">
        <w:t>6.</w:t>
      </w:r>
      <w:r w:rsidR="008644D5" w:rsidRPr="006D767C">
        <w:t>20</w:t>
      </w:r>
      <w:r w:rsidR="00A66742" w:rsidRPr="006D767C">
        <w:t>)</w:t>
      </w:r>
      <w:r w:rsidR="0067066C" w:rsidRPr="006D767C">
        <w:t>.</w:t>
      </w:r>
    </w:p>
    <w:p w:rsidR="00CE2A9E" w:rsidRPr="006D767C" w:rsidRDefault="00E41B72" w:rsidP="002D73C8">
      <w:pPr>
        <w:numPr>
          <w:ilvl w:val="1"/>
          <w:numId w:val="1"/>
        </w:numPr>
      </w:pPr>
      <w:r w:rsidRPr="006D767C">
        <w:t xml:space="preserve">Nivolumab was recommended for listing </w:t>
      </w:r>
      <w:r w:rsidR="00A83378" w:rsidRPr="006D767C">
        <w:t>at the March 2017 PBAC meeting, and listed on the PBS in September 2017</w:t>
      </w:r>
      <w:r w:rsidR="00DF3A2F" w:rsidRPr="006D767C">
        <w:t>,</w:t>
      </w:r>
      <w:r w:rsidR="00A83378" w:rsidRPr="006D767C">
        <w:t xml:space="preserve"> for </w:t>
      </w:r>
      <w:r w:rsidR="00DF3A2F" w:rsidRPr="006D767C">
        <w:t xml:space="preserve">the treatment of </w:t>
      </w:r>
      <w:r w:rsidR="00A83378" w:rsidRPr="006D767C">
        <w:t xml:space="preserve">patients with squamous or non-squamous locally advanced or metastatic NSCLC, after failure with a platinum-based chemotherapy. </w:t>
      </w:r>
      <w:r w:rsidR="00DF3A2F" w:rsidRPr="006D767C">
        <w:t>PBS-subsidised access to</w:t>
      </w:r>
      <w:r w:rsidR="00A83378" w:rsidRPr="006D767C">
        <w:t xml:space="preserve"> nivolumab is not dependent on PD-L1 status.</w:t>
      </w:r>
    </w:p>
    <w:p w:rsidR="005E7260" w:rsidRPr="006D767C" w:rsidRDefault="005E7260" w:rsidP="00825D93">
      <w:pPr>
        <w:pStyle w:val="ListParagraph"/>
        <w:rPr>
          <w:i/>
        </w:rPr>
      </w:pPr>
      <w:r w:rsidRPr="006D767C">
        <w:rPr>
          <w:i/>
        </w:rPr>
        <w:t>For more detail on PBAC’s view, see section 7 PBAC outcome.</w:t>
      </w:r>
    </w:p>
    <w:p w:rsidR="0089504C" w:rsidRPr="006D767C" w:rsidRDefault="0089504C" w:rsidP="00344B66">
      <w:pPr>
        <w:pStyle w:val="Heading1"/>
      </w:pPr>
      <w:bookmarkStart w:id="10" w:name="_Toc413139275"/>
      <w:bookmarkStart w:id="11" w:name="_Toc492917629"/>
      <w:r w:rsidRPr="006D767C">
        <w:t>Comparator</w:t>
      </w:r>
      <w:bookmarkEnd w:id="10"/>
      <w:bookmarkEnd w:id="11"/>
    </w:p>
    <w:p w:rsidR="0089504C" w:rsidRPr="006D767C" w:rsidRDefault="0089504C" w:rsidP="002D73C8">
      <w:pPr>
        <w:numPr>
          <w:ilvl w:val="1"/>
          <w:numId w:val="1"/>
        </w:numPr>
      </w:pPr>
      <w:r w:rsidRPr="006D767C">
        <w:t xml:space="preserve">The submission nominated nivolumab as the main comparator. </w:t>
      </w:r>
      <w:r w:rsidR="00DF3A2F" w:rsidRPr="006D767C">
        <w:t>This wa</w:t>
      </w:r>
      <w:r w:rsidRPr="006D767C">
        <w:t xml:space="preserve">s appropriate given that nivolumab </w:t>
      </w:r>
      <w:r w:rsidR="00B9324E" w:rsidRPr="006D767C">
        <w:t xml:space="preserve">is a drug in the same therapeutic class as atezolizumab and </w:t>
      </w:r>
      <w:r w:rsidRPr="006D767C">
        <w:t xml:space="preserve">has been listed on the PBS for the requested indication – locally advanced or metastatic NSCLC patients who have progressed on or after prior chemotherapy. </w:t>
      </w:r>
      <w:r w:rsidR="002058E3" w:rsidRPr="006D767C">
        <w:t xml:space="preserve">The ESC </w:t>
      </w:r>
      <w:r w:rsidR="00620C6F" w:rsidRPr="006D767C">
        <w:t xml:space="preserve">and the PBAC </w:t>
      </w:r>
      <w:r w:rsidR="002058E3" w:rsidRPr="006D767C">
        <w:t xml:space="preserve">considered that nivolumab was </w:t>
      </w:r>
      <w:r w:rsidR="00A66742" w:rsidRPr="006D767C">
        <w:t xml:space="preserve">the </w:t>
      </w:r>
      <w:r w:rsidR="002058E3" w:rsidRPr="006D767C">
        <w:t>appropriate comparator.</w:t>
      </w:r>
    </w:p>
    <w:p w:rsidR="005E7260" w:rsidRPr="006D767C" w:rsidRDefault="005E7260" w:rsidP="00825D93">
      <w:pPr>
        <w:pStyle w:val="ListParagraph"/>
        <w:rPr>
          <w:i/>
        </w:rPr>
      </w:pPr>
      <w:r w:rsidRPr="006D767C">
        <w:rPr>
          <w:i/>
        </w:rPr>
        <w:t>For more detail on PBAC’s view, see section 7 PBAC outcome.</w:t>
      </w:r>
    </w:p>
    <w:p w:rsidR="0089504C" w:rsidRPr="006D767C" w:rsidRDefault="0089504C" w:rsidP="00344B66">
      <w:pPr>
        <w:pStyle w:val="Heading1"/>
      </w:pPr>
      <w:bookmarkStart w:id="12" w:name="_Toc413139276"/>
      <w:bookmarkStart w:id="13" w:name="_Toc492917630"/>
      <w:r w:rsidRPr="006D767C">
        <w:t>Consideration of the evidence</w:t>
      </w:r>
      <w:bookmarkEnd w:id="12"/>
      <w:bookmarkEnd w:id="13"/>
    </w:p>
    <w:p w:rsidR="005E7260" w:rsidRPr="006D767C" w:rsidRDefault="005E7260" w:rsidP="005E7260">
      <w:pPr>
        <w:pStyle w:val="Heading2"/>
      </w:pPr>
      <w:r w:rsidRPr="006D767C">
        <w:t>Sponsor hearing</w:t>
      </w:r>
    </w:p>
    <w:p w:rsidR="005E7260" w:rsidRPr="006D767C" w:rsidRDefault="009D1375" w:rsidP="002D73C8">
      <w:pPr>
        <w:pStyle w:val="ListParagraph"/>
        <w:numPr>
          <w:ilvl w:val="1"/>
          <w:numId w:val="1"/>
        </w:numPr>
        <w:spacing w:before="0" w:after="120"/>
      </w:pPr>
      <w:r w:rsidRPr="006D767C">
        <w:t>There was no hearing for this item.</w:t>
      </w:r>
    </w:p>
    <w:p w:rsidR="005E7260" w:rsidRPr="006D767C" w:rsidRDefault="005E7260" w:rsidP="005E7260">
      <w:pPr>
        <w:pStyle w:val="Heading2"/>
      </w:pPr>
      <w:r w:rsidRPr="006D767C">
        <w:t>Consumer comments</w:t>
      </w:r>
    </w:p>
    <w:p w:rsidR="004E2B84" w:rsidRPr="006D767C" w:rsidRDefault="004E2B84" w:rsidP="002D73C8">
      <w:pPr>
        <w:numPr>
          <w:ilvl w:val="1"/>
          <w:numId w:val="1"/>
        </w:numPr>
      </w:pPr>
      <w:r w:rsidRPr="006D767C">
        <w:t>The PBAC noted and welcomed the input from individuals (2) via the Consumer Comments facility on the PBS website. The comments describe</w:t>
      </w:r>
      <w:r w:rsidR="00825D93" w:rsidRPr="006D767C">
        <w:t>d</w:t>
      </w:r>
      <w:r w:rsidRPr="006D767C">
        <w:t xml:space="preserve"> the </w:t>
      </w:r>
      <w:r w:rsidR="00825D93" w:rsidRPr="006D767C">
        <w:t>benefits of atezolizumab as an additional treatment option in NSCLC, and its efficacy and tolerability profile.</w:t>
      </w:r>
    </w:p>
    <w:p w:rsidR="00825D93" w:rsidRPr="006D767C" w:rsidRDefault="00825D93" w:rsidP="002D73C8">
      <w:pPr>
        <w:pStyle w:val="ListParagraph"/>
        <w:numPr>
          <w:ilvl w:val="1"/>
          <w:numId w:val="1"/>
        </w:numPr>
      </w:pPr>
      <w:r w:rsidRPr="006D767C">
        <w:t xml:space="preserve">The Medical Oncology Group of Australia (MOGA) also expressed its support for the atezolizumab submission, </w:t>
      </w:r>
      <w:r w:rsidR="00B96F27" w:rsidRPr="006D767C">
        <w:t xml:space="preserve">and advised that atezolizumab was comparable to nivolumab, which is currently PBS listed for this indication. </w:t>
      </w:r>
      <w:r w:rsidRPr="006D767C">
        <w:t xml:space="preserve">The PBAC noted that the MOGA presented </w:t>
      </w:r>
      <w:r w:rsidR="00B96F27" w:rsidRPr="006D767C">
        <w:t>a</w:t>
      </w:r>
      <w:r w:rsidRPr="006D767C">
        <w:t xml:space="preserve"> European Society for Medical Oncology Magnitude of Clinical Benefit Scale (ESMO-MCBS) </w:t>
      </w:r>
      <w:r w:rsidR="00B96F27" w:rsidRPr="006D767C">
        <w:t xml:space="preserve">of 5 for atezolizumab </w:t>
      </w:r>
      <w:r w:rsidRPr="006D767C">
        <w:t>(out of a maximum of 5, where 5 and 4 represent the grades with substantial improvement)</w:t>
      </w:r>
      <w:r w:rsidRPr="006D767C">
        <w:rPr>
          <w:rStyle w:val="FootnoteReference"/>
        </w:rPr>
        <w:footnoteReference w:id="1"/>
      </w:r>
      <w:r w:rsidRPr="006D767C">
        <w:t xml:space="preserve">, based on </w:t>
      </w:r>
      <w:r w:rsidR="00B96F27" w:rsidRPr="006D767C">
        <w:t>a comparison against docetaxel</w:t>
      </w:r>
      <w:r w:rsidRPr="006D767C">
        <w:t>.</w:t>
      </w:r>
    </w:p>
    <w:p w:rsidR="005E7260" w:rsidRPr="006D767C" w:rsidRDefault="005E7260" w:rsidP="005E7260">
      <w:pPr>
        <w:pStyle w:val="Heading2"/>
      </w:pPr>
      <w:r w:rsidRPr="006D767C">
        <w:t>Clinical trials</w:t>
      </w:r>
    </w:p>
    <w:p w:rsidR="0089504C" w:rsidRPr="006D767C" w:rsidRDefault="0089504C" w:rsidP="002D73C8">
      <w:pPr>
        <w:numPr>
          <w:ilvl w:val="1"/>
          <w:numId w:val="1"/>
        </w:numPr>
      </w:pPr>
      <w:r w:rsidRPr="006D767C">
        <w:t>The submission was based on an indirect comparison of four randomised controlled trials</w:t>
      </w:r>
      <w:r w:rsidR="00BB3B97" w:rsidRPr="006D767C">
        <w:t xml:space="preserve"> (RCTs)</w:t>
      </w:r>
      <w:r w:rsidRPr="006D767C">
        <w:t xml:space="preserve">, via a common reference of docetaxel: </w:t>
      </w:r>
    </w:p>
    <w:p w:rsidR="0089504C" w:rsidRPr="006D767C" w:rsidRDefault="0089504C" w:rsidP="002D73C8">
      <w:pPr>
        <w:numPr>
          <w:ilvl w:val="0"/>
          <w:numId w:val="8"/>
        </w:numPr>
        <w:ind w:left="1204" w:hanging="490"/>
      </w:pPr>
      <w:r w:rsidRPr="006D767C">
        <w:t>OAK: A phase III open-label RCT of atezolizumab vs docetaxel in both squamous and non-squamous patients;</w:t>
      </w:r>
    </w:p>
    <w:p w:rsidR="0089504C" w:rsidRPr="006D767C" w:rsidRDefault="0089504C" w:rsidP="002D73C8">
      <w:pPr>
        <w:numPr>
          <w:ilvl w:val="0"/>
          <w:numId w:val="8"/>
        </w:numPr>
        <w:ind w:left="1204" w:hanging="490"/>
      </w:pPr>
      <w:r w:rsidRPr="006D767C">
        <w:t>POPLAR: A phase II open-label RCT of atezolizumab vs docetaxel in both squamous and non-squamous patients;</w:t>
      </w:r>
    </w:p>
    <w:p w:rsidR="0089504C" w:rsidRPr="006D767C" w:rsidRDefault="0089504C" w:rsidP="002D73C8">
      <w:pPr>
        <w:numPr>
          <w:ilvl w:val="0"/>
          <w:numId w:val="8"/>
        </w:numPr>
        <w:ind w:left="1204" w:hanging="490"/>
      </w:pPr>
      <w:r w:rsidRPr="006D767C">
        <w:t>Checkmate 017: A phase III open-label RCT of nivolumab vs docetaxel in squamous patients; and</w:t>
      </w:r>
    </w:p>
    <w:p w:rsidR="0089504C" w:rsidRPr="006D767C" w:rsidRDefault="0089504C" w:rsidP="002D73C8">
      <w:pPr>
        <w:numPr>
          <w:ilvl w:val="0"/>
          <w:numId w:val="8"/>
        </w:numPr>
        <w:ind w:left="1204" w:hanging="490"/>
      </w:pPr>
      <w:r w:rsidRPr="006D767C">
        <w:t>Checkmate 057: A phase III open-label RCT of nivolumab vs docetaxel in non-squamous patients.</w:t>
      </w:r>
    </w:p>
    <w:p w:rsidR="0089504C" w:rsidRPr="006D767C" w:rsidRDefault="0089504C" w:rsidP="002D73C8">
      <w:pPr>
        <w:numPr>
          <w:ilvl w:val="1"/>
          <w:numId w:val="1"/>
        </w:numPr>
        <w:spacing w:before="0" w:after="120"/>
      </w:pPr>
      <w:r w:rsidRPr="006D767C">
        <w:t xml:space="preserve">Checkmate 017 and Checkmate 057 have been considered by the PBAC previously when considering nivolumab for locally advanced or metastatic NSCLC </w:t>
      </w:r>
      <w:r w:rsidR="00D17023" w:rsidRPr="006D767C">
        <w:t xml:space="preserve">patients </w:t>
      </w:r>
      <w:r w:rsidRPr="006D767C">
        <w:t xml:space="preserve">who have failed </w:t>
      </w:r>
      <w:r w:rsidR="00545F59" w:rsidRPr="006D767C">
        <w:t>platinum-based</w:t>
      </w:r>
      <w:r w:rsidRPr="006D767C">
        <w:t xml:space="preserve"> chemotherapy.</w:t>
      </w:r>
    </w:p>
    <w:p w:rsidR="0089504C" w:rsidRPr="006D767C" w:rsidRDefault="0089504C" w:rsidP="002D73C8">
      <w:pPr>
        <w:numPr>
          <w:ilvl w:val="1"/>
          <w:numId w:val="1"/>
        </w:numPr>
        <w:spacing w:before="0" w:after="120"/>
      </w:pPr>
      <w:r w:rsidRPr="006D767C">
        <w:t xml:space="preserve">The ITT populations from each of the arms in the respective trials were meta-analysed prior to conducting an indirect comparison, based on the </w:t>
      </w:r>
      <w:r w:rsidR="00344B66" w:rsidRPr="006D767C">
        <w:t>Bucher</w:t>
      </w:r>
      <w:r w:rsidRPr="006D767C">
        <w:t xml:space="preserve"> method</w:t>
      </w:r>
      <w:r w:rsidR="00743590" w:rsidRPr="006D767C">
        <w:rPr>
          <w:rStyle w:val="FootnoteReference"/>
        </w:rPr>
        <w:footnoteReference w:id="2"/>
      </w:r>
      <w:r w:rsidRPr="006D767C">
        <w:t>.</w:t>
      </w:r>
    </w:p>
    <w:p w:rsidR="0089504C" w:rsidRPr="006D767C" w:rsidRDefault="0089504C" w:rsidP="002D73C8">
      <w:pPr>
        <w:numPr>
          <w:ilvl w:val="1"/>
          <w:numId w:val="1"/>
        </w:numPr>
        <w:spacing w:before="0" w:after="120"/>
      </w:pPr>
      <w:r w:rsidRPr="006D767C">
        <w:t>Details of the trials presented in the submission ar</w:t>
      </w:r>
      <w:r w:rsidR="00AE0DC9" w:rsidRPr="006D767C">
        <w:t>e provided in the table below.</w:t>
      </w:r>
    </w:p>
    <w:p w:rsidR="00256A09" w:rsidRDefault="00256A09">
      <w:pPr>
        <w:spacing w:before="0" w:line="259" w:lineRule="auto"/>
        <w:jc w:val="left"/>
        <w:rPr>
          <w:rFonts w:ascii="Arial Narrow" w:hAnsi="Arial Narrow"/>
          <w:b/>
          <w:sz w:val="20"/>
        </w:rPr>
      </w:pPr>
      <w:r>
        <w:rPr>
          <w:rFonts w:ascii="Arial Narrow" w:hAnsi="Arial Narrow"/>
          <w:b/>
          <w:sz w:val="20"/>
        </w:rPr>
        <w:br w:type="page"/>
      </w:r>
    </w:p>
    <w:p w:rsidR="00ED60F1" w:rsidRPr="006D767C" w:rsidRDefault="004D4E2C" w:rsidP="00ED60F1">
      <w:pPr>
        <w:keepNext/>
        <w:tabs>
          <w:tab w:val="left" w:pos="5643"/>
        </w:tabs>
        <w:spacing w:before="0" w:after="60"/>
        <w:jc w:val="left"/>
        <w:rPr>
          <w:rFonts w:ascii="Arial Narrow" w:hAnsi="Arial Narrow"/>
          <w:b/>
          <w:sz w:val="20"/>
        </w:rPr>
      </w:pPr>
      <w:r w:rsidRPr="006D767C">
        <w:rPr>
          <w:rFonts w:ascii="Arial Narrow" w:hAnsi="Arial Narrow"/>
          <w:b/>
          <w:sz w:val="20"/>
        </w:rPr>
        <w:t>Table 2</w:t>
      </w:r>
      <w:r w:rsidR="0089504C" w:rsidRPr="006D767C">
        <w:rPr>
          <w:rFonts w:ascii="Arial Narrow" w:hAnsi="Arial Narrow"/>
          <w:b/>
          <w:sz w:val="20"/>
        </w:rPr>
        <w:t>: Trials and associated reports presented in the submission</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5"/>
        <w:gridCol w:w="5328"/>
        <w:gridCol w:w="2470"/>
      </w:tblGrid>
      <w:tr w:rsidR="00ED60F1" w:rsidRPr="006D767C" w:rsidTr="00256A09">
        <w:tc>
          <w:tcPr>
            <w:tcW w:w="782" w:type="pct"/>
          </w:tcPr>
          <w:p w:rsidR="00ED60F1" w:rsidRPr="006D767C" w:rsidRDefault="00ED60F1" w:rsidP="007171FC">
            <w:pPr>
              <w:widowControl w:val="0"/>
              <w:spacing w:before="40" w:after="40"/>
              <w:jc w:val="left"/>
              <w:rPr>
                <w:rFonts w:ascii="Arial Narrow" w:hAnsi="Arial Narrow"/>
                <w:b/>
                <w:sz w:val="20"/>
              </w:rPr>
            </w:pPr>
            <w:r w:rsidRPr="006D767C">
              <w:rPr>
                <w:rFonts w:ascii="Arial Narrow" w:hAnsi="Arial Narrow"/>
                <w:b/>
                <w:sz w:val="20"/>
              </w:rPr>
              <w:t>Trial ID</w:t>
            </w:r>
          </w:p>
        </w:tc>
        <w:tc>
          <w:tcPr>
            <w:tcW w:w="2882" w:type="pct"/>
          </w:tcPr>
          <w:p w:rsidR="00ED60F1" w:rsidRPr="006D767C" w:rsidRDefault="00ED60F1" w:rsidP="007171FC">
            <w:pPr>
              <w:widowControl w:val="0"/>
              <w:spacing w:before="40" w:after="40"/>
              <w:ind w:left="90"/>
              <w:jc w:val="left"/>
              <w:rPr>
                <w:rFonts w:ascii="Arial Narrow" w:hAnsi="Arial Narrow"/>
                <w:b/>
                <w:sz w:val="20"/>
              </w:rPr>
            </w:pPr>
            <w:r w:rsidRPr="006D767C">
              <w:rPr>
                <w:rFonts w:ascii="Arial Narrow" w:hAnsi="Arial Narrow"/>
                <w:b/>
                <w:sz w:val="20"/>
              </w:rPr>
              <w:t>Protocol title/ Publication title</w:t>
            </w:r>
          </w:p>
        </w:tc>
        <w:tc>
          <w:tcPr>
            <w:tcW w:w="1335" w:type="pct"/>
          </w:tcPr>
          <w:p w:rsidR="00ED60F1" w:rsidRPr="006D767C" w:rsidRDefault="00ED60F1" w:rsidP="007171FC">
            <w:pPr>
              <w:widowControl w:val="0"/>
              <w:spacing w:before="40" w:after="40"/>
              <w:jc w:val="left"/>
              <w:rPr>
                <w:rFonts w:ascii="Arial Narrow" w:hAnsi="Arial Narrow"/>
                <w:b/>
                <w:sz w:val="20"/>
              </w:rPr>
            </w:pPr>
            <w:r w:rsidRPr="006D767C">
              <w:rPr>
                <w:rFonts w:ascii="Arial Narrow" w:hAnsi="Arial Narrow"/>
                <w:b/>
                <w:sz w:val="20"/>
              </w:rPr>
              <w:t>Publication citation</w:t>
            </w:r>
          </w:p>
        </w:tc>
      </w:tr>
      <w:tr w:rsidR="00ED60F1" w:rsidRPr="006D767C" w:rsidTr="00256A09">
        <w:tc>
          <w:tcPr>
            <w:tcW w:w="5000" w:type="pct"/>
            <w:gridSpan w:val="3"/>
            <w:tcBorders>
              <w:bottom w:val="single" w:sz="4" w:space="0" w:color="auto"/>
            </w:tcBorders>
          </w:tcPr>
          <w:p w:rsidR="00ED60F1" w:rsidRPr="006D767C" w:rsidRDefault="00ED60F1" w:rsidP="007171FC">
            <w:pPr>
              <w:widowControl w:val="0"/>
              <w:spacing w:before="40" w:after="40"/>
              <w:ind w:left="90"/>
              <w:jc w:val="left"/>
              <w:rPr>
                <w:rFonts w:ascii="Arial Narrow" w:hAnsi="Arial Narrow"/>
                <w:b/>
                <w:sz w:val="20"/>
              </w:rPr>
            </w:pPr>
            <w:r w:rsidRPr="006D767C">
              <w:rPr>
                <w:rFonts w:ascii="Arial Narrow" w:hAnsi="Arial Narrow"/>
                <w:b/>
                <w:sz w:val="20"/>
              </w:rPr>
              <w:t>Direct randomised trial(s)</w:t>
            </w:r>
          </w:p>
        </w:tc>
      </w:tr>
      <w:tr w:rsidR="00ED60F1" w:rsidRPr="006D767C" w:rsidTr="00256A09">
        <w:tc>
          <w:tcPr>
            <w:tcW w:w="782" w:type="pct"/>
            <w:tcBorders>
              <w:bottom w:val="nil"/>
            </w:tcBorders>
          </w:tcPr>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OAK</w:t>
            </w:r>
          </w:p>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(Study GO28915)</w:t>
            </w:r>
          </w:p>
        </w:tc>
        <w:tc>
          <w:tcPr>
            <w:tcW w:w="2882" w:type="pct"/>
            <w:tcBorders>
              <w:bottom w:val="nil"/>
            </w:tcBorders>
          </w:tcPr>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Primary Clinical Study Report – GO28915 OAK. A Phase III, open-label multicenter, randomised study to investigate the efficacy and safety of atezolizumab (anti−PD-L1 antibody) compared with docetaxel in patients with non−small cell lung cancer after failure with platinum-containing chemotherapy (OAK). </w:t>
            </w:r>
          </w:p>
        </w:tc>
        <w:tc>
          <w:tcPr>
            <w:tcW w:w="1335" w:type="pct"/>
            <w:tcBorders>
              <w:bottom w:val="nil"/>
            </w:tcBorders>
          </w:tcPr>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Report No. 1070445. December 2016</w:t>
            </w:r>
          </w:p>
        </w:tc>
      </w:tr>
      <w:tr w:rsidR="00ED60F1" w:rsidRPr="006D767C" w:rsidTr="00256A09">
        <w:tc>
          <w:tcPr>
            <w:tcW w:w="782" w:type="pct"/>
            <w:tcBorders>
              <w:top w:val="nil"/>
              <w:bottom w:val="nil"/>
              <w:right w:val="single" w:sz="4" w:space="0" w:color="auto"/>
            </w:tcBorders>
          </w:tcPr>
          <w:p w:rsidR="00ED60F1" w:rsidRPr="006D767C" w:rsidRDefault="00ED60F1" w:rsidP="007171FC">
            <w:pPr>
              <w:widowControl w:val="0"/>
              <w:spacing w:before="40" w:after="40"/>
              <w:jc w:val="left"/>
              <w:rPr>
                <w:rFonts w:ascii="Arial Narrow" w:hAnsi="Arial Narrow"/>
                <w:sz w:val="20"/>
              </w:rPr>
            </w:pPr>
          </w:p>
        </w:tc>
        <w:tc>
          <w:tcPr>
            <w:tcW w:w="2882" w:type="pct"/>
            <w:tcBorders>
              <w:top w:val="nil"/>
              <w:left w:val="single" w:sz="4" w:space="0" w:color="auto"/>
              <w:bottom w:val="nil"/>
              <w:right w:val="single" w:sz="4" w:space="0" w:color="auto"/>
            </w:tcBorders>
          </w:tcPr>
          <w:p w:rsidR="00ED60F1" w:rsidRPr="006D767C" w:rsidRDefault="00ED60F1" w:rsidP="007171FC">
            <w:pPr>
              <w:widowControl w:val="0"/>
              <w:spacing w:before="40" w:after="40"/>
              <w:ind w:left="90"/>
              <w:jc w:val="left"/>
              <w:rPr>
                <w:rFonts w:ascii="Arial Narrow" w:eastAsia="Times New Roman" w:hAnsi="Arial Narrow" w:cs="Arial Narrow"/>
                <w:sz w:val="20"/>
                <w:szCs w:val="20"/>
                <w:u w:val="single"/>
              </w:rPr>
            </w:pPr>
            <w:r w:rsidRPr="006D767C">
              <w:rPr>
                <w:rFonts w:ascii="Arial Narrow" w:eastAsia="Times New Roman" w:hAnsi="Arial Narrow" w:cs="Arial Narrow"/>
                <w:sz w:val="20"/>
                <w:szCs w:val="20"/>
                <w:u w:val="single"/>
              </w:rPr>
              <w:t>Publications</w:t>
            </w:r>
          </w:p>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Rittmeyer A, Barlesi F et al. Atezolizumab versus docetaxel in patients with previously treated non-small-cell lung cancer (OAK): a phase 3, open-label, multicentre randomised controlled trial.</w:t>
            </w:r>
          </w:p>
        </w:tc>
        <w:tc>
          <w:tcPr>
            <w:tcW w:w="1335" w:type="pct"/>
            <w:tcBorders>
              <w:top w:val="nil"/>
              <w:left w:val="single" w:sz="4" w:space="0" w:color="auto"/>
              <w:bottom w:val="nil"/>
            </w:tcBorders>
          </w:tcPr>
          <w:p w:rsidR="00ED60F1" w:rsidRPr="006D767C" w:rsidRDefault="00ED60F1" w:rsidP="007171FC">
            <w:pPr>
              <w:widowControl w:val="0"/>
              <w:spacing w:before="40" w:after="40"/>
              <w:jc w:val="left"/>
              <w:rPr>
                <w:rFonts w:ascii="Arial Narrow" w:hAnsi="Arial Narrow"/>
                <w:sz w:val="20"/>
              </w:rPr>
            </w:pPr>
          </w:p>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The Lancet 2017; 389: 255-265</w:t>
            </w:r>
          </w:p>
        </w:tc>
      </w:tr>
      <w:tr w:rsidR="00ED60F1" w:rsidRPr="006D767C" w:rsidTr="00256A09">
        <w:tc>
          <w:tcPr>
            <w:tcW w:w="782" w:type="pct"/>
            <w:tcBorders>
              <w:top w:val="nil"/>
              <w:bottom w:val="nil"/>
              <w:right w:val="single" w:sz="4" w:space="0" w:color="auto"/>
            </w:tcBorders>
          </w:tcPr>
          <w:p w:rsidR="00ED60F1" w:rsidRPr="006D767C" w:rsidRDefault="00ED60F1" w:rsidP="007171FC">
            <w:pPr>
              <w:widowControl w:val="0"/>
              <w:spacing w:before="40" w:after="40"/>
              <w:jc w:val="left"/>
              <w:rPr>
                <w:rFonts w:ascii="Arial Narrow" w:hAnsi="Arial Narrow"/>
                <w:sz w:val="20"/>
              </w:rPr>
            </w:pPr>
          </w:p>
        </w:tc>
        <w:tc>
          <w:tcPr>
            <w:tcW w:w="2882" w:type="pct"/>
            <w:tcBorders>
              <w:top w:val="nil"/>
              <w:left w:val="single" w:sz="4" w:space="0" w:color="auto"/>
              <w:bottom w:val="nil"/>
              <w:right w:val="single" w:sz="4" w:space="0" w:color="auto"/>
            </w:tcBorders>
          </w:tcPr>
          <w:p w:rsidR="00ED60F1" w:rsidRPr="006D767C" w:rsidRDefault="00ED60F1" w:rsidP="00545F59">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Takada </w:t>
            </w:r>
            <w:r w:rsidR="007974B9" w:rsidRPr="009A6127">
              <w:rPr>
                <w:rFonts w:ascii="Arial Narrow" w:eastAsia="Times New Roman" w:hAnsi="Arial Narrow" w:cs="Arial Narrow"/>
                <w:sz w:val="20"/>
                <w:szCs w:val="20"/>
              </w:rPr>
              <w:t xml:space="preserve">K, Toyokawa G, Okamoto T, et al. </w:t>
            </w:r>
            <w:r w:rsidRPr="006D767C">
              <w:rPr>
                <w:rFonts w:ascii="Arial Narrow" w:eastAsia="Times New Roman" w:hAnsi="Arial Narrow" w:cs="Arial Narrow"/>
                <w:sz w:val="20"/>
                <w:szCs w:val="20"/>
              </w:rPr>
              <w:t>A Comprehensive Analysis of Programmed Cell Death Ligand-1 Expression With the Clone SP142 Antibody in Non-Small-Cell Lung Cancer Patients</w:t>
            </w:r>
          </w:p>
        </w:tc>
        <w:tc>
          <w:tcPr>
            <w:tcW w:w="1335" w:type="pct"/>
            <w:tcBorders>
              <w:top w:val="nil"/>
              <w:left w:val="single" w:sz="4" w:space="0" w:color="auto"/>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Clinical Lu</w:t>
            </w:r>
            <w:r w:rsidR="00C64B0E" w:rsidRPr="006D767C">
              <w:rPr>
                <w:rFonts w:ascii="Arial Narrow" w:eastAsia="Times New Roman" w:hAnsi="Arial Narrow" w:cs="Arial Narrow"/>
                <w:sz w:val="20"/>
                <w:szCs w:val="20"/>
              </w:rPr>
              <w:t xml:space="preserve">ng Cancer. In Press. 2017 </w:t>
            </w:r>
            <w:r w:rsidRPr="006D767C">
              <w:rPr>
                <w:rFonts w:ascii="Arial Narrow" w:eastAsia="Times New Roman" w:hAnsi="Arial Narrow" w:cs="Arial Narrow"/>
                <w:sz w:val="20"/>
                <w:szCs w:val="20"/>
              </w:rPr>
              <w:t>DOI:10.1016/j.cllc.2017.02.004</w:t>
            </w:r>
          </w:p>
          <w:p w:rsidR="00ED60F1" w:rsidRPr="006D767C" w:rsidRDefault="00ED60F1" w:rsidP="007171FC">
            <w:pPr>
              <w:widowControl w:val="0"/>
              <w:spacing w:before="40" w:after="40"/>
              <w:jc w:val="left"/>
              <w:rPr>
                <w:rFonts w:ascii="Arial Narrow" w:hAnsi="Arial Narrow"/>
                <w:sz w:val="20"/>
              </w:rPr>
            </w:pPr>
          </w:p>
        </w:tc>
      </w:tr>
      <w:tr w:rsidR="00ED60F1" w:rsidRPr="006D767C" w:rsidTr="00256A09">
        <w:tc>
          <w:tcPr>
            <w:tcW w:w="782" w:type="pct"/>
            <w:tcBorders>
              <w:top w:val="nil"/>
              <w:bottom w:val="single" w:sz="4" w:space="0" w:color="auto"/>
              <w:right w:val="single" w:sz="4" w:space="0" w:color="auto"/>
            </w:tcBorders>
          </w:tcPr>
          <w:p w:rsidR="00ED60F1" w:rsidRPr="006D767C" w:rsidRDefault="00ED60F1" w:rsidP="007171FC">
            <w:pPr>
              <w:widowControl w:val="0"/>
              <w:spacing w:before="40" w:after="40"/>
              <w:jc w:val="left"/>
              <w:rPr>
                <w:rFonts w:ascii="Arial Narrow" w:hAnsi="Arial Narrow"/>
                <w:sz w:val="20"/>
              </w:rPr>
            </w:pPr>
          </w:p>
        </w:tc>
        <w:tc>
          <w:tcPr>
            <w:tcW w:w="2882" w:type="pct"/>
            <w:tcBorders>
              <w:top w:val="nil"/>
              <w:left w:val="single" w:sz="4" w:space="0" w:color="auto"/>
              <w:bottom w:val="single" w:sz="4" w:space="0" w:color="auto"/>
              <w:right w:val="single" w:sz="4" w:space="0" w:color="auto"/>
            </w:tcBorders>
          </w:tcPr>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Gandara D, Von Pawel J. Atezolizumab Treatment Beyond Disease Progression in Advanced NSCLC: Results From the Randomized Ph III OAK Study. </w:t>
            </w:r>
          </w:p>
        </w:tc>
        <w:tc>
          <w:tcPr>
            <w:tcW w:w="1335" w:type="pct"/>
            <w:tcBorders>
              <w:top w:val="nil"/>
              <w:left w:val="single" w:sz="4" w:space="0" w:color="auto"/>
              <w:bottom w:val="single" w:sz="4" w:space="0" w:color="auto"/>
            </w:tcBorders>
          </w:tcPr>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Presented at ASCO 2017, Chicago Illinois, June 2017.</w:t>
            </w:r>
          </w:p>
        </w:tc>
      </w:tr>
      <w:tr w:rsidR="00ED60F1" w:rsidRPr="006D767C" w:rsidTr="00256A09">
        <w:tc>
          <w:tcPr>
            <w:tcW w:w="782" w:type="pct"/>
            <w:tcBorders>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POPLAR</w:t>
            </w:r>
          </w:p>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(Study GO28753)</w:t>
            </w:r>
          </w:p>
        </w:tc>
        <w:tc>
          <w:tcPr>
            <w:tcW w:w="2882" w:type="pct"/>
            <w:tcBorders>
              <w:bottom w:val="nil"/>
            </w:tcBorders>
          </w:tcPr>
          <w:p w:rsidR="00ED60F1" w:rsidRPr="006D767C" w:rsidRDefault="00ED60F1" w:rsidP="007171FC">
            <w:pPr>
              <w:widowControl w:val="0"/>
              <w:spacing w:before="40" w:after="40"/>
              <w:ind w:left="90"/>
              <w:jc w:val="left"/>
              <w:rPr>
                <w:rFonts w:ascii="Arial Narrow" w:hAnsi="Arial Narrow"/>
                <w:sz w:val="20"/>
              </w:rPr>
            </w:pPr>
            <w:r w:rsidRPr="006D767C">
              <w:rPr>
                <w:rFonts w:ascii="Arial Narrow" w:hAnsi="Arial Narrow"/>
                <w:sz w:val="20"/>
              </w:rPr>
              <w:t>Primary Clinical Study Report – Protocol GO28753 – A Phase II, open-label, multicenter, randomised study to investigate the efficacy and safety of MPDL3280A (anti−PD-L1 antibody) compared with docetaxel in patients with non−small cell lung cancer after platinum failure.</w:t>
            </w:r>
          </w:p>
        </w:tc>
        <w:tc>
          <w:tcPr>
            <w:tcW w:w="1335" w:type="pct"/>
            <w:tcBorders>
              <w:bottom w:val="nil"/>
            </w:tcBorders>
          </w:tcPr>
          <w:p w:rsidR="00ED60F1" w:rsidRPr="006D767C" w:rsidRDefault="00ED60F1" w:rsidP="00602F24">
            <w:pPr>
              <w:widowControl w:val="0"/>
              <w:spacing w:before="40" w:after="40"/>
              <w:jc w:val="left"/>
              <w:rPr>
                <w:rFonts w:ascii="Arial Narrow" w:hAnsi="Arial Narrow"/>
                <w:sz w:val="20"/>
              </w:rPr>
            </w:pPr>
            <w:r w:rsidRPr="006D767C">
              <w:rPr>
                <w:rFonts w:ascii="Arial Narrow" w:eastAsia="Times New Roman" w:hAnsi="Arial Narrow" w:cs="Arial Narrow"/>
                <w:sz w:val="20"/>
                <w:szCs w:val="20"/>
              </w:rPr>
              <w:t>Report No. 1065672 – December 2015</w:t>
            </w:r>
          </w:p>
        </w:tc>
      </w:tr>
      <w:tr w:rsidR="00ED60F1" w:rsidRPr="006D767C" w:rsidTr="00256A09">
        <w:tc>
          <w:tcPr>
            <w:tcW w:w="782"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nil"/>
            </w:tcBorders>
          </w:tcPr>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Supplementary Report for POPLAR CSR, corresponding to CCOD of 1 December 2015. </w:t>
            </w:r>
          </w:p>
        </w:tc>
        <w:tc>
          <w:tcPr>
            <w:tcW w:w="1335" w:type="pct"/>
            <w:tcBorders>
              <w:top w:val="nil"/>
              <w:bottom w:val="nil"/>
            </w:tcBorders>
          </w:tcPr>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POPLAR Supp 1069440 2016</w:t>
            </w:r>
          </w:p>
        </w:tc>
      </w:tr>
      <w:tr w:rsidR="00ED60F1" w:rsidRPr="006D767C" w:rsidTr="00256A09">
        <w:tc>
          <w:tcPr>
            <w:tcW w:w="782"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nil"/>
            </w:tcBorders>
          </w:tcPr>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Supplementary Report II (US) for POPLAR CSR, corresponding to CCOD of 1 December 2015.</w:t>
            </w:r>
          </w:p>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u w:val="single"/>
              </w:rPr>
              <w:t>Publications:</w:t>
            </w:r>
          </w:p>
        </w:tc>
        <w:tc>
          <w:tcPr>
            <w:tcW w:w="1335" w:type="pct"/>
            <w:tcBorders>
              <w:top w:val="nil"/>
              <w:bottom w:val="nil"/>
            </w:tcBorders>
          </w:tcPr>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 xml:space="preserve">POPLAR Supp 1071999 2016 - </w:t>
            </w:r>
          </w:p>
        </w:tc>
      </w:tr>
      <w:tr w:rsidR="00ED60F1" w:rsidRPr="006D767C" w:rsidTr="00256A09">
        <w:tc>
          <w:tcPr>
            <w:tcW w:w="782"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nil"/>
            </w:tcBorders>
          </w:tcPr>
          <w:p w:rsidR="00ED60F1" w:rsidRPr="006D767C" w:rsidRDefault="00ED60F1" w:rsidP="007171FC">
            <w:pPr>
              <w:widowControl w:val="0"/>
              <w:spacing w:before="40" w:after="40"/>
              <w:ind w:left="90"/>
              <w:jc w:val="left"/>
              <w:rPr>
                <w:rFonts w:ascii="Arial Narrow" w:hAnsi="Arial Narrow"/>
                <w:sz w:val="20"/>
              </w:rPr>
            </w:pPr>
            <w:r w:rsidRPr="006D767C">
              <w:rPr>
                <w:rFonts w:ascii="Arial Narrow" w:hAnsi="Arial Narrow"/>
                <w:sz w:val="20"/>
              </w:rPr>
              <w:t>Fehrenbacher. Atezolizumab versus docetaxel for patients with previously treated non-small-cell lung cancer (POPLAR): A multicentre, open-label, phase 2 randomised controlled trial</w:t>
            </w:r>
          </w:p>
        </w:tc>
        <w:tc>
          <w:tcPr>
            <w:tcW w:w="1335" w:type="pct"/>
            <w:tcBorders>
              <w:top w:val="nil"/>
              <w:bottom w:val="nil"/>
            </w:tcBorders>
          </w:tcPr>
          <w:p w:rsidR="00ED60F1" w:rsidRPr="006D767C" w:rsidRDefault="00ED60F1" w:rsidP="007171FC">
            <w:pPr>
              <w:widowControl w:val="0"/>
              <w:spacing w:before="40" w:after="40"/>
              <w:jc w:val="left"/>
              <w:rPr>
                <w:rFonts w:ascii="Arial Narrow" w:hAnsi="Arial Narrow"/>
                <w:sz w:val="20"/>
              </w:rPr>
            </w:pPr>
            <w:r w:rsidRPr="006D767C">
              <w:rPr>
                <w:rFonts w:ascii="Arial Narrow" w:hAnsi="Arial Narrow"/>
                <w:sz w:val="20"/>
              </w:rPr>
              <w:t>The Lancet.2016 387 (10030):1837-1846</w:t>
            </w:r>
          </w:p>
        </w:tc>
      </w:tr>
      <w:tr w:rsidR="00ED60F1" w:rsidRPr="006D767C" w:rsidTr="00256A09">
        <w:tc>
          <w:tcPr>
            <w:tcW w:w="782" w:type="pct"/>
            <w:tcBorders>
              <w:top w:val="nil"/>
              <w:bottom w:val="single" w:sz="4" w:space="0" w:color="auto"/>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single" w:sz="4" w:space="0" w:color="auto"/>
            </w:tcBorders>
          </w:tcPr>
          <w:p w:rsidR="00ED60F1" w:rsidRPr="006D767C" w:rsidRDefault="00ED60F1" w:rsidP="00545F59">
            <w:pPr>
              <w:widowControl w:val="0"/>
              <w:spacing w:before="40" w:after="40"/>
              <w:ind w:left="90"/>
              <w:jc w:val="left"/>
              <w:rPr>
                <w:rFonts w:ascii="Arial Narrow" w:hAnsi="Arial Narrow"/>
                <w:sz w:val="20"/>
              </w:rPr>
            </w:pPr>
            <w:r w:rsidRPr="006D767C">
              <w:rPr>
                <w:rFonts w:ascii="Arial Narrow" w:hAnsi="Arial Narrow"/>
                <w:sz w:val="20"/>
              </w:rPr>
              <w:t xml:space="preserve">Takada </w:t>
            </w:r>
            <w:r w:rsidR="00432CD8" w:rsidRPr="009A6127">
              <w:rPr>
                <w:rFonts w:ascii="Arial Narrow" w:eastAsia="Times New Roman" w:hAnsi="Arial Narrow" w:cs="Arial Narrow"/>
                <w:sz w:val="20"/>
                <w:szCs w:val="20"/>
              </w:rPr>
              <w:t xml:space="preserve">K, Toyokawa G, Okamoto T, et al. </w:t>
            </w:r>
            <w:r w:rsidRPr="006D767C">
              <w:rPr>
                <w:rFonts w:ascii="Arial Narrow" w:hAnsi="Arial Narrow"/>
                <w:sz w:val="20"/>
              </w:rPr>
              <w:t>A Comprehensive Analysis of Programmed Cell Death Ligand-1 Expression With the Clone SP142 Antibody in Non-Small-Cell Lung Cancer Patients</w:t>
            </w:r>
          </w:p>
        </w:tc>
        <w:tc>
          <w:tcPr>
            <w:tcW w:w="1335" w:type="pct"/>
            <w:tcBorders>
              <w:top w:val="nil"/>
              <w:bottom w:val="single" w:sz="4" w:space="0" w:color="auto"/>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Clinic</w:t>
            </w:r>
            <w:r w:rsidR="00C64B0E" w:rsidRPr="006D767C">
              <w:rPr>
                <w:rFonts w:ascii="Arial Narrow" w:eastAsia="Times New Roman" w:hAnsi="Arial Narrow" w:cs="Arial Narrow"/>
                <w:sz w:val="20"/>
                <w:szCs w:val="20"/>
              </w:rPr>
              <w:t xml:space="preserve">al Lung Cancer. In Press. 2017 </w:t>
            </w:r>
            <w:r w:rsidRPr="006D767C">
              <w:rPr>
                <w:rFonts w:ascii="Arial Narrow" w:eastAsia="Times New Roman" w:hAnsi="Arial Narrow" w:cs="Arial Narrow"/>
                <w:sz w:val="20"/>
                <w:szCs w:val="20"/>
              </w:rPr>
              <w:t>DOI:10.1016/j.cllc.2017.02.00</w:t>
            </w:r>
            <w:r w:rsidR="00C64B0E" w:rsidRPr="006D767C">
              <w:rPr>
                <w:rFonts w:ascii="Arial Narrow" w:eastAsia="Times New Roman" w:hAnsi="Arial Narrow" w:cs="Arial Narrow"/>
                <w:sz w:val="20"/>
                <w:szCs w:val="20"/>
              </w:rPr>
              <w:t>4</w:t>
            </w:r>
          </w:p>
        </w:tc>
      </w:tr>
      <w:tr w:rsidR="00ED60F1" w:rsidRPr="006D767C" w:rsidTr="00256A09">
        <w:tc>
          <w:tcPr>
            <w:tcW w:w="782" w:type="pct"/>
            <w:tcBorders>
              <w:top w:val="single" w:sz="4" w:space="0" w:color="auto"/>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CHECKMATE-017</w:t>
            </w:r>
          </w:p>
        </w:tc>
        <w:tc>
          <w:tcPr>
            <w:tcW w:w="2882" w:type="pct"/>
            <w:tcBorders>
              <w:top w:val="single" w:sz="4" w:space="0" w:color="auto"/>
              <w:bottom w:val="nil"/>
            </w:tcBorders>
          </w:tcPr>
          <w:p w:rsidR="00ED60F1" w:rsidRPr="006D767C" w:rsidRDefault="00ED60F1" w:rsidP="007171FC">
            <w:pPr>
              <w:widowControl w:val="0"/>
              <w:spacing w:before="40" w:after="40"/>
              <w:ind w:left="90"/>
              <w:jc w:val="left"/>
              <w:rPr>
                <w:rFonts w:ascii="Arial Narrow" w:hAnsi="Arial Narrow"/>
                <w:sz w:val="20"/>
                <w:u w:val="single"/>
              </w:rPr>
            </w:pPr>
            <w:r w:rsidRPr="006D767C">
              <w:rPr>
                <w:rFonts w:ascii="Arial Narrow" w:hAnsi="Arial Narrow"/>
                <w:sz w:val="20"/>
                <w:u w:val="single"/>
              </w:rPr>
              <w:t>Publications</w:t>
            </w:r>
          </w:p>
          <w:p w:rsidR="00ED60F1" w:rsidRPr="006D767C" w:rsidRDefault="00ED60F1" w:rsidP="007171FC">
            <w:pPr>
              <w:widowControl w:val="0"/>
              <w:spacing w:before="40" w:after="40"/>
              <w:ind w:left="90"/>
              <w:jc w:val="left"/>
              <w:rPr>
                <w:rFonts w:ascii="Arial Narrow" w:hAnsi="Arial Narrow"/>
                <w:sz w:val="20"/>
              </w:rPr>
            </w:pPr>
            <w:r w:rsidRPr="006D767C">
              <w:rPr>
                <w:rFonts w:ascii="Arial Narrow" w:hAnsi="Arial Narrow"/>
                <w:sz w:val="20"/>
              </w:rPr>
              <w:t>Brahmer J, Reckamp KL, Baas P et al. Nivolumab versus docetaxel in advanced squamous cell non-small cell lung cancer</w:t>
            </w:r>
          </w:p>
        </w:tc>
        <w:tc>
          <w:tcPr>
            <w:tcW w:w="1335" w:type="pct"/>
            <w:tcBorders>
              <w:top w:val="single" w:sz="4" w:space="0" w:color="auto"/>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New England Journal of Medicine 2015; 373 (2):123-132.</w:t>
            </w:r>
          </w:p>
        </w:tc>
      </w:tr>
      <w:tr w:rsidR="00ED60F1" w:rsidRPr="006D767C" w:rsidTr="00256A09">
        <w:tc>
          <w:tcPr>
            <w:tcW w:w="782"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nil"/>
            </w:tcBorders>
          </w:tcPr>
          <w:p w:rsidR="00ED60F1" w:rsidRPr="006D767C" w:rsidRDefault="00ED60F1" w:rsidP="007171FC">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Barlesi F, Steins M, Horn, L et al. Long-term outcomes with nivolumab (Nivo) vs docetaxel (Doc) in patients (Pts) with advanced (Adv) NSCLC: CheckMate 017 and CheckMate 057 2-y update. </w:t>
            </w:r>
          </w:p>
        </w:tc>
        <w:tc>
          <w:tcPr>
            <w:tcW w:w="1335"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Annals of Oncology (abstract) 2016 27 (suppl_6) </w:t>
            </w:r>
            <w:r w:rsidRPr="006D767C">
              <w:rPr>
                <w:rFonts w:ascii="Segoe UI" w:eastAsia="Times New Roman" w:hAnsi="Segoe UI" w:cs="Segoe UI"/>
                <w:sz w:val="18"/>
                <w:szCs w:val="18"/>
              </w:rPr>
              <w:t>1215PD-1215PD</w:t>
            </w:r>
          </w:p>
        </w:tc>
      </w:tr>
      <w:tr w:rsidR="00ED60F1" w:rsidRPr="006D767C" w:rsidTr="00256A09">
        <w:tc>
          <w:tcPr>
            <w:tcW w:w="782"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nil"/>
            </w:tcBorders>
          </w:tcPr>
          <w:p w:rsidR="00ED60F1" w:rsidRPr="006D767C" w:rsidRDefault="00ED60F1" w:rsidP="00ED60F1">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Barlesi. Long-term outcomes with nivolumab versus docetaxel in patients with advanced NSCLC: Checkmate 017 and checkmate 057 2-year update. Asia-Pacific Journal of Clinical Oncology 12:115-116.</w:t>
            </w:r>
          </w:p>
        </w:tc>
        <w:tc>
          <w:tcPr>
            <w:tcW w:w="1335"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Asia-Pacific Journal of Clinical Oncology 12:115-116.2016</w:t>
            </w:r>
          </w:p>
        </w:tc>
      </w:tr>
      <w:tr w:rsidR="00ED60F1" w:rsidRPr="006D767C" w:rsidTr="00256A09">
        <w:tc>
          <w:tcPr>
            <w:tcW w:w="782" w:type="pct"/>
            <w:tcBorders>
              <w:top w:val="single" w:sz="4" w:space="0" w:color="auto"/>
              <w:bottom w:val="nil"/>
            </w:tcBorders>
          </w:tcPr>
          <w:p w:rsidR="00ED60F1" w:rsidRPr="006D767C" w:rsidRDefault="00ED60F1" w:rsidP="007171FC">
            <w:pPr>
              <w:widowControl w:val="0"/>
              <w:spacing w:before="40" w:after="40"/>
              <w:jc w:val="left"/>
              <w:rPr>
                <w:rFonts w:ascii="Arial Narrow" w:eastAsia="Times New Roman" w:hAnsi="Arial Narrow" w:cs="Arial Narrow"/>
                <w:snapToGrid w:val="0"/>
                <w:sz w:val="20"/>
                <w:szCs w:val="20"/>
              </w:rPr>
            </w:pPr>
            <w:r w:rsidRPr="006D767C">
              <w:rPr>
                <w:rFonts w:ascii="Arial Narrow" w:eastAsia="Times New Roman" w:hAnsi="Arial Narrow" w:cs="Arial Narrow"/>
                <w:snapToGrid w:val="0"/>
                <w:sz w:val="20"/>
                <w:szCs w:val="20"/>
              </w:rPr>
              <w:t>CHECKMATE 057</w:t>
            </w:r>
          </w:p>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napToGrid w:val="0"/>
                <w:sz w:val="20"/>
                <w:szCs w:val="20"/>
              </w:rPr>
              <w:t>(CA209-057)</w:t>
            </w:r>
          </w:p>
        </w:tc>
        <w:tc>
          <w:tcPr>
            <w:tcW w:w="2882" w:type="pct"/>
            <w:tcBorders>
              <w:top w:val="single" w:sz="4" w:space="0" w:color="auto"/>
              <w:bottom w:val="nil"/>
            </w:tcBorders>
          </w:tcPr>
          <w:p w:rsidR="00ED60F1" w:rsidRPr="006D767C" w:rsidRDefault="00ED60F1" w:rsidP="007171FC">
            <w:pPr>
              <w:widowControl w:val="0"/>
              <w:spacing w:before="40" w:after="40"/>
              <w:ind w:left="90"/>
              <w:jc w:val="left"/>
              <w:rPr>
                <w:rFonts w:ascii="Arial Narrow" w:hAnsi="Arial Narrow"/>
                <w:sz w:val="20"/>
              </w:rPr>
            </w:pPr>
            <w:r w:rsidRPr="006D767C">
              <w:rPr>
                <w:rFonts w:ascii="Arial Narrow" w:hAnsi="Arial Narrow"/>
                <w:sz w:val="20"/>
              </w:rPr>
              <w:t>Borghaei H, Paz</w:t>
            </w:r>
            <w:r w:rsidRPr="006D767C">
              <w:rPr>
                <w:rFonts w:ascii="MS Gothic" w:eastAsia="MS Gothic" w:hAnsi="MS Gothic" w:cs="MS Gothic"/>
                <w:sz w:val="20"/>
              </w:rPr>
              <w:noBreakHyphen/>
            </w:r>
            <w:r w:rsidRPr="006D767C">
              <w:rPr>
                <w:rFonts w:ascii="Arial Narrow" w:hAnsi="Arial Narrow"/>
                <w:sz w:val="20"/>
              </w:rPr>
              <w:t>Ares L, Horn L, et al. Nivolumab versus docetaxel in advanced non-squamous non</w:t>
            </w:r>
            <w:r w:rsidRPr="006D767C">
              <w:rPr>
                <w:rFonts w:ascii="Arial Narrow" w:hAnsi="Arial Narrow" w:cs="Arial Narrow"/>
                <w:sz w:val="20"/>
              </w:rPr>
              <w:t>–</w:t>
            </w:r>
            <w:r w:rsidRPr="006D767C">
              <w:rPr>
                <w:rFonts w:ascii="Arial Narrow" w:hAnsi="Arial Narrow"/>
                <w:sz w:val="20"/>
              </w:rPr>
              <w:t xml:space="preserve">small-cell lung cancer. </w:t>
            </w:r>
          </w:p>
        </w:tc>
        <w:tc>
          <w:tcPr>
            <w:tcW w:w="1335" w:type="pct"/>
            <w:tcBorders>
              <w:top w:val="single" w:sz="4" w:space="0" w:color="auto"/>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New England Journal of Medicine 2015; 373:1627-39</w:t>
            </w:r>
          </w:p>
        </w:tc>
      </w:tr>
      <w:tr w:rsidR="00ED60F1" w:rsidRPr="006D767C" w:rsidTr="00256A09">
        <w:tc>
          <w:tcPr>
            <w:tcW w:w="782"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nil"/>
            </w:tcBorders>
          </w:tcPr>
          <w:p w:rsidR="00ED60F1" w:rsidRPr="006D767C" w:rsidRDefault="00ED60F1" w:rsidP="007171FC">
            <w:pPr>
              <w:widowControl w:val="0"/>
              <w:spacing w:before="40" w:after="40"/>
              <w:ind w:left="90"/>
              <w:jc w:val="left"/>
              <w:rPr>
                <w:rFonts w:ascii="Arial Narrow" w:hAnsi="Arial Narrow"/>
                <w:sz w:val="20"/>
              </w:rPr>
            </w:pPr>
            <w:r w:rsidRPr="006D767C">
              <w:rPr>
                <w:rFonts w:ascii="Arial Narrow" w:hAnsi="Arial Narrow"/>
                <w:sz w:val="20"/>
              </w:rPr>
              <w:t xml:space="preserve">Barlesi F, Steins M, Horn, L et al. Long-term outcomes with nivolumab (Nivo) vs docetaxel (Doc) in patients (Pts) with advanced (Adv) NSCLC: CheckMate 017 and CheckMate 057 2-y update. </w:t>
            </w:r>
          </w:p>
        </w:tc>
        <w:tc>
          <w:tcPr>
            <w:tcW w:w="1335" w:type="pct"/>
            <w:tcBorders>
              <w:top w:val="nil"/>
              <w:bottom w:val="nil"/>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 xml:space="preserve">Annals of Oncology (abstract) 2016 27 (suppl_6) </w:t>
            </w:r>
            <w:r w:rsidRPr="006D767C">
              <w:rPr>
                <w:rFonts w:ascii="Segoe UI" w:eastAsia="Times New Roman" w:hAnsi="Segoe UI" w:cs="Segoe UI"/>
                <w:sz w:val="18"/>
                <w:szCs w:val="18"/>
              </w:rPr>
              <w:t>1215PD-1215PD</w:t>
            </w:r>
          </w:p>
        </w:tc>
      </w:tr>
      <w:tr w:rsidR="00ED60F1" w:rsidRPr="006D767C" w:rsidTr="00256A09">
        <w:trPr>
          <w:trHeight w:val="598"/>
        </w:trPr>
        <w:tc>
          <w:tcPr>
            <w:tcW w:w="782" w:type="pct"/>
            <w:tcBorders>
              <w:top w:val="nil"/>
              <w:bottom w:val="single" w:sz="4" w:space="0" w:color="auto"/>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p>
        </w:tc>
        <w:tc>
          <w:tcPr>
            <w:tcW w:w="2882" w:type="pct"/>
            <w:tcBorders>
              <w:top w:val="nil"/>
              <w:bottom w:val="single" w:sz="4" w:space="0" w:color="auto"/>
            </w:tcBorders>
          </w:tcPr>
          <w:p w:rsidR="00ED60F1" w:rsidRPr="006D767C" w:rsidRDefault="00ED60F1" w:rsidP="00ED60F1">
            <w:pPr>
              <w:widowControl w:val="0"/>
              <w:spacing w:before="40" w:after="40"/>
              <w:ind w:left="9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Barlesi. Long-term outcomes with nivolumab versus docetaxel in patients with advanced NSCLC: Checkmate 017 and checkmate 057 2-year update. Asia-Pacific Journal of Clinical Oncology 12:115-116.</w:t>
            </w:r>
          </w:p>
        </w:tc>
        <w:tc>
          <w:tcPr>
            <w:tcW w:w="1335" w:type="pct"/>
            <w:tcBorders>
              <w:top w:val="nil"/>
              <w:bottom w:val="single" w:sz="4" w:space="0" w:color="auto"/>
            </w:tcBorders>
          </w:tcPr>
          <w:p w:rsidR="00ED60F1" w:rsidRPr="006D767C" w:rsidRDefault="00ED60F1" w:rsidP="007171FC">
            <w:pPr>
              <w:widowControl w:val="0"/>
              <w:spacing w:before="40" w:after="40"/>
              <w:jc w:val="left"/>
              <w:rPr>
                <w:rFonts w:ascii="Arial Narrow" w:eastAsia="Times New Roman" w:hAnsi="Arial Narrow" w:cs="Arial Narrow"/>
                <w:sz w:val="20"/>
                <w:szCs w:val="20"/>
              </w:rPr>
            </w:pPr>
            <w:r w:rsidRPr="006D767C">
              <w:rPr>
                <w:rFonts w:ascii="Arial Narrow" w:eastAsia="Times New Roman" w:hAnsi="Arial Narrow" w:cs="Arial Narrow"/>
                <w:sz w:val="20"/>
                <w:szCs w:val="20"/>
              </w:rPr>
              <w:t>Asia-Pacific Journal of Clinical Oncology 12:115-116.2016</w:t>
            </w:r>
          </w:p>
        </w:tc>
      </w:tr>
    </w:tbl>
    <w:p w:rsidR="0089504C" w:rsidRPr="006D767C" w:rsidRDefault="0089504C" w:rsidP="00F42A62">
      <w:pPr>
        <w:pStyle w:val="TableFooter"/>
      </w:pPr>
      <w:r w:rsidRPr="006D767C">
        <w:t xml:space="preserve">Source: Table 2.2.1, p7 Section </w:t>
      </w:r>
      <w:r w:rsidR="004226FD" w:rsidRPr="006D767C">
        <w:t>2</w:t>
      </w:r>
      <w:r w:rsidRPr="006D767C">
        <w:t xml:space="preserve"> of the submission</w:t>
      </w:r>
      <w:r w:rsidR="00E55C7B" w:rsidRPr="006D767C">
        <w:t>.</w:t>
      </w:r>
    </w:p>
    <w:p w:rsidR="0089504C" w:rsidRPr="006D767C" w:rsidRDefault="0089504C" w:rsidP="002D73C8">
      <w:pPr>
        <w:numPr>
          <w:ilvl w:val="1"/>
          <w:numId w:val="1"/>
        </w:numPr>
        <w:spacing w:before="0" w:after="120"/>
      </w:pPr>
      <w:r w:rsidRPr="006D767C">
        <w:t xml:space="preserve">The key features of the randomised trials used in the indirect comparison are </w:t>
      </w:r>
      <w:r w:rsidR="00450475" w:rsidRPr="006D767C">
        <w:t>summarised in the table below.</w:t>
      </w:r>
    </w:p>
    <w:p w:rsidR="0089504C" w:rsidRPr="006D767C" w:rsidRDefault="004D4E2C" w:rsidP="0089504C">
      <w:pPr>
        <w:keepNext/>
        <w:spacing w:before="0" w:after="60"/>
        <w:jc w:val="left"/>
        <w:rPr>
          <w:rFonts w:ascii="Arial Narrow" w:hAnsi="Arial Narrow"/>
          <w:b/>
          <w:sz w:val="20"/>
        </w:rPr>
      </w:pPr>
      <w:r w:rsidRPr="006D767C">
        <w:rPr>
          <w:rFonts w:ascii="Arial Narrow" w:hAnsi="Arial Narrow"/>
          <w:b/>
          <w:sz w:val="20"/>
        </w:rPr>
        <w:t>Table 3</w:t>
      </w:r>
      <w:r w:rsidR="0089504C" w:rsidRPr="006D767C">
        <w:rPr>
          <w:rFonts w:ascii="Arial Narrow" w:hAnsi="Arial Narrow"/>
          <w:b/>
          <w:sz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638"/>
        <w:gridCol w:w="1560"/>
        <w:gridCol w:w="708"/>
        <w:gridCol w:w="3401"/>
        <w:gridCol w:w="1542"/>
      </w:tblGrid>
      <w:tr w:rsidR="00743590" w:rsidRPr="006D767C" w:rsidTr="00D17023">
        <w:trPr>
          <w:tblHeader/>
        </w:trPr>
        <w:tc>
          <w:tcPr>
            <w:tcW w:w="679" w:type="pct"/>
            <w:shd w:val="clear" w:color="auto" w:fill="auto"/>
            <w:vAlign w:val="center"/>
          </w:tcPr>
          <w:p w:rsidR="00743590" w:rsidRPr="006D767C" w:rsidRDefault="00743590" w:rsidP="00743590">
            <w:pPr>
              <w:keepNext/>
              <w:spacing w:before="40" w:after="40"/>
              <w:jc w:val="left"/>
              <w:rPr>
                <w:rFonts w:ascii="Arial Narrow" w:hAnsi="Arial Narrow"/>
                <w:b/>
                <w:sz w:val="20"/>
              </w:rPr>
            </w:pPr>
            <w:r w:rsidRPr="006D767C">
              <w:rPr>
                <w:rFonts w:ascii="Arial Narrow" w:hAnsi="Arial Narrow"/>
                <w:b/>
                <w:sz w:val="20"/>
              </w:rPr>
              <w:t>Trial</w:t>
            </w:r>
          </w:p>
        </w:tc>
        <w:tc>
          <w:tcPr>
            <w:tcW w:w="351" w:type="pct"/>
            <w:shd w:val="clear" w:color="auto" w:fill="auto"/>
            <w:vAlign w:val="center"/>
          </w:tcPr>
          <w:p w:rsidR="00743590" w:rsidRPr="006D767C" w:rsidRDefault="00743590" w:rsidP="00743590">
            <w:pPr>
              <w:keepNext/>
              <w:spacing w:before="40" w:after="40"/>
              <w:jc w:val="left"/>
              <w:rPr>
                <w:rFonts w:ascii="Arial Narrow" w:hAnsi="Arial Narrow"/>
                <w:b/>
                <w:sz w:val="20"/>
              </w:rPr>
            </w:pPr>
            <w:r w:rsidRPr="006D767C">
              <w:rPr>
                <w:rFonts w:ascii="Arial Narrow" w:hAnsi="Arial Narrow"/>
                <w:b/>
                <w:sz w:val="20"/>
              </w:rPr>
              <w:t>N</w:t>
            </w:r>
          </w:p>
        </w:tc>
        <w:tc>
          <w:tcPr>
            <w:tcW w:w="859" w:type="pct"/>
            <w:shd w:val="clear" w:color="auto" w:fill="auto"/>
            <w:vAlign w:val="center"/>
          </w:tcPr>
          <w:p w:rsidR="00743590" w:rsidRPr="006D767C" w:rsidRDefault="00743590" w:rsidP="00743590">
            <w:pPr>
              <w:keepNext/>
              <w:spacing w:before="40" w:after="40"/>
              <w:jc w:val="left"/>
              <w:rPr>
                <w:rFonts w:ascii="Arial Narrow" w:hAnsi="Arial Narrow"/>
                <w:b/>
                <w:sz w:val="20"/>
              </w:rPr>
            </w:pPr>
            <w:r w:rsidRPr="006D767C">
              <w:rPr>
                <w:rFonts w:ascii="Arial Narrow" w:hAnsi="Arial Narrow"/>
                <w:b/>
                <w:sz w:val="20"/>
              </w:rPr>
              <w:t>Design/ duration of follow-up</w:t>
            </w:r>
          </w:p>
        </w:tc>
        <w:tc>
          <w:tcPr>
            <w:tcW w:w="390" w:type="pct"/>
            <w:shd w:val="clear" w:color="auto" w:fill="auto"/>
            <w:vAlign w:val="center"/>
          </w:tcPr>
          <w:p w:rsidR="00743590" w:rsidRPr="006D767C" w:rsidRDefault="00743590" w:rsidP="00743590">
            <w:pPr>
              <w:keepNext/>
              <w:spacing w:before="40" w:after="40"/>
              <w:jc w:val="left"/>
              <w:rPr>
                <w:rFonts w:ascii="Arial Narrow" w:hAnsi="Arial Narrow"/>
                <w:b/>
                <w:sz w:val="20"/>
              </w:rPr>
            </w:pPr>
            <w:r w:rsidRPr="006D767C">
              <w:rPr>
                <w:rFonts w:ascii="Arial Narrow" w:hAnsi="Arial Narrow"/>
                <w:b/>
                <w:sz w:val="20"/>
              </w:rPr>
              <w:t>Risk of bias</w:t>
            </w:r>
          </w:p>
        </w:tc>
        <w:tc>
          <w:tcPr>
            <w:tcW w:w="1872" w:type="pct"/>
            <w:shd w:val="clear" w:color="auto" w:fill="auto"/>
            <w:vAlign w:val="center"/>
          </w:tcPr>
          <w:p w:rsidR="00743590" w:rsidRPr="006D767C" w:rsidRDefault="00743590" w:rsidP="00743590">
            <w:pPr>
              <w:keepNext/>
              <w:spacing w:before="40" w:after="40"/>
              <w:jc w:val="left"/>
              <w:rPr>
                <w:rFonts w:ascii="Arial Narrow" w:hAnsi="Arial Narrow"/>
                <w:b/>
                <w:sz w:val="20"/>
              </w:rPr>
            </w:pPr>
            <w:r w:rsidRPr="006D767C">
              <w:rPr>
                <w:rFonts w:ascii="Arial Narrow" w:hAnsi="Arial Narrow"/>
                <w:b/>
                <w:sz w:val="20"/>
              </w:rPr>
              <w:t>Patient population</w:t>
            </w:r>
          </w:p>
        </w:tc>
        <w:tc>
          <w:tcPr>
            <w:tcW w:w="849" w:type="pct"/>
            <w:shd w:val="clear" w:color="auto" w:fill="auto"/>
            <w:vAlign w:val="center"/>
          </w:tcPr>
          <w:p w:rsidR="00743590" w:rsidRPr="006D767C" w:rsidRDefault="00743590" w:rsidP="00743590">
            <w:pPr>
              <w:keepNext/>
              <w:spacing w:before="40" w:after="40"/>
              <w:jc w:val="left"/>
              <w:rPr>
                <w:rFonts w:ascii="Arial Narrow" w:hAnsi="Arial Narrow"/>
                <w:b/>
                <w:sz w:val="20"/>
              </w:rPr>
            </w:pPr>
            <w:r w:rsidRPr="006D767C">
              <w:rPr>
                <w:rFonts w:ascii="Arial Narrow" w:hAnsi="Arial Narrow"/>
                <w:b/>
                <w:sz w:val="20"/>
              </w:rPr>
              <w:t>Outcome(s)</w:t>
            </w:r>
          </w:p>
        </w:tc>
      </w:tr>
      <w:tr w:rsidR="00743590" w:rsidRPr="006D767C" w:rsidTr="0089504C">
        <w:tc>
          <w:tcPr>
            <w:tcW w:w="5000" w:type="pct"/>
            <w:gridSpan w:val="6"/>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b/>
                <w:sz w:val="20"/>
              </w:rPr>
              <w:t xml:space="preserve">Atezolizumab vs. </w:t>
            </w:r>
            <w:r w:rsidR="00602F24" w:rsidRPr="006D767C">
              <w:rPr>
                <w:rFonts w:ascii="Arial Narrow" w:hAnsi="Arial Narrow"/>
                <w:b/>
                <w:sz w:val="20"/>
              </w:rPr>
              <w:t>d</w:t>
            </w:r>
            <w:r w:rsidRPr="006D767C">
              <w:rPr>
                <w:rFonts w:ascii="Arial Narrow" w:hAnsi="Arial Narrow"/>
                <w:b/>
                <w:sz w:val="20"/>
              </w:rPr>
              <w:t>ocetaxel</w:t>
            </w:r>
          </w:p>
        </w:tc>
      </w:tr>
      <w:tr w:rsidR="00743590" w:rsidRPr="006D767C" w:rsidTr="00D17023">
        <w:tc>
          <w:tcPr>
            <w:tcW w:w="67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OAK</w:t>
            </w:r>
          </w:p>
        </w:tc>
        <w:tc>
          <w:tcPr>
            <w:tcW w:w="351" w:type="pct"/>
            <w:shd w:val="clear" w:color="auto" w:fill="auto"/>
            <w:vAlign w:val="center"/>
          </w:tcPr>
          <w:p w:rsidR="00743590" w:rsidRPr="006C54F0" w:rsidRDefault="00743590" w:rsidP="00743590">
            <w:pPr>
              <w:keepNext/>
              <w:spacing w:before="40" w:after="40"/>
              <w:jc w:val="left"/>
              <w:rPr>
                <w:rFonts w:ascii="Times" w:eastAsia="Times New Roman" w:hAnsi="Times" w:cs="Times New Roman"/>
                <w:sz w:val="20"/>
              </w:rPr>
            </w:pPr>
            <w:r w:rsidRPr="006C54F0">
              <w:rPr>
                <w:rFonts w:ascii="Arial Narrow" w:hAnsi="Arial Narrow"/>
                <w:sz w:val="20"/>
              </w:rPr>
              <w:t>850</w:t>
            </w:r>
          </w:p>
        </w:tc>
        <w:tc>
          <w:tcPr>
            <w:tcW w:w="85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R, OL</w:t>
            </w:r>
          </w:p>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19 m</w:t>
            </w:r>
            <w:r w:rsidR="00602F24" w:rsidRPr="006D767C">
              <w:rPr>
                <w:rFonts w:ascii="Arial Narrow" w:hAnsi="Arial Narrow"/>
                <w:sz w:val="20"/>
              </w:rPr>
              <w:t>on</w:t>
            </w:r>
            <w:r w:rsidRPr="006D767C">
              <w:rPr>
                <w:rFonts w:ascii="Arial Narrow" w:hAnsi="Arial Narrow"/>
                <w:sz w:val="20"/>
              </w:rPr>
              <w:t>ths</w:t>
            </w:r>
          </w:p>
        </w:tc>
        <w:tc>
          <w:tcPr>
            <w:tcW w:w="390"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Low</w:t>
            </w:r>
          </w:p>
        </w:tc>
        <w:tc>
          <w:tcPr>
            <w:tcW w:w="1872"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 xml:space="preserve">Locally advanced or metastatic </w:t>
            </w:r>
            <w:r w:rsidR="000552A2" w:rsidRPr="006D767C">
              <w:rPr>
                <w:rFonts w:ascii="Arial Narrow" w:hAnsi="Arial Narrow"/>
                <w:sz w:val="20"/>
              </w:rPr>
              <w:t xml:space="preserve">squamous and non-squamous </w:t>
            </w:r>
            <w:r w:rsidRPr="006D767C">
              <w:rPr>
                <w:rFonts w:ascii="Arial Narrow" w:hAnsi="Arial Narrow"/>
                <w:sz w:val="20"/>
              </w:rPr>
              <w:t xml:space="preserve">NSCLC patients who have failed </w:t>
            </w:r>
            <w:r w:rsidR="000552A2" w:rsidRPr="006D767C">
              <w:rPr>
                <w:rFonts w:ascii="Arial Narrow" w:hAnsi="Arial Narrow"/>
                <w:sz w:val="20"/>
              </w:rPr>
              <w:t xml:space="preserve">platinum-based </w:t>
            </w:r>
            <w:r w:rsidRPr="006D767C">
              <w:rPr>
                <w:rFonts w:ascii="Arial Narrow" w:hAnsi="Arial Narrow"/>
                <w:sz w:val="20"/>
              </w:rPr>
              <w:t>chemotherapy</w:t>
            </w:r>
          </w:p>
        </w:tc>
        <w:tc>
          <w:tcPr>
            <w:tcW w:w="84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OS, PFS</w:t>
            </w:r>
          </w:p>
        </w:tc>
      </w:tr>
      <w:tr w:rsidR="00743590" w:rsidRPr="006D767C" w:rsidTr="00D17023">
        <w:tc>
          <w:tcPr>
            <w:tcW w:w="67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POPLAR</w:t>
            </w:r>
          </w:p>
        </w:tc>
        <w:tc>
          <w:tcPr>
            <w:tcW w:w="351" w:type="pct"/>
            <w:shd w:val="clear" w:color="auto" w:fill="auto"/>
            <w:vAlign w:val="center"/>
          </w:tcPr>
          <w:p w:rsidR="00743590" w:rsidRPr="006C54F0" w:rsidRDefault="00743590" w:rsidP="00743590">
            <w:pPr>
              <w:keepNext/>
              <w:spacing w:before="40" w:after="40"/>
              <w:jc w:val="left"/>
              <w:rPr>
                <w:rFonts w:ascii="Arial Narrow" w:eastAsia="Times New Roman" w:hAnsi="Arial Narrow" w:cs="Times New Roman"/>
                <w:sz w:val="20"/>
              </w:rPr>
            </w:pPr>
            <w:r w:rsidRPr="006C54F0">
              <w:rPr>
                <w:rFonts w:ascii="Arial Narrow" w:eastAsia="Times New Roman" w:hAnsi="Arial Narrow" w:cs="Times New Roman"/>
                <w:sz w:val="20"/>
              </w:rPr>
              <w:t>287</w:t>
            </w:r>
          </w:p>
        </w:tc>
        <w:tc>
          <w:tcPr>
            <w:tcW w:w="859" w:type="pct"/>
            <w:shd w:val="clear" w:color="auto" w:fill="auto"/>
            <w:vAlign w:val="center"/>
          </w:tcPr>
          <w:p w:rsidR="00743590" w:rsidRPr="006D767C" w:rsidRDefault="00743590" w:rsidP="00743590">
            <w:pPr>
              <w:keepNext/>
              <w:spacing w:before="40" w:after="40"/>
              <w:jc w:val="left"/>
              <w:rPr>
                <w:rFonts w:ascii="Arial Narrow" w:eastAsia="Times New Roman" w:hAnsi="Arial Narrow" w:cs="Times New Roman"/>
                <w:sz w:val="20"/>
              </w:rPr>
            </w:pPr>
            <w:r w:rsidRPr="006D767C">
              <w:rPr>
                <w:rFonts w:ascii="Arial Narrow" w:hAnsi="Arial Narrow"/>
                <w:sz w:val="20"/>
              </w:rPr>
              <w:t>R, OL</w:t>
            </w:r>
          </w:p>
          <w:p w:rsidR="00743590" w:rsidRPr="006D767C" w:rsidRDefault="00743590" w:rsidP="00743590">
            <w:pPr>
              <w:keepNext/>
              <w:spacing w:before="40" w:after="40"/>
              <w:jc w:val="left"/>
              <w:rPr>
                <w:rFonts w:ascii="Arial Narrow" w:eastAsia="Times New Roman" w:hAnsi="Arial Narrow" w:cs="Times New Roman"/>
                <w:sz w:val="20"/>
              </w:rPr>
            </w:pPr>
            <w:r w:rsidRPr="006D767C">
              <w:rPr>
                <w:rFonts w:ascii="Arial Narrow" w:hAnsi="Arial Narrow"/>
                <w:sz w:val="20"/>
              </w:rPr>
              <w:t>20 m</w:t>
            </w:r>
            <w:r w:rsidR="00602F24" w:rsidRPr="006D767C">
              <w:rPr>
                <w:rFonts w:ascii="Arial Narrow" w:hAnsi="Arial Narrow"/>
                <w:sz w:val="20"/>
              </w:rPr>
              <w:t>on</w:t>
            </w:r>
            <w:r w:rsidRPr="006D767C">
              <w:rPr>
                <w:rFonts w:ascii="Arial Narrow" w:hAnsi="Arial Narrow"/>
                <w:sz w:val="20"/>
              </w:rPr>
              <w:t>ths</w:t>
            </w:r>
            <w:r w:rsidRPr="006D767C">
              <w:rPr>
                <w:rFonts w:ascii="Arial Narrow" w:hAnsi="Arial Narrow"/>
                <w:sz w:val="20"/>
                <w:vertAlign w:val="superscript"/>
              </w:rPr>
              <w:t>a</w:t>
            </w:r>
          </w:p>
        </w:tc>
        <w:tc>
          <w:tcPr>
            <w:tcW w:w="390"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Low</w:t>
            </w:r>
          </w:p>
        </w:tc>
        <w:tc>
          <w:tcPr>
            <w:tcW w:w="1872"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As above</w:t>
            </w:r>
          </w:p>
        </w:tc>
        <w:tc>
          <w:tcPr>
            <w:tcW w:w="84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OS, PFS</w:t>
            </w:r>
          </w:p>
        </w:tc>
      </w:tr>
      <w:tr w:rsidR="00743590" w:rsidRPr="006D767C" w:rsidTr="00D17023">
        <w:tc>
          <w:tcPr>
            <w:tcW w:w="67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Meta-analysis</w:t>
            </w:r>
          </w:p>
        </w:tc>
        <w:tc>
          <w:tcPr>
            <w:tcW w:w="351" w:type="pct"/>
            <w:shd w:val="clear" w:color="auto" w:fill="auto"/>
            <w:vAlign w:val="center"/>
          </w:tcPr>
          <w:p w:rsidR="00743590" w:rsidRPr="006C54F0" w:rsidRDefault="00743590" w:rsidP="00743590">
            <w:pPr>
              <w:keepNext/>
              <w:spacing w:before="40" w:after="40"/>
              <w:jc w:val="left"/>
              <w:rPr>
                <w:rFonts w:ascii="Arial Narrow" w:eastAsia="Times New Roman" w:hAnsi="Arial Narrow" w:cs="Times New Roman"/>
                <w:sz w:val="20"/>
              </w:rPr>
            </w:pPr>
            <w:r w:rsidRPr="006C54F0">
              <w:rPr>
                <w:rFonts w:ascii="Arial Narrow" w:eastAsia="Times New Roman" w:hAnsi="Arial Narrow" w:cs="Times New Roman"/>
                <w:sz w:val="20"/>
              </w:rPr>
              <w:t>1137</w:t>
            </w:r>
          </w:p>
        </w:tc>
        <w:tc>
          <w:tcPr>
            <w:tcW w:w="3121" w:type="pct"/>
            <w:gridSpan w:val="3"/>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Included OAK and POPLAR; ITT population; assessed OS</w:t>
            </w:r>
          </w:p>
        </w:tc>
        <w:tc>
          <w:tcPr>
            <w:tcW w:w="84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Survival gain</w:t>
            </w:r>
          </w:p>
        </w:tc>
      </w:tr>
      <w:tr w:rsidR="00743590" w:rsidRPr="006D767C" w:rsidTr="0089504C">
        <w:tc>
          <w:tcPr>
            <w:tcW w:w="5000" w:type="pct"/>
            <w:gridSpan w:val="6"/>
            <w:shd w:val="clear" w:color="auto" w:fill="auto"/>
            <w:vAlign w:val="center"/>
          </w:tcPr>
          <w:p w:rsidR="00743590" w:rsidRPr="006C54F0" w:rsidRDefault="00743590" w:rsidP="00743590">
            <w:pPr>
              <w:keepNext/>
              <w:spacing w:before="40" w:after="40"/>
              <w:jc w:val="left"/>
              <w:rPr>
                <w:rFonts w:ascii="Times" w:eastAsia="Times New Roman" w:hAnsi="Times" w:cs="Times New Roman"/>
                <w:sz w:val="20"/>
              </w:rPr>
            </w:pPr>
            <w:r w:rsidRPr="006C54F0">
              <w:rPr>
                <w:rFonts w:ascii="Arial Narrow" w:hAnsi="Arial Narrow"/>
                <w:b/>
                <w:sz w:val="20"/>
              </w:rPr>
              <w:t xml:space="preserve">Nivolumab vs. </w:t>
            </w:r>
            <w:r w:rsidR="00602F24" w:rsidRPr="006C54F0">
              <w:rPr>
                <w:rFonts w:ascii="Arial Narrow" w:hAnsi="Arial Narrow"/>
                <w:b/>
                <w:sz w:val="20"/>
              </w:rPr>
              <w:t>d</w:t>
            </w:r>
            <w:r w:rsidRPr="006C54F0">
              <w:rPr>
                <w:rFonts w:ascii="Arial Narrow" w:hAnsi="Arial Narrow"/>
                <w:b/>
                <w:sz w:val="20"/>
              </w:rPr>
              <w:t>ocetaxel</w:t>
            </w:r>
          </w:p>
        </w:tc>
      </w:tr>
      <w:tr w:rsidR="00743590" w:rsidRPr="006D767C" w:rsidTr="00D17023">
        <w:tc>
          <w:tcPr>
            <w:tcW w:w="67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Checkmate 017</w:t>
            </w:r>
          </w:p>
        </w:tc>
        <w:tc>
          <w:tcPr>
            <w:tcW w:w="351" w:type="pct"/>
            <w:shd w:val="clear" w:color="auto" w:fill="auto"/>
            <w:vAlign w:val="center"/>
          </w:tcPr>
          <w:p w:rsidR="00743590" w:rsidRPr="006C54F0" w:rsidRDefault="00743590" w:rsidP="00743590">
            <w:pPr>
              <w:keepNext/>
              <w:spacing w:before="40" w:after="40"/>
              <w:jc w:val="left"/>
              <w:rPr>
                <w:rFonts w:ascii="Arial Narrow" w:hAnsi="Arial Narrow"/>
                <w:sz w:val="20"/>
              </w:rPr>
            </w:pPr>
            <w:r w:rsidRPr="006C54F0">
              <w:rPr>
                <w:rFonts w:ascii="Arial Narrow" w:hAnsi="Arial Narrow"/>
                <w:sz w:val="20"/>
              </w:rPr>
              <w:t>272</w:t>
            </w:r>
          </w:p>
        </w:tc>
        <w:tc>
          <w:tcPr>
            <w:tcW w:w="859"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R, OL</w:t>
            </w:r>
          </w:p>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18 m</w:t>
            </w:r>
            <w:r w:rsidR="00602F24" w:rsidRPr="006D767C">
              <w:rPr>
                <w:rFonts w:ascii="Arial Narrow" w:hAnsi="Arial Narrow"/>
                <w:sz w:val="20"/>
              </w:rPr>
              <w:t>on</w:t>
            </w:r>
            <w:r w:rsidRPr="006D767C">
              <w:rPr>
                <w:rFonts w:ascii="Arial Narrow" w:hAnsi="Arial Narrow"/>
                <w:sz w:val="20"/>
              </w:rPr>
              <w:t>ths</w:t>
            </w:r>
          </w:p>
        </w:tc>
        <w:tc>
          <w:tcPr>
            <w:tcW w:w="390"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Low</w:t>
            </w:r>
          </w:p>
        </w:tc>
        <w:tc>
          <w:tcPr>
            <w:tcW w:w="1872"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 xml:space="preserve">Locally advanced or metastatic </w:t>
            </w:r>
            <w:r w:rsidR="000552A2" w:rsidRPr="006D767C">
              <w:rPr>
                <w:rFonts w:ascii="Arial Narrow" w:hAnsi="Arial Narrow"/>
                <w:sz w:val="20"/>
              </w:rPr>
              <w:t xml:space="preserve">squamous </w:t>
            </w:r>
            <w:r w:rsidRPr="006D767C">
              <w:rPr>
                <w:rFonts w:ascii="Arial Narrow" w:hAnsi="Arial Narrow"/>
                <w:sz w:val="20"/>
              </w:rPr>
              <w:t xml:space="preserve">NSCLC patients who have failed </w:t>
            </w:r>
            <w:r w:rsidR="000552A2" w:rsidRPr="006D767C">
              <w:rPr>
                <w:rFonts w:ascii="Arial Narrow" w:hAnsi="Arial Narrow"/>
                <w:sz w:val="20"/>
              </w:rPr>
              <w:t xml:space="preserve">platinum-based </w:t>
            </w:r>
            <w:r w:rsidRPr="006D767C">
              <w:rPr>
                <w:rFonts w:ascii="Arial Narrow" w:hAnsi="Arial Narrow"/>
                <w:sz w:val="20"/>
              </w:rPr>
              <w:t>chemotherapy</w:t>
            </w:r>
          </w:p>
        </w:tc>
        <w:tc>
          <w:tcPr>
            <w:tcW w:w="849"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OS, PFS</w:t>
            </w:r>
            <w:r w:rsidRPr="006D767C">
              <w:rPr>
                <w:rFonts w:ascii="Arial Narrow" w:hAnsi="Arial Narrow"/>
                <w:sz w:val="20"/>
                <w:vertAlign w:val="superscript"/>
              </w:rPr>
              <w:t>b</w:t>
            </w:r>
          </w:p>
        </w:tc>
      </w:tr>
      <w:tr w:rsidR="00743590" w:rsidRPr="006D767C" w:rsidTr="00D17023">
        <w:tc>
          <w:tcPr>
            <w:tcW w:w="679" w:type="pct"/>
            <w:shd w:val="clear" w:color="auto" w:fill="auto"/>
            <w:vAlign w:val="center"/>
          </w:tcPr>
          <w:p w:rsidR="00743590" w:rsidRPr="006D767C" w:rsidRDefault="00743590" w:rsidP="00743590">
            <w:pPr>
              <w:keepNext/>
              <w:spacing w:before="40" w:after="40"/>
              <w:jc w:val="left"/>
              <w:rPr>
                <w:rFonts w:ascii="Times" w:eastAsia="Times New Roman" w:hAnsi="Times" w:cs="Times New Roman"/>
                <w:sz w:val="20"/>
              </w:rPr>
            </w:pPr>
            <w:r w:rsidRPr="006D767C">
              <w:rPr>
                <w:rFonts w:ascii="Arial Narrow" w:hAnsi="Arial Narrow"/>
                <w:sz w:val="20"/>
              </w:rPr>
              <w:t>Checkmate 057</w:t>
            </w:r>
          </w:p>
        </w:tc>
        <w:tc>
          <w:tcPr>
            <w:tcW w:w="351" w:type="pct"/>
            <w:shd w:val="clear" w:color="auto" w:fill="auto"/>
            <w:vAlign w:val="center"/>
          </w:tcPr>
          <w:p w:rsidR="00743590" w:rsidRPr="006C54F0" w:rsidRDefault="00743590" w:rsidP="00743590">
            <w:pPr>
              <w:keepNext/>
              <w:spacing w:before="40" w:after="40"/>
              <w:jc w:val="left"/>
              <w:rPr>
                <w:rFonts w:ascii="Arial Narrow" w:hAnsi="Arial Narrow"/>
                <w:sz w:val="20"/>
              </w:rPr>
            </w:pPr>
            <w:r w:rsidRPr="006C54F0">
              <w:rPr>
                <w:rFonts w:ascii="Arial Narrow" w:hAnsi="Arial Narrow"/>
                <w:sz w:val="20"/>
              </w:rPr>
              <w:t>582</w:t>
            </w:r>
          </w:p>
        </w:tc>
        <w:tc>
          <w:tcPr>
            <w:tcW w:w="859"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R, OL</w:t>
            </w:r>
            <w:r w:rsidRPr="006D767C">
              <w:rPr>
                <w:rFonts w:ascii="Arial Narrow" w:hAnsi="Arial Narrow"/>
                <w:sz w:val="20"/>
              </w:rPr>
              <w:br/>
              <w:t>17 m</w:t>
            </w:r>
            <w:r w:rsidR="00602F24" w:rsidRPr="006D767C">
              <w:rPr>
                <w:rFonts w:ascii="Arial Narrow" w:hAnsi="Arial Narrow"/>
                <w:sz w:val="20"/>
              </w:rPr>
              <w:t>on</w:t>
            </w:r>
            <w:r w:rsidRPr="006D767C">
              <w:rPr>
                <w:rFonts w:ascii="Arial Narrow" w:hAnsi="Arial Narrow"/>
                <w:sz w:val="20"/>
              </w:rPr>
              <w:t>ths</w:t>
            </w:r>
          </w:p>
        </w:tc>
        <w:tc>
          <w:tcPr>
            <w:tcW w:w="390"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Low</w:t>
            </w:r>
          </w:p>
        </w:tc>
        <w:tc>
          <w:tcPr>
            <w:tcW w:w="1872" w:type="pct"/>
            <w:shd w:val="clear" w:color="auto" w:fill="auto"/>
            <w:vAlign w:val="center"/>
          </w:tcPr>
          <w:p w:rsidR="00743590" w:rsidRPr="006D767C" w:rsidRDefault="000552A2" w:rsidP="00743590">
            <w:pPr>
              <w:keepNext/>
              <w:spacing w:before="40" w:after="40"/>
              <w:jc w:val="left"/>
              <w:rPr>
                <w:rFonts w:ascii="Arial Narrow" w:hAnsi="Arial Narrow"/>
                <w:sz w:val="20"/>
              </w:rPr>
            </w:pPr>
            <w:r w:rsidRPr="006D767C">
              <w:rPr>
                <w:rFonts w:ascii="Arial Narrow" w:hAnsi="Arial Narrow"/>
                <w:sz w:val="20"/>
              </w:rPr>
              <w:t xml:space="preserve">Locally advanced or metastatic non-squamous NSCLC patients who have failed platinum-based chemotherapy </w:t>
            </w:r>
          </w:p>
        </w:tc>
        <w:tc>
          <w:tcPr>
            <w:tcW w:w="849"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OS, PFS</w:t>
            </w:r>
            <w:r w:rsidRPr="006D767C">
              <w:rPr>
                <w:rFonts w:ascii="Arial Narrow" w:hAnsi="Arial Narrow"/>
                <w:sz w:val="20"/>
                <w:vertAlign w:val="superscript"/>
              </w:rPr>
              <w:t>b</w:t>
            </w:r>
          </w:p>
        </w:tc>
      </w:tr>
      <w:tr w:rsidR="00743590" w:rsidRPr="006D767C" w:rsidTr="00D17023">
        <w:tc>
          <w:tcPr>
            <w:tcW w:w="679"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Meta-analysis</w:t>
            </w:r>
          </w:p>
        </w:tc>
        <w:tc>
          <w:tcPr>
            <w:tcW w:w="351" w:type="pct"/>
            <w:shd w:val="clear" w:color="auto" w:fill="auto"/>
            <w:vAlign w:val="center"/>
          </w:tcPr>
          <w:p w:rsidR="00743590" w:rsidRPr="006C54F0" w:rsidRDefault="00743590" w:rsidP="00743590">
            <w:pPr>
              <w:keepNext/>
              <w:spacing w:before="40" w:after="40"/>
              <w:jc w:val="left"/>
              <w:rPr>
                <w:rFonts w:ascii="Arial Narrow" w:hAnsi="Arial Narrow"/>
                <w:sz w:val="20"/>
              </w:rPr>
            </w:pPr>
            <w:r w:rsidRPr="006C54F0">
              <w:rPr>
                <w:rFonts w:ascii="Arial Narrow" w:hAnsi="Arial Narrow"/>
                <w:sz w:val="20"/>
              </w:rPr>
              <w:t>854</w:t>
            </w:r>
          </w:p>
        </w:tc>
        <w:tc>
          <w:tcPr>
            <w:tcW w:w="3121" w:type="pct"/>
            <w:gridSpan w:val="3"/>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 xml:space="preserve">Include Checkmate 017 and </w:t>
            </w:r>
            <w:r w:rsidR="00602F24" w:rsidRPr="006D767C">
              <w:rPr>
                <w:rFonts w:ascii="Arial Narrow" w:hAnsi="Arial Narrow"/>
                <w:sz w:val="20"/>
              </w:rPr>
              <w:t>C</w:t>
            </w:r>
            <w:r w:rsidRPr="006D767C">
              <w:rPr>
                <w:rFonts w:ascii="Arial Narrow" w:hAnsi="Arial Narrow"/>
                <w:sz w:val="20"/>
              </w:rPr>
              <w:t>heckmate 057, ITT population, assessed OS</w:t>
            </w:r>
          </w:p>
        </w:tc>
        <w:tc>
          <w:tcPr>
            <w:tcW w:w="849" w:type="pct"/>
            <w:shd w:val="clear" w:color="auto" w:fill="auto"/>
            <w:vAlign w:val="center"/>
          </w:tcPr>
          <w:p w:rsidR="00743590" w:rsidRPr="006D767C" w:rsidRDefault="00743590" w:rsidP="00743590">
            <w:pPr>
              <w:keepNext/>
              <w:spacing w:before="40" w:after="40"/>
              <w:jc w:val="left"/>
              <w:rPr>
                <w:rFonts w:ascii="Arial Narrow" w:hAnsi="Arial Narrow"/>
                <w:sz w:val="20"/>
              </w:rPr>
            </w:pPr>
            <w:r w:rsidRPr="006D767C">
              <w:rPr>
                <w:rFonts w:ascii="Arial Narrow" w:hAnsi="Arial Narrow"/>
                <w:sz w:val="20"/>
              </w:rPr>
              <w:t>Survival gain</w:t>
            </w:r>
          </w:p>
        </w:tc>
      </w:tr>
    </w:tbl>
    <w:p w:rsidR="00743590" w:rsidRPr="006D767C" w:rsidRDefault="00230315" w:rsidP="00F42A62">
      <w:pPr>
        <w:pStyle w:val="TableFooter"/>
      </w:pPr>
      <w:r w:rsidRPr="006D767C">
        <w:t>R</w:t>
      </w:r>
      <w:r w:rsidR="00B1543B" w:rsidRPr="006D767C">
        <w:t xml:space="preserve"> </w:t>
      </w:r>
      <w:r w:rsidR="00743590" w:rsidRPr="006D767C">
        <w:t>=</w:t>
      </w:r>
      <w:r w:rsidR="00B1543B" w:rsidRPr="006D767C">
        <w:t xml:space="preserve"> </w:t>
      </w:r>
      <w:r w:rsidR="00743590" w:rsidRPr="006D767C">
        <w:t>randomised; OL</w:t>
      </w:r>
      <w:r w:rsidR="00B1543B" w:rsidRPr="006D767C">
        <w:t xml:space="preserve"> </w:t>
      </w:r>
      <w:r w:rsidR="00743590" w:rsidRPr="006D767C">
        <w:t>=</w:t>
      </w:r>
      <w:r w:rsidR="00B1543B" w:rsidRPr="006D767C">
        <w:t xml:space="preserve"> </w:t>
      </w:r>
      <w:r w:rsidR="00743590" w:rsidRPr="006D767C">
        <w:t>open label; OS</w:t>
      </w:r>
      <w:r w:rsidR="00B1543B" w:rsidRPr="006D767C">
        <w:t xml:space="preserve"> </w:t>
      </w:r>
      <w:r w:rsidR="00743590" w:rsidRPr="006D767C">
        <w:t>=</w:t>
      </w:r>
      <w:r w:rsidR="00B1543B" w:rsidRPr="006D767C">
        <w:t xml:space="preserve"> </w:t>
      </w:r>
      <w:r w:rsidR="00743590" w:rsidRPr="006D767C">
        <w:t>overall survival; PFS</w:t>
      </w:r>
      <w:r w:rsidR="00B1543B" w:rsidRPr="006D767C">
        <w:t xml:space="preserve"> = </w:t>
      </w:r>
      <w:r w:rsidR="00743590" w:rsidRPr="006D767C">
        <w:t>pro</w:t>
      </w:r>
      <w:r w:rsidRPr="006D767C">
        <w:t>gression-free survival; NSCLC</w:t>
      </w:r>
      <w:r w:rsidR="00B1543B" w:rsidRPr="006D767C">
        <w:t xml:space="preserve"> </w:t>
      </w:r>
      <w:r w:rsidRPr="006D767C">
        <w:t>=</w:t>
      </w:r>
      <w:r w:rsidR="00B1543B" w:rsidRPr="006D767C">
        <w:t xml:space="preserve"> </w:t>
      </w:r>
      <w:r w:rsidR="00743590" w:rsidRPr="006D767C">
        <w:t>non-smal</w:t>
      </w:r>
      <w:r w:rsidR="00602F24" w:rsidRPr="006D767C">
        <w:t>l ce</w:t>
      </w:r>
      <w:r w:rsidRPr="006D767C">
        <w:t>ll lung cancer; ITT</w:t>
      </w:r>
      <w:r w:rsidR="00B1543B" w:rsidRPr="006D767C">
        <w:t> </w:t>
      </w:r>
      <w:r w:rsidRPr="006D767C">
        <w:t>=</w:t>
      </w:r>
      <w:r w:rsidR="00B1543B" w:rsidRPr="006D767C">
        <w:t> </w:t>
      </w:r>
      <w:r w:rsidR="00602F24" w:rsidRPr="006D767C">
        <w:t>intention-to-treat</w:t>
      </w:r>
      <w:r w:rsidR="00743590" w:rsidRPr="006D767C">
        <w:t>.</w:t>
      </w:r>
    </w:p>
    <w:p w:rsidR="00743590" w:rsidRPr="006D767C" w:rsidRDefault="00743590" w:rsidP="00F42A62">
      <w:pPr>
        <w:pStyle w:val="TableFooter"/>
      </w:pPr>
      <w:r w:rsidRPr="006D767C">
        <w:rPr>
          <w:vertAlign w:val="superscript"/>
        </w:rPr>
        <w:t>a</w:t>
      </w:r>
      <w:r w:rsidRPr="006D767C">
        <w:t xml:space="preserve"> updated analysis, Dec 2015 data cutoff</w:t>
      </w:r>
    </w:p>
    <w:p w:rsidR="00743590" w:rsidRPr="006D767C" w:rsidRDefault="00743590" w:rsidP="00F42A62">
      <w:pPr>
        <w:pStyle w:val="TableFooter"/>
      </w:pPr>
      <w:r w:rsidRPr="006D767C">
        <w:rPr>
          <w:vertAlign w:val="superscript"/>
        </w:rPr>
        <w:t>b</w:t>
      </w:r>
      <w:r w:rsidRPr="006D767C">
        <w:t xml:space="preserve"> PFS was a specified secondary endpoint in all trials, however the reporting of PFS results for CHECKMATE 017 and CHECKMATE 057 is limited to data cuts of a minimum follow-up of 11 months and 13.2 months respectively.</w:t>
      </w:r>
    </w:p>
    <w:p w:rsidR="00743590" w:rsidRPr="006D767C" w:rsidRDefault="00743590" w:rsidP="00F42A62">
      <w:pPr>
        <w:pStyle w:val="TableFooter"/>
      </w:pPr>
      <w:r w:rsidRPr="006D767C">
        <w:t>Source: compiled during the evaluation using information from Sections 2</w:t>
      </w:r>
      <w:r w:rsidR="00D1269D" w:rsidRPr="006D767C">
        <w:t>.</w:t>
      </w:r>
      <w:r w:rsidRPr="006D767C">
        <w:t xml:space="preserve">3 and </w:t>
      </w:r>
      <w:r w:rsidR="00D1269D" w:rsidRPr="006D767C">
        <w:t>2.</w:t>
      </w:r>
      <w:r w:rsidRPr="006D767C">
        <w:t>4</w:t>
      </w:r>
      <w:r w:rsidR="00252F20" w:rsidRPr="006D767C">
        <w:t xml:space="preserve"> of the submission</w:t>
      </w:r>
      <w:r w:rsidRPr="006D767C">
        <w:t>.</w:t>
      </w:r>
    </w:p>
    <w:p w:rsidR="0089504C" w:rsidRPr="006D767C" w:rsidRDefault="0089504C" w:rsidP="002D73C8">
      <w:pPr>
        <w:numPr>
          <w:ilvl w:val="1"/>
          <w:numId w:val="1"/>
        </w:numPr>
        <w:spacing w:before="0" w:after="120"/>
      </w:pPr>
      <w:r w:rsidRPr="006D767C">
        <w:t>In the atezolizumab trials</w:t>
      </w:r>
      <w:r w:rsidR="00B9324E" w:rsidRPr="006D767C">
        <w:t>,</w:t>
      </w:r>
      <w:r w:rsidRPr="006D767C">
        <w:t xml:space="preserve"> randomisation was stratified according to histology, number of prior chemotherapy regimens and level of PD-L1 expression on immune cells (IC). In contrast, CHECKMATE 017 was stratified according to prior use of paclitaxel therapy (yes vs no) and geographic region. CHECKMATE 057 was stratified according to prior use of maintenance therapy (yes vs no) and number of prior therapies.</w:t>
      </w:r>
    </w:p>
    <w:p w:rsidR="002C39B1" w:rsidRPr="006D767C" w:rsidRDefault="002C39B1" w:rsidP="002D73C8">
      <w:pPr>
        <w:numPr>
          <w:ilvl w:val="1"/>
          <w:numId w:val="1"/>
        </w:numPr>
        <w:spacing w:before="0" w:after="120"/>
      </w:pPr>
      <w:r w:rsidRPr="006D767C">
        <w:t>There were greater proportion</w:t>
      </w:r>
      <w:r w:rsidR="00176B31" w:rsidRPr="006D767C">
        <w:t>s</w:t>
      </w:r>
      <w:r w:rsidRPr="006D767C">
        <w:t xml:space="preserve"> of patients of Asian descent in the atezolizumab trials (OAK 21% and POPLAR 13%) compared to the nivolumab trials (approximately 2-3%). Although the measure of relative treatment effect in terms of OS </w:t>
      </w:r>
      <w:r w:rsidR="00E17D3D" w:rsidRPr="006D767C">
        <w:t xml:space="preserve">did </w:t>
      </w:r>
      <w:r w:rsidRPr="006D767C">
        <w:t xml:space="preserve">not appear to vary according to ethnicity, the median OS was higher for Asian patients than for Caucasian patients, in both the docetaxel and atezolizumab arms of both </w:t>
      </w:r>
      <w:r w:rsidR="00DF3A2F" w:rsidRPr="006D767C">
        <w:t xml:space="preserve">the </w:t>
      </w:r>
      <w:r w:rsidRPr="006D767C">
        <w:t>POPLAR and OAK</w:t>
      </w:r>
      <w:r w:rsidR="00DF3A2F" w:rsidRPr="006D767C">
        <w:t xml:space="preserve"> trials</w:t>
      </w:r>
      <w:r w:rsidR="000552A2" w:rsidRPr="006D767C">
        <w:t>.</w:t>
      </w:r>
      <w:r w:rsidRPr="006D767C">
        <w:t xml:space="preserve"> </w:t>
      </w:r>
      <w:r w:rsidR="000552A2" w:rsidRPr="006D767C">
        <w:t>T</w:t>
      </w:r>
      <w:r w:rsidRPr="006D767C">
        <w:t xml:space="preserve">his difference </w:t>
      </w:r>
      <w:r w:rsidR="000552A2" w:rsidRPr="006D767C">
        <w:t xml:space="preserve">was </w:t>
      </w:r>
      <w:r w:rsidRPr="006D767C">
        <w:t xml:space="preserve">substantially different in the OAK trial </w:t>
      </w:r>
      <w:r w:rsidR="002041B0">
        <w:rPr>
          <w:noProof/>
          <w:color w:val="000000"/>
          <w:highlight w:val="black"/>
        </w:rPr>
        <w:t>'''''''''''''''''''''' ''''''''' ''''''''' '''''''''''''' ''''''''' '''' ''''''''' ''''''''' '''''' ''''''''''' ''''' '''''' '''''''''''''' ''''''''' '''' ''''''' '''''''' ''''' ''''''''''''''''''''' '''''''' '''''''''''''''''''''''''' '''''''' '''''''' '''''''''''''' ''''''''' '''' ''''''''' '''''''''' ''''' ''''''''''' ''''' '''''''' '''''''''''''''' '''''''''' '''' '''''''''' ''''''''''' '''''' '''''''''''''''''''</w:t>
      </w:r>
      <w:r w:rsidRPr="006D767C">
        <w:t xml:space="preserve">. This </w:t>
      </w:r>
      <w:r w:rsidR="00DF3A2F" w:rsidRPr="006D767C">
        <w:t xml:space="preserve">was likely to </w:t>
      </w:r>
      <w:r w:rsidRPr="006D767C">
        <w:t>impact the transitivity of the trials</w:t>
      </w:r>
      <w:r w:rsidRPr="006D767C">
        <w:rPr>
          <w:i/>
        </w:rPr>
        <w:t>.</w:t>
      </w:r>
      <w:r w:rsidR="00691711" w:rsidRPr="006D767C">
        <w:rPr>
          <w:i/>
        </w:rPr>
        <w:t xml:space="preserve"> </w:t>
      </w:r>
      <w:r w:rsidR="00691711" w:rsidRPr="006D767C">
        <w:t xml:space="preserve">The PSCR (p2) contended that </w:t>
      </w:r>
      <w:r w:rsidR="00691711" w:rsidRPr="006D767C">
        <w:rPr>
          <w:rFonts w:cstheme="minorHAnsi"/>
        </w:rPr>
        <w:t xml:space="preserve">ethnicity was not a treatment effect modifier, </w:t>
      </w:r>
      <w:r w:rsidR="00CD2D40" w:rsidRPr="006D767C">
        <w:rPr>
          <w:rFonts w:cstheme="minorHAnsi"/>
        </w:rPr>
        <w:t xml:space="preserve">as </w:t>
      </w:r>
      <w:r w:rsidR="00691711" w:rsidRPr="006D767C">
        <w:rPr>
          <w:rFonts w:cstheme="minorHAnsi"/>
        </w:rPr>
        <w:t xml:space="preserve">hazard ratios were consistent across ethnic subgroups, and therefore, </w:t>
      </w:r>
      <w:r w:rsidR="00176B31" w:rsidRPr="006D767C">
        <w:rPr>
          <w:rFonts w:cstheme="minorHAnsi"/>
        </w:rPr>
        <w:t>ethnicity was</w:t>
      </w:r>
      <w:r w:rsidR="00691711" w:rsidRPr="006D767C">
        <w:rPr>
          <w:rFonts w:cstheme="minorHAnsi"/>
        </w:rPr>
        <w:t xml:space="preserve"> unlikely to bias the hazard ratio for OS in the indirect comparison.</w:t>
      </w:r>
    </w:p>
    <w:p w:rsidR="00691711" w:rsidRPr="006D767C" w:rsidRDefault="00691711" w:rsidP="002D73C8">
      <w:pPr>
        <w:numPr>
          <w:ilvl w:val="1"/>
          <w:numId w:val="1"/>
        </w:numPr>
        <w:spacing w:before="0" w:after="120"/>
      </w:pPr>
      <w:r w:rsidRPr="006D767C">
        <w:t xml:space="preserve">The PSCR (p1) acknowledged the inherent limitations of indirect comparisons, but argued that transitivity was not a significant issue in this case as </w:t>
      </w:r>
      <w:r w:rsidRPr="006D767C">
        <w:rPr>
          <w:rFonts w:cstheme="minorHAnsi"/>
        </w:rPr>
        <w:t>the trials were of compatible design, with consistent eligibility criteria, and employed identical comparator treatment regimens (docetaxel). Additionally, key outcomes were consistently defined, patients enrolled from countries with comparable health systems and conducted across a similar time period with similar methods of statistical analysis.</w:t>
      </w:r>
    </w:p>
    <w:p w:rsidR="0089504C" w:rsidRPr="006D767C" w:rsidRDefault="00602F18" w:rsidP="002D73C8">
      <w:pPr>
        <w:numPr>
          <w:ilvl w:val="1"/>
          <w:numId w:val="1"/>
        </w:numPr>
        <w:spacing w:before="0" w:after="120"/>
      </w:pPr>
      <w:r w:rsidRPr="006D767C">
        <w:t xml:space="preserve">In the </w:t>
      </w:r>
      <w:r w:rsidR="0089504C" w:rsidRPr="006D767C">
        <w:t>poo</w:t>
      </w:r>
      <w:r w:rsidRPr="006D767C">
        <w:t xml:space="preserve">led </w:t>
      </w:r>
      <w:r w:rsidR="00E17D3D" w:rsidRPr="006D767C">
        <w:t>data</w:t>
      </w:r>
      <w:r w:rsidR="00F93EEB" w:rsidRPr="006D767C">
        <w:t xml:space="preserve"> for</w:t>
      </w:r>
      <w:r w:rsidR="00E17D3D" w:rsidRPr="006D767C">
        <w:t xml:space="preserve"> </w:t>
      </w:r>
      <w:r w:rsidR="0089504C" w:rsidRPr="006D767C">
        <w:t xml:space="preserve">the atezolizumab and nivolumab trials, there </w:t>
      </w:r>
      <w:r w:rsidR="001E32E2" w:rsidRPr="006D767C">
        <w:t>were</w:t>
      </w:r>
      <w:r w:rsidR="0089504C" w:rsidRPr="006D767C">
        <w:t xml:space="preserve"> a slightly lower proportion of patients with squamous histology in the atezolizumab trials (squamous: 28% in atezolizumab trials vs 32% in the nivolumab trials). Squamous histology is a negative prognostic factor for survival</w:t>
      </w:r>
      <w:r w:rsidR="00743590" w:rsidRPr="006D767C">
        <w:rPr>
          <w:rStyle w:val="FootnoteReference"/>
        </w:rPr>
        <w:footnoteReference w:id="3"/>
      </w:r>
      <w:r w:rsidR="0089504C" w:rsidRPr="006D767C">
        <w:t>.</w:t>
      </w:r>
    </w:p>
    <w:p w:rsidR="0089504C" w:rsidRPr="006D767C" w:rsidRDefault="0089504C" w:rsidP="00DE4F7A">
      <w:pPr>
        <w:pStyle w:val="Heading2"/>
      </w:pPr>
      <w:bookmarkStart w:id="14" w:name="_Toc413139278"/>
      <w:bookmarkStart w:id="15" w:name="_Toc492917632"/>
      <w:r w:rsidRPr="006D767C">
        <w:t>Comparative effectiveness</w:t>
      </w:r>
      <w:bookmarkEnd w:id="14"/>
      <w:bookmarkEnd w:id="15"/>
    </w:p>
    <w:p w:rsidR="0089504C" w:rsidRPr="006D767C" w:rsidRDefault="0089504C" w:rsidP="002D73C8">
      <w:pPr>
        <w:numPr>
          <w:ilvl w:val="1"/>
          <w:numId w:val="1"/>
        </w:numPr>
        <w:spacing w:before="0" w:after="120"/>
        <w:jc w:val="left"/>
      </w:pPr>
      <w:r w:rsidRPr="006D767C">
        <w:t>Results for the whole trial populations relating to OS is provided in the table below.</w:t>
      </w:r>
    </w:p>
    <w:p w:rsidR="0089504C" w:rsidRPr="006D767C" w:rsidRDefault="004D4E2C" w:rsidP="0089504C">
      <w:pPr>
        <w:keepNext/>
        <w:spacing w:before="0" w:after="60"/>
        <w:jc w:val="left"/>
        <w:rPr>
          <w:rFonts w:ascii="Arial Narrow" w:hAnsi="Arial Narrow"/>
          <w:b/>
          <w:sz w:val="20"/>
        </w:rPr>
      </w:pPr>
      <w:r w:rsidRPr="006D767C">
        <w:rPr>
          <w:rFonts w:ascii="Arial Narrow" w:hAnsi="Arial Narrow"/>
          <w:b/>
          <w:sz w:val="20"/>
        </w:rPr>
        <w:t>Table 4</w:t>
      </w:r>
      <w:r w:rsidR="0089504C" w:rsidRPr="006D767C">
        <w:rPr>
          <w:rFonts w:ascii="Arial Narrow" w:hAnsi="Arial Narrow"/>
          <w:b/>
          <w:sz w:val="20"/>
        </w:rPr>
        <w:t>: Whole trial population results for the outcome of overall survival</w:t>
      </w:r>
    </w:p>
    <w:tbl>
      <w:tblPr>
        <w:tblStyle w:val="TableGrid2"/>
        <w:tblW w:w="0" w:type="auto"/>
        <w:tblInd w:w="108" w:type="dxa"/>
        <w:tblCellMar>
          <w:left w:w="28" w:type="dxa"/>
          <w:right w:w="28" w:type="dxa"/>
        </w:tblCellMar>
        <w:tblLook w:val="04A0" w:firstRow="1" w:lastRow="0" w:firstColumn="1" w:lastColumn="0" w:noHBand="0" w:noVBand="1"/>
        <w:tblCaption w:val="Table 4: Whole trial population results for the outcome of overall survival"/>
      </w:tblPr>
      <w:tblGrid>
        <w:gridCol w:w="1002"/>
        <w:gridCol w:w="997"/>
        <w:gridCol w:w="934"/>
        <w:gridCol w:w="1068"/>
        <w:gridCol w:w="997"/>
        <w:gridCol w:w="995"/>
        <w:gridCol w:w="993"/>
        <w:gridCol w:w="995"/>
        <w:gridCol w:w="993"/>
      </w:tblGrid>
      <w:tr w:rsidR="001F484F" w:rsidRPr="006D767C" w:rsidTr="00042C0C">
        <w:trPr>
          <w:tblHeader/>
        </w:trPr>
        <w:tc>
          <w:tcPr>
            <w:tcW w:w="1002" w:type="dxa"/>
            <w:vMerge w:val="restart"/>
            <w:vAlign w:val="center"/>
          </w:tcPr>
          <w:p w:rsidR="001F484F" w:rsidRPr="006D767C" w:rsidRDefault="001F484F" w:rsidP="005A0938">
            <w:pPr>
              <w:pStyle w:val="TableText"/>
              <w:jc w:val="left"/>
              <w:rPr>
                <w:b/>
              </w:rPr>
            </w:pPr>
          </w:p>
        </w:tc>
        <w:tc>
          <w:tcPr>
            <w:tcW w:w="1931" w:type="dxa"/>
            <w:gridSpan w:val="2"/>
          </w:tcPr>
          <w:p w:rsidR="001F484F" w:rsidRPr="006D767C" w:rsidRDefault="001F484F" w:rsidP="005A0938">
            <w:pPr>
              <w:pStyle w:val="TableText"/>
              <w:jc w:val="center"/>
              <w:rPr>
                <w:b/>
              </w:rPr>
            </w:pPr>
            <w:r w:rsidRPr="006D767C">
              <w:rPr>
                <w:b/>
              </w:rPr>
              <w:t>OAK</w:t>
            </w:r>
          </w:p>
        </w:tc>
        <w:tc>
          <w:tcPr>
            <w:tcW w:w="2065" w:type="dxa"/>
            <w:gridSpan w:val="2"/>
          </w:tcPr>
          <w:p w:rsidR="001F484F" w:rsidRPr="006D767C" w:rsidRDefault="001F484F" w:rsidP="005A0938">
            <w:pPr>
              <w:pStyle w:val="TableText"/>
              <w:jc w:val="center"/>
              <w:rPr>
                <w:b/>
              </w:rPr>
            </w:pPr>
            <w:r w:rsidRPr="006D767C">
              <w:rPr>
                <w:b/>
              </w:rPr>
              <w:t>POPLAR</w:t>
            </w:r>
          </w:p>
        </w:tc>
        <w:tc>
          <w:tcPr>
            <w:tcW w:w="1988" w:type="dxa"/>
            <w:gridSpan w:val="2"/>
          </w:tcPr>
          <w:p w:rsidR="001F484F" w:rsidRPr="006D767C" w:rsidRDefault="001F484F" w:rsidP="005A0938">
            <w:pPr>
              <w:pStyle w:val="TableText"/>
              <w:jc w:val="center"/>
              <w:rPr>
                <w:b/>
              </w:rPr>
            </w:pPr>
            <w:r w:rsidRPr="006D767C">
              <w:rPr>
                <w:b/>
              </w:rPr>
              <w:t>CHECKMATE 017</w:t>
            </w:r>
          </w:p>
        </w:tc>
        <w:tc>
          <w:tcPr>
            <w:tcW w:w="1988" w:type="dxa"/>
            <w:gridSpan w:val="2"/>
          </w:tcPr>
          <w:p w:rsidR="001F484F" w:rsidRPr="006D767C" w:rsidRDefault="001F484F" w:rsidP="005A0938">
            <w:pPr>
              <w:pStyle w:val="TableText"/>
              <w:jc w:val="center"/>
              <w:rPr>
                <w:b/>
              </w:rPr>
            </w:pPr>
            <w:r w:rsidRPr="006D767C">
              <w:rPr>
                <w:b/>
              </w:rPr>
              <w:t>CHECKMATE 057</w:t>
            </w:r>
          </w:p>
        </w:tc>
      </w:tr>
      <w:tr w:rsidR="001F484F" w:rsidRPr="006D767C" w:rsidTr="00042C0C">
        <w:trPr>
          <w:tblHeader/>
        </w:trPr>
        <w:tc>
          <w:tcPr>
            <w:tcW w:w="1002" w:type="dxa"/>
            <w:vMerge/>
            <w:vAlign w:val="center"/>
          </w:tcPr>
          <w:p w:rsidR="001F484F" w:rsidRPr="006D767C" w:rsidRDefault="001F484F" w:rsidP="005A0938">
            <w:pPr>
              <w:pStyle w:val="TableText"/>
              <w:jc w:val="left"/>
              <w:rPr>
                <w:b/>
              </w:rPr>
            </w:pPr>
          </w:p>
        </w:tc>
        <w:tc>
          <w:tcPr>
            <w:tcW w:w="997" w:type="dxa"/>
          </w:tcPr>
          <w:p w:rsidR="001F484F" w:rsidRPr="006D767C" w:rsidRDefault="001F484F" w:rsidP="005A0938">
            <w:pPr>
              <w:pStyle w:val="TableText"/>
              <w:jc w:val="center"/>
              <w:rPr>
                <w:b/>
              </w:rPr>
            </w:pPr>
            <w:r w:rsidRPr="006D767C">
              <w:rPr>
                <w:b/>
              </w:rPr>
              <w:t>ATZ</w:t>
            </w:r>
          </w:p>
        </w:tc>
        <w:tc>
          <w:tcPr>
            <w:tcW w:w="934" w:type="dxa"/>
          </w:tcPr>
          <w:p w:rsidR="001F484F" w:rsidRPr="006D767C" w:rsidRDefault="001F484F" w:rsidP="005A0938">
            <w:pPr>
              <w:pStyle w:val="TableText"/>
              <w:jc w:val="center"/>
              <w:rPr>
                <w:b/>
              </w:rPr>
            </w:pPr>
            <w:r w:rsidRPr="006D767C">
              <w:rPr>
                <w:b/>
              </w:rPr>
              <w:t>DOC</w:t>
            </w:r>
          </w:p>
        </w:tc>
        <w:tc>
          <w:tcPr>
            <w:tcW w:w="1068" w:type="dxa"/>
          </w:tcPr>
          <w:p w:rsidR="001F484F" w:rsidRPr="006D767C" w:rsidRDefault="001F484F" w:rsidP="005A0938">
            <w:pPr>
              <w:pStyle w:val="TableText"/>
              <w:jc w:val="center"/>
              <w:rPr>
                <w:b/>
              </w:rPr>
            </w:pPr>
            <w:r w:rsidRPr="006D767C">
              <w:rPr>
                <w:b/>
              </w:rPr>
              <w:t>ATZ</w:t>
            </w:r>
          </w:p>
        </w:tc>
        <w:tc>
          <w:tcPr>
            <w:tcW w:w="997" w:type="dxa"/>
          </w:tcPr>
          <w:p w:rsidR="001F484F" w:rsidRPr="006D767C" w:rsidRDefault="001F484F" w:rsidP="005A0938">
            <w:pPr>
              <w:pStyle w:val="TableText"/>
              <w:jc w:val="center"/>
              <w:rPr>
                <w:b/>
              </w:rPr>
            </w:pPr>
            <w:r w:rsidRPr="006D767C">
              <w:rPr>
                <w:b/>
              </w:rPr>
              <w:t>DOC</w:t>
            </w:r>
          </w:p>
        </w:tc>
        <w:tc>
          <w:tcPr>
            <w:tcW w:w="995" w:type="dxa"/>
          </w:tcPr>
          <w:p w:rsidR="001F484F" w:rsidRPr="006D767C" w:rsidRDefault="001F484F" w:rsidP="005A0938">
            <w:pPr>
              <w:pStyle w:val="TableText"/>
              <w:jc w:val="center"/>
              <w:rPr>
                <w:b/>
              </w:rPr>
            </w:pPr>
            <w:r w:rsidRPr="006D767C">
              <w:rPr>
                <w:b/>
              </w:rPr>
              <w:t>NIVO</w:t>
            </w:r>
          </w:p>
        </w:tc>
        <w:tc>
          <w:tcPr>
            <w:tcW w:w="993" w:type="dxa"/>
          </w:tcPr>
          <w:p w:rsidR="001F484F" w:rsidRPr="006D767C" w:rsidRDefault="001F484F" w:rsidP="005A0938">
            <w:pPr>
              <w:pStyle w:val="TableText"/>
              <w:jc w:val="center"/>
              <w:rPr>
                <w:b/>
              </w:rPr>
            </w:pPr>
            <w:r w:rsidRPr="006D767C">
              <w:rPr>
                <w:b/>
              </w:rPr>
              <w:t>DOC</w:t>
            </w:r>
          </w:p>
        </w:tc>
        <w:tc>
          <w:tcPr>
            <w:tcW w:w="995" w:type="dxa"/>
          </w:tcPr>
          <w:p w:rsidR="001F484F" w:rsidRPr="006D767C" w:rsidRDefault="001F484F" w:rsidP="005A0938">
            <w:pPr>
              <w:pStyle w:val="TableText"/>
              <w:jc w:val="center"/>
              <w:rPr>
                <w:b/>
              </w:rPr>
            </w:pPr>
            <w:r w:rsidRPr="006D767C">
              <w:rPr>
                <w:b/>
              </w:rPr>
              <w:t>NIVO</w:t>
            </w:r>
          </w:p>
        </w:tc>
        <w:tc>
          <w:tcPr>
            <w:tcW w:w="993" w:type="dxa"/>
          </w:tcPr>
          <w:p w:rsidR="001F484F" w:rsidRPr="006D767C" w:rsidRDefault="001F484F" w:rsidP="005A0938">
            <w:pPr>
              <w:pStyle w:val="TableText"/>
              <w:jc w:val="center"/>
              <w:rPr>
                <w:b/>
              </w:rPr>
            </w:pPr>
            <w:r w:rsidRPr="006D767C">
              <w:rPr>
                <w:b/>
              </w:rPr>
              <w:t>DOC</w:t>
            </w:r>
          </w:p>
        </w:tc>
      </w:tr>
      <w:tr w:rsidR="001F484F" w:rsidRPr="006D767C" w:rsidTr="00AC57B1">
        <w:tc>
          <w:tcPr>
            <w:tcW w:w="1002" w:type="dxa"/>
            <w:vAlign w:val="center"/>
          </w:tcPr>
          <w:p w:rsidR="001F484F" w:rsidRPr="006D767C" w:rsidRDefault="001F484F" w:rsidP="005A0938">
            <w:pPr>
              <w:pStyle w:val="TableText"/>
              <w:jc w:val="center"/>
            </w:pPr>
            <w:r w:rsidRPr="006D767C">
              <w:t>Minimum follow up</w:t>
            </w:r>
          </w:p>
        </w:tc>
        <w:tc>
          <w:tcPr>
            <w:tcW w:w="1931" w:type="dxa"/>
            <w:gridSpan w:val="2"/>
            <w:vAlign w:val="center"/>
          </w:tcPr>
          <w:p w:rsidR="001F484F" w:rsidRPr="006D767C" w:rsidRDefault="001F484F" w:rsidP="005A0938">
            <w:pPr>
              <w:pStyle w:val="TableText"/>
              <w:jc w:val="center"/>
            </w:pPr>
            <w:r w:rsidRPr="006D767C">
              <w:t>19 months</w:t>
            </w:r>
          </w:p>
        </w:tc>
        <w:tc>
          <w:tcPr>
            <w:tcW w:w="2065" w:type="dxa"/>
            <w:gridSpan w:val="2"/>
            <w:vAlign w:val="center"/>
          </w:tcPr>
          <w:p w:rsidR="001F484F" w:rsidRPr="006D767C" w:rsidRDefault="001F484F" w:rsidP="005A0938">
            <w:pPr>
              <w:pStyle w:val="TableText"/>
              <w:jc w:val="center"/>
            </w:pPr>
            <w:r w:rsidRPr="006D767C">
              <w:t>20 months</w:t>
            </w:r>
          </w:p>
        </w:tc>
        <w:tc>
          <w:tcPr>
            <w:tcW w:w="1988" w:type="dxa"/>
            <w:gridSpan w:val="2"/>
            <w:vAlign w:val="center"/>
          </w:tcPr>
          <w:p w:rsidR="001F484F" w:rsidRPr="006D767C" w:rsidRDefault="001F484F" w:rsidP="005A0938">
            <w:pPr>
              <w:pStyle w:val="TableText"/>
              <w:jc w:val="center"/>
            </w:pPr>
            <w:r w:rsidRPr="006D767C">
              <w:t>18 months</w:t>
            </w:r>
          </w:p>
        </w:tc>
        <w:tc>
          <w:tcPr>
            <w:tcW w:w="1988" w:type="dxa"/>
            <w:gridSpan w:val="2"/>
            <w:vAlign w:val="center"/>
          </w:tcPr>
          <w:p w:rsidR="001F484F" w:rsidRPr="006D767C" w:rsidRDefault="001F484F" w:rsidP="005A0938">
            <w:pPr>
              <w:pStyle w:val="TableText"/>
              <w:jc w:val="center"/>
            </w:pPr>
            <w:r w:rsidRPr="006D767C">
              <w:t>17 months</w:t>
            </w:r>
          </w:p>
        </w:tc>
      </w:tr>
      <w:tr w:rsidR="001F484F" w:rsidRPr="006D767C" w:rsidTr="00AC57B1">
        <w:tc>
          <w:tcPr>
            <w:tcW w:w="8974" w:type="dxa"/>
            <w:gridSpan w:val="9"/>
            <w:shd w:val="clear" w:color="auto" w:fill="auto"/>
            <w:vAlign w:val="center"/>
          </w:tcPr>
          <w:p w:rsidR="001F484F" w:rsidRPr="006D767C" w:rsidRDefault="00602F24" w:rsidP="005A0938">
            <w:pPr>
              <w:pStyle w:val="TableText"/>
              <w:tabs>
                <w:tab w:val="left" w:pos="1522"/>
              </w:tabs>
              <w:jc w:val="left"/>
              <w:rPr>
                <w:b/>
              </w:rPr>
            </w:pPr>
            <w:r w:rsidRPr="006D767C">
              <w:rPr>
                <w:rFonts w:eastAsia="Times New Roman" w:cs="Calibri"/>
                <w:b/>
                <w:bCs/>
              </w:rPr>
              <w:t>Time to event</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N (ITT)</w:t>
            </w:r>
          </w:p>
        </w:tc>
        <w:tc>
          <w:tcPr>
            <w:tcW w:w="997"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425</w:t>
            </w:r>
          </w:p>
        </w:tc>
        <w:tc>
          <w:tcPr>
            <w:tcW w:w="934"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425</w:t>
            </w:r>
          </w:p>
        </w:tc>
        <w:tc>
          <w:tcPr>
            <w:tcW w:w="1068"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144</w:t>
            </w:r>
          </w:p>
        </w:tc>
        <w:tc>
          <w:tcPr>
            <w:tcW w:w="997"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143</w:t>
            </w:r>
          </w:p>
        </w:tc>
        <w:tc>
          <w:tcPr>
            <w:tcW w:w="995" w:type="dxa"/>
            <w:vAlign w:val="center"/>
          </w:tcPr>
          <w:p w:rsidR="001F484F" w:rsidRPr="006D767C" w:rsidRDefault="001F484F" w:rsidP="005A0938">
            <w:pPr>
              <w:pStyle w:val="TableText"/>
              <w:jc w:val="center"/>
              <w:rPr>
                <w:rFonts w:eastAsia="Times New Roman" w:cs="Calibri"/>
                <w:bCs/>
              </w:rPr>
            </w:pPr>
            <w:r w:rsidRPr="006C54F0">
              <w:t>135</w:t>
            </w:r>
          </w:p>
        </w:tc>
        <w:tc>
          <w:tcPr>
            <w:tcW w:w="993" w:type="dxa"/>
            <w:vAlign w:val="center"/>
          </w:tcPr>
          <w:p w:rsidR="001F484F" w:rsidRPr="006D767C" w:rsidRDefault="001F484F" w:rsidP="005A0938">
            <w:pPr>
              <w:pStyle w:val="TableText"/>
              <w:jc w:val="center"/>
              <w:rPr>
                <w:rFonts w:eastAsia="Times New Roman" w:cs="Calibri"/>
                <w:bCs/>
              </w:rPr>
            </w:pPr>
            <w:r w:rsidRPr="006C54F0">
              <w:t>137</w:t>
            </w:r>
          </w:p>
        </w:tc>
        <w:tc>
          <w:tcPr>
            <w:tcW w:w="995" w:type="dxa"/>
            <w:vAlign w:val="center"/>
          </w:tcPr>
          <w:p w:rsidR="001F484F" w:rsidRPr="006D767C" w:rsidRDefault="001F484F" w:rsidP="005A0938">
            <w:pPr>
              <w:pStyle w:val="TableText"/>
              <w:jc w:val="center"/>
              <w:rPr>
                <w:rFonts w:eastAsia="Times New Roman" w:cs="Calibri"/>
                <w:bCs/>
              </w:rPr>
            </w:pPr>
            <w:r w:rsidRPr="006C54F0">
              <w:t>292</w:t>
            </w:r>
          </w:p>
        </w:tc>
        <w:tc>
          <w:tcPr>
            <w:tcW w:w="993" w:type="dxa"/>
            <w:vAlign w:val="center"/>
          </w:tcPr>
          <w:p w:rsidR="001F484F" w:rsidRPr="006D767C" w:rsidRDefault="001F484F" w:rsidP="005A0938">
            <w:pPr>
              <w:pStyle w:val="TableText"/>
              <w:jc w:val="center"/>
              <w:rPr>
                <w:rFonts w:eastAsia="Times New Roman" w:cs="Calibri"/>
                <w:bCs/>
              </w:rPr>
            </w:pPr>
            <w:r w:rsidRPr="006C54F0">
              <w:t>290</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Patients with event; n (%)</w:t>
            </w:r>
          </w:p>
        </w:tc>
        <w:tc>
          <w:tcPr>
            <w:tcW w:w="997" w:type="dxa"/>
            <w:vAlign w:val="center"/>
          </w:tcPr>
          <w:p w:rsidR="001F484F" w:rsidRPr="006C54F0" w:rsidRDefault="001F484F" w:rsidP="005A0938">
            <w:pPr>
              <w:pStyle w:val="TableText"/>
              <w:jc w:val="center"/>
              <w:rPr>
                <w:rFonts w:eastAsia="Times New Roman" w:cs="Calibri"/>
                <w:bCs/>
              </w:rPr>
            </w:pPr>
            <w:r w:rsidRPr="006C54F0">
              <w:rPr>
                <w:rFonts w:eastAsia="Times New Roman" w:cs="Calibri"/>
                <w:bCs/>
              </w:rPr>
              <w:t>271</w:t>
            </w:r>
          </w:p>
          <w:p w:rsidR="001F484F" w:rsidRPr="006D767C" w:rsidRDefault="001F484F" w:rsidP="005A0938">
            <w:pPr>
              <w:pStyle w:val="TableText"/>
              <w:jc w:val="center"/>
              <w:rPr>
                <w:rFonts w:eastAsia="Times New Roman" w:cs="Calibri"/>
                <w:bCs/>
              </w:rPr>
            </w:pPr>
            <w:r w:rsidRPr="006D767C">
              <w:rPr>
                <w:rFonts w:eastAsia="Times New Roman" w:cs="Calibri"/>
                <w:bCs/>
              </w:rPr>
              <w:t>(63.8%)</w:t>
            </w:r>
          </w:p>
        </w:tc>
        <w:tc>
          <w:tcPr>
            <w:tcW w:w="934" w:type="dxa"/>
            <w:vAlign w:val="center"/>
          </w:tcPr>
          <w:p w:rsidR="001F484F" w:rsidRPr="006C54F0" w:rsidRDefault="001F484F" w:rsidP="005A0938">
            <w:pPr>
              <w:pStyle w:val="TableText"/>
              <w:jc w:val="center"/>
              <w:rPr>
                <w:rFonts w:eastAsia="Times New Roman" w:cs="Calibri"/>
                <w:bCs/>
              </w:rPr>
            </w:pPr>
            <w:r w:rsidRPr="006C54F0">
              <w:rPr>
                <w:rFonts w:eastAsia="Times New Roman" w:cs="Calibri"/>
                <w:bCs/>
              </w:rPr>
              <w:t>298</w:t>
            </w:r>
          </w:p>
          <w:p w:rsidR="001F484F" w:rsidRPr="006D767C" w:rsidRDefault="001F484F" w:rsidP="005A0938">
            <w:pPr>
              <w:pStyle w:val="TableText"/>
              <w:jc w:val="center"/>
              <w:rPr>
                <w:rFonts w:eastAsia="Times New Roman" w:cs="Calibri"/>
                <w:bCs/>
              </w:rPr>
            </w:pPr>
            <w:r w:rsidRPr="006D767C">
              <w:rPr>
                <w:rFonts w:eastAsia="Times New Roman" w:cs="Calibri"/>
                <w:bCs/>
              </w:rPr>
              <w:t>(70.1%)</w:t>
            </w:r>
          </w:p>
        </w:tc>
        <w:tc>
          <w:tcPr>
            <w:tcW w:w="1068" w:type="dxa"/>
            <w:vAlign w:val="center"/>
          </w:tcPr>
          <w:p w:rsidR="001F484F" w:rsidRPr="006C54F0" w:rsidRDefault="001F484F" w:rsidP="005A0938">
            <w:pPr>
              <w:pStyle w:val="TableText"/>
              <w:jc w:val="center"/>
              <w:rPr>
                <w:rFonts w:eastAsia="Times New Roman" w:cs="Calibri"/>
                <w:bCs/>
              </w:rPr>
            </w:pPr>
            <w:r w:rsidRPr="006C54F0">
              <w:rPr>
                <w:rFonts w:eastAsia="Times New Roman" w:cs="Calibri"/>
                <w:bCs/>
              </w:rPr>
              <w:t>90</w:t>
            </w:r>
          </w:p>
          <w:p w:rsidR="001F484F" w:rsidRPr="006D767C" w:rsidRDefault="001F484F" w:rsidP="005A0938">
            <w:pPr>
              <w:pStyle w:val="TableText"/>
              <w:jc w:val="center"/>
              <w:rPr>
                <w:rFonts w:eastAsia="Times New Roman" w:cs="Calibri"/>
                <w:bCs/>
              </w:rPr>
            </w:pPr>
            <w:r w:rsidRPr="006D767C">
              <w:rPr>
                <w:rFonts w:eastAsia="Times New Roman" w:cs="Calibri"/>
                <w:bCs/>
              </w:rPr>
              <w:t>(62.5%)</w:t>
            </w:r>
          </w:p>
        </w:tc>
        <w:tc>
          <w:tcPr>
            <w:tcW w:w="997" w:type="dxa"/>
            <w:vAlign w:val="center"/>
          </w:tcPr>
          <w:p w:rsidR="001F484F" w:rsidRPr="006C54F0" w:rsidRDefault="001F484F" w:rsidP="005A0938">
            <w:pPr>
              <w:pStyle w:val="TableText"/>
              <w:jc w:val="center"/>
              <w:rPr>
                <w:rFonts w:eastAsia="Times New Roman" w:cs="Calibri"/>
                <w:bCs/>
              </w:rPr>
            </w:pPr>
            <w:r w:rsidRPr="006C54F0">
              <w:rPr>
                <w:rFonts w:eastAsia="Times New Roman" w:cs="Calibri"/>
                <w:bCs/>
              </w:rPr>
              <w:t>110</w:t>
            </w:r>
          </w:p>
          <w:p w:rsidR="001F484F" w:rsidRPr="006D767C" w:rsidRDefault="001F484F" w:rsidP="005A0938">
            <w:pPr>
              <w:pStyle w:val="TableText"/>
              <w:jc w:val="center"/>
              <w:rPr>
                <w:rFonts w:eastAsia="Times New Roman" w:cs="Calibri"/>
                <w:bCs/>
              </w:rPr>
            </w:pPr>
            <w:r w:rsidRPr="006D767C">
              <w:rPr>
                <w:rFonts w:eastAsia="Times New Roman" w:cs="Calibri"/>
                <w:bCs/>
              </w:rPr>
              <w:t>(76.9%)</w:t>
            </w:r>
          </w:p>
        </w:tc>
        <w:tc>
          <w:tcPr>
            <w:tcW w:w="995" w:type="dxa"/>
            <w:vAlign w:val="center"/>
          </w:tcPr>
          <w:p w:rsidR="001F484F" w:rsidRPr="006C54F0" w:rsidRDefault="001F484F" w:rsidP="005A0938">
            <w:pPr>
              <w:pStyle w:val="TableText"/>
              <w:jc w:val="center"/>
            </w:pPr>
            <w:r w:rsidRPr="006C54F0">
              <w:t>103</w:t>
            </w:r>
          </w:p>
          <w:p w:rsidR="001F484F" w:rsidRPr="006D767C" w:rsidRDefault="001F484F" w:rsidP="005A0938">
            <w:pPr>
              <w:pStyle w:val="TableText"/>
              <w:jc w:val="center"/>
              <w:rPr>
                <w:rFonts w:eastAsia="Times New Roman" w:cs="Calibri"/>
                <w:bCs/>
              </w:rPr>
            </w:pPr>
            <w:r w:rsidRPr="006D767C">
              <w:t>(76.3)</w:t>
            </w:r>
          </w:p>
        </w:tc>
        <w:tc>
          <w:tcPr>
            <w:tcW w:w="993" w:type="dxa"/>
            <w:vAlign w:val="center"/>
          </w:tcPr>
          <w:p w:rsidR="001F484F" w:rsidRPr="006C54F0" w:rsidRDefault="001F484F" w:rsidP="005A0938">
            <w:pPr>
              <w:pStyle w:val="TableText"/>
              <w:jc w:val="center"/>
            </w:pPr>
            <w:r w:rsidRPr="006C54F0">
              <w:t>122</w:t>
            </w:r>
          </w:p>
          <w:p w:rsidR="001F484F" w:rsidRPr="006D767C" w:rsidRDefault="001F484F" w:rsidP="005A0938">
            <w:pPr>
              <w:pStyle w:val="TableText"/>
              <w:jc w:val="center"/>
            </w:pPr>
            <w:r w:rsidRPr="006D767C">
              <w:t>(89.1)</w:t>
            </w:r>
          </w:p>
        </w:tc>
        <w:tc>
          <w:tcPr>
            <w:tcW w:w="995" w:type="dxa"/>
            <w:vAlign w:val="center"/>
          </w:tcPr>
          <w:p w:rsidR="001F484F" w:rsidRPr="006C54F0" w:rsidRDefault="001F484F" w:rsidP="005A0938">
            <w:pPr>
              <w:pStyle w:val="TableText"/>
              <w:jc w:val="center"/>
            </w:pPr>
            <w:r w:rsidRPr="006C54F0">
              <w:t>206</w:t>
            </w:r>
          </w:p>
          <w:p w:rsidR="001F484F" w:rsidRPr="006D767C" w:rsidRDefault="001F484F" w:rsidP="005A0938">
            <w:pPr>
              <w:pStyle w:val="TableText"/>
              <w:jc w:val="center"/>
              <w:rPr>
                <w:rFonts w:eastAsia="Times New Roman" w:cs="Calibri"/>
                <w:bCs/>
              </w:rPr>
            </w:pPr>
            <w:r w:rsidRPr="006D767C">
              <w:t>(70.5)</w:t>
            </w:r>
          </w:p>
        </w:tc>
        <w:tc>
          <w:tcPr>
            <w:tcW w:w="993" w:type="dxa"/>
            <w:vAlign w:val="center"/>
          </w:tcPr>
          <w:p w:rsidR="001F484F" w:rsidRPr="006C54F0" w:rsidRDefault="001F484F" w:rsidP="005A0938">
            <w:pPr>
              <w:pStyle w:val="TableText"/>
              <w:jc w:val="center"/>
            </w:pPr>
            <w:r w:rsidRPr="006C54F0">
              <w:t>236</w:t>
            </w:r>
          </w:p>
          <w:p w:rsidR="001F484F" w:rsidRPr="006D767C" w:rsidRDefault="001F484F" w:rsidP="005A0938">
            <w:pPr>
              <w:pStyle w:val="TableText"/>
              <w:jc w:val="center"/>
              <w:rPr>
                <w:rFonts w:eastAsia="Times New Roman" w:cs="Calibri"/>
                <w:bCs/>
              </w:rPr>
            </w:pPr>
            <w:r w:rsidRPr="006D767C">
              <w:t>(80.8)</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Median OS (months); (95% CI)</w:t>
            </w:r>
          </w:p>
        </w:tc>
        <w:tc>
          <w:tcPr>
            <w:tcW w:w="997"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13.8</w:t>
            </w:r>
          </w:p>
          <w:p w:rsidR="001F484F" w:rsidRPr="006D767C" w:rsidRDefault="001F484F" w:rsidP="005A0938">
            <w:pPr>
              <w:pStyle w:val="TableText"/>
              <w:jc w:val="center"/>
              <w:rPr>
                <w:rFonts w:eastAsia="Times New Roman" w:cs="Calibri"/>
                <w:bCs/>
              </w:rPr>
            </w:pPr>
            <w:r w:rsidRPr="006D767C">
              <w:rPr>
                <w:rFonts w:eastAsia="Times New Roman" w:cs="Calibri"/>
                <w:bCs/>
              </w:rPr>
              <w:t>(11.8, 15.7)</w:t>
            </w:r>
          </w:p>
        </w:tc>
        <w:tc>
          <w:tcPr>
            <w:tcW w:w="934"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9.6</w:t>
            </w:r>
          </w:p>
          <w:p w:rsidR="001F484F" w:rsidRPr="006D767C" w:rsidRDefault="001F484F" w:rsidP="005A0938">
            <w:pPr>
              <w:pStyle w:val="TableText"/>
              <w:jc w:val="center"/>
              <w:rPr>
                <w:rFonts w:eastAsia="Times New Roman" w:cs="Calibri"/>
                <w:bCs/>
              </w:rPr>
            </w:pPr>
            <w:r w:rsidRPr="006D767C">
              <w:rPr>
                <w:rFonts w:eastAsia="Times New Roman" w:cs="Calibri"/>
                <w:bCs/>
              </w:rPr>
              <w:t>(8.6, 11.2)</w:t>
            </w:r>
          </w:p>
        </w:tc>
        <w:tc>
          <w:tcPr>
            <w:tcW w:w="1068"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12.6</w:t>
            </w:r>
          </w:p>
          <w:p w:rsidR="001F484F" w:rsidRPr="006D767C" w:rsidRDefault="001F484F" w:rsidP="005A0938">
            <w:pPr>
              <w:pStyle w:val="TableText"/>
              <w:jc w:val="center"/>
              <w:rPr>
                <w:rFonts w:eastAsia="Times New Roman" w:cs="Calibri"/>
                <w:bCs/>
              </w:rPr>
            </w:pPr>
            <w:r w:rsidRPr="006D767C">
              <w:rPr>
                <w:rFonts w:eastAsia="Times New Roman" w:cs="Calibri"/>
                <w:bCs/>
              </w:rPr>
              <w:t>(9.7, 16.0)</w:t>
            </w:r>
          </w:p>
        </w:tc>
        <w:tc>
          <w:tcPr>
            <w:tcW w:w="997"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9.7</w:t>
            </w:r>
          </w:p>
          <w:p w:rsidR="001F484F" w:rsidRPr="006D767C" w:rsidRDefault="001F484F" w:rsidP="005A0938">
            <w:pPr>
              <w:pStyle w:val="TableText"/>
              <w:jc w:val="center"/>
              <w:rPr>
                <w:rFonts w:eastAsia="Times New Roman" w:cs="Calibri"/>
                <w:bCs/>
              </w:rPr>
            </w:pPr>
            <w:r w:rsidRPr="006D767C">
              <w:rPr>
                <w:rFonts w:eastAsia="Times New Roman" w:cs="Calibri"/>
                <w:bCs/>
              </w:rPr>
              <w:t>(8.6, 12.0)</w:t>
            </w:r>
          </w:p>
        </w:tc>
        <w:tc>
          <w:tcPr>
            <w:tcW w:w="995" w:type="dxa"/>
            <w:vAlign w:val="center"/>
          </w:tcPr>
          <w:p w:rsidR="001F484F" w:rsidRPr="006D767C" w:rsidRDefault="001F484F" w:rsidP="005A0938">
            <w:pPr>
              <w:pStyle w:val="TableText"/>
              <w:jc w:val="center"/>
            </w:pPr>
            <w:r w:rsidRPr="006D767C">
              <w:t>9.2</w:t>
            </w:r>
          </w:p>
          <w:p w:rsidR="001F484F" w:rsidRPr="006D767C" w:rsidRDefault="001F484F" w:rsidP="005A0938">
            <w:pPr>
              <w:pStyle w:val="TableText"/>
              <w:jc w:val="center"/>
              <w:rPr>
                <w:rFonts w:eastAsia="Times New Roman" w:cs="Calibri"/>
                <w:bCs/>
              </w:rPr>
            </w:pPr>
            <w:r w:rsidRPr="006D767C">
              <w:t>(7.3, 12.6)</w:t>
            </w:r>
          </w:p>
        </w:tc>
        <w:tc>
          <w:tcPr>
            <w:tcW w:w="993" w:type="dxa"/>
            <w:vAlign w:val="center"/>
          </w:tcPr>
          <w:p w:rsidR="001F484F" w:rsidRPr="006D767C" w:rsidRDefault="001F484F" w:rsidP="005A0938">
            <w:pPr>
              <w:pStyle w:val="TableText"/>
              <w:jc w:val="center"/>
            </w:pPr>
            <w:r w:rsidRPr="006D767C">
              <w:t>6.0</w:t>
            </w:r>
          </w:p>
          <w:p w:rsidR="001F484F" w:rsidRPr="006D767C" w:rsidRDefault="001F484F" w:rsidP="005A0938">
            <w:pPr>
              <w:pStyle w:val="TableText"/>
              <w:jc w:val="center"/>
              <w:rPr>
                <w:rFonts w:eastAsia="Times New Roman" w:cs="Calibri"/>
                <w:bCs/>
              </w:rPr>
            </w:pPr>
            <w:r w:rsidRPr="006D767C">
              <w:t>(5.3, 7.4)</w:t>
            </w:r>
          </w:p>
        </w:tc>
        <w:tc>
          <w:tcPr>
            <w:tcW w:w="995" w:type="dxa"/>
            <w:vAlign w:val="center"/>
          </w:tcPr>
          <w:p w:rsidR="001F484F" w:rsidRPr="006D767C" w:rsidRDefault="001F484F" w:rsidP="005A0938">
            <w:pPr>
              <w:pStyle w:val="TableText"/>
              <w:jc w:val="center"/>
            </w:pPr>
            <w:r w:rsidRPr="006D767C">
              <w:t>12.2</w:t>
            </w:r>
          </w:p>
          <w:p w:rsidR="001F484F" w:rsidRPr="006D767C" w:rsidRDefault="001F484F" w:rsidP="005A0938">
            <w:pPr>
              <w:pStyle w:val="TableText"/>
              <w:jc w:val="center"/>
              <w:rPr>
                <w:rFonts w:eastAsia="Times New Roman" w:cs="Calibri"/>
                <w:bCs/>
              </w:rPr>
            </w:pPr>
            <w:r w:rsidRPr="006D767C">
              <w:t>(9.7, 15.1)</w:t>
            </w:r>
          </w:p>
        </w:tc>
        <w:tc>
          <w:tcPr>
            <w:tcW w:w="993" w:type="dxa"/>
            <w:vAlign w:val="center"/>
          </w:tcPr>
          <w:p w:rsidR="001F484F" w:rsidRPr="006D767C" w:rsidRDefault="001F484F" w:rsidP="005A0938">
            <w:pPr>
              <w:pStyle w:val="TableText"/>
              <w:jc w:val="center"/>
            </w:pPr>
            <w:r w:rsidRPr="006D767C">
              <w:t>9.4</w:t>
            </w:r>
          </w:p>
          <w:p w:rsidR="001F484F" w:rsidRPr="006D767C" w:rsidRDefault="001F484F" w:rsidP="005A0938">
            <w:pPr>
              <w:pStyle w:val="TableText"/>
              <w:jc w:val="center"/>
              <w:rPr>
                <w:rFonts w:eastAsia="Times New Roman" w:cs="Calibri"/>
                <w:bCs/>
              </w:rPr>
            </w:pPr>
            <w:r w:rsidRPr="006D767C">
              <w:t>(8.1, 10.7)</w:t>
            </w:r>
          </w:p>
        </w:tc>
      </w:tr>
      <w:tr w:rsidR="001F484F" w:rsidRPr="006D767C" w:rsidTr="00AC57B1">
        <w:trPr>
          <w:trHeight w:val="347"/>
        </w:trPr>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Stratified HR (95 %CI)</w:t>
            </w:r>
          </w:p>
        </w:tc>
        <w:tc>
          <w:tcPr>
            <w:tcW w:w="1931" w:type="dxa"/>
            <w:gridSpan w:val="2"/>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0.73</w:t>
            </w:r>
          </w:p>
          <w:p w:rsidR="001F484F" w:rsidRPr="006D767C" w:rsidRDefault="001F484F" w:rsidP="005A0938">
            <w:pPr>
              <w:pStyle w:val="TableText"/>
              <w:jc w:val="center"/>
              <w:rPr>
                <w:rFonts w:eastAsia="Times New Roman" w:cs="Calibri"/>
                <w:bCs/>
              </w:rPr>
            </w:pPr>
            <w:r w:rsidRPr="006D767C">
              <w:rPr>
                <w:rFonts w:eastAsia="Times New Roman" w:cs="Calibri"/>
                <w:bCs/>
              </w:rPr>
              <w:t>(0.62, 0.87)</w:t>
            </w:r>
          </w:p>
        </w:tc>
        <w:tc>
          <w:tcPr>
            <w:tcW w:w="2065" w:type="dxa"/>
            <w:gridSpan w:val="2"/>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0.69</w:t>
            </w:r>
          </w:p>
          <w:p w:rsidR="001F484F" w:rsidRPr="006D767C" w:rsidRDefault="001F484F" w:rsidP="005A0938">
            <w:pPr>
              <w:pStyle w:val="TableText"/>
              <w:jc w:val="center"/>
              <w:rPr>
                <w:rFonts w:eastAsia="Times New Roman" w:cs="Calibri"/>
                <w:bCs/>
              </w:rPr>
            </w:pPr>
            <w:r w:rsidRPr="006D767C">
              <w:rPr>
                <w:rFonts w:eastAsia="Times New Roman" w:cs="Calibri"/>
                <w:bCs/>
              </w:rPr>
              <w:t>(0.52,0.92)</w:t>
            </w:r>
          </w:p>
        </w:tc>
        <w:tc>
          <w:tcPr>
            <w:tcW w:w="1988" w:type="dxa"/>
            <w:gridSpan w:val="2"/>
            <w:vAlign w:val="center"/>
          </w:tcPr>
          <w:p w:rsidR="001F484F" w:rsidRPr="006D767C" w:rsidRDefault="001F484F" w:rsidP="005A0938">
            <w:pPr>
              <w:pStyle w:val="TableText"/>
              <w:jc w:val="center"/>
            </w:pPr>
            <w:r w:rsidRPr="006D767C">
              <w:t>0.62</w:t>
            </w:r>
          </w:p>
          <w:p w:rsidR="001F484F" w:rsidRPr="006D767C" w:rsidRDefault="001F484F" w:rsidP="005A0938">
            <w:pPr>
              <w:pStyle w:val="TableText"/>
              <w:jc w:val="center"/>
              <w:rPr>
                <w:rFonts w:eastAsia="Times New Roman" w:cs="Calibri"/>
                <w:bCs/>
              </w:rPr>
            </w:pPr>
            <w:r w:rsidRPr="006D767C">
              <w:t>(0.48, 0.81)</w:t>
            </w:r>
          </w:p>
        </w:tc>
        <w:tc>
          <w:tcPr>
            <w:tcW w:w="1988" w:type="dxa"/>
            <w:gridSpan w:val="2"/>
            <w:vAlign w:val="center"/>
          </w:tcPr>
          <w:p w:rsidR="001F484F" w:rsidRPr="006D767C" w:rsidRDefault="001F484F" w:rsidP="005A0938">
            <w:pPr>
              <w:pStyle w:val="TableText"/>
              <w:jc w:val="center"/>
            </w:pPr>
            <w:r w:rsidRPr="006D767C">
              <w:t xml:space="preserve">0.72 </w:t>
            </w:r>
          </w:p>
          <w:p w:rsidR="001F484F" w:rsidRPr="006D767C" w:rsidRDefault="001F484F" w:rsidP="005A0938">
            <w:pPr>
              <w:pStyle w:val="TableText"/>
              <w:jc w:val="center"/>
              <w:rPr>
                <w:rFonts w:eastAsia="Times New Roman" w:cs="Calibri"/>
                <w:bCs/>
              </w:rPr>
            </w:pPr>
            <w:r w:rsidRPr="006D767C">
              <w:t>(0.60, 0.88)</w:t>
            </w:r>
            <w:r w:rsidRPr="006D767C">
              <w:rPr>
                <w:vertAlign w:val="superscript"/>
                <w:lang w:eastAsia="en-AU"/>
              </w:rPr>
              <w:t xml:space="preserve"> a</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p-value (log-rank)</w:t>
            </w:r>
          </w:p>
        </w:tc>
        <w:tc>
          <w:tcPr>
            <w:tcW w:w="1931" w:type="dxa"/>
            <w:gridSpan w:val="2"/>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0.0003</w:t>
            </w:r>
          </w:p>
        </w:tc>
        <w:tc>
          <w:tcPr>
            <w:tcW w:w="2065" w:type="dxa"/>
            <w:gridSpan w:val="2"/>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0.0106</w:t>
            </w:r>
          </w:p>
        </w:tc>
        <w:tc>
          <w:tcPr>
            <w:tcW w:w="1988" w:type="dxa"/>
            <w:gridSpan w:val="2"/>
            <w:vAlign w:val="center"/>
          </w:tcPr>
          <w:p w:rsidR="001F484F" w:rsidRPr="006D767C" w:rsidRDefault="001F484F" w:rsidP="005A0938">
            <w:pPr>
              <w:pStyle w:val="TableText"/>
              <w:jc w:val="center"/>
              <w:rPr>
                <w:rFonts w:eastAsia="Times New Roman" w:cs="Calibri"/>
                <w:bCs/>
              </w:rPr>
            </w:pPr>
            <w:r w:rsidRPr="006D767C">
              <w:t>0.0004</w:t>
            </w:r>
          </w:p>
        </w:tc>
        <w:tc>
          <w:tcPr>
            <w:tcW w:w="1988" w:type="dxa"/>
            <w:gridSpan w:val="2"/>
            <w:vAlign w:val="center"/>
          </w:tcPr>
          <w:p w:rsidR="001F484F" w:rsidRPr="006D767C" w:rsidRDefault="001F484F" w:rsidP="005A0938">
            <w:pPr>
              <w:pStyle w:val="TableText"/>
              <w:jc w:val="center"/>
              <w:rPr>
                <w:rFonts w:eastAsia="Times New Roman" w:cs="Calibri"/>
                <w:bCs/>
              </w:rPr>
            </w:pPr>
            <w:r w:rsidRPr="006D767C">
              <w:t>&lt;0.001</w:t>
            </w:r>
          </w:p>
        </w:tc>
      </w:tr>
      <w:tr w:rsidR="001F484F" w:rsidRPr="006D767C" w:rsidTr="00AC57B1">
        <w:tc>
          <w:tcPr>
            <w:tcW w:w="8974" w:type="dxa"/>
            <w:gridSpan w:val="9"/>
            <w:vAlign w:val="center"/>
          </w:tcPr>
          <w:p w:rsidR="001F484F" w:rsidRPr="006D767C" w:rsidRDefault="006200C5" w:rsidP="00070629">
            <w:pPr>
              <w:pStyle w:val="TableText"/>
              <w:jc w:val="left"/>
              <w:rPr>
                <w:rFonts w:eastAsia="Times New Roman" w:cs="Calibri"/>
                <w:b/>
                <w:bCs/>
              </w:rPr>
            </w:pPr>
            <w:r w:rsidRPr="006D767C">
              <w:rPr>
                <w:rFonts w:eastAsia="Times New Roman" w:cs="Calibri"/>
                <w:b/>
                <w:bCs/>
              </w:rPr>
              <w:t>OS at</w:t>
            </w:r>
            <w:r w:rsidR="001F484F" w:rsidRPr="006D767C">
              <w:rPr>
                <w:rFonts w:eastAsia="Times New Roman" w:cs="Calibri"/>
                <w:b/>
                <w:bCs/>
              </w:rPr>
              <w:t xml:space="preserve"> 12 months</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Patients at risk; n (%)</w:t>
            </w:r>
          </w:p>
        </w:tc>
        <w:tc>
          <w:tcPr>
            <w:tcW w:w="997"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218</w:t>
            </w:r>
          </w:p>
        </w:tc>
        <w:tc>
          <w:tcPr>
            <w:tcW w:w="934"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151</w:t>
            </w:r>
          </w:p>
        </w:tc>
        <w:tc>
          <w:tcPr>
            <w:tcW w:w="1068" w:type="dxa"/>
            <w:vAlign w:val="center"/>
          </w:tcPr>
          <w:p w:rsidR="001F484F" w:rsidRPr="006D767C" w:rsidRDefault="001F484F" w:rsidP="005A0938">
            <w:pPr>
              <w:pStyle w:val="TableText"/>
              <w:jc w:val="center"/>
              <w:rPr>
                <w:rFonts w:eastAsia="Times New Roman" w:cs="Calibri"/>
                <w:bCs/>
              </w:rPr>
            </w:pPr>
            <w:r w:rsidRPr="006C54F0">
              <w:t>70</w:t>
            </w:r>
          </w:p>
        </w:tc>
        <w:tc>
          <w:tcPr>
            <w:tcW w:w="997" w:type="dxa"/>
            <w:vAlign w:val="center"/>
          </w:tcPr>
          <w:p w:rsidR="001F484F" w:rsidRPr="006D767C" w:rsidRDefault="001F484F" w:rsidP="005A0938">
            <w:pPr>
              <w:pStyle w:val="TableText"/>
              <w:jc w:val="center"/>
              <w:rPr>
                <w:rFonts w:eastAsia="Times New Roman" w:cs="Calibri"/>
                <w:bCs/>
              </w:rPr>
            </w:pPr>
            <w:r w:rsidRPr="006C54F0">
              <w:t>55</w:t>
            </w:r>
          </w:p>
        </w:tc>
        <w:tc>
          <w:tcPr>
            <w:tcW w:w="995" w:type="dxa"/>
            <w:vAlign w:val="center"/>
          </w:tcPr>
          <w:p w:rsidR="001F484F" w:rsidRPr="006D767C" w:rsidRDefault="001F484F" w:rsidP="005A0938">
            <w:pPr>
              <w:pStyle w:val="TableText"/>
              <w:jc w:val="center"/>
              <w:rPr>
                <w:rFonts w:eastAsia="Times New Roman" w:cs="Calibri"/>
                <w:bCs/>
              </w:rPr>
            </w:pPr>
            <w:r w:rsidRPr="006C54F0">
              <w:t>57</w:t>
            </w:r>
          </w:p>
        </w:tc>
        <w:tc>
          <w:tcPr>
            <w:tcW w:w="993" w:type="dxa"/>
            <w:vAlign w:val="center"/>
          </w:tcPr>
          <w:p w:rsidR="001F484F" w:rsidRPr="006D767C" w:rsidRDefault="001F484F" w:rsidP="005A0938">
            <w:pPr>
              <w:pStyle w:val="TableText"/>
              <w:jc w:val="center"/>
              <w:rPr>
                <w:rFonts w:eastAsia="Times New Roman" w:cs="Calibri"/>
                <w:bCs/>
              </w:rPr>
            </w:pPr>
            <w:r w:rsidRPr="006C54F0">
              <w:t>32</w:t>
            </w:r>
          </w:p>
        </w:tc>
        <w:tc>
          <w:tcPr>
            <w:tcW w:w="995" w:type="dxa"/>
            <w:vAlign w:val="center"/>
          </w:tcPr>
          <w:p w:rsidR="001F484F" w:rsidRPr="006D767C" w:rsidRDefault="001F484F" w:rsidP="005A0938">
            <w:pPr>
              <w:pStyle w:val="TableText"/>
              <w:jc w:val="center"/>
              <w:rPr>
                <w:rFonts w:eastAsia="Times New Roman" w:cs="Calibri"/>
                <w:bCs/>
              </w:rPr>
            </w:pPr>
            <w:r w:rsidRPr="006C54F0">
              <w:t>146</w:t>
            </w:r>
          </w:p>
        </w:tc>
        <w:tc>
          <w:tcPr>
            <w:tcW w:w="993" w:type="dxa"/>
            <w:vAlign w:val="center"/>
          </w:tcPr>
          <w:p w:rsidR="001F484F" w:rsidRPr="006D767C" w:rsidRDefault="001F484F" w:rsidP="005A0938">
            <w:pPr>
              <w:pStyle w:val="TableText"/>
              <w:jc w:val="center"/>
              <w:rPr>
                <w:rFonts w:eastAsia="Times New Roman" w:cs="Calibri"/>
                <w:bCs/>
              </w:rPr>
            </w:pPr>
            <w:r w:rsidRPr="006C54F0">
              <w:t>111</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Event-free rate % (95% CI)</w:t>
            </w:r>
          </w:p>
        </w:tc>
        <w:tc>
          <w:tcPr>
            <w:tcW w:w="997"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 xml:space="preserve">54.70 </w:t>
            </w:r>
          </w:p>
          <w:p w:rsidR="001F484F" w:rsidRPr="006D767C" w:rsidRDefault="001F484F" w:rsidP="005A0938">
            <w:pPr>
              <w:pStyle w:val="TableText"/>
              <w:jc w:val="center"/>
              <w:rPr>
                <w:rFonts w:eastAsia="Times New Roman" w:cs="Calibri"/>
                <w:bCs/>
              </w:rPr>
            </w:pPr>
            <w:r w:rsidRPr="006D767C">
              <w:rPr>
                <w:rFonts w:eastAsia="Times New Roman" w:cs="Calibri"/>
                <w:bCs/>
              </w:rPr>
              <w:t>(49.9, 59.6)</w:t>
            </w:r>
          </w:p>
        </w:tc>
        <w:tc>
          <w:tcPr>
            <w:tcW w:w="934"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 xml:space="preserve">41.12 </w:t>
            </w:r>
          </w:p>
          <w:p w:rsidR="001F484F" w:rsidRPr="006D767C" w:rsidRDefault="001F484F" w:rsidP="005A0938">
            <w:pPr>
              <w:pStyle w:val="TableText"/>
              <w:jc w:val="center"/>
              <w:rPr>
                <w:rFonts w:eastAsia="Times New Roman" w:cs="Calibri"/>
                <w:bCs/>
              </w:rPr>
            </w:pPr>
            <w:r w:rsidRPr="006D767C">
              <w:rPr>
                <w:rFonts w:eastAsia="Times New Roman" w:cs="Calibri"/>
                <w:bCs/>
              </w:rPr>
              <w:t>(36.2, 46.1)</w:t>
            </w:r>
          </w:p>
        </w:tc>
        <w:tc>
          <w:tcPr>
            <w:tcW w:w="1068" w:type="dxa"/>
            <w:vAlign w:val="center"/>
          </w:tcPr>
          <w:p w:rsidR="001F484F" w:rsidRPr="006D767C" w:rsidRDefault="001F484F" w:rsidP="005A0938">
            <w:pPr>
              <w:pStyle w:val="TableText"/>
              <w:jc w:val="center"/>
            </w:pPr>
            <w:r w:rsidRPr="006D767C">
              <w:t xml:space="preserve">51.6 </w:t>
            </w:r>
          </w:p>
          <w:p w:rsidR="001F484F" w:rsidRPr="006D767C" w:rsidRDefault="001F484F" w:rsidP="005A0938">
            <w:pPr>
              <w:pStyle w:val="TableText"/>
              <w:jc w:val="center"/>
              <w:rPr>
                <w:rFonts w:eastAsia="Times New Roman" w:cs="Calibri"/>
                <w:bCs/>
              </w:rPr>
            </w:pPr>
            <w:r w:rsidRPr="006D767C">
              <w:t>(43.3, 59.9)</w:t>
            </w:r>
          </w:p>
        </w:tc>
        <w:tc>
          <w:tcPr>
            <w:tcW w:w="997" w:type="dxa"/>
            <w:vAlign w:val="center"/>
          </w:tcPr>
          <w:p w:rsidR="001F484F" w:rsidRPr="006D767C" w:rsidRDefault="001F484F" w:rsidP="005A0938">
            <w:pPr>
              <w:pStyle w:val="TableText"/>
              <w:jc w:val="center"/>
            </w:pPr>
            <w:r w:rsidRPr="006D767C">
              <w:t xml:space="preserve">41.9 </w:t>
            </w:r>
          </w:p>
          <w:p w:rsidR="001F484F" w:rsidRPr="006D767C" w:rsidRDefault="001F484F" w:rsidP="005A0938">
            <w:pPr>
              <w:pStyle w:val="TableText"/>
              <w:jc w:val="center"/>
              <w:rPr>
                <w:rFonts w:eastAsia="Times New Roman" w:cs="Calibri"/>
                <w:bCs/>
              </w:rPr>
            </w:pPr>
            <w:r w:rsidRPr="006D767C">
              <w:t>(33.5, 50.3)</w:t>
            </w:r>
          </w:p>
        </w:tc>
        <w:tc>
          <w:tcPr>
            <w:tcW w:w="995" w:type="dxa"/>
            <w:vAlign w:val="center"/>
          </w:tcPr>
          <w:p w:rsidR="001F484F" w:rsidRPr="006D767C" w:rsidRDefault="001F484F" w:rsidP="005A0938">
            <w:pPr>
              <w:pStyle w:val="TableText1"/>
              <w:jc w:val="center"/>
            </w:pPr>
            <w:r w:rsidRPr="006D767C">
              <w:t>42.1</w:t>
            </w:r>
          </w:p>
          <w:p w:rsidR="001F484F" w:rsidRPr="006D767C" w:rsidRDefault="001F484F" w:rsidP="005A0938">
            <w:pPr>
              <w:pStyle w:val="TableText"/>
              <w:jc w:val="center"/>
              <w:rPr>
                <w:rFonts w:eastAsia="Times New Roman" w:cs="Calibri"/>
                <w:bCs/>
              </w:rPr>
            </w:pPr>
            <w:r w:rsidRPr="006D767C">
              <w:t>(33.7, 50.3)</w:t>
            </w:r>
          </w:p>
        </w:tc>
        <w:tc>
          <w:tcPr>
            <w:tcW w:w="993" w:type="dxa"/>
            <w:vAlign w:val="center"/>
          </w:tcPr>
          <w:p w:rsidR="001F484F" w:rsidRPr="006D767C" w:rsidRDefault="001F484F" w:rsidP="005A0938">
            <w:pPr>
              <w:pStyle w:val="TableText1"/>
              <w:jc w:val="center"/>
            </w:pPr>
            <w:r w:rsidRPr="006D767C">
              <w:t>23.7</w:t>
            </w:r>
          </w:p>
          <w:p w:rsidR="001F484F" w:rsidRPr="006D767C" w:rsidRDefault="001F484F" w:rsidP="005A0938">
            <w:pPr>
              <w:pStyle w:val="TableText"/>
              <w:jc w:val="center"/>
              <w:rPr>
                <w:rFonts w:eastAsia="Times New Roman" w:cs="Calibri"/>
                <w:bCs/>
              </w:rPr>
            </w:pPr>
            <w:r w:rsidRPr="006D767C">
              <w:t>(16.9, 31.1)</w:t>
            </w:r>
          </w:p>
        </w:tc>
        <w:tc>
          <w:tcPr>
            <w:tcW w:w="995" w:type="dxa"/>
            <w:vAlign w:val="center"/>
          </w:tcPr>
          <w:p w:rsidR="001F484F" w:rsidRPr="006D767C" w:rsidRDefault="001F484F" w:rsidP="005A0938">
            <w:pPr>
              <w:pStyle w:val="TableText"/>
              <w:jc w:val="center"/>
            </w:pPr>
            <w:r w:rsidRPr="006D767C">
              <w:t xml:space="preserve">51 </w:t>
            </w:r>
          </w:p>
          <w:p w:rsidR="001F484F" w:rsidRPr="006D767C" w:rsidRDefault="001F484F" w:rsidP="005A0938">
            <w:pPr>
              <w:pStyle w:val="TableText"/>
              <w:jc w:val="center"/>
              <w:rPr>
                <w:rFonts w:eastAsia="Times New Roman" w:cs="Calibri"/>
                <w:bCs/>
              </w:rPr>
            </w:pPr>
            <w:r w:rsidRPr="006D767C">
              <w:t>(45-46)</w:t>
            </w:r>
          </w:p>
        </w:tc>
        <w:tc>
          <w:tcPr>
            <w:tcW w:w="993" w:type="dxa"/>
            <w:vAlign w:val="center"/>
          </w:tcPr>
          <w:p w:rsidR="001F484F" w:rsidRPr="006D767C" w:rsidRDefault="001F484F" w:rsidP="005A0938">
            <w:pPr>
              <w:pStyle w:val="TableText"/>
              <w:jc w:val="center"/>
            </w:pPr>
            <w:r w:rsidRPr="006D767C">
              <w:t xml:space="preserve">39 </w:t>
            </w:r>
          </w:p>
          <w:p w:rsidR="001F484F" w:rsidRPr="006D767C" w:rsidRDefault="001F484F" w:rsidP="005A0938">
            <w:pPr>
              <w:pStyle w:val="TableText"/>
              <w:jc w:val="center"/>
              <w:rPr>
                <w:rFonts w:eastAsia="Times New Roman" w:cs="Calibri"/>
                <w:bCs/>
              </w:rPr>
            </w:pPr>
            <w:r w:rsidRPr="006D767C">
              <w:t>(33-45)</w:t>
            </w:r>
          </w:p>
        </w:tc>
      </w:tr>
      <w:tr w:rsidR="001F484F" w:rsidRPr="006D767C" w:rsidTr="00AC57B1">
        <w:tc>
          <w:tcPr>
            <w:tcW w:w="8974" w:type="dxa"/>
            <w:gridSpan w:val="9"/>
            <w:vAlign w:val="center"/>
          </w:tcPr>
          <w:p w:rsidR="001F484F" w:rsidRPr="006D767C" w:rsidRDefault="006200C5" w:rsidP="00070629">
            <w:pPr>
              <w:pStyle w:val="TableText"/>
              <w:jc w:val="left"/>
              <w:rPr>
                <w:rFonts w:eastAsia="Times New Roman" w:cs="Calibri"/>
                <w:b/>
                <w:bCs/>
              </w:rPr>
            </w:pPr>
            <w:r w:rsidRPr="006D767C">
              <w:rPr>
                <w:rFonts w:eastAsia="Times New Roman" w:cs="Calibri"/>
                <w:b/>
                <w:bCs/>
              </w:rPr>
              <w:t>OS at</w:t>
            </w:r>
            <w:r w:rsidR="001F484F" w:rsidRPr="006D767C">
              <w:rPr>
                <w:rFonts w:eastAsia="Times New Roman" w:cs="Calibri"/>
                <w:b/>
                <w:bCs/>
              </w:rPr>
              <w:t xml:space="preserve"> 18 months</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Patients at risk; n (%)</w:t>
            </w:r>
          </w:p>
        </w:tc>
        <w:tc>
          <w:tcPr>
            <w:tcW w:w="997"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157</w:t>
            </w:r>
          </w:p>
        </w:tc>
        <w:tc>
          <w:tcPr>
            <w:tcW w:w="934" w:type="dxa"/>
            <w:vAlign w:val="center"/>
          </w:tcPr>
          <w:p w:rsidR="001F484F" w:rsidRPr="006D767C" w:rsidRDefault="001F484F" w:rsidP="005A0938">
            <w:pPr>
              <w:pStyle w:val="TableText"/>
              <w:jc w:val="center"/>
              <w:rPr>
                <w:rFonts w:eastAsia="Times New Roman" w:cs="Calibri"/>
                <w:bCs/>
              </w:rPr>
            </w:pPr>
            <w:r w:rsidRPr="006C54F0">
              <w:rPr>
                <w:rFonts w:eastAsia="Times New Roman" w:cs="Calibri"/>
                <w:bCs/>
              </w:rPr>
              <w:t>98</w:t>
            </w:r>
          </w:p>
        </w:tc>
        <w:tc>
          <w:tcPr>
            <w:tcW w:w="1068" w:type="dxa"/>
            <w:vAlign w:val="center"/>
          </w:tcPr>
          <w:p w:rsidR="001F484F" w:rsidRPr="006D767C" w:rsidRDefault="001F484F" w:rsidP="005A0938">
            <w:pPr>
              <w:pStyle w:val="TableText"/>
              <w:jc w:val="center"/>
              <w:rPr>
                <w:rFonts w:eastAsia="Times New Roman" w:cs="Calibri"/>
                <w:bCs/>
              </w:rPr>
            </w:pPr>
            <w:r w:rsidRPr="006C54F0">
              <w:t>50</w:t>
            </w:r>
          </w:p>
        </w:tc>
        <w:tc>
          <w:tcPr>
            <w:tcW w:w="997" w:type="dxa"/>
            <w:vAlign w:val="center"/>
          </w:tcPr>
          <w:p w:rsidR="001F484F" w:rsidRPr="006D767C" w:rsidRDefault="001F484F" w:rsidP="005A0938">
            <w:pPr>
              <w:pStyle w:val="TableText"/>
              <w:jc w:val="center"/>
              <w:rPr>
                <w:rFonts w:eastAsia="Times New Roman" w:cs="Calibri"/>
                <w:bCs/>
              </w:rPr>
            </w:pPr>
            <w:r w:rsidRPr="006C54F0">
              <w:t>29</w:t>
            </w:r>
          </w:p>
        </w:tc>
        <w:tc>
          <w:tcPr>
            <w:tcW w:w="995" w:type="dxa"/>
            <w:vAlign w:val="center"/>
          </w:tcPr>
          <w:p w:rsidR="001F484F" w:rsidRPr="006D767C" w:rsidRDefault="001F484F" w:rsidP="005A0938">
            <w:pPr>
              <w:pStyle w:val="TableText"/>
              <w:jc w:val="center"/>
              <w:rPr>
                <w:rFonts w:eastAsia="Times New Roman" w:cs="Calibri"/>
                <w:bCs/>
              </w:rPr>
            </w:pPr>
            <w:r w:rsidRPr="006C54F0">
              <w:t>38</w:t>
            </w:r>
          </w:p>
        </w:tc>
        <w:tc>
          <w:tcPr>
            <w:tcW w:w="993" w:type="dxa"/>
            <w:vAlign w:val="center"/>
          </w:tcPr>
          <w:p w:rsidR="001F484F" w:rsidRPr="006D767C" w:rsidRDefault="001F484F" w:rsidP="005A0938">
            <w:pPr>
              <w:pStyle w:val="TableText"/>
              <w:jc w:val="center"/>
              <w:rPr>
                <w:rFonts w:eastAsia="Times New Roman" w:cs="Calibri"/>
                <w:bCs/>
              </w:rPr>
            </w:pPr>
            <w:r w:rsidRPr="006C54F0">
              <w:t>18</w:t>
            </w:r>
          </w:p>
        </w:tc>
        <w:tc>
          <w:tcPr>
            <w:tcW w:w="995" w:type="dxa"/>
            <w:vAlign w:val="center"/>
          </w:tcPr>
          <w:p w:rsidR="001F484F" w:rsidRPr="006D767C" w:rsidRDefault="001F484F" w:rsidP="005A0938">
            <w:pPr>
              <w:pStyle w:val="TableText"/>
              <w:jc w:val="center"/>
              <w:rPr>
                <w:rFonts w:eastAsia="Times New Roman" w:cs="Calibri"/>
                <w:bCs/>
              </w:rPr>
            </w:pPr>
            <w:r w:rsidRPr="006C54F0">
              <w:t>107</w:t>
            </w:r>
          </w:p>
        </w:tc>
        <w:tc>
          <w:tcPr>
            <w:tcW w:w="993" w:type="dxa"/>
            <w:vAlign w:val="center"/>
          </w:tcPr>
          <w:p w:rsidR="001F484F" w:rsidRPr="006D767C" w:rsidRDefault="001F484F" w:rsidP="005A0938">
            <w:pPr>
              <w:pStyle w:val="TableText"/>
              <w:jc w:val="center"/>
              <w:rPr>
                <w:rFonts w:eastAsia="Times New Roman" w:cs="Calibri"/>
                <w:bCs/>
              </w:rPr>
            </w:pPr>
            <w:r w:rsidRPr="006C54F0">
              <w:t>61</w:t>
            </w:r>
          </w:p>
        </w:tc>
      </w:tr>
      <w:tr w:rsidR="001F484F" w:rsidRPr="006D767C" w:rsidTr="00AC57B1">
        <w:tc>
          <w:tcPr>
            <w:tcW w:w="1002" w:type="dxa"/>
            <w:vAlign w:val="center"/>
          </w:tcPr>
          <w:p w:rsidR="001F484F" w:rsidRPr="006D767C" w:rsidRDefault="001F484F" w:rsidP="005A0938">
            <w:pPr>
              <w:pStyle w:val="TableText"/>
              <w:jc w:val="left"/>
              <w:rPr>
                <w:rFonts w:eastAsia="Times New Roman" w:cs="Calibri"/>
                <w:bCs/>
              </w:rPr>
            </w:pPr>
            <w:r w:rsidRPr="006D767C">
              <w:rPr>
                <w:rFonts w:eastAsia="Times New Roman" w:cs="Calibri"/>
                <w:bCs/>
              </w:rPr>
              <w:t>Event-free rate % (95% CI)</w:t>
            </w:r>
          </w:p>
        </w:tc>
        <w:tc>
          <w:tcPr>
            <w:tcW w:w="997"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 xml:space="preserve">40.04 </w:t>
            </w:r>
          </w:p>
          <w:p w:rsidR="001F484F" w:rsidRPr="006D767C" w:rsidRDefault="001F484F" w:rsidP="005A0938">
            <w:pPr>
              <w:pStyle w:val="TableText"/>
              <w:jc w:val="center"/>
              <w:rPr>
                <w:rFonts w:eastAsia="Times New Roman" w:cs="Calibri"/>
                <w:bCs/>
              </w:rPr>
            </w:pPr>
            <w:r w:rsidRPr="006D767C">
              <w:rPr>
                <w:rFonts w:eastAsia="Times New Roman" w:cs="Calibri"/>
                <w:bCs/>
              </w:rPr>
              <w:t>(35.2, 4.8)</w:t>
            </w:r>
          </w:p>
        </w:tc>
        <w:tc>
          <w:tcPr>
            <w:tcW w:w="934" w:type="dxa"/>
            <w:vAlign w:val="center"/>
          </w:tcPr>
          <w:p w:rsidR="001F484F" w:rsidRPr="006D767C" w:rsidRDefault="001F484F" w:rsidP="005A0938">
            <w:pPr>
              <w:pStyle w:val="TableText"/>
              <w:jc w:val="center"/>
              <w:rPr>
                <w:rFonts w:eastAsia="Times New Roman" w:cs="Calibri"/>
                <w:bCs/>
              </w:rPr>
            </w:pPr>
            <w:r w:rsidRPr="006D767C">
              <w:rPr>
                <w:rFonts w:eastAsia="Times New Roman" w:cs="Calibri"/>
                <w:bCs/>
              </w:rPr>
              <w:t xml:space="preserve">26.9 </w:t>
            </w:r>
          </w:p>
          <w:p w:rsidR="001F484F" w:rsidRPr="006D767C" w:rsidRDefault="001F484F" w:rsidP="005A0938">
            <w:pPr>
              <w:pStyle w:val="TableText"/>
              <w:jc w:val="center"/>
              <w:rPr>
                <w:rFonts w:eastAsia="Times New Roman" w:cs="Calibri"/>
                <w:bCs/>
              </w:rPr>
            </w:pPr>
            <w:r w:rsidRPr="006D767C">
              <w:rPr>
                <w:rFonts w:eastAsia="Times New Roman" w:cs="Calibri"/>
                <w:bCs/>
              </w:rPr>
              <w:t>(22.4, 31.4)</w:t>
            </w:r>
          </w:p>
        </w:tc>
        <w:tc>
          <w:tcPr>
            <w:tcW w:w="1068" w:type="dxa"/>
            <w:vAlign w:val="center"/>
          </w:tcPr>
          <w:p w:rsidR="001F484F" w:rsidRPr="006D767C" w:rsidRDefault="001F484F" w:rsidP="005A0938">
            <w:pPr>
              <w:pStyle w:val="TableText"/>
              <w:jc w:val="center"/>
            </w:pPr>
            <w:r w:rsidRPr="006D767C">
              <w:t xml:space="preserve">38.1 </w:t>
            </w:r>
          </w:p>
          <w:p w:rsidR="001F484F" w:rsidRPr="006D767C" w:rsidRDefault="001F484F" w:rsidP="005A0938">
            <w:pPr>
              <w:pStyle w:val="TableText"/>
              <w:jc w:val="center"/>
              <w:rPr>
                <w:rFonts w:eastAsia="Times New Roman" w:cs="Calibri"/>
                <w:bCs/>
              </w:rPr>
            </w:pPr>
            <w:r w:rsidRPr="006D767C">
              <w:t>(30.0, 46.3)</w:t>
            </w:r>
          </w:p>
        </w:tc>
        <w:tc>
          <w:tcPr>
            <w:tcW w:w="997" w:type="dxa"/>
            <w:vAlign w:val="center"/>
          </w:tcPr>
          <w:p w:rsidR="001F484F" w:rsidRPr="006D767C" w:rsidRDefault="001F484F" w:rsidP="005A0938">
            <w:pPr>
              <w:pStyle w:val="TableText"/>
              <w:jc w:val="center"/>
            </w:pPr>
            <w:r w:rsidRPr="006D767C">
              <w:t xml:space="preserve">24.5 </w:t>
            </w:r>
          </w:p>
          <w:p w:rsidR="001F484F" w:rsidRPr="006D767C" w:rsidRDefault="001F484F" w:rsidP="005A0938">
            <w:pPr>
              <w:pStyle w:val="TableText"/>
              <w:jc w:val="center"/>
              <w:rPr>
                <w:rFonts w:eastAsia="Times New Roman" w:cs="Calibri"/>
                <w:bCs/>
              </w:rPr>
            </w:pPr>
            <w:r w:rsidRPr="006D767C">
              <w:t>(17.0, 31.9)</w:t>
            </w:r>
          </w:p>
        </w:tc>
        <w:tc>
          <w:tcPr>
            <w:tcW w:w="995" w:type="dxa"/>
            <w:vAlign w:val="center"/>
          </w:tcPr>
          <w:p w:rsidR="001F484F" w:rsidRPr="006D767C" w:rsidRDefault="001F484F" w:rsidP="005A0938">
            <w:pPr>
              <w:pStyle w:val="TableText"/>
              <w:jc w:val="center"/>
            </w:pPr>
            <w:r w:rsidRPr="006D767C">
              <w:t xml:space="preserve">28.0 </w:t>
            </w:r>
          </w:p>
          <w:p w:rsidR="001F484F" w:rsidRPr="006D767C" w:rsidRDefault="00B140E3" w:rsidP="00B140E3">
            <w:pPr>
              <w:pStyle w:val="TableText"/>
              <w:jc w:val="center"/>
              <w:rPr>
                <w:rFonts w:eastAsia="Times New Roman" w:cs="Calibri"/>
                <w:bCs/>
              </w:rPr>
            </w:pPr>
            <w:r w:rsidRPr="006D767C">
              <w:t>(</w:t>
            </w:r>
            <w:r w:rsidR="001F484F" w:rsidRPr="006D767C">
              <w:t>NR, NR</w:t>
            </w:r>
            <w:r w:rsidRPr="006D767C">
              <w:t>)</w:t>
            </w:r>
          </w:p>
        </w:tc>
        <w:tc>
          <w:tcPr>
            <w:tcW w:w="993" w:type="dxa"/>
            <w:vAlign w:val="center"/>
          </w:tcPr>
          <w:p w:rsidR="001F484F" w:rsidRPr="006D767C" w:rsidRDefault="001F484F" w:rsidP="005A0938">
            <w:pPr>
              <w:pStyle w:val="TableText"/>
              <w:jc w:val="center"/>
            </w:pPr>
            <w:r w:rsidRPr="006D767C">
              <w:t xml:space="preserve">13.0 </w:t>
            </w:r>
          </w:p>
          <w:p w:rsidR="001F484F" w:rsidRPr="006D767C" w:rsidRDefault="00B140E3" w:rsidP="00B140E3">
            <w:pPr>
              <w:pStyle w:val="TableText"/>
              <w:jc w:val="center"/>
              <w:rPr>
                <w:rFonts w:eastAsia="Times New Roman" w:cs="Calibri"/>
                <w:bCs/>
              </w:rPr>
            </w:pPr>
            <w:r w:rsidRPr="006D767C">
              <w:t>(</w:t>
            </w:r>
            <w:r w:rsidR="001F484F" w:rsidRPr="006D767C">
              <w:t>NR, NR</w:t>
            </w:r>
            <w:r w:rsidRPr="006D767C">
              <w:t>)</w:t>
            </w:r>
          </w:p>
        </w:tc>
        <w:tc>
          <w:tcPr>
            <w:tcW w:w="995" w:type="dxa"/>
            <w:vAlign w:val="center"/>
          </w:tcPr>
          <w:p w:rsidR="001F484F" w:rsidRPr="006D767C" w:rsidRDefault="001F484F" w:rsidP="005A0938">
            <w:pPr>
              <w:pStyle w:val="TableText"/>
              <w:jc w:val="center"/>
            </w:pPr>
            <w:r w:rsidRPr="006D767C">
              <w:t xml:space="preserve">39 </w:t>
            </w:r>
          </w:p>
          <w:p w:rsidR="001F484F" w:rsidRPr="006D767C" w:rsidRDefault="001F484F" w:rsidP="005A0938">
            <w:pPr>
              <w:pStyle w:val="TableText"/>
              <w:jc w:val="center"/>
            </w:pPr>
            <w:r w:rsidRPr="006D767C">
              <w:t>(34-45)</w:t>
            </w:r>
          </w:p>
        </w:tc>
        <w:tc>
          <w:tcPr>
            <w:tcW w:w="993" w:type="dxa"/>
            <w:vAlign w:val="center"/>
          </w:tcPr>
          <w:p w:rsidR="001F484F" w:rsidRPr="006D767C" w:rsidRDefault="001F484F" w:rsidP="005A0938">
            <w:pPr>
              <w:pStyle w:val="TableText"/>
              <w:jc w:val="center"/>
            </w:pPr>
            <w:r w:rsidRPr="006D767C">
              <w:t xml:space="preserve">23 </w:t>
            </w:r>
          </w:p>
          <w:p w:rsidR="001F484F" w:rsidRPr="006D767C" w:rsidRDefault="001F484F" w:rsidP="005A0938">
            <w:pPr>
              <w:pStyle w:val="TableText"/>
              <w:jc w:val="center"/>
              <w:rPr>
                <w:rFonts w:eastAsia="Times New Roman" w:cs="Calibri"/>
                <w:bCs/>
              </w:rPr>
            </w:pPr>
            <w:r w:rsidRPr="006D767C">
              <w:t>(19-28)</w:t>
            </w:r>
          </w:p>
        </w:tc>
      </w:tr>
    </w:tbl>
    <w:p w:rsidR="001F484F" w:rsidRPr="006D767C" w:rsidRDefault="001F484F" w:rsidP="001F484F">
      <w:pPr>
        <w:pStyle w:val="TableFooter"/>
      </w:pPr>
      <w:r w:rsidRPr="006D767C">
        <w:t>ATZ</w:t>
      </w:r>
      <w:r w:rsidR="00B1543B" w:rsidRPr="006D767C">
        <w:t xml:space="preserve"> </w:t>
      </w:r>
      <w:r w:rsidRPr="006D767C">
        <w:t>=</w:t>
      </w:r>
      <w:r w:rsidR="00B1543B" w:rsidRPr="006D767C">
        <w:t xml:space="preserve"> atezolizumab; DOC </w:t>
      </w:r>
      <w:r w:rsidRPr="006D767C">
        <w:t>=</w:t>
      </w:r>
      <w:r w:rsidR="00B1543B" w:rsidRPr="006D767C">
        <w:t xml:space="preserve"> docetaxel; NIVO </w:t>
      </w:r>
      <w:r w:rsidRPr="006D767C">
        <w:t>=</w:t>
      </w:r>
      <w:r w:rsidR="00B1543B" w:rsidRPr="006D767C">
        <w:t xml:space="preserve"> nivolumab; OS = overall survival; ITT </w:t>
      </w:r>
      <w:r w:rsidRPr="006D767C">
        <w:t>=</w:t>
      </w:r>
      <w:r w:rsidR="00B1543B" w:rsidRPr="006D767C">
        <w:t xml:space="preserve"> </w:t>
      </w:r>
      <w:r w:rsidRPr="006D767C">
        <w:t>intention to tr</w:t>
      </w:r>
      <w:r w:rsidR="00B1543B" w:rsidRPr="006D767C">
        <w:t>eat; CI = confidence interval; HR </w:t>
      </w:r>
      <w:r w:rsidRPr="006D767C">
        <w:t>=</w:t>
      </w:r>
      <w:r w:rsidR="00B1543B" w:rsidRPr="006D767C">
        <w:t xml:space="preserve"> hazard ratio; NR </w:t>
      </w:r>
      <w:r w:rsidRPr="006D767C">
        <w:t>=</w:t>
      </w:r>
      <w:r w:rsidR="00B1543B" w:rsidRPr="006D767C">
        <w:t xml:space="preserve"> not r</w:t>
      </w:r>
      <w:r w:rsidRPr="006D767C">
        <w:t>eported</w:t>
      </w:r>
      <w:r w:rsidR="00B1543B" w:rsidRPr="006D767C">
        <w:t>.</w:t>
      </w:r>
    </w:p>
    <w:p w:rsidR="001F484F" w:rsidRPr="006D767C" w:rsidRDefault="001F484F" w:rsidP="001F484F">
      <w:pPr>
        <w:pStyle w:val="TableFooter"/>
      </w:pPr>
      <w:r w:rsidRPr="006D767C">
        <w:rPr>
          <w:vertAlign w:val="superscript"/>
        </w:rPr>
        <w:t>a</w:t>
      </w:r>
      <w:r w:rsidRPr="006D767C">
        <w:rPr>
          <w:rFonts w:ascii="Calibri" w:eastAsia="SimSun" w:hAnsi="Calibri" w:cs="Times New Roman"/>
          <w:snapToGrid/>
          <w:szCs w:val="22"/>
        </w:rPr>
        <w:t xml:space="preserve"> </w:t>
      </w:r>
      <w:r w:rsidRPr="006D767C">
        <w:t>Proportional hazards assumption was not met.</w:t>
      </w:r>
    </w:p>
    <w:p w:rsidR="001F484F" w:rsidRPr="006D767C" w:rsidRDefault="001F484F" w:rsidP="001F484F">
      <w:pPr>
        <w:pStyle w:val="TableFooter"/>
      </w:pPr>
      <w:r w:rsidRPr="006D767C">
        <w:t>Source: Table 2.5.1, Table 2.5.6, Table 2.5.11, and Table 2.5.14 of the submission</w:t>
      </w:r>
      <w:r w:rsidR="00D5280E" w:rsidRPr="006D767C">
        <w:t>.</w:t>
      </w:r>
    </w:p>
    <w:p w:rsidR="0089504C" w:rsidRPr="006D767C" w:rsidRDefault="0089504C" w:rsidP="002D73C8">
      <w:pPr>
        <w:numPr>
          <w:ilvl w:val="1"/>
          <w:numId w:val="1"/>
        </w:numPr>
        <w:spacing w:before="0" w:after="120"/>
      </w:pPr>
      <w:r w:rsidRPr="006D767C">
        <w:t xml:space="preserve">The PBAC </w:t>
      </w:r>
      <w:r w:rsidR="00176B31" w:rsidRPr="006D767C">
        <w:t xml:space="preserve">had </w:t>
      </w:r>
      <w:r w:rsidRPr="006D767C">
        <w:t xml:space="preserve">previously noted that the key clinical trial, CHECKMATE 017, directly compared nivolumab and docetaxel, and </w:t>
      </w:r>
      <w:r w:rsidR="00176B31" w:rsidRPr="006D767C">
        <w:t xml:space="preserve">that </w:t>
      </w:r>
      <w:r w:rsidRPr="006D767C">
        <w:t xml:space="preserve">the risk of bias was low for the outcome of OS (paragraph 7.5, 5.06. nivolumab </w:t>
      </w:r>
      <w:r w:rsidR="00216267" w:rsidRPr="006D767C">
        <w:t>Public Summary Document (PSD)</w:t>
      </w:r>
      <w:r w:rsidRPr="006D767C">
        <w:t>, March 2016 PBAC Meeting). At the February 2016 data</w:t>
      </w:r>
      <w:r w:rsidR="00216267" w:rsidRPr="006D767C">
        <w:t xml:space="preserve"> cut-off</w:t>
      </w:r>
      <w:r w:rsidRPr="006D767C">
        <w:t xml:space="preserve"> (24 months minimum follow-up), only 6/137 (4%) patients in the docetaxel arm had </w:t>
      </w:r>
      <w:r w:rsidR="00216267" w:rsidRPr="006D767C">
        <w:t xml:space="preserve">crossed over </w:t>
      </w:r>
      <w:r w:rsidRPr="006D767C">
        <w:t>to nivolumab treatment; the risk of bias was still considered to be low for OS.</w:t>
      </w:r>
    </w:p>
    <w:p w:rsidR="0089504C" w:rsidRPr="006D767C" w:rsidRDefault="0089504C" w:rsidP="002D73C8">
      <w:pPr>
        <w:numPr>
          <w:ilvl w:val="1"/>
          <w:numId w:val="1"/>
        </w:numPr>
        <w:spacing w:before="0" w:after="120"/>
      </w:pPr>
      <w:r w:rsidRPr="006D767C">
        <w:t xml:space="preserve">The PBAC </w:t>
      </w:r>
      <w:r w:rsidR="00DF3A2F" w:rsidRPr="006D767C">
        <w:t xml:space="preserve">had </w:t>
      </w:r>
      <w:r w:rsidRPr="006D767C">
        <w:t>previously noted that the proportional hazards assumption was not met in CHECKMATE 057, and that the nivolumab and docetaxel survival curves crossed with an initial increase and a subsequent decrease in hazard of death associated with nivolumab compared with docetaxel. Therefore, the estimated hazard ratio, as a measure of the relative treatment effect or reduction in risk, could not be relied upon given the measure’s dependency on follow-up time. The PBAC therefore primarily relied on the statistically significant log rank test (which is not affected by these survival curves crossing) to accept the claim of superior comparative effectiveness (paragraph 7.6, nivolumab PSD, March 2016 PBAC Meeting).</w:t>
      </w:r>
    </w:p>
    <w:p w:rsidR="0089504C" w:rsidRPr="006D767C" w:rsidRDefault="0089504C" w:rsidP="002D73C8">
      <w:pPr>
        <w:numPr>
          <w:ilvl w:val="1"/>
          <w:numId w:val="1"/>
        </w:numPr>
        <w:spacing w:before="0" w:after="120"/>
      </w:pPr>
      <w:r w:rsidRPr="006D767C">
        <w:t>The submission used time to event and OS</w:t>
      </w:r>
      <w:r w:rsidR="0001739D" w:rsidRPr="006D767C">
        <w:t xml:space="preserve"> rates (event-free</w:t>
      </w:r>
      <w:r w:rsidR="00B140E3" w:rsidRPr="006D767C">
        <w:t xml:space="preserve"> rates</w:t>
      </w:r>
      <w:r w:rsidR="0001739D" w:rsidRPr="006D767C">
        <w:t>)</w:t>
      </w:r>
      <w:r w:rsidRPr="006D767C">
        <w:t xml:space="preserve"> at 12 and 18 months outcomes as the basis for an indirect comparison of atezolizumab vs nivolumab. </w:t>
      </w:r>
    </w:p>
    <w:p w:rsidR="0089504C" w:rsidRPr="006D767C" w:rsidRDefault="0089504C" w:rsidP="002D73C8">
      <w:pPr>
        <w:numPr>
          <w:ilvl w:val="1"/>
          <w:numId w:val="1"/>
        </w:numPr>
        <w:spacing w:before="0" w:after="120"/>
      </w:pPr>
      <w:r w:rsidRPr="006D767C">
        <w:t xml:space="preserve">The OS results by histology from each of the trials included in </w:t>
      </w:r>
      <w:r w:rsidR="00070629" w:rsidRPr="006D767C">
        <w:t xml:space="preserve">the </w:t>
      </w:r>
      <w:r w:rsidRPr="006D767C">
        <w:t>indirect comparison are summarised below.</w:t>
      </w:r>
    </w:p>
    <w:p w:rsidR="001F484F" w:rsidRPr="006D767C" w:rsidRDefault="004D4E2C" w:rsidP="001F484F">
      <w:pPr>
        <w:keepNext/>
        <w:spacing w:before="0" w:after="60"/>
        <w:jc w:val="left"/>
        <w:rPr>
          <w:rFonts w:ascii="Arial Narrow" w:hAnsi="Arial Narrow"/>
          <w:b/>
          <w:sz w:val="20"/>
        </w:rPr>
      </w:pPr>
      <w:r w:rsidRPr="006D767C">
        <w:rPr>
          <w:rFonts w:ascii="Arial Narrow" w:hAnsi="Arial Narrow"/>
          <w:b/>
          <w:sz w:val="20"/>
        </w:rPr>
        <w:t>Table 5</w:t>
      </w:r>
      <w:r w:rsidR="0089504C" w:rsidRPr="006D767C">
        <w:rPr>
          <w:rFonts w:ascii="Arial Narrow" w:hAnsi="Arial Narrow"/>
          <w:b/>
          <w:sz w:val="20"/>
        </w:rPr>
        <w:t>: O</w:t>
      </w:r>
      <w:r w:rsidR="00D5280E" w:rsidRPr="006D767C">
        <w:rPr>
          <w:rFonts w:ascii="Arial Narrow" w:hAnsi="Arial Narrow"/>
          <w:b/>
          <w:sz w:val="20"/>
        </w:rPr>
        <w:t>verall s</w:t>
      </w:r>
      <w:r w:rsidR="008644D5" w:rsidRPr="006D767C">
        <w:rPr>
          <w:rFonts w:ascii="Arial Narrow" w:hAnsi="Arial Narrow"/>
          <w:b/>
          <w:sz w:val="20"/>
        </w:rPr>
        <w:t>urvival</w:t>
      </w:r>
      <w:r w:rsidR="0089504C" w:rsidRPr="006D767C">
        <w:rPr>
          <w:rFonts w:ascii="Arial Narrow" w:hAnsi="Arial Narrow"/>
          <w:b/>
          <w:sz w:val="20"/>
        </w:rPr>
        <w:t xml:space="preserve"> results</w:t>
      </w:r>
      <w:r w:rsidR="00D4590E" w:rsidRPr="006D767C">
        <w:rPr>
          <w:rFonts w:ascii="Arial Narrow" w:hAnsi="Arial Narrow"/>
          <w:b/>
          <w:sz w:val="20"/>
        </w:rPr>
        <w:t>, squamous histology</w:t>
      </w:r>
    </w:p>
    <w:tbl>
      <w:tblPr>
        <w:tblStyle w:val="TableGrid2"/>
        <w:tblW w:w="5000" w:type="pct"/>
        <w:tblCellMar>
          <w:left w:w="28" w:type="dxa"/>
          <w:right w:w="28" w:type="dxa"/>
        </w:tblCellMar>
        <w:tblLook w:val="04A0" w:firstRow="1" w:lastRow="0" w:firstColumn="1" w:lastColumn="0" w:noHBand="0" w:noVBand="1"/>
        <w:tblCaption w:val="Table 5: Overall survival results, squamous histology"/>
      </w:tblPr>
      <w:tblGrid>
        <w:gridCol w:w="1730"/>
        <w:gridCol w:w="1225"/>
        <w:gridCol w:w="1228"/>
        <w:gridCol w:w="1224"/>
        <w:gridCol w:w="1226"/>
        <w:gridCol w:w="1224"/>
        <w:gridCol w:w="1226"/>
      </w:tblGrid>
      <w:tr w:rsidR="00363845" w:rsidRPr="006D767C" w:rsidTr="00042C0C">
        <w:trPr>
          <w:tblHeader/>
        </w:trPr>
        <w:tc>
          <w:tcPr>
            <w:tcW w:w="952" w:type="pct"/>
            <w:vMerge w:val="restart"/>
            <w:vAlign w:val="center"/>
          </w:tcPr>
          <w:p w:rsidR="00363845" w:rsidRPr="006D767C" w:rsidRDefault="00363845" w:rsidP="005A0938">
            <w:pPr>
              <w:pStyle w:val="TableText"/>
              <w:jc w:val="left"/>
              <w:rPr>
                <w:b/>
              </w:rPr>
            </w:pPr>
          </w:p>
        </w:tc>
        <w:tc>
          <w:tcPr>
            <w:tcW w:w="1350" w:type="pct"/>
            <w:gridSpan w:val="2"/>
          </w:tcPr>
          <w:p w:rsidR="00363845" w:rsidRPr="006D767C" w:rsidRDefault="00363845" w:rsidP="005A0938">
            <w:pPr>
              <w:pStyle w:val="TableText"/>
              <w:jc w:val="center"/>
              <w:rPr>
                <w:b/>
              </w:rPr>
            </w:pPr>
            <w:r w:rsidRPr="006D767C">
              <w:rPr>
                <w:b/>
              </w:rPr>
              <w:t>OAK</w:t>
            </w:r>
          </w:p>
        </w:tc>
        <w:tc>
          <w:tcPr>
            <w:tcW w:w="1349" w:type="pct"/>
            <w:gridSpan w:val="2"/>
          </w:tcPr>
          <w:p w:rsidR="00363845" w:rsidRPr="006D767C" w:rsidRDefault="00363845" w:rsidP="005A0938">
            <w:pPr>
              <w:pStyle w:val="TableText"/>
              <w:jc w:val="center"/>
              <w:rPr>
                <w:b/>
              </w:rPr>
            </w:pPr>
            <w:r w:rsidRPr="006D767C">
              <w:rPr>
                <w:b/>
              </w:rPr>
              <w:t>POPLAR</w:t>
            </w:r>
          </w:p>
        </w:tc>
        <w:tc>
          <w:tcPr>
            <w:tcW w:w="1349" w:type="pct"/>
            <w:gridSpan w:val="2"/>
          </w:tcPr>
          <w:p w:rsidR="00363845" w:rsidRPr="006D767C" w:rsidRDefault="00363845" w:rsidP="005A0938">
            <w:pPr>
              <w:pStyle w:val="TableText"/>
              <w:jc w:val="center"/>
              <w:rPr>
                <w:b/>
              </w:rPr>
            </w:pPr>
            <w:r w:rsidRPr="006D767C">
              <w:rPr>
                <w:b/>
              </w:rPr>
              <w:t>CHECKMATE 017</w:t>
            </w:r>
          </w:p>
        </w:tc>
      </w:tr>
      <w:tr w:rsidR="00363845" w:rsidRPr="006D767C" w:rsidTr="00042C0C">
        <w:trPr>
          <w:tblHeader/>
        </w:trPr>
        <w:tc>
          <w:tcPr>
            <w:tcW w:w="952" w:type="pct"/>
            <w:vMerge/>
            <w:vAlign w:val="center"/>
          </w:tcPr>
          <w:p w:rsidR="00363845" w:rsidRPr="006D767C" w:rsidRDefault="00363845" w:rsidP="005A0938">
            <w:pPr>
              <w:pStyle w:val="TableText"/>
              <w:jc w:val="left"/>
              <w:rPr>
                <w:b/>
              </w:rPr>
            </w:pPr>
          </w:p>
        </w:tc>
        <w:tc>
          <w:tcPr>
            <w:tcW w:w="674" w:type="pct"/>
          </w:tcPr>
          <w:p w:rsidR="00363845" w:rsidRPr="006D767C" w:rsidRDefault="00363845" w:rsidP="005A0938">
            <w:pPr>
              <w:pStyle w:val="TableText"/>
              <w:jc w:val="center"/>
              <w:rPr>
                <w:b/>
              </w:rPr>
            </w:pPr>
            <w:r w:rsidRPr="006D767C">
              <w:rPr>
                <w:b/>
              </w:rPr>
              <w:t>ATZ</w:t>
            </w:r>
          </w:p>
        </w:tc>
        <w:tc>
          <w:tcPr>
            <w:tcW w:w="675" w:type="pct"/>
          </w:tcPr>
          <w:p w:rsidR="00363845" w:rsidRPr="006D767C" w:rsidRDefault="00363845" w:rsidP="005A0938">
            <w:pPr>
              <w:pStyle w:val="TableText"/>
              <w:jc w:val="center"/>
              <w:rPr>
                <w:b/>
              </w:rPr>
            </w:pPr>
            <w:r w:rsidRPr="006D767C">
              <w:rPr>
                <w:b/>
              </w:rPr>
              <w:t>DOC</w:t>
            </w:r>
          </w:p>
        </w:tc>
        <w:tc>
          <w:tcPr>
            <w:tcW w:w="674" w:type="pct"/>
          </w:tcPr>
          <w:p w:rsidR="00363845" w:rsidRPr="006D767C" w:rsidRDefault="00363845" w:rsidP="005A0938">
            <w:pPr>
              <w:pStyle w:val="TableText"/>
              <w:jc w:val="center"/>
              <w:rPr>
                <w:b/>
              </w:rPr>
            </w:pPr>
            <w:r w:rsidRPr="006D767C">
              <w:rPr>
                <w:b/>
              </w:rPr>
              <w:t>ATZ</w:t>
            </w:r>
          </w:p>
        </w:tc>
        <w:tc>
          <w:tcPr>
            <w:tcW w:w="675" w:type="pct"/>
          </w:tcPr>
          <w:p w:rsidR="00363845" w:rsidRPr="006D767C" w:rsidRDefault="00363845" w:rsidP="005A0938">
            <w:pPr>
              <w:pStyle w:val="TableText"/>
              <w:jc w:val="center"/>
              <w:rPr>
                <w:b/>
              </w:rPr>
            </w:pPr>
            <w:r w:rsidRPr="006D767C">
              <w:rPr>
                <w:b/>
              </w:rPr>
              <w:t>DOC</w:t>
            </w:r>
          </w:p>
        </w:tc>
        <w:tc>
          <w:tcPr>
            <w:tcW w:w="674" w:type="pct"/>
          </w:tcPr>
          <w:p w:rsidR="00363845" w:rsidRPr="006D767C" w:rsidRDefault="00363845" w:rsidP="005A0938">
            <w:pPr>
              <w:pStyle w:val="TableText"/>
              <w:jc w:val="center"/>
              <w:rPr>
                <w:b/>
              </w:rPr>
            </w:pPr>
            <w:r w:rsidRPr="006D767C">
              <w:rPr>
                <w:b/>
              </w:rPr>
              <w:t>NIVO</w:t>
            </w:r>
          </w:p>
        </w:tc>
        <w:tc>
          <w:tcPr>
            <w:tcW w:w="675" w:type="pct"/>
          </w:tcPr>
          <w:p w:rsidR="00363845" w:rsidRPr="006D767C" w:rsidRDefault="00363845" w:rsidP="005A0938">
            <w:pPr>
              <w:pStyle w:val="TableText"/>
              <w:jc w:val="center"/>
              <w:rPr>
                <w:b/>
              </w:rPr>
            </w:pPr>
            <w:r w:rsidRPr="006D767C">
              <w:rPr>
                <w:b/>
              </w:rPr>
              <w:t>DOC</w:t>
            </w:r>
          </w:p>
        </w:tc>
      </w:tr>
      <w:tr w:rsidR="00363845" w:rsidRPr="006D767C" w:rsidTr="00772E98">
        <w:tc>
          <w:tcPr>
            <w:tcW w:w="952" w:type="pct"/>
            <w:vAlign w:val="center"/>
          </w:tcPr>
          <w:p w:rsidR="00363845" w:rsidRPr="006D767C" w:rsidRDefault="00363845" w:rsidP="005A0938">
            <w:pPr>
              <w:pStyle w:val="TableText"/>
              <w:jc w:val="left"/>
              <w:rPr>
                <w:rFonts w:eastAsia="Times New Roman" w:cs="Calibri"/>
                <w:bCs/>
              </w:rPr>
            </w:pPr>
            <w:r w:rsidRPr="006D767C">
              <w:rPr>
                <w:rFonts w:eastAsia="Times New Roman" w:cs="Calibri"/>
                <w:bCs/>
              </w:rPr>
              <w:t xml:space="preserve">N </w:t>
            </w:r>
          </w:p>
        </w:tc>
        <w:tc>
          <w:tcPr>
            <w:tcW w:w="674" w:type="pct"/>
            <w:vAlign w:val="center"/>
          </w:tcPr>
          <w:p w:rsidR="00363845" w:rsidRPr="006D767C" w:rsidRDefault="00363845" w:rsidP="005A0938">
            <w:pPr>
              <w:pStyle w:val="TableText"/>
              <w:jc w:val="center"/>
              <w:rPr>
                <w:rFonts w:eastAsia="Times New Roman" w:cs="Calibri"/>
                <w:bCs/>
              </w:rPr>
            </w:pPr>
            <w:r w:rsidRPr="006C54F0">
              <w:t>112</w:t>
            </w:r>
          </w:p>
        </w:tc>
        <w:tc>
          <w:tcPr>
            <w:tcW w:w="675" w:type="pct"/>
            <w:vAlign w:val="center"/>
          </w:tcPr>
          <w:p w:rsidR="00363845" w:rsidRPr="006D767C" w:rsidRDefault="00363845" w:rsidP="005A0938">
            <w:pPr>
              <w:pStyle w:val="TableText"/>
              <w:jc w:val="center"/>
              <w:rPr>
                <w:rFonts w:eastAsia="Times New Roman" w:cs="Calibri"/>
                <w:bCs/>
              </w:rPr>
            </w:pPr>
            <w:r w:rsidRPr="006C54F0">
              <w:t>110</w:t>
            </w:r>
          </w:p>
        </w:tc>
        <w:tc>
          <w:tcPr>
            <w:tcW w:w="674" w:type="pct"/>
            <w:vAlign w:val="center"/>
          </w:tcPr>
          <w:p w:rsidR="00363845" w:rsidRPr="006D767C" w:rsidRDefault="00363845" w:rsidP="005A0938">
            <w:pPr>
              <w:pStyle w:val="TableText"/>
              <w:jc w:val="center"/>
              <w:rPr>
                <w:rFonts w:eastAsia="Times New Roman" w:cs="Calibri"/>
                <w:bCs/>
              </w:rPr>
            </w:pPr>
            <w:r w:rsidRPr="006C54F0">
              <w:t>49</w:t>
            </w:r>
          </w:p>
        </w:tc>
        <w:tc>
          <w:tcPr>
            <w:tcW w:w="675" w:type="pct"/>
            <w:vAlign w:val="center"/>
          </w:tcPr>
          <w:p w:rsidR="00363845" w:rsidRPr="006D767C" w:rsidRDefault="00363845" w:rsidP="005A0938">
            <w:pPr>
              <w:pStyle w:val="TableText"/>
              <w:jc w:val="center"/>
              <w:rPr>
                <w:rFonts w:eastAsia="Times New Roman" w:cs="Calibri"/>
                <w:bCs/>
              </w:rPr>
            </w:pPr>
            <w:r w:rsidRPr="006C54F0">
              <w:t>48</w:t>
            </w:r>
          </w:p>
        </w:tc>
        <w:tc>
          <w:tcPr>
            <w:tcW w:w="674" w:type="pct"/>
            <w:vAlign w:val="center"/>
          </w:tcPr>
          <w:p w:rsidR="00363845" w:rsidRPr="006D767C" w:rsidRDefault="00363845" w:rsidP="005A0938">
            <w:pPr>
              <w:pStyle w:val="TableText"/>
              <w:jc w:val="center"/>
            </w:pPr>
            <w:r w:rsidRPr="006C54F0">
              <w:t>135</w:t>
            </w:r>
          </w:p>
        </w:tc>
        <w:tc>
          <w:tcPr>
            <w:tcW w:w="675" w:type="pct"/>
            <w:vAlign w:val="center"/>
          </w:tcPr>
          <w:p w:rsidR="00363845" w:rsidRPr="006D767C" w:rsidRDefault="00363845" w:rsidP="005A0938">
            <w:pPr>
              <w:pStyle w:val="TableText"/>
              <w:jc w:val="center"/>
            </w:pPr>
            <w:r w:rsidRPr="006C54F0">
              <w:t>137</w:t>
            </w:r>
          </w:p>
        </w:tc>
      </w:tr>
      <w:tr w:rsidR="00363845" w:rsidRPr="006D767C" w:rsidTr="00772E98">
        <w:tc>
          <w:tcPr>
            <w:tcW w:w="952" w:type="pct"/>
            <w:vAlign w:val="center"/>
          </w:tcPr>
          <w:p w:rsidR="00363845" w:rsidRPr="006D767C" w:rsidRDefault="00363845" w:rsidP="005A0938">
            <w:pPr>
              <w:pStyle w:val="TableText"/>
              <w:jc w:val="left"/>
              <w:rPr>
                <w:rFonts w:eastAsia="Times New Roman" w:cs="Calibri"/>
                <w:bCs/>
              </w:rPr>
            </w:pPr>
            <w:r w:rsidRPr="006D767C">
              <w:rPr>
                <w:rFonts w:eastAsia="Times New Roman" w:cs="Calibri"/>
                <w:bCs/>
              </w:rPr>
              <w:t>Patients with event; n (%)</w:t>
            </w:r>
          </w:p>
        </w:tc>
        <w:tc>
          <w:tcPr>
            <w:tcW w:w="674" w:type="pct"/>
            <w:vAlign w:val="center"/>
          </w:tcPr>
          <w:p w:rsidR="00363845" w:rsidRPr="006C54F0" w:rsidRDefault="00363845" w:rsidP="005A0938">
            <w:pPr>
              <w:pStyle w:val="TableText"/>
              <w:jc w:val="center"/>
            </w:pPr>
            <w:r w:rsidRPr="006C54F0">
              <w:t>81</w:t>
            </w:r>
          </w:p>
          <w:p w:rsidR="00363845" w:rsidRPr="006D767C" w:rsidRDefault="00363845" w:rsidP="005A0938">
            <w:pPr>
              <w:pStyle w:val="TableText"/>
              <w:jc w:val="center"/>
              <w:rPr>
                <w:rFonts w:eastAsia="Times New Roman" w:cs="Calibri"/>
                <w:bCs/>
              </w:rPr>
            </w:pPr>
            <w:r w:rsidRPr="006D767C">
              <w:t>(72.3%)</w:t>
            </w:r>
          </w:p>
        </w:tc>
        <w:tc>
          <w:tcPr>
            <w:tcW w:w="675" w:type="pct"/>
            <w:vAlign w:val="center"/>
          </w:tcPr>
          <w:p w:rsidR="00363845" w:rsidRPr="006C54F0" w:rsidRDefault="00363845" w:rsidP="005A0938">
            <w:pPr>
              <w:pStyle w:val="TableText"/>
              <w:jc w:val="center"/>
            </w:pPr>
            <w:r w:rsidRPr="006C54F0">
              <w:t>90</w:t>
            </w:r>
          </w:p>
          <w:p w:rsidR="00363845" w:rsidRPr="006D767C" w:rsidRDefault="00363845" w:rsidP="005A0938">
            <w:pPr>
              <w:pStyle w:val="TableText"/>
              <w:jc w:val="center"/>
              <w:rPr>
                <w:rFonts w:eastAsia="Times New Roman" w:cs="Calibri"/>
                <w:bCs/>
              </w:rPr>
            </w:pPr>
            <w:r w:rsidRPr="006D767C">
              <w:t>(81.8%)</w:t>
            </w:r>
          </w:p>
        </w:tc>
        <w:tc>
          <w:tcPr>
            <w:tcW w:w="674" w:type="pct"/>
            <w:vAlign w:val="center"/>
          </w:tcPr>
          <w:p w:rsidR="00363845" w:rsidRPr="006C54F0" w:rsidRDefault="00363845" w:rsidP="005A0938">
            <w:pPr>
              <w:pStyle w:val="TableText"/>
              <w:jc w:val="center"/>
            </w:pPr>
            <w:r w:rsidRPr="006C54F0">
              <w:t>32</w:t>
            </w:r>
          </w:p>
          <w:p w:rsidR="00363845" w:rsidRPr="006D767C" w:rsidRDefault="00363845" w:rsidP="005A0938">
            <w:pPr>
              <w:pStyle w:val="TableText"/>
              <w:jc w:val="center"/>
              <w:rPr>
                <w:rFonts w:eastAsia="Times New Roman" w:cs="Calibri"/>
                <w:bCs/>
              </w:rPr>
            </w:pPr>
            <w:r w:rsidRPr="006D767C">
              <w:t>(65.3)</w:t>
            </w:r>
          </w:p>
        </w:tc>
        <w:tc>
          <w:tcPr>
            <w:tcW w:w="675" w:type="pct"/>
            <w:vAlign w:val="center"/>
          </w:tcPr>
          <w:p w:rsidR="00363845" w:rsidRPr="006C54F0" w:rsidRDefault="00363845" w:rsidP="005A0938">
            <w:pPr>
              <w:pStyle w:val="TableText"/>
              <w:jc w:val="center"/>
            </w:pPr>
            <w:r w:rsidRPr="006C54F0">
              <w:t>42</w:t>
            </w:r>
          </w:p>
          <w:p w:rsidR="00363845" w:rsidRPr="006D767C" w:rsidRDefault="00363845" w:rsidP="005A0938">
            <w:pPr>
              <w:pStyle w:val="TableText"/>
              <w:jc w:val="center"/>
              <w:rPr>
                <w:rFonts w:eastAsia="Times New Roman" w:cs="Calibri"/>
                <w:bCs/>
              </w:rPr>
            </w:pPr>
            <w:r w:rsidRPr="006D767C">
              <w:t>(87.5)</w:t>
            </w:r>
          </w:p>
        </w:tc>
        <w:tc>
          <w:tcPr>
            <w:tcW w:w="674" w:type="pct"/>
            <w:vAlign w:val="center"/>
          </w:tcPr>
          <w:p w:rsidR="00363845" w:rsidRPr="006C54F0" w:rsidRDefault="00363845" w:rsidP="005A0938">
            <w:pPr>
              <w:pStyle w:val="TableText"/>
              <w:jc w:val="center"/>
            </w:pPr>
            <w:r w:rsidRPr="006C54F0">
              <w:t>10</w:t>
            </w:r>
            <w:r w:rsidR="006F461C" w:rsidRPr="006C54F0">
              <w:t>3</w:t>
            </w:r>
          </w:p>
          <w:p w:rsidR="00363845" w:rsidRPr="006D767C" w:rsidRDefault="00363845" w:rsidP="005A0938">
            <w:pPr>
              <w:pStyle w:val="TableText"/>
              <w:jc w:val="center"/>
            </w:pPr>
            <w:r w:rsidRPr="006D767C">
              <w:t>(76.3)</w:t>
            </w:r>
          </w:p>
        </w:tc>
        <w:tc>
          <w:tcPr>
            <w:tcW w:w="675" w:type="pct"/>
            <w:vAlign w:val="center"/>
          </w:tcPr>
          <w:p w:rsidR="00363845" w:rsidRPr="006C54F0" w:rsidRDefault="00363845" w:rsidP="005A0938">
            <w:pPr>
              <w:pStyle w:val="TableText"/>
              <w:jc w:val="center"/>
            </w:pPr>
            <w:r w:rsidRPr="006C54F0">
              <w:t>122</w:t>
            </w:r>
          </w:p>
          <w:p w:rsidR="00363845" w:rsidRPr="006D767C" w:rsidRDefault="00363845" w:rsidP="005A0938">
            <w:pPr>
              <w:pStyle w:val="TableText"/>
              <w:jc w:val="center"/>
            </w:pPr>
            <w:r w:rsidRPr="006D767C">
              <w:t>(89.1)</w:t>
            </w:r>
          </w:p>
        </w:tc>
      </w:tr>
      <w:tr w:rsidR="00363845" w:rsidRPr="006D767C" w:rsidTr="00772E98">
        <w:tc>
          <w:tcPr>
            <w:tcW w:w="952" w:type="pct"/>
            <w:vAlign w:val="center"/>
          </w:tcPr>
          <w:p w:rsidR="00363845" w:rsidRPr="006D767C" w:rsidRDefault="00363845" w:rsidP="005A0938">
            <w:pPr>
              <w:pStyle w:val="TableText"/>
              <w:jc w:val="left"/>
              <w:rPr>
                <w:rFonts w:eastAsia="Times New Roman" w:cs="Calibri"/>
                <w:bCs/>
              </w:rPr>
            </w:pPr>
            <w:r w:rsidRPr="006D767C">
              <w:rPr>
                <w:rFonts w:eastAsia="Times New Roman" w:cs="Calibri"/>
                <w:bCs/>
              </w:rPr>
              <w:t>Median OS (months); (95% CI)</w:t>
            </w:r>
          </w:p>
        </w:tc>
        <w:tc>
          <w:tcPr>
            <w:tcW w:w="674" w:type="pct"/>
            <w:vAlign w:val="center"/>
          </w:tcPr>
          <w:p w:rsidR="00363845" w:rsidRPr="006D767C" w:rsidRDefault="00363845" w:rsidP="005A0938">
            <w:pPr>
              <w:pStyle w:val="TableText"/>
              <w:jc w:val="center"/>
            </w:pPr>
            <w:r w:rsidRPr="006D767C">
              <w:t>8.9</w:t>
            </w:r>
          </w:p>
          <w:p w:rsidR="00363845" w:rsidRPr="006D767C" w:rsidRDefault="00363845" w:rsidP="005A0938">
            <w:pPr>
              <w:pStyle w:val="TableText"/>
              <w:jc w:val="center"/>
              <w:rPr>
                <w:rFonts w:eastAsia="Times New Roman" w:cs="Calibri"/>
                <w:bCs/>
              </w:rPr>
            </w:pPr>
            <w:r w:rsidRPr="006D767C">
              <w:t>(7.4, 12.8)</w:t>
            </w:r>
          </w:p>
        </w:tc>
        <w:tc>
          <w:tcPr>
            <w:tcW w:w="675" w:type="pct"/>
            <w:vAlign w:val="center"/>
          </w:tcPr>
          <w:p w:rsidR="00363845" w:rsidRPr="006D767C" w:rsidRDefault="00363845" w:rsidP="005A0938">
            <w:pPr>
              <w:pStyle w:val="TableText"/>
              <w:jc w:val="center"/>
            </w:pPr>
            <w:r w:rsidRPr="006D767C">
              <w:t>7.7</w:t>
            </w:r>
          </w:p>
          <w:p w:rsidR="00363845" w:rsidRPr="006D767C" w:rsidRDefault="00363845" w:rsidP="005A0938">
            <w:pPr>
              <w:pStyle w:val="TableText"/>
              <w:jc w:val="center"/>
              <w:rPr>
                <w:rFonts w:eastAsia="Times New Roman" w:cs="Calibri"/>
                <w:bCs/>
              </w:rPr>
            </w:pPr>
            <w:r w:rsidRPr="006D767C">
              <w:t>(6.3, 8.9)</w:t>
            </w:r>
          </w:p>
        </w:tc>
        <w:tc>
          <w:tcPr>
            <w:tcW w:w="674" w:type="pct"/>
            <w:vAlign w:val="center"/>
          </w:tcPr>
          <w:p w:rsidR="00363845" w:rsidRPr="006D767C" w:rsidRDefault="00363845" w:rsidP="005A0938">
            <w:pPr>
              <w:pStyle w:val="TableText"/>
              <w:jc w:val="center"/>
            </w:pPr>
            <w:r w:rsidRPr="006D767C">
              <w:t>10.1</w:t>
            </w:r>
          </w:p>
          <w:p w:rsidR="00363845" w:rsidRPr="006D767C" w:rsidRDefault="00363845" w:rsidP="005A0938">
            <w:pPr>
              <w:pStyle w:val="TableText"/>
              <w:jc w:val="center"/>
              <w:rPr>
                <w:rFonts w:eastAsia="Times New Roman" w:cs="Calibri"/>
                <w:bCs/>
              </w:rPr>
            </w:pPr>
            <w:r w:rsidRPr="006D767C">
              <w:t>(6.7, 14.5)</w:t>
            </w:r>
          </w:p>
        </w:tc>
        <w:tc>
          <w:tcPr>
            <w:tcW w:w="675" w:type="pct"/>
            <w:vAlign w:val="center"/>
          </w:tcPr>
          <w:p w:rsidR="00363845" w:rsidRPr="006D767C" w:rsidRDefault="00363845" w:rsidP="005A0938">
            <w:pPr>
              <w:pStyle w:val="TableText"/>
              <w:jc w:val="center"/>
            </w:pPr>
            <w:r w:rsidRPr="006D767C">
              <w:t>8.6</w:t>
            </w:r>
          </w:p>
          <w:p w:rsidR="00363845" w:rsidRPr="006D767C" w:rsidRDefault="00363845" w:rsidP="005A0938">
            <w:pPr>
              <w:pStyle w:val="TableText"/>
              <w:jc w:val="center"/>
              <w:rPr>
                <w:rFonts w:eastAsia="Times New Roman" w:cs="Calibri"/>
                <w:bCs/>
              </w:rPr>
            </w:pPr>
            <w:r w:rsidRPr="006D767C">
              <w:t>(5.4, 11.6)</w:t>
            </w:r>
          </w:p>
        </w:tc>
        <w:tc>
          <w:tcPr>
            <w:tcW w:w="674" w:type="pct"/>
            <w:vAlign w:val="center"/>
          </w:tcPr>
          <w:p w:rsidR="00363845" w:rsidRPr="006D767C" w:rsidRDefault="00363845" w:rsidP="005A0938">
            <w:pPr>
              <w:pStyle w:val="TableText"/>
              <w:jc w:val="center"/>
            </w:pPr>
            <w:r w:rsidRPr="006D767C">
              <w:t>9.2</w:t>
            </w:r>
          </w:p>
          <w:p w:rsidR="00363845" w:rsidRPr="006D767C" w:rsidRDefault="00363845" w:rsidP="005A0938">
            <w:pPr>
              <w:pStyle w:val="TableText"/>
              <w:jc w:val="center"/>
            </w:pPr>
            <w:r w:rsidRPr="006D767C">
              <w:t>(7.3, 12.6)</w:t>
            </w:r>
          </w:p>
        </w:tc>
        <w:tc>
          <w:tcPr>
            <w:tcW w:w="675" w:type="pct"/>
            <w:vAlign w:val="center"/>
          </w:tcPr>
          <w:p w:rsidR="00363845" w:rsidRPr="006D767C" w:rsidRDefault="00363845" w:rsidP="005A0938">
            <w:pPr>
              <w:pStyle w:val="TableText"/>
              <w:jc w:val="center"/>
            </w:pPr>
            <w:r w:rsidRPr="006D767C">
              <w:t>6.0</w:t>
            </w:r>
          </w:p>
          <w:p w:rsidR="00363845" w:rsidRPr="006D767C" w:rsidRDefault="00363845" w:rsidP="005A0938">
            <w:pPr>
              <w:pStyle w:val="TableText"/>
              <w:jc w:val="center"/>
            </w:pPr>
            <w:r w:rsidRPr="006D767C">
              <w:t>(5.3, 7.4)</w:t>
            </w:r>
          </w:p>
        </w:tc>
      </w:tr>
      <w:tr w:rsidR="00363845" w:rsidRPr="006D767C" w:rsidTr="00772E98">
        <w:tc>
          <w:tcPr>
            <w:tcW w:w="952" w:type="pct"/>
            <w:vAlign w:val="center"/>
          </w:tcPr>
          <w:p w:rsidR="00363845" w:rsidRPr="006D767C" w:rsidRDefault="00363845" w:rsidP="005A0938">
            <w:pPr>
              <w:pStyle w:val="TableText"/>
              <w:jc w:val="left"/>
              <w:rPr>
                <w:rFonts w:eastAsia="Times New Roman" w:cs="Calibri"/>
                <w:bCs/>
              </w:rPr>
            </w:pPr>
            <w:r w:rsidRPr="006D767C">
              <w:rPr>
                <w:rFonts w:eastAsia="Times New Roman" w:cs="Calibri"/>
                <w:bCs/>
              </w:rPr>
              <w:t>Stratified HR (95 %CI)</w:t>
            </w:r>
          </w:p>
        </w:tc>
        <w:tc>
          <w:tcPr>
            <w:tcW w:w="1350" w:type="pct"/>
            <w:gridSpan w:val="2"/>
            <w:vAlign w:val="center"/>
          </w:tcPr>
          <w:p w:rsidR="00363845" w:rsidRPr="006D767C" w:rsidRDefault="00363845" w:rsidP="005A0938">
            <w:pPr>
              <w:pStyle w:val="TableText"/>
              <w:jc w:val="center"/>
              <w:rPr>
                <w:rFonts w:eastAsia="Times New Roman" w:cs="Calibri"/>
                <w:bCs/>
              </w:rPr>
            </w:pPr>
            <w:r w:rsidRPr="006D767C">
              <w:t>0.73 (0.54, 0.98)</w:t>
            </w:r>
          </w:p>
        </w:tc>
        <w:tc>
          <w:tcPr>
            <w:tcW w:w="1349" w:type="pct"/>
            <w:gridSpan w:val="2"/>
            <w:vAlign w:val="center"/>
          </w:tcPr>
          <w:p w:rsidR="00363845" w:rsidRPr="006D767C" w:rsidRDefault="00363845" w:rsidP="005A0938">
            <w:pPr>
              <w:pStyle w:val="TableText"/>
              <w:jc w:val="center"/>
              <w:rPr>
                <w:rFonts w:eastAsia="Times New Roman" w:cs="Calibri"/>
                <w:bCs/>
              </w:rPr>
            </w:pPr>
            <w:r w:rsidRPr="006D767C">
              <w:t>0.66 (0.41, 1.05)</w:t>
            </w:r>
          </w:p>
        </w:tc>
        <w:tc>
          <w:tcPr>
            <w:tcW w:w="1349" w:type="pct"/>
            <w:gridSpan w:val="2"/>
            <w:vAlign w:val="center"/>
          </w:tcPr>
          <w:p w:rsidR="00363845" w:rsidRPr="006D767C" w:rsidRDefault="00363845" w:rsidP="005A0938">
            <w:pPr>
              <w:pStyle w:val="TableText"/>
              <w:jc w:val="center"/>
            </w:pPr>
            <w:r w:rsidRPr="006D767C">
              <w:t>0.62 (0.48, 0.81)</w:t>
            </w:r>
          </w:p>
        </w:tc>
      </w:tr>
      <w:tr w:rsidR="00363845" w:rsidRPr="006D767C" w:rsidTr="00772E98">
        <w:tc>
          <w:tcPr>
            <w:tcW w:w="952" w:type="pct"/>
            <w:vAlign w:val="center"/>
          </w:tcPr>
          <w:p w:rsidR="00363845" w:rsidRPr="006D767C" w:rsidRDefault="00363845" w:rsidP="005A0938">
            <w:pPr>
              <w:pStyle w:val="TableText"/>
              <w:jc w:val="left"/>
              <w:rPr>
                <w:rFonts w:eastAsia="Times New Roman" w:cs="Calibri"/>
                <w:bCs/>
              </w:rPr>
            </w:pPr>
            <w:r w:rsidRPr="006D767C">
              <w:rPr>
                <w:rFonts w:eastAsia="Times New Roman" w:cs="Calibri"/>
                <w:bCs/>
              </w:rPr>
              <w:t>p-value (log-rank)</w:t>
            </w:r>
          </w:p>
        </w:tc>
        <w:tc>
          <w:tcPr>
            <w:tcW w:w="1350" w:type="pct"/>
            <w:gridSpan w:val="2"/>
            <w:vAlign w:val="center"/>
          </w:tcPr>
          <w:p w:rsidR="00363845" w:rsidRPr="006D767C" w:rsidRDefault="00363845" w:rsidP="005A0938">
            <w:pPr>
              <w:pStyle w:val="TableText"/>
              <w:jc w:val="center"/>
              <w:rPr>
                <w:rFonts w:eastAsia="Times New Roman" w:cs="Calibri"/>
                <w:bCs/>
              </w:rPr>
            </w:pPr>
            <w:r w:rsidRPr="006D767C">
              <w:t>0.038</w:t>
            </w:r>
          </w:p>
        </w:tc>
        <w:tc>
          <w:tcPr>
            <w:tcW w:w="1349" w:type="pct"/>
            <w:gridSpan w:val="2"/>
            <w:vAlign w:val="center"/>
          </w:tcPr>
          <w:p w:rsidR="00363845" w:rsidRPr="006D767C" w:rsidRDefault="00363845" w:rsidP="005A0938">
            <w:pPr>
              <w:pStyle w:val="TableText"/>
              <w:jc w:val="center"/>
              <w:rPr>
                <w:rFonts w:eastAsia="Times New Roman" w:cs="Calibri"/>
                <w:bCs/>
              </w:rPr>
            </w:pPr>
            <w:r w:rsidRPr="006D767C">
              <w:t>0.075</w:t>
            </w:r>
          </w:p>
        </w:tc>
        <w:tc>
          <w:tcPr>
            <w:tcW w:w="1349" w:type="pct"/>
            <w:gridSpan w:val="2"/>
            <w:vAlign w:val="center"/>
          </w:tcPr>
          <w:p w:rsidR="00363845" w:rsidRPr="006D767C" w:rsidRDefault="00363845" w:rsidP="005A0938">
            <w:pPr>
              <w:pStyle w:val="TableText"/>
              <w:jc w:val="center"/>
            </w:pPr>
            <w:r w:rsidRPr="006D767C">
              <w:t>0.0004</w:t>
            </w:r>
          </w:p>
        </w:tc>
      </w:tr>
    </w:tbl>
    <w:p w:rsidR="00772E98" w:rsidRPr="006D767C" w:rsidRDefault="00772E98" w:rsidP="00772E98">
      <w:pPr>
        <w:pStyle w:val="TableFooter"/>
      </w:pPr>
      <w:r w:rsidRPr="006D767C">
        <w:t>ATZ = atezolizumab; NIVO = nivolumab; HR = hazard ratio; OS = overall survival</w:t>
      </w:r>
      <w:r w:rsidR="00D5280E" w:rsidRPr="006D767C">
        <w:t>.</w:t>
      </w:r>
    </w:p>
    <w:p w:rsidR="00D4590E" w:rsidRPr="006D767C" w:rsidRDefault="00772E98" w:rsidP="00772E98">
      <w:pPr>
        <w:pStyle w:val="TableFooter"/>
      </w:pPr>
      <w:r w:rsidRPr="006D767C">
        <w:t>Source: Table 2.6.8, Table 2.6.13, and Table 2.6</w:t>
      </w:r>
      <w:r w:rsidR="00D5280E" w:rsidRPr="006D767C">
        <w:t>.17 Section 2 of the submission.</w:t>
      </w:r>
    </w:p>
    <w:p w:rsidR="00D4590E" w:rsidRPr="006D767C" w:rsidRDefault="00D4590E" w:rsidP="00D4590E">
      <w:pPr>
        <w:keepNext/>
        <w:spacing w:before="0" w:after="60"/>
        <w:jc w:val="left"/>
        <w:rPr>
          <w:rFonts w:ascii="Arial Narrow" w:hAnsi="Arial Narrow"/>
          <w:b/>
          <w:sz w:val="20"/>
        </w:rPr>
      </w:pPr>
      <w:r w:rsidRPr="006D767C">
        <w:rPr>
          <w:rFonts w:ascii="Arial Narrow" w:hAnsi="Arial Narrow"/>
          <w:b/>
          <w:sz w:val="20"/>
        </w:rPr>
        <w:t>Table 6: O</w:t>
      </w:r>
      <w:r w:rsidR="00D5280E" w:rsidRPr="006D767C">
        <w:rPr>
          <w:rFonts w:ascii="Arial Narrow" w:hAnsi="Arial Narrow"/>
          <w:b/>
          <w:sz w:val="20"/>
        </w:rPr>
        <w:t>verall s</w:t>
      </w:r>
      <w:r w:rsidR="008644D5" w:rsidRPr="006D767C">
        <w:rPr>
          <w:rFonts w:ascii="Arial Narrow" w:hAnsi="Arial Narrow"/>
          <w:b/>
          <w:sz w:val="20"/>
        </w:rPr>
        <w:t>urvival</w:t>
      </w:r>
      <w:r w:rsidRPr="006D767C">
        <w:rPr>
          <w:rFonts w:ascii="Arial Narrow" w:hAnsi="Arial Narrow"/>
          <w:b/>
          <w:sz w:val="20"/>
        </w:rPr>
        <w:t xml:space="preserve"> results, non-squamous histology</w:t>
      </w:r>
    </w:p>
    <w:tbl>
      <w:tblPr>
        <w:tblStyle w:val="TableGrid2"/>
        <w:tblW w:w="5000" w:type="pct"/>
        <w:tblCellMar>
          <w:left w:w="28" w:type="dxa"/>
          <w:right w:w="28" w:type="dxa"/>
        </w:tblCellMar>
        <w:tblLook w:val="04A0" w:firstRow="1" w:lastRow="0" w:firstColumn="1" w:lastColumn="0" w:noHBand="0" w:noVBand="1"/>
        <w:tblCaption w:val="Table 6: Overall survival results, non-squamous histology"/>
      </w:tblPr>
      <w:tblGrid>
        <w:gridCol w:w="1730"/>
        <w:gridCol w:w="1225"/>
        <w:gridCol w:w="1228"/>
        <w:gridCol w:w="1224"/>
        <w:gridCol w:w="1226"/>
        <w:gridCol w:w="1224"/>
        <w:gridCol w:w="1226"/>
      </w:tblGrid>
      <w:tr w:rsidR="00772E98" w:rsidRPr="006D767C" w:rsidTr="00042C0C">
        <w:trPr>
          <w:tblHeader/>
        </w:trPr>
        <w:tc>
          <w:tcPr>
            <w:tcW w:w="952" w:type="pct"/>
            <w:vAlign w:val="center"/>
          </w:tcPr>
          <w:p w:rsidR="00772E98" w:rsidRPr="006D767C" w:rsidRDefault="00772E98" w:rsidP="00772E98">
            <w:pPr>
              <w:pStyle w:val="TableText"/>
              <w:jc w:val="left"/>
              <w:rPr>
                <w:rFonts w:eastAsia="Times New Roman" w:cs="Calibri"/>
                <w:bCs/>
              </w:rPr>
            </w:pPr>
          </w:p>
        </w:tc>
        <w:tc>
          <w:tcPr>
            <w:tcW w:w="1350" w:type="pct"/>
            <w:gridSpan w:val="2"/>
          </w:tcPr>
          <w:p w:rsidR="00772E98" w:rsidRPr="006D767C" w:rsidRDefault="00772E98" w:rsidP="00772E98">
            <w:pPr>
              <w:pStyle w:val="TableText"/>
              <w:jc w:val="center"/>
            </w:pPr>
            <w:r w:rsidRPr="006D767C">
              <w:rPr>
                <w:b/>
              </w:rPr>
              <w:t>OAK</w:t>
            </w:r>
          </w:p>
        </w:tc>
        <w:tc>
          <w:tcPr>
            <w:tcW w:w="1349" w:type="pct"/>
            <w:gridSpan w:val="2"/>
          </w:tcPr>
          <w:p w:rsidR="00772E98" w:rsidRPr="006D767C" w:rsidRDefault="00772E98" w:rsidP="00772E98">
            <w:pPr>
              <w:pStyle w:val="TableText"/>
              <w:jc w:val="center"/>
            </w:pPr>
            <w:r w:rsidRPr="006D767C">
              <w:rPr>
                <w:b/>
              </w:rPr>
              <w:t>POPLAR</w:t>
            </w:r>
          </w:p>
        </w:tc>
        <w:tc>
          <w:tcPr>
            <w:tcW w:w="1349" w:type="pct"/>
            <w:gridSpan w:val="2"/>
          </w:tcPr>
          <w:p w:rsidR="00772E98" w:rsidRPr="006D767C" w:rsidRDefault="00772E98" w:rsidP="00772E98">
            <w:pPr>
              <w:pStyle w:val="TableText"/>
              <w:jc w:val="center"/>
            </w:pPr>
            <w:r w:rsidRPr="006D767C">
              <w:rPr>
                <w:b/>
              </w:rPr>
              <w:t>CHECKMATE 057</w:t>
            </w:r>
          </w:p>
        </w:tc>
      </w:tr>
      <w:tr w:rsidR="00772E98" w:rsidRPr="006D767C" w:rsidTr="00772E98">
        <w:tc>
          <w:tcPr>
            <w:tcW w:w="952" w:type="pct"/>
            <w:vAlign w:val="center"/>
          </w:tcPr>
          <w:p w:rsidR="00772E98" w:rsidRPr="006D767C" w:rsidRDefault="00772E98" w:rsidP="00772E98">
            <w:pPr>
              <w:pStyle w:val="TableText"/>
              <w:jc w:val="left"/>
              <w:rPr>
                <w:rFonts w:eastAsia="Times New Roman" w:cs="Calibri"/>
                <w:bCs/>
              </w:rPr>
            </w:pPr>
          </w:p>
        </w:tc>
        <w:tc>
          <w:tcPr>
            <w:tcW w:w="674" w:type="pct"/>
          </w:tcPr>
          <w:p w:rsidR="00772E98" w:rsidRPr="006D767C" w:rsidRDefault="00772E98" w:rsidP="00772E98">
            <w:pPr>
              <w:pStyle w:val="TableText"/>
              <w:jc w:val="center"/>
            </w:pPr>
            <w:r w:rsidRPr="006D767C">
              <w:rPr>
                <w:b/>
              </w:rPr>
              <w:t>ATZ</w:t>
            </w:r>
          </w:p>
        </w:tc>
        <w:tc>
          <w:tcPr>
            <w:tcW w:w="675" w:type="pct"/>
          </w:tcPr>
          <w:p w:rsidR="00772E98" w:rsidRPr="006D767C" w:rsidRDefault="00772E98" w:rsidP="00772E98">
            <w:pPr>
              <w:pStyle w:val="TableText"/>
              <w:jc w:val="center"/>
            </w:pPr>
            <w:r w:rsidRPr="006D767C">
              <w:rPr>
                <w:b/>
              </w:rPr>
              <w:t>DOC</w:t>
            </w:r>
          </w:p>
        </w:tc>
        <w:tc>
          <w:tcPr>
            <w:tcW w:w="674" w:type="pct"/>
          </w:tcPr>
          <w:p w:rsidR="00772E98" w:rsidRPr="006D767C" w:rsidRDefault="00772E98" w:rsidP="00772E98">
            <w:pPr>
              <w:pStyle w:val="TableText"/>
              <w:jc w:val="center"/>
            </w:pPr>
            <w:r w:rsidRPr="006D767C">
              <w:rPr>
                <w:b/>
              </w:rPr>
              <w:t>ATZ</w:t>
            </w:r>
          </w:p>
        </w:tc>
        <w:tc>
          <w:tcPr>
            <w:tcW w:w="675" w:type="pct"/>
          </w:tcPr>
          <w:p w:rsidR="00772E98" w:rsidRPr="006D767C" w:rsidRDefault="00772E98" w:rsidP="00772E98">
            <w:pPr>
              <w:pStyle w:val="TableText"/>
              <w:jc w:val="center"/>
            </w:pPr>
            <w:r w:rsidRPr="006D767C">
              <w:rPr>
                <w:b/>
              </w:rPr>
              <w:t>DOC</w:t>
            </w:r>
          </w:p>
        </w:tc>
        <w:tc>
          <w:tcPr>
            <w:tcW w:w="674" w:type="pct"/>
          </w:tcPr>
          <w:p w:rsidR="00772E98" w:rsidRPr="006D767C" w:rsidRDefault="00772E98" w:rsidP="00772E98">
            <w:pPr>
              <w:pStyle w:val="TableText"/>
              <w:jc w:val="center"/>
            </w:pPr>
            <w:r w:rsidRPr="006D767C">
              <w:rPr>
                <w:b/>
              </w:rPr>
              <w:t>NIVO</w:t>
            </w:r>
          </w:p>
        </w:tc>
        <w:tc>
          <w:tcPr>
            <w:tcW w:w="675" w:type="pct"/>
          </w:tcPr>
          <w:p w:rsidR="00772E98" w:rsidRPr="006D767C" w:rsidRDefault="00772E98" w:rsidP="00772E98">
            <w:pPr>
              <w:pStyle w:val="TableText"/>
              <w:jc w:val="center"/>
            </w:pPr>
            <w:r w:rsidRPr="006D767C">
              <w:rPr>
                <w:b/>
              </w:rPr>
              <w:t>DOC</w:t>
            </w:r>
          </w:p>
        </w:tc>
      </w:tr>
      <w:tr w:rsidR="00772E98" w:rsidRPr="006D767C" w:rsidTr="00772E98">
        <w:tc>
          <w:tcPr>
            <w:tcW w:w="952" w:type="pct"/>
            <w:vAlign w:val="center"/>
          </w:tcPr>
          <w:p w:rsidR="00772E98" w:rsidRPr="006D767C" w:rsidRDefault="00772E98" w:rsidP="00772E98">
            <w:pPr>
              <w:pStyle w:val="TableText"/>
              <w:jc w:val="left"/>
              <w:rPr>
                <w:rFonts w:eastAsia="Times New Roman" w:cs="Calibri"/>
                <w:bCs/>
              </w:rPr>
            </w:pPr>
            <w:r w:rsidRPr="006D767C">
              <w:rPr>
                <w:rFonts w:eastAsia="Times New Roman" w:cs="Calibri"/>
                <w:bCs/>
              </w:rPr>
              <w:t>N</w:t>
            </w:r>
          </w:p>
        </w:tc>
        <w:tc>
          <w:tcPr>
            <w:tcW w:w="674" w:type="pct"/>
            <w:vAlign w:val="center"/>
          </w:tcPr>
          <w:p w:rsidR="00772E98" w:rsidRPr="006D767C" w:rsidRDefault="00772E98" w:rsidP="00772E98">
            <w:pPr>
              <w:pStyle w:val="TableText"/>
              <w:jc w:val="center"/>
              <w:rPr>
                <w:rFonts w:eastAsia="Times New Roman" w:cs="Calibri"/>
                <w:bCs/>
              </w:rPr>
            </w:pPr>
            <w:r w:rsidRPr="006C54F0">
              <w:t>313</w:t>
            </w:r>
          </w:p>
        </w:tc>
        <w:tc>
          <w:tcPr>
            <w:tcW w:w="675" w:type="pct"/>
            <w:vAlign w:val="center"/>
          </w:tcPr>
          <w:p w:rsidR="00772E98" w:rsidRPr="006D767C" w:rsidRDefault="00772E98" w:rsidP="00772E98">
            <w:pPr>
              <w:pStyle w:val="TableText"/>
              <w:jc w:val="center"/>
              <w:rPr>
                <w:rFonts w:eastAsia="Times New Roman" w:cs="Calibri"/>
                <w:bCs/>
              </w:rPr>
            </w:pPr>
            <w:r w:rsidRPr="006C54F0">
              <w:t>315</w:t>
            </w:r>
          </w:p>
        </w:tc>
        <w:tc>
          <w:tcPr>
            <w:tcW w:w="674" w:type="pct"/>
            <w:vAlign w:val="center"/>
          </w:tcPr>
          <w:p w:rsidR="00772E98" w:rsidRPr="006D767C" w:rsidRDefault="00772E98" w:rsidP="00772E98">
            <w:pPr>
              <w:pStyle w:val="TableText"/>
              <w:jc w:val="center"/>
              <w:rPr>
                <w:rFonts w:eastAsia="Times New Roman" w:cs="Calibri"/>
                <w:bCs/>
              </w:rPr>
            </w:pPr>
            <w:r w:rsidRPr="006C54F0">
              <w:t>95</w:t>
            </w:r>
          </w:p>
        </w:tc>
        <w:tc>
          <w:tcPr>
            <w:tcW w:w="675" w:type="pct"/>
            <w:vAlign w:val="center"/>
          </w:tcPr>
          <w:p w:rsidR="00772E98" w:rsidRPr="006D767C" w:rsidRDefault="00772E98" w:rsidP="00772E98">
            <w:pPr>
              <w:pStyle w:val="TableText"/>
              <w:jc w:val="center"/>
              <w:rPr>
                <w:rFonts w:eastAsia="Times New Roman" w:cs="Calibri"/>
                <w:bCs/>
              </w:rPr>
            </w:pPr>
            <w:r w:rsidRPr="006C54F0">
              <w:t>95</w:t>
            </w:r>
          </w:p>
        </w:tc>
        <w:tc>
          <w:tcPr>
            <w:tcW w:w="674" w:type="pct"/>
            <w:vAlign w:val="center"/>
          </w:tcPr>
          <w:p w:rsidR="00772E98" w:rsidRPr="006D767C" w:rsidRDefault="00772E98" w:rsidP="00772E98">
            <w:pPr>
              <w:pStyle w:val="TableText"/>
              <w:jc w:val="center"/>
              <w:rPr>
                <w:b/>
              </w:rPr>
            </w:pPr>
            <w:r w:rsidRPr="006C54F0">
              <w:t>292</w:t>
            </w:r>
          </w:p>
        </w:tc>
        <w:tc>
          <w:tcPr>
            <w:tcW w:w="675" w:type="pct"/>
            <w:vAlign w:val="center"/>
          </w:tcPr>
          <w:p w:rsidR="00772E98" w:rsidRPr="006D767C" w:rsidRDefault="00772E98" w:rsidP="00772E98">
            <w:pPr>
              <w:pStyle w:val="TableText"/>
              <w:jc w:val="center"/>
              <w:rPr>
                <w:b/>
              </w:rPr>
            </w:pPr>
            <w:r w:rsidRPr="006C54F0">
              <w:t>290</w:t>
            </w:r>
          </w:p>
        </w:tc>
      </w:tr>
      <w:tr w:rsidR="00772E98" w:rsidRPr="006D767C" w:rsidTr="00772E98">
        <w:tc>
          <w:tcPr>
            <w:tcW w:w="952" w:type="pct"/>
            <w:vAlign w:val="center"/>
          </w:tcPr>
          <w:p w:rsidR="00772E98" w:rsidRPr="006D767C" w:rsidRDefault="00772E98" w:rsidP="00772E98">
            <w:pPr>
              <w:pStyle w:val="TableText"/>
              <w:jc w:val="left"/>
              <w:rPr>
                <w:rFonts w:eastAsia="Times New Roman" w:cs="Calibri"/>
                <w:bCs/>
              </w:rPr>
            </w:pPr>
            <w:r w:rsidRPr="006D767C">
              <w:rPr>
                <w:rFonts w:eastAsia="Times New Roman" w:cs="Calibri"/>
                <w:bCs/>
              </w:rPr>
              <w:t>Patients with event; n (%)</w:t>
            </w:r>
          </w:p>
        </w:tc>
        <w:tc>
          <w:tcPr>
            <w:tcW w:w="674" w:type="pct"/>
            <w:vAlign w:val="center"/>
          </w:tcPr>
          <w:p w:rsidR="00772E98" w:rsidRPr="006C54F0" w:rsidRDefault="00772E98" w:rsidP="00772E98">
            <w:pPr>
              <w:pStyle w:val="TableText"/>
              <w:jc w:val="center"/>
            </w:pPr>
            <w:r w:rsidRPr="006C54F0">
              <w:t>190</w:t>
            </w:r>
          </w:p>
          <w:p w:rsidR="00772E98" w:rsidRPr="006D767C" w:rsidRDefault="00772E98" w:rsidP="00772E98">
            <w:pPr>
              <w:pStyle w:val="TableText"/>
              <w:jc w:val="center"/>
            </w:pPr>
            <w:r w:rsidRPr="006D767C">
              <w:t>(60.7%)</w:t>
            </w:r>
          </w:p>
        </w:tc>
        <w:tc>
          <w:tcPr>
            <w:tcW w:w="675" w:type="pct"/>
            <w:vAlign w:val="center"/>
          </w:tcPr>
          <w:p w:rsidR="00772E98" w:rsidRPr="006C54F0" w:rsidRDefault="00772E98" w:rsidP="00772E98">
            <w:pPr>
              <w:pStyle w:val="TableText"/>
              <w:jc w:val="center"/>
            </w:pPr>
            <w:r w:rsidRPr="006C54F0">
              <w:t>208</w:t>
            </w:r>
          </w:p>
          <w:p w:rsidR="00772E98" w:rsidRPr="006D767C" w:rsidRDefault="00772E98" w:rsidP="00772E98">
            <w:pPr>
              <w:pStyle w:val="TableText"/>
              <w:jc w:val="center"/>
              <w:rPr>
                <w:rFonts w:eastAsia="Times New Roman" w:cs="Calibri"/>
                <w:bCs/>
              </w:rPr>
            </w:pPr>
            <w:r w:rsidRPr="006D767C">
              <w:t>(66.0%)</w:t>
            </w:r>
          </w:p>
        </w:tc>
        <w:tc>
          <w:tcPr>
            <w:tcW w:w="674" w:type="pct"/>
            <w:vAlign w:val="center"/>
          </w:tcPr>
          <w:p w:rsidR="00772E98" w:rsidRPr="006C54F0" w:rsidRDefault="00772E98" w:rsidP="00772E98">
            <w:pPr>
              <w:pStyle w:val="TableText"/>
              <w:jc w:val="center"/>
            </w:pPr>
            <w:r w:rsidRPr="006C54F0">
              <w:t>58</w:t>
            </w:r>
          </w:p>
          <w:p w:rsidR="00772E98" w:rsidRPr="006D767C" w:rsidRDefault="00772E98" w:rsidP="00772E98">
            <w:pPr>
              <w:pStyle w:val="TableText"/>
              <w:jc w:val="center"/>
              <w:rPr>
                <w:rFonts w:eastAsia="Times New Roman" w:cs="Calibri"/>
                <w:bCs/>
              </w:rPr>
            </w:pPr>
            <w:r w:rsidRPr="006D767C">
              <w:t>(61.1)</w:t>
            </w:r>
          </w:p>
        </w:tc>
        <w:tc>
          <w:tcPr>
            <w:tcW w:w="675" w:type="pct"/>
            <w:vAlign w:val="center"/>
          </w:tcPr>
          <w:p w:rsidR="00772E98" w:rsidRPr="006C54F0" w:rsidRDefault="00772E98" w:rsidP="00772E98">
            <w:pPr>
              <w:pStyle w:val="TableText"/>
              <w:jc w:val="center"/>
            </w:pPr>
            <w:r w:rsidRPr="006C54F0">
              <w:t>68</w:t>
            </w:r>
          </w:p>
          <w:p w:rsidR="00772E98" w:rsidRPr="006D767C" w:rsidRDefault="00772E98" w:rsidP="00772E98">
            <w:pPr>
              <w:pStyle w:val="TableText"/>
              <w:jc w:val="center"/>
              <w:rPr>
                <w:rFonts w:eastAsia="Times New Roman" w:cs="Calibri"/>
                <w:bCs/>
              </w:rPr>
            </w:pPr>
            <w:r w:rsidRPr="006D767C">
              <w:t>(71.6)</w:t>
            </w:r>
          </w:p>
        </w:tc>
        <w:tc>
          <w:tcPr>
            <w:tcW w:w="674" w:type="pct"/>
            <w:vAlign w:val="center"/>
          </w:tcPr>
          <w:p w:rsidR="00772E98" w:rsidRPr="006C54F0" w:rsidRDefault="00772E98" w:rsidP="00772E98">
            <w:pPr>
              <w:pStyle w:val="TableText"/>
              <w:jc w:val="center"/>
            </w:pPr>
            <w:r w:rsidRPr="006C54F0">
              <w:t>206</w:t>
            </w:r>
          </w:p>
          <w:p w:rsidR="00772E98" w:rsidRPr="006D767C" w:rsidRDefault="00772E98" w:rsidP="00772E98">
            <w:pPr>
              <w:pStyle w:val="TableText"/>
              <w:jc w:val="center"/>
              <w:rPr>
                <w:b/>
              </w:rPr>
            </w:pPr>
            <w:r w:rsidRPr="006D767C">
              <w:t>(70.5)</w:t>
            </w:r>
          </w:p>
        </w:tc>
        <w:tc>
          <w:tcPr>
            <w:tcW w:w="675" w:type="pct"/>
            <w:vAlign w:val="center"/>
          </w:tcPr>
          <w:p w:rsidR="00772E98" w:rsidRPr="006C54F0" w:rsidRDefault="00772E98" w:rsidP="00772E98">
            <w:pPr>
              <w:pStyle w:val="TableText"/>
              <w:jc w:val="center"/>
            </w:pPr>
            <w:r w:rsidRPr="006C54F0">
              <w:t>236</w:t>
            </w:r>
          </w:p>
          <w:p w:rsidR="00772E98" w:rsidRPr="006D767C" w:rsidRDefault="00772E98" w:rsidP="00772E98">
            <w:pPr>
              <w:pStyle w:val="TableText"/>
              <w:jc w:val="center"/>
              <w:rPr>
                <w:b/>
              </w:rPr>
            </w:pPr>
            <w:r w:rsidRPr="006D767C">
              <w:t>(81.4)</w:t>
            </w:r>
          </w:p>
        </w:tc>
      </w:tr>
      <w:tr w:rsidR="00772E98" w:rsidRPr="006D767C" w:rsidTr="00772E98">
        <w:tc>
          <w:tcPr>
            <w:tcW w:w="952" w:type="pct"/>
            <w:vAlign w:val="center"/>
          </w:tcPr>
          <w:p w:rsidR="00772E98" w:rsidRPr="006D767C" w:rsidRDefault="00772E98" w:rsidP="00772E98">
            <w:pPr>
              <w:pStyle w:val="TableText"/>
              <w:jc w:val="left"/>
              <w:rPr>
                <w:rFonts w:eastAsia="Times New Roman" w:cs="Calibri"/>
                <w:bCs/>
              </w:rPr>
            </w:pPr>
            <w:r w:rsidRPr="006D767C">
              <w:rPr>
                <w:rFonts w:eastAsia="Times New Roman" w:cs="Calibri"/>
                <w:bCs/>
              </w:rPr>
              <w:t>Median OS (months); (95% CI)</w:t>
            </w:r>
          </w:p>
        </w:tc>
        <w:tc>
          <w:tcPr>
            <w:tcW w:w="674" w:type="pct"/>
            <w:vAlign w:val="center"/>
          </w:tcPr>
          <w:p w:rsidR="00772E98" w:rsidRPr="006D767C" w:rsidRDefault="00772E98" w:rsidP="00772E98">
            <w:pPr>
              <w:pStyle w:val="TableText"/>
              <w:jc w:val="center"/>
            </w:pPr>
            <w:r w:rsidRPr="006D767C">
              <w:t>15.6</w:t>
            </w:r>
          </w:p>
          <w:p w:rsidR="00772E98" w:rsidRPr="006D767C" w:rsidRDefault="00772E98" w:rsidP="00772E98">
            <w:pPr>
              <w:pStyle w:val="TableText"/>
              <w:jc w:val="center"/>
              <w:rPr>
                <w:rFonts w:eastAsia="Times New Roman" w:cs="Calibri"/>
                <w:bCs/>
              </w:rPr>
            </w:pPr>
            <w:r w:rsidRPr="006D767C">
              <w:t>(13.3, 17.6)</w:t>
            </w:r>
          </w:p>
        </w:tc>
        <w:tc>
          <w:tcPr>
            <w:tcW w:w="675" w:type="pct"/>
            <w:vAlign w:val="center"/>
          </w:tcPr>
          <w:p w:rsidR="00772E98" w:rsidRPr="006D767C" w:rsidRDefault="00772E98" w:rsidP="00772E98">
            <w:pPr>
              <w:pStyle w:val="TableText"/>
              <w:jc w:val="center"/>
            </w:pPr>
            <w:r w:rsidRPr="006D767C">
              <w:t>11.2</w:t>
            </w:r>
          </w:p>
          <w:p w:rsidR="00772E98" w:rsidRPr="006D767C" w:rsidRDefault="00772E98" w:rsidP="00772E98">
            <w:pPr>
              <w:pStyle w:val="TableText"/>
              <w:jc w:val="center"/>
              <w:rPr>
                <w:rFonts w:eastAsia="Times New Roman" w:cs="Calibri"/>
                <w:bCs/>
              </w:rPr>
            </w:pPr>
            <w:r w:rsidRPr="006D767C">
              <w:t>(9.3, 12.6)</w:t>
            </w:r>
          </w:p>
        </w:tc>
        <w:tc>
          <w:tcPr>
            <w:tcW w:w="674" w:type="pct"/>
            <w:vAlign w:val="center"/>
          </w:tcPr>
          <w:p w:rsidR="00772E98" w:rsidRPr="006D767C" w:rsidRDefault="00772E98" w:rsidP="00772E98">
            <w:pPr>
              <w:pStyle w:val="TableText"/>
              <w:jc w:val="center"/>
            </w:pPr>
            <w:r w:rsidRPr="006D767C">
              <w:t>14.8</w:t>
            </w:r>
          </w:p>
          <w:p w:rsidR="00772E98" w:rsidRPr="006D767C" w:rsidRDefault="00772E98" w:rsidP="00772E98">
            <w:pPr>
              <w:pStyle w:val="TableText"/>
              <w:jc w:val="center"/>
              <w:rPr>
                <w:rFonts w:eastAsia="Times New Roman" w:cs="Calibri"/>
                <w:bCs/>
              </w:rPr>
            </w:pPr>
            <w:r w:rsidRPr="006D767C">
              <w:t>(9.8, 19.5)</w:t>
            </w:r>
          </w:p>
        </w:tc>
        <w:tc>
          <w:tcPr>
            <w:tcW w:w="675" w:type="pct"/>
            <w:vAlign w:val="center"/>
          </w:tcPr>
          <w:p w:rsidR="00772E98" w:rsidRPr="006D767C" w:rsidRDefault="00772E98" w:rsidP="00772E98">
            <w:pPr>
              <w:pStyle w:val="TableText"/>
              <w:jc w:val="center"/>
            </w:pPr>
            <w:r w:rsidRPr="006D767C">
              <w:t>10.9</w:t>
            </w:r>
          </w:p>
          <w:p w:rsidR="00772E98" w:rsidRPr="006D767C" w:rsidRDefault="00772E98" w:rsidP="00772E98">
            <w:pPr>
              <w:pStyle w:val="TableText"/>
              <w:jc w:val="center"/>
              <w:rPr>
                <w:rFonts w:eastAsia="Times New Roman" w:cs="Calibri"/>
                <w:bCs/>
              </w:rPr>
            </w:pPr>
            <w:r w:rsidRPr="006D767C">
              <w:t>(8.8, 13.6)</w:t>
            </w:r>
          </w:p>
        </w:tc>
        <w:tc>
          <w:tcPr>
            <w:tcW w:w="674" w:type="pct"/>
            <w:vAlign w:val="center"/>
          </w:tcPr>
          <w:p w:rsidR="00772E98" w:rsidRPr="006D767C" w:rsidRDefault="00772E98" w:rsidP="00772E98">
            <w:pPr>
              <w:pStyle w:val="TableText"/>
              <w:jc w:val="center"/>
            </w:pPr>
            <w:r w:rsidRPr="006D767C">
              <w:t>12.2</w:t>
            </w:r>
          </w:p>
          <w:p w:rsidR="00772E98" w:rsidRPr="006D767C" w:rsidRDefault="00772E98" w:rsidP="00772E98">
            <w:pPr>
              <w:pStyle w:val="TableText"/>
              <w:jc w:val="center"/>
              <w:rPr>
                <w:b/>
              </w:rPr>
            </w:pPr>
            <w:r w:rsidRPr="006D767C">
              <w:t>(9.7, 15.1)</w:t>
            </w:r>
          </w:p>
        </w:tc>
        <w:tc>
          <w:tcPr>
            <w:tcW w:w="675" w:type="pct"/>
            <w:vAlign w:val="center"/>
          </w:tcPr>
          <w:p w:rsidR="00772E98" w:rsidRPr="006D767C" w:rsidRDefault="00772E98" w:rsidP="00772E98">
            <w:pPr>
              <w:pStyle w:val="TableText"/>
              <w:jc w:val="center"/>
            </w:pPr>
            <w:r w:rsidRPr="006D767C">
              <w:t>9.4</w:t>
            </w:r>
          </w:p>
          <w:p w:rsidR="00772E98" w:rsidRPr="006D767C" w:rsidRDefault="00772E98" w:rsidP="00772E98">
            <w:pPr>
              <w:pStyle w:val="TableText"/>
              <w:jc w:val="center"/>
              <w:rPr>
                <w:b/>
              </w:rPr>
            </w:pPr>
            <w:r w:rsidRPr="006D767C">
              <w:t>(8.1, 10.7)</w:t>
            </w:r>
          </w:p>
        </w:tc>
      </w:tr>
      <w:tr w:rsidR="00772E98" w:rsidRPr="006D767C" w:rsidTr="00772E98">
        <w:tc>
          <w:tcPr>
            <w:tcW w:w="952" w:type="pct"/>
            <w:vAlign w:val="center"/>
          </w:tcPr>
          <w:p w:rsidR="00772E98" w:rsidRPr="006D767C" w:rsidRDefault="00772E98" w:rsidP="00772E98">
            <w:pPr>
              <w:pStyle w:val="TableText"/>
              <w:jc w:val="left"/>
              <w:rPr>
                <w:rFonts w:eastAsia="Times New Roman" w:cs="Calibri"/>
                <w:bCs/>
              </w:rPr>
            </w:pPr>
            <w:r w:rsidRPr="006D767C">
              <w:rPr>
                <w:rFonts w:eastAsia="Times New Roman" w:cs="Calibri"/>
                <w:bCs/>
              </w:rPr>
              <w:t>Stratified HR (95 %CI)</w:t>
            </w:r>
          </w:p>
        </w:tc>
        <w:tc>
          <w:tcPr>
            <w:tcW w:w="1350" w:type="pct"/>
            <w:gridSpan w:val="2"/>
            <w:vAlign w:val="center"/>
          </w:tcPr>
          <w:p w:rsidR="00772E98" w:rsidRPr="006D767C" w:rsidRDefault="00772E98" w:rsidP="00772E98">
            <w:pPr>
              <w:pStyle w:val="TableText"/>
              <w:jc w:val="center"/>
              <w:rPr>
                <w:rFonts w:eastAsia="Times New Roman" w:cs="Calibri"/>
                <w:bCs/>
              </w:rPr>
            </w:pPr>
            <w:r w:rsidRPr="006D767C">
              <w:t>0.73 (0.60, 0.89)</w:t>
            </w:r>
          </w:p>
        </w:tc>
        <w:tc>
          <w:tcPr>
            <w:tcW w:w="1349" w:type="pct"/>
            <w:gridSpan w:val="2"/>
            <w:vAlign w:val="center"/>
          </w:tcPr>
          <w:p w:rsidR="00772E98" w:rsidRPr="006D767C" w:rsidRDefault="00772E98" w:rsidP="00772E98">
            <w:pPr>
              <w:pStyle w:val="TableText"/>
              <w:jc w:val="center"/>
              <w:rPr>
                <w:rFonts w:eastAsia="Times New Roman" w:cs="Calibri"/>
                <w:bCs/>
              </w:rPr>
            </w:pPr>
            <w:r w:rsidRPr="006D767C">
              <w:t>0.69 (0.49, 0.98)</w:t>
            </w:r>
          </w:p>
        </w:tc>
        <w:tc>
          <w:tcPr>
            <w:tcW w:w="1349" w:type="pct"/>
            <w:gridSpan w:val="2"/>
            <w:vAlign w:val="center"/>
          </w:tcPr>
          <w:p w:rsidR="00772E98" w:rsidRPr="006D767C" w:rsidRDefault="00772E98" w:rsidP="00772E98">
            <w:pPr>
              <w:pStyle w:val="TableText"/>
              <w:jc w:val="center"/>
              <w:rPr>
                <w:b/>
              </w:rPr>
            </w:pPr>
            <w:r w:rsidRPr="006D767C">
              <w:t>0.72 (0.60, 0.88)</w:t>
            </w:r>
            <w:r w:rsidRPr="006D767C">
              <w:rPr>
                <w:vertAlign w:val="superscript"/>
              </w:rPr>
              <w:t xml:space="preserve"> a</w:t>
            </w:r>
          </w:p>
        </w:tc>
      </w:tr>
      <w:tr w:rsidR="00772E98" w:rsidRPr="006D767C" w:rsidTr="00772E98">
        <w:tc>
          <w:tcPr>
            <w:tcW w:w="952" w:type="pct"/>
            <w:vAlign w:val="center"/>
          </w:tcPr>
          <w:p w:rsidR="00772E98" w:rsidRPr="006D767C" w:rsidRDefault="00772E98" w:rsidP="00772E98">
            <w:pPr>
              <w:pStyle w:val="TableText"/>
              <w:jc w:val="left"/>
              <w:rPr>
                <w:rFonts w:eastAsia="Times New Roman" w:cs="Calibri"/>
                <w:bCs/>
              </w:rPr>
            </w:pPr>
            <w:r w:rsidRPr="006D767C">
              <w:rPr>
                <w:rFonts w:eastAsia="Times New Roman" w:cs="Calibri"/>
                <w:bCs/>
              </w:rPr>
              <w:t>p-value (log-rank)</w:t>
            </w:r>
          </w:p>
        </w:tc>
        <w:tc>
          <w:tcPr>
            <w:tcW w:w="1350" w:type="pct"/>
            <w:gridSpan w:val="2"/>
            <w:vAlign w:val="center"/>
          </w:tcPr>
          <w:p w:rsidR="00772E98" w:rsidRPr="006D767C" w:rsidRDefault="00772E98" w:rsidP="00772E98">
            <w:pPr>
              <w:pStyle w:val="TableText"/>
              <w:jc w:val="center"/>
              <w:rPr>
                <w:rFonts w:eastAsia="Times New Roman" w:cs="Calibri"/>
                <w:bCs/>
              </w:rPr>
            </w:pPr>
            <w:r w:rsidRPr="006D767C">
              <w:t>0.002</w:t>
            </w:r>
          </w:p>
        </w:tc>
        <w:tc>
          <w:tcPr>
            <w:tcW w:w="1349" w:type="pct"/>
            <w:gridSpan w:val="2"/>
            <w:vAlign w:val="center"/>
          </w:tcPr>
          <w:p w:rsidR="00772E98" w:rsidRPr="006D767C" w:rsidRDefault="00772E98" w:rsidP="00772E98">
            <w:pPr>
              <w:pStyle w:val="TableText"/>
              <w:jc w:val="center"/>
              <w:rPr>
                <w:rFonts w:eastAsia="Times New Roman" w:cs="Calibri"/>
                <w:bCs/>
              </w:rPr>
            </w:pPr>
            <w:r w:rsidRPr="006D767C">
              <w:t>0.039</w:t>
            </w:r>
          </w:p>
        </w:tc>
        <w:tc>
          <w:tcPr>
            <w:tcW w:w="1349" w:type="pct"/>
            <w:gridSpan w:val="2"/>
            <w:vAlign w:val="center"/>
          </w:tcPr>
          <w:p w:rsidR="00772E98" w:rsidRPr="006D767C" w:rsidRDefault="00772E98" w:rsidP="00772E98">
            <w:pPr>
              <w:pStyle w:val="TableText"/>
              <w:jc w:val="center"/>
              <w:rPr>
                <w:b/>
              </w:rPr>
            </w:pPr>
            <w:r w:rsidRPr="006D767C">
              <w:t>&lt;0.001</w:t>
            </w:r>
          </w:p>
        </w:tc>
      </w:tr>
    </w:tbl>
    <w:p w:rsidR="001F484F" w:rsidRPr="006D767C" w:rsidRDefault="001F484F" w:rsidP="001F484F">
      <w:pPr>
        <w:pStyle w:val="TableFooter"/>
      </w:pPr>
      <w:r w:rsidRPr="006D767C">
        <w:t>ATZ = atezolizumab; NIVO = nivolumab; HR = haz</w:t>
      </w:r>
      <w:r w:rsidR="00D5280E" w:rsidRPr="006D767C">
        <w:t>ard ratio; OS = overall survival.</w:t>
      </w:r>
    </w:p>
    <w:p w:rsidR="001F484F" w:rsidRPr="006D767C" w:rsidRDefault="001F484F" w:rsidP="001F484F">
      <w:pPr>
        <w:pStyle w:val="TableFooter"/>
      </w:pPr>
      <w:r w:rsidRPr="006D767C">
        <w:t xml:space="preserve">. </w:t>
      </w:r>
      <w:r w:rsidRPr="006D767C">
        <w:rPr>
          <w:vertAlign w:val="superscript"/>
        </w:rPr>
        <w:t>a</w:t>
      </w:r>
      <w:r w:rsidRPr="006D767C">
        <w:t xml:space="preserve"> Proportional hazards assumption was not met</w:t>
      </w:r>
      <w:r w:rsidR="00D5280E" w:rsidRPr="006D767C">
        <w:t>.</w:t>
      </w:r>
    </w:p>
    <w:p w:rsidR="001F484F" w:rsidRPr="006D767C" w:rsidRDefault="001F484F" w:rsidP="001F484F">
      <w:pPr>
        <w:pStyle w:val="TableFooter"/>
      </w:pPr>
      <w:r w:rsidRPr="006D767C">
        <w:t>Source: Table 2.6.8, Table 2.6.13</w:t>
      </w:r>
      <w:r w:rsidR="00AC0E82">
        <w:t xml:space="preserve"> </w:t>
      </w:r>
      <w:r w:rsidRPr="006D767C">
        <w:t>and Table 2.6.19</w:t>
      </w:r>
      <w:r w:rsidR="00D5280E" w:rsidRPr="006D767C">
        <w:t>, Section 2 of the submission.</w:t>
      </w:r>
    </w:p>
    <w:p w:rsidR="0089504C" w:rsidRPr="006D767C" w:rsidRDefault="0089504C" w:rsidP="002D73C8">
      <w:pPr>
        <w:numPr>
          <w:ilvl w:val="1"/>
          <w:numId w:val="1"/>
        </w:numPr>
        <w:spacing w:before="0" w:after="120"/>
      </w:pPr>
      <w:r w:rsidRPr="006D767C">
        <w:t xml:space="preserve">The submission argued that a difference in OS of 3 months was considered clinically meaningful in locally advanced and metastatic NSCLC. Using this criterion, atezolizumab did not result in a clinically meaningful difference in OS over docetaxel for squamous patients (difference in median OS of 2.2 months in OAK, and 1.5 months in POPLAR). </w:t>
      </w:r>
      <w:r w:rsidR="00070629" w:rsidRPr="006D767C">
        <w:t xml:space="preserve">Nivolumab was associated with a difference </w:t>
      </w:r>
      <w:r w:rsidR="004D7036" w:rsidRPr="006D767C">
        <w:t xml:space="preserve">in </w:t>
      </w:r>
      <w:r w:rsidR="00070629" w:rsidRPr="006D767C">
        <w:t>OS of 3.2 months in these patients, compared with docetaxel in CHECKMATE 017</w:t>
      </w:r>
      <w:r w:rsidRPr="006D767C">
        <w:t xml:space="preserve">. However, </w:t>
      </w:r>
      <w:r w:rsidR="009D6C72" w:rsidRPr="006D767C">
        <w:t xml:space="preserve">the </w:t>
      </w:r>
      <w:r w:rsidRPr="006D767C">
        <w:t xml:space="preserve">squamous </w:t>
      </w:r>
      <w:r w:rsidR="009D6C72" w:rsidRPr="006D767C">
        <w:t xml:space="preserve">population </w:t>
      </w:r>
      <w:r w:rsidR="00144104" w:rsidRPr="006D767C">
        <w:t>in the atezolizumab trials</w:t>
      </w:r>
      <w:r w:rsidR="009D6C72" w:rsidRPr="006D767C">
        <w:t xml:space="preserve"> </w:t>
      </w:r>
      <w:r w:rsidRPr="006D767C">
        <w:t>was a subgroup of the intention to treat population</w:t>
      </w:r>
      <w:r w:rsidR="009D6C72" w:rsidRPr="006D767C">
        <w:t>,</w:t>
      </w:r>
      <w:r w:rsidRPr="006D767C">
        <w:t xml:space="preserve"> and th</w:t>
      </w:r>
      <w:r w:rsidR="009D6C72" w:rsidRPr="006D767C">
        <w:t>erefor</w:t>
      </w:r>
      <w:r w:rsidRPr="006D767C">
        <w:t xml:space="preserve">e </w:t>
      </w:r>
      <w:r w:rsidR="009D6C72" w:rsidRPr="006D767C">
        <w:t xml:space="preserve">the </w:t>
      </w:r>
      <w:r w:rsidRPr="006D767C">
        <w:t xml:space="preserve">baseline characteristics of the two comparative arms within the trial </w:t>
      </w:r>
      <w:r w:rsidR="004D7036" w:rsidRPr="006D767C">
        <w:t>might</w:t>
      </w:r>
      <w:r w:rsidRPr="006D767C">
        <w:t xml:space="preserve"> not be comparable. </w:t>
      </w:r>
      <w:r w:rsidR="00891465" w:rsidRPr="006D767C">
        <w:t>The</w:t>
      </w:r>
      <w:r w:rsidR="00891465" w:rsidRPr="006D767C">
        <w:rPr>
          <w:i/>
        </w:rPr>
        <w:t xml:space="preserve"> </w:t>
      </w:r>
      <w:r w:rsidR="00691711" w:rsidRPr="006D767C">
        <w:t xml:space="preserve">ESC considered that </w:t>
      </w:r>
      <w:r w:rsidR="00891465" w:rsidRPr="006D767C">
        <w:t>small absolute difference</w:t>
      </w:r>
      <w:r w:rsidR="00602F24" w:rsidRPr="006D767C">
        <w:t>s</w:t>
      </w:r>
      <w:r w:rsidR="00891465" w:rsidRPr="006D767C">
        <w:t xml:space="preserve"> in OS in the squamous populations </w:t>
      </w:r>
      <w:r w:rsidR="004D7036" w:rsidRPr="006D767C">
        <w:t>could also be attributed</w:t>
      </w:r>
      <w:r w:rsidR="00891465" w:rsidRPr="006D767C">
        <w:t xml:space="preserve"> to the poor prognosis of squamous NSCLC patients</w:t>
      </w:r>
      <w:r w:rsidR="00D17AA0" w:rsidRPr="006D767C">
        <w:t xml:space="preserve">. </w:t>
      </w:r>
      <w:r w:rsidR="00230F1B" w:rsidRPr="006D767C">
        <w:t>As such, t</w:t>
      </w:r>
      <w:r w:rsidR="00D17AA0" w:rsidRPr="006D767C">
        <w:t>he clinical importance of an OS gain of this magnitude remains uncertain.</w:t>
      </w:r>
    </w:p>
    <w:p w:rsidR="00691711" w:rsidRPr="006D767C" w:rsidRDefault="00691711" w:rsidP="002D73C8">
      <w:pPr>
        <w:numPr>
          <w:ilvl w:val="1"/>
          <w:numId w:val="1"/>
        </w:numPr>
        <w:spacing w:before="0" w:after="120"/>
      </w:pPr>
      <w:r w:rsidRPr="006D767C">
        <w:t>The ESC noted that</w:t>
      </w:r>
      <w:r w:rsidR="00602F24" w:rsidRPr="006D767C">
        <w:t>,</w:t>
      </w:r>
      <w:r w:rsidRPr="006D767C">
        <w:t xml:space="preserve"> for </w:t>
      </w:r>
      <w:r w:rsidR="0089504C" w:rsidRPr="006D767C">
        <w:t>non-squamous patients, there was a greater improvement in median OS of the immunotherapies compared with docetaxel, with all immunotherapy arms resulting in an improvement in OS of more than 3 months.</w:t>
      </w:r>
    </w:p>
    <w:p w:rsidR="00455921" w:rsidRPr="006D767C" w:rsidRDefault="00C87201" w:rsidP="002D73C8">
      <w:pPr>
        <w:numPr>
          <w:ilvl w:val="1"/>
          <w:numId w:val="1"/>
        </w:numPr>
        <w:spacing w:before="0" w:after="120"/>
      </w:pPr>
      <w:r w:rsidRPr="006D767C">
        <w:t xml:space="preserve">There was a trend towards greater treatment effect in those with higher levels of PD-L1 expression. This result, however, should be interpreted with caution, as the baseline characteristics by PD-L1 status were not balanced across the two arms </w:t>
      </w:r>
      <w:r w:rsidR="007B4C57" w:rsidRPr="006D767C">
        <w:t xml:space="preserve">in </w:t>
      </w:r>
      <w:r w:rsidRPr="006D767C">
        <w:t>the atezolizumab trials</w:t>
      </w:r>
      <w:r w:rsidR="00230F1B" w:rsidRPr="006D767C">
        <w:t xml:space="preserve">, </w:t>
      </w:r>
      <w:r w:rsidR="000840F6" w:rsidRPr="006D767C">
        <w:t xml:space="preserve">as randomisation was </w:t>
      </w:r>
      <w:r w:rsidR="00230F1B" w:rsidRPr="006D767C">
        <w:t>stratified</w:t>
      </w:r>
      <w:r w:rsidRPr="006D767C">
        <w:t xml:space="preserve"> </w:t>
      </w:r>
      <w:r w:rsidR="00230F1B" w:rsidRPr="006D767C">
        <w:t>using</w:t>
      </w:r>
      <w:r w:rsidRPr="006D767C">
        <w:t xml:space="preserve"> PD-L1 expression in immune cells</w:t>
      </w:r>
      <w:r w:rsidR="00230F1B" w:rsidRPr="006D767C">
        <w:t xml:space="preserve"> alone</w:t>
      </w:r>
      <w:r w:rsidRPr="006D767C">
        <w:t xml:space="preserve"> (</w:t>
      </w:r>
      <w:r w:rsidR="00230F1B" w:rsidRPr="006D767C">
        <w:t xml:space="preserve">i.e. </w:t>
      </w:r>
      <w:r w:rsidRPr="006D767C">
        <w:t xml:space="preserve">not the combination of expression on immune cells and tumour cells). Furthermore, comparison of treatment effect by PD-L1 </w:t>
      </w:r>
      <w:r w:rsidR="00DA1768" w:rsidRPr="006D767C">
        <w:t xml:space="preserve">expression </w:t>
      </w:r>
      <w:r w:rsidRPr="006D767C">
        <w:t xml:space="preserve">status between atezolizumab and nivolumab </w:t>
      </w:r>
      <w:r w:rsidR="00230F1B" w:rsidRPr="006D767C">
        <w:t>wa</w:t>
      </w:r>
      <w:r w:rsidRPr="006D767C">
        <w:t>s difficult to assess given the different PD-L1 tests utilised in the atezolizumab (Ventana SP142) and nivolumab trials (Dako 28-8) and the low level of concordance between the two assays (overall percentage of agreement, using 1% cut-off</w:t>
      </w:r>
      <w:r w:rsidR="00230F1B" w:rsidRPr="006D767C">
        <w:t xml:space="preserve"> was</w:t>
      </w:r>
      <w:r w:rsidRPr="006D767C">
        <w:t xml:space="preserve"> 63.2%)</w:t>
      </w:r>
      <w:r w:rsidRPr="006D767C">
        <w:rPr>
          <w:rStyle w:val="FootnoteReference"/>
        </w:rPr>
        <w:footnoteReference w:id="4"/>
      </w:r>
      <w:r w:rsidRPr="006D767C">
        <w:t>.</w:t>
      </w:r>
      <w:r w:rsidR="00677160" w:rsidRPr="006D767C">
        <w:t xml:space="preserve"> </w:t>
      </w:r>
      <w:r w:rsidR="00455921" w:rsidRPr="006D767C">
        <w:t xml:space="preserve">Although </w:t>
      </w:r>
      <w:r w:rsidR="00055E8E" w:rsidRPr="006D767C">
        <w:t xml:space="preserve">atezolizumab’s comparative </w:t>
      </w:r>
      <w:r w:rsidR="00455921" w:rsidRPr="006D767C">
        <w:t>effectiveness versus docetaxel was demonstrated in all subgroups</w:t>
      </w:r>
      <w:r w:rsidR="00055E8E" w:rsidRPr="006D767C">
        <w:t xml:space="preserve"> tested</w:t>
      </w:r>
      <w:r w:rsidR="00455921" w:rsidRPr="006D767C">
        <w:t xml:space="preserve">, the </w:t>
      </w:r>
      <w:r w:rsidR="005F0D8D" w:rsidRPr="006D767C">
        <w:t xml:space="preserve">ESC </w:t>
      </w:r>
      <w:r w:rsidR="00455921" w:rsidRPr="006D767C">
        <w:t>considered</w:t>
      </w:r>
      <w:r w:rsidR="005F0D8D" w:rsidRPr="006D767C">
        <w:t xml:space="preserve"> that t</w:t>
      </w:r>
      <w:r w:rsidR="006F2F17" w:rsidRPr="006D767C">
        <w:t>he role of PD-L1</w:t>
      </w:r>
      <w:r w:rsidR="00AF4A04" w:rsidRPr="006D767C">
        <w:t xml:space="preserve">-based </w:t>
      </w:r>
      <w:r w:rsidR="006F2F17" w:rsidRPr="006D767C">
        <w:t>stratification of subgroups remain</w:t>
      </w:r>
      <w:r w:rsidR="00455921" w:rsidRPr="006D767C">
        <w:t>ed</w:t>
      </w:r>
      <w:r w:rsidR="006F2F17" w:rsidRPr="006D767C">
        <w:t xml:space="preserve"> unclear</w:t>
      </w:r>
      <w:r w:rsidR="00455921" w:rsidRPr="006D767C">
        <w:t>, for reasons discussed earlier (see paragraph 4.6)</w:t>
      </w:r>
      <w:r w:rsidR="006F2F17" w:rsidRPr="006D767C">
        <w:t>.</w:t>
      </w:r>
      <w:r w:rsidR="007C4A05" w:rsidRPr="006D767C">
        <w:t xml:space="preserve"> The Pre-PBAC response (p1) reiterated that the </w:t>
      </w:r>
      <w:r w:rsidR="007C4A05" w:rsidRPr="006D767C">
        <w:rPr>
          <w:lang w:eastAsia="zh-CN"/>
        </w:rPr>
        <w:t>pivotal trial evidence for atezolizumab in previously treated NSCLC ha</w:t>
      </w:r>
      <w:r w:rsidR="005B5793" w:rsidRPr="006D767C">
        <w:rPr>
          <w:lang w:eastAsia="zh-CN"/>
        </w:rPr>
        <w:t>d</w:t>
      </w:r>
      <w:r w:rsidR="007C4A05" w:rsidRPr="006D767C">
        <w:rPr>
          <w:lang w:eastAsia="zh-CN"/>
        </w:rPr>
        <w:t xml:space="preserve"> clearly demonstrated a consistent and meaningful clinical benefit, regardless of PD-L1 expression.</w:t>
      </w:r>
    </w:p>
    <w:p w:rsidR="001B40D9" w:rsidRDefault="001B40D9" w:rsidP="008D7CF2">
      <w:pPr>
        <w:keepNext/>
        <w:spacing w:before="0" w:after="60"/>
        <w:jc w:val="left"/>
        <w:rPr>
          <w:rFonts w:ascii="Arial Narrow" w:hAnsi="Arial Narrow"/>
          <w:b/>
          <w:sz w:val="20"/>
          <w:lang w:eastAsia="zh-CN"/>
        </w:rPr>
      </w:pPr>
    </w:p>
    <w:p w:rsidR="00256A09" w:rsidRDefault="00256A09">
      <w:pPr>
        <w:spacing w:before="0" w:line="259" w:lineRule="auto"/>
        <w:jc w:val="left"/>
        <w:rPr>
          <w:rFonts w:ascii="Arial Narrow" w:hAnsi="Arial Narrow"/>
          <w:b/>
          <w:sz w:val="20"/>
          <w:lang w:eastAsia="zh-CN"/>
        </w:rPr>
      </w:pPr>
      <w:r>
        <w:rPr>
          <w:rFonts w:ascii="Arial Narrow" w:hAnsi="Arial Narrow"/>
          <w:b/>
          <w:sz w:val="20"/>
          <w:lang w:eastAsia="zh-CN"/>
        </w:rPr>
        <w:br w:type="page"/>
      </w:r>
    </w:p>
    <w:p w:rsidR="001B40D9" w:rsidRDefault="001B40D9" w:rsidP="008D7CF2">
      <w:pPr>
        <w:keepNext/>
        <w:spacing w:before="0" w:after="60"/>
        <w:jc w:val="left"/>
        <w:rPr>
          <w:rFonts w:ascii="Arial Narrow" w:hAnsi="Arial Narrow"/>
          <w:b/>
          <w:sz w:val="20"/>
          <w:lang w:eastAsia="zh-CN"/>
        </w:rPr>
      </w:pPr>
    </w:p>
    <w:p w:rsidR="001B40D9" w:rsidRDefault="001B40D9" w:rsidP="008D7CF2">
      <w:pPr>
        <w:keepNext/>
        <w:spacing w:before="0" w:after="60"/>
        <w:jc w:val="left"/>
        <w:rPr>
          <w:rFonts w:ascii="Arial Narrow" w:hAnsi="Arial Narrow"/>
          <w:b/>
          <w:sz w:val="20"/>
          <w:lang w:eastAsia="zh-CN"/>
        </w:rPr>
      </w:pPr>
    </w:p>
    <w:p w:rsidR="009916A6" w:rsidRPr="006D767C" w:rsidRDefault="009916A6" w:rsidP="008D7CF2">
      <w:pPr>
        <w:keepNext/>
        <w:spacing w:before="0" w:after="60"/>
        <w:jc w:val="left"/>
        <w:rPr>
          <w:rFonts w:ascii="Arial Narrow" w:hAnsi="Arial Narrow"/>
          <w:b/>
          <w:sz w:val="20"/>
          <w:lang w:eastAsia="zh-CN"/>
        </w:rPr>
      </w:pPr>
      <w:r w:rsidRPr="006D767C">
        <w:rPr>
          <w:rFonts w:ascii="Arial Narrow" w:hAnsi="Arial Narrow"/>
          <w:b/>
          <w:sz w:val="20"/>
          <w:lang w:eastAsia="zh-CN"/>
        </w:rPr>
        <w:t xml:space="preserve">Table 7: </w:t>
      </w:r>
      <w:r w:rsidR="008D7CF2" w:rsidRPr="006D767C">
        <w:rPr>
          <w:rFonts w:ascii="Arial Narrow" w:hAnsi="Arial Narrow"/>
          <w:b/>
          <w:sz w:val="20"/>
          <w:lang w:eastAsia="zh-CN"/>
        </w:rPr>
        <w:t>OS by PD-L1 expression, OAK and POPLAR</w:t>
      </w:r>
    </w:p>
    <w:tbl>
      <w:tblPr>
        <w:tblStyle w:val="TableGrid1"/>
        <w:tblW w:w="5000" w:type="pct"/>
        <w:tblLook w:val="04A0" w:firstRow="1" w:lastRow="0" w:firstColumn="1" w:lastColumn="0" w:noHBand="0" w:noVBand="1"/>
        <w:tblCaption w:val="Table 7: OS by PD-L1 expression, OAK and POPLAR"/>
      </w:tblPr>
      <w:tblGrid>
        <w:gridCol w:w="2943"/>
        <w:gridCol w:w="1575"/>
        <w:gridCol w:w="1575"/>
        <w:gridCol w:w="1575"/>
        <w:gridCol w:w="1575"/>
      </w:tblGrid>
      <w:tr w:rsidR="009916A6" w:rsidRPr="006D767C" w:rsidTr="00042C0C">
        <w:trPr>
          <w:tblHeader/>
        </w:trPr>
        <w:tc>
          <w:tcPr>
            <w:tcW w:w="1592" w:type="pct"/>
            <w:vMerge w:val="restart"/>
          </w:tcPr>
          <w:p w:rsidR="009916A6" w:rsidRPr="006D767C" w:rsidRDefault="009916A6" w:rsidP="0076659D">
            <w:pPr>
              <w:pStyle w:val="TableText"/>
              <w:spacing w:after="0"/>
            </w:pPr>
          </w:p>
        </w:tc>
        <w:tc>
          <w:tcPr>
            <w:tcW w:w="1704" w:type="pct"/>
            <w:gridSpan w:val="2"/>
          </w:tcPr>
          <w:p w:rsidR="009916A6" w:rsidRPr="006D767C" w:rsidRDefault="009916A6" w:rsidP="0076659D">
            <w:pPr>
              <w:pStyle w:val="TableText"/>
              <w:spacing w:after="0"/>
              <w:jc w:val="center"/>
              <w:rPr>
                <w:b/>
              </w:rPr>
            </w:pPr>
            <w:r w:rsidRPr="006D767C">
              <w:rPr>
                <w:b/>
              </w:rPr>
              <w:t>OAK</w:t>
            </w:r>
          </w:p>
        </w:tc>
        <w:tc>
          <w:tcPr>
            <w:tcW w:w="1704" w:type="pct"/>
            <w:gridSpan w:val="2"/>
          </w:tcPr>
          <w:p w:rsidR="009916A6" w:rsidRPr="006D767C" w:rsidRDefault="009916A6" w:rsidP="0076659D">
            <w:pPr>
              <w:pStyle w:val="TableText"/>
              <w:spacing w:after="0"/>
              <w:jc w:val="center"/>
              <w:rPr>
                <w:b/>
              </w:rPr>
            </w:pPr>
            <w:r w:rsidRPr="006D767C">
              <w:rPr>
                <w:b/>
              </w:rPr>
              <w:t>POPLAR</w:t>
            </w:r>
          </w:p>
        </w:tc>
      </w:tr>
      <w:tr w:rsidR="009916A6" w:rsidRPr="006D767C" w:rsidTr="00042C0C">
        <w:trPr>
          <w:tblHeader/>
        </w:trPr>
        <w:tc>
          <w:tcPr>
            <w:tcW w:w="1592" w:type="pct"/>
            <w:vMerge/>
          </w:tcPr>
          <w:p w:rsidR="009916A6" w:rsidRPr="006D767C" w:rsidRDefault="009916A6" w:rsidP="0076659D">
            <w:pPr>
              <w:pStyle w:val="TableText"/>
              <w:spacing w:after="0"/>
            </w:pPr>
          </w:p>
        </w:tc>
        <w:tc>
          <w:tcPr>
            <w:tcW w:w="852" w:type="pct"/>
          </w:tcPr>
          <w:p w:rsidR="009916A6" w:rsidRPr="006D767C" w:rsidRDefault="009916A6" w:rsidP="0076659D">
            <w:pPr>
              <w:pStyle w:val="TableText"/>
              <w:spacing w:after="0"/>
              <w:jc w:val="center"/>
              <w:rPr>
                <w:b/>
              </w:rPr>
            </w:pPr>
            <w:r w:rsidRPr="006D767C">
              <w:rPr>
                <w:b/>
              </w:rPr>
              <w:t>ATZ</w:t>
            </w:r>
          </w:p>
        </w:tc>
        <w:tc>
          <w:tcPr>
            <w:tcW w:w="852" w:type="pct"/>
          </w:tcPr>
          <w:p w:rsidR="009916A6" w:rsidRPr="006D767C" w:rsidRDefault="009916A6" w:rsidP="0076659D">
            <w:pPr>
              <w:pStyle w:val="TableText"/>
              <w:spacing w:after="0"/>
              <w:jc w:val="center"/>
              <w:rPr>
                <w:b/>
              </w:rPr>
            </w:pPr>
            <w:r w:rsidRPr="006D767C">
              <w:rPr>
                <w:b/>
              </w:rPr>
              <w:t>DOC</w:t>
            </w:r>
          </w:p>
        </w:tc>
        <w:tc>
          <w:tcPr>
            <w:tcW w:w="852" w:type="pct"/>
          </w:tcPr>
          <w:p w:rsidR="009916A6" w:rsidRPr="006D767C" w:rsidRDefault="009916A6" w:rsidP="0076659D">
            <w:pPr>
              <w:pStyle w:val="TableText"/>
              <w:spacing w:after="0"/>
              <w:jc w:val="center"/>
              <w:rPr>
                <w:b/>
              </w:rPr>
            </w:pPr>
            <w:r w:rsidRPr="006D767C">
              <w:rPr>
                <w:b/>
              </w:rPr>
              <w:t>ATZ</w:t>
            </w:r>
          </w:p>
        </w:tc>
        <w:tc>
          <w:tcPr>
            <w:tcW w:w="852" w:type="pct"/>
          </w:tcPr>
          <w:p w:rsidR="009916A6" w:rsidRPr="006D767C" w:rsidRDefault="009916A6" w:rsidP="0076659D">
            <w:pPr>
              <w:pStyle w:val="TableText"/>
              <w:spacing w:after="0"/>
              <w:jc w:val="center"/>
              <w:rPr>
                <w:b/>
              </w:rPr>
            </w:pPr>
            <w:r w:rsidRPr="006D767C">
              <w:rPr>
                <w:b/>
              </w:rPr>
              <w:t>DOC</w:t>
            </w:r>
          </w:p>
        </w:tc>
      </w:tr>
      <w:tr w:rsidR="009916A6" w:rsidRPr="006D767C" w:rsidTr="009916A6">
        <w:tc>
          <w:tcPr>
            <w:tcW w:w="1592" w:type="pct"/>
            <w:vAlign w:val="center"/>
          </w:tcPr>
          <w:p w:rsidR="009916A6" w:rsidRPr="006D767C" w:rsidRDefault="009916A6" w:rsidP="0076659D">
            <w:pPr>
              <w:pStyle w:val="TableText"/>
              <w:spacing w:after="0"/>
              <w:jc w:val="center"/>
            </w:pPr>
            <w:r w:rsidRPr="006D767C">
              <w:t>Minimum follow up</w:t>
            </w:r>
          </w:p>
        </w:tc>
        <w:tc>
          <w:tcPr>
            <w:tcW w:w="1704" w:type="pct"/>
            <w:gridSpan w:val="2"/>
            <w:vAlign w:val="center"/>
          </w:tcPr>
          <w:p w:rsidR="009916A6" w:rsidRPr="006D767C" w:rsidRDefault="009916A6" w:rsidP="0076659D">
            <w:pPr>
              <w:pStyle w:val="TableText"/>
              <w:spacing w:after="0"/>
              <w:jc w:val="center"/>
            </w:pPr>
            <w:r w:rsidRPr="006D767C">
              <w:t>19 months</w:t>
            </w:r>
          </w:p>
        </w:tc>
        <w:tc>
          <w:tcPr>
            <w:tcW w:w="1704" w:type="pct"/>
            <w:gridSpan w:val="2"/>
            <w:vAlign w:val="center"/>
          </w:tcPr>
          <w:p w:rsidR="009916A6" w:rsidRPr="006D767C" w:rsidRDefault="009916A6" w:rsidP="0076659D">
            <w:pPr>
              <w:pStyle w:val="TableText"/>
              <w:spacing w:after="0"/>
              <w:jc w:val="center"/>
            </w:pPr>
            <w:r w:rsidRPr="006D767C">
              <w:t>20 months</w:t>
            </w:r>
          </w:p>
        </w:tc>
      </w:tr>
      <w:tr w:rsidR="009916A6" w:rsidRPr="006D767C" w:rsidTr="009916A6">
        <w:tc>
          <w:tcPr>
            <w:tcW w:w="5000" w:type="pct"/>
            <w:gridSpan w:val="5"/>
          </w:tcPr>
          <w:p w:rsidR="009916A6" w:rsidRPr="006D767C" w:rsidRDefault="009916A6" w:rsidP="0076659D">
            <w:pPr>
              <w:pStyle w:val="TableText"/>
              <w:spacing w:after="0"/>
              <w:jc w:val="left"/>
              <w:rPr>
                <w:b/>
              </w:rPr>
            </w:pPr>
            <w:r w:rsidRPr="006D767C">
              <w:rPr>
                <w:b/>
              </w:rPr>
              <w:t>TC3 or IC3</w:t>
            </w:r>
          </w:p>
        </w:tc>
      </w:tr>
      <w:tr w:rsidR="009916A6" w:rsidRPr="006D767C" w:rsidTr="009916A6">
        <w:tc>
          <w:tcPr>
            <w:tcW w:w="1592" w:type="pct"/>
          </w:tcPr>
          <w:p w:rsidR="009916A6" w:rsidRPr="006D767C" w:rsidRDefault="009916A6" w:rsidP="0076659D">
            <w:pPr>
              <w:pStyle w:val="TableText"/>
              <w:spacing w:after="0"/>
            </w:pPr>
            <w:r w:rsidRPr="006D767C">
              <w:t>N</w:t>
            </w:r>
          </w:p>
        </w:tc>
        <w:tc>
          <w:tcPr>
            <w:tcW w:w="852" w:type="pct"/>
          </w:tcPr>
          <w:p w:rsidR="009916A6" w:rsidRPr="006D767C" w:rsidRDefault="009916A6" w:rsidP="0076659D">
            <w:pPr>
              <w:pStyle w:val="TableText"/>
              <w:spacing w:after="0"/>
              <w:jc w:val="center"/>
            </w:pPr>
            <w:r w:rsidRPr="006C54F0">
              <w:t>72</w:t>
            </w:r>
          </w:p>
        </w:tc>
        <w:tc>
          <w:tcPr>
            <w:tcW w:w="852" w:type="pct"/>
          </w:tcPr>
          <w:p w:rsidR="009916A6" w:rsidRPr="006D767C" w:rsidRDefault="009916A6" w:rsidP="0076659D">
            <w:pPr>
              <w:pStyle w:val="TableText"/>
              <w:spacing w:after="0"/>
              <w:jc w:val="center"/>
            </w:pPr>
            <w:r w:rsidRPr="006C54F0">
              <w:t>65</w:t>
            </w:r>
          </w:p>
        </w:tc>
        <w:tc>
          <w:tcPr>
            <w:tcW w:w="852" w:type="pct"/>
          </w:tcPr>
          <w:p w:rsidR="009916A6" w:rsidRPr="006D767C" w:rsidRDefault="009916A6" w:rsidP="0076659D">
            <w:pPr>
              <w:pStyle w:val="TableText"/>
              <w:spacing w:after="0"/>
              <w:jc w:val="center"/>
            </w:pPr>
            <w:r w:rsidRPr="006C54F0">
              <w:t>24</w:t>
            </w:r>
          </w:p>
        </w:tc>
        <w:tc>
          <w:tcPr>
            <w:tcW w:w="852" w:type="pct"/>
          </w:tcPr>
          <w:p w:rsidR="009916A6" w:rsidRPr="006D767C" w:rsidRDefault="009916A6" w:rsidP="0076659D">
            <w:pPr>
              <w:pStyle w:val="TableText"/>
              <w:spacing w:after="0"/>
              <w:jc w:val="center"/>
            </w:pPr>
            <w:r w:rsidRPr="006C54F0">
              <w:t>23</w:t>
            </w:r>
          </w:p>
        </w:tc>
      </w:tr>
      <w:tr w:rsidR="009916A6" w:rsidRPr="006D767C" w:rsidTr="009916A6">
        <w:tc>
          <w:tcPr>
            <w:tcW w:w="1592" w:type="pct"/>
          </w:tcPr>
          <w:p w:rsidR="009916A6" w:rsidRPr="006D767C" w:rsidRDefault="009916A6" w:rsidP="0076659D">
            <w:pPr>
              <w:pStyle w:val="TableText"/>
              <w:spacing w:after="0"/>
            </w:pPr>
            <w:r w:rsidRPr="006D767C">
              <w:t>Patients with event</w:t>
            </w:r>
          </w:p>
        </w:tc>
        <w:tc>
          <w:tcPr>
            <w:tcW w:w="852" w:type="pct"/>
          </w:tcPr>
          <w:p w:rsidR="009916A6" w:rsidRPr="006D767C" w:rsidRDefault="009916A6" w:rsidP="0076659D">
            <w:pPr>
              <w:pStyle w:val="TableText"/>
              <w:spacing w:after="0"/>
              <w:jc w:val="center"/>
            </w:pPr>
            <w:r w:rsidRPr="006C54F0">
              <w:t>37</w:t>
            </w:r>
            <w:r w:rsidRPr="006D767C">
              <w:t xml:space="preserve"> (51.4%)</w:t>
            </w:r>
          </w:p>
        </w:tc>
        <w:tc>
          <w:tcPr>
            <w:tcW w:w="852" w:type="pct"/>
          </w:tcPr>
          <w:p w:rsidR="009916A6" w:rsidRPr="006D767C" w:rsidRDefault="009916A6" w:rsidP="0076659D">
            <w:pPr>
              <w:pStyle w:val="TableText"/>
              <w:spacing w:after="0"/>
              <w:jc w:val="center"/>
            </w:pPr>
            <w:r w:rsidRPr="006C54F0">
              <w:t>49</w:t>
            </w:r>
            <w:r w:rsidRPr="006D767C">
              <w:t xml:space="preserve"> (75.4%)</w:t>
            </w:r>
          </w:p>
        </w:tc>
        <w:tc>
          <w:tcPr>
            <w:tcW w:w="852" w:type="pct"/>
          </w:tcPr>
          <w:p w:rsidR="009916A6" w:rsidRPr="006D767C" w:rsidRDefault="009916A6" w:rsidP="0076659D">
            <w:pPr>
              <w:pStyle w:val="TableText"/>
              <w:spacing w:after="0"/>
              <w:jc w:val="center"/>
            </w:pPr>
            <w:r w:rsidRPr="006C54F0">
              <w:t>12</w:t>
            </w:r>
            <w:r w:rsidRPr="006D767C">
              <w:t xml:space="preserve"> (50.0%)</w:t>
            </w:r>
          </w:p>
        </w:tc>
        <w:tc>
          <w:tcPr>
            <w:tcW w:w="852" w:type="pct"/>
          </w:tcPr>
          <w:p w:rsidR="009916A6" w:rsidRPr="006D767C" w:rsidRDefault="009916A6" w:rsidP="0076659D">
            <w:pPr>
              <w:pStyle w:val="TableText"/>
              <w:spacing w:after="0"/>
              <w:jc w:val="center"/>
            </w:pPr>
            <w:r w:rsidRPr="006C54F0">
              <w:t>18</w:t>
            </w:r>
            <w:r w:rsidRPr="006D767C">
              <w:t xml:space="preserve"> (78.3%)</w:t>
            </w:r>
          </w:p>
        </w:tc>
      </w:tr>
      <w:tr w:rsidR="009916A6" w:rsidRPr="006D767C" w:rsidTr="009916A6">
        <w:tc>
          <w:tcPr>
            <w:tcW w:w="1592" w:type="pct"/>
          </w:tcPr>
          <w:p w:rsidR="009916A6" w:rsidRPr="006D767C" w:rsidRDefault="009916A6" w:rsidP="0076659D">
            <w:pPr>
              <w:pStyle w:val="TableText"/>
              <w:spacing w:after="0"/>
            </w:pPr>
            <w:r w:rsidRPr="006D767C">
              <w:t>Median OS (months); (95% CI)</w:t>
            </w:r>
          </w:p>
        </w:tc>
        <w:tc>
          <w:tcPr>
            <w:tcW w:w="852" w:type="pct"/>
          </w:tcPr>
          <w:p w:rsidR="009916A6" w:rsidRPr="006D767C" w:rsidRDefault="009916A6" w:rsidP="0076659D">
            <w:pPr>
              <w:pStyle w:val="TableText"/>
              <w:spacing w:after="0"/>
              <w:jc w:val="center"/>
            </w:pPr>
            <w:r w:rsidRPr="006D767C">
              <w:t>20.5 (17.5, NE)</w:t>
            </w:r>
          </w:p>
        </w:tc>
        <w:tc>
          <w:tcPr>
            <w:tcW w:w="852" w:type="pct"/>
          </w:tcPr>
          <w:p w:rsidR="009916A6" w:rsidRPr="006D767C" w:rsidRDefault="009916A6" w:rsidP="0076659D">
            <w:pPr>
              <w:pStyle w:val="TableText"/>
              <w:spacing w:after="0"/>
              <w:jc w:val="center"/>
            </w:pPr>
            <w:r w:rsidRPr="006D767C">
              <w:t>8.9 (5.6, 11.6)</w:t>
            </w:r>
          </w:p>
        </w:tc>
        <w:tc>
          <w:tcPr>
            <w:tcW w:w="852" w:type="pct"/>
          </w:tcPr>
          <w:p w:rsidR="009916A6" w:rsidRPr="006D767C" w:rsidRDefault="009916A6" w:rsidP="0076659D">
            <w:pPr>
              <w:pStyle w:val="TableText"/>
              <w:spacing w:after="0"/>
              <w:jc w:val="center"/>
            </w:pPr>
            <w:r w:rsidRPr="006D767C">
              <w:t>NE (9.5, NE)</w:t>
            </w:r>
          </w:p>
        </w:tc>
        <w:tc>
          <w:tcPr>
            <w:tcW w:w="852" w:type="pct"/>
          </w:tcPr>
          <w:p w:rsidR="009916A6" w:rsidRPr="006D767C" w:rsidRDefault="009916A6" w:rsidP="0076659D">
            <w:pPr>
              <w:pStyle w:val="TableText"/>
              <w:spacing w:after="0"/>
              <w:jc w:val="center"/>
            </w:pPr>
            <w:r w:rsidRPr="006D767C">
              <w:t>11.1 (6.7, 14.4)</w:t>
            </w:r>
          </w:p>
        </w:tc>
      </w:tr>
      <w:tr w:rsidR="009916A6" w:rsidRPr="006D767C" w:rsidTr="009916A6">
        <w:tc>
          <w:tcPr>
            <w:tcW w:w="1592" w:type="pct"/>
          </w:tcPr>
          <w:p w:rsidR="009916A6" w:rsidRPr="006D767C" w:rsidRDefault="009916A6" w:rsidP="0076659D">
            <w:pPr>
              <w:pStyle w:val="TableText"/>
              <w:spacing w:after="0"/>
            </w:pPr>
            <w:r w:rsidRPr="006D767C">
              <w:t>Unstratified HR (95 %CI)</w:t>
            </w:r>
          </w:p>
        </w:tc>
        <w:tc>
          <w:tcPr>
            <w:tcW w:w="1704" w:type="pct"/>
            <w:gridSpan w:val="2"/>
          </w:tcPr>
          <w:p w:rsidR="009916A6" w:rsidRPr="006D767C" w:rsidRDefault="009916A6" w:rsidP="0076659D">
            <w:pPr>
              <w:pStyle w:val="TableText"/>
              <w:spacing w:after="0"/>
              <w:jc w:val="center"/>
            </w:pPr>
            <w:r w:rsidRPr="006D767C">
              <w:t>0.41 (0.27, 0.64)</w:t>
            </w:r>
          </w:p>
        </w:tc>
        <w:tc>
          <w:tcPr>
            <w:tcW w:w="1704" w:type="pct"/>
            <w:gridSpan w:val="2"/>
          </w:tcPr>
          <w:p w:rsidR="009916A6" w:rsidRPr="006D767C" w:rsidRDefault="009916A6" w:rsidP="0076659D">
            <w:pPr>
              <w:pStyle w:val="TableText"/>
              <w:spacing w:after="0"/>
              <w:jc w:val="center"/>
            </w:pPr>
            <w:r w:rsidRPr="006D767C">
              <w:t>0.45 (0.22, 0.95)</w:t>
            </w:r>
          </w:p>
        </w:tc>
      </w:tr>
      <w:tr w:rsidR="009916A6" w:rsidRPr="006D767C" w:rsidTr="00252F20">
        <w:trPr>
          <w:trHeight w:val="247"/>
        </w:trPr>
        <w:tc>
          <w:tcPr>
            <w:tcW w:w="1592" w:type="pct"/>
          </w:tcPr>
          <w:p w:rsidR="009916A6" w:rsidRPr="006D767C" w:rsidRDefault="009916A6" w:rsidP="0076659D">
            <w:pPr>
              <w:pStyle w:val="TableText"/>
              <w:spacing w:after="0"/>
            </w:pPr>
            <w:r w:rsidRPr="006D767C">
              <w:t>p-value log rank</w:t>
            </w:r>
          </w:p>
        </w:tc>
        <w:tc>
          <w:tcPr>
            <w:tcW w:w="1704" w:type="pct"/>
            <w:gridSpan w:val="2"/>
          </w:tcPr>
          <w:p w:rsidR="009916A6" w:rsidRPr="006D767C" w:rsidRDefault="009916A6" w:rsidP="0076659D">
            <w:pPr>
              <w:pStyle w:val="TableText"/>
              <w:spacing w:after="0"/>
              <w:jc w:val="center"/>
            </w:pPr>
            <w:r w:rsidRPr="006D767C">
              <w:t>p&lt;0.0001</w:t>
            </w:r>
          </w:p>
        </w:tc>
        <w:tc>
          <w:tcPr>
            <w:tcW w:w="1704" w:type="pct"/>
            <w:gridSpan w:val="2"/>
          </w:tcPr>
          <w:p w:rsidR="009916A6" w:rsidRPr="006D767C" w:rsidRDefault="009916A6" w:rsidP="0076659D">
            <w:pPr>
              <w:pStyle w:val="TableText"/>
              <w:spacing w:after="0"/>
              <w:jc w:val="center"/>
            </w:pPr>
            <w:r w:rsidRPr="006D767C">
              <w:t>0.033</w:t>
            </w:r>
          </w:p>
        </w:tc>
      </w:tr>
      <w:tr w:rsidR="009916A6" w:rsidRPr="006D767C" w:rsidTr="009916A6">
        <w:tc>
          <w:tcPr>
            <w:tcW w:w="5000" w:type="pct"/>
            <w:gridSpan w:val="5"/>
          </w:tcPr>
          <w:p w:rsidR="009916A6" w:rsidRPr="006D767C" w:rsidRDefault="009916A6" w:rsidP="0076659D">
            <w:pPr>
              <w:pStyle w:val="TableText"/>
              <w:spacing w:after="0"/>
              <w:jc w:val="left"/>
              <w:rPr>
                <w:b/>
              </w:rPr>
            </w:pPr>
            <w:r w:rsidRPr="006D767C">
              <w:rPr>
                <w:b/>
              </w:rPr>
              <w:t>TC2/3 or IC2/3</w:t>
            </w:r>
          </w:p>
        </w:tc>
      </w:tr>
      <w:tr w:rsidR="009916A6" w:rsidRPr="006D767C" w:rsidTr="009916A6">
        <w:tc>
          <w:tcPr>
            <w:tcW w:w="1592" w:type="pct"/>
          </w:tcPr>
          <w:p w:rsidR="009916A6" w:rsidRPr="006D767C" w:rsidRDefault="009916A6" w:rsidP="0076659D">
            <w:pPr>
              <w:pStyle w:val="TableText"/>
              <w:spacing w:after="0"/>
            </w:pPr>
            <w:r w:rsidRPr="006D767C">
              <w:t>N</w:t>
            </w:r>
          </w:p>
        </w:tc>
        <w:tc>
          <w:tcPr>
            <w:tcW w:w="852" w:type="pct"/>
          </w:tcPr>
          <w:p w:rsidR="009916A6" w:rsidRPr="006D767C" w:rsidRDefault="009916A6" w:rsidP="0076659D">
            <w:pPr>
              <w:pStyle w:val="TableText"/>
              <w:spacing w:after="0"/>
              <w:jc w:val="center"/>
            </w:pPr>
            <w:r w:rsidRPr="006C54F0">
              <w:t>129</w:t>
            </w:r>
          </w:p>
        </w:tc>
        <w:tc>
          <w:tcPr>
            <w:tcW w:w="852" w:type="pct"/>
          </w:tcPr>
          <w:p w:rsidR="009916A6" w:rsidRPr="006D767C" w:rsidRDefault="009916A6" w:rsidP="0076659D">
            <w:pPr>
              <w:pStyle w:val="TableText"/>
              <w:spacing w:after="0"/>
              <w:jc w:val="center"/>
            </w:pPr>
            <w:r w:rsidRPr="006C54F0">
              <w:t>136</w:t>
            </w:r>
          </w:p>
        </w:tc>
        <w:tc>
          <w:tcPr>
            <w:tcW w:w="852" w:type="pct"/>
          </w:tcPr>
          <w:p w:rsidR="009916A6" w:rsidRPr="006D767C" w:rsidRDefault="009916A6" w:rsidP="0076659D">
            <w:pPr>
              <w:pStyle w:val="TableText"/>
              <w:spacing w:after="0"/>
              <w:jc w:val="center"/>
            </w:pPr>
            <w:r w:rsidRPr="006C54F0">
              <w:t>50</w:t>
            </w:r>
          </w:p>
        </w:tc>
        <w:tc>
          <w:tcPr>
            <w:tcW w:w="852" w:type="pct"/>
          </w:tcPr>
          <w:p w:rsidR="009916A6" w:rsidRPr="006D767C" w:rsidRDefault="009916A6" w:rsidP="0076659D">
            <w:pPr>
              <w:pStyle w:val="TableText"/>
              <w:spacing w:after="0"/>
              <w:jc w:val="center"/>
            </w:pPr>
            <w:r w:rsidRPr="006C54F0">
              <w:t>55</w:t>
            </w:r>
          </w:p>
        </w:tc>
      </w:tr>
      <w:tr w:rsidR="009916A6" w:rsidRPr="006D767C" w:rsidTr="009916A6">
        <w:tc>
          <w:tcPr>
            <w:tcW w:w="1592" w:type="pct"/>
          </w:tcPr>
          <w:p w:rsidR="009916A6" w:rsidRPr="006D767C" w:rsidRDefault="009916A6" w:rsidP="0076659D">
            <w:pPr>
              <w:pStyle w:val="TableText"/>
              <w:spacing w:after="0"/>
            </w:pPr>
            <w:r w:rsidRPr="006D767C">
              <w:t>Patients with event</w:t>
            </w:r>
          </w:p>
        </w:tc>
        <w:tc>
          <w:tcPr>
            <w:tcW w:w="852" w:type="pct"/>
          </w:tcPr>
          <w:p w:rsidR="009916A6" w:rsidRPr="006D767C" w:rsidRDefault="009916A6" w:rsidP="0076659D">
            <w:pPr>
              <w:pStyle w:val="TableText"/>
              <w:spacing w:after="0"/>
              <w:jc w:val="center"/>
            </w:pPr>
            <w:r w:rsidRPr="006C54F0">
              <w:t>79</w:t>
            </w:r>
            <w:r w:rsidRPr="006D767C">
              <w:t xml:space="preserve"> (61.2%)</w:t>
            </w:r>
          </w:p>
        </w:tc>
        <w:tc>
          <w:tcPr>
            <w:tcW w:w="852" w:type="pct"/>
          </w:tcPr>
          <w:p w:rsidR="009916A6" w:rsidRPr="006D767C" w:rsidRDefault="009916A6" w:rsidP="0076659D">
            <w:pPr>
              <w:pStyle w:val="TableText"/>
              <w:spacing w:after="0"/>
              <w:jc w:val="center"/>
            </w:pPr>
            <w:r w:rsidRPr="006C54F0">
              <w:t>92</w:t>
            </w:r>
            <w:r w:rsidRPr="006D767C">
              <w:t xml:space="preserve"> (67.6%)</w:t>
            </w:r>
          </w:p>
        </w:tc>
        <w:tc>
          <w:tcPr>
            <w:tcW w:w="852" w:type="pct"/>
          </w:tcPr>
          <w:p w:rsidR="009916A6" w:rsidRPr="006D767C" w:rsidRDefault="009916A6" w:rsidP="0076659D">
            <w:pPr>
              <w:pStyle w:val="TableText"/>
              <w:spacing w:after="0"/>
              <w:jc w:val="center"/>
            </w:pPr>
            <w:r w:rsidRPr="006C54F0">
              <w:t>29</w:t>
            </w:r>
            <w:r w:rsidRPr="006D767C">
              <w:t xml:space="preserve"> (58.0%)</w:t>
            </w:r>
          </w:p>
        </w:tc>
        <w:tc>
          <w:tcPr>
            <w:tcW w:w="852" w:type="pct"/>
          </w:tcPr>
          <w:p w:rsidR="009916A6" w:rsidRPr="006D767C" w:rsidRDefault="009916A6" w:rsidP="0076659D">
            <w:pPr>
              <w:pStyle w:val="TableText"/>
              <w:spacing w:after="0"/>
              <w:jc w:val="center"/>
            </w:pPr>
            <w:r w:rsidRPr="006C54F0">
              <w:t>46</w:t>
            </w:r>
            <w:r w:rsidRPr="006D767C">
              <w:t xml:space="preserve"> (83.6%)</w:t>
            </w:r>
          </w:p>
        </w:tc>
      </w:tr>
      <w:tr w:rsidR="009916A6" w:rsidRPr="006D767C" w:rsidTr="009916A6">
        <w:tc>
          <w:tcPr>
            <w:tcW w:w="1592" w:type="pct"/>
          </w:tcPr>
          <w:p w:rsidR="009916A6" w:rsidRPr="006D767C" w:rsidRDefault="009916A6" w:rsidP="0076659D">
            <w:pPr>
              <w:pStyle w:val="TableText"/>
              <w:spacing w:after="0"/>
            </w:pPr>
            <w:r w:rsidRPr="006D767C">
              <w:t>Median OS (months); (95% CI)</w:t>
            </w:r>
          </w:p>
        </w:tc>
        <w:tc>
          <w:tcPr>
            <w:tcW w:w="852" w:type="pct"/>
          </w:tcPr>
          <w:p w:rsidR="009916A6" w:rsidRPr="006D767C" w:rsidRDefault="009916A6" w:rsidP="0076659D">
            <w:pPr>
              <w:pStyle w:val="TableText"/>
              <w:spacing w:after="0"/>
              <w:jc w:val="center"/>
            </w:pPr>
            <w:r w:rsidRPr="006D767C">
              <w:t>16.3 (13.3, 20.1)</w:t>
            </w:r>
          </w:p>
        </w:tc>
        <w:tc>
          <w:tcPr>
            <w:tcW w:w="852" w:type="pct"/>
          </w:tcPr>
          <w:p w:rsidR="009916A6" w:rsidRPr="006D767C" w:rsidRDefault="009916A6" w:rsidP="0076659D">
            <w:pPr>
              <w:pStyle w:val="TableText"/>
              <w:spacing w:after="0"/>
              <w:jc w:val="center"/>
            </w:pPr>
            <w:r w:rsidRPr="006D767C">
              <w:t>10.8 (8.8, 12.7)</w:t>
            </w:r>
          </w:p>
        </w:tc>
        <w:tc>
          <w:tcPr>
            <w:tcW w:w="852" w:type="pct"/>
          </w:tcPr>
          <w:p w:rsidR="009916A6" w:rsidRPr="006D767C" w:rsidRDefault="009916A6" w:rsidP="0076659D">
            <w:pPr>
              <w:pStyle w:val="TableText"/>
              <w:spacing w:after="0"/>
              <w:jc w:val="center"/>
            </w:pPr>
            <w:r w:rsidRPr="006D767C">
              <w:t>15.1 (8.4, NE)</w:t>
            </w:r>
          </w:p>
        </w:tc>
        <w:tc>
          <w:tcPr>
            <w:tcW w:w="852" w:type="pct"/>
          </w:tcPr>
          <w:p w:rsidR="009916A6" w:rsidRPr="006D767C" w:rsidRDefault="009916A6" w:rsidP="0076659D">
            <w:pPr>
              <w:pStyle w:val="TableText"/>
              <w:spacing w:after="0"/>
              <w:jc w:val="center"/>
            </w:pPr>
            <w:r w:rsidRPr="006D767C">
              <w:t>7.4 (6.0, 12.5)</w:t>
            </w:r>
          </w:p>
        </w:tc>
      </w:tr>
      <w:tr w:rsidR="009916A6" w:rsidRPr="006D767C" w:rsidTr="009916A6">
        <w:tc>
          <w:tcPr>
            <w:tcW w:w="1592" w:type="pct"/>
          </w:tcPr>
          <w:p w:rsidR="009916A6" w:rsidRPr="006D767C" w:rsidRDefault="009916A6" w:rsidP="0076659D">
            <w:pPr>
              <w:pStyle w:val="TableText"/>
              <w:spacing w:after="0"/>
            </w:pPr>
            <w:r w:rsidRPr="006D767C">
              <w:t>Unstratified HR (95 %CI)</w:t>
            </w:r>
          </w:p>
        </w:tc>
        <w:tc>
          <w:tcPr>
            <w:tcW w:w="1704" w:type="pct"/>
            <w:gridSpan w:val="2"/>
          </w:tcPr>
          <w:p w:rsidR="009916A6" w:rsidRPr="006D767C" w:rsidRDefault="009916A6" w:rsidP="0076659D">
            <w:pPr>
              <w:pStyle w:val="TableText"/>
              <w:spacing w:after="0"/>
              <w:jc w:val="center"/>
            </w:pPr>
            <w:r w:rsidRPr="006D767C">
              <w:t>0.67 (0.49, 0.90)</w:t>
            </w:r>
          </w:p>
        </w:tc>
        <w:tc>
          <w:tcPr>
            <w:tcW w:w="1704" w:type="pct"/>
            <w:gridSpan w:val="2"/>
          </w:tcPr>
          <w:p w:rsidR="009916A6" w:rsidRPr="006D767C" w:rsidRDefault="009916A6" w:rsidP="0076659D">
            <w:pPr>
              <w:pStyle w:val="TableText"/>
              <w:spacing w:after="0"/>
              <w:jc w:val="center"/>
            </w:pPr>
            <w:r w:rsidRPr="006D767C">
              <w:t>0.50 (0.31, 0.80)</w:t>
            </w:r>
          </w:p>
        </w:tc>
      </w:tr>
      <w:tr w:rsidR="009916A6" w:rsidRPr="006D767C" w:rsidTr="009916A6">
        <w:tc>
          <w:tcPr>
            <w:tcW w:w="1592" w:type="pct"/>
          </w:tcPr>
          <w:p w:rsidR="009916A6" w:rsidRPr="006D767C" w:rsidRDefault="009916A6" w:rsidP="0076659D">
            <w:pPr>
              <w:pStyle w:val="TableText"/>
              <w:spacing w:after="0"/>
            </w:pPr>
            <w:r w:rsidRPr="006D767C">
              <w:t>p-value log rank</w:t>
            </w:r>
          </w:p>
        </w:tc>
        <w:tc>
          <w:tcPr>
            <w:tcW w:w="1704" w:type="pct"/>
            <w:gridSpan w:val="2"/>
          </w:tcPr>
          <w:p w:rsidR="009916A6" w:rsidRPr="006D767C" w:rsidRDefault="009916A6" w:rsidP="0076659D">
            <w:pPr>
              <w:pStyle w:val="TableText"/>
              <w:spacing w:after="0"/>
              <w:jc w:val="center"/>
            </w:pPr>
            <w:r w:rsidRPr="006D767C">
              <w:t>0.008</w:t>
            </w:r>
          </w:p>
        </w:tc>
        <w:tc>
          <w:tcPr>
            <w:tcW w:w="1704" w:type="pct"/>
            <w:gridSpan w:val="2"/>
          </w:tcPr>
          <w:p w:rsidR="009916A6" w:rsidRPr="006D767C" w:rsidRDefault="009916A6" w:rsidP="0076659D">
            <w:pPr>
              <w:pStyle w:val="TableText"/>
              <w:spacing w:after="0"/>
              <w:jc w:val="center"/>
            </w:pPr>
            <w:r w:rsidRPr="006D767C">
              <w:t>0.003</w:t>
            </w:r>
          </w:p>
        </w:tc>
      </w:tr>
      <w:tr w:rsidR="009916A6" w:rsidRPr="006D767C" w:rsidTr="009916A6">
        <w:tc>
          <w:tcPr>
            <w:tcW w:w="5000" w:type="pct"/>
            <w:gridSpan w:val="5"/>
          </w:tcPr>
          <w:p w:rsidR="009916A6" w:rsidRPr="006D767C" w:rsidRDefault="009916A6" w:rsidP="0076659D">
            <w:pPr>
              <w:pStyle w:val="TableText"/>
              <w:spacing w:after="0"/>
              <w:jc w:val="left"/>
              <w:rPr>
                <w:b/>
              </w:rPr>
            </w:pPr>
            <w:r w:rsidRPr="006D767C">
              <w:rPr>
                <w:b/>
              </w:rPr>
              <w:t>TC1/2/3 or IC1/2/3</w:t>
            </w:r>
          </w:p>
        </w:tc>
      </w:tr>
      <w:tr w:rsidR="009916A6" w:rsidRPr="006D767C" w:rsidTr="009916A6">
        <w:tc>
          <w:tcPr>
            <w:tcW w:w="1592" w:type="pct"/>
          </w:tcPr>
          <w:p w:rsidR="009916A6" w:rsidRPr="006D767C" w:rsidRDefault="009916A6" w:rsidP="0076659D">
            <w:pPr>
              <w:pStyle w:val="TableText"/>
              <w:spacing w:after="0"/>
            </w:pPr>
            <w:r w:rsidRPr="006D767C">
              <w:t xml:space="preserve">N </w:t>
            </w:r>
          </w:p>
        </w:tc>
        <w:tc>
          <w:tcPr>
            <w:tcW w:w="852" w:type="pct"/>
          </w:tcPr>
          <w:p w:rsidR="009916A6" w:rsidRPr="006D767C" w:rsidRDefault="009916A6" w:rsidP="0076659D">
            <w:pPr>
              <w:pStyle w:val="TableText"/>
              <w:spacing w:after="0"/>
              <w:jc w:val="center"/>
            </w:pPr>
            <w:r w:rsidRPr="006C54F0">
              <w:t>241</w:t>
            </w:r>
          </w:p>
        </w:tc>
        <w:tc>
          <w:tcPr>
            <w:tcW w:w="852" w:type="pct"/>
          </w:tcPr>
          <w:p w:rsidR="009916A6" w:rsidRPr="006D767C" w:rsidRDefault="009916A6" w:rsidP="0076659D">
            <w:pPr>
              <w:pStyle w:val="TableText"/>
              <w:spacing w:after="0"/>
              <w:jc w:val="center"/>
            </w:pPr>
            <w:r w:rsidRPr="006C54F0">
              <w:t>222</w:t>
            </w:r>
          </w:p>
        </w:tc>
        <w:tc>
          <w:tcPr>
            <w:tcW w:w="852" w:type="pct"/>
          </w:tcPr>
          <w:p w:rsidR="009916A6" w:rsidRPr="006D767C" w:rsidRDefault="009916A6" w:rsidP="0076659D">
            <w:pPr>
              <w:pStyle w:val="TableText"/>
              <w:spacing w:after="0"/>
              <w:jc w:val="center"/>
            </w:pPr>
            <w:r w:rsidRPr="006C54F0">
              <w:t>93</w:t>
            </w:r>
          </w:p>
        </w:tc>
        <w:tc>
          <w:tcPr>
            <w:tcW w:w="852" w:type="pct"/>
          </w:tcPr>
          <w:p w:rsidR="009916A6" w:rsidRPr="006D767C" w:rsidRDefault="009916A6" w:rsidP="0076659D">
            <w:pPr>
              <w:pStyle w:val="TableText"/>
              <w:spacing w:after="0"/>
              <w:jc w:val="center"/>
            </w:pPr>
            <w:r w:rsidRPr="006C54F0">
              <w:t>102</w:t>
            </w:r>
          </w:p>
        </w:tc>
      </w:tr>
      <w:tr w:rsidR="009916A6" w:rsidRPr="006D767C" w:rsidTr="009916A6">
        <w:tc>
          <w:tcPr>
            <w:tcW w:w="1592" w:type="pct"/>
          </w:tcPr>
          <w:p w:rsidR="009916A6" w:rsidRPr="006D767C" w:rsidRDefault="009916A6" w:rsidP="0076659D">
            <w:pPr>
              <w:pStyle w:val="TableText"/>
              <w:spacing w:after="0"/>
            </w:pPr>
            <w:r w:rsidRPr="006D767C">
              <w:t>Patients with event</w:t>
            </w:r>
          </w:p>
        </w:tc>
        <w:tc>
          <w:tcPr>
            <w:tcW w:w="852" w:type="pct"/>
          </w:tcPr>
          <w:p w:rsidR="009916A6" w:rsidRPr="006D767C" w:rsidRDefault="009916A6" w:rsidP="0076659D">
            <w:pPr>
              <w:pStyle w:val="TableText"/>
              <w:spacing w:after="0"/>
              <w:jc w:val="center"/>
            </w:pPr>
            <w:r w:rsidRPr="006C54F0">
              <w:t>151</w:t>
            </w:r>
            <w:r w:rsidRPr="006D767C">
              <w:t xml:space="preserve"> (62.7%)</w:t>
            </w:r>
          </w:p>
        </w:tc>
        <w:tc>
          <w:tcPr>
            <w:tcW w:w="852" w:type="pct"/>
          </w:tcPr>
          <w:p w:rsidR="009916A6" w:rsidRPr="006D767C" w:rsidRDefault="009916A6" w:rsidP="0076659D">
            <w:pPr>
              <w:pStyle w:val="TableText"/>
              <w:spacing w:after="0"/>
              <w:jc w:val="center"/>
            </w:pPr>
            <w:r w:rsidRPr="006C54F0">
              <w:t>149</w:t>
            </w:r>
            <w:r w:rsidRPr="006D767C">
              <w:t xml:space="preserve"> (67.1%)</w:t>
            </w:r>
          </w:p>
        </w:tc>
        <w:tc>
          <w:tcPr>
            <w:tcW w:w="852" w:type="pct"/>
          </w:tcPr>
          <w:p w:rsidR="009916A6" w:rsidRPr="006D767C" w:rsidRDefault="009916A6" w:rsidP="0076659D">
            <w:pPr>
              <w:pStyle w:val="TableText"/>
              <w:spacing w:after="0"/>
              <w:jc w:val="center"/>
            </w:pPr>
            <w:r w:rsidRPr="006C54F0">
              <w:t>54</w:t>
            </w:r>
            <w:r w:rsidRPr="006D767C">
              <w:t xml:space="preserve"> (58.1%)</w:t>
            </w:r>
          </w:p>
        </w:tc>
        <w:tc>
          <w:tcPr>
            <w:tcW w:w="852" w:type="pct"/>
          </w:tcPr>
          <w:p w:rsidR="009916A6" w:rsidRPr="006D767C" w:rsidRDefault="009916A6" w:rsidP="0076659D">
            <w:pPr>
              <w:pStyle w:val="TableText"/>
              <w:spacing w:after="0"/>
              <w:jc w:val="center"/>
            </w:pPr>
            <w:r w:rsidRPr="006C54F0">
              <w:t>78</w:t>
            </w:r>
            <w:r w:rsidRPr="006D767C">
              <w:t xml:space="preserve"> (76.5%)</w:t>
            </w:r>
          </w:p>
        </w:tc>
      </w:tr>
      <w:tr w:rsidR="009916A6" w:rsidRPr="006D767C" w:rsidTr="009916A6">
        <w:tc>
          <w:tcPr>
            <w:tcW w:w="1592" w:type="pct"/>
          </w:tcPr>
          <w:p w:rsidR="009916A6" w:rsidRPr="006D767C" w:rsidRDefault="009916A6" w:rsidP="0076659D">
            <w:pPr>
              <w:pStyle w:val="TableText"/>
              <w:spacing w:after="0"/>
            </w:pPr>
            <w:r w:rsidRPr="006D767C">
              <w:t>Median OS (months); (95% CI)</w:t>
            </w:r>
          </w:p>
        </w:tc>
        <w:tc>
          <w:tcPr>
            <w:tcW w:w="852" w:type="pct"/>
          </w:tcPr>
          <w:p w:rsidR="009916A6" w:rsidRPr="006D767C" w:rsidRDefault="009916A6" w:rsidP="0076659D">
            <w:pPr>
              <w:pStyle w:val="TableText"/>
              <w:spacing w:after="0"/>
              <w:jc w:val="center"/>
            </w:pPr>
            <w:r w:rsidRPr="006D767C">
              <w:t>15.7 (12.6, 18.0)</w:t>
            </w:r>
          </w:p>
        </w:tc>
        <w:tc>
          <w:tcPr>
            <w:tcW w:w="852" w:type="pct"/>
          </w:tcPr>
          <w:p w:rsidR="009916A6" w:rsidRPr="006D767C" w:rsidRDefault="009916A6" w:rsidP="0076659D">
            <w:pPr>
              <w:pStyle w:val="TableText"/>
              <w:spacing w:after="0"/>
              <w:jc w:val="center"/>
            </w:pPr>
            <w:r w:rsidRPr="006D767C">
              <w:t>10.3 (8.8,12.0)</w:t>
            </w:r>
          </w:p>
        </w:tc>
        <w:tc>
          <w:tcPr>
            <w:tcW w:w="852" w:type="pct"/>
          </w:tcPr>
          <w:p w:rsidR="009916A6" w:rsidRPr="006D767C" w:rsidRDefault="009916A6" w:rsidP="0076659D">
            <w:pPr>
              <w:pStyle w:val="TableText"/>
              <w:spacing w:after="0"/>
              <w:jc w:val="center"/>
            </w:pPr>
            <w:r w:rsidRPr="006D767C">
              <w:t>15.1 (11.0, NE)</w:t>
            </w:r>
          </w:p>
        </w:tc>
        <w:tc>
          <w:tcPr>
            <w:tcW w:w="852" w:type="pct"/>
          </w:tcPr>
          <w:p w:rsidR="009916A6" w:rsidRPr="006D767C" w:rsidRDefault="009916A6" w:rsidP="0076659D">
            <w:pPr>
              <w:pStyle w:val="TableText"/>
              <w:spacing w:after="0"/>
              <w:jc w:val="center"/>
            </w:pPr>
            <w:r w:rsidRPr="006D767C">
              <w:t>9.2 (7.3, 12.8)</w:t>
            </w:r>
          </w:p>
        </w:tc>
      </w:tr>
      <w:tr w:rsidR="009916A6" w:rsidRPr="006D767C" w:rsidTr="009916A6">
        <w:tc>
          <w:tcPr>
            <w:tcW w:w="1592" w:type="pct"/>
          </w:tcPr>
          <w:p w:rsidR="009916A6" w:rsidRPr="006D767C" w:rsidRDefault="009916A6" w:rsidP="0076659D">
            <w:pPr>
              <w:pStyle w:val="TableText"/>
              <w:spacing w:after="0"/>
            </w:pPr>
            <w:r w:rsidRPr="006D767C">
              <w:t>Stratified HR (95 %CI)</w:t>
            </w:r>
          </w:p>
        </w:tc>
        <w:tc>
          <w:tcPr>
            <w:tcW w:w="1704" w:type="pct"/>
            <w:gridSpan w:val="2"/>
          </w:tcPr>
          <w:p w:rsidR="009916A6" w:rsidRPr="006D767C" w:rsidRDefault="009916A6" w:rsidP="0076659D">
            <w:pPr>
              <w:pStyle w:val="TableText"/>
              <w:spacing w:after="0"/>
              <w:jc w:val="center"/>
            </w:pPr>
            <w:r w:rsidRPr="006D767C">
              <w:t>0.74 (0.58, 0.93)</w:t>
            </w:r>
          </w:p>
        </w:tc>
        <w:tc>
          <w:tcPr>
            <w:tcW w:w="1704" w:type="pct"/>
            <w:gridSpan w:val="2"/>
          </w:tcPr>
          <w:p w:rsidR="009916A6" w:rsidRPr="006D767C" w:rsidRDefault="009916A6" w:rsidP="0076659D">
            <w:pPr>
              <w:pStyle w:val="TableText"/>
              <w:spacing w:after="0"/>
              <w:jc w:val="center"/>
            </w:pPr>
            <w:r w:rsidRPr="006D767C">
              <w:t>0.59 (0.41, 0.83)</w:t>
            </w:r>
          </w:p>
        </w:tc>
      </w:tr>
      <w:tr w:rsidR="009916A6" w:rsidRPr="006D767C" w:rsidTr="009916A6">
        <w:tc>
          <w:tcPr>
            <w:tcW w:w="1592" w:type="pct"/>
          </w:tcPr>
          <w:p w:rsidR="009916A6" w:rsidRPr="006D767C" w:rsidRDefault="009916A6" w:rsidP="0076659D">
            <w:pPr>
              <w:pStyle w:val="TableText"/>
              <w:spacing w:after="0"/>
            </w:pPr>
            <w:r w:rsidRPr="006D767C">
              <w:t>p-value log rank</w:t>
            </w:r>
          </w:p>
        </w:tc>
        <w:tc>
          <w:tcPr>
            <w:tcW w:w="1704" w:type="pct"/>
            <w:gridSpan w:val="2"/>
          </w:tcPr>
          <w:p w:rsidR="009916A6" w:rsidRPr="006D767C" w:rsidRDefault="009916A6" w:rsidP="0076659D">
            <w:pPr>
              <w:pStyle w:val="TableText"/>
              <w:spacing w:after="0"/>
              <w:jc w:val="center"/>
            </w:pPr>
            <w:r w:rsidRPr="006D767C">
              <w:t>0.0102</w:t>
            </w:r>
          </w:p>
        </w:tc>
        <w:tc>
          <w:tcPr>
            <w:tcW w:w="1704" w:type="pct"/>
            <w:gridSpan w:val="2"/>
          </w:tcPr>
          <w:p w:rsidR="009916A6" w:rsidRPr="006D767C" w:rsidRDefault="009916A6" w:rsidP="0076659D">
            <w:pPr>
              <w:pStyle w:val="TableText"/>
              <w:spacing w:after="0"/>
              <w:jc w:val="center"/>
            </w:pPr>
            <w:r w:rsidRPr="006D767C">
              <w:t>0.003</w:t>
            </w:r>
          </w:p>
        </w:tc>
      </w:tr>
      <w:tr w:rsidR="009916A6" w:rsidRPr="006D767C" w:rsidTr="009916A6">
        <w:tc>
          <w:tcPr>
            <w:tcW w:w="5000" w:type="pct"/>
            <w:gridSpan w:val="5"/>
          </w:tcPr>
          <w:p w:rsidR="009916A6" w:rsidRPr="006D767C" w:rsidRDefault="008D7CF2" w:rsidP="0076659D">
            <w:pPr>
              <w:pStyle w:val="TableText"/>
              <w:spacing w:after="0"/>
              <w:jc w:val="left"/>
              <w:rPr>
                <w:b/>
              </w:rPr>
            </w:pPr>
            <w:r w:rsidRPr="006D767C">
              <w:rPr>
                <w:b/>
              </w:rPr>
              <w:t>TC0 and IC0 (&lt;1% expression in tumour and immune cells)</w:t>
            </w:r>
          </w:p>
        </w:tc>
      </w:tr>
      <w:tr w:rsidR="009916A6" w:rsidRPr="006D767C" w:rsidTr="009916A6">
        <w:tc>
          <w:tcPr>
            <w:tcW w:w="1592" w:type="pct"/>
          </w:tcPr>
          <w:p w:rsidR="009916A6" w:rsidRPr="006D767C" w:rsidRDefault="009916A6" w:rsidP="0076659D">
            <w:pPr>
              <w:pStyle w:val="TableText"/>
              <w:spacing w:after="0"/>
            </w:pPr>
            <w:r w:rsidRPr="006D767C">
              <w:t xml:space="preserve">N </w:t>
            </w:r>
          </w:p>
        </w:tc>
        <w:tc>
          <w:tcPr>
            <w:tcW w:w="852" w:type="pct"/>
          </w:tcPr>
          <w:p w:rsidR="009916A6" w:rsidRPr="006D767C" w:rsidRDefault="009916A6" w:rsidP="0076659D">
            <w:pPr>
              <w:pStyle w:val="TableText"/>
              <w:spacing w:after="0"/>
              <w:jc w:val="center"/>
            </w:pPr>
            <w:r w:rsidRPr="006C54F0">
              <w:t>180</w:t>
            </w:r>
          </w:p>
        </w:tc>
        <w:tc>
          <w:tcPr>
            <w:tcW w:w="852" w:type="pct"/>
          </w:tcPr>
          <w:p w:rsidR="009916A6" w:rsidRPr="006D767C" w:rsidRDefault="009916A6" w:rsidP="0076659D">
            <w:pPr>
              <w:pStyle w:val="TableText"/>
              <w:spacing w:after="0"/>
              <w:jc w:val="center"/>
            </w:pPr>
            <w:r w:rsidRPr="006C54F0">
              <w:t>199</w:t>
            </w:r>
          </w:p>
        </w:tc>
        <w:tc>
          <w:tcPr>
            <w:tcW w:w="852" w:type="pct"/>
          </w:tcPr>
          <w:p w:rsidR="009916A6" w:rsidRPr="006D767C" w:rsidRDefault="009916A6" w:rsidP="0076659D">
            <w:pPr>
              <w:pStyle w:val="TableText"/>
              <w:spacing w:after="0"/>
              <w:jc w:val="center"/>
            </w:pPr>
            <w:r w:rsidRPr="006C54F0">
              <w:t>51</w:t>
            </w:r>
          </w:p>
        </w:tc>
        <w:tc>
          <w:tcPr>
            <w:tcW w:w="852" w:type="pct"/>
          </w:tcPr>
          <w:p w:rsidR="009916A6" w:rsidRPr="006D767C" w:rsidRDefault="009916A6" w:rsidP="0076659D">
            <w:pPr>
              <w:pStyle w:val="TableText"/>
              <w:spacing w:after="0"/>
              <w:jc w:val="center"/>
            </w:pPr>
            <w:r w:rsidRPr="006C54F0">
              <w:t>41</w:t>
            </w:r>
          </w:p>
        </w:tc>
      </w:tr>
      <w:tr w:rsidR="009916A6" w:rsidRPr="006D767C" w:rsidTr="009916A6">
        <w:tc>
          <w:tcPr>
            <w:tcW w:w="1592" w:type="pct"/>
          </w:tcPr>
          <w:p w:rsidR="009916A6" w:rsidRPr="006D767C" w:rsidRDefault="009916A6" w:rsidP="0076659D">
            <w:pPr>
              <w:pStyle w:val="TableText"/>
              <w:spacing w:after="0"/>
            </w:pPr>
            <w:r w:rsidRPr="006D767C">
              <w:t>Patients with event</w:t>
            </w:r>
          </w:p>
        </w:tc>
        <w:tc>
          <w:tcPr>
            <w:tcW w:w="852" w:type="pct"/>
          </w:tcPr>
          <w:p w:rsidR="009916A6" w:rsidRPr="006D767C" w:rsidRDefault="009916A6" w:rsidP="0076659D">
            <w:pPr>
              <w:pStyle w:val="TableText"/>
              <w:spacing w:after="0"/>
              <w:jc w:val="center"/>
            </w:pPr>
            <w:r w:rsidRPr="006C54F0">
              <w:t>116</w:t>
            </w:r>
            <w:r w:rsidRPr="006D767C">
              <w:t xml:space="preserve"> (64.4%)</w:t>
            </w:r>
          </w:p>
        </w:tc>
        <w:tc>
          <w:tcPr>
            <w:tcW w:w="852" w:type="pct"/>
          </w:tcPr>
          <w:p w:rsidR="009916A6" w:rsidRPr="006D767C" w:rsidRDefault="009916A6" w:rsidP="0076659D">
            <w:pPr>
              <w:pStyle w:val="TableText"/>
              <w:spacing w:after="0"/>
              <w:jc w:val="center"/>
            </w:pPr>
            <w:r w:rsidRPr="006C54F0">
              <w:t xml:space="preserve">146 </w:t>
            </w:r>
            <w:r w:rsidRPr="006D767C">
              <w:t>(73.4%)</w:t>
            </w:r>
          </w:p>
        </w:tc>
        <w:tc>
          <w:tcPr>
            <w:tcW w:w="852" w:type="pct"/>
          </w:tcPr>
          <w:p w:rsidR="009916A6" w:rsidRPr="006D767C" w:rsidRDefault="009916A6" w:rsidP="0076659D">
            <w:pPr>
              <w:pStyle w:val="TableText"/>
              <w:spacing w:after="0"/>
              <w:jc w:val="center"/>
            </w:pPr>
            <w:r w:rsidRPr="006C54F0">
              <w:t>36</w:t>
            </w:r>
            <w:r w:rsidRPr="006D767C">
              <w:t xml:space="preserve"> (70.6%)</w:t>
            </w:r>
          </w:p>
        </w:tc>
        <w:tc>
          <w:tcPr>
            <w:tcW w:w="852" w:type="pct"/>
          </w:tcPr>
          <w:p w:rsidR="009916A6" w:rsidRPr="006D767C" w:rsidRDefault="009916A6" w:rsidP="0076659D">
            <w:pPr>
              <w:pStyle w:val="TableText"/>
              <w:spacing w:after="0"/>
              <w:jc w:val="center"/>
            </w:pPr>
            <w:r w:rsidRPr="006C54F0">
              <w:t>32</w:t>
            </w:r>
            <w:r w:rsidRPr="006D767C">
              <w:t xml:space="preserve"> (78.0%)</w:t>
            </w:r>
          </w:p>
        </w:tc>
      </w:tr>
      <w:tr w:rsidR="009916A6" w:rsidRPr="006D767C" w:rsidTr="009916A6">
        <w:tc>
          <w:tcPr>
            <w:tcW w:w="1592" w:type="pct"/>
          </w:tcPr>
          <w:p w:rsidR="009916A6" w:rsidRPr="006D767C" w:rsidRDefault="009916A6" w:rsidP="0076659D">
            <w:pPr>
              <w:pStyle w:val="TableText"/>
              <w:spacing w:after="0"/>
            </w:pPr>
            <w:r w:rsidRPr="006D767C">
              <w:t>Median OS (months); (95% CI)</w:t>
            </w:r>
          </w:p>
        </w:tc>
        <w:tc>
          <w:tcPr>
            <w:tcW w:w="852" w:type="pct"/>
          </w:tcPr>
          <w:p w:rsidR="009916A6" w:rsidRPr="006D767C" w:rsidRDefault="009916A6" w:rsidP="0076659D">
            <w:pPr>
              <w:pStyle w:val="TableText"/>
              <w:spacing w:after="0"/>
              <w:jc w:val="center"/>
            </w:pPr>
            <w:r w:rsidRPr="006D767C">
              <w:t>12.6 (9.6, 15.2)</w:t>
            </w:r>
          </w:p>
        </w:tc>
        <w:tc>
          <w:tcPr>
            <w:tcW w:w="852" w:type="pct"/>
          </w:tcPr>
          <w:p w:rsidR="009916A6" w:rsidRPr="006D767C" w:rsidRDefault="009916A6" w:rsidP="0076659D">
            <w:pPr>
              <w:pStyle w:val="TableText"/>
              <w:spacing w:after="0"/>
              <w:jc w:val="center"/>
            </w:pPr>
            <w:r w:rsidRPr="006D767C">
              <w:t>8.9 (7.7, 11.5)</w:t>
            </w:r>
          </w:p>
        </w:tc>
        <w:tc>
          <w:tcPr>
            <w:tcW w:w="852" w:type="pct"/>
          </w:tcPr>
          <w:p w:rsidR="009916A6" w:rsidRPr="006D767C" w:rsidRDefault="009916A6" w:rsidP="0076659D">
            <w:pPr>
              <w:pStyle w:val="TableText"/>
              <w:spacing w:after="0"/>
              <w:jc w:val="center"/>
            </w:pPr>
            <w:r w:rsidRPr="006D767C">
              <w:t>9.7 (6.7, 12.0)</w:t>
            </w:r>
          </w:p>
        </w:tc>
        <w:tc>
          <w:tcPr>
            <w:tcW w:w="852" w:type="pct"/>
          </w:tcPr>
          <w:p w:rsidR="009916A6" w:rsidRPr="006D767C" w:rsidRDefault="009916A6" w:rsidP="0076659D">
            <w:pPr>
              <w:pStyle w:val="TableText"/>
              <w:spacing w:after="0"/>
              <w:jc w:val="center"/>
            </w:pPr>
            <w:r w:rsidRPr="006D767C">
              <w:t>9.7 (8.6, 12.0)</w:t>
            </w:r>
          </w:p>
        </w:tc>
      </w:tr>
      <w:tr w:rsidR="009916A6" w:rsidRPr="006D767C" w:rsidTr="009916A6">
        <w:tc>
          <w:tcPr>
            <w:tcW w:w="1592" w:type="pct"/>
          </w:tcPr>
          <w:p w:rsidR="009916A6" w:rsidRPr="006D767C" w:rsidRDefault="009916A6" w:rsidP="0076659D">
            <w:pPr>
              <w:pStyle w:val="TableText"/>
              <w:spacing w:after="0"/>
            </w:pPr>
            <w:r w:rsidRPr="006D767C">
              <w:t>Unstratified HR (95 %CI)</w:t>
            </w:r>
          </w:p>
        </w:tc>
        <w:tc>
          <w:tcPr>
            <w:tcW w:w="1704" w:type="pct"/>
            <w:gridSpan w:val="2"/>
          </w:tcPr>
          <w:p w:rsidR="009916A6" w:rsidRPr="006D767C" w:rsidRDefault="009916A6" w:rsidP="0076659D">
            <w:pPr>
              <w:pStyle w:val="TableText"/>
              <w:spacing w:after="0"/>
              <w:jc w:val="center"/>
            </w:pPr>
            <w:r w:rsidRPr="006D767C">
              <w:t>0.75 (0.59, 0.96)</w:t>
            </w:r>
          </w:p>
        </w:tc>
        <w:tc>
          <w:tcPr>
            <w:tcW w:w="1704" w:type="pct"/>
            <w:gridSpan w:val="2"/>
          </w:tcPr>
          <w:p w:rsidR="009916A6" w:rsidRPr="006D767C" w:rsidRDefault="009916A6" w:rsidP="0076659D">
            <w:pPr>
              <w:pStyle w:val="TableText"/>
              <w:spacing w:after="0"/>
              <w:jc w:val="center"/>
            </w:pPr>
            <w:r w:rsidRPr="006D767C">
              <w:t>0.88 (0.55, 1.42)</w:t>
            </w:r>
          </w:p>
        </w:tc>
      </w:tr>
      <w:tr w:rsidR="009916A6" w:rsidRPr="006D767C" w:rsidTr="009916A6">
        <w:tc>
          <w:tcPr>
            <w:tcW w:w="1592" w:type="pct"/>
          </w:tcPr>
          <w:p w:rsidR="009916A6" w:rsidRPr="006D767C" w:rsidRDefault="009916A6" w:rsidP="0076659D">
            <w:pPr>
              <w:pStyle w:val="TableText"/>
              <w:spacing w:after="0"/>
            </w:pPr>
            <w:r w:rsidRPr="006D767C">
              <w:t>p-value log rank</w:t>
            </w:r>
          </w:p>
        </w:tc>
        <w:tc>
          <w:tcPr>
            <w:tcW w:w="1704" w:type="pct"/>
            <w:gridSpan w:val="2"/>
          </w:tcPr>
          <w:p w:rsidR="009916A6" w:rsidRPr="006D767C" w:rsidRDefault="009916A6" w:rsidP="0076659D">
            <w:pPr>
              <w:pStyle w:val="TableText"/>
              <w:spacing w:after="0"/>
              <w:jc w:val="center"/>
            </w:pPr>
            <w:r w:rsidRPr="006D767C">
              <w:t>0.0215</w:t>
            </w:r>
          </w:p>
        </w:tc>
        <w:tc>
          <w:tcPr>
            <w:tcW w:w="1704" w:type="pct"/>
            <w:gridSpan w:val="2"/>
          </w:tcPr>
          <w:p w:rsidR="009916A6" w:rsidRPr="006D767C" w:rsidRDefault="009916A6" w:rsidP="0076659D">
            <w:pPr>
              <w:pStyle w:val="TableText"/>
              <w:spacing w:after="0"/>
              <w:jc w:val="center"/>
            </w:pPr>
            <w:r w:rsidRPr="006D767C">
              <w:t>0.601</w:t>
            </w:r>
          </w:p>
        </w:tc>
      </w:tr>
    </w:tbl>
    <w:p w:rsidR="004B7DFA" w:rsidRPr="006D767C" w:rsidRDefault="004B7DFA" w:rsidP="004B7DFA">
      <w:pPr>
        <w:pStyle w:val="TableFooter"/>
      </w:pPr>
      <w:r w:rsidRPr="006D767C">
        <w:t>ATZ</w:t>
      </w:r>
      <w:r w:rsidR="00B1543B" w:rsidRPr="006D767C">
        <w:t xml:space="preserve"> </w:t>
      </w:r>
      <w:r w:rsidR="00230315" w:rsidRPr="006D767C">
        <w:t>=</w:t>
      </w:r>
      <w:r w:rsidR="00B1543B" w:rsidRPr="006D767C">
        <w:t xml:space="preserve"> </w:t>
      </w:r>
      <w:r w:rsidRPr="006D767C">
        <w:t>atezolizumab; DOC</w:t>
      </w:r>
      <w:r w:rsidR="00B1543B" w:rsidRPr="006D767C">
        <w:t xml:space="preserve"> </w:t>
      </w:r>
      <w:r w:rsidRPr="006D767C">
        <w:t>=</w:t>
      </w:r>
      <w:r w:rsidR="00B1543B" w:rsidRPr="006D767C">
        <w:t xml:space="preserve"> </w:t>
      </w:r>
      <w:r w:rsidRPr="006D767C">
        <w:t xml:space="preserve">docetaxel; </w:t>
      </w:r>
      <w:r w:rsidR="00230315" w:rsidRPr="006D767C">
        <w:t>HR</w:t>
      </w:r>
      <w:r w:rsidR="00B1543B" w:rsidRPr="006D767C">
        <w:t xml:space="preserve"> </w:t>
      </w:r>
      <w:r w:rsidR="00230315" w:rsidRPr="006D767C">
        <w:t>=</w:t>
      </w:r>
      <w:r w:rsidR="00B1543B" w:rsidRPr="006D767C">
        <w:t xml:space="preserve"> </w:t>
      </w:r>
      <w:r w:rsidR="00230315" w:rsidRPr="006D767C">
        <w:t>hazard ratio; OS</w:t>
      </w:r>
      <w:r w:rsidR="00B1543B" w:rsidRPr="006D767C">
        <w:t xml:space="preserve"> </w:t>
      </w:r>
      <w:r w:rsidRPr="006D767C">
        <w:t>=</w:t>
      </w:r>
      <w:r w:rsidR="00B1543B" w:rsidRPr="006D767C">
        <w:t xml:space="preserve"> </w:t>
      </w:r>
      <w:r w:rsidRPr="006D767C">
        <w:t>overall survival</w:t>
      </w:r>
      <w:r w:rsidR="00230315" w:rsidRPr="006D767C">
        <w:t>.</w:t>
      </w:r>
    </w:p>
    <w:p w:rsidR="00B1543B" w:rsidRPr="006D767C" w:rsidRDefault="003B7734" w:rsidP="004B7DFA">
      <w:pPr>
        <w:pStyle w:val="TableFooter"/>
      </w:pPr>
      <w:r w:rsidRPr="006D767C">
        <w:t>IC0 = Absence of any discernible PD-L1 staining OR presence of discernible PD-L1 staining of any intensity in ICs covering &lt;1% of tumor area occupied by tumor cells, associated intratumoral, and contiguous per</w:t>
      </w:r>
      <w:r w:rsidR="00C64B0E" w:rsidRPr="006D767C">
        <w:t>i-tumoral desmoplastic stroma</w:t>
      </w:r>
      <w:r w:rsidR="00B1543B" w:rsidRPr="006D767C">
        <w:t>.</w:t>
      </w:r>
    </w:p>
    <w:p w:rsidR="003B7734" w:rsidRPr="006D767C" w:rsidRDefault="003B7734" w:rsidP="004B7DFA">
      <w:pPr>
        <w:pStyle w:val="TableFooter"/>
      </w:pPr>
      <w:r w:rsidRPr="006D767C">
        <w:t>IC1 = Presence of discernible PD-L1 staining of any intensity in ICs covering between ≥1% and &lt;5% of tumor area occupied by tumor cells, associated intratumoral, and contiguous p</w:t>
      </w:r>
      <w:r w:rsidR="00B1543B" w:rsidRPr="006D767C">
        <w:t>eri-tumoral desmoplastic stroma.</w:t>
      </w:r>
    </w:p>
    <w:p w:rsidR="003B7734" w:rsidRPr="006D767C" w:rsidRDefault="003B7734" w:rsidP="004B7DFA">
      <w:pPr>
        <w:pStyle w:val="TableFooter"/>
      </w:pPr>
      <w:r w:rsidRPr="006D767C">
        <w:t>IC2 = Presence of discernible PD-L1 staining of any intensity in ICs covering between ≥5% and &lt;10% of tumor area occupied by tumor cells, associated intratumoral, and contiguous p</w:t>
      </w:r>
      <w:r w:rsidR="00B1543B" w:rsidRPr="006D767C">
        <w:t>eri-tumoral desmoplastic stroma.</w:t>
      </w:r>
    </w:p>
    <w:p w:rsidR="003B7734" w:rsidRPr="006D767C" w:rsidRDefault="003B7734" w:rsidP="004B7DFA">
      <w:pPr>
        <w:pStyle w:val="TableFooter"/>
      </w:pPr>
      <w:r w:rsidRPr="006D767C">
        <w:t>IC3 = Presence of discernible PD-L1 staining of any intensity in ICs covering ≥10% of tumor area occupied by tumor cells, associated intratumoral, and contiguous peri-tumoral desmoplastic stroma</w:t>
      </w:r>
      <w:r w:rsidR="00B1543B" w:rsidRPr="006D767C">
        <w:t>.</w:t>
      </w:r>
    </w:p>
    <w:p w:rsidR="004B7DFA" w:rsidRPr="006D767C" w:rsidRDefault="004B7DFA" w:rsidP="004B7DFA">
      <w:pPr>
        <w:pStyle w:val="TableFooter"/>
      </w:pPr>
      <w:r w:rsidRPr="006D767C">
        <w:t>TC0</w:t>
      </w:r>
      <w:r w:rsidR="00B1543B" w:rsidRPr="006D767C">
        <w:t xml:space="preserve"> </w:t>
      </w:r>
      <w:r w:rsidRPr="006D767C">
        <w:t>= Absence of any discernible PD-L1 staining OR presence of discernible PD-L1 stain</w:t>
      </w:r>
      <w:r w:rsidR="00B1543B" w:rsidRPr="006D767C">
        <w:t>ing of any intensity in &lt;1% TCs.</w:t>
      </w:r>
    </w:p>
    <w:p w:rsidR="004B7DFA" w:rsidRPr="006D767C" w:rsidRDefault="004B7DFA" w:rsidP="004B7DFA">
      <w:pPr>
        <w:pStyle w:val="TableFooter"/>
      </w:pPr>
      <w:r w:rsidRPr="006D767C">
        <w:t>TC1</w:t>
      </w:r>
      <w:r w:rsidR="00B1543B" w:rsidRPr="006D767C">
        <w:t xml:space="preserve"> </w:t>
      </w:r>
      <w:r w:rsidRPr="006D767C">
        <w:t>=</w:t>
      </w:r>
      <w:r w:rsidR="00B1543B" w:rsidRPr="006D767C">
        <w:t xml:space="preserve"> </w:t>
      </w:r>
      <w:r w:rsidRPr="006D767C">
        <w:t>Presence of discernible PD-L1 staining of any intensity in ≥1% an</w:t>
      </w:r>
      <w:r w:rsidR="00B1543B" w:rsidRPr="006D767C">
        <w:t>d ≤5% TCs.</w:t>
      </w:r>
    </w:p>
    <w:p w:rsidR="004B7DFA" w:rsidRPr="006D767C" w:rsidRDefault="004B7DFA" w:rsidP="004B7DFA">
      <w:pPr>
        <w:pStyle w:val="TableFooter"/>
      </w:pPr>
      <w:r w:rsidRPr="006D767C">
        <w:t>TC2</w:t>
      </w:r>
      <w:r w:rsidR="00B1543B" w:rsidRPr="006D767C">
        <w:t xml:space="preserve"> </w:t>
      </w:r>
      <w:r w:rsidRPr="006D767C">
        <w:t>= Presence of discernible PD-L1 stainin</w:t>
      </w:r>
      <w:r w:rsidR="00B1543B" w:rsidRPr="006D767C">
        <w:t>g of any intensity ≥5% and &lt;50%.</w:t>
      </w:r>
    </w:p>
    <w:p w:rsidR="004B7DFA" w:rsidRPr="006D767C" w:rsidRDefault="004B7DFA" w:rsidP="004B7DFA">
      <w:pPr>
        <w:pStyle w:val="TableFooter"/>
      </w:pPr>
      <w:r w:rsidRPr="006D767C">
        <w:t>TC3</w:t>
      </w:r>
      <w:r w:rsidR="00B1543B" w:rsidRPr="006D767C">
        <w:t xml:space="preserve"> </w:t>
      </w:r>
      <w:r w:rsidRPr="006D767C">
        <w:t>=</w:t>
      </w:r>
      <w:r w:rsidR="00B1543B" w:rsidRPr="006D767C">
        <w:t xml:space="preserve"> </w:t>
      </w:r>
      <w:r w:rsidRPr="006D767C">
        <w:t>Presence of discernible PD-L1 staining of any intensity in ≥50% TCs.</w:t>
      </w:r>
    </w:p>
    <w:p w:rsidR="009916A6" w:rsidRPr="006D767C" w:rsidRDefault="008D7CF2" w:rsidP="00215DD2">
      <w:pPr>
        <w:pStyle w:val="TableFooter"/>
      </w:pPr>
      <w:r w:rsidRPr="006D767C">
        <w:t>Source: Table 2.6.9 and Table 2.6.14, Section 2 of the submission</w:t>
      </w:r>
      <w:r w:rsidR="00E55C7B" w:rsidRPr="006D767C">
        <w:t>.</w:t>
      </w:r>
    </w:p>
    <w:p w:rsidR="0089504C" w:rsidRPr="006D767C" w:rsidRDefault="0089504C" w:rsidP="002D73C8">
      <w:pPr>
        <w:numPr>
          <w:ilvl w:val="1"/>
          <w:numId w:val="1"/>
        </w:numPr>
        <w:spacing w:before="0" w:after="120"/>
      </w:pPr>
      <w:r w:rsidRPr="006D767C">
        <w:t xml:space="preserve">Results of the indirect comparison in terms of OS (time to event data) are provided below. </w:t>
      </w:r>
      <w:r w:rsidRPr="006D767C">
        <w:rPr>
          <w:lang w:eastAsia="zh-CN"/>
        </w:rPr>
        <w:t xml:space="preserve">The results of this analysis should be interpreted with caution </w:t>
      </w:r>
      <w:r w:rsidR="0001739D" w:rsidRPr="006D767C">
        <w:rPr>
          <w:lang w:eastAsia="zh-CN"/>
        </w:rPr>
        <w:t>because</w:t>
      </w:r>
      <w:r w:rsidRPr="006D767C">
        <w:rPr>
          <w:lang w:eastAsia="zh-CN"/>
        </w:rPr>
        <w:t xml:space="preserve"> the proportional hazards assumption did not hold for the outcome of OS in CHECKMATE 057.</w:t>
      </w:r>
      <w:r w:rsidR="00230F1B" w:rsidRPr="006D767C">
        <w:t xml:space="preserve"> </w:t>
      </w:r>
      <w:r w:rsidR="00230F1B" w:rsidRPr="006D767C">
        <w:rPr>
          <w:lang w:eastAsia="zh-CN"/>
        </w:rPr>
        <w:t>It was unclear whether this was the case with atezolizumab trials as well, as the submission did not provide a formal analysis of the proportional hazards assumption.</w:t>
      </w:r>
    </w:p>
    <w:p w:rsidR="0089504C" w:rsidRPr="006D767C" w:rsidRDefault="004D4E2C" w:rsidP="0089504C">
      <w:pPr>
        <w:keepNext/>
        <w:spacing w:before="0" w:after="60"/>
        <w:jc w:val="left"/>
        <w:rPr>
          <w:rFonts w:ascii="Arial Narrow" w:hAnsi="Arial Narrow"/>
          <w:b/>
          <w:sz w:val="20"/>
          <w:lang w:eastAsia="zh-CN"/>
        </w:rPr>
      </w:pPr>
      <w:r w:rsidRPr="006D767C">
        <w:rPr>
          <w:rFonts w:ascii="Arial Narrow" w:hAnsi="Arial Narrow"/>
          <w:b/>
          <w:sz w:val="20"/>
          <w:lang w:eastAsia="zh-CN"/>
        </w:rPr>
        <w:t xml:space="preserve">Table </w:t>
      </w:r>
      <w:r w:rsidR="008D7CF2" w:rsidRPr="006D767C">
        <w:rPr>
          <w:rFonts w:ascii="Arial Narrow" w:hAnsi="Arial Narrow"/>
          <w:b/>
          <w:sz w:val="20"/>
          <w:lang w:eastAsia="zh-CN"/>
        </w:rPr>
        <w:t>8</w:t>
      </w:r>
      <w:r w:rsidR="0089504C" w:rsidRPr="006D767C">
        <w:rPr>
          <w:rFonts w:ascii="Arial Narrow" w:hAnsi="Arial Narrow"/>
          <w:b/>
          <w:sz w:val="20"/>
          <w:lang w:eastAsia="zh-CN"/>
        </w:rPr>
        <w:t>: Indirect comparison of atezolizumab with nivolumab; overall survival (time to event)</w:t>
      </w:r>
    </w:p>
    <w:tbl>
      <w:tblPr>
        <w:tblStyle w:val="TableGrid13"/>
        <w:tblW w:w="0" w:type="auto"/>
        <w:tblLook w:val="04A0" w:firstRow="1" w:lastRow="0" w:firstColumn="1" w:lastColumn="0" w:noHBand="0" w:noVBand="1"/>
        <w:tblCaption w:val="Table 8: Indirect comparison of atezolizumab with nivolumab; overall survival (time to event)"/>
      </w:tblPr>
      <w:tblGrid>
        <w:gridCol w:w="4702"/>
        <w:gridCol w:w="1386"/>
        <w:gridCol w:w="1663"/>
        <w:gridCol w:w="1491"/>
      </w:tblGrid>
      <w:tr w:rsidR="0089504C" w:rsidRPr="006D767C" w:rsidTr="00042C0C">
        <w:trPr>
          <w:trHeight w:val="300"/>
          <w:tblHeader/>
        </w:trPr>
        <w:tc>
          <w:tcPr>
            <w:tcW w:w="4702" w:type="dxa"/>
            <w:vMerge w:val="restart"/>
            <w:noWrap/>
            <w:hideMark/>
          </w:tcPr>
          <w:p w:rsidR="0089504C" w:rsidRPr="006D767C" w:rsidRDefault="0089504C" w:rsidP="0089504C">
            <w:pPr>
              <w:keepNext/>
              <w:spacing w:before="40" w:after="40"/>
              <w:jc w:val="left"/>
              <w:rPr>
                <w:rFonts w:ascii="Arial Narrow" w:hAnsi="Arial Narrow"/>
                <w:b/>
                <w:sz w:val="20"/>
              </w:rPr>
            </w:pPr>
            <w:r w:rsidRPr="006D767C">
              <w:rPr>
                <w:rFonts w:ascii="Arial Narrow" w:hAnsi="Arial Narrow"/>
                <w:b/>
                <w:sz w:val="20"/>
              </w:rPr>
              <w:t>Dataset</w:t>
            </w:r>
          </w:p>
        </w:tc>
        <w:tc>
          <w:tcPr>
            <w:tcW w:w="4540" w:type="dxa"/>
            <w:gridSpan w:val="3"/>
            <w:noWrap/>
            <w:hideMark/>
          </w:tcPr>
          <w:p w:rsidR="0089504C" w:rsidRPr="006D767C" w:rsidRDefault="0089504C" w:rsidP="00230315">
            <w:pPr>
              <w:keepNext/>
              <w:spacing w:before="40" w:after="40"/>
              <w:jc w:val="center"/>
              <w:rPr>
                <w:rFonts w:ascii="Arial Narrow" w:hAnsi="Arial Narrow"/>
                <w:b/>
                <w:sz w:val="20"/>
              </w:rPr>
            </w:pPr>
            <w:r w:rsidRPr="006D767C">
              <w:rPr>
                <w:rFonts w:ascii="Arial Narrow" w:hAnsi="Arial Narrow"/>
                <w:b/>
                <w:sz w:val="20"/>
              </w:rPr>
              <w:t>O</w:t>
            </w:r>
            <w:r w:rsidR="00230315" w:rsidRPr="006D767C">
              <w:rPr>
                <w:rFonts w:ascii="Arial Narrow" w:hAnsi="Arial Narrow"/>
                <w:b/>
                <w:sz w:val="20"/>
              </w:rPr>
              <w:t>verall survival</w:t>
            </w:r>
            <w:r w:rsidRPr="006D767C">
              <w:rPr>
                <w:rFonts w:ascii="Arial Narrow" w:hAnsi="Arial Narrow"/>
                <w:b/>
                <w:sz w:val="20"/>
              </w:rPr>
              <w:t xml:space="preserve"> (time to event)</w:t>
            </w:r>
          </w:p>
        </w:tc>
      </w:tr>
      <w:tr w:rsidR="0089504C" w:rsidRPr="006D767C" w:rsidTr="00042C0C">
        <w:trPr>
          <w:trHeight w:val="300"/>
          <w:tblHeader/>
        </w:trPr>
        <w:tc>
          <w:tcPr>
            <w:tcW w:w="4702" w:type="dxa"/>
            <w:vMerge/>
            <w:hideMark/>
          </w:tcPr>
          <w:p w:rsidR="0089504C" w:rsidRPr="006D767C" w:rsidRDefault="0089504C" w:rsidP="0089504C">
            <w:pPr>
              <w:keepNext/>
              <w:spacing w:before="40" w:after="40"/>
              <w:jc w:val="left"/>
              <w:rPr>
                <w:rFonts w:ascii="Arial Narrow" w:hAnsi="Arial Narrow"/>
                <w:b/>
                <w:sz w:val="20"/>
              </w:rPr>
            </w:pPr>
          </w:p>
        </w:tc>
        <w:tc>
          <w:tcPr>
            <w:tcW w:w="1386" w:type="dxa"/>
            <w:noWrap/>
            <w:hideMark/>
          </w:tcPr>
          <w:p w:rsidR="0089504C" w:rsidRPr="006D767C" w:rsidRDefault="0089504C" w:rsidP="00B1543B">
            <w:pPr>
              <w:keepNext/>
              <w:spacing w:before="40" w:after="40"/>
              <w:jc w:val="center"/>
              <w:rPr>
                <w:rFonts w:ascii="Arial Narrow" w:hAnsi="Arial Narrow"/>
                <w:b/>
                <w:sz w:val="20"/>
              </w:rPr>
            </w:pPr>
            <w:r w:rsidRPr="006D767C">
              <w:rPr>
                <w:rFonts w:ascii="Arial Narrow" w:hAnsi="Arial Narrow"/>
                <w:b/>
                <w:sz w:val="20"/>
              </w:rPr>
              <w:t>H</w:t>
            </w:r>
            <w:r w:rsidR="00B1543B" w:rsidRPr="006D767C">
              <w:rPr>
                <w:rFonts w:ascii="Arial Narrow" w:hAnsi="Arial Narrow"/>
                <w:b/>
                <w:sz w:val="20"/>
              </w:rPr>
              <w:t>azard ratio</w:t>
            </w:r>
          </w:p>
        </w:tc>
        <w:tc>
          <w:tcPr>
            <w:tcW w:w="1663" w:type="dxa"/>
            <w:noWrap/>
            <w:hideMark/>
          </w:tcPr>
          <w:p w:rsidR="0089504C" w:rsidRPr="006D767C" w:rsidRDefault="0089504C" w:rsidP="0089504C">
            <w:pPr>
              <w:keepNext/>
              <w:spacing w:before="40" w:after="40"/>
              <w:jc w:val="center"/>
              <w:rPr>
                <w:rFonts w:ascii="Arial Narrow" w:hAnsi="Arial Narrow"/>
                <w:b/>
                <w:sz w:val="20"/>
              </w:rPr>
            </w:pPr>
            <w:r w:rsidRPr="006D767C">
              <w:rPr>
                <w:rFonts w:ascii="Arial Narrow" w:hAnsi="Arial Narrow"/>
                <w:b/>
                <w:sz w:val="20"/>
              </w:rPr>
              <w:t>95% CI LL</w:t>
            </w:r>
          </w:p>
        </w:tc>
        <w:tc>
          <w:tcPr>
            <w:tcW w:w="1491" w:type="dxa"/>
            <w:noWrap/>
            <w:hideMark/>
          </w:tcPr>
          <w:p w:rsidR="0089504C" w:rsidRPr="006D767C" w:rsidRDefault="0089504C" w:rsidP="0089504C">
            <w:pPr>
              <w:keepNext/>
              <w:spacing w:before="40" w:after="40"/>
              <w:jc w:val="center"/>
              <w:rPr>
                <w:rFonts w:ascii="Arial Narrow" w:hAnsi="Arial Narrow"/>
                <w:b/>
                <w:sz w:val="20"/>
              </w:rPr>
            </w:pPr>
            <w:r w:rsidRPr="006D767C">
              <w:rPr>
                <w:rFonts w:ascii="Arial Narrow" w:hAnsi="Arial Narrow"/>
                <w:b/>
                <w:sz w:val="20"/>
              </w:rPr>
              <w:t>95% CI UL</w:t>
            </w:r>
          </w:p>
        </w:tc>
      </w:tr>
      <w:tr w:rsidR="0089504C" w:rsidRPr="006D767C" w:rsidTr="00D8324B">
        <w:trPr>
          <w:trHeight w:val="300"/>
        </w:trPr>
        <w:tc>
          <w:tcPr>
            <w:tcW w:w="4702" w:type="dxa"/>
            <w:noWrap/>
            <w:hideMark/>
          </w:tcPr>
          <w:p w:rsidR="0089504C" w:rsidRPr="006D767C" w:rsidRDefault="0089504C" w:rsidP="0089504C">
            <w:pPr>
              <w:keepNext/>
              <w:spacing w:before="40" w:after="40"/>
              <w:jc w:val="left"/>
              <w:rPr>
                <w:rFonts w:ascii="Arial Narrow" w:hAnsi="Arial Narrow"/>
                <w:b/>
                <w:sz w:val="20"/>
              </w:rPr>
            </w:pPr>
            <w:r w:rsidRPr="006D767C">
              <w:rPr>
                <w:rFonts w:ascii="Arial Narrow" w:hAnsi="Arial Narrow"/>
                <w:b/>
                <w:sz w:val="20"/>
              </w:rPr>
              <w:t>Trial ID</w:t>
            </w:r>
          </w:p>
        </w:tc>
        <w:tc>
          <w:tcPr>
            <w:tcW w:w="4540" w:type="dxa"/>
            <w:gridSpan w:val="3"/>
            <w:noWrap/>
            <w:hideMark/>
          </w:tcPr>
          <w:p w:rsidR="0089504C" w:rsidRPr="006D767C" w:rsidRDefault="0089504C" w:rsidP="0089504C">
            <w:pPr>
              <w:keepNext/>
              <w:spacing w:before="40" w:after="40"/>
              <w:jc w:val="center"/>
              <w:rPr>
                <w:rFonts w:ascii="Arial Narrow" w:hAnsi="Arial Narrow"/>
                <w:b/>
                <w:sz w:val="20"/>
              </w:rPr>
            </w:pPr>
            <w:r w:rsidRPr="006D767C">
              <w:rPr>
                <w:rFonts w:ascii="Arial Narrow" w:hAnsi="Arial Narrow"/>
                <w:b/>
                <w:sz w:val="20"/>
              </w:rPr>
              <w:t>K</w:t>
            </w:r>
            <w:r w:rsidR="00230315" w:rsidRPr="006D767C">
              <w:rPr>
                <w:rFonts w:ascii="Arial Narrow" w:hAnsi="Arial Narrow"/>
                <w:b/>
                <w:sz w:val="20"/>
              </w:rPr>
              <w:t>aplan-</w:t>
            </w:r>
            <w:r w:rsidRPr="006D767C">
              <w:rPr>
                <w:rFonts w:ascii="Arial Narrow" w:hAnsi="Arial Narrow"/>
                <w:b/>
                <w:sz w:val="20"/>
              </w:rPr>
              <w:t>M</w:t>
            </w:r>
            <w:r w:rsidR="00230315" w:rsidRPr="006D767C">
              <w:rPr>
                <w:rFonts w:ascii="Arial Narrow" w:hAnsi="Arial Narrow"/>
                <w:b/>
                <w:sz w:val="20"/>
              </w:rPr>
              <w:t>eier</w:t>
            </w:r>
            <w:r w:rsidRPr="006D767C">
              <w:rPr>
                <w:rFonts w:ascii="Arial Narrow" w:hAnsi="Arial Narrow"/>
                <w:b/>
                <w:sz w:val="20"/>
              </w:rPr>
              <w:t xml:space="preserve"> methods, as reported/published</w:t>
            </w:r>
          </w:p>
        </w:tc>
      </w:tr>
      <w:tr w:rsidR="0089504C" w:rsidRPr="006D767C" w:rsidTr="00D8324B">
        <w:trPr>
          <w:trHeight w:val="300"/>
        </w:trPr>
        <w:tc>
          <w:tcPr>
            <w:tcW w:w="9242" w:type="dxa"/>
            <w:gridSpan w:val="4"/>
            <w:noWrap/>
            <w:hideMark/>
          </w:tcPr>
          <w:p w:rsidR="0089504C" w:rsidRPr="006D767C" w:rsidRDefault="0089504C" w:rsidP="00252F20">
            <w:pPr>
              <w:keepNext/>
              <w:spacing w:before="40" w:after="40"/>
              <w:jc w:val="left"/>
              <w:rPr>
                <w:rFonts w:ascii="Arial Narrow" w:hAnsi="Arial Narrow"/>
                <w:sz w:val="20"/>
              </w:rPr>
            </w:pPr>
            <w:r w:rsidRPr="006D767C">
              <w:rPr>
                <w:rFonts w:ascii="Arial Narrow" w:hAnsi="Arial Narrow"/>
                <w:sz w:val="20"/>
              </w:rPr>
              <w:t xml:space="preserve">Atezolizumab vs </w:t>
            </w:r>
            <w:r w:rsidR="00252F20" w:rsidRPr="006D767C">
              <w:rPr>
                <w:rFonts w:ascii="Arial Narrow" w:hAnsi="Arial Narrow"/>
                <w:sz w:val="20"/>
              </w:rPr>
              <w:t>d</w:t>
            </w:r>
            <w:r w:rsidRPr="006D767C">
              <w:rPr>
                <w:rFonts w:ascii="Arial Narrow" w:hAnsi="Arial Narrow"/>
                <w:sz w:val="20"/>
              </w:rPr>
              <w:t>ocetaxel</w:t>
            </w:r>
          </w:p>
        </w:tc>
      </w:tr>
      <w:tr w:rsidR="0089504C" w:rsidRPr="006D767C" w:rsidTr="00D8324B">
        <w:trPr>
          <w:trHeight w:val="285"/>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OAK</w:t>
            </w:r>
          </w:p>
        </w:tc>
        <w:tc>
          <w:tcPr>
            <w:tcW w:w="1386"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0.73</w:t>
            </w:r>
          </w:p>
        </w:tc>
        <w:tc>
          <w:tcPr>
            <w:tcW w:w="1663"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0.62</w:t>
            </w:r>
          </w:p>
        </w:tc>
        <w:tc>
          <w:tcPr>
            <w:tcW w:w="1491"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0.86</w:t>
            </w:r>
          </w:p>
        </w:tc>
      </w:tr>
      <w:tr w:rsidR="0089504C" w:rsidRPr="006D767C" w:rsidTr="00D8324B">
        <w:trPr>
          <w:trHeight w:val="285"/>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POPLAR</w:t>
            </w:r>
          </w:p>
        </w:tc>
        <w:tc>
          <w:tcPr>
            <w:tcW w:w="1386"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0.69</w:t>
            </w:r>
          </w:p>
        </w:tc>
        <w:tc>
          <w:tcPr>
            <w:tcW w:w="1663"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0.52</w:t>
            </w:r>
          </w:p>
        </w:tc>
        <w:tc>
          <w:tcPr>
            <w:tcW w:w="1491"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0.92</w:t>
            </w:r>
          </w:p>
        </w:tc>
      </w:tr>
      <w:tr w:rsidR="0089504C" w:rsidRPr="006D767C" w:rsidTr="00D8324B">
        <w:trPr>
          <w:trHeight w:val="300"/>
        </w:trPr>
        <w:tc>
          <w:tcPr>
            <w:tcW w:w="9242" w:type="dxa"/>
            <w:gridSpan w:val="4"/>
            <w:noWrap/>
            <w:hideMark/>
          </w:tcPr>
          <w:p w:rsidR="0089504C" w:rsidRPr="006D767C" w:rsidRDefault="0089504C" w:rsidP="00252F20">
            <w:pPr>
              <w:keepNext/>
              <w:spacing w:before="40" w:after="40"/>
              <w:jc w:val="left"/>
              <w:rPr>
                <w:rFonts w:ascii="Arial Narrow" w:hAnsi="Arial Narrow"/>
                <w:sz w:val="20"/>
              </w:rPr>
            </w:pPr>
            <w:r w:rsidRPr="006D767C">
              <w:rPr>
                <w:rFonts w:ascii="Arial Narrow" w:hAnsi="Arial Narrow"/>
                <w:sz w:val="20"/>
              </w:rPr>
              <w:t xml:space="preserve">Nivolumab vs </w:t>
            </w:r>
            <w:r w:rsidR="00252F20" w:rsidRPr="006D767C">
              <w:rPr>
                <w:rFonts w:ascii="Arial Narrow" w:hAnsi="Arial Narrow"/>
                <w:sz w:val="20"/>
              </w:rPr>
              <w:t>d</w:t>
            </w:r>
            <w:r w:rsidRPr="006D767C">
              <w:rPr>
                <w:rFonts w:ascii="Arial Narrow" w:hAnsi="Arial Narrow"/>
                <w:sz w:val="20"/>
              </w:rPr>
              <w:t>ocetaxel</w:t>
            </w:r>
          </w:p>
        </w:tc>
      </w:tr>
      <w:tr w:rsidR="0089504C" w:rsidRPr="006D767C" w:rsidTr="00D8324B">
        <w:trPr>
          <w:trHeight w:val="285"/>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CHECKMATE 017</w:t>
            </w:r>
          </w:p>
        </w:tc>
        <w:tc>
          <w:tcPr>
            <w:tcW w:w="1386"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0.62</w:t>
            </w:r>
          </w:p>
        </w:tc>
        <w:tc>
          <w:tcPr>
            <w:tcW w:w="1663"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0.48</w:t>
            </w:r>
          </w:p>
        </w:tc>
        <w:tc>
          <w:tcPr>
            <w:tcW w:w="1491"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0.81</w:t>
            </w:r>
          </w:p>
        </w:tc>
      </w:tr>
      <w:tr w:rsidR="0089504C" w:rsidRPr="006D767C" w:rsidTr="00D8324B">
        <w:trPr>
          <w:trHeight w:val="300"/>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CHECKMATE 057</w:t>
            </w:r>
          </w:p>
        </w:tc>
        <w:tc>
          <w:tcPr>
            <w:tcW w:w="1386"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0.72</w:t>
            </w:r>
          </w:p>
        </w:tc>
        <w:tc>
          <w:tcPr>
            <w:tcW w:w="1663"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0.60</w:t>
            </w:r>
          </w:p>
        </w:tc>
        <w:tc>
          <w:tcPr>
            <w:tcW w:w="1491"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0.88</w:t>
            </w:r>
          </w:p>
        </w:tc>
      </w:tr>
      <w:tr w:rsidR="0089504C" w:rsidRPr="006D767C" w:rsidTr="00D8324B">
        <w:trPr>
          <w:trHeight w:val="300"/>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CHECKMATE 017 (24 months)</w:t>
            </w:r>
          </w:p>
        </w:tc>
        <w:tc>
          <w:tcPr>
            <w:tcW w:w="1386"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0.62</w:t>
            </w:r>
          </w:p>
        </w:tc>
        <w:tc>
          <w:tcPr>
            <w:tcW w:w="1663"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0.47</w:t>
            </w:r>
          </w:p>
        </w:tc>
        <w:tc>
          <w:tcPr>
            <w:tcW w:w="1491"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0.80</w:t>
            </w:r>
          </w:p>
        </w:tc>
      </w:tr>
      <w:tr w:rsidR="0089504C" w:rsidRPr="006D767C" w:rsidTr="00D8324B">
        <w:trPr>
          <w:trHeight w:val="300"/>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CHECKMATE 057 (24 months)</w:t>
            </w:r>
          </w:p>
        </w:tc>
        <w:tc>
          <w:tcPr>
            <w:tcW w:w="1386"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0.75</w:t>
            </w:r>
          </w:p>
        </w:tc>
        <w:tc>
          <w:tcPr>
            <w:tcW w:w="1663"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0.63</w:t>
            </w:r>
          </w:p>
        </w:tc>
        <w:tc>
          <w:tcPr>
            <w:tcW w:w="1491" w:type="dxa"/>
            <w:noWrap/>
            <w:hideMark/>
          </w:tcPr>
          <w:p w:rsidR="0089504C" w:rsidRPr="006D767C" w:rsidRDefault="0089504C" w:rsidP="0089504C">
            <w:pPr>
              <w:keepNext/>
              <w:spacing w:before="40" w:after="40"/>
              <w:jc w:val="center"/>
              <w:rPr>
                <w:rFonts w:ascii="Arial Narrow" w:hAnsi="Arial Narrow"/>
                <w:sz w:val="20"/>
              </w:rPr>
            </w:pPr>
            <w:r w:rsidRPr="006D767C">
              <w:rPr>
                <w:rFonts w:ascii="Arial Narrow" w:hAnsi="Arial Narrow"/>
                <w:sz w:val="20"/>
              </w:rPr>
              <w:t>0.91</w:t>
            </w:r>
          </w:p>
        </w:tc>
      </w:tr>
      <w:tr w:rsidR="0089504C" w:rsidRPr="006D767C" w:rsidTr="00D8324B">
        <w:trPr>
          <w:trHeight w:val="300"/>
        </w:trPr>
        <w:tc>
          <w:tcPr>
            <w:tcW w:w="4702" w:type="dxa"/>
            <w:noWrap/>
            <w:hideMark/>
          </w:tcPr>
          <w:p w:rsidR="0089504C" w:rsidRPr="006D767C" w:rsidRDefault="0089504C" w:rsidP="0089504C">
            <w:pPr>
              <w:keepNext/>
              <w:spacing w:before="40" w:after="40"/>
              <w:jc w:val="left"/>
              <w:rPr>
                <w:rFonts w:ascii="Arial Narrow" w:hAnsi="Arial Narrow"/>
                <w:b/>
                <w:sz w:val="20"/>
              </w:rPr>
            </w:pPr>
            <w:r w:rsidRPr="006D767C">
              <w:rPr>
                <w:rFonts w:ascii="Arial Narrow" w:hAnsi="Arial Narrow"/>
                <w:b/>
                <w:sz w:val="20"/>
              </w:rPr>
              <w:t>Meta-analyses</w:t>
            </w:r>
          </w:p>
        </w:tc>
        <w:tc>
          <w:tcPr>
            <w:tcW w:w="4540" w:type="dxa"/>
            <w:gridSpan w:val="3"/>
            <w:noWrap/>
            <w:hideMark/>
          </w:tcPr>
          <w:p w:rsidR="0089504C" w:rsidRPr="006D767C" w:rsidRDefault="00230315" w:rsidP="00230315">
            <w:pPr>
              <w:keepNext/>
              <w:spacing w:before="40" w:after="40"/>
              <w:jc w:val="center"/>
              <w:rPr>
                <w:rFonts w:ascii="Arial Narrow" w:hAnsi="Arial Narrow"/>
                <w:b/>
                <w:sz w:val="20"/>
              </w:rPr>
            </w:pPr>
            <w:r w:rsidRPr="006D767C">
              <w:rPr>
                <w:rFonts w:ascii="Arial Narrow" w:hAnsi="Arial Narrow"/>
                <w:b/>
                <w:sz w:val="20"/>
              </w:rPr>
              <w:t>Mantel-Haenszel r</w:t>
            </w:r>
            <w:r w:rsidR="00D8324B" w:rsidRPr="006D767C">
              <w:rPr>
                <w:rFonts w:ascii="Arial Narrow" w:hAnsi="Arial Narrow"/>
                <w:b/>
                <w:sz w:val="20"/>
              </w:rPr>
              <w:t>andom effects model</w:t>
            </w:r>
            <w:r w:rsidR="0089504C" w:rsidRPr="006D767C">
              <w:rPr>
                <w:rFonts w:ascii="Arial Narrow" w:hAnsi="Arial Narrow"/>
                <w:b/>
                <w:sz w:val="20"/>
              </w:rPr>
              <w:t>, RevMan5.3</w:t>
            </w:r>
          </w:p>
        </w:tc>
      </w:tr>
      <w:tr w:rsidR="0089504C" w:rsidRPr="006D767C" w:rsidTr="00D8324B">
        <w:trPr>
          <w:trHeight w:val="300"/>
        </w:trPr>
        <w:tc>
          <w:tcPr>
            <w:tcW w:w="9242" w:type="dxa"/>
            <w:gridSpan w:val="4"/>
            <w:noWrap/>
            <w:hideMark/>
          </w:tcPr>
          <w:p w:rsidR="0089504C" w:rsidRPr="006D767C" w:rsidRDefault="0089504C" w:rsidP="00252F20">
            <w:pPr>
              <w:keepNext/>
              <w:spacing w:before="40" w:after="40"/>
              <w:jc w:val="left"/>
              <w:rPr>
                <w:rFonts w:ascii="Arial Narrow" w:hAnsi="Arial Narrow"/>
                <w:sz w:val="20"/>
              </w:rPr>
            </w:pPr>
            <w:r w:rsidRPr="006D767C">
              <w:rPr>
                <w:rFonts w:ascii="Arial Narrow" w:hAnsi="Arial Narrow"/>
                <w:sz w:val="20"/>
              </w:rPr>
              <w:t xml:space="preserve">Atezolizumab vs </w:t>
            </w:r>
            <w:r w:rsidR="00252F20" w:rsidRPr="006D767C">
              <w:rPr>
                <w:rFonts w:ascii="Arial Narrow" w:hAnsi="Arial Narrow"/>
                <w:sz w:val="20"/>
              </w:rPr>
              <w:t>d</w:t>
            </w:r>
            <w:r w:rsidRPr="006D767C">
              <w:rPr>
                <w:rFonts w:ascii="Arial Narrow" w:hAnsi="Arial Narrow"/>
                <w:sz w:val="20"/>
              </w:rPr>
              <w:t>ocetaxel</w:t>
            </w:r>
          </w:p>
        </w:tc>
      </w:tr>
      <w:tr w:rsidR="0089504C" w:rsidRPr="006D767C" w:rsidTr="00D8324B">
        <w:trPr>
          <w:trHeight w:val="300"/>
        </w:trPr>
        <w:tc>
          <w:tcPr>
            <w:tcW w:w="4702" w:type="dxa"/>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OAK &amp; POPLAR</w:t>
            </w:r>
          </w:p>
        </w:tc>
        <w:tc>
          <w:tcPr>
            <w:tcW w:w="1386"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663"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491"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r w:rsidR="00D8324B" w:rsidRPr="006D767C" w:rsidTr="007171FC">
        <w:trPr>
          <w:trHeight w:val="300"/>
        </w:trPr>
        <w:tc>
          <w:tcPr>
            <w:tcW w:w="9242" w:type="dxa"/>
            <w:gridSpan w:val="4"/>
            <w:noWrap/>
          </w:tcPr>
          <w:p w:rsidR="00D8324B" w:rsidRPr="002041B0" w:rsidRDefault="002041B0" w:rsidP="00D8324B">
            <w:pPr>
              <w:keepNext/>
              <w:spacing w:before="40" w:after="40"/>
              <w:jc w:val="left"/>
              <w:rPr>
                <w:rFonts w:ascii="Arial Narrow" w:hAnsi="Arial Narrow"/>
                <w:sz w:val="20"/>
                <w:highlight w:val="black"/>
              </w:rPr>
            </w:pPr>
            <w:r>
              <w:rPr>
                <w:rFonts w:ascii="Arial Narrow" w:hAnsi="Arial Narrow"/>
                <w:noProof/>
                <w:color w:val="000000"/>
                <w:sz w:val="20"/>
                <w:highlight w:val="black"/>
              </w:rPr>
              <w:t>''''''''''''''''''''''''''''''' ''''''''''' ''' ''''''''''''' ''''''''''' '''' '''''''''' '''' '''' ''' '''''' ''' '''''''''''''' '''' '''' ''''''''' '''''''''' ''''''' '''''''''''''''' '''''''''''''' '''' '''' '''''''''''' ''''' '''' '''''''''''''''''''</w:t>
            </w:r>
          </w:p>
        </w:tc>
      </w:tr>
      <w:tr w:rsidR="0089504C" w:rsidRPr="006D767C" w:rsidTr="00D8324B">
        <w:trPr>
          <w:trHeight w:val="300"/>
        </w:trPr>
        <w:tc>
          <w:tcPr>
            <w:tcW w:w="9242" w:type="dxa"/>
            <w:gridSpan w:val="4"/>
            <w:noWrap/>
            <w:hideMark/>
          </w:tcPr>
          <w:p w:rsidR="0089504C" w:rsidRPr="007D0983" w:rsidRDefault="0089504C" w:rsidP="00252F20">
            <w:pPr>
              <w:keepNext/>
              <w:spacing w:before="40" w:after="40"/>
              <w:jc w:val="left"/>
              <w:rPr>
                <w:rFonts w:ascii="Arial Narrow" w:hAnsi="Arial Narrow"/>
                <w:sz w:val="20"/>
              </w:rPr>
            </w:pPr>
            <w:r w:rsidRPr="007D0983">
              <w:rPr>
                <w:rFonts w:ascii="Arial Narrow" w:hAnsi="Arial Narrow"/>
                <w:sz w:val="20"/>
              </w:rPr>
              <w:t xml:space="preserve">Nivolumab vs </w:t>
            </w:r>
            <w:r w:rsidR="00252F20" w:rsidRPr="007D0983">
              <w:rPr>
                <w:rFonts w:ascii="Arial Narrow" w:hAnsi="Arial Narrow"/>
                <w:sz w:val="20"/>
              </w:rPr>
              <w:t>d</w:t>
            </w:r>
            <w:r w:rsidRPr="007D0983">
              <w:rPr>
                <w:rFonts w:ascii="Arial Narrow" w:hAnsi="Arial Narrow"/>
                <w:sz w:val="20"/>
              </w:rPr>
              <w:t>ocetaxel</w:t>
            </w:r>
          </w:p>
        </w:tc>
      </w:tr>
      <w:tr w:rsidR="0089504C" w:rsidRPr="006D767C" w:rsidTr="00D8324B">
        <w:trPr>
          <w:trHeight w:val="300"/>
        </w:trPr>
        <w:tc>
          <w:tcPr>
            <w:tcW w:w="4702" w:type="dxa"/>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CHECKMATE 017 &amp; CHECKMATE 057</w:t>
            </w:r>
          </w:p>
        </w:tc>
        <w:tc>
          <w:tcPr>
            <w:tcW w:w="1386"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663"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491"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r w:rsidR="00D8324B" w:rsidRPr="006D767C" w:rsidTr="007171FC">
        <w:trPr>
          <w:trHeight w:val="300"/>
        </w:trPr>
        <w:tc>
          <w:tcPr>
            <w:tcW w:w="9242" w:type="dxa"/>
            <w:gridSpan w:val="4"/>
            <w:noWrap/>
          </w:tcPr>
          <w:p w:rsidR="00D8324B" w:rsidRPr="002041B0" w:rsidRDefault="002041B0" w:rsidP="00D8324B">
            <w:pPr>
              <w:keepNext/>
              <w:spacing w:before="40" w:after="40"/>
              <w:jc w:val="left"/>
              <w:rPr>
                <w:rFonts w:ascii="Arial Narrow" w:hAnsi="Arial Narrow"/>
                <w:sz w:val="20"/>
                <w:highlight w:val="black"/>
              </w:rPr>
            </w:pPr>
            <w:r>
              <w:rPr>
                <w:rFonts w:ascii="Arial Narrow" w:hAnsi="Arial Narrow"/>
                <w:noProof/>
                <w:color w:val="000000"/>
                <w:sz w:val="20"/>
                <w:highlight w:val="black"/>
              </w:rPr>
              <w:t>'''''''''''''''''''''''''''''''''''' '''''''''''' '''' '''''''''' '''''''''' '''' '''''''''' '''' '''' ''' '''''' '''' ''''''''''''''' '''' '''' ''''''''' '''''''''' '''''' ''''''''''''''' '''''''''''''''' '''' '''' ''''''''''' '''''' ''' ''''''''''''''''''''''</w:t>
            </w:r>
          </w:p>
        </w:tc>
      </w:tr>
      <w:tr w:rsidR="0089504C" w:rsidRPr="006D767C" w:rsidTr="00D8324B">
        <w:trPr>
          <w:trHeight w:val="270"/>
        </w:trPr>
        <w:tc>
          <w:tcPr>
            <w:tcW w:w="4702" w:type="dxa"/>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CHECKMATE 017 &amp; CHECKMATE 057 (24 months)</w:t>
            </w:r>
          </w:p>
        </w:tc>
        <w:tc>
          <w:tcPr>
            <w:tcW w:w="1386"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663"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491"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r w:rsidR="00D8324B" w:rsidRPr="006D767C" w:rsidTr="007171FC">
        <w:trPr>
          <w:trHeight w:val="270"/>
        </w:trPr>
        <w:tc>
          <w:tcPr>
            <w:tcW w:w="9242" w:type="dxa"/>
            <w:gridSpan w:val="4"/>
            <w:noWrap/>
          </w:tcPr>
          <w:p w:rsidR="00D8324B" w:rsidRPr="002041B0" w:rsidRDefault="002041B0" w:rsidP="00D8324B">
            <w:pPr>
              <w:keepNext/>
              <w:spacing w:before="40" w:after="40"/>
              <w:jc w:val="left"/>
              <w:rPr>
                <w:rFonts w:ascii="Arial Narrow" w:hAnsi="Arial Narrow"/>
                <w:sz w:val="20"/>
                <w:highlight w:val="black"/>
              </w:rPr>
            </w:pPr>
            <w:r>
              <w:rPr>
                <w:rFonts w:ascii="Arial Narrow" w:hAnsi="Arial Narrow"/>
                <w:noProof/>
                <w:color w:val="000000"/>
                <w:sz w:val="20"/>
                <w:highlight w:val="black"/>
              </w:rPr>
              <w:t>''''''''''''''''''''''''''''''''''' ''''''''''' '''' ''''''''''' ''''''''' '''' ''''''''''' '''' '''' '''' '''''' '''' '''''''''''''' '''' '''' ''''''''''''' ''''''''''' '''''' ''''''''''''''' ''''''''''''''' '''' '''' '''''''''' '''''' '''' '''''''''''''''''''</w:t>
            </w:r>
          </w:p>
        </w:tc>
      </w:tr>
      <w:tr w:rsidR="0089504C" w:rsidRPr="006D767C" w:rsidTr="00D8324B">
        <w:trPr>
          <w:trHeight w:val="270"/>
        </w:trPr>
        <w:tc>
          <w:tcPr>
            <w:tcW w:w="4702" w:type="dxa"/>
            <w:noWrap/>
            <w:hideMark/>
          </w:tcPr>
          <w:p w:rsidR="0089504C" w:rsidRPr="007D0983" w:rsidRDefault="0089504C" w:rsidP="0089504C">
            <w:pPr>
              <w:keepNext/>
              <w:spacing w:before="40" w:after="40"/>
              <w:jc w:val="left"/>
              <w:rPr>
                <w:rFonts w:ascii="Arial Narrow" w:hAnsi="Arial Narrow"/>
                <w:b/>
                <w:sz w:val="20"/>
              </w:rPr>
            </w:pPr>
            <w:r w:rsidRPr="007D0983">
              <w:rPr>
                <w:rFonts w:ascii="Arial Narrow" w:hAnsi="Arial Narrow"/>
                <w:b/>
                <w:sz w:val="20"/>
              </w:rPr>
              <w:t>Indirect comparisons</w:t>
            </w:r>
          </w:p>
        </w:tc>
        <w:tc>
          <w:tcPr>
            <w:tcW w:w="4540" w:type="dxa"/>
            <w:gridSpan w:val="3"/>
            <w:noWrap/>
            <w:hideMark/>
          </w:tcPr>
          <w:p w:rsidR="0089504C" w:rsidRPr="007D0983" w:rsidRDefault="0089504C" w:rsidP="0089504C">
            <w:pPr>
              <w:keepNext/>
              <w:spacing w:before="40" w:after="40"/>
              <w:jc w:val="center"/>
              <w:rPr>
                <w:rFonts w:ascii="Arial Narrow" w:hAnsi="Arial Narrow"/>
                <w:b/>
                <w:sz w:val="20"/>
              </w:rPr>
            </w:pPr>
            <w:r w:rsidRPr="007D0983">
              <w:rPr>
                <w:rFonts w:ascii="Arial Narrow" w:hAnsi="Arial Narrow"/>
                <w:b/>
                <w:sz w:val="20"/>
              </w:rPr>
              <w:t>ITC Bucher method, CADTH calculator</w:t>
            </w:r>
          </w:p>
        </w:tc>
      </w:tr>
      <w:tr w:rsidR="0089504C" w:rsidRPr="006D767C" w:rsidTr="00D8324B">
        <w:trPr>
          <w:trHeight w:val="300"/>
        </w:trPr>
        <w:tc>
          <w:tcPr>
            <w:tcW w:w="9242" w:type="dxa"/>
            <w:gridSpan w:val="4"/>
            <w:noWrap/>
            <w:hideMark/>
          </w:tcPr>
          <w:p w:rsidR="0089504C" w:rsidRPr="007D0983" w:rsidRDefault="0089504C" w:rsidP="00252F20">
            <w:pPr>
              <w:keepNext/>
              <w:spacing w:before="40" w:after="40"/>
              <w:jc w:val="left"/>
              <w:rPr>
                <w:rFonts w:ascii="Arial Narrow" w:hAnsi="Arial Narrow"/>
                <w:sz w:val="20"/>
              </w:rPr>
            </w:pPr>
            <w:r w:rsidRPr="007D0983">
              <w:rPr>
                <w:rFonts w:ascii="Arial Narrow" w:hAnsi="Arial Narrow"/>
                <w:sz w:val="20"/>
              </w:rPr>
              <w:t xml:space="preserve">Atezolizumab vs </w:t>
            </w:r>
            <w:r w:rsidR="00252F20" w:rsidRPr="007D0983">
              <w:rPr>
                <w:rFonts w:ascii="Arial Narrow" w:hAnsi="Arial Narrow"/>
                <w:sz w:val="20"/>
              </w:rPr>
              <w:t>n</w:t>
            </w:r>
            <w:r w:rsidRPr="007D0983">
              <w:rPr>
                <w:rFonts w:ascii="Arial Narrow" w:hAnsi="Arial Narrow"/>
                <w:sz w:val="20"/>
              </w:rPr>
              <w:t>ivolumab*</w:t>
            </w:r>
          </w:p>
        </w:tc>
      </w:tr>
      <w:tr w:rsidR="0089504C" w:rsidRPr="006D767C" w:rsidTr="00D8324B">
        <w:trPr>
          <w:trHeight w:val="270"/>
        </w:trPr>
        <w:tc>
          <w:tcPr>
            <w:tcW w:w="4702" w:type="dxa"/>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OAK &amp; POPLAR vs CHECKMATE 017 &amp; CHECKMATE 057</w:t>
            </w:r>
          </w:p>
        </w:tc>
        <w:tc>
          <w:tcPr>
            <w:tcW w:w="1386"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663"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491"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r w:rsidR="0089504C" w:rsidRPr="006D767C" w:rsidTr="00D8324B">
        <w:trPr>
          <w:trHeight w:val="270"/>
        </w:trPr>
        <w:tc>
          <w:tcPr>
            <w:tcW w:w="9242" w:type="dxa"/>
            <w:gridSpan w:val="4"/>
            <w:noWrap/>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Sensitivity analysis**</w:t>
            </w:r>
          </w:p>
        </w:tc>
      </w:tr>
      <w:tr w:rsidR="0089504C" w:rsidRPr="006D767C" w:rsidTr="00D8324B">
        <w:trPr>
          <w:trHeight w:val="270"/>
        </w:trPr>
        <w:tc>
          <w:tcPr>
            <w:tcW w:w="4702" w:type="dxa"/>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 xml:space="preserve">OAK &amp; POPLAR vs CHECKMATE 017 &amp; CHECKMATE 057 </w:t>
            </w:r>
          </w:p>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(24 months)</w:t>
            </w:r>
          </w:p>
        </w:tc>
        <w:tc>
          <w:tcPr>
            <w:tcW w:w="1386"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663"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491" w:type="dxa"/>
            <w:noWrap/>
            <w:hideMark/>
          </w:tcPr>
          <w:p w:rsidR="0089504C" w:rsidRPr="002041B0" w:rsidRDefault="002041B0" w:rsidP="0089504C">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bl>
    <w:p w:rsidR="00D8324B" w:rsidRPr="006D767C" w:rsidRDefault="00D8324B" w:rsidP="00F42A62">
      <w:pPr>
        <w:pStyle w:val="TableFooter"/>
      </w:pPr>
      <w:r w:rsidRPr="006D767C">
        <w:t>CI</w:t>
      </w:r>
      <w:r w:rsidR="00B1543B" w:rsidRPr="006D767C">
        <w:t xml:space="preserve"> </w:t>
      </w:r>
      <w:r w:rsidRPr="006D767C">
        <w:t>=</w:t>
      </w:r>
      <w:r w:rsidR="00B1543B" w:rsidRPr="006D767C">
        <w:t xml:space="preserve"> </w:t>
      </w:r>
      <w:r w:rsidRPr="006D767C">
        <w:t>confidence interval; LL</w:t>
      </w:r>
      <w:r w:rsidR="00B1543B" w:rsidRPr="006D767C">
        <w:t xml:space="preserve"> </w:t>
      </w:r>
      <w:r w:rsidRPr="006D767C">
        <w:t>=</w:t>
      </w:r>
      <w:r w:rsidR="00B1543B" w:rsidRPr="006D767C">
        <w:t xml:space="preserve"> </w:t>
      </w:r>
      <w:r w:rsidRPr="006D767C">
        <w:t>lower limit; UL</w:t>
      </w:r>
      <w:r w:rsidR="00B1543B" w:rsidRPr="006D767C">
        <w:t xml:space="preserve"> </w:t>
      </w:r>
      <w:r w:rsidRPr="006D767C">
        <w:t>=</w:t>
      </w:r>
      <w:r w:rsidR="00B1543B" w:rsidRPr="006D767C">
        <w:t xml:space="preserve"> </w:t>
      </w:r>
      <w:r w:rsidRPr="006D767C">
        <w:t>upper limit</w:t>
      </w:r>
      <w:r w:rsidR="00230315" w:rsidRPr="006D767C">
        <w:t xml:space="preserve">; </w:t>
      </w:r>
      <w:r w:rsidR="00B1543B" w:rsidRPr="006D767C">
        <w:t xml:space="preserve">ITC = indirect treatment comparison; </w:t>
      </w:r>
      <w:r w:rsidR="00230315" w:rsidRPr="006D767C">
        <w:t>CADTH</w:t>
      </w:r>
      <w:r w:rsidR="00B1543B" w:rsidRPr="006D767C">
        <w:t xml:space="preserve"> </w:t>
      </w:r>
      <w:r w:rsidR="00230315" w:rsidRPr="006D767C">
        <w:t>=</w:t>
      </w:r>
      <w:r w:rsidR="00B1543B" w:rsidRPr="006D767C">
        <w:t xml:space="preserve"> </w:t>
      </w:r>
      <w:r w:rsidR="00230315" w:rsidRPr="006D767C">
        <w:t>Canadian Agency for Drugs and Technologies in Health.</w:t>
      </w:r>
    </w:p>
    <w:p w:rsidR="00230315" w:rsidRPr="006D767C" w:rsidRDefault="00230315" w:rsidP="00F42A62">
      <w:pPr>
        <w:pStyle w:val="TableFooter"/>
      </w:pPr>
      <w:r w:rsidRPr="006D767C">
        <w:t>* HR below 1 favours atezolizumab</w:t>
      </w:r>
      <w:r w:rsidR="00E55C7B" w:rsidRPr="006D767C">
        <w:t>.</w:t>
      </w:r>
    </w:p>
    <w:p w:rsidR="00D8324B" w:rsidRPr="006D767C" w:rsidRDefault="00D8324B" w:rsidP="00F42A62">
      <w:pPr>
        <w:pStyle w:val="TableFooter"/>
      </w:pPr>
      <w:r w:rsidRPr="006D767C">
        <w:t xml:space="preserve">** Sensitivity analysis using longer follow up (24 months) from </w:t>
      </w:r>
      <w:r w:rsidR="00230315" w:rsidRPr="006D767C">
        <w:t>CHECKMATE 017 and CHECKMATE 057</w:t>
      </w:r>
      <w:r w:rsidR="00E55C7B" w:rsidRPr="006D767C">
        <w:t>.</w:t>
      </w:r>
    </w:p>
    <w:p w:rsidR="00D8324B" w:rsidRPr="006D767C" w:rsidRDefault="00D8324B" w:rsidP="00F42A62">
      <w:pPr>
        <w:pStyle w:val="TableFooter"/>
        <w:rPr>
          <w:rFonts w:eastAsia="SimSun"/>
        </w:rPr>
      </w:pPr>
      <w:r w:rsidRPr="006D767C">
        <w:rPr>
          <w:rFonts w:eastAsia="SimSun"/>
        </w:rPr>
        <w:t>Source: Table 2.6.2, Section 2 of the submission</w:t>
      </w:r>
      <w:r w:rsidR="00E55C7B" w:rsidRPr="006D767C">
        <w:rPr>
          <w:rFonts w:eastAsia="SimSun"/>
        </w:rPr>
        <w:t>.</w:t>
      </w:r>
    </w:p>
    <w:p w:rsidR="0089504C" w:rsidRPr="006D767C" w:rsidRDefault="0089504C" w:rsidP="002D73C8">
      <w:pPr>
        <w:numPr>
          <w:ilvl w:val="1"/>
          <w:numId w:val="1"/>
        </w:numPr>
        <w:spacing w:before="0" w:after="120"/>
      </w:pPr>
      <w:r w:rsidRPr="006D767C">
        <w:t>Results of the indirect comparison of OS at 18 months are summarised below.</w:t>
      </w:r>
      <w:r w:rsidR="000363D3" w:rsidRPr="006D767C">
        <w:t xml:space="preserve"> The results for the indirect comparison of OS at 12 months w</w:t>
      </w:r>
      <w:r w:rsidR="00252F20" w:rsidRPr="006D767C">
        <w:t>ere</w:t>
      </w:r>
      <w:r w:rsidR="000363D3" w:rsidRPr="006D767C">
        <w:t xml:space="preserve"> consistent with the results at 18 months.</w:t>
      </w:r>
    </w:p>
    <w:p w:rsidR="0089504C" w:rsidRPr="006D767C" w:rsidRDefault="004D4E2C" w:rsidP="0089504C">
      <w:pPr>
        <w:keepNext/>
        <w:spacing w:before="0" w:after="60"/>
        <w:jc w:val="left"/>
        <w:rPr>
          <w:rFonts w:ascii="Arial Narrow" w:hAnsi="Arial Narrow"/>
          <w:b/>
          <w:sz w:val="20"/>
          <w:lang w:eastAsia="zh-CN"/>
        </w:rPr>
      </w:pPr>
      <w:r w:rsidRPr="006D767C">
        <w:rPr>
          <w:rFonts w:ascii="Arial Narrow" w:hAnsi="Arial Narrow"/>
          <w:b/>
          <w:sz w:val="20"/>
          <w:lang w:eastAsia="zh-CN"/>
        </w:rPr>
        <w:t xml:space="preserve">Table </w:t>
      </w:r>
      <w:r w:rsidR="008D7CF2" w:rsidRPr="006D767C">
        <w:rPr>
          <w:rFonts w:ascii="Arial Narrow" w:hAnsi="Arial Narrow"/>
          <w:b/>
          <w:sz w:val="20"/>
          <w:lang w:eastAsia="zh-CN"/>
        </w:rPr>
        <w:t>9</w:t>
      </w:r>
      <w:r w:rsidR="0089504C" w:rsidRPr="006D767C">
        <w:rPr>
          <w:rFonts w:ascii="Arial Narrow" w:hAnsi="Arial Narrow"/>
          <w:b/>
          <w:sz w:val="20"/>
          <w:lang w:eastAsia="zh-CN"/>
        </w:rPr>
        <w:t xml:space="preserve">: </w:t>
      </w:r>
      <w:r w:rsidR="00B140E3" w:rsidRPr="006D767C">
        <w:rPr>
          <w:rFonts w:ascii="Arial Narrow" w:hAnsi="Arial Narrow"/>
          <w:b/>
          <w:sz w:val="20"/>
          <w:lang w:eastAsia="zh-CN"/>
        </w:rPr>
        <w:t>Indirect comparison</w:t>
      </w:r>
      <w:r w:rsidR="0089504C" w:rsidRPr="006D767C">
        <w:rPr>
          <w:rFonts w:ascii="Arial Narrow" w:hAnsi="Arial Narrow"/>
          <w:b/>
          <w:sz w:val="20"/>
          <w:lang w:eastAsia="zh-CN"/>
        </w:rPr>
        <w:t xml:space="preserve"> of atezolizumab with nivolumab</w:t>
      </w:r>
      <w:r w:rsidR="0001739D" w:rsidRPr="006D767C">
        <w:rPr>
          <w:rFonts w:ascii="Arial Narrow" w:hAnsi="Arial Narrow"/>
          <w:b/>
          <w:sz w:val="20"/>
          <w:lang w:eastAsia="zh-CN"/>
        </w:rPr>
        <w:t>,</w:t>
      </w:r>
      <w:r w:rsidR="0089504C" w:rsidRPr="006D767C">
        <w:rPr>
          <w:rFonts w:ascii="Arial Narrow" w:hAnsi="Arial Narrow"/>
          <w:b/>
          <w:sz w:val="20"/>
          <w:lang w:eastAsia="zh-CN"/>
        </w:rPr>
        <w:t xml:space="preserve"> overall survival (18 months)</w:t>
      </w:r>
    </w:p>
    <w:tbl>
      <w:tblPr>
        <w:tblStyle w:val="TableGrid111"/>
        <w:tblW w:w="0" w:type="auto"/>
        <w:tblInd w:w="108" w:type="dxa"/>
        <w:tblLook w:val="04A0" w:firstRow="1" w:lastRow="0" w:firstColumn="1" w:lastColumn="0" w:noHBand="0" w:noVBand="1"/>
        <w:tblCaption w:val="Table 9: Indirect comparison of atezolizumab with nivolumab, overall survival (18 months)"/>
      </w:tblPr>
      <w:tblGrid>
        <w:gridCol w:w="3145"/>
        <w:gridCol w:w="2010"/>
        <w:gridCol w:w="1990"/>
        <w:gridCol w:w="1990"/>
      </w:tblGrid>
      <w:tr w:rsidR="0089504C" w:rsidRPr="006D767C" w:rsidTr="00042C0C">
        <w:trPr>
          <w:trHeight w:val="300"/>
          <w:tblHeader/>
        </w:trPr>
        <w:tc>
          <w:tcPr>
            <w:tcW w:w="3145" w:type="dxa"/>
            <w:vMerge w:val="restart"/>
            <w:shd w:val="clear" w:color="auto" w:fill="auto"/>
            <w:noWrap/>
            <w:hideMark/>
          </w:tcPr>
          <w:p w:rsidR="0089504C" w:rsidRPr="006D767C" w:rsidRDefault="0089504C" w:rsidP="0089504C">
            <w:pPr>
              <w:keepNext/>
              <w:spacing w:before="40" w:after="40"/>
              <w:jc w:val="center"/>
              <w:rPr>
                <w:rFonts w:ascii="Arial Narrow" w:hAnsi="Arial Narrow"/>
                <w:b/>
                <w:sz w:val="20"/>
              </w:rPr>
            </w:pPr>
            <w:r w:rsidRPr="006D767C">
              <w:rPr>
                <w:rFonts w:ascii="Arial Narrow" w:hAnsi="Arial Narrow"/>
                <w:b/>
                <w:sz w:val="20"/>
              </w:rPr>
              <w:t>Dataset</w:t>
            </w:r>
          </w:p>
        </w:tc>
        <w:tc>
          <w:tcPr>
            <w:tcW w:w="5990" w:type="dxa"/>
            <w:gridSpan w:val="3"/>
            <w:shd w:val="clear" w:color="auto" w:fill="auto"/>
            <w:noWrap/>
            <w:hideMark/>
          </w:tcPr>
          <w:p w:rsidR="0089504C" w:rsidRPr="006D767C" w:rsidRDefault="0089504C" w:rsidP="00230315">
            <w:pPr>
              <w:keepNext/>
              <w:spacing w:before="40" w:after="40"/>
              <w:jc w:val="center"/>
              <w:rPr>
                <w:rFonts w:ascii="Arial Narrow" w:hAnsi="Arial Narrow"/>
                <w:b/>
                <w:sz w:val="20"/>
              </w:rPr>
            </w:pPr>
            <w:r w:rsidRPr="006D767C">
              <w:rPr>
                <w:rFonts w:ascii="Arial Narrow" w:hAnsi="Arial Narrow"/>
                <w:b/>
                <w:sz w:val="20"/>
              </w:rPr>
              <w:t>O</w:t>
            </w:r>
            <w:r w:rsidR="00230315" w:rsidRPr="006D767C">
              <w:rPr>
                <w:rFonts w:ascii="Arial Narrow" w:hAnsi="Arial Narrow"/>
                <w:b/>
                <w:sz w:val="20"/>
              </w:rPr>
              <w:t>verall survival</w:t>
            </w:r>
            <w:r w:rsidRPr="006D767C">
              <w:rPr>
                <w:rFonts w:ascii="Arial Narrow" w:hAnsi="Arial Narrow"/>
                <w:b/>
                <w:sz w:val="20"/>
              </w:rPr>
              <w:t xml:space="preserve"> 18 months</w:t>
            </w:r>
          </w:p>
        </w:tc>
      </w:tr>
      <w:tr w:rsidR="0089504C" w:rsidRPr="006D767C" w:rsidTr="00042C0C">
        <w:trPr>
          <w:trHeight w:val="300"/>
          <w:tblHeader/>
        </w:trPr>
        <w:tc>
          <w:tcPr>
            <w:tcW w:w="3145" w:type="dxa"/>
            <w:vMerge/>
            <w:shd w:val="clear" w:color="auto" w:fill="auto"/>
            <w:hideMark/>
          </w:tcPr>
          <w:p w:rsidR="0089504C" w:rsidRPr="006D767C" w:rsidRDefault="0089504C" w:rsidP="0089504C">
            <w:pPr>
              <w:keepNext/>
              <w:spacing w:before="40" w:after="40"/>
              <w:jc w:val="center"/>
              <w:rPr>
                <w:rFonts w:ascii="Arial Narrow" w:hAnsi="Arial Narrow"/>
                <w:b/>
                <w:sz w:val="20"/>
              </w:rPr>
            </w:pPr>
          </w:p>
        </w:tc>
        <w:tc>
          <w:tcPr>
            <w:tcW w:w="2010" w:type="dxa"/>
            <w:shd w:val="clear" w:color="auto" w:fill="auto"/>
            <w:noWrap/>
            <w:hideMark/>
          </w:tcPr>
          <w:p w:rsidR="0089504C" w:rsidRPr="006D767C" w:rsidRDefault="0089504C" w:rsidP="00D5280E">
            <w:pPr>
              <w:keepNext/>
              <w:spacing w:before="40" w:after="40"/>
              <w:jc w:val="center"/>
              <w:rPr>
                <w:rFonts w:ascii="Arial Narrow" w:hAnsi="Arial Narrow"/>
                <w:b/>
                <w:sz w:val="20"/>
              </w:rPr>
            </w:pPr>
            <w:r w:rsidRPr="006D767C">
              <w:rPr>
                <w:rFonts w:ascii="Arial Narrow" w:hAnsi="Arial Narrow"/>
                <w:b/>
                <w:sz w:val="20"/>
              </w:rPr>
              <w:t xml:space="preserve">OR </w:t>
            </w:r>
            <w:r w:rsidR="00D5280E" w:rsidRPr="006D767C">
              <w:rPr>
                <w:rFonts w:ascii="Arial Narrow" w:hAnsi="Arial Narrow"/>
                <w:b/>
                <w:sz w:val="20"/>
              </w:rPr>
              <w:t>(</w:t>
            </w:r>
            <w:r w:rsidRPr="006D767C">
              <w:rPr>
                <w:rFonts w:ascii="Arial Narrow" w:hAnsi="Arial Narrow"/>
                <w:b/>
                <w:sz w:val="20"/>
              </w:rPr>
              <w:t>95% CI</w:t>
            </w:r>
            <w:r w:rsidR="00D5280E" w:rsidRPr="006D767C">
              <w:rPr>
                <w:rFonts w:ascii="Arial Narrow" w:hAnsi="Arial Narrow"/>
                <w:b/>
                <w:sz w:val="20"/>
              </w:rPr>
              <w:t>)</w:t>
            </w:r>
          </w:p>
        </w:tc>
        <w:tc>
          <w:tcPr>
            <w:tcW w:w="1990" w:type="dxa"/>
            <w:shd w:val="clear" w:color="auto" w:fill="auto"/>
            <w:noWrap/>
            <w:hideMark/>
          </w:tcPr>
          <w:p w:rsidR="0089504C" w:rsidRPr="006D767C" w:rsidRDefault="00D5280E" w:rsidP="00D5280E">
            <w:pPr>
              <w:keepNext/>
              <w:spacing w:before="40" w:after="40"/>
              <w:jc w:val="center"/>
              <w:rPr>
                <w:rFonts w:ascii="Arial Narrow" w:hAnsi="Arial Narrow"/>
                <w:b/>
                <w:sz w:val="20"/>
              </w:rPr>
            </w:pPr>
            <w:r w:rsidRPr="006D767C">
              <w:rPr>
                <w:rFonts w:ascii="Arial Narrow" w:hAnsi="Arial Narrow"/>
                <w:b/>
                <w:sz w:val="20"/>
              </w:rPr>
              <w:t>RR (</w:t>
            </w:r>
            <w:r w:rsidR="0089504C" w:rsidRPr="006D767C">
              <w:rPr>
                <w:rFonts w:ascii="Arial Narrow" w:hAnsi="Arial Narrow"/>
                <w:b/>
                <w:sz w:val="20"/>
              </w:rPr>
              <w:t>95% CI</w:t>
            </w:r>
            <w:r w:rsidRPr="006D767C">
              <w:rPr>
                <w:rFonts w:ascii="Arial Narrow" w:hAnsi="Arial Narrow"/>
                <w:b/>
                <w:sz w:val="20"/>
              </w:rPr>
              <w:t>)</w:t>
            </w:r>
          </w:p>
        </w:tc>
        <w:tc>
          <w:tcPr>
            <w:tcW w:w="1990" w:type="dxa"/>
            <w:shd w:val="clear" w:color="auto" w:fill="auto"/>
            <w:noWrap/>
            <w:hideMark/>
          </w:tcPr>
          <w:p w:rsidR="0089504C" w:rsidRPr="006D767C" w:rsidRDefault="0089504C" w:rsidP="00D5280E">
            <w:pPr>
              <w:keepNext/>
              <w:spacing w:before="40" w:after="40"/>
              <w:jc w:val="center"/>
              <w:rPr>
                <w:rFonts w:ascii="Arial Narrow" w:hAnsi="Arial Narrow"/>
                <w:b/>
                <w:sz w:val="20"/>
              </w:rPr>
            </w:pPr>
            <w:r w:rsidRPr="006D767C">
              <w:rPr>
                <w:rFonts w:ascii="Arial Narrow" w:hAnsi="Arial Narrow"/>
                <w:b/>
                <w:sz w:val="20"/>
              </w:rPr>
              <w:t xml:space="preserve">RD </w:t>
            </w:r>
            <w:r w:rsidR="00D5280E" w:rsidRPr="006D767C">
              <w:rPr>
                <w:rFonts w:ascii="Arial Narrow" w:hAnsi="Arial Narrow"/>
                <w:b/>
                <w:sz w:val="20"/>
              </w:rPr>
              <w:t>(</w:t>
            </w:r>
            <w:r w:rsidRPr="006D767C">
              <w:rPr>
                <w:rFonts w:ascii="Arial Narrow" w:hAnsi="Arial Narrow"/>
                <w:b/>
                <w:sz w:val="20"/>
              </w:rPr>
              <w:t>95% CI</w:t>
            </w:r>
            <w:r w:rsidR="00D5280E" w:rsidRPr="006D767C">
              <w:rPr>
                <w:rFonts w:ascii="Arial Narrow" w:hAnsi="Arial Narrow"/>
                <w:b/>
                <w:sz w:val="20"/>
              </w:rPr>
              <w:t>)</w:t>
            </w:r>
          </w:p>
        </w:tc>
      </w:tr>
      <w:tr w:rsidR="0089504C" w:rsidRPr="006D767C" w:rsidTr="00B1543B">
        <w:trPr>
          <w:trHeight w:val="300"/>
        </w:trPr>
        <w:tc>
          <w:tcPr>
            <w:tcW w:w="3145" w:type="dxa"/>
            <w:shd w:val="clear" w:color="auto" w:fill="auto"/>
            <w:noWrap/>
            <w:hideMark/>
          </w:tcPr>
          <w:p w:rsidR="0089504C" w:rsidRPr="006D767C" w:rsidRDefault="0089504C" w:rsidP="0089504C">
            <w:pPr>
              <w:keepNext/>
              <w:spacing w:before="40" w:after="40"/>
              <w:jc w:val="center"/>
              <w:rPr>
                <w:rFonts w:ascii="Arial Narrow" w:hAnsi="Arial Narrow"/>
                <w:b/>
                <w:sz w:val="20"/>
              </w:rPr>
            </w:pPr>
          </w:p>
        </w:tc>
        <w:tc>
          <w:tcPr>
            <w:tcW w:w="5990" w:type="dxa"/>
            <w:gridSpan w:val="3"/>
            <w:shd w:val="clear" w:color="auto" w:fill="auto"/>
            <w:noWrap/>
            <w:hideMark/>
          </w:tcPr>
          <w:p w:rsidR="0089504C" w:rsidRPr="006D767C" w:rsidRDefault="0089504C" w:rsidP="0089504C">
            <w:pPr>
              <w:keepNext/>
              <w:spacing w:before="40" w:after="40"/>
              <w:jc w:val="center"/>
              <w:rPr>
                <w:rFonts w:ascii="Arial Narrow" w:hAnsi="Arial Narrow"/>
                <w:b/>
                <w:sz w:val="20"/>
              </w:rPr>
            </w:pPr>
            <w:r w:rsidRPr="006D767C">
              <w:rPr>
                <w:rFonts w:ascii="Arial Narrow" w:hAnsi="Arial Narrow"/>
                <w:b/>
                <w:sz w:val="20"/>
              </w:rPr>
              <w:t>Unadjusted (calculated from reported/published event counts)</w:t>
            </w:r>
          </w:p>
        </w:tc>
      </w:tr>
      <w:tr w:rsidR="0089504C" w:rsidRPr="006D767C" w:rsidTr="00B1543B">
        <w:trPr>
          <w:trHeight w:val="300"/>
        </w:trPr>
        <w:tc>
          <w:tcPr>
            <w:tcW w:w="9135" w:type="dxa"/>
            <w:gridSpan w:val="4"/>
            <w:shd w:val="clear" w:color="auto" w:fill="auto"/>
            <w:noWrap/>
            <w:hideMark/>
          </w:tcPr>
          <w:p w:rsidR="0089504C" w:rsidRPr="006D767C" w:rsidRDefault="0089504C" w:rsidP="00176B31">
            <w:pPr>
              <w:keepNext/>
              <w:spacing w:before="40" w:after="40"/>
              <w:jc w:val="left"/>
              <w:rPr>
                <w:rFonts w:ascii="Arial Narrow" w:hAnsi="Arial Narrow"/>
                <w:b/>
                <w:sz w:val="20"/>
              </w:rPr>
            </w:pPr>
            <w:r w:rsidRPr="006D767C">
              <w:rPr>
                <w:rFonts w:ascii="Arial Narrow" w:hAnsi="Arial Narrow"/>
                <w:b/>
                <w:sz w:val="20"/>
              </w:rPr>
              <w:t xml:space="preserve">Atezolizumab vs </w:t>
            </w:r>
            <w:r w:rsidR="00176B31" w:rsidRPr="006D767C">
              <w:rPr>
                <w:rFonts w:ascii="Arial Narrow" w:hAnsi="Arial Narrow"/>
                <w:b/>
                <w:sz w:val="20"/>
              </w:rPr>
              <w:t>d</w:t>
            </w:r>
            <w:r w:rsidRPr="006D767C">
              <w:rPr>
                <w:rFonts w:ascii="Arial Narrow" w:hAnsi="Arial Narrow"/>
                <w:b/>
                <w:sz w:val="20"/>
              </w:rPr>
              <w:t>ocetaxel</w:t>
            </w:r>
          </w:p>
        </w:tc>
      </w:tr>
      <w:tr w:rsidR="0089504C" w:rsidRPr="006D767C" w:rsidTr="00B1543B">
        <w:trPr>
          <w:trHeight w:val="285"/>
        </w:trPr>
        <w:tc>
          <w:tcPr>
            <w:tcW w:w="3145" w:type="dxa"/>
            <w:shd w:val="clear" w:color="auto" w:fill="auto"/>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OAK</w:t>
            </w:r>
          </w:p>
        </w:tc>
        <w:tc>
          <w:tcPr>
            <w:tcW w:w="201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1.95 (</w:t>
            </w:r>
            <w:r w:rsidR="0089504C" w:rsidRPr="006D767C">
              <w:rPr>
                <w:rFonts w:ascii="Arial Narrow" w:hAnsi="Arial Narrow"/>
                <w:sz w:val="20"/>
              </w:rPr>
              <w:t>1.45,</w:t>
            </w:r>
            <w:r w:rsidR="00B1543B" w:rsidRPr="006D767C">
              <w:rPr>
                <w:rFonts w:ascii="Arial Narrow" w:hAnsi="Arial Narrow"/>
                <w:sz w:val="20"/>
              </w:rPr>
              <w:t xml:space="preserve"> </w:t>
            </w:r>
            <w:r w:rsidRPr="006D767C">
              <w:rPr>
                <w:rFonts w:ascii="Arial Narrow" w:hAnsi="Arial Narrow"/>
                <w:sz w:val="20"/>
              </w:rPr>
              <w:t>2.64)</w:t>
            </w:r>
          </w:p>
        </w:tc>
        <w:tc>
          <w:tcPr>
            <w:tcW w:w="1990" w:type="dxa"/>
            <w:shd w:val="clear" w:color="auto" w:fill="auto"/>
            <w:noWrap/>
            <w:hideMark/>
          </w:tcPr>
          <w:p w:rsidR="0089504C" w:rsidRPr="006D767C" w:rsidRDefault="0089504C" w:rsidP="00D5280E">
            <w:pPr>
              <w:keepNext/>
              <w:spacing w:before="40" w:after="40"/>
              <w:jc w:val="center"/>
              <w:rPr>
                <w:rFonts w:ascii="Arial Narrow" w:hAnsi="Arial Narrow"/>
                <w:sz w:val="20"/>
              </w:rPr>
            </w:pPr>
            <w:r w:rsidRPr="006D767C">
              <w:rPr>
                <w:rFonts w:ascii="Arial Narrow" w:hAnsi="Arial Narrow"/>
                <w:sz w:val="20"/>
              </w:rPr>
              <w:t xml:space="preserve">1.60 </w:t>
            </w:r>
            <w:r w:rsidR="00D5280E" w:rsidRPr="006D767C">
              <w:rPr>
                <w:rFonts w:ascii="Arial Narrow" w:hAnsi="Arial Narrow"/>
                <w:sz w:val="20"/>
              </w:rPr>
              <w:t>(1.29, 1.98)</w:t>
            </w:r>
          </w:p>
        </w:tc>
        <w:tc>
          <w:tcPr>
            <w:tcW w:w="1990" w:type="dxa"/>
            <w:shd w:val="clear" w:color="auto" w:fill="auto"/>
            <w:noWrap/>
            <w:hideMark/>
          </w:tcPr>
          <w:p w:rsidR="0089504C" w:rsidRPr="006D767C" w:rsidRDefault="0089504C" w:rsidP="00D5280E">
            <w:pPr>
              <w:keepNext/>
              <w:spacing w:before="40" w:after="40"/>
              <w:jc w:val="center"/>
              <w:rPr>
                <w:rFonts w:ascii="Arial Narrow" w:hAnsi="Arial Narrow"/>
                <w:sz w:val="20"/>
              </w:rPr>
            </w:pPr>
            <w:r w:rsidRPr="006D767C">
              <w:rPr>
                <w:rFonts w:ascii="Arial Narrow" w:hAnsi="Arial Narrow"/>
                <w:sz w:val="20"/>
              </w:rPr>
              <w:t xml:space="preserve">0.14 </w:t>
            </w:r>
            <w:r w:rsidR="00D5280E" w:rsidRPr="006D767C">
              <w:rPr>
                <w:rFonts w:ascii="Arial Narrow" w:hAnsi="Arial Narrow"/>
                <w:sz w:val="20"/>
              </w:rPr>
              <w:t>(0.08, 0.20)</w:t>
            </w:r>
          </w:p>
        </w:tc>
      </w:tr>
      <w:tr w:rsidR="0089504C" w:rsidRPr="006D767C" w:rsidTr="00B1543B">
        <w:trPr>
          <w:trHeight w:val="300"/>
        </w:trPr>
        <w:tc>
          <w:tcPr>
            <w:tcW w:w="3145" w:type="dxa"/>
            <w:shd w:val="clear" w:color="auto" w:fill="auto"/>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POPLAR</w:t>
            </w:r>
          </w:p>
        </w:tc>
        <w:tc>
          <w:tcPr>
            <w:tcW w:w="201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2.09 (</w:t>
            </w:r>
            <w:r w:rsidR="0089504C" w:rsidRPr="006D767C">
              <w:rPr>
                <w:rFonts w:ascii="Arial Narrow" w:hAnsi="Arial Narrow"/>
                <w:sz w:val="20"/>
              </w:rPr>
              <w:t>1.23,</w:t>
            </w:r>
            <w:r w:rsidR="00B1543B" w:rsidRPr="006D767C">
              <w:rPr>
                <w:rFonts w:ascii="Arial Narrow" w:hAnsi="Arial Narrow"/>
                <w:sz w:val="20"/>
              </w:rPr>
              <w:t xml:space="preserve"> </w:t>
            </w:r>
            <w:r w:rsidRPr="006D767C">
              <w:rPr>
                <w:rFonts w:ascii="Arial Narrow" w:hAnsi="Arial Narrow"/>
                <w:sz w:val="20"/>
              </w:rPr>
              <w:t>3.56)</w:t>
            </w:r>
          </w:p>
        </w:tc>
        <w:tc>
          <w:tcPr>
            <w:tcW w:w="199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1.71 (1.15, 2.54)</w:t>
            </w:r>
          </w:p>
        </w:tc>
        <w:tc>
          <w:tcPr>
            <w:tcW w:w="199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0.14 (0.04, 0.25)</w:t>
            </w:r>
          </w:p>
        </w:tc>
      </w:tr>
      <w:tr w:rsidR="0089504C" w:rsidRPr="006D767C" w:rsidTr="00B1543B">
        <w:trPr>
          <w:trHeight w:val="300"/>
        </w:trPr>
        <w:tc>
          <w:tcPr>
            <w:tcW w:w="9135" w:type="dxa"/>
            <w:gridSpan w:val="4"/>
            <w:shd w:val="clear" w:color="auto" w:fill="auto"/>
            <w:noWrap/>
            <w:hideMark/>
          </w:tcPr>
          <w:p w:rsidR="0089504C" w:rsidRPr="006D767C" w:rsidRDefault="00176B31" w:rsidP="0089504C">
            <w:pPr>
              <w:keepNext/>
              <w:spacing w:before="40" w:after="40"/>
              <w:jc w:val="left"/>
              <w:rPr>
                <w:rFonts w:ascii="Arial Narrow" w:hAnsi="Arial Narrow"/>
                <w:b/>
                <w:sz w:val="20"/>
              </w:rPr>
            </w:pPr>
            <w:r w:rsidRPr="006D767C">
              <w:rPr>
                <w:rFonts w:ascii="Arial Narrow" w:hAnsi="Arial Narrow"/>
                <w:b/>
                <w:sz w:val="20"/>
              </w:rPr>
              <w:t>Nivolumab vs d</w:t>
            </w:r>
            <w:r w:rsidR="0089504C" w:rsidRPr="006D767C">
              <w:rPr>
                <w:rFonts w:ascii="Arial Narrow" w:hAnsi="Arial Narrow"/>
                <w:b/>
                <w:sz w:val="20"/>
              </w:rPr>
              <w:t>ocetaxel</w:t>
            </w:r>
          </w:p>
        </w:tc>
      </w:tr>
      <w:tr w:rsidR="0089504C" w:rsidRPr="006D767C" w:rsidTr="00B1543B">
        <w:trPr>
          <w:trHeight w:val="285"/>
        </w:trPr>
        <w:tc>
          <w:tcPr>
            <w:tcW w:w="3145" w:type="dxa"/>
            <w:shd w:val="clear" w:color="auto" w:fill="auto"/>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CHECKMATE 017</w:t>
            </w:r>
          </w:p>
        </w:tc>
        <w:tc>
          <w:tcPr>
            <w:tcW w:w="201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2.59 (</w:t>
            </w:r>
            <w:r w:rsidR="0089504C" w:rsidRPr="006D767C">
              <w:rPr>
                <w:rFonts w:ascii="Arial Narrow" w:hAnsi="Arial Narrow"/>
                <w:sz w:val="20"/>
              </w:rPr>
              <w:t>1.39,</w:t>
            </w:r>
            <w:r w:rsidR="00B1543B" w:rsidRPr="006D767C">
              <w:rPr>
                <w:rFonts w:ascii="Arial Narrow" w:hAnsi="Arial Narrow"/>
                <w:sz w:val="20"/>
              </w:rPr>
              <w:t xml:space="preserve"> </w:t>
            </w:r>
            <w:r w:rsidRPr="006D767C">
              <w:rPr>
                <w:rFonts w:ascii="Arial Narrow" w:hAnsi="Arial Narrow"/>
                <w:sz w:val="20"/>
              </w:rPr>
              <w:t>4.82)</w:t>
            </w:r>
          </w:p>
        </w:tc>
        <w:tc>
          <w:tcPr>
            <w:tcW w:w="1990" w:type="dxa"/>
            <w:shd w:val="clear" w:color="auto" w:fill="auto"/>
            <w:noWrap/>
            <w:hideMark/>
          </w:tcPr>
          <w:p w:rsidR="0089504C" w:rsidRPr="006D767C" w:rsidRDefault="0089504C" w:rsidP="00D5280E">
            <w:pPr>
              <w:keepNext/>
              <w:spacing w:before="40" w:after="40"/>
              <w:jc w:val="center"/>
              <w:rPr>
                <w:rFonts w:ascii="Arial Narrow" w:hAnsi="Arial Narrow"/>
                <w:sz w:val="20"/>
              </w:rPr>
            </w:pPr>
            <w:r w:rsidRPr="006D767C">
              <w:rPr>
                <w:rFonts w:ascii="Arial Narrow" w:hAnsi="Arial Narrow"/>
                <w:sz w:val="20"/>
              </w:rPr>
              <w:t xml:space="preserve">2.14 </w:t>
            </w:r>
            <w:r w:rsidR="00D5280E" w:rsidRPr="006D767C">
              <w:rPr>
                <w:rFonts w:ascii="Arial Narrow" w:hAnsi="Arial Narrow"/>
                <w:sz w:val="20"/>
              </w:rPr>
              <w:t>(1.29, 3.56)</w:t>
            </w:r>
          </w:p>
        </w:tc>
        <w:tc>
          <w:tcPr>
            <w:tcW w:w="199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0.15 (0.06, 0.24)</w:t>
            </w:r>
          </w:p>
        </w:tc>
      </w:tr>
      <w:tr w:rsidR="0089504C" w:rsidRPr="006D767C" w:rsidTr="00B1543B">
        <w:trPr>
          <w:trHeight w:val="300"/>
        </w:trPr>
        <w:tc>
          <w:tcPr>
            <w:tcW w:w="3145" w:type="dxa"/>
            <w:shd w:val="clear" w:color="auto" w:fill="auto"/>
            <w:noWrap/>
            <w:hideMark/>
          </w:tcPr>
          <w:p w:rsidR="0089504C" w:rsidRPr="006D767C" w:rsidRDefault="0089504C" w:rsidP="0089504C">
            <w:pPr>
              <w:keepNext/>
              <w:spacing w:before="40" w:after="40"/>
              <w:jc w:val="left"/>
              <w:rPr>
                <w:rFonts w:ascii="Arial Narrow" w:hAnsi="Arial Narrow"/>
                <w:sz w:val="20"/>
              </w:rPr>
            </w:pPr>
            <w:r w:rsidRPr="006D767C">
              <w:rPr>
                <w:rFonts w:ascii="Arial Narrow" w:hAnsi="Arial Narrow"/>
                <w:sz w:val="20"/>
              </w:rPr>
              <w:t>CHECKMATE 057</w:t>
            </w:r>
          </w:p>
        </w:tc>
        <w:tc>
          <w:tcPr>
            <w:tcW w:w="201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2.11 (1.47, 3.03)</w:t>
            </w:r>
          </w:p>
        </w:tc>
        <w:tc>
          <w:tcPr>
            <w:tcW w:w="199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1.69 (1.30, 2.18)</w:t>
            </w:r>
          </w:p>
        </w:tc>
        <w:tc>
          <w:tcPr>
            <w:tcW w:w="1990" w:type="dxa"/>
            <w:shd w:val="clear" w:color="auto" w:fill="auto"/>
            <w:noWrap/>
            <w:hideMark/>
          </w:tcPr>
          <w:p w:rsidR="0089504C" w:rsidRPr="006D767C" w:rsidRDefault="00D5280E" w:rsidP="00D5280E">
            <w:pPr>
              <w:keepNext/>
              <w:spacing w:before="40" w:after="40"/>
              <w:jc w:val="center"/>
              <w:rPr>
                <w:rFonts w:ascii="Arial Narrow" w:hAnsi="Arial Narrow"/>
                <w:sz w:val="20"/>
              </w:rPr>
            </w:pPr>
            <w:r w:rsidRPr="006D767C">
              <w:rPr>
                <w:rFonts w:ascii="Arial Narrow" w:hAnsi="Arial Narrow"/>
                <w:sz w:val="20"/>
              </w:rPr>
              <w:t>0.16 (0.08, 0.23)</w:t>
            </w:r>
          </w:p>
        </w:tc>
      </w:tr>
      <w:tr w:rsidR="0089504C" w:rsidRPr="006D767C" w:rsidTr="00B1543B">
        <w:trPr>
          <w:trHeight w:val="300"/>
        </w:trPr>
        <w:tc>
          <w:tcPr>
            <w:tcW w:w="3145" w:type="dxa"/>
            <w:shd w:val="clear" w:color="auto" w:fill="auto"/>
            <w:noWrap/>
            <w:hideMark/>
          </w:tcPr>
          <w:p w:rsidR="0089504C" w:rsidRPr="006D767C" w:rsidRDefault="0089504C" w:rsidP="0089504C">
            <w:pPr>
              <w:keepNext/>
              <w:spacing w:before="40" w:after="40"/>
              <w:jc w:val="left"/>
              <w:rPr>
                <w:rFonts w:ascii="Arial Narrow" w:hAnsi="Arial Narrow"/>
                <w:b/>
                <w:sz w:val="20"/>
              </w:rPr>
            </w:pPr>
            <w:r w:rsidRPr="006D767C">
              <w:rPr>
                <w:rFonts w:ascii="Arial Narrow" w:hAnsi="Arial Narrow"/>
                <w:b/>
                <w:sz w:val="20"/>
              </w:rPr>
              <w:t>Meta-analyses</w:t>
            </w:r>
          </w:p>
        </w:tc>
        <w:tc>
          <w:tcPr>
            <w:tcW w:w="5990" w:type="dxa"/>
            <w:gridSpan w:val="3"/>
            <w:shd w:val="clear" w:color="auto" w:fill="auto"/>
            <w:noWrap/>
            <w:hideMark/>
          </w:tcPr>
          <w:p w:rsidR="0089504C" w:rsidRPr="006D767C" w:rsidRDefault="0089504C" w:rsidP="0089504C">
            <w:pPr>
              <w:keepNext/>
              <w:spacing w:before="40" w:after="40"/>
              <w:jc w:val="center"/>
              <w:rPr>
                <w:rFonts w:ascii="Arial Narrow" w:hAnsi="Arial Narrow"/>
                <w:b/>
                <w:sz w:val="20"/>
              </w:rPr>
            </w:pPr>
            <w:r w:rsidRPr="006D767C">
              <w:rPr>
                <w:rFonts w:ascii="Arial Narrow" w:hAnsi="Arial Narrow"/>
                <w:b/>
                <w:sz w:val="20"/>
              </w:rPr>
              <w:t>M</w:t>
            </w:r>
            <w:r w:rsidR="00B1543B" w:rsidRPr="006D767C">
              <w:rPr>
                <w:rFonts w:ascii="Arial Narrow" w:hAnsi="Arial Narrow"/>
                <w:b/>
                <w:sz w:val="20"/>
              </w:rPr>
              <w:t>antel</w:t>
            </w:r>
            <w:r w:rsidRPr="006D767C">
              <w:rPr>
                <w:rFonts w:ascii="Arial Narrow" w:hAnsi="Arial Narrow"/>
                <w:b/>
                <w:sz w:val="20"/>
              </w:rPr>
              <w:t>-H</w:t>
            </w:r>
            <w:r w:rsidR="00B1543B" w:rsidRPr="006D767C">
              <w:rPr>
                <w:rFonts w:ascii="Arial Narrow" w:hAnsi="Arial Narrow"/>
                <w:b/>
                <w:sz w:val="20"/>
              </w:rPr>
              <w:t>aenszel</w:t>
            </w:r>
            <w:r w:rsidRPr="006D767C">
              <w:rPr>
                <w:rFonts w:ascii="Arial Narrow" w:hAnsi="Arial Narrow"/>
                <w:b/>
                <w:sz w:val="20"/>
              </w:rPr>
              <w:t xml:space="preserve"> random effects model, RevMan5.3</w:t>
            </w:r>
          </w:p>
        </w:tc>
      </w:tr>
      <w:tr w:rsidR="0089504C" w:rsidRPr="006D767C" w:rsidTr="00B1543B">
        <w:trPr>
          <w:trHeight w:val="300"/>
        </w:trPr>
        <w:tc>
          <w:tcPr>
            <w:tcW w:w="9135" w:type="dxa"/>
            <w:gridSpan w:val="4"/>
            <w:shd w:val="clear" w:color="auto" w:fill="auto"/>
            <w:noWrap/>
            <w:hideMark/>
          </w:tcPr>
          <w:p w:rsidR="0089504C" w:rsidRPr="006D767C" w:rsidRDefault="0089504C" w:rsidP="00176B31">
            <w:pPr>
              <w:keepNext/>
              <w:spacing w:before="40" w:after="40"/>
              <w:jc w:val="left"/>
              <w:rPr>
                <w:rFonts w:ascii="Arial Narrow" w:hAnsi="Arial Narrow"/>
                <w:b/>
                <w:sz w:val="20"/>
              </w:rPr>
            </w:pPr>
            <w:r w:rsidRPr="006D767C">
              <w:rPr>
                <w:rFonts w:ascii="Arial Narrow" w:hAnsi="Arial Narrow"/>
                <w:b/>
                <w:sz w:val="20"/>
              </w:rPr>
              <w:t xml:space="preserve">Atezolizumab vs </w:t>
            </w:r>
            <w:r w:rsidR="00176B31" w:rsidRPr="006D767C">
              <w:rPr>
                <w:rFonts w:ascii="Arial Narrow" w:hAnsi="Arial Narrow"/>
                <w:b/>
                <w:sz w:val="20"/>
              </w:rPr>
              <w:t>d</w:t>
            </w:r>
            <w:r w:rsidRPr="006D767C">
              <w:rPr>
                <w:rFonts w:ascii="Arial Narrow" w:hAnsi="Arial Narrow"/>
                <w:b/>
                <w:sz w:val="20"/>
              </w:rPr>
              <w:t>ocetaxel</w:t>
            </w:r>
          </w:p>
        </w:tc>
      </w:tr>
      <w:tr w:rsidR="0089504C" w:rsidRPr="007D0983" w:rsidTr="00B1543B">
        <w:trPr>
          <w:trHeight w:val="300"/>
        </w:trPr>
        <w:tc>
          <w:tcPr>
            <w:tcW w:w="3145" w:type="dxa"/>
            <w:shd w:val="clear" w:color="auto" w:fill="auto"/>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OAK &amp; POPLAR</w:t>
            </w:r>
          </w:p>
        </w:tc>
        <w:tc>
          <w:tcPr>
            <w:tcW w:w="201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c>
          <w:tcPr>
            <w:tcW w:w="199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c>
          <w:tcPr>
            <w:tcW w:w="199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r>
      <w:tr w:rsidR="0089504C" w:rsidRPr="007D0983" w:rsidTr="00B1543B">
        <w:trPr>
          <w:trHeight w:val="300"/>
        </w:trPr>
        <w:tc>
          <w:tcPr>
            <w:tcW w:w="9135" w:type="dxa"/>
            <w:gridSpan w:val="4"/>
            <w:shd w:val="clear" w:color="auto" w:fill="auto"/>
            <w:noWrap/>
            <w:hideMark/>
          </w:tcPr>
          <w:p w:rsidR="0089504C" w:rsidRPr="007D0983" w:rsidRDefault="0089504C" w:rsidP="0089504C">
            <w:pPr>
              <w:keepNext/>
              <w:spacing w:before="40" w:after="40"/>
              <w:jc w:val="left"/>
              <w:rPr>
                <w:rFonts w:ascii="Arial Narrow" w:hAnsi="Arial Narrow"/>
                <w:b/>
                <w:sz w:val="20"/>
              </w:rPr>
            </w:pPr>
            <w:r w:rsidRPr="007D0983">
              <w:rPr>
                <w:rFonts w:ascii="Arial Narrow" w:hAnsi="Arial Narrow"/>
                <w:b/>
                <w:sz w:val="20"/>
              </w:rPr>
              <w:t>Nivolumab</w:t>
            </w:r>
            <w:r w:rsidR="00230315" w:rsidRPr="007D0983">
              <w:rPr>
                <w:rFonts w:ascii="Arial Narrow" w:hAnsi="Arial Narrow"/>
                <w:b/>
                <w:sz w:val="20"/>
              </w:rPr>
              <w:t xml:space="preserve"> vs d</w:t>
            </w:r>
            <w:r w:rsidRPr="007D0983">
              <w:rPr>
                <w:rFonts w:ascii="Arial Narrow" w:hAnsi="Arial Narrow"/>
                <w:b/>
                <w:sz w:val="20"/>
              </w:rPr>
              <w:t>ocetaxel</w:t>
            </w:r>
          </w:p>
        </w:tc>
      </w:tr>
      <w:tr w:rsidR="0089504C" w:rsidRPr="007D0983" w:rsidTr="00B1543B">
        <w:trPr>
          <w:trHeight w:val="285"/>
        </w:trPr>
        <w:tc>
          <w:tcPr>
            <w:tcW w:w="3145" w:type="dxa"/>
            <w:shd w:val="clear" w:color="auto" w:fill="auto"/>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CHECKMATE 017 &amp; CHECKMATE 057</w:t>
            </w:r>
          </w:p>
        </w:tc>
        <w:tc>
          <w:tcPr>
            <w:tcW w:w="201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c>
          <w:tcPr>
            <w:tcW w:w="199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c>
          <w:tcPr>
            <w:tcW w:w="199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r>
      <w:tr w:rsidR="0089504C" w:rsidRPr="007D0983" w:rsidTr="00B1543B">
        <w:trPr>
          <w:trHeight w:val="300"/>
        </w:trPr>
        <w:tc>
          <w:tcPr>
            <w:tcW w:w="3145" w:type="dxa"/>
            <w:shd w:val="clear" w:color="auto" w:fill="auto"/>
            <w:noWrap/>
            <w:hideMark/>
          </w:tcPr>
          <w:p w:rsidR="0089504C" w:rsidRPr="007D0983" w:rsidRDefault="0089504C" w:rsidP="0089504C">
            <w:pPr>
              <w:keepNext/>
              <w:spacing w:before="40" w:after="40"/>
              <w:jc w:val="left"/>
              <w:rPr>
                <w:rFonts w:ascii="Arial Narrow" w:hAnsi="Arial Narrow"/>
                <w:b/>
                <w:sz w:val="20"/>
              </w:rPr>
            </w:pPr>
            <w:r w:rsidRPr="007D0983">
              <w:rPr>
                <w:rFonts w:ascii="Arial Narrow" w:hAnsi="Arial Narrow"/>
                <w:b/>
                <w:sz w:val="20"/>
              </w:rPr>
              <w:t>Indirect comparisons</w:t>
            </w:r>
          </w:p>
        </w:tc>
        <w:tc>
          <w:tcPr>
            <w:tcW w:w="5990" w:type="dxa"/>
            <w:gridSpan w:val="3"/>
            <w:shd w:val="clear" w:color="auto" w:fill="auto"/>
            <w:noWrap/>
            <w:hideMark/>
          </w:tcPr>
          <w:p w:rsidR="0089504C" w:rsidRPr="007D0983" w:rsidRDefault="0089504C" w:rsidP="0089504C">
            <w:pPr>
              <w:keepNext/>
              <w:spacing w:before="40" w:after="40"/>
              <w:jc w:val="center"/>
              <w:rPr>
                <w:rFonts w:ascii="Arial Narrow" w:hAnsi="Arial Narrow"/>
                <w:b/>
                <w:sz w:val="20"/>
              </w:rPr>
            </w:pPr>
            <w:r w:rsidRPr="007D0983">
              <w:rPr>
                <w:rFonts w:ascii="Arial Narrow" w:hAnsi="Arial Narrow"/>
                <w:b/>
                <w:sz w:val="20"/>
              </w:rPr>
              <w:t>ITC Bucher method, CADTH calculator</w:t>
            </w:r>
          </w:p>
        </w:tc>
      </w:tr>
      <w:tr w:rsidR="0089504C" w:rsidRPr="007D0983" w:rsidTr="00B1543B">
        <w:trPr>
          <w:trHeight w:val="300"/>
        </w:trPr>
        <w:tc>
          <w:tcPr>
            <w:tcW w:w="9135" w:type="dxa"/>
            <w:gridSpan w:val="4"/>
            <w:shd w:val="clear" w:color="auto" w:fill="auto"/>
            <w:noWrap/>
            <w:hideMark/>
          </w:tcPr>
          <w:p w:rsidR="0089504C" w:rsidRPr="007D0983" w:rsidRDefault="0089504C" w:rsidP="00B1543B">
            <w:pPr>
              <w:keepNext/>
              <w:spacing w:before="40" w:after="40"/>
              <w:jc w:val="left"/>
              <w:rPr>
                <w:rFonts w:ascii="Arial Narrow" w:hAnsi="Arial Narrow"/>
                <w:sz w:val="20"/>
              </w:rPr>
            </w:pPr>
            <w:r w:rsidRPr="007D0983">
              <w:rPr>
                <w:rFonts w:ascii="Arial Narrow" w:hAnsi="Arial Narrow"/>
                <w:sz w:val="20"/>
              </w:rPr>
              <w:t xml:space="preserve">Atezolizumab vs </w:t>
            </w:r>
            <w:r w:rsidR="00B1543B" w:rsidRPr="007D0983">
              <w:rPr>
                <w:rFonts w:ascii="Arial Narrow" w:hAnsi="Arial Narrow"/>
                <w:sz w:val="20"/>
              </w:rPr>
              <w:t>n</w:t>
            </w:r>
            <w:r w:rsidRPr="007D0983">
              <w:rPr>
                <w:rFonts w:ascii="Arial Narrow" w:hAnsi="Arial Narrow"/>
                <w:sz w:val="20"/>
              </w:rPr>
              <w:t>ivolumab*</w:t>
            </w:r>
          </w:p>
        </w:tc>
      </w:tr>
      <w:tr w:rsidR="0089504C" w:rsidRPr="007D0983" w:rsidTr="00B1543B">
        <w:trPr>
          <w:trHeight w:val="300"/>
        </w:trPr>
        <w:tc>
          <w:tcPr>
            <w:tcW w:w="3145" w:type="dxa"/>
            <w:shd w:val="clear" w:color="auto" w:fill="auto"/>
            <w:noWrap/>
            <w:hideMark/>
          </w:tcPr>
          <w:p w:rsidR="0089504C" w:rsidRPr="007D0983" w:rsidRDefault="0089504C" w:rsidP="0089504C">
            <w:pPr>
              <w:keepNext/>
              <w:spacing w:before="40" w:after="40"/>
              <w:jc w:val="left"/>
              <w:rPr>
                <w:rFonts w:ascii="Arial Narrow" w:hAnsi="Arial Narrow"/>
                <w:sz w:val="20"/>
              </w:rPr>
            </w:pPr>
            <w:r w:rsidRPr="007D0983">
              <w:rPr>
                <w:rFonts w:ascii="Arial Narrow" w:hAnsi="Arial Narrow"/>
                <w:sz w:val="20"/>
              </w:rPr>
              <w:t>OAK &amp; POPLAR vs CHECKMATE 017 &amp; CHECKMATE 057</w:t>
            </w:r>
          </w:p>
        </w:tc>
        <w:tc>
          <w:tcPr>
            <w:tcW w:w="201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99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c>
          <w:tcPr>
            <w:tcW w:w="1990" w:type="dxa"/>
            <w:shd w:val="clear" w:color="auto" w:fill="auto"/>
            <w:noWrap/>
            <w:hideMark/>
          </w:tcPr>
          <w:p w:rsidR="0089504C" w:rsidRPr="002041B0" w:rsidRDefault="002041B0" w:rsidP="00D5280E">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r>
    </w:tbl>
    <w:p w:rsidR="00B1543B" w:rsidRPr="007D0983" w:rsidRDefault="00D5280E" w:rsidP="00F42A62">
      <w:pPr>
        <w:pStyle w:val="TableFooter"/>
      </w:pPr>
      <w:r w:rsidRPr="007D0983">
        <w:t xml:space="preserve">OR = odds ratio; RR = relative risk; RD = risk difference; </w:t>
      </w:r>
      <w:r w:rsidR="00B1543B" w:rsidRPr="007D0983">
        <w:t>ITC = indirect treatment comparison; CADTH = Canadian Agency for Drugs and Technologies in Health.</w:t>
      </w:r>
    </w:p>
    <w:p w:rsidR="0089504C" w:rsidRPr="007D0983" w:rsidRDefault="0089504C" w:rsidP="00F42A62">
      <w:pPr>
        <w:pStyle w:val="TableFooter"/>
        <w:rPr>
          <w:rFonts w:eastAsia="SimSun"/>
        </w:rPr>
      </w:pPr>
      <w:r w:rsidRPr="007D0983">
        <w:rPr>
          <w:rFonts w:eastAsia="SimSun"/>
        </w:rPr>
        <w:t>*</w:t>
      </w:r>
      <w:r w:rsidR="00B1543B" w:rsidRPr="007D0983">
        <w:rPr>
          <w:rFonts w:eastAsia="SimSun"/>
        </w:rPr>
        <w:t xml:space="preserve"> </w:t>
      </w:r>
      <w:r w:rsidRPr="007D0983">
        <w:rPr>
          <w:rFonts w:eastAsia="SimSun"/>
        </w:rPr>
        <w:t>Numbers above 1 (OR, RR) or 0 (RD) favour atezolizumab</w:t>
      </w:r>
      <w:r w:rsidR="00E55C7B" w:rsidRPr="007D0983">
        <w:rPr>
          <w:rFonts w:eastAsia="SimSun"/>
        </w:rPr>
        <w:t>.</w:t>
      </w:r>
    </w:p>
    <w:p w:rsidR="0089504C" w:rsidRPr="007D0983" w:rsidRDefault="0089504C" w:rsidP="00F42A62">
      <w:pPr>
        <w:pStyle w:val="TableFooter"/>
      </w:pPr>
      <w:r w:rsidRPr="007D0983">
        <w:t>Source: Table 2.6.3, Section 2 of the submission</w:t>
      </w:r>
      <w:r w:rsidR="00E55C7B" w:rsidRPr="007D0983">
        <w:t>.</w:t>
      </w:r>
    </w:p>
    <w:p w:rsidR="00C87201" w:rsidRPr="007D0983" w:rsidRDefault="00C87201" w:rsidP="002D73C8">
      <w:pPr>
        <w:numPr>
          <w:ilvl w:val="1"/>
          <w:numId w:val="1"/>
        </w:numPr>
        <w:spacing w:before="0" w:after="120"/>
      </w:pPr>
      <w:r w:rsidRPr="007D0983">
        <w:t>The submission did not provide an indirect comparison of atezolizumab vs nivolumab by histology. This analysis was conducted during the evaluation. Results are presented in the table below.</w:t>
      </w:r>
    </w:p>
    <w:p w:rsidR="005343DF" w:rsidRPr="007D0983" w:rsidRDefault="00C87201" w:rsidP="000363D3">
      <w:pPr>
        <w:pStyle w:val="TableHeading0"/>
      </w:pPr>
      <w:r w:rsidRPr="007D0983">
        <w:t>Table 10</w:t>
      </w:r>
      <w:r w:rsidR="005343DF" w:rsidRPr="007D0983">
        <w:t>: Results of the indirect comparison of atezoliz</w:t>
      </w:r>
      <w:r w:rsidR="00252F20" w:rsidRPr="007D0983">
        <w:t>umab vs nivolumab by histology</w:t>
      </w:r>
    </w:p>
    <w:tbl>
      <w:tblPr>
        <w:tblStyle w:val="TableGrid1"/>
        <w:tblW w:w="5000" w:type="pct"/>
        <w:tblLook w:val="04A0" w:firstRow="1" w:lastRow="0" w:firstColumn="1" w:lastColumn="0" w:noHBand="0" w:noVBand="1"/>
        <w:tblCaption w:val="Table 10: Results of the indirect comparison of atezolizumab vs nivolumab by histology"/>
      </w:tblPr>
      <w:tblGrid>
        <w:gridCol w:w="1860"/>
        <w:gridCol w:w="2462"/>
        <w:gridCol w:w="2462"/>
        <w:gridCol w:w="2459"/>
      </w:tblGrid>
      <w:tr w:rsidR="005343DF" w:rsidRPr="007D0983" w:rsidTr="00042C0C">
        <w:trPr>
          <w:tblHeader/>
        </w:trPr>
        <w:tc>
          <w:tcPr>
            <w:tcW w:w="5000" w:type="pct"/>
            <w:gridSpan w:val="4"/>
            <w:noWrap/>
            <w:hideMark/>
          </w:tcPr>
          <w:p w:rsidR="005343DF" w:rsidRPr="007D0983" w:rsidRDefault="005343DF" w:rsidP="00D5280E">
            <w:pPr>
              <w:pStyle w:val="TableText"/>
              <w:spacing w:before="0" w:after="0"/>
              <w:jc w:val="center"/>
              <w:rPr>
                <w:b/>
                <w:szCs w:val="20"/>
                <w:lang w:eastAsia="en-AU"/>
              </w:rPr>
            </w:pPr>
            <w:r w:rsidRPr="007D0983">
              <w:rPr>
                <w:b/>
                <w:bCs/>
                <w:color w:val="000000"/>
                <w:szCs w:val="20"/>
                <w:lang w:eastAsia="en-AU"/>
              </w:rPr>
              <w:t xml:space="preserve">Time to </w:t>
            </w:r>
            <w:r w:rsidR="00D5280E" w:rsidRPr="007D0983">
              <w:rPr>
                <w:b/>
                <w:bCs/>
                <w:color w:val="000000"/>
                <w:szCs w:val="20"/>
                <w:lang w:eastAsia="en-AU"/>
              </w:rPr>
              <w:t>e</w:t>
            </w:r>
            <w:r w:rsidRPr="007D0983">
              <w:rPr>
                <w:b/>
                <w:bCs/>
                <w:color w:val="000000"/>
                <w:szCs w:val="20"/>
                <w:lang w:eastAsia="en-AU"/>
              </w:rPr>
              <w:t>vent (O</w:t>
            </w:r>
            <w:r w:rsidR="00D5280E" w:rsidRPr="007D0983">
              <w:rPr>
                <w:b/>
                <w:bCs/>
                <w:color w:val="000000"/>
                <w:szCs w:val="20"/>
                <w:lang w:eastAsia="en-AU"/>
              </w:rPr>
              <w:t>verall survival</w:t>
            </w:r>
            <w:r w:rsidRPr="007D0983">
              <w:rPr>
                <w:b/>
                <w:bCs/>
                <w:color w:val="000000"/>
                <w:szCs w:val="20"/>
                <w:lang w:eastAsia="en-AU"/>
              </w:rPr>
              <w:t>)</w:t>
            </w:r>
          </w:p>
        </w:tc>
      </w:tr>
      <w:tr w:rsidR="000363D3" w:rsidRPr="007D0983" w:rsidTr="000363D3">
        <w:tc>
          <w:tcPr>
            <w:tcW w:w="1006" w:type="pct"/>
            <w:noWrap/>
          </w:tcPr>
          <w:p w:rsidR="000363D3" w:rsidRPr="007D0983" w:rsidRDefault="000363D3" w:rsidP="005343DF">
            <w:pPr>
              <w:pStyle w:val="TableText"/>
              <w:spacing w:before="0" w:after="0"/>
              <w:rPr>
                <w:color w:val="000000"/>
                <w:szCs w:val="20"/>
                <w:lang w:eastAsia="en-AU"/>
              </w:rPr>
            </w:pPr>
          </w:p>
        </w:tc>
        <w:tc>
          <w:tcPr>
            <w:tcW w:w="3994" w:type="pct"/>
            <w:gridSpan w:val="3"/>
            <w:noWrap/>
          </w:tcPr>
          <w:p w:rsidR="000363D3" w:rsidRPr="007D0983" w:rsidRDefault="000363D3" w:rsidP="00D5280E">
            <w:pPr>
              <w:pStyle w:val="TableText"/>
              <w:spacing w:before="0" w:after="0"/>
              <w:jc w:val="center"/>
              <w:rPr>
                <w:b/>
                <w:color w:val="000000"/>
                <w:szCs w:val="20"/>
                <w:lang w:eastAsia="en-AU"/>
              </w:rPr>
            </w:pPr>
            <w:r w:rsidRPr="007D0983">
              <w:rPr>
                <w:b/>
                <w:bCs/>
                <w:color w:val="000000"/>
                <w:szCs w:val="20"/>
                <w:lang w:eastAsia="en-AU"/>
              </w:rPr>
              <w:t>H</w:t>
            </w:r>
            <w:r w:rsidR="00D5280E" w:rsidRPr="007D0983">
              <w:rPr>
                <w:b/>
                <w:bCs/>
                <w:color w:val="000000"/>
                <w:szCs w:val="20"/>
                <w:lang w:eastAsia="en-AU"/>
              </w:rPr>
              <w:t>azard ratio</w:t>
            </w:r>
            <w:r w:rsidR="00D5280E" w:rsidRPr="007D0983">
              <w:rPr>
                <w:b/>
                <w:color w:val="000000"/>
                <w:szCs w:val="20"/>
                <w:lang w:eastAsia="en-AU"/>
              </w:rPr>
              <w:t xml:space="preserve"> (95% CI)</w:t>
            </w:r>
          </w:p>
        </w:tc>
      </w:tr>
      <w:tr w:rsidR="000363D3" w:rsidRPr="007D0983" w:rsidTr="000363D3">
        <w:tc>
          <w:tcPr>
            <w:tcW w:w="1006" w:type="pct"/>
            <w:noWrap/>
            <w:hideMark/>
          </w:tcPr>
          <w:p w:rsidR="000363D3" w:rsidRPr="007D0983" w:rsidRDefault="000363D3" w:rsidP="005343DF">
            <w:pPr>
              <w:pStyle w:val="TableText"/>
              <w:spacing w:before="0" w:after="0"/>
              <w:rPr>
                <w:color w:val="000000"/>
                <w:szCs w:val="20"/>
                <w:lang w:eastAsia="en-AU"/>
              </w:rPr>
            </w:pPr>
            <w:r w:rsidRPr="007D0983">
              <w:rPr>
                <w:color w:val="000000"/>
                <w:szCs w:val="20"/>
                <w:lang w:eastAsia="en-AU"/>
              </w:rPr>
              <w:t>Squamous</w:t>
            </w:r>
          </w:p>
        </w:tc>
        <w:tc>
          <w:tcPr>
            <w:tcW w:w="3994" w:type="pct"/>
            <w:gridSpan w:val="3"/>
            <w:noWrap/>
            <w:hideMark/>
          </w:tcPr>
          <w:p w:rsidR="000363D3" w:rsidRPr="002041B0" w:rsidRDefault="002041B0" w:rsidP="000363D3">
            <w:pPr>
              <w:pStyle w:val="TableText"/>
              <w:spacing w:before="0" w:after="0"/>
              <w:jc w:val="center"/>
              <w:rPr>
                <w:color w:val="000000"/>
                <w:szCs w:val="20"/>
                <w:highlight w:val="black"/>
                <w:lang w:eastAsia="en-AU"/>
              </w:rPr>
            </w:pPr>
            <w:r>
              <w:rPr>
                <w:noProof/>
                <w:color w:val="000000"/>
                <w:szCs w:val="20"/>
                <w:highlight w:val="black"/>
                <w:lang w:eastAsia="en-AU"/>
              </w:rPr>
              <w:t>'''''''''''' '''''''''''''''' ''''''''''''''''</w:t>
            </w:r>
          </w:p>
        </w:tc>
      </w:tr>
      <w:tr w:rsidR="000363D3" w:rsidRPr="007D0983" w:rsidTr="000363D3">
        <w:tc>
          <w:tcPr>
            <w:tcW w:w="1006" w:type="pct"/>
            <w:noWrap/>
            <w:hideMark/>
          </w:tcPr>
          <w:p w:rsidR="000363D3" w:rsidRPr="007D0983" w:rsidRDefault="000363D3" w:rsidP="005343DF">
            <w:pPr>
              <w:pStyle w:val="TableText"/>
              <w:spacing w:before="0" w:after="0"/>
              <w:rPr>
                <w:color w:val="000000"/>
                <w:szCs w:val="20"/>
                <w:lang w:eastAsia="en-AU"/>
              </w:rPr>
            </w:pPr>
            <w:r w:rsidRPr="007D0983">
              <w:rPr>
                <w:color w:val="000000"/>
                <w:szCs w:val="20"/>
                <w:lang w:eastAsia="en-AU"/>
              </w:rPr>
              <w:t>Non-squamous</w:t>
            </w:r>
          </w:p>
        </w:tc>
        <w:tc>
          <w:tcPr>
            <w:tcW w:w="3994" w:type="pct"/>
            <w:gridSpan w:val="3"/>
            <w:noWrap/>
            <w:hideMark/>
          </w:tcPr>
          <w:p w:rsidR="000363D3" w:rsidRPr="002041B0" w:rsidRDefault="002041B0" w:rsidP="000363D3">
            <w:pPr>
              <w:pStyle w:val="TableText"/>
              <w:spacing w:before="0" w:after="0"/>
              <w:jc w:val="center"/>
              <w:rPr>
                <w:color w:val="000000"/>
                <w:szCs w:val="20"/>
                <w:highlight w:val="black"/>
                <w:lang w:eastAsia="en-AU"/>
              </w:rPr>
            </w:pPr>
            <w:r>
              <w:rPr>
                <w:noProof/>
                <w:color w:val="000000"/>
                <w:szCs w:val="20"/>
                <w:highlight w:val="black"/>
                <w:lang w:eastAsia="en-AU"/>
              </w:rPr>
              <w:t>''''''''''''' '''''''''''''''''' '''''''''''''''</w:t>
            </w:r>
          </w:p>
        </w:tc>
      </w:tr>
      <w:tr w:rsidR="005343DF" w:rsidRPr="007D0983" w:rsidTr="005343DF">
        <w:tc>
          <w:tcPr>
            <w:tcW w:w="5000" w:type="pct"/>
            <w:gridSpan w:val="4"/>
            <w:noWrap/>
          </w:tcPr>
          <w:p w:rsidR="005343DF" w:rsidRPr="007D0983" w:rsidRDefault="005343DF" w:rsidP="00D5280E">
            <w:pPr>
              <w:pStyle w:val="TableText"/>
              <w:spacing w:before="0" w:after="0"/>
              <w:jc w:val="center"/>
              <w:rPr>
                <w:b/>
                <w:bCs/>
                <w:color w:val="000000"/>
                <w:szCs w:val="20"/>
                <w:lang w:eastAsia="en-AU"/>
              </w:rPr>
            </w:pPr>
            <w:r w:rsidRPr="007D0983">
              <w:rPr>
                <w:b/>
                <w:bCs/>
                <w:color w:val="000000"/>
                <w:szCs w:val="20"/>
                <w:lang w:eastAsia="en-AU"/>
              </w:rPr>
              <w:t>O</w:t>
            </w:r>
            <w:r w:rsidR="00D5280E" w:rsidRPr="007D0983">
              <w:rPr>
                <w:b/>
                <w:bCs/>
                <w:color w:val="000000"/>
                <w:szCs w:val="20"/>
                <w:lang w:eastAsia="en-AU"/>
              </w:rPr>
              <w:t>verall survival</w:t>
            </w:r>
            <w:r w:rsidRPr="007D0983">
              <w:rPr>
                <w:b/>
                <w:bCs/>
                <w:color w:val="000000"/>
                <w:szCs w:val="20"/>
                <w:lang w:eastAsia="en-AU"/>
              </w:rPr>
              <w:t xml:space="preserve"> rate at 12 months</w:t>
            </w:r>
          </w:p>
        </w:tc>
      </w:tr>
      <w:tr w:rsidR="005343DF" w:rsidRPr="007D0983" w:rsidTr="005343DF">
        <w:tc>
          <w:tcPr>
            <w:tcW w:w="1006" w:type="pct"/>
            <w:noWrap/>
            <w:hideMark/>
          </w:tcPr>
          <w:p w:rsidR="005343DF" w:rsidRPr="007D0983" w:rsidRDefault="005343DF" w:rsidP="005343DF">
            <w:pPr>
              <w:pStyle w:val="TableText"/>
              <w:spacing w:before="0" w:after="0"/>
              <w:rPr>
                <w:b/>
                <w:bCs/>
                <w:color w:val="000000"/>
                <w:szCs w:val="20"/>
                <w:lang w:eastAsia="en-AU"/>
              </w:rPr>
            </w:pPr>
          </w:p>
        </w:tc>
        <w:tc>
          <w:tcPr>
            <w:tcW w:w="1332" w:type="pct"/>
            <w:noWrap/>
            <w:hideMark/>
          </w:tcPr>
          <w:p w:rsidR="005343DF" w:rsidRPr="007D0983" w:rsidRDefault="00D5280E" w:rsidP="005343DF">
            <w:pPr>
              <w:pStyle w:val="TableText"/>
              <w:spacing w:before="0" w:after="0"/>
              <w:jc w:val="center"/>
              <w:rPr>
                <w:b/>
                <w:bCs/>
                <w:color w:val="000000"/>
                <w:szCs w:val="20"/>
                <w:lang w:eastAsia="en-AU"/>
              </w:rPr>
            </w:pPr>
            <w:r w:rsidRPr="007D0983">
              <w:rPr>
                <w:b/>
                <w:bCs/>
                <w:color w:val="000000"/>
                <w:szCs w:val="20"/>
                <w:lang w:eastAsia="en-AU"/>
              </w:rPr>
              <w:t>OR (95% CI)</w:t>
            </w:r>
          </w:p>
        </w:tc>
        <w:tc>
          <w:tcPr>
            <w:tcW w:w="1332" w:type="pct"/>
            <w:noWrap/>
            <w:hideMark/>
          </w:tcPr>
          <w:p w:rsidR="005343DF" w:rsidRPr="007D0983" w:rsidRDefault="005343DF" w:rsidP="00D5280E">
            <w:pPr>
              <w:pStyle w:val="TableText"/>
              <w:spacing w:before="0" w:after="0"/>
              <w:jc w:val="center"/>
              <w:rPr>
                <w:b/>
                <w:bCs/>
                <w:color w:val="000000"/>
                <w:szCs w:val="20"/>
                <w:lang w:eastAsia="en-AU"/>
              </w:rPr>
            </w:pPr>
            <w:r w:rsidRPr="007D0983">
              <w:rPr>
                <w:b/>
                <w:bCs/>
                <w:color w:val="000000"/>
                <w:szCs w:val="20"/>
                <w:lang w:eastAsia="en-AU"/>
              </w:rPr>
              <w:t xml:space="preserve">RR </w:t>
            </w:r>
            <w:r w:rsidR="00D5280E" w:rsidRPr="007D0983">
              <w:rPr>
                <w:b/>
                <w:bCs/>
                <w:color w:val="000000"/>
                <w:szCs w:val="20"/>
                <w:lang w:eastAsia="en-AU"/>
              </w:rPr>
              <w:t>(95% CI)</w:t>
            </w:r>
          </w:p>
        </w:tc>
        <w:tc>
          <w:tcPr>
            <w:tcW w:w="1330" w:type="pct"/>
            <w:noWrap/>
            <w:hideMark/>
          </w:tcPr>
          <w:p w:rsidR="005343DF" w:rsidRPr="007D0983" w:rsidRDefault="00D5280E" w:rsidP="005343DF">
            <w:pPr>
              <w:pStyle w:val="TableText"/>
              <w:spacing w:before="0" w:after="0"/>
              <w:jc w:val="center"/>
              <w:rPr>
                <w:b/>
                <w:bCs/>
                <w:color w:val="000000"/>
                <w:szCs w:val="20"/>
                <w:lang w:eastAsia="en-AU"/>
              </w:rPr>
            </w:pPr>
            <w:r w:rsidRPr="007D0983">
              <w:rPr>
                <w:b/>
                <w:bCs/>
                <w:color w:val="000000"/>
                <w:szCs w:val="20"/>
                <w:lang w:eastAsia="en-AU"/>
              </w:rPr>
              <w:t>RD (95% CI)</w:t>
            </w:r>
          </w:p>
        </w:tc>
      </w:tr>
      <w:tr w:rsidR="005343DF" w:rsidRPr="007D0983" w:rsidTr="005343DF">
        <w:tc>
          <w:tcPr>
            <w:tcW w:w="1006" w:type="pct"/>
            <w:noWrap/>
            <w:hideMark/>
          </w:tcPr>
          <w:p w:rsidR="005343DF" w:rsidRPr="007D0983" w:rsidRDefault="005343DF" w:rsidP="005343DF">
            <w:pPr>
              <w:pStyle w:val="TableText"/>
              <w:spacing w:before="0" w:after="0"/>
              <w:rPr>
                <w:color w:val="000000"/>
                <w:szCs w:val="20"/>
                <w:lang w:eastAsia="en-AU"/>
              </w:rPr>
            </w:pPr>
            <w:r w:rsidRPr="007D0983">
              <w:rPr>
                <w:color w:val="000000"/>
                <w:szCs w:val="20"/>
                <w:lang w:eastAsia="en-AU"/>
              </w:rPr>
              <w:t>Squamous</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0"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r>
      <w:tr w:rsidR="005343DF" w:rsidRPr="007D0983" w:rsidTr="005343DF">
        <w:tc>
          <w:tcPr>
            <w:tcW w:w="1006" w:type="pct"/>
            <w:noWrap/>
            <w:hideMark/>
          </w:tcPr>
          <w:p w:rsidR="005343DF" w:rsidRPr="007D0983" w:rsidRDefault="005343DF" w:rsidP="005343DF">
            <w:pPr>
              <w:pStyle w:val="TableText"/>
              <w:spacing w:before="0" w:after="0"/>
              <w:rPr>
                <w:color w:val="000000"/>
                <w:szCs w:val="20"/>
                <w:lang w:eastAsia="en-AU"/>
              </w:rPr>
            </w:pPr>
            <w:r w:rsidRPr="007D0983">
              <w:rPr>
                <w:color w:val="000000"/>
                <w:szCs w:val="20"/>
                <w:lang w:eastAsia="en-AU"/>
              </w:rPr>
              <w:t>Non-squamous</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0"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r>
      <w:tr w:rsidR="005343DF" w:rsidRPr="007D0983" w:rsidTr="005343DF">
        <w:tc>
          <w:tcPr>
            <w:tcW w:w="5000" w:type="pct"/>
            <w:gridSpan w:val="4"/>
            <w:noWrap/>
            <w:hideMark/>
          </w:tcPr>
          <w:p w:rsidR="005343DF" w:rsidRPr="007D0983" w:rsidRDefault="005343DF" w:rsidP="00D5280E">
            <w:pPr>
              <w:pStyle w:val="TableText"/>
              <w:spacing w:before="0" w:after="0"/>
              <w:jc w:val="center"/>
              <w:rPr>
                <w:szCs w:val="20"/>
                <w:lang w:eastAsia="en-AU"/>
              </w:rPr>
            </w:pPr>
            <w:r w:rsidRPr="007D0983">
              <w:rPr>
                <w:b/>
                <w:bCs/>
                <w:color w:val="000000"/>
                <w:szCs w:val="20"/>
                <w:lang w:eastAsia="en-AU"/>
              </w:rPr>
              <w:t>O</w:t>
            </w:r>
            <w:r w:rsidR="00D5280E" w:rsidRPr="007D0983">
              <w:rPr>
                <w:b/>
                <w:bCs/>
                <w:color w:val="000000"/>
                <w:szCs w:val="20"/>
                <w:lang w:eastAsia="en-AU"/>
              </w:rPr>
              <w:t>verall survival</w:t>
            </w:r>
            <w:r w:rsidRPr="007D0983">
              <w:rPr>
                <w:b/>
                <w:bCs/>
                <w:color w:val="000000"/>
                <w:szCs w:val="20"/>
                <w:lang w:eastAsia="en-AU"/>
              </w:rPr>
              <w:t xml:space="preserve"> rate at 18 months</w:t>
            </w:r>
          </w:p>
        </w:tc>
      </w:tr>
      <w:tr w:rsidR="005343DF" w:rsidRPr="007D0983" w:rsidTr="005343DF">
        <w:tc>
          <w:tcPr>
            <w:tcW w:w="1006" w:type="pct"/>
            <w:noWrap/>
            <w:hideMark/>
          </w:tcPr>
          <w:p w:rsidR="005343DF" w:rsidRPr="007D0983" w:rsidRDefault="005343DF" w:rsidP="005343DF">
            <w:pPr>
              <w:pStyle w:val="TableText"/>
              <w:spacing w:before="0" w:after="0"/>
              <w:rPr>
                <w:color w:val="000000"/>
                <w:szCs w:val="20"/>
                <w:lang w:eastAsia="en-AU"/>
              </w:rPr>
            </w:pPr>
            <w:r w:rsidRPr="007D0983">
              <w:rPr>
                <w:color w:val="000000"/>
                <w:szCs w:val="20"/>
                <w:lang w:eastAsia="en-AU"/>
              </w:rPr>
              <w:t>Squamous</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0"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r>
      <w:tr w:rsidR="005343DF" w:rsidRPr="006D767C" w:rsidTr="005343DF">
        <w:tc>
          <w:tcPr>
            <w:tcW w:w="1006" w:type="pct"/>
            <w:noWrap/>
            <w:hideMark/>
          </w:tcPr>
          <w:p w:rsidR="005343DF" w:rsidRPr="007D0983" w:rsidRDefault="005343DF" w:rsidP="005343DF">
            <w:pPr>
              <w:pStyle w:val="TableText"/>
              <w:spacing w:before="0" w:after="0"/>
              <w:rPr>
                <w:color w:val="000000"/>
                <w:szCs w:val="20"/>
                <w:lang w:eastAsia="en-AU"/>
              </w:rPr>
            </w:pPr>
            <w:r w:rsidRPr="007D0983">
              <w:rPr>
                <w:color w:val="000000"/>
                <w:szCs w:val="20"/>
                <w:lang w:eastAsia="en-AU"/>
              </w:rPr>
              <w:t>Non-squamous</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2"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c>
          <w:tcPr>
            <w:tcW w:w="1330" w:type="pct"/>
            <w:noWrap/>
            <w:hideMark/>
          </w:tcPr>
          <w:p w:rsidR="005343DF" w:rsidRPr="002041B0" w:rsidRDefault="002041B0" w:rsidP="005343DF">
            <w:pPr>
              <w:pStyle w:val="TableText"/>
              <w:spacing w:before="0" w:after="0"/>
              <w:jc w:val="center"/>
              <w:rPr>
                <w:color w:val="000000"/>
                <w:szCs w:val="20"/>
                <w:highlight w:val="black"/>
                <w:lang w:eastAsia="en-AU"/>
              </w:rPr>
            </w:pPr>
            <w:r>
              <w:rPr>
                <w:noProof/>
                <w:color w:val="000000"/>
                <w:szCs w:val="20"/>
                <w:highlight w:val="black"/>
                <w:lang w:eastAsia="en-AU"/>
              </w:rPr>
              <w:t>'''''''''''' '''''''''''''''''''' ''''''''''''</w:t>
            </w:r>
          </w:p>
        </w:tc>
      </w:tr>
    </w:tbl>
    <w:p w:rsidR="00D5280E" w:rsidRPr="006D767C" w:rsidRDefault="00D5280E" w:rsidP="00F42A62">
      <w:pPr>
        <w:pStyle w:val="TableFooter"/>
      </w:pPr>
      <w:r w:rsidRPr="006D767C">
        <w:t>OR = odds ratio; RR = relative risk; RD = risk difference.</w:t>
      </w:r>
    </w:p>
    <w:p w:rsidR="00FA7D56" w:rsidRPr="006D767C" w:rsidRDefault="000363D3" w:rsidP="00F42A62">
      <w:pPr>
        <w:pStyle w:val="TableFooter"/>
      </w:pPr>
      <w:r w:rsidRPr="006D767C">
        <w:t>Source: Compiled during the evaluation, based on information presented in the submission.</w:t>
      </w:r>
    </w:p>
    <w:p w:rsidR="0089504C" w:rsidRPr="006D767C" w:rsidRDefault="00905BC8" w:rsidP="002D73C8">
      <w:pPr>
        <w:numPr>
          <w:ilvl w:val="1"/>
          <w:numId w:val="1"/>
        </w:numPr>
        <w:spacing w:before="0" w:after="120"/>
      </w:pPr>
      <w:r w:rsidRPr="006D767C">
        <w:t xml:space="preserve">The submission stated that an appropriate non-inferiority margin for the comparison of immunotherapies in NSCLC has not yet been established. The submission indicated that the PBAC has previously considered a comparison of immunotherapies for melanoma (nivolumab vs pembrolizumab), where the results of an indirect treatment comparison for OS, with a HR of 1.04 (0.70, 1.54) was accepted as a basis for non-inferiority. The submission requested that PBAC consider this past precedent for acceptance of non-inferiority for the current comparison of immunotherapies, considering the totality of evidence across key patient-relevant outcomes when considering the clinical claims made in the submission. However, it should be noted that the confidence intervals of the OS rates from the indirect comparison at both 12 and 18 months contained differences that might be clinically meaningful (Table </w:t>
      </w:r>
      <w:r w:rsidR="00D92652">
        <w:t>9</w:t>
      </w:r>
      <w:r w:rsidRPr="006D767C">
        <w:t>). Similar results were reported for the indirect comparisons by histology. Therefore, an inferior treatment effect of atezolizumab compared with nivolumab could not be ruled out.</w:t>
      </w:r>
    </w:p>
    <w:p w:rsidR="00DF532C" w:rsidRPr="006D767C" w:rsidRDefault="00DF532C" w:rsidP="002D73C8">
      <w:pPr>
        <w:numPr>
          <w:ilvl w:val="2"/>
          <w:numId w:val="1"/>
        </w:numPr>
        <w:spacing w:before="0" w:after="120"/>
        <w:ind w:left="1134" w:hanging="425"/>
      </w:pPr>
      <w:r w:rsidRPr="006D767C">
        <w:t xml:space="preserve">The PSCR </w:t>
      </w:r>
      <w:r w:rsidR="009A2BAD" w:rsidRPr="006D767C">
        <w:t xml:space="preserve">(p1) </w:t>
      </w:r>
      <w:r w:rsidRPr="006D767C">
        <w:t xml:space="preserve">argued that inferior treatment effect of atezolizumab compared with nivolumab could indeed be ruled out, by presenting a scenario analyses which </w:t>
      </w:r>
      <w:r w:rsidR="006F461C" w:rsidRPr="006D767C">
        <w:t xml:space="preserve">claimed </w:t>
      </w:r>
      <w:r w:rsidRPr="006D767C">
        <w:t xml:space="preserve">that to assume inferiority, an input of pooled OS HR of </w:t>
      </w:r>
      <w:r w:rsidR="002041B0">
        <w:rPr>
          <w:noProof/>
          <w:color w:val="000000"/>
          <w:highlight w:val="black"/>
        </w:rPr>
        <w:t>'''''''' '''''''''''' ''''''''''</w:t>
      </w:r>
      <w:r w:rsidRPr="006D767C">
        <w:t xml:space="preserve"> was required, in contrast to the observed pooled results from the trials of OS HR (95%CI) </w:t>
      </w:r>
      <w:r w:rsidR="002041B0">
        <w:rPr>
          <w:noProof/>
          <w:color w:val="000000"/>
          <w:highlight w:val="black"/>
        </w:rPr>
        <w:t>''''''''' '''''''''' ''''''''''</w:t>
      </w:r>
      <w:r w:rsidR="009A2BAD" w:rsidRPr="006D767C">
        <w:t xml:space="preserve">. Additionally, the PSCR claimed that the odds ratio, relative risk and risk difference measures in the scenario analyses were outside the 95% CI for the actual observed pooled data for atezolizumab vs docetaxel. </w:t>
      </w:r>
      <w:r w:rsidR="00CD2D40" w:rsidRPr="006D767C">
        <w:t>T</w:t>
      </w:r>
      <w:r w:rsidR="009A2BAD" w:rsidRPr="006D767C">
        <w:t xml:space="preserve">he PSCR </w:t>
      </w:r>
      <w:r w:rsidR="006F461C" w:rsidRPr="006D767C">
        <w:t xml:space="preserve">therefore </w:t>
      </w:r>
      <w:r w:rsidR="009A2BAD" w:rsidRPr="006D767C">
        <w:t>claimed that</w:t>
      </w:r>
      <w:r w:rsidR="006F461C" w:rsidRPr="006D767C">
        <w:t xml:space="preserve"> the results of this scenario analysis </w:t>
      </w:r>
      <w:r w:rsidR="009A2BAD" w:rsidRPr="006D767C">
        <w:t>disproved the possibility of an inferior comparative effectiveness of atezolizumab, compared with nivolumab.</w:t>
      </w:r>
    </w:p>
    <w:p w:rsidR="009A2BAD" w:rsidRPr="006D767C" w:rsidRDefault="009A2BAD" w:rsidP="002D73C8">
      <w:pPr>
        <w:numPr>
          <w:ilvl w:val="2"/>
          <w:numId w:val="1"/>
        </w:numPr>
        <w:spacing w:before="0" w:after="120"/>
        <w:ind w:left="1134" w:hanging="425"/>
      </w:pPr>
      <w:r w:rsidRPr="006D767C">
        <w:t>The ESC agreed with the PSCR’s arguments and the results of the scenario analysis, and advised that the submission’s claim of non-inferior comparative effectiveness compared with nivolumab was reasonable.</w:t>
      </w:r>
    </w:p>
    <w:p w:rsidR="0089504C" w:rsidRPr="006D767C" w:rsidRDefault="0089504C" w:rsidP="001E17BD">
      <w:pPr>
        <w:pStyle w:val="Heading2"/>
        <w:jc w:val="left"/>
      </w:pPr>
      <w:bookmarkStart w:id="16" w:name="_Toc413139279"/>
      <w:bookmarkStart w:id="17" w:name="_Toc492917633"/>
      <w:r w:rsidRPr="006D767C">
        <w:t>Comparative harms</w:t>
      </w:r>
      <w:bookmarkEnd w:id="16"/>
      <w:bookmarkEnd w:id="17"/>
    </w:p>
    <w:p w:rsidR="0089504C" w:rsidRPr="006D767C" w:rsidRDefault="0089504C" w:rsidP="002D73C8">
      <w:pPr>
        <w:numPr>
          <w:ilvl w:val="1"/>
          <w:numId w:val="1"/>
        </w:numPr>
        <w:spacing w:before="0" w:after="120"/>
      </w:pPr>
      <w:r w:rsidRPr="006D767C">
        <w:t xml:space="preserve">A summary of the adverse events (AEs) observed in each of the respective atezolizumab and </w:t>
      </w:r>
      <w:r w:rsidR="001E32E2" w:rsidRPr="006D767C">
        <w:t>nivolumab trials are</w:t>
      </w:r>
      <w:r w:rsidRPr="006D767C">
        <w:t xml:space="preserve"> provided below.</w:t>
      </w:r>
    </w:p>
    <w:p w:rsidR="00256A09" w:rsidRDefault="00256A09">
      <w:pPr>
        <w:spacing w:before="0" w:line="259" w:lineRule="auto"/>
        <w:jc w:val="left"/>
        <w:rPr>
          <w:rFonts w:ascii="Arial Narrow" w:hAnsi="Arial Narrow"/>
          <w:b/>
          <w:sz w:val="20"/>
        </w:rPr>
      </w:pPr>
      <w:r>
        <w:rPr>
          <w:rFonts w:ascii="Arial Narrow" w:hAnsi="Arial Narrow"/>
          <w:b/>
          <w:sz w:val="20"/>
        </w:rPr>
        <w:br w:type="page"/>
      </w:r>
    </w:p>
    <w:p w:rsidR="0089504C" w:rsidRPr="006D767C" w:rsidRDefault="004D4E2C" w:rsidP="0089504C">
      <w:pPr>
        <w:keepNext/>
        <w:spacing w:before="0" w:after="60"/>
        <w:jc w:val="left"/>
        <w:rPr>
          <w:rFonts w:ascii="Arial Narrow" w:hAnsi="Arial Narrow"/>
          <w:b/>
          <w:sz w:val="20"/>
        </w:rPr>
      </w:pPr>
      <w:r w:rsidRPr="006D767C">
        <w:rPr>
          <w:rFonts w:ascii="Arial Narrow" w:hAnsi="Arial Narrow"/>
          <w:b/>
          <w:sz w:val="20"/>
        </w:rPr>
        <w:t xml:space="preserve">Table </w:t>
      </w:r>
      <w:r w:rsidR="00C87201" w:rsidRPr="006D767C">
        <w:rPr>
          <w:rFonts w:ascii="Arial Narrow" w:hAnsi="Arial Narrow"/>
          <w:b/>
          <w:sz w:val="20"/>
        </w:rPr>
        <w:t>11</w:t>
      </w:r>
      <w:r w:rsidR="0089504C" w:rsidRPr="006D767C">
        <w:rPr>
          <w:rFonts w:ascii="Arial Narrow" w:hAnsi="Arial Narrow"/>
          <w:b/>
          <w:sz w:val="20"/>
        </w:rPr>
        <w:t>: Summary comparison of adverse events across trials</w:t>
      </w:r>
    </w:p>
    <w:tbl>
      <w:tblPr>
        <w:tblW w:w="9210" w:type="dxa"/>
        <w:tblInd w:w="108" w:type="dxa"/>
        <w:tblLayout w:type="fixed"/>
        <w:tblLook w:val="0000" w:firstRow="0" w:lastRow="0" w:firstColumn="0" w:lastColumn="0" w:noHBand="0" w:noVBand="0"/>
      </w:tblPr>
      <w:tblGrid>
        <w:gridCol w:w="1843"/>
        <w:gridCol w:w="851"/>
        <w:gridCol w:w="850"/>
        <w:gridCol w:w="851"/>
        <w:gridCol w:w="850"/>
        <w:gridCol w:w="851"/>
        <w:gridCol w:w="850"/>
        <w:gridCol w:w="992"/>
        <w:gridCol w:w="1272"/>
      </w:tblGrid>
      <w:tr w:rsidR="001F484F" w:rsidRPr="006D767C" w:rsidTr="00AC57B1">
        <w:trPr>
          <w:cantSplit/>
          <w:trHeight w:val="70"/>
        </w:trPr>
        <w:tc>
          <w:tcPr>
            <w:tcW w:w="1843" w:type="dxa"/>
            <w:vMerge w:val="restart"/>
            <w:tcBorders>
              <w:top w:val="single" w:sz="4" w:space="0" w:color="auto"/>
              <w:left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Adverse event</w:t>
            </w:r>
          </w:p>
        </w:tc>
        <w:tc>
          <w:tcPr>
            <w:tcW w:w="7367" w:type="dxa"/>
            <w:gridSpan w:val="8"/>
            <w:tcBorders>
              <w:top w:val="single" w:sz="4" w:space="0" w:color="auto"/>
              <w:left w:val="nil"/>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 xml:space="preserve">Number of patients </w:t>
            </w:r>
            <w:r w:rsidR="00D5280E" w:rsidRPr="006D767C">
              <w:rPr>
                <w:b/>
              </w:rPr>
              <w:t xml:space="preserve">with event </w:t>
            </w:r>
            <w:r w:rsidRPr="006D767C">
              <w:rPr>
                <w:b/>
              </w:rPr>
              <w:t>(%)</w:t>
            </w:r>
          </w:p>
        </w:tc>
      </w:tr>
      <w:tr w:rsidR="001F484F" w:rsidRPr="006D767C" w:rsidTr="00AC57B1">
        <w:trPr>
          <w:trHeight w:val="70"/>
        </w:trPr>
        <w:tc>
          <w:tcPr>
            <w:tcW w:w="1843" w:type="dxa"/>
            <w:vMerge/>
            <w:tcBorders>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OAK</w:t>
            </w:r>
          </w:p>
          <w:p w:rsidR="001F484F" w:rsidRPr="006D767C" w:rsidRDefault="001F484F" w:rsidP="005A0938">
            <w:pPr>
              <w:pStyle w:val="TableFooter"/>
              <w:spacing w:after="0"/>
              <w:jc w:val="center"/>
              <w:rPr>
                <w:b/>
              </w:rPr>
            </w:pPr>
            <w:r w:rsidRPr="006D767C">
              <w:rPr>
                <w:b/>
              </w:rPr>
              <w:t>(19 months)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POPLAR</w:t>
            </w:r>
          </w:p>
          <w:p w:rsidR="001F484F" w:rsidRPr="006D767C" w:rsidRDefault="001F484F" w:rsidP="005A0938">
            <w:pPr>
              <w:pStyle w:val="TableFooter"/>
              <w:spacing w:after="0"/>
              <w:jc w:val="center"/>
              <w:rPr>
                <w:b/>
              </w:rPr>
            </w:pPr>
            <w:r w:rsidRPr="006D767C">
              <w:rPr>
                <w:b/>
              </w:rPr>
              <w:t>(13.3 months)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52B74" w:rsidRPr="006D767C" w:rsidRDefault="001F484F" w:rsidP="005A0938">
            <w:pPr>
              <w:pStyle w:val="TableFooter"/>
              <w:spacing w:after="0"/>
              <w:jc w:val="center"/>
              <w:rPr>
                <w:b/>
              </w:rPr>
            </w:pPr>
            <w:r w:rsidRPr="006D767C">
              <w:rPr>
                <w:b/>
              </w:rPr>
              <w:t xml:space="preserve">CHECKMATE 017 </w:t>
            </w:r>
          </w:p>
          <w:p w:rsidR="001F484F" w:rsidRPr="006D767C" w:rsidRDefault="001F484F" w:rsidP="005A0938">
            <w:pPr>
              <w:pStyle w:val="TableFooter"/>
              <w:spacing w:after="0"/>
              <w:jc w:val="center"/>
              <w:rPr>
                <w:b/>
              </w:rPr>
            </w:pPr>
            <w:r w:rsidRPr="006D767C">
              <w:rPr>
                <w:b/>
              </w:rPr>
              <w:t>(11 months)</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CHECKMATE 057</w:t>
            </w:r>
          </w:p>
          <w:p w:rsidR="001F484F" w:rsidRPr="006D767C" w:rsidRDefault="001F484F" w:rsidP="005A0938">
            <w:pPr>
              <w:pStyle w:val="TableFooter"/>
              <w:spacing w:after="0"/>
              <w:jc w:val="center"/>
              <w:rPr>
                <w:b/>
              </w:rPr>
            </w:pPr>
            <w:r w:rsidRPr="006D767C">
              <w:rPr>
                <w:b/>
              </w:rPr>
              <w:t>(13 months)</w:t>
            </w:r>
          </w:p>
        </w:tc>
      </w:tr>
      <w:tr w:rsidR="001F484F" w:rsidRPr="006D767C" w:rsidTr="00AC57B1">
        <w:trPr>
          <w:trHeight w:val="70"/>
        </w:trPr>
        <w:tc>
          <w:tcPr>
            <w:tcW w:w="1843" w:type="dxa"/>
            <w:vMerge/>
            <w:tcBorders>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ATZ</w:t>
            </w:r>
            <w:r w:rsidRPr="006D767C">
              <w:rPr>
                <w:b/>
              </w:rPr>
              <w:br/>
              <w:t>N=</w:t>
            </w:r>
            <w:r w:rsidRPr="006C54F0">
              <w:rPr>
                <w:b/>
              </w:rPr>
              <w:t>609</w:t>
            </w:r>
          </w:p>
        </w:tc>
        <w:tc>
          <w:tcPr>
            <w:tcW w:w="850"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DOC</w:t>
            </w:r>
            <w:r w:rsidRPr="006D767C">
              <w:rPr>
                <w:b/>
              </w:rPr>
              <w:br/>
              <w:t>N=</w:t>
            </w:r>
            <w:r w:rsidRPr="006C54F0">
              <w:rPr>
                <w:b/>
              </w:rPr>
              <w:t>578</w:t>
            </w:r>
          </w:p>
        </w:tc>
        <w:tc>
          <w:tcPr>
            <w:tcW w:w="851"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ATZ</w:t>
            </w:r>
            <w:r w:rsidRPr="006D767C">
              <w:rPr>
                <w:b/>
              </w:rPr>
              <w:br/>
              <w:t>N=</w:t>
            </w:r>
            <w:r w:rsidRPr="006C54F0">
              <w:rPr>
                <w:b/>
              </w:rPr>
              <w:t>142</w:t>
            </w:r>
          </w:p>
        </w:tc>
        <w:tc>
          <w:tcPr>
            <w:tcW w:w="850"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DOC</w:t>
            </w:r>
            <w:r w:rsidRPr="006D767C">
              <w:rPr>
                <w:b/>
              </w:rPr>
              <w:br/>
              <w:t>N=</w:t>
            </w:r>
            <w:r w:rsidRPr="006C54F0">
              <w:rPr>
                <w:b/>
              </w:rPr>
              <w:t>135</w:t>
            </w:r>
          </w:p>
        </w:tc>
        <w:tc>
          <w:tcPr>
            <w:tcW w:w="851"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NIVO</w:t>
            </w:r>
          </w:p>
          <w:p w:rsidR="001F484F" w:rsidRPr="006D767C" w:rsidRDefault="001F484F" w:rsidP="005A0938">
            <w:pPr>
              <w:pStyle w:val="TableFooter"/>
              <w:spacing w:after="0"/>
              <w:jc w:val="center"/>
              <w:rPr>
                <w:b/>
              </w:rPr>
            </w:pPr>
            <w:r w:rsidRPr="006D767C">
              <w:rPr>
                <w:b/>
              </w:rPr>
              <w:t>N=</w:t>
            </w:r>
            <w:r w:rsidRPr="006C54F0">
              <w:rPr>
                <w:b/>
              </w:rPr>
              <w:t>131</w:t>
            </w:r>
          </w:p>
        </w:tc>
        <w:tc>
          <w:tcPr>
            <w:tcW w:w="850"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DOC</w:t>
            </w:r>
          </w:p>
          <w:p w:rsidR="001F484F" w:rsidRPr="006D767C" w:rsidRDefault="001F484F" w:rsidP="005A0938">
            <w:pPr>
              <w:pStyle w:val="TableFooter"/>
              <w:spacing w:after="0"/>
              <w:jc w:val="center"/>
              <w:rPr>
                <w:b/>
              </w:rPr>
            </w:pPr>
            <w:r w:rsidRPr="006D767C">
              <w:rPr>
                <w:b/>
              </w:rPr>
              <w:t>N=</w:t>
            </w:r>
            <w:r w:rsidRPr="006C54F0">
              <w:rPr>
                <w:b/>
              </w:rPr>
              <w:t>129</w:t>
            </w:r>
          </w:p>
        </w:tc>
        <w:tc>
          <w:tcPr>
            <w:tcW w:w="992"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NIVO</w:t>
            </w:r>
          </w:p>
          <w:p w:rsidR="001F484F" w:rsidRPr="006D767C" w:rsidRDefault="001F484F" w:rsidP="005A0938">
            <w:pPr>
              <w:pStyle w:val="TableFooter"/>
              <w:spacing w:after="0"/>
              <w:jc w:val="center"/>
              <w:rPr>
                <w:b/>
              </w:rPr>
            </w:pPr>
            <w:r w:rsidRPr="006D767C">
              <w:rPr>
                <w:b/>
              </w:rPr>
              <w:t>N=</w:t>
            </w:r>
            <w:r w:rsidRPr="006C54F0">
              <w:rPr>
                <w:b/>
              </w:rPr>
              <w:t>287</w:t>
            </w:r>
          </w:p>
        </w:tc>
        <w:tc>
          <w:tcPr>
            <w:tcW w:w="1272" w:type="dxa"/>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rPr>
                <w:b/>
              </w:rPr>
            </w:pPr>
            <w:r w:rsidRPr="006D767C">
              <w:rPr>
                <w:b/>
              </w:rPr>
              <w:t>DOC</w:t>
            </w:r>
          </w:p>
          <w:p w:rsidR="001F484F" w:rsidRPr="006D767C" w:rsidRDefault="001F484F" w:rsidP="005A0938">
            <w:pPr>
              <w:pStyle w:val="TableFooter"/>
              <w:spacing w:after="0"/>
              <w:jc w:val="center"/>
              <w:rPr>
                <w:b/>
              </w:rPr>
            </w:pPr>
            <w:r w:rsidRPr="006D767C">
              <w:rPr>
                <w:b/>
              </w:rPr>
              <w:t>N=</w:t>
            </w:r>
            <w:r w:rsidRPr="006C54F0">
              <w:rPr>
                <w:b/>
              </w:rPr>
              <w:t>268</w:t>
            </w:r>
          </w:p>
        </w:tc>
      </w:tr>
      <w:tr w:rsidR="001F484F" w:rsidRPr="006D767C" w:rsidTr="00AC57B1">
        <w:tc>
          <w:tcPr>
            <w:tcW w:w="1843" w:type="dxa"/>
            <w:tcBorders>
              <w:top w:val="single" w:sz="4" w:space="0" w:color="auto"/>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Any AE</w:t>
            </w:r>
          </w:p>
        </w:tc>
        <w:tc>
          <w:tcPr>
            <w:tcW w:w="851" w:type="dxa"/>
            <w:tcBorders>
              <w:top w:val="single" w:sz="4" w:space="0" w:color="auto"/>
              <w:left w:val="single" w:sz="4" w:space="0" w:color="auto"/>
              <w:right w:val="single" w:sz="4" w:space="0" w:color="auto"/>
            </w:tcBorders>
            <w:vAlign w:val="center"/>
          </w:tcPr>
          <w:p w:rsidR="005E21B1" w:rsidRPr="006C54F0" w:rsidRDefault="001F484F" w:rsidP="005E21B1">
            <w:pPr>
              <w:pStyle w:val="TableFooter"/>
              <w:spacing w:after="0"/>
              <w:jc w:val="center"/>
            </w:pPr>
            <w:r w:rsidRPr="006C54F0">
              <w:t>573</w:t>
            </w:r>
          </w:p>
          <w:p w:rsidR="001F484F" w:rsidRPr="006D767C" w:rsidRDefault="001F484F" w:rsidP="005E21B1">
            <w:pPr>
              <w:pStyle w:val="TableFooter"/>
              <w:spacing w:after="0"/>
              <w:jc w:val="center"/>
            </w:pPr>
            <w:r w:rsidRPr="006D767C">
              <w:t>(94.1)</w:t>
            </w:r>
          </w:p>
        </w:tc>
        <w:tc>
          <w:tcPr>
            <w:tcW w:w="850" w:type="dxa"/>
            <w:tcBorders>
              <w:top w:val="single" w:sz="4" w:space="0" w:color="auto"/>
              <w:left w:val="single" w:sz="4" w:space="0" w:color="auto"/>
              <w:right w:val="single" w:sz="4" w:space="0" w:color="auto"/>
            </w:tcBorders>
            <w:vAlign w:val="center"/>
          </w:tcPr>
          <w:p w:rsidR="001F484F" w:rsidRPr="006C54F0" w:rsidRDefault="005E21B1" w:rsidP="005A0938">
            <w:pPr>
              <w:pStyle w:val="TableFooter"/>
              <w:spacing w:after="0"/>
              <w:jc w:val="center"/>
            </w:pPr>
            <w:r w:rsidRPr="006C54F0">
              <w:t>555</w:t>
            </w:r>
          </w:p>
          <w:p w:rsidR="001F484F" w:rsidRPr="006D767C" w:rsidRDefault="001F484F" w:rsidP="005A0938">
            <w:pPr>
              <w:pStyle w:val="TableFooter"/>
              <w:spacing w:after="0"/>
              <w:jc w:val="center"/>
            </w:pPr>
            <w:r w:rsidRPr="006D767C">
              <w:t>(96)</w:t>
            </w:r>
          </w:p>
        </w:tc>
        <w:tc>
          <w:tcPr>
            <w:tcW w:w="851" w:type="dxa"/>
            <w:tcBorders>
              <w:top w:val="single" w:sz="4" w:space="0" w:color="auto"/>
              <w:left w:val="single" w:sz="4" w:space="0" w:color="auto"/>
              <w:right w:val="single" w:sz="4" w:space="0" w:color="auto"/>
            </w:tcBorders>
            <w:vAlign w:val="center"/>
          </w:tcPr>
          <w:p w:rsidR="005E21B1" w:rsidRPr="006C54F0" w:rsidRDefault="005E21B1" w:rsidP="005A0938">
            <w:pPr>
              <w:pStyle w:val="TableFooter"/>
              <w:spacing w:after="0"/>
              <w:jc w:val="center"/>
            </w:pPr>
            <w:r w:rsidRPr="006C54F0">
              <w:t>136</w:t>
            </w:r>
          </w:p>
          <w:p w:rsidR="001F484F" w:rsidRPr="006D767C" w:rsidRDefault="001F484F" w:rsidP="005A0938">
            <w:pPr>
              <w:pStyle w:val="TableFooter"/>
              <w:spacing w:after="0"/>
              <w:jc w:val="center"/>
            </w:pPr>
            <w:r w:rsidRPr="006D767C">
              <w:t>(95.8)</w:t>
            </w:r>
          </w:p>
        </w:tc>
        <w:tc>
          <w:tcPr>
            <w:tcW w:w="850" w:type="dxa"/>
            <w:tcBorders>
              <w:top w:val="single" w:sz="4" w:space="0" w:color="auto"/>
              <w:left w:val="single" w:sz="4" w:space="0" w:color="auto"/>
              <w:right w:val="single" w:sz="4" w:space="0" w:color="auto"/>
            </w:tcBorders>
            <w:vAlign w:val="center"/>
          </w:tcPr>
          <w:p w:rsidR="005E21B1" w:rsidRPr="006C54F0" w:rsidRDefault="005E21B1" w:rsidP="005A0938">
            <w:pPr>
              <w:pStyle w:val="TableFooter"/>
              <w:spacing w:after="0"/>
              <w:jc w:val="center"/>
            </w:pPr>
            <w:r w:rsidRPr="006C54F0">
              <w:t>130</w:t>
            </w:r>
          </w:p>
          <w:p w:rsidR="001F484F" w:rsidRPr="006D767C" w:rsidRDefault="001F484F" w:rsidP="005A0938">
            <w:pPr>
              <w:pStyle w:val="TableFooter"/>
              <w:spacing w:after="0"/>
              <w:jc w:val="center"/>
            </w:pPr>
            <w:r w:rsidRPr="006D767C">
              <w:t>(96.3)</w:t>
            </w:r>
          </w:p>
        </w:tc>
        <w:tc>
          <w:tcPr>
            <w:tcW w:w="851"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127</w:t>
            </w:r>
          </w:p>
          <w:p w:rsidR="001F484F" w:rsidRPr="006D767C" w:rsidRDefault="001F484F" w:rsidP="005A0938">
            <w:pPr>
              <w:pStyle w:val="TableFooter"/>
              <w:spacing w:after="0"/>
              <w:jc w:val="center"/>
            </w:pPr>
            <w:r w:rsidRPr="006D767C">
              <w:t>(96.9)</w:t>
            </w:r>
          </w:p>
        </w:tc>
        <w:tc>
          <w:tcPr>
            <w:tcW w:w="850"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125</w:t>
            </w:r>
          </w:p>
          <w:p w:rsidR="001F484F" w:rsidRPr="006D767C" w:rsidRDefault="001F484F" w:rsidP="005A0938">
            <w:pPr>
              <w:pStyle w:val="TableFooter"/>
              <w:spacing w:after="0"/>
              <w:jc w:val="center"/>
            </w:pPr>
            <w:r w:rsidRPr="006D767C">
              <w:t>(96.9)</w:t>
            </w:r>
          </w:p>
        </w:tc>
        <w:tc>
          <w:tcPr>
            <w:tcW w:w="992"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280</w:t>
            </w:r>
          </w:p>
          <w:p w:rsidR="001F484F" w:rsidRPr="006D767C" w:rsidRDefault="001F484F" w:rsidP="005A0938">
            <w:pPr>
              <w:pStyle w:val="TableFooter"/>
              <w:spacing w:after="0"/>
              <w:jc w:val="center"/>
            </w:pPr>
            <w:r w:rsidRPr="006D767C">
              <w:t>(98)</w:t>
            </w:r>
          </w:p>
        </w:tc>
        <w:tc>
          <w:tcPr>
            <w:tcW w:w="1272"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265</w:t>
            </w:r>
          </w:p>
          <w:p w:rsidR="001F484F" w:rsidRPr="006D767C" w:rsidRDefault="001F484F" w:rsidP="005A0938">
            <w:pPr>
              <w:pStyle w:val="TableFooter"/>
              <w:spacing w:after="0"/>
              <w:jc w:val="center"/>
            </w:pPr>
            <w:r w:rsidRPr="006D767C">
              <w:t>(99)</w:t>
            </w:r>
          </w:p>
        </w:tc>
      </w:tr>
      <w:tr w:rsidR="001F484F" w:rsidRPr="006D767C" w:rsidTr="00AC57B1">
        <w:tc>
          <w:tcPr>
            <w:tcW w:w="1843"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Grade 3,4 AEs</w:t>
            </w:r>
          </w:p>
        </w:tc>
        <w:tc>
          <w:tcPr>
            <w:tcW w:w="851" w:type="dxa"/>
            <w:tcBorders>
              <w:left w:val="single" w:sz="4" w:space="0" w:color="auto"/>
              <w:right w:val="single" w:sz="4" w:space="0" w:color="auto"/>
            </w:tcBorders>
            <w:vAlign w:val="center"/>
          </w:tcPr>
          <w:p w:rsidR="005E21B1" w:rsidRPr="006C54F0" w:rsidRDefault="005E21B1" w:rsidP="005A0938">
            <w:pPr>
              <w:pStyle w:val="TableFooter"/>
              <w:spacing w:after="0"/>
              <w:jc w:val="center"/>
            </w:pPr>
            <w:r w:rsidRPr="006C54F0">
              <w:t>227</w:t>
            </w:r>
          </w:p>
          <w:p w:rsidR="001F484F" w:rsidRPr="006D767C" w:rsidRDefault="001F484F" w:rsidP="005A0938">
            <w:pPr>
              <w:pStyle w:val="TableFooter"/>
              <w:spacing w:after="0"/>
              <w:jc w:val="center"/>
            </w:pPr>
            <w:r w:rsidRPr="006D767C">
              <w:t>(37.3)</w:t>
            </w:r>
          </w:p>
        </w:tc>
        <w:tc>
          <w:tcPr>
            <w:tcW w:w="850" w:type="dxa"/>
            <w:tcBorders>
              <w:left w:val="single" w:sz="4" w:space="0" w:color="auto"/>
              <w:right w:val="single" w:sz="4" w:space="0" w:color="auto"/>
            </w:tcBorders>
            <w:vAlign w:val="center"/>
          </w:tcPr>
          <w:p w:rsidR="005E21B1" w:rsidRPr="006C54F0" w:rsidRDefault="001F484F" w:rsidP="005A0938">
            <w:pPr>
              <w:pStyle w:val="TableFooter"/>
              <w:spacing w:after="0"/>
              <w:jc w:val="center"/>
            </w:pPr>
            <w:r w:rsidRPr="006C54F0">
              <w:t>324</w:t>
            </w:r>
          </w:p>
          <w:p w:rsidR="001F484F" w:rsidRPr="006D767C" w:rsidRDefault="001F484F" w:rsidP="005A0938">
            <w:pPr>
              <w:pStyle w:val="TableFooter"/>
              <w:spacing w:after="0"/>
              <w:jc w:val="center"/>
            </w:pPr>
            <w:r w:rsidRPr="006D767C">
              <w:t>(56.5)</w:t>
            </w:r>
          </w:p>
        </w:tc>
        <w:tc>
          <w:tcPr>
            <w:tcW w:w="851" w:type="dxa"/>
            <w:tcBorders>
              <w:left w:val="single" w:sz="4" w:space="0" w:color="auto"/>
              <w:right w:val="single" w:sz="4" w:space="0" w:color="auto"/>
            </w:tcBorders>
            <w:vAlign w:val="center"/>
          </w:tcPr>
          <w:p w:rsidR="001F484F" w:rsidRPr="006C54F0" w:rsidRDefault="005E21B1" w:rsidP="005A0938">
            <w:pPr>
              <w:pStyle w:val="TableFooter"/>
              <w:spacing w:after="0"/>
              <w:jc w:val="center"/>
            </w:pPr>
            <w:r w:rsidRPr="006C54F0">
              <w:t>57</w:t>
            </w:r>
          </w:p>
          <w:p w:rsidR="001F484F" w:rsidRPr="006D767C" w:rsidRDefault="001F484F" w:rsidP="005A0938">
            <w:pPr>
              <w:pStyle w:val="TableFooter"/>
              <w:spacing w:after="0"/>
              <w:jc w:val="center"/>
            </w:pPr>
            <w:r w:rsidRPr="006D767C">
              <w:t>(40.1)</w:t>
            </w:r>
          </w:p>
        </w:tc>
        <w:tc>
          <w:tcPr>
            <w:tcW w:w="850" w:type="dxa"/>
            <w:tcBorders>
              <w:left w:val="single" w:sz="4" w:space="0" w:color="auto"/>
              <w:right w:val="single" w:sz="4" w:space="0" w:color="auto"/>
            </w:tcBorders>
            <w:vAlign w:val="center"/>
          </w:tcPr>
          <w:p w:rsidR="001F484F" w:rsidRPr="006C54F0" w:rsidRDefault="005E21B1" w:rsidP="005A0938">
            <w:pPr>
              <w:pStyle w:val="TableFooter"/>
              <w:spacing w:after="0"/>
              <w:jc w:val="center"/>
            </w:pPr>
            <w:r w:rsidRPr="006C54F0">
              <w:t>71</w:t>
            </w:r>
          </w:p>
          <w:p w:rsidR="001F484F" w:rsidRPr="006D767C" w:rsidRDefault="001F484F" w:rsidP="005A0938">
            <w:pPr>
              <w:pStyle w:val="TableFooter"/>
              <w:spacing w:after="0"/>
              <w:jc w:val="center"/>
            </w:pPr>
            <w:r w:rsidRPr="006D767C">
              <w:t>(52.6)</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9</w:t>
            </w:r>
          </w:p>
          <w:p w:rsidR="001F484F" w:rsidRPr="006D767C" w:rsidRDefault="001F484F" w:rsidP="005A0938">
            <w:pPr>
              <w:pStyle w:val="TableFooter"/>
              <w:spacing w:after="0"/>
              <w:jc w:val="center"/>
            </w:pPr>
            <w:r w:rsidRPr="006D767C">
              <w:t>(6.9)</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20</w:t>
            </w:r>
          </w:p>
          <w:p w:rsidR="001F484F" w:rsidRPr="006D767C" w:rsidRDefault="001F484F" w:rsidP="005A0938">
            <w:pPr>
              <w:pStyle w:val="TableFooter"/>
              <w:spacing w:after="0"/>
              <w:jc w:val="center"/>
            </w:pPr>
            <w:r w:rsidRPr="006D767C">
              <w:t>(15.5)</w:t>
            </w:r>
          </w:p>
        </w:tc>
        <w:tc>
          <w:tcPr>
            <w:tcW w:w="99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132</w:t>
            </w:r>
          </w:p>
          <w:p w:rsidR="001F484F" w:rsidRPr="006D767C" w:rsidRDefault="001F484F" w:rsidP="005A0938">
            <w:pPr>
              <w:pStyle w:val="TableFooter"/>
              <w:spacing w:after="0"/>
              <w:jc w:val="center"/>
            </w:pPr>
            <w:r w:rsidRPr="006D767C">
              <w:t>(46)</w:t>
            </w:r>
          </w:p>
        </w:tc>
        <w:tc>
          <w:tcPr>
            <w:tcW w:w="127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180</w:t>
            </w:r>
          </w:p>
          <w:p w:rsidR="001F484F" w:rsidRPr="006D767C" w:rsidRDefault="001F484F" w:rsidP="005A0938">
            <w:pPr>
              <w:pStyle w:val="TableFooter"/>
              <w:spacing w:after="0"/>
              <w:jc w:val="center"/>
            </w:pPr>
            <w:r w:rsidRPr="006D767C">
              <w:t>(67)</w:t>
            </w:r>
          </w:p>
        </w:tc>
      </w:tr>
      <w:tr w:rsidR="001F484F" w:rsidRPr="006D767C" w:rsidTr="00AC57B1">
        <w:tc>
          <w:tcPr>
            <w:tcW w:w="1843"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SAEs</w:t>
            </w:r>
          </w:p>
        </w:tc>
        <w:tc>
          <w:tcPr>
            <w:tcW w:w="851" w:type="dxa"/>
            <w:tcBorders>
              <w:left w:val="single" w:sz="4" w:space="0" w:color="auto"/>
              <w:right w:val="single" w:sz="4" w:space="0" w:color="auto"/>
            </w:tcBorders>
            <w:vAlign w:val="center"/>
          </w:tcPr>
          <w:p w:rsidR="005E21B1" w:rsidRPr="006C54F0" w:rsidRDefault="001F484F" w:rsidP="005A0938">
            <w:pPr>
              <w:pStyle w:val="TableFooter"/>
              <w:spacing w:after="0"/>
              <w:jc w:val="center"/>
            </w:pPr>
            <w:r w:rsidRPr="006C54F0">
              <w:t>194</w:t>
            </w:r>
          </w:p>
          <w:p w:rsidR="001F484F" w:rsidRPr="006D767C" w:rsidRDefault="001F484F" w:rsidP="005A0938">
            <w:pPr>
              <w:pStyle w:val="TableFooter"/>
              <w:spacing w:after="0"/>
              <w:jc w:val="center"/>
            </w:pPr>
            <w:r w:rsidRPr="006D767C">
              <w:t>(31.9)</w:t>
            </w:r>
          </w:p>
        </w:tc>
        <w:tc>
          <w:tcPr>
            <w:tcW w:w="850" w:type="dxa"/>
            <w:tcBorders>
              <w:left w:val="single" w:sz="4" w:space="0" w:color="auto"/>
              <w:right w:val="single" w:sz="4" w:space="0" w:color="auto"/>
            </w:tcBorders>
            <w:vAlign w:val="center"/>
          </w:tcPr>
          <w:p w:rsidR="005E21B1" w:rsidRPr="006C54F0" w:rsidRDefault="005E21B1" w:rsidP="005A0938">
            <w:pPr>
              <w:pStyle w:val="TableFooter"/>
              <w:spacing w:after="0"/>
              <w:jc w:val="center"/>
            </w:pPr>
            <w:r w:rsidRPr="006C54F0">
              <w:t>181</w:t>
            </w:r>
          </w:p>
          <w:p w:rsidR="001F484F" w:rsidRPr="006D767C" w:rsidRDefault="001F484F" w:rsidP="005A0938">
            <w:pPr>
              <w:pStyle w:val="TableFooter"/>
              <w:spacing w:after="0"/>
              <w:jc w:val="center"/>
            </w:pPr>
            <w:r w:rsidRPr="006D767C">
              <w:t>(31.3)</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50</w:t>
            </w:r>
          </w:p>
          <w:p w:rsidR="001F484F" w:rsidRPr="006D767C" w:rsidRDefault="001F484F" w:rsidP="005A0938">
            <w:pPr>
              <w:pStyle w:val="TableFooter"/>
              <w:spacing w:after="0"/>
              <w:jc w:val="center"/>
            </w:pPr>
            <w:r w:rsidRPr="006D767C">
              <w:t>(35.2)</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46</w:t>
            </w:r>
          </w:p>
          <w:p w:rsidR="001F484F" w:rsidRPr="006D767C" w:rsidRDefault="001F484F" w:rsidP="005A0938">
            <w:pPr>
              <w:pStyle w:val="TableFooter"/>
              <w:spacing w:after="0"/>
              <w:jc w:val="center"/>
            </w:pPr>
            <w:r w:rsidRPr="006D767C">
              <w:t>(34.1)</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61</w:t>
            </w:r>
          </w:p>
          <w:p w:rsidR="001F484F" w:rsidRPr="006D767C" w:rsidRDefault="001F484F" w:rsidP="005A0938">
            <w:pPr>
              <w:pStyle w:val="TableFooter"/>
              <w:spacing w:after="0"/>
              <w:jc w:val="center"/>
            </w:pPr>
            <w:r w:rsidRPr="006D767C">
              <w:t>(46.6)</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70</w:t>
            </w:r>
          </w:p>
          <w:p w:rsidR="001F484F" w:rsidRPr="006D767C" w:rsidRDefault="001F484F" w:rsidP="005A0938">
            <w:pPr>
              <w:pStyle w:val="TableFooter"/>
              <w:spacing w:after="0"/>
              <w:jc w:val="center"/>
            </w:pPr>
            <w:r w:rsidRPr="006D767C">
              <w:t>(54.3)</w:t>
            </w:r>
          </w:p>
        </w:tc>
        <w:tc>
          <w:tcPr>
            <w:tcW w:w="99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134</w:t>
            </w:r>
          </w:p>
          <w:p w:rsidR="001F484F" w:rsidRPr="006D767C" w:rsidRDefault="001F484F" w:rsidP="005A0938">
            <w:pPr>
              <w:pStyle w:val="TableFooter"/>
              <w:spacing w:after="0"/>
              <w:jc w:val="center"/>
            </w:pPr>
            <w:r w:rsidRPr="006D767C">
              <w:t>(46.7)</w:t>
            </w:r>
          </w:p>
        </w:tc>
        <w:tc>
          <w:tcPr>
            <w:tcW w:w="127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111</w:t>
            </w:r>
          </w:p>
          <w:p w:rsidR="001F484F" w:rsidRPr="006D767C" w:rsidRDefault="001F484F" w:rsidP="005A0938">
            <w:pPr>
              <w:pStyle w:val="TableFooter"/>
              <w:spacing w:after="0"/>
              <w:jc w:val="center"/>
            </w:pPr>
            <w:r w:rsidRPr="006D767C">
              <w:t>(41.4)</w:t>
            </w:r>
          </w:p>
        </w:tc>
      </w:tr>
      <w:tr w:rsidR="001F484F" w:rsidRPr="006D767C" w:rsidTr="00AC57B1">
        <w:tc>
          <w:tcPr>
            <w:tcW w:w="1843"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AEs leading to discontinuation</w:t>
            </w:r>
          </w:p>
        </w:tc>
        <w:tc>
          <w:tcPr>
            <w:tcW w:w="851" w:type="dxa"/>
            <w:tcBorders>
              <w:left w:val="single" w:sz="4" w:space="0" w:color="auto"/>
              <w:right w:val="single" w:sz="4" w:space="0" w:color="auto"/>
            </w:tcBorders>
            <w:vAlign w:val="center"/>
          </w:tcPr>
          <w:p w:rsidR="001F484F" w:rsidRPr="006C54F0" w:rsidRDefault="005E21B1" w:rsidP="005A0938">
            <w:pPr>
              <w:pStyle w:val="TableFooter"/>
              <w:spacing w:after="0"/>
              <w:jc w:val="center"/>
            </w:pPr>
            <w:r w:rsidRPr="006C54F0">
              <w:t>46</w:t>
            </w:r>
          </w:p>
          <w:p w:rsidR="001F484F" w:rsidRPr="006D767C" w:rsidRDefault="001F484F" w:rsidP="005A0938">
            <w:pPr>
              <w:pStyle w:val="TableFooter"/>
              <w:spacing w:after="0"/>
              <w:jc w:val="center"/>
            </w:pPr>
            <w:r w:rsidRPr="006D767C">
              <w:t>(7.6)</w:t>
            </w:r>
          </w:p>
        </w:tc>
        <w:tc>
          <w:tcPr>
            <w:tcW w:w="850" w:type="dxa"/>
            <w:tcBorders>
              <w:left w:val="single" w:sz="4" w:space="0" w:color="auto"/>
              <w:right w:val="single" w:sz="4" w:space="0" w:color="auto"/>
            </w:tcBorders>
            <w:vAlign w:val="center"/>
          </w:tcPr>
          <w:p w:rsidR="005E21B1" w:rsidRPr="006C54F0" w:rsidRDefault="005E21B1" w:rsidP="005A0938">
            <w:pPr>
              <w:pStyle w:val="TableFooter"/>
              <w:spacing w:after="0"/>
              <w:jc w:val="center"/>
            </w:pPr>
            <w:r w:rsidRPr="006C54F0">
              <w:t>108</w:t>
            </w:r>
          </w:p>
          <w:p w:rsidR="001F484F" w:rsidRPr="006D767C" w:rsidRDefault="001F484F" w:rsidP="005A0938">
            <w:pPr>
              <w:pStyle w:val="TableFooter"/>
              <w:spacing w:after="0"/>
              <w:jc w:val="center"/>
            </w:pPr>
            <w:r w:rsidRPr="006D767C">
              <w:t>(18.7)</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11</w:t>
            </w:r>
          </w:p>
          <w:p w:rsidR="001F484F" w:rsidRPr="006D767C" w:rsidRDefault="001F484F" w:rsidP="005A0938">
            <w:pPr>
              <w:pStyle w:val="TableFooter"/>
              <w:spacing w:after="0"/>
              <w:jc w:val="center"/>
            </w:pPr>
            <w:r w:rsidRPr="006D767C">
              <w:t>(7.7)</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30</w:t>
            </w:r>
          </w:p>
          <w:p w:rsidR="001F484F" w:rsidRPr="006D767C" w:rsidRDefault="001F484F" w:rsidP="005A0938">
            <w:pPr>
              <w:pStyle w:val="TableFooter"/>
              <w:spacing w:after="0"/>
              <w:jc w:val="center"/>
            </w:pPr>
            <w:r w:rsidRPr="006D767C">
              <w:t>(22)</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14</w:t>
            </w:r>
          </w:p>
          <w:p w:rsidR="001F484F" w:rsidRPr="006D767C" w:rsidRDefault="001F484F" w:rsidP="005A0938">
            <w:pPr>
              <w:pStyle w:val="TableFooter"/>
              <w:spacing w:after="0"/>
              <w:jc w:val="center"/>
            </w:pPr>
            <w:r w:rsidRPr="006D767C">
              <w:t>(10.7)</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26</w:t>
            </w:r>
          </w:p>
          <w:p w:rsidR="001F484F" w:rsidRPr="006D767C" w:rsidRDefault="001F484F" w:rsidP="005A0938">
            <w:pPr>
              <w:pStyle w:val="TableFooter"/>
              <w:spacing w:after="0"/>
              <w:jc w:val="center"/>
            </w:pPr>
            <w:r w:rsidRPr="006D767C">
              <w:t>(20.2)</w:t>
            </w:r>
          </w:p>
        </w:tc>
        <w:tc>
          <w:tcPr>
            <w:tcW w:w="99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48</w:t>
            </w:r>
          </w:p>
          <w:p w:rsidR="001F484F" w:rsidRPr="006D767C" w:rsidRDefault="001F484F" w:rsidP="005A0938">
            <w:pPr>
              <w:pStyle w:val="TableFooter"/>
              <w:spacing w:after="0"/>
              <w:jc w:val="center"/>
            </w:pPr>
            <w:r w:rsidRPr="006D767C">
              <w:t>(16.7)</w:t>
            </w:r>
          </w:p>
        </w:tc>
        <w:tc>
          <w:tcPr>
            <w:tcW w:w="127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58</w:t>
            </w:r>
          </w:p>
          <w:p w:rsidR="001F484F" w:rsidRPr="006D767C" w:rsidRDefault="001F484F" w:rsidP="005A0938">
            <w:pPr>
              <w:pStyle w:val="TableFooter"/>
              <w:spacing w:after="0"/>
              <w:jc w:val="center"/>
            </w:pPr>
            <w:r w:rsidRPr="006D767C">
              <w:t>(21.6)</w:t>
            </w:r>
          </w:p>
        </w:tc>
      </w:tr>
      <w:tr w:rsidR="001F484F" w:rsidRPr="006D767C" w:rsidTr="00AC57B1">
        <w:tc>
          <w:tcPr>
            <w:tcW w:w="1843" w:type="dxa"/>
            <w:tcBorders>
              <w:left w:val="single" w:sz="4" w:space="0" w:color="auto"/>
              <w:bottom w:val="single" w:sz="8" w:space="0" w:color="000000"/>
              <w:right w:val="single" w:sz="4" w:space="0" w:color="auto"/>
            </w:tcBorders>
            <w:vAlign w:val="center"/>
          </w:tcPr>
          <w:p w:rsidR="001F484F" w:rsidRPr="006D767C" w:rsidRDefault="001F484F" w:rsidP="005A0938">
            <w:pPr>
              <w:pStyle w:val="TableFooter"/>
              <w:spacing w:after="0"/>
              <w:jc w:val="center"/>
            </w:pPr>
            <w:r w:rsidRPr="006D767C">
              <w:t>AEs leading to dose modification/ interruption</w:t>
            </w:r>
          </w:p>
        </w:tc>
        <w:tc>
          <w:tcPr>
            <w:tcW w:w="851"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152</w:t>
            </w:r>
          </w:p>
          <w:p w:rsidR="001F484F" w:rsidRPr="006D767C" w:rsidRDefault="001F484F" w:rsidP="005A0938">
            <w:pPr>
              <w:pStyle w:val="TableFooter"/>
              <w:spacing w:after="0"/>
              <w:jc w:val="center"/>
            </w:pPr>
            <w:r w:rsidRPr="006D767C">
              <w:t>(25)</w:t>
            </w:r>
          </w:p>
        </w:tc>
        <w:tc>
          <w:tcPr>
            <w:tcW w:w="850" w:type="dxa"/>
            <w:tcBorders>
              <w:left w:val="single" w:sz="4" w:space="0" w:color="auto"/>
              <w:bottom w:val="single" w:sz="8" w:space="0" w:color="000000"/>
              <w:right w:val="single" w:sz="4" w:space="0" w:color="auto"/>
            </w:tcBorders>
            <w:vAlign w:val="center"/>
          </w:tcPr>
          <w:p w:rsidR="005E21B1" w:rsidRPr="006C54F0" w:rsidRDefault="005E21B1" w:rsidP="005A0938">
            <w:pPr>
              <w:pStyle w:val="TableFooter"/>
              <w:spacing w:after="0"/>
              <w:jc w:val="center"/>
            </w:pPr>
            <w:r w:rsidRPr="006C54F0">
              <w:t>210</w:t>
            </w:r>
          </w:p>
          <w:p w:rsidR="001F484F" w:rsidRPr="006D767C" w:rsidRDefault="001F484F" w:rsidP="005A0938">
            <w:pPr>
              <w:pStyle w:val="TableFooter"/>
              <w:spacing w:after="0"/>
              <w:jc w:val="center"/>
            </w:pPr>
            <w:r w:rsidRPr="006D767C">
              <w:t>(36.3)</w:t>
            </w:r>
          </w:p>
        </w:tc>
        <w:tc>
          <w:tcPr>
            <w:tcW w:w="851"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15</w:t>
            </w:r>
          </w:p>
          <w:p w:rsidR="001F484F" w:rsidRPr="006D767C" w:rsidRDefault="001F484F" w:rsidP="005A0938">
            <w:pPr>
              <w:pStyle w:val="TableFooter"/>
              <w:spacing w:after="0"/>
              <w:jc w:val="center"/>
            </w:pPr>
            <w:r w:rsidRPr="006D767C">
              <w:t>(10.6)</w:t>
            </w:r>
          </w:p>
        </w:tc>
        <w:tc>
          <w:tcPr>
            <w:tcW w:w="850"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32</w:t>
            </w:r>
          </w:p>
          <w:p w:rsidR="001F484F" w:rsidRPr="006D767C" w:rsidRDefault="001F484F" w:rsidP="005A0938">
            <w:pPr>
              <w:pStyle w:val="TableFooter"/>
              <w:spacing w:after="0"/>
              <w:jc w:val="center"/>
            </w:pPr>
            <w:r w:rsidRPr="006D767C">
              <w:t>(23.7)</w:t>
            </w:r>
          </w:p>
        </w:tc>
        <w:tc>
          <w:tcPr>
            <w:tcW w:w="851" w:type="dxa"/>
            <w:tcBorders>
              <w:left w:val="single" w:sz="4" w:space="0" w:color="auto"/>
              <w:bottom w:val="single" w:sz="8" w:space="0" w:color="000000"/>
              <w:right w:val="single" w:sz="4" w:space="0" w:color="auto"/>
            </w:tcBorders>
            <w:vAlign w:val="center"/>
          </w:tcPr>
          <w:p w:rsidR="001F484F" w:rsidRPr="006D767C" w:rsidRDefault="001F484F" w:rsidP="005A0938">
            <w:pPr>
              <w:pStyle w:val="TableFooter"/>
              <w:spacing w:after="0"/>
              <w:jc w:val="center"/>
            </w:pPr>
            <w:r w:rsidRPr="006D767C">
              <w:t>NR</w:t>
            </w:r>
          </w:p>
        </w:tc>
        <w:tc>
          <w:tcPr>
            <w:tcW w:w="850" w:type="dxa"/>
            <w:tcBorders>
              <w:left w:val="single" w:sz="4" w:space="0" w:color="auto"/>
              <w:bottom w:val="single" w:sz="8" w:space="0" w:color="000000"/>
              <w:right w:val="single" w:sz="4" w:space="0" w:color="auto"/>
            </w:tcBorders>
            <w:vAlign w:val="center"/>
          </w:tcPr>
          <w:p w:rsidR="001F484F" w:rsidRPr="006D767C" w:rsidRDefault="001F484F" w:rsidP="005A0938">
            <w:pPr>
              <w:pStyle w:val="TableFooter"/>
              <w:spacing w:after="0"/>
              <w:jc w:val="center"/>
            </w:pPr>
            <w:r w:rsidRPr="006D767C">
              <w:t>NR</w:t>
            </w:r>
          </w:p>
        </w:tc>
        <w:tc>
          <w:tcPr>
            <w:tcW w:w="992" w:type="dxa"/>
            <w:tcBorders>
              <w:left w:val="single" w:sz="4" w:space="0" w:color="auto"/>
              <w:bottom w:val="single" w:sz="8" w:space="0" w:color="000000"/>
              <w:right w:val="single" w:sz="4" w:space="0" w:color="auto"/>
            </w:tcBorders>
            <w:vAlign w:val="center"/>
          </w:tcPr>
          <w:p w:rsidR="001F484F" w:rsidRPr="006D767C" w:rsidRDefault="001F484F" w:rsidP="005A0938">
            <w:pPr>
              <w:pStyle w:val="TableFooter"/>
              <w:spacing w:after="0"/>
              <w:jc w:val="center"/>
            </w:pPr>
            <w:r w:rsidRPr="006D767C">
              <w:t>NR</w:t>
            </w:r>
          </w:p>
        </w:tc>
        <w:tc>
          <w:tcPr>
            <w:tcW w:w="1272" w:type="dxa"/>
            <w:tcBorders>
              <w:left w:val="single" w:sz="4" w:space="0" w:color="auto"/>
              <w:bottom w:val="single" w:sz="8" w:space="0" w:color="000000"/>
              <w:right w:val="single" w:sz="4" w:space="0" w:color="auto"/>
            </w:tcBorders>
            <w:vAlign w:val="center"/>
          </w:tcPr>
          <w:p w:rsidR="001F484F" w:rsidRPr="006D767C" w:rsidRDefault="001F484F" w:rsidP="005A0938">
            <w:pPr>
              <w:pStyle w:val="TableFooter"/>
              <w:spacing w:after="0"/>
              <w:jc w:val="center"/>
            </w:pPr>
            <w:r w:rsidRPr="006D767C">
              <w:t>NR</w:t>
            </w:r>
          </w:p>
        </w:tc>
      </w:tr>
      <w:tr w:rsidR="001F484F" w:rsidRPr="006D767C" w:rsidTr="00AC57B1">
        <w:tc>
          <w:tcPr>
            <w:tcW w:w="1843" w:type="dxa"/>
            <w:tcBorders>
              <w:top w:val="single" w:sz="4" w:space="0" w:color="auto"/>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AESIs (any causality)</w:t>
            </w:r>
          </w:p>
        </w:tc>
        <w:tc>
          <w:tcPr>
            <w:tcW w:w="851"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184</w:t>
            </w:r>
          </w:p>
          <w:p w:rsidR="001F484F" w:rsidRPr="006D767C" w:rsidRDefault="001F484F" w:rsidP="005A0938">
            <w:pPr>
              <w:pStyle w:val="TableFooter"/>
              <w:spacing w:after="0"/>
              <w:jc w:val="center"/>
            </w:pPr>
            <w:r w:rsidRPr="006D767C">
              <w:t>(30.2)</w:t>
            </w:r>
          </w:p>
        </w:tc>
        <w:tc>
          <w:tcPr>
            <w:tcW w:w="850"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132</w:t>
            </w:r>
          </w:p>
          <w:p w:rsidR="001F484F" w:rsidRPr="006D767C" w:rsidRDefault="001F484F" w:rsidP="005A0938">
            <w:pPr>
              <w:pStyle w:val="TableFooter"/>
              <w:spacing w:after="0"/>
              <w:jc w:val="center"/>
            </w:pPr>
            <w:r w:rsidRPr="006D767C">
              <w:t>(22.8)</w:t>
            </w:r>
          </w:p>
        </w:tc>
        <w:tc>
          <w:tcPr>
            <w:tcW w:w="851"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41</w:t>
            </w:r>
          </w:p>
          <w:p w:rsidR="001F484F" w:rsidRPr="006D767C" w:rsidRDefault="001F484F" w:rsidP="005A0938">
            <w:pPr>
              <w:pStyle w:val="TableFooter"/>
              <w:spacing w:after="0"/>
              <w:jc w:val="center"/>
            </w:pPr>
            <w:r w:rsidRPr="006D767C">
              <w:t>(28.9)</w:t>
            </w:r>
          </w:p>
        </w:tc>
        <w:tc>
          <w:tcPr>
            <w:tcW w:w="850"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40</w:t>
            </w:r>
          </w:p>
          <w:p w:rsidR="001F484F" w:rsidRPr="006D767C" w:rsidRDefault="001F484F" w:rsidP="005A0938">
            <w:pPr>
              <w:pStyle w:val="TableFooter"/>
              <w:spacing w:after="0"/>
              <w:jc w:val="center"/>
            </w:pPr>
            <w:r w:rsidRPr="006D767C">
              <w:t>(29.6)</w:t>
            </w:r>
          </w:p>
        </w:tc>
        <w:tc>
          <w:tcPr>
            <w:tcW w:w="851" w:type="dxa"/>
            <w:tcBorders>
              <w:top w:val="single" w:sz="4" w:space="0" w:color="auto"/>
              <w:left w:val="single" w:sz="4" w:space="0" w:color="auto"/>
              <w:right w:val="single" w:sz="4" w:space="0" w:color="auto"/>
            </w:tcBorders>
            <w:vAlign w:val="center"/>
          </w:tcPr>
          <w:p w:rsidR="001F484F" w:rsidRPr="006D767C" w:rsidRDefault="000D3F20" w:rsidP="000D3F20">
            <w:pPr>
              <w:pStyle w:val="TableFooter"/>
              <w:spacing w:after="0"/>
              <w:jc w:val="center"/>
            </w:pPr>
            <w:r w:rsidRPr="006D767C">
              <w:t>NR</w:t>
            </w:r>
          </w:p>
        </w:tc>
        <w:tc>
          <w:tcPr>
            <w:tcW w:w="850" w:type="dxa"/>
            <w:tcBorders>
              <w:top w:val="single" w:sz="4" w:space="0" w:color="auto"/>
              <w:left w:val="single" w:sz="4" w:space="0" w:color="auto"/>
              <w:right w:val="single" w:sz="4" w:space="0" w:color="auto"/>
            </w:tcBorders>
            <w:vAlign w:val="center"/>
          </w:tcPr>
          <w:p w:rsidR="001F484F" w:rsidRPr="006D767C" w:rsidRDefault="000D3F20" w:rsidP="000D3F20">
            <w:pPr>
              <w:pStyle w:val="TableFooter"/>
              <w:spacing w:after="0"/>
              <w:jc w:val="center"/>
            </w:pPr>
            <w:r w:rsidRPr="006D767C">
              <w:t>NR</w:t>
            </w:r>
          </w:p>
        </w:tc>
        <w:tc>
          <w:tcPr>
            <w:tcW w:w="992" w:type="dxa"/>
            <w:tcBorders>
              <w:top w:val="single" w:sz="4" w:space="0" w:color="auto"/>
              <w:left w:val="single" w:sz="4" w:space="0" w:color="auto"/>
              <w:right w:val="single" w:sz="4" w:space="0" w:color="auto"/>
            </w:tcBorders>
            <w:vAlign w:val="center"/>
          </w:tcPr>
          <w:p w:rsidR="001F484F" w:rsidRPr="006D767C" w:rsidRDefault="000D3F20" w:rsidP="000D3F20">
            <w:pPr>
              <w:pStyle w:val="TableFooter"/>
              <w:spacing w:after="0"/>
              <w:jc w:val="center"/>
            </w:pPr>
            <w:r w:rsidRPr="006D767C">
              <w:t>NR</w:t>
            </w:r>
          </w:p>
        </w:tc>
        <w:tc>
          <w:tcPr>
            <w:tcW w:w="1272" w:type="dxa"/>
            <w:tcBorders>
              <w:top w:val="single" w:sz="4" w:space="0" w:color="auto"/>
              <w:left w:val="single" w:sz="4" w:space="0" w:color="auto"/>
              <w:right w:val="single" w:sz="4" w:space="0" w:color="auto"/>
            </w:tcBorders>
            <w:vAlign w:val="center"/>
          </w:tcPr>
          <w:p w:rsidR="001F484F" w:rsidRPr="006D767C" w:rsidRDefault="000D3F20" w:rsidP="000D3F20">
            <w:pPr>
              <w:pStyle w:val="TableFooter"/>
              <w:spacing w:after="0"/>
              <w:jc w:val="center"/>
            </w:pPr>
            <w:r w:rsidRPr="006D767C">
              <w:t>NR</w:t>
            </w:r>
          </w:p>
        </w:tc>
      </w:tr>
      <w:tr w:rsidR="001F484F" w:rsidRPr="006D767C" w:rsidTr="00AC57B1">
        <w:tc>
          <w:tcPr>
            <w:tcW w:w="1843" w:type="dxa"/>
            <w:tcBorders>
              <w:left w:val="single" w:sz="4" w:space="0" w:color="auto"/>
              <w:bottom w:val="single" w:sz="8" w:space="0" w:color="000000"/>
              <w:right w:val="single" w:sz="4" w:space="0" w:color="auto"/>
            </w:tcBorders>
            <w:vAlign w:val="center"/>
          </w:tcPr>
          <w:p w:rsidR="001F484F" w:rsidRPr="006D767C" w:rsidRDefault="001F484F" w:rsidP="005A0938">
            <w:pPr>
              <w:pStyle w:val="TableFooter"/>
              <w:spacing w:after="0"/>
              <w:jc w:val="center"/>
            </w:pPr>
            <w:r w:rsidRPr="006D767C">
              <w:t xml:space="preserve">Treatment-related </w:t>
            </w:r>
            <w:r w:rsidR="000D3F20" w:rsidRPr="006D767C">
              <w:t>s</w:t>
            </w:r>
            <w:r w:rsidRPr="006D767C">
              <w:t>elect AEs</w:t>
            </w:r>
          </w:p>
        </w:tc>
        <w:tc>
          <w:tcPr>
            <w:tcW w:w="851" w:type="dxa"/>
            <w:tcBorders>
              <w:left w:val="single" w:sz="4" w:space="0" w:color="auto"/>
              <w:bottom w:val="single" w:sz="8" w:space="0" w:color="000000"/>
              <w:right w:val="single" w:sz="4" w:space="0" w:color="auto"/>
            </w:tcBorders>
            <w:vAlign w:val="center"/>
          </w:tcPr>
          <w:p w:rsidR="001F484F" w:rsidRPr="006D767C" w:rsidRDefault="000D3F20" w:rsidP="000D3F20">
            <w:pPr>
              <w:pStyle w:val="TableFooter"/>
              <w:spacing w:after="0"/>
              <w:jc w:val="center"/>
            </w:pPr>
            <w:r w:rsidRPr="006D767C">
              <w:t>NR</w:t>
            </w:r>
          </w:p>
        </w:tc>
        <w:tc>
          <w:tcPr>
            <w:tcW w:w="850" w:type="dxa"/>
            <w:tcBorders>
              <w:left w:val="single" w:sz="4" w:space="0" w:color="auto"/>
              <w:bottom w:val="single" w:sz="8" w:space="0" w:color="000000"/>
              <w:right w:val="single" w:sz="4" w:space="0" w:color="auto"/>
            </w:tcBorders>
            <w:vAlign w:val="center"/>
          </w:tcPr>
          <w:p w:rsidR="001F484F" w:rsidRPr="006D767C" w:rsidRDefault="000D3F20" w:rsidP="000D3F20">
            <w:pPr>
              <w:pStyle w:val="TableFooter"/>
              <w:spacing w:after="0"/>
              <w:jc w:val="center"/>
            </w:pPr>
            <w:r w:rsidRPr="006D767C">
              <w:t>NR</w:t>
            </w:r>
          </w:p>
        </w:tc>
        <w:tc>
          <w:tcPr>
            <w:tcW w:w="851" w:type="dxa"/>
            <w:tcBorders>
              <w:left w:val="single" w:sz="4" w:space="0" w:color="auto"/>
              <w:bottom w:val="single" w:sz="8" w:space="0" w:color="000000"/>
              <w:right w:val="single" w:sz="4" w:space="0" w:color="auto"/>
            </w:tcBorders>
            <w:vAlign w:val="center"/>
          </w:tcPr>
          <w:p w:rsidR="001F484F" w:rsidRPr="006D767C" w:rsidRDefault="000D3F20" w:rsidP="000D3F20">
            <w:pPr>
              <w:pStyle w:val="TableFooter"/>
              <w:spacing w:after="0"/>
              <w:jc w:val="center"/>
            </w:pPr>
            <w:r w:rsidRPr="006D767C">
              <w:t>NR</w:t>
            </w:r>
          </w:p>
        </w:tc>
        <w:tc>
          <w:tcPr>
            <w:tcW w:w="850" w:type="dxa"/>
            <w:tcBorders>
              <w:left w:val="single" w:sz="4" w:space="0" w:color="auto"/>
              <w:bottom w:val="single" w:sz="8" w:space="0" w:color="000000"/>
              <w:right w:val="single" w:sz="4" w:space="0" w:color="auto"/>
            </w:tcBorders>
            <w:vAlign w:val="center"/>
          </w:tcPr>
          <w:p w:rsidR="001F484F" w:rsidRPr="006D767C" w:rsidRDefault="000D3F20" w:rsidP="000D3F20">
            <w:pPr>
              <w:pStyle w:val="TableFooter"/>
              <w:spacing w:after="0"/>
              <w:jc w:val="center"/>
            </w:pPr>
            <w:r w:rsidRPr="006D767C">
              <w:t>NR</w:t>
            </w:r>
          </w:p>
        </w:tc>
        <w:tc>
          <w:tcPr>
            <w:tcW w:w="851"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42</w:t>
            </w:r>
          </w:p>
          <w:p w:rsidR="001F484F" w:rsidRPr="006D767C" w:rsidRDefault="001F484F" w:rsidP="005A0938">
            <w:pPr>
              <w:pStyle w:val="TableFooter"/>
              <w:spacing w:after="0"/>
              <w:jc w:val="center"/>
            </w:pPr>
            <w:r w:rsidRPr="006D767C">
              <w:t>(32.1)</w:t>
            </w:r>
          </w:p>
        </w:tc>
        <w:tc>
          <w:tcPr>
            <w:tcW w:w="850"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46</w:t>
            </w:r>
          </w:p>
          <w:p w:rsidR="001F484F" w:rsidRPr="006D767C" w:rsidRDefault="001F484F" w:rsidP="005A0938">
            <w:pPr>
              <w:pStyle w:val="TableFooter"/>
              <w:spacing w:after="0"/>
              <w:jc w:val="center"/>
            </w:pPr>
            <w:r w:rsidRPr="006D767C">
              <w:t>(35.7)</w:t>
            </w:r>
          </w:p>
        </w:tc>
        <w:tc>
          <w:tcPr>
            <w:tcW w:w="992"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186</w:t>
            </w:r>
          </w:p>
          <w:p w:rsidR="001F484F" w:rsidRPr="006D767C" w:rsidRDefault="001F484F" w:rsidP="005A0938">
            <w:pPr>
              <w:pStyle w:val="TableFooter"/>
              <w:spacing w:after="0"/>
              <w:jc w:val="center"/>
            </w:pPr>
            <w:r w:rsidRPr="006D767C">
              <w:t>(64.8)</w:t>
            </w:r>
          </w:p>
        </w:tc>
        <w:tc>
          <w:tcPr>
            <w:tcW w:w="1272" w:type="dxa"/>
            <w:tcBorders>
              <w:left w:val="single" w:sz="4" w:space="0" w:color="auto"/>
              <w:bottom w:val="single" w:sz="8" w:space="0" w:color="000000"/>
              <w:right w:val="single" w:sz="4" w:space="0" w:color="auto"/>
            </w:tcBorders>
            <w:vAlign w:val="center"/>
          </w:tcPr>
          <w:p w:rsidR="001F484F" w:rsidRPr="006C54F0" w:rsidRDefault="001F484F" w:rsidP="005A0938">
            <w:pPr>
              <w:pStyle w:val="TableFooter"/>
              <w:spacing w:after="0"/>
              <w:jc w:val="center"/>
            </w:pPr>
            <w:r w:rsidRPr="006C54F0">
              <w:t>129</w:t>
            </w:r>
          </w:p>
          <w:p w:rsidR="001F484F" w:rsidRPr="006D767C" w:rsidRDefault="001F484F" w:rsidP="005A0938">
            <w:pPr>
              <w:pStyle w:val="TableFooter"/>
              <w:spacing w:after="0"/>
              <w:jc w:val="center"/>
            </w:pPr>
            <w:r w:rsidRPr="006D767C">
              <w:t>(48.1)</w:t>
            </w:r>
          </w:p>
        </w:tc>
      </w:tr>
      <w:tr w:rsidR="001F484F" w:rsidRPr="006D767C" w:rsidTr="00AC57B1">
        <w:trPr>
          <w:trHeight w:val="70"/>
        </w:trPr>
        <w:tc>
          <w:tcPr>
            <w:tcW w:w="1843" w:type="dxa"/>
            <w:tcBorders>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pPr>
            <w:r w:rsidRPr="006D767C">
              <w:t>OAK</w:t>
            </w:r>
          </w:p>
          <w:p w:rsidR="001F484F" w:rsidRPr="006D767C" w:rsidRDefault="001F484F" w:rsidP="005A0938">
            <w:pPr>
              <w:pStyle w:val="TableFooter"/>
              <w:spacing w:after="0"/>
              <w:jc w:val="center"/>
            </w:pPr>
            <w:r w:rsidRPr="006D767C">
              <w:t>(19 months)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pPr>
            <w:r w:rsidRPr="006D767C">
              <w:t>POPLAR</w:t>
            </w:r>
          </w:p>
          <w:p w:rsidR="001F484F" w:rsidRPr="006D767C" w:rsidRDefault="001F484F" w:rsidP="005A0938">
            <w:pPr>
              <w:pStyle w:val="TableFooter"/>
              <w:spacing w:after="0"/>
              <w:jc w:val="center"/>
            </w:pPr>
            <w:r w:rsidRPr="006D767C">
              <w:t>(13.3 months)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pPr>
            <w:r w:rsidRPr="006D767C">
              <w:t xml:space="preserve">CHECKMATE 017 </w:t>
            </w:r>
          </w:p>
          <w:p w:rsidR="001F484F" w:rsidRPr="006D767C" w:rsidRDefault="001F484F" w:rsidP="005A0938">
            <w:pPr>
              <w:pStyle w:val="TableFooter"/>
              <w:spacing w:after="0"/>
              <w:jc w:val="center"/>
            </w:pPr>
            <w:r w:rsidRPr="006D767C">
              <w:t>(24 months)</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1F484F" w:rsidRPr="006D767C" w:rsidRDefault="001F484F" w:rsidP="005A0938">
            <w:pPr>
              <w:pStyle w:val="TableFooter"/>
              <w:spacing w:after="0"/>
              <w:jc w:val="center"/>
            </w:pPr>
            <w:r w:rsidRPr="006D767C">
              <w:t>CHECKMATE 057</w:t>
            </w:r>
          </w:p>
          <w:p w:rsidR="001F484F" w:rsidRPr="006D767C" w:rsidRDefault="001F484F" w:rsidP="005A0938">
            <w:pPr>
              <w:pStyle w:val="TableFooter"/>
              <w:spacing w:after="0"/>
              <w:jc w:val="center"/>
            </w:pPr>
            <w:r w:rsidRPr="006D767C">
              <w:t>(24 months)</w:t>
            </w:r>
          </w:p>
        </w:tc>
      </w:tr>
      <w:tr w:rsidR="001F484F" w:rsidRPr="006D767C" w:rsidTr="00AC57B1">
        <w:tc>
          <w:tcPr>
            <w:tcW w:w="1843" w:type="dxa"/>
            <w:tcBorders>
              <w:top w:val="single" w:sz="4" w:space="0" w:color="auto"/>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Treatment-related AEs</w:t>
            </w:r>
          </w:p>
        </w:tc>
        <w:tc>
          <w:tcPr>
            <w:tcW w:w="851"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390</w:t>
            </w:r>
          </w:p>
          <w:p w:rsidR="001F484F" w:rsidRPr="006D767C" w:rsidRDefault="001F484F" w:rsidP="005A0938">
            <w:pPr>
              <w:pStyle w:val="TableFooter"/>
              <w:spacing w:after="0"/>
              <w:jc w:val="center"/>
            </w:pPr>
            <w:r w:rsidRPr="006D767C">
              <w:t>(64.0)</w:t>
            </w:r>
          </w:p>
        </w:tc>
        <w:tc>
          <w:tcPr>
            <w:tcW w:w="850"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496</w:t>
            </w:r>
          </w:p>
          <w:p w:rsidR="001F484F" w:rsidRPr="006D767C" w:rsidRDefault="001F484F" w:rsidP="005A0938">
            <w:pPr>
              <w:pStyle w:val="TableFooter"/>
              <w:spacing w:after="0"/>
              <w:jc w:val="center"/>
            </w:pPr>
            <w:r w:rsidRPr="006D767C">
              <w:t>(85.8)</w:t>
            </w:r>
          </w:p>
        </w:tc>
        <w:tc>
          <w:tcPr>
            <w:tcW w:w="851"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95</w:t>
            </w:r>
          </w:p>
          <w:p w:rsidR="001F484F" w:rsidRPr="006D767C" w:rsidRDefault="001F484F" w:rsidP="005A0938">
            <w:pPr>
              <w:pStyle w:val="TableFooter"/>
              <w:spacing w:after="0"/>
              <w:jc w:val="center"/>
            </w:pPr>
            <w:r w:rsidRPr="006D767C">
              <w:t>(66.9)</w:t>
            </w:r>
          </w:p>
        </w:tc>
        <w:tc>
          <w:tcPr>
            <w:tcW w:w="850"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119</w:t>
            </w:r>
          </w:p>
          <w:p w:rsidR="001F484F" w:rsidRPr="006D767C" w:rsidRDefault="001F484F" w:rsidP="005A0938">
            <w:pPr>
              <w:pStyle w:val="TableFooter"/>
              <w:spacing w:after="0"/>
              <w:jc w:val="center"/>
            </w:pPr>
            <w:r w:rsidRPr="006D767C">
              <w:t>(88.1)</w:t>
            </w:r>
          </w:p>
        </w:tc>
        <w:tc>
          <w:tcPr>
            <w:tcW w:w="851"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80</w:t>
            </w:r>
          </w:p>
          <w:p w:rsidR="001F484F" w:rsidRPr="006D767C" w:rsidRDefault="001F484F" w:rsidP="005A0938">
            <w:pPr>
              <w:pStyle w:val="TableFooter"/>
              <w:spacing w:after="0"/>
              <w:jc w:val="center"/>
            </w:pPr>
            <w:r w:rsidRPr="006D767C">
              <w:t>(61)</w:t>
            </w:r>
          </w:p>
        </w:tc>
        <w:tc>
          <w:tcPr>
            <w:tcW w:w="850"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112</w:t>
            </w:r>
          </w:p>
          <w:p w:rsidR="001F484F" w:rsidRPr="006D767C" w:rsidRDefault="001F484F" w:rsidP="005A0938">
            <w:pPr>
              <w:pStyle w:val="TableFooter"/>
              <w:spacing w:after="0"/>
              <w:jc w:val="center"/>
            </w:pPr>
            <w:r w:rsidRPr="006D767C">
              <w:t>(87)</w:t>
            </w:r>
          </w:p>
        </w:tc>
        <w:tc>
          <w:tcPr>
            <w:tcW w:w="992"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204</w:t>
            </w:r>
          </w:p>
          <w:p w:rsidR="001F484F" w:rsidRPr="006D767C" w:rsidRDefault="001F484F" w:rsidP="005A0938">
            <w:pPr>
              <w:pStyle w:val="TableFooter"/>
              <w:spacing w:after="0"/>
              <w:jc w:val="center"/>
            </w:pPr>
            <w:r w:rsidRPr="006D767C">
              <w:t>(71)</w:t>
            </w:r>
          </w:p>
        </w:tc>
        <w:tc>
          <w:tcPr>
            <w:tcW w:w="1272" w:type="dxa"/>
            <w:tcBorders>
              <w:top w:val="single" w:sz="4" w:space="0" w:color="auto"/>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236</w:t>
            </w:r>
          </w:p>
          <w:p w:rsidR="001F484F" w:rsidRPr="006D767C" w:rsidRDefault="001F484F" w:rsidP="005A0938">
            <w:pPr>
              <w:pStyle w:val="TableFooter"/>
              <w:spacing w:after="0"/>
              <w:jc w:val="center"/>
            </w:pPr>
            <w:r w:rsidRPr="006D767C">
              <w:t>(88)</w:t>
            </w:r>
          </w:p>
        </w:tc>
      </w:tr>
      <w:tr w:rsidR="001F484F" w:rsidRPr="006D767C" w:rsidTr="00AC57B1">
        <w:tc>
          <w:tcPr>
            <w:tcW w:w="1843"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Treatment-related Grade 3,4 AEs</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90</w:t>
            </w:r>
          </w:p>
          <w:p w:rsidR="001F484F" w:rsidRPr="006D767C" w:rsidRDefault="001F484F" w:rsidP="005A0938">
            <w:pPr>
              <w:pStyle w:val="TableFooter"/>
              <w:spacing w:after="0"/>
              <w:jc w:val="center"/>
            </w:pPr>
            <w:r w:rsidRPr="006D767C">
              <w:t>(14.8)</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248</w:t>
            </w:r>
          </w:p>
          <w:p w:rsidR="001F484F" w:rsidRPr="006D767C" w:rsidRDefault="001F484F" w:rsidP="005A0938">
            <w:pPr>
              <w:pStyle w:val="TableFooter"/>
              <w:spacing w:after="0"/>
              <w:jc w:val="center"/>
            </w:pPr>
            <w:r w:rsidRPr="006D767C">
              <w:t>(42.9)</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16</w:t>
            </w:r>
          </w:p>
          <w:p w:rsidR="001F484F" w:rsidRPr="006D767C" w:rsidRDefault="001F484F" w:rsidP="005A0938">
            <w:pPr>
              <w:pStyle w:val="TableFooter"/>
              <w:spacing w:after="0"/>
              <w:jc w:val="center"/>
            </w:pPr>
            <w:r w:rsidRPr="006D767C">
              <w:t>(11.3)</w:t>
            </w:r>
          </w:p>
        </w:tc>
        <w:tc>
          <w:tcPr>
            <w:tcW w:w="850" w:type="dxa"/>
            <w:tcBorders>
              <w:left w:val="single" w:sz="4" w:space="0" w:color="auto"/>
              <w:right w:val="single" w:sz="4" w:space="0" w:color="auto"/>
            </w:tcBorders>
            <w:vAlign w:val="center"/>
          </w:tcPr>
          <w:p w:rsidR="001F484F" w:rsidRPr="006C54F0" w:rsidRDefault="00D92652" w:rsidP="005A0938">
            <w:pPr>
              <w:pStyle w:val="TableFooter"/>
              <w:spacing w:after="0"/>
              <w:jc w:val="center"/>
            </w:pPr>
            <w:r>
              <w:t>52</w:t>
            </w:r>
          </w:p>
          <w:p w:rsidR="001F484F" w:rsidRPr="006D767C" w:rsidRDefault="001F484F" w:rsidP="00D92652">
            <w:pPr>
              <w:pStyle w:val="TableFooter"/>
              <w:spacing w:after="0"/>
              <w:jc w:val="center"/>
            </w:pPr>
            <w:r w:rsidRPr="006D767C">
              <w:t>(</w:t>
            </w:r>
            <w:r w:rsidR="00D92652">
              <w:t>38.5</w:t>
            </w:r>
            <w:r w:rsidRPr="006D767C">
              <w:t>)</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10</w:t>
            </w:r>
          </w:p>
          <w:p w:rsidR="001F484F" w:rsidRPr="006D767C" w:rsidRDefault="001F484F" w:rsidP="005A0938">
            <w:pPr>
              <w:pStyle w:val="TableFooter"/>
              <w:spacing w:after="0"/>
              <w:jc w:val="center"/>
            </w:pPr>
            <w:r w:rsidRPr="006D767C">
              <w:t>(8)</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72</w:t>
            </w:r>
          </w:p>
          <w:p w:rsidR="001F484F" w:rsidRPr="006D767C" w:rsidRDefault="001F484F" w:rsidP="005A0938">
            <w:pPr>
              <w:pStyle w:val="TableFooter"/>
              <w:spacing w:after="0"/>
              <w:jc w:val="center"/>
            </w:pPr>
            <w:r w:rsidRPr="006D767C">
              <w:t>(56)</w:t>
            </w:r>
          </w:p>
        </w:tc>
        <w:tc>
          <w:tcPr>
            <w:tcW w:w="99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32</w:t>
            </w:r>
          </w:p>
          <w:p w:rsidR="001F484F" w:rsidRPr="006D767C" w:rsidRDefault="001F484F" w:rsidP="005A0938">
            <w:pPr>
              <w:pStyle w:val="TableFooter"/>
              <w:spacing w:after="0"/>
              <w:jc w:val="center"/>
            </w:pPr>
            <w:r w:rsidRPr="006D767C">
              <w:t>(11)</w:t>
            </w:r>
          </w:p>
        </w:tc>
        <w:tc>
          <w:tcPr>
            <w:tcW w:w="1272"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145</w:t>
            </w:r>
          </w:p>
          <w:p w:rsidR="001F484F" w:rsidRPr="006D767C" w:rsidRDefault="001F484F" w:rsidP="005A0938">
            <w:pPr>
              <w:pStyle w:val="TableFooter"/>
              <w:spacing w:after="0"/>
              <w:jc w:val="center"/>
            </w:pPr>
            <w:r w:rsidRPr="006D767C">
              <w:t>(54)</w:t>
            </w:r>
          </w:p>
        </w:tc>
      </w:tr>
      <w:tr w:rsidR="001F484F" w:rsidRPr="006D767C" w:rsidTr="00AC57B1">
        <w:tc>
          <w:tcPr>
            <w:tcW w:w="1843"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Treatment-related SAEs</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63</w:t>
            </w:r>
          </w:p>
          <w:p w:rsidR="001F484F" w:rsidRPr="006D767C" w:rsidRDefault="001F484F" w:rsidP="005A0938">
            <w:pPr>
              <w:pStyle w:val="TableFooter"/>
              <w:spacing w:after="0"/>
              <w:jc w:val="center"/>
            </w:pPr>
            <w:r w:rsidRPr="006D767C">
              <w:t>(10.3)</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102</w:t>
            </w:r>
          </w:p>
          <w:p w:rsidR="001F484F" w:rsidRPr="006D767C" w:rsidRDefault="001F484F" w:rsidP="005A0938">
            <w:pPr>
              <w:pStyle w:val="TableFooter"/>
              <w:spacing w:after="0"/>
              <w:jc w:val="center"/>
            </w:pPr>
            <w:r w:rsidRPr="006D767C">
              <w:t>(17.6)</w:t>
            </w:r>
          </w:p>
        </w:tc>
        <w:tc>
          <w:tcPr>
            <w:tcW w:w="851"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12</w:t>
            </w:r>
          </w:p>
          <w:p w:rsidR="001F484F" w:rsidRPr="006D767C" w:rsidRDefault="001F484F" w:rsidP="005A0938">
            <w:pPr>
              <w:pStyle w:val="TableFooter"/>
              <w:spacing w:after="0"/>
              <w:jc w:val="center"/>
            </w:pPr>
            <w:r w:rsidRPr="006D767C">
              <w:t>(8.5)</w:t>
            </w:r>
          </w:p>
        </w:tc>
        <w:tc>
          <w:tcPr>
            <w:tcW w:w="850" w:type="dxa"/>
            <w:tcBorders>
              <w:left w:val="single" w:sz="4" w:space="0" w:color="auto"/>
              <w:right w:val="single" w:sz="4" w:space="0" w:color="auto"/>
            </w:tcBorders>
            <w:vAlign w:val="center"/>
          </w:tcPr>
          <w:p w:rsidR="001F484F" w:rsidRPr="006C54F0" w:rsidRDefault="001F484F" w:rsidP="005A0938">
            <w:pPr>
              <w:pStyle w:val="TableFooter"/>
              <w:spacing w:after="0"/>
              <w:jc w:val="center"/>
            </w:pPr>
            <w:r w:rsidRPr="006C54F0">
              <w:t>23</w:t>
            </w:r>
          </w:p>
          <w:p w:rsidR="001F484F" w:rsidRPr="006D767C" w:rsidRDefault="001F484F" w:rsidP="005A0938">
            <w:pPr>
              <w:pStyle w:val="TableFooter"/>
              <w:spacing w:after="0"/>
              <w:jc w:val="center"/>
            </w:pPr>
            <w:r w:rsidRPr="006D767C">
              <w:t>(17.0)</w:t>
            </w:r>
          </w:p>
        </w:tc>
        <w:tc>
          <w:tcPr>
            <w:tcW w:w="851"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NR</w:t>
            </w:r>
          </w:p>
        </w:tc>
        <w:tc>
          <w:tcPr>
            <w:tcW w:w="850"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NR</w:t>
            </w:r>
          </w:p>
        </w:tc>
        <w:tc>
          <w:tcPr>
            <w:tcW w:w="992"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NR</w:t>
            </w:r>
          </w:p>
        </w:tc>
        <w:tc>
          <w:tcPr>
            <w:tcW w:w="1272" w:type="dxa"/>
            <w:tcBorders>
              <w:left w:val="single" w:sz="4" w:space="0" w:color="auto"/>
              <w:right w:val="single" w:sz="4" w:space="0" w:color="auto"/>
            </w:tcBorders>
            <w:vAlign w:val="center"/>
          </w:tcPr>
          <w:p w:rsidR="001F484F" w:rsidRPr="006D767C" w:rsidRDefault="001F484F" w:rsidP="005A0938">
            <w:pPr>
              <w:pStyle w:val="TableFooter"/>
              <w:spacing w:after="0"/>
              <w:jc w:val="center"/>
            </w:pPr>
            <w:r w:rsidRPr="006D767C">
              <w:t>NR</w:t>
            </w:r>
          </w:p>
        </w:tc>
      </w:tr>
      <w:tr w:rsidR="001F484F" w:rsidRPr="006D767C" w:rsidTr="00AC57B1">
        <w:tc>
          <w:tcPr>
            <w:tcW w:w="1843" w:type="dxa"/>
            <w:tcBorders>
              <w:left w:val="single" w:sz="4" w:space="0" w:color="auto"/>
              <w:bottom w:val="single" w:sz="4" w:space="0" w:color="000000"/>
              <w:right w:val="single" w:sz="4" w:space="0" w:color="auto"/>
            </w:tcBorders>
            <w:vAlign w:val="center"/>
          </w:tcPr>
          <w:p w:rsidR="001F484F" w:rsidRPr="006D767C" w:rsidRDefault="001F484F" w:rsidP="005A0938">
            <w:pPr>
              <w:pStyle w:val="TableFooter"/>
              <w:spacing w:after="0"/>
              <w:jc w:val="center"/>
            </w:pPr>
            <w:r w:rsidRPr="006D767C">
              <w:t>Treatment-related deaths</w:t>
            </w:r>
          </w:p>
        </w:tc>
        <w:tc>
          <w:tcPr>
            <w:tcW w:w="851" w:type="dxa"/>
            <w:tcBorders>
              <w:left w:val="single" w:sz="4" w:space="0" w:color="auto"/>
              <w:bottom w:val="single" w:sz="4" w:space="0" w:color="000000"/>
              <w:right w:val="single" w:sz="4" w:space="0" w:color="auto"/>
            </w:tcBorders>
            <w:vAlign w:val="center"/>
          </w:tcPr>
          <w:p w:rsidR="001F484F" w:rsidRPr="006D767C" w:rsidRDefault="001F484F" w:rsidP="005A0938">
            <w:pPr>
              <w:pStyle w:val="TableFooter"/>
              <w:spacing w:after="0"/>
              <w:jc w:val="center"/>
            </w:pPr>
            <w:r w:rsidRPr="006D767C">
              <w:t>0</w:t>
            </w:r>
          </w:p>
        </w:tc>
        <w:tc>
          <w:tcPr>
            <w:tcW w:w="850" w:type="dxa"/>
            <w:tcBorders>
              <w:left w:val="single" w:sz="4" w:space="0" w:color="auto"/>
              <w:bottom w:val="single" w:sz="4" w:space="0" w:color="000000"/>
              <w:right w:val="single" w:sz="4" w:space="0" w:color="auto"/>
            </w:tcBorders>
            <w:vAlign w:val="center"/>
          </w:tcPr>
          <w:p w:rsidR="001F484F" w:rsidRPr="006C54F0" w:rsidRDefault="001F484F" w:rsidP="005A0938">
            <w:pPr>
              <w:pStyle w:val="TableFooter"/>
              <w:spacing w:after="0"/>
              <w:jc w:val="center"/>
            </w:pPr>
            <w:r w:rsidRPr="006C54F0">
              <w:t>1</w:t>
            </w:r>
          </w:p>
          <w:p w:rsidR="001F484F" w:rsidRPr="006D767C" w:rsidRDefault="001F484F" w:rsidP="005A0938">
            <w:pPr>
              <w:pStyle w:val="TableFooter"/>
              <w:spacing w:after="0"/>
              <w:jc w:val="center"/>
            </w:pPr>
            <w:r w:rsidRPr="006D767C">
              <w:t>(0.2)</w:t>
            </w:r>
          </w:p>
        </w:tc>
        <w:tc>
          <w:tcPr>
            <w:tcW w:w="851" w:type="dxa"/>
            <w:tcBorders>
              <w:left w:val="single" w:sz="4" w:space="0" w:color="auto"/>
              <w:bottom w:val="single" w:sz="4" w:space="0" w:color="000000"/>
              <w:right w:val="single" w:sz="4" w:space="0" w:color="auto"/>
            </w:tcBorders>
            <w:vAlign w:val="center"/>
          </w:tcPr>
          <w:p w:rsidR="001F484F" w:rsidRPr="006C54F0" w:rsidRDefault="001F484F" w:rsidP="005A0938">
            <w:pPr>
              <w:pStyle w:val="TableFooter"/>
              <w:spacing w:after="0"/>
              <w:jc w:val="center"/>
            </w:pPr>
            <w:r w:rsidRPr="006C54F0">
              <w:t>1</w:t>
            </w:r>
          </w:p>
          <w:p w:rsidR="001F484F" w:rsidRPr="006D767C" w:rsidRDefault="001F484F" w:rsidP="005A0938">
            <w:pPr>
              <w:pStyle w:val="TableFooter"/>
              <w:spacing w:after="0"/>
              <w:jc w:val="center"/>
            </w:pPr>
            <w:r w:rsidRPr="006D767C">
              <w:t>(0.7)</w:t>
            </w:r>
          </w:p>
        </w:tc>
        <w:tc>
          <w:tcPr>
            <w:tcW w:w="850" w:type="dxa"/>
            <w:tcBorders>
              <w:left w:val="single" w:sz="4" w:space="0" w:color="auto"/>
              <w:bottom w:val="single" w:sz="4" w:space="0" w:color="000000"/>
              <w:right w:val="single" w:sz="4" w:space="0" w:color="auto"/>
            </w:tcBorders>
            <w:vAlign w:val="center"/>
          </w:tcPr>
          <w:p w:rsidR="001F484F" w:rsidRPr="006C54F0" w:rsidRDefault="001F484F" w:rsidP="005A0938">
            <w:pPr>
              <w:pStyle w:val="TableFooter"/>
              <w:spacing w:after="0"/>
              <w:jc w:val="center"/>
            </w:pPr>
            <w:r w:rsidRPr="006C54F0">
              <w:t>3</w:t>
            </w:r>
          </w:p>
          <w:p w:rsidR="001F484F" w:rsidRPr="006D767C" w:rsidRDefault="001F484F" w:rsidP="005A0938">
            <w:pPr>
              <w:pStyle w:val="TableFooter"/>
              <w:spacing w:after="0"/>
              <w:jc w:val="center"/>
            </w:pPr>
            <w:r w:rsidRPr="006D767C">
              <w:t>(2.2)</w:t>
            </w:r>
          </w:p>
        </w:tc>
        <w:tc>
          <w:tcPr>
            <w:tcW w:w="851" w:type="dxa"/>
            <w:tcBorders>
              <w:left w:val="single" w:sz="4" w:space="0" w:color="auto"/>
              <w:bottom w:val="single" w:sz="4" w:space="0" w:color="000000"/>
              <w:right w:val="single" w:sz="4" w:space="0" w:color="auto"/>
            </w:tcBorders>
            <w:vAlign w:val="center"/>
          </w:tcPr>
          <w:p w:rsidR="001F484F" w:rsidRPr="006D767C" w:rsidRDefault="001F484F" w:rsidP="005A0938">
            <w:pPr>
              <w:pStyle w:val="TableFooter"/>
              <w:spacing w:after="0"/>
              <w:jc w:val="center"/>
            </w:pPr>
            <w:r w:rsidRPr="006D767C">
              <w:t>0</w:t>
            </w:r>
          </w:p>
        </w:tc>
        <w:tc>
          <w:tcPr>
            <w:tcW w:w="850" w:type="dxa"/>
            <w:tcBorders>
              <w:left w:val="single" w:sz="4" w:space="0" w:color="auto"/>
              <w:bottom w:val="single" w:sz="4" w:space="0" w:color="000000"/>
              <w:right w:val="single" w:sz="4" w:space="0" w:color="auto"/>
            </w:tcBorders>
            <w:vAlign w:val="center"/>
          </w:tcPr>
          <w:p w:rsidR="001F484F" w:rsidRPr="006C54F0" w:rsidRDefault="001F484F" w:rsidP="005A0938">
            <w:pPr>
              <w:pStyle w:val="TableFooter"/>
              <w:spacing w:after="0"/>
              <w:jc w:val="center"/>
            </w:pPr>
            <w:r w:rsidRPr="006C54F0">
              <w:t>3</w:t>
            </w:r>
          </w:p>
          <w:p w:rsidR="001F484F" w:rsidRPr="006D767C" w:rsidRDefault="001F484F" w:rsidP="005A0938">
            <w:pPr>
              <w:pStyle w:val="TableFooter"/>
              <w:spacing w:after="0"/>
              <w:jc w:val="center"/>
            </w:pPr>
            <w:r w:rsidRPr="006D767C">
              <w:t>(2)</w:t>
            </w:r>
          </w:p>
        </w:tc>
        <w:tc>
          <w:tcPr>
            <w:tcW w:w="992" w:type="dxa"/>
            <w:tcBorders>
              <w:left w:val="single" w:sz="4" w:space="0" w:color="auto"/>
              <w:bottom w:val="single" w:sz="4" w:space="0" w:color="000000"/>
              <w:right w:val="single" w:sz="4" w:space="0" w:color="auto"/>
            </w:tcBorders>
            <w:vAlign w:val="center"/>
          </w:tcPr>
          <w:p w:rsidR="001F484F" w:rsidRPr="006C54F0" w:rsidRDefault="001F484F" w:rsidP="005A0938">
            <w:pPr>
              <w:pStyle w:val="TableFooter"/>
              <w:spacing w:after="0"/>
              <w:jc w:val="center"/>
            </w:pPr>
            <w:r w:rsidRPr="006C54F0">
              <w:t>1</w:t>
            </w:r>
          </w:p>
          <w:p w:rsidR="001F484F" w:rsidRPr="006D767C" w:rsidRDefault="001F484F" w:rsidP="005A0938">
            <w:pPr>
              <w:pStyle w:val="TableFooter"/>
              <w:spacing w:after="0"/>
              <w:jc w:val="center"/>
            </w:pPr>
            <w:r w:rsidRPr="006D767C">
              <w:t>(&lt;1)</w:t>
            </w:r>
          </w:p>
        </w:tc>
        <w:tc>
          <w:tcPr>
            <w:tcW w:w="1272" w:type="dxa"/>
            <w:tcBorders>
              <w:left w:val="single" w:sz="4" w:space="0" w:color="auto"/>
              <w:bottom w:val="single" w:sz="4" w:space="0" w:color="000000"/>
              <w:right w:val="single" w:sz="4" w:space="0" w:color="auto"/>
            </w:tcBorders>
            <w:vAlign w:val="center"/>
          </w:tcPr>
          <w:p w:rsidR="001F484F" w:rsidRPr="006C54F0" w:rsidRDefault="001F484F" w:rsidP="005A0938">
            <w:pPr>
              <w:pStyle w:val="TableFooter"/>
              <w:spacing w:after="0"/>
              <w:jc w:val="center"/>
            </w:pPr>
            <w:r w:rsidRPr="006C54F0">
              <w:t>1</w:t>
            </w:r>
          </w:p>
          <w:p w:rsidR="001F484F" w:rsidRPr="006D767C" w:rsidRDefault="001F484F" w:rsidP="005A0938">
            <w:pPr>
              <w:pStyle w:val="TableFooter"/>
              <w:spacing w:after="0"/>
              <w:jc w:val="center"/>
            </w:pPr>
            <w:r w:rsidRPr="006D767C">
              <w:t>(&lt;1)</w:t>
            </w:r>
          </w:p>
        </w:tc>
      </w:tr>
    </w:tbl>
    <w:p w:rsidR="001F484F" w:rsidRPr="006D767C" w:rsidRDefault="001F484F" w:rsidP="001F484F">
      <w:pPr>
        <w:pStyle w:val="TableFooter"/>
      </w:pPr>
      <w:r w:rsidRPr="006D767C">
        <w:t xml:space="preserve">AE = adverse event, SAE = </w:t>
      </w:r>
      <w:r w:rsidR="00B1543B" w:rsidRPr="006D767C">
        <w:t>s</w:t>
      </w:r>
      <w:r w:rsidRPr="006D767C">
        <w:t xml:space="preserve">erious </w:t>
      </w:r>
      <w:r w:rsidR="00B1543B" w:rsidRPr="006D767C">
        <w:t>a</w:t>
      </w:r>
      <w:r w:rsidRPr="006D767C">
        <w:t xml:space="preserve">dverse </w:t>
      </w:r>
      <w:r w:rsidR="00B1543B" w:rsidRPr="006D767C">
        <w:t>e</w:t>
      </w:r>
      <w:r w:rsidRPr="006D767C">
        <w:t>vent</w:t>
      </w:r>
      <w:r w:rsidR="00651F6A" w:rsidRPr="006D767C">
        <w:t xml:space="preserve">; AESI = adverse event of special interest; ATZ </w:t>
      </w:r>
      <w:r w:rsidR="00D5280E" w:rsidRPr="006D767C">
        <w:t>= atezolizumab; DOC = docetaxel</w:t>
      </w:r>
      <w:r w:rsidR="000D3F20" w:rsidRPr="006D767C">
        <w:t>; NR = not reported</w:t>
      </w:r>
      <w:r w:rsidR="00D5280E" w:rsidRPr="006D767C">
        <w:t>.</w:t>
      </w:r>
    </w:p>
    <w:p w:rsidR="001F484F" w:rsidRPr="006D767C" w:rsidRDefault="001F484F" w:rsidP="001F484F">
      <w:pPr>
        <w:pStyle w:val="TableFooter"/>
      </w:pPr>
      <w:r w:rsidRPr="006D767C">
        <w:t>Source: Table 2.6.5, Section 2 of the submission</w:t>
      </w:r>
      <w:r w:rsidR="000D3F20" w:rsidRPr="006D767C">
        <w:t>.</w:t>
      </w:r>
    </w:p>
    <w:p w:rsidR="007A38AE" w:rsidRPr="006D767C" w:rsidRDefault="007A38AE" w:rsidP="002D73C8">
      <w:pPr>
        <w:numPr>
          <w:ilvl w:val="1"/>
          <w:numId w:val="1"/>
        </w:numPr>
        <w:spacing w:before="0" w:after="120"/>
      </w:pPr>
      <w:r w:rsidRPr="006D767C">
        <w:t xml:space="preserve">In the individual trials, immunotherapy generally resulted in fewer adverse events than the use of docetaxel chemotherapy. </w:t>
      </w:r>
      <w:r w:rsidR="0001739D" w:rsidRPr="006D767C">
        <w:t xml:space="preserve">The submission did not conduct a </w:t>
      </w:r>
      <w:r w:rsidRPr="006D767C">
        <w:t>formal indirect comparison between the immunotherapies for safety.</w:t>
      </w:r>
    </w:p>
    <w:p w:rsidR="0089504C" w:rsidRPr="006D767C" w:rsidRDefault="00981DB8" w:rsidP="002D73C8">
      <w:pPr>
        <w:numPr>
          <w:ilvl w:val="1"/>
          <w:numId w:val="1"/>
        </w:numPr>
        <w:spacing w:before="0" w:after="120"/>
      </w:pPr>
      <w:r w:rsidRPr="006D767C">
        <w:t>A</w:t>
      </w:r>
      <w:r w:rsidR="0089504C" w:rsidRPr="006D767C">
        <w:t xml:space="preserve"> higher rate of AEs leading to discontinuation was observed in CHECKMATE 057 for nivolumab compared with atezolizumab in both OAK and POPLAR. The rate of AEs leading to discontinuation in the docetaxel arms across the trials </w:t>
      </w:r>
      <w:r w:rsidR="009D6C72" w:rsidRPr="006D767C">
        <w:t>wa</w:t>
      </w:r>
      <w:r w:rsidR="00252F20" w:rsidRPr="006D767C">
        <w:t>s similar.</w:t>
      </w:r>
    </w:p>
    <w:p w:rsidR="00C317F3" w:rsidRPr="006D767C" w:rsidRDefault="008058E8" w:rsidP="00772501">
      <w:pPr>
        <w:pStyle w:val="Heading2"/>
      </w:pPr>
      <w:bookmarkStart w:id="18" w:name="_Toc492917634"/>
      <w:r w:rsidRPr="006D767C">
        <w:t>Interpretation of clinical evidence</w:t>
      </w:r>
      <w:bookmarkEnd w:id="18"/>
    </w:p>
    <w:p w:rsidR="00044E33" w:rsidRPr="006D767C" w:rsidRDefault="00044E33" w:rsidP="002D73C8">
      <w:pPr>
        <w:pStyle w:val="ListParagraph"/>
        <w:numPr>
          <w:ilvl w:val="1"/>
          <w:numId w:val="1"/>
        </w:numPr>
        <w:spacing w:before="0" w:after="120"/>
      </w:pPr>
      <w:r w:rsidRPr="006D767C">
        <w:t>The clinical claim made by the submission was that atezolizumab is non-inferior in terms of both effectiveness and safety compared to the</w:t>
      </w:r>
      <w:r w:rsidR="000D3F20" w:rsidRPr="006D767C">
        <w:t xml:space="preserve"> primary comparator, nivolumab.</w:t>
      </w:r>
    </w:p>
    <w:p w:rsidR="007A38AE" w:rsidRPr="006D767C" w:rsidRDefault="007A38AE" w:rsidP="002D73C8">
      <w:pPr>
        <w:pStyle w:val="ListParagraph"/>
        <w:numPr>
          <w:ilvl w:val="1"/>
          <w:numId w:val="1"/>
        </w:numPr>
      </w:pPr>
      <w:bookmarkStart w:id="19" w:name="_Toc413139282"/>
      <w:r w:rsidRPr="006D767C">
        <w:t xml:space="preserve">The submission did not specify a non-inferiority margin for the indirect comparison. However, the confidence intervals of the </w:t>
      </w:r>
      <w:r w:rsidR="00004F8D" w:rsidRPr="006D767C">
        <w:t xml:space="preserve">OR, RR and RD </w:t>
      </w:r>
      <w:r w:rsidRPr="006D767C">
        <w:t xml:space="preserve">from the indirect comparison at both 12 and 18 months contained differences that might be clinically meaningful. Therefore, </w:t>
      </w:r>
      <w:r w:rsidR="0001739D" w:rsidRPr="006D767C">
        <w:t xml:space="preserve">an </w:t>
      </w:r>
      <w:r w:rsidRPr="006D767C">
        <w:t xml:space="preserve">inferior treatment effect of atezolizumab compared with nivolumab </w:t>
      </w:r>
      <w:r w:rsidR="00A26465" w:rsidRPr="006D767C">
        <w:t>could not be</w:t>
      </w:r>
      <w:r w:rsidRPr="006D767C">
        <w:t xml:space="preserve"> ruled out. </w:t>
      </w:r>
      <w:r w:rsidR="008A573C" w:rsidRPr="006D767C">
        <w:t xml:space="preserve">The PSCR (p1) </w:t>
      </w:r>
      <w:r w:rsidR="00AF4A04" w:rsidRPr="006D767C">
        <w:t xml:space="preserve">claimed </w:t>
      </w:r>
      <w:r w:rsidR="008A573C" w:rsidRPr="006D767C">
        <w:t xml:space="preserve">that atezolizumab’s inferiority to nivolumab was statistically implausible, using a scenario analysis (see paragraph </w:t>
      </w:r>
      <w:r w:rsidR="00C65BBE">
        <w:t>6.24.1</w:t>
      </w:r>
      <w:r w:rsidR="008A573C" w:rsidRPr="006D767C">
        <w:t>). The ESC agreed with the PSCR’s arguments and the results of the scenario analysis, and advised that the submission’s claim of non-inferior comparative effectiveness compared with nivolumab was reasonable.</w:t>
      </w:r>
    </w:p>
    <w:p w:rsidR="008A573C" w:rsidRPr="006D767C" w:rsidRDefault="008A573C" w:rsidP="002D73C8">
      <w:pPr>
        <w:pStyle w:val="ListParagraph"/>
        <w:numPr>
          <w:ilvl w:val="1"/>
          <w:numId w:val="1"/>
        </w:numPr>
        <w:spacing w:before="0" w:after="120"/>
      </w:pPr>
      <w:r w:rsidRPr="006D767C">
        <w:t>The ESC considered that</w:t>
      </w:r>
      <w:r w:rsidR="00252F20" w:rsidRPr="006D767C">
        <w:t>,</w:t>
      </w:r>
      <w:r w:rsidRPr="006D767C">
        <w:t xml:space="preserve"> despi</w:t>
      </w:r>
      <w:r w:rsidR="00B916B7" w:rsidRPr="006D767C">
        <w:t>te the differences between the atezolizumab and nivolumab trials</w:t>
      </w:r>
      <w:r w:rsidRPr="006D767C">
        <w:t xml:space="preserve">, the incidence and severity of AEs were similar with both </w:t>
      </w:r>
      <w:r w:rsidR="00B916B7" w:rsidRPr="006D767C">
        <w:t xml:space="preserve">immunotherapy </w:t>
      </w:r>
      <w:r w:rsidRPr="006D767C">
        <w:t>treatment</w:t>
      </w:r>
      <w:r w:rsidR="00B916B7" w:rsidRPr="006D767C">
        <w:t>s</w:t>
      </w:r>
      <w:r w:rsidRPr="006D767C">
        <w:t>. As such, the ESC advised that the submission’s claim of non-inferior safety compared with nivolumab was reasonable.</w:t>
      </w:r>
    </w:p>
    <w:p w:rsidR="00654416" w:rsidRPr="006D767C" w:rsidRDefault="00654416" w:rsidP="002D73C8">
      <w:pPr>
        <w:pStyle w:val="ListParagraph"/>
        <w:numPr>
          <w:ilvl w:val="1"/>
          <w:numId w:val="1"/>
        </w:numPr>
      </w:pPr>
      <w:r w:rsidRPr="006D767C">
        <w:t>The PBAC considered that the submission’s claim of non-inferior comparative effectiveness compared with nivolumab was reasonable.</w:t>
      </w:r>
    </w:p>
    <w:p w:rsidR="00654416" w:rsidRPr="006D767C" w:rsidRDefault="00654416" w:rsidP="002D73C8">
      <w:pPr>
        <w:pStyle w:val="ListParagraph"/>
        <w:numPr>
          <w:ilvl w:val="1"/>
          <w:numId w:val="1"/>
        </w:numPr>
        <w:spacing w:before="0" w:after="120"/>
        <w:ind w:left="709" w:hanging="709"/>
        <w:rPr>
          <w:rFonts w:cs="Arial"/>
          <w:snapToGrid w:val="0"/>
          <w:szCs w:val="20"/>
        </w:rPr>
      </w:pPr>
      <w:r w:rsidRPr="006D767C">
        <w:rPr>
          <w:rFonts w:cs="Arial"/>
          <w:snapToGrid w:val="0"/>
          <w:szCs w:val="20"/>
        </w:rPr>
        <w:t>The PBAC considered that the submission’s claim of non-inferior comparative safety compared with nivolumab was reasonable.</w:t>
      </w:r>
    </w:p>
    <w:p w:rsidR="00C317F3" w:rsidRPr="006D767C" w:rsidRDefault="00C317F3" w:rsidP="00772501">
      <w:pPr>
        <w:pStyle w:val="Heading2"/>
      </w:pPr>
      <w:bookmarkStart w:id="20" w:name="_Toc492917635"/>
      <w:r w:rsidRPr="006D767C">
        <w:t>Economic analysis</w:t>
      </w:r>
      <w:bookmarkEnd w:id="19"/>
      <w:bookmarkEnd w:id="20"/>
    </w:p>
    <w:p w:rsidR="00C317F3" w:rsidRPr="006D767C" w:rsidRDefault="00C317F3" w:rsidP="002D73C8">
      <w:pPr>
        <w:pStyle w:val="ListParagraph"/>
        <w:numPr>
          <w:ilvl w:val="1"/>
          <w:numId w:val="1"/>
        </w:numPr>
        <w:spacing w:before="0" w:after="120"/>
      </w:pPr>
      <w:r w:rsidRPr="006D767C">
        <w:t xml:space="preserve">The equi-effective doses </w:t>
      </w:r>
      <w:r w:rsidR="00252F20" w:rsidRPr="006D767C">
        <w:t>we</w:t>
      </w:r>
      <w:r w:rsidRPr="006D767C">
        <w:t xml:space="preserve">re </w:t>
      </w:r>
      <w:r w:rsidR="00252F20" w:rsidRPr="006D767C">
        <w:t xml:space="preserve">proposed </w:t>
      </w:r>
      <w:r w:rsidRPr="006D767C">
        <w:t xml:space="preserve">as </w:t>
      </w:r>
      <w:r w:rsidR="00095BCD" w:rsidRPr="006D767C">
        <w:t>1200</w:t>
      </w:r>
      <w:r w:rsidR="00252F20" w:rsidRPr="006D767C">
        <w:t> </w:t>
      </w:r>
      <w:r w:rsidR="00095BCD" w:rsidRPr="006D767C">
        <w:t>mg ate</w:t>
      </w:r>
      <w:r w:rsidR="00252F20" w:rsidRPr="006D767C">
        <w:t>zolizumab every 3 weeks and 360 </w:t>
      </w:r>
      <w:r w:rsidR="00095BCD" w:rsidRPr="006D767C">
        <w:t>mg nivolumab every 3 weeks</w:t>
      </w:r>
      <w:r w:rsidR="00C64B0E" w:rsidRPr="006D767C">
        <w:t xml:space="preserve"> (i.e. </w:t>
      </w:r>
      <w:r w:rsidR="00D5065E" w:rsidRPr="006D767C">
        <w:t xml:space="preserve">calculated as </w:t>
      </w:r>
      <w:r w:rsidR="00C64B0E" w:rsidRPr="006D767C">
        <w:t>240 mg nivolumab administered every two weeks multiplied by 3/2</w:t>
      </w:r>
      <w:r w:rsidR="003632C3">
        <w:t>, with the 240 mg dose of nivolumab per infusion calculated based in the average weight of patients in the nivolumab studies rounded up to the most efficient selection of vial sizes being 2x100 mg vials plus 1x40 mg vial</w:t>
      </w:r>
      <w:r w:rsidR="00C64B0E" w:rsidRPr="006D767C">
        <w:t>)</w:t>
      </w:r>
      <w:r w:rsidR="00095BCD" w:rsidRPr="006D767C">
        <w:t xml:space="preserve">. The equi-effective doses </w:t>
      </w:r>
      <w:r w:rsidR="00253540" w:rsidRPr="006D767C">
        <w:t xml:space="preserve">were </w:t>
      </w:r>
      <w:r w:rsidR="00095BCD" w:rsidRPr="006D767C">
        <w:t>consistent with the target dose</w:t>
      </w:r>
      <w:r w:rsidR="00C64B0E" w:rsidRPr="006D767C">
        <w:t>s</w:t>
      </w:r>
      <w:r w:rsidR="00095BCD" w:rsidRPr="006D767C">
        <w:t xml:space="preserve"> in the clinical trials</w:t>
      </w:r>
      <w:r w:rsidR="00573939" w:rsidRPr="006D767C">
        <w:t xml:space="preserve">. None of the trials allowed dose reductions for </w:t>
      </w:r>
      <w:r w:rsidR="00DF3FB8" w:rsidRPr="006D767C">
        <w:t xml:space="preserve">either </w:t>
      </w:r>
      <w:r w:rsidR="00573939" w:rsidRPr="006D767C">
        <w:t xml:space="preserve">atezolizumab or nivolumab. </w:t>
      </w:r>
      <w:r w:rsidR="005D5CBB" w:rsidRPr="006D767C">
        <w:t xml:space="preserve">The submission assumed equivalent treatment durations for both atezolizumab and nivolumab. </w:t>
      </w:r>
      <w:r w:rsidR="00253540" w:rsidRPr="006D767C">
        <w:t xml:space="preserve">It was unclear whether this assumption was appropriate, </w:t>
      </w:r>
      <w:r w:rsidR="0009282A" w:rsidRPr="006D767C">
        <w:t xml:space="preserve">due to transitivity issues between trials, and </w:t>
      </w:r>
      <w:r w:rsidR="002D00CD" w:rsidRPr="006D767C">
        <w:t>incomplete follow up data for the nivolumab submissions.</w:t>
      </w:r>
      <w:r w:rsidR="00177B01" w:rsidRPr="006D767C">
        <w:t xml:space="preserve"> The ESC considered that the </w:t>
      </w:r>
      <w:r w:rsidR="00E744A3" w:rsidRPr="006D767C">
        <w:t xml:space="preserve">equi-effective </w:t>
      </w:r>
      <w:r w:rsidR="00177B01" w:rsidRPr="006D767C">
        <w:t>dose</w:t>
      </w:r>
      <w:r w:rsidR="00E744A3" w:rsidRPr="006D767C">
        <w:t>s</w:t>
      </w:r>
      <w:r w:rsidR="00177B01" w:rsidRPr="006D767C">
        <w:t xml:space="preserve"> proposed in the submission were reasonable</w:t>
      </w:r>
      <w:r w:rsidR="00E254F6" w:rsidRPr="006D767C">
        <w:t xml:space="preserve">, however there were inherent uncertainties in the comparative durations </w:t>
      </w:r>
      <w:r w:rsidR="00AF4A04" w:rsidRPr="006D767C">
        <w:t xml:space="preserve">of </w:t>
      </w:r>
      <w:r w:rsidR="00E254F6" w:rsidRPr="006D767C">
        <w:t>treatment, as this was informed by results of an indirect comparison.</w:t>
      </w:r>
      <w:r w:rsidR="007C4A05" w:rsidRPr="006D767C">
        <w:t xml:space="preserve"> The Pre-PBAC response (p1) maintain</w:t>
      </w:r>
      <w:r w:rsidR="005B5793" w:rsidRPr="006D767C">
        <w:t>ed</w:t>
      </w:r>
      <w:r w:rsidR="007C4A05" w:rsidRPr="006D767C">
        <w:t xml:space="preserve"> that it was appropriate to assume equivalent treatment durations for atezolizumab and nivolumab, as there was no evidence to suggest a significant difference in the treatment durations between the two agents.</w:t>
      </w:r>
    </w:p>
    <w:p w:rsidR="00526F27" w:rsidRPr="006D767C" w:rsidRDefault="00526F27" w:rsidP="002D73C8">
      <w:pPr>
        <w:pStyle w:val="ListParagraph"/>
        <w:numPr>
          <w:ilvl w:val="1"/>
          <w:numId w:val="1"/>
        </w:numPr>
        <w:spacing w:before="0" w:after="120"/>
      </w:pPr>
      <w:r w:rsidRPr="006D767C">
        <w:t xml:space="preserve">The submission has also estimated a small cost saving associated with the reduced dosing frequency of atezolizumab (every three weeks) compared to nivolumab (every two weeks). The </w:t>
      </w:r>
      <w:r w:rsidR="002624FF" w:rsidRPr="006D767C">
        <w:t xml:space="preserve">submission </w:t>
      </w:r>
      <w:r w:rsidR="00F4584A" w:rsidRPr="006D767C">
        <w:t>requested</w:t>
      </w:r>
      <w:r w:rsidR="00253540" w:rsidRPr="006D767C">
        <w:t xml:space="preserve"> </w:t>
      </w:r>
      <w:r w:rsidR="002624FF" w:rsidRPr="006D767C">
        <w:t>that the difference in administration costs ($</w:t>
      </w:r>
      <w:r w:rsidR="002624FF" w:rsidRPr="00E836B1">
        <w:t>32.53</w:t>
      </w:r>
      <w:r w:rsidR="002624FF" w:rsidRPr="006D767C">
        <w:t>/administration) be included in the calculation of the effective price of atezolizumab</w:t>
      </w:r>
      <w:r w:rsidR="00F4584A" w:rsidRPr="006D767C">
        <w:t xml:space="preserve"> from the effective price of nivolumab</w:t>
      </w:r>
      <w:r w:rsidR="002624FF" w:rsidRPr="006D767C">
        <w:t>, so that price parity is inclusive of both drug and administration costs at the effective price.</w:t>
      </w:r>
    </w:p>
    <w:p w:rsidR="00526F27" w:rsidRPr="006D767C" w:rsidRDefault="00526F27" w:rsidP="002D73C8">
      <w:pPr>
        <w:pStyle w:val="ListParagraph"/>
        <w:numPr>
          <w:ilvl w:val="1"/>
          <w:numId w:val="1"/>
        </w:numPr>
        <w:spacing w:before="0" w:after="120"/>
      </w:pPr>
      <w:r w:rsidRPr="006D767C">
        <w:t>The results of the cost-minimisation analysis a</w:t>
      </w:r>
      <w:r w:rsidR="00E744A3" w:rsidRPr="006D767C">
        <w:t>re provided in the table below.</w:t>
      </w:r>
    </w:p>
    <w:p w:rsidR="00256A09" w:rsidRDefault="00256A09">
      <w:pPr>
        <w:spacing w:before="0" w:line="259" w:lineRule="auto"/>
        <w:jc w:val="left"/>
        <w:rPr>
          <w:rFonts w:ascii="Arial Narrow" w:hAnsi="Arial Narrow"/>
          <w:b/>
          <w:sz w:val="20"/>
        </w:rPr>
      </w:pPr>
      <w:r>
        <w:br w:type="page"/>
      </w:r>
    </w:p>
    <w:p w:rsidR="00526F27" w:rsidRPr="006D767C" w:rsidRDefault="004D4E2C" w:rsidP="00526F27">
      <w:pPr>
        <w:pStyle w:val="TableHeading0"/>
      </w:pPr>
      <w:r w:rsidRPr="006D767C">
        <w:t xml:space="preserve">Table </w:t>
      </w:r>
      <w:r w:rsidR="00D4590E" w:rsidRPr="006D767C">
        <w:t>1</w:t>
      </w:r>
      <w:r w:rsidR="00C87201" w:rsidRPr="006D767C">
        <w:t>2</w:t>
      </w:r>
      <w:r w:rsidR="005A0938" w:rsidRPr="006D767C">
        <w:t>:</w:t>
      </w:r>
      <w:r w:rsidR="00526F27" w:rsidRPr="006D767C">
        <w:t xml:space="preserve"> Cost-minimisation analysis: atezolizumab versus nivolumab</w:t>
      </w:r>
    </w:p>
    <w:tbl>
      <w:tblPr>
        <w:tblW w:w="480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590"/>
        <w:gridCol w:w="648"/>
        <w:gridCol w:w="894"/>
        <w:gridCol w:w="596"/>
        <w:gridCol w:w="586"/>
        <w:gridCol w:w="991"/>
        <w:gridCol w:w="595"/>
      </w:tblGrid>
      <w:tr w:rsidR="00526F27" w:rsidRPr="006D767C" w:rsidTr="00AC57B1">
        <w:trPr>
          <w:cantSplit/>
        </w:trPr>
        <w:tc>
          <w:tcPr>
            <w:tcW w:w="2579" w:type="pct"/>
            <w:tcBorders>
              <w:bottom w:val="single" w:sz="4" w:space="0" w:color="auto"/>
            </w:tcBorders>
            <w:shd w:val="clear" w:color="auto" w:fill="auto"/>
            <w:vAlign w:val="center"/>
          </w:tcPr>
          <w:p w:rsidR="00526F27" w:rsidRPr="006D767C" w:rsidRDefault="00526F27" w:rsidP="00092FB1">
            <w:pPr>
              <w:pStyle w:val="TableText"/>
              <w:spacing w:before="0" w:after="0"/>
              <w:jc w:val="left"/>
              <w:rPr>
                <w:b/>
              </w:rPr>
            </w:pPr>
            <w:r w:rsidRPr="006D767C">
              <w:rPr>
                <w:b/>
              </w:rPr>
              <w:t>Variable</w:t>
            </w:r>
          </w:p>
        </w:tc>
        <w:tc>
          <w:tcPr>
            <w:tcW w:w="1201" w:type="pct"/>
            <w:gridSpan w:val="3"/>
            <w:tcBorders>
              <w:bottom w:val="single" w:sz="4" w:space="0" w:color="auto"/>
            </w:tcBorders>
            <w:shd w:val="clear" w:color="auto" w:fill="auto"/>
            <w:vAlign w:val="center"/>
          </w:tcPr>
          <w:p w:rsidR="00526F27" w:rsidRPr="006D767C" w:rsidRDefault="00526F27" w:rsidP="00092FB1">
            <w:pPr>
              <w:pStyle w:val="TableText"/>
              <w:spacing w:before="0" w:after="0"/>
              <w:jc w:val="center"/>
              <w:rPr>
                <w:b/>
              </w:rPr>
            </w:pPr>
            <w:r w:rsidRPr="006D767C">
              <w:rPr>
                <w:b/>
              </w:rPr>
              <w:t>Atezolizumab</w:t>
            </w:r>
          </w:p>
        </w:tc>
        <w:tc>
          <w:tcPr>
            <w:tcW w:w="1220" w:type="pct"/>
            <w:gridSpan w:val="3"/>
            <w:tcBorders>
              <w:bottom w:val="single" w:sz="4" w:space="0" w:color="auto"/>
            </w:tcBorders>
            <w:shd w:val="clear" w:color="auto" w:fill="auto"/>
            <w:vAlign w:val="center"/>
          </w:tcPr>
          <w:p w:rsidR="00526F27" w:rsidRPr="006D767C" w:rsidRDefault="00526F27" w:rsidP="00092FB1">
            <w:pPr>
              <w:pStyle w:val="TableText"/>
              <w:spacing w:before="0" w:after="0"/>
              <w:jc w:val="center"/>
              <w:rPr>
                <w:b/>
              </w:rPr>
            </w:pPr>
            <w:r w:rsidRPr="006D767C">
              <w:rPr>
                <w:b/>
              </w:rPr>
              <w:t>Nivolumab</w:t>
            </w:r>
          </w:p>
        </w:tc>
      </w:tr>
      <w:tr w:rsidR="00526F27" w:rsidRPr="006D767C" w:rsidTr="00AC57B1">
        <w:trPr>
          <w:cantSplit/>
        </w:trPr>
        <w:tc>
          <w:tcPr>
            <w:tcW w:w="5000" w:type="pct"/>
            <w:gridSpan w:val="7"/>
            <w:shd w:val="clear" w:color="auto" w:fill="auto"/>
            <w:vAlign w:val="center"/>
          </w:tcPr>
          <w:p w:rsidR="00526F27" w:rsidRPr="006D767C" w:rsidRDefault="00526F27" w:rsidP="00092FB1">
            <w:pPr>
              <w:pStyle w:val="TableText"/>
              <w:spacing w:before="0" w:after="0"/>
              <w:jc w:val="left"/>
              <w:rPr>
                <w:b/>
              </w:rPr>
            </w:pPr>
            <w:r w:rsidRPr="006D767C">
              <w:rPr>
                <w:b/>
              </w:rPr>
              <w:t>Drug cost (</w:t>
            </w:r>
            <w:r w:rsidR="00E55C7B" w:rsidRPr="006D767C">
              <w:rPr>
                <w:b/>
              </w:rPr>
              <w:t xml:space="preserve">published </w:t>
            </w:r>
            <w:r w:rsidRPr="006D767C">
              <w:rPr>
                <w:b/>
              </w:rPr>
              <w:t>ex-manufacturer price) per administration</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Dose per administration</w:t>
            </w:r>
          </w:p>
        </w:tc>
        <w:tc>
          <w:tcPr>
            <w:tcW w:w="1201" w:type="pct"/>
            <w:gridSpan w:val="3"/>
            <w:shd w:val="clear" w:color="auto" w:fill="auto"/>
            <w:vAlign w:val="center"/>
          </w:tcPr>
          <w:p w:rsidR="00526F27" w:rsidRPr="006D767C" w:rsidRDefault="00526F27" w:rsidP="00410D22">
            <w:pPr>
              <w:pStyle w:val="TableText"/>
              <w:spacing w:before="0" w:after="0"/>
              <w:jc w:val="center"/>
            </w:pPr>
            <w:r w:rsidRPr="006D767C">
              <w:t>1200 mg</w:t>
            </w:r>
          </w:p>
        </w:tc>
        <w:tc>
          <w:tcPr>
            <w:tcW w:w="1220" w:type="pct"/>
            <w:gridSpan w:val="3"/>
            <w:shd w:val="clear" w:color="auto" w:fill="auto"/>
            <w:vAlign w:val="center"/>
          </w:tcPr>
          <w:p w:rsidR="00526F27" w:rsidRPr="006D767C" w:rsidRDefault="00526F27" w:rsidP="00092FB1">
            <w:pPr>
              <w:pStyle w:val="TableText"/>
              <w:spacing w:before="0" w:after="0"/>
              <w:jc w:val="center"/>
            </w:pPr>
            <w:r w:rsidRPr="006D767C">
              <w:t>240 mg*</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Vials</w:t>
            </w:r>
          </w:p>
        </w:tc>
        <w:tc>
          <w:tcPr>
            <w:tcW w:w="364" w:type="pct"/>
            <w:shd w:val="clear" w:color="auto" w:fill="auto"/>
            <w:vAlign w:val="center"/>
          </w:tcPr>
          <w:p w:rsidR="00526F27" w:rsidRPr="006D767C" w:rsidRDefault="00526F27" w:rsidP="00092FB1">
            <w:pPr>
              <w:pStyle w:val="TableText"/>
              <w:spacing w:before="0" w:after="0"/>
              <w:jc w:val="center"/>
              <w:rPr>
                <w:b/>
              </w:rPr>
            </w:pPr>
            <w:r w:rsidRPr="006D767C">
              <w:rPr>
                <w:b/>
              </w:rPr>
              <w:t>Unit</w:t>
            </w:r>
          </w:p>
          <w:p w:rsidR="00526F27" w:rsidRPr="006D767C" w:rsidRDefault="00526F27" w:rsidP="00092FB1">
            <w:pPr>
              <w:pStyle w:val="TableText"/>
              <w:spacing w:before="0" w:after="0"/>
              <w:jc w:val="center"/>
              <w:rPr>
                <w:b/>
              </w:rPr>
            </w:pPr>
            <w:r w:rsidRPr="006D767C">
              <w:rPr>
                <w:b/>
              </w:rPr>
              <w:t>(mg)</w:t>
            </w:r>
          </w:p>
        </w:tc>
        <w:tc>
          <w:tcPr>
            <w:tcW w:w="502" w:type="pct"/>
            <w:shd w:val="clear" w:color="auto" w:fill="auto"/>
            <w:vAlign w:val="center"/>
          </w:tcPr>
          <w:p w:rsidR="00526F27" w:rsidRPr="006D767C" w:rsidRDefault="00526F27" w:rsidP="00092FB1">
            <w:pPr>
              <w:pStyle w:val="TableText"/>
              <w:spacing w:before="0" w:after="0"/>
              <w:jc w:val="center"/>
              <w:rPr>
                <w:b/>
              </w:rPr>
            </w:pPr>
            <w:r w:rsidRPr="006D767C">
              <w:rPr>
                <w:b/>
              </w:rPr>
              <w:t>AEMP</w:t>
            </w:r>
          </w:p>
        </w:tc>
        <w:tc>
          <w:tcPr>
            <w:tcW w:w="334" w:type="pct"/>
            <w:shd w:val="clear" w:color="auto" w:fill="auto"/>
            <w:vAlign w:val="center"/>
          </w:tcPr>
          <w:p w:rsidR="00526F27" w:rsidRPr="006D767C" w:rsidRDefault="00526F27" w:rsidP="00092FB1">
            <w:pPr>
              <w:pStyle w:val="TableText"/>
              <w:spacing w:before="0" w:after="0"/>
              <w:jc w:val="center"/>
              <w:rPr>
                <w:b/>
              </w:rPr>
            </w:pPr>
            <w:r w:rsidRPr="006D767C">
              <w:rPr>
                <w:b/>
              </w:rPr>
              <w:t># vials</w:t>
            </w:r>
          </w:p>
        </w:tc>
        <w:tc>
          <w:tcPr>
            <w:tcW w:w="329" w:type="pct"/>
            <w:shd w:val="clear" w:color="auto" w:fill="auto"/>
            <w:vAlign w:val="center"/>
          </w:tcPr>
          <w:p w:rsidR="00526F27" w:rsidRPr="006D767C" w:rsidRDefault="00526F27" w:rsidP="00092FB1">
            <w:pPr>
              <w:pStyle w:val="TableText"/>
              <w:spacing w:before="0" w:after="0"/>
              <w:jc w:val="center"/>
              <w:rPr>
                <w:b/>
              </w:rPr>
            </w:pPr>
            <w:r w:rsidRPr="006D767C">
              <w:rPr>
                <w:b/>
              </w:rPr>
              <w:t>Unit</w:t>
            </w:r>
          </w:p>
          <w:p w:rsidR="00526F27" w:rsidRPr="006D767C" w:rsidRDefault="00526F27" w:rsidP="00092FB1">
            <w:pPr>
              <w:pStyle w:val="TableText"/>
              <w:spacing w:before="0" w:after="0"/>
              <w:jc w:val="center"/>
              <w:rPr>
                <w:b/>
              </w:rPr>
            </w:pPr>
            <w:r w:rsidRPr="006D767C">
              <w:rPr>
                <w:b/>
              </w:rPr>
              <w:t>(mg)</w:t>
            </w:r>
          </w:p>
        </w:tc>
        <w:tc>
          <w:tcPr>
            <w:tcW w:w="557" w:type="pct"/>
            <w:shd w:val="clear" w:color="auto" w:fill="auto"/>
            <w:vAlign w:val="center"/>
          </w:tcPr>
          <w:p w:rsidR="00526F27" w:rsidRPr="006D767C" w:rsidRDefault="00526F27" w:rsidP="00092FB1">
            <w:pPr>
              <w:pStyle w:val="TableText"/>
              <w:spacing w:before="0" w:after="0"/>
              <w:jc w:val="center"/>
              <w:rPr>
                <w:b/>
              </w:rPr>
            </w:pPr>
            <w:r w:rsidRPr="006D767C">
              <w:rPr>
                <w:b/>
              </w:rPr>
              <w:t>AEMP</w:t>
            </w:r>
          </w:p>
        </w:tc>
        <w:tc>
          <w:tcPr>
            <w:tcW w:w="334" w:type="pct"/>
            <w:shd w:val="clear" w:color="auto" w:fill="auto"/>
            <w:vAlign w:val="center"/>
          </w:tcPr>
          <w:p w:rsidR="00526F27" w:rsidRPr="006D767C" w:rsidRDefault="00526F27" w:rsidP="00092FB1">
            <w:pPr>
              <w:pStyle w:val="TableText"/>
              <w:spacing w:before="0" w:after="0"/>
              <w:jc w:val="center"/>
              <w:rPr>
                <w:b/>
              </w:rPr>
            </w:pPr>
            <w:r w:rsidRPr="006D767C">
              <w:rPr>
                <w:b/>
              </w:rPr>
              <w:t># vials</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p>
        </w:tc>
        <w:tc>
          <w:tcPr>
            <w:tcW w:w="364" w:type="pct"/>
            <w:shd w:val="clear" w:color="auto" w:fill="auto"/>
            <w:vAlign w:val="center"/>
          </w:tcPr>
          <w:p w:rsidR="00526F27" w:rsidRPr="006D767C" w:rsidRDefault="00526F27" w:rsidP="00410D22">
            <w:pPr>
              <w:pStyle w:val="TableText"/>
              <w:spacing w:before="0" w:after="0"/>
              <w:jc w:val="center"/>
            </w:pPr>
            <w:r w:rsidRPr="006D767C">
              <w:t>1200</w:t>
            </w:r>
          </w:p>
        </w:tc>
        <w:tc>
          <w:tcPr>
            <w:tcW w:w="502" w:type="pct"/>
            <w:shd w:val="clear" w:color="auto" w:fill="auto"/>
            <w:vAlign w:val="center"/>
          </w:tcPr>
          <w:p w:rsidR="00526F27" w:rsidRPr="006D767C" w:rsidRDefault="00526F27" w:rsidP="00092FB1">
            <w:pPr>
              <w:pStyle w:val="TableText"/>
              <w:spacing w:before="0" w:after="0"/>
              <w:jc w:val="center"/>
            </w:pPr>
            <w:r w:rsidRPr="00070622">
              <w:t>7,476.30</w:t>
            </w:r>
          </w:p>
        </w:tc>
        <w:tc>
          <w:tcPr>
            <w:tcW w:w="334" w:type="pct"/>
            <w:shd w:val="clear" w:color="auto" w:fill="auto"/>
            <w:vAlign w:val="center"/>
          </w:tcPr>
          <w:p w:rsidR="00526F27" w:rsidRPr="006D767C" w:rsidRDefault="00526F27" w:rsidP="00092FB1">
            <w:pPr>
              <w:pStyle w:val="TableText"/>
              <w:spacing w:before="0" w:after="0"/>
              <w:jc w:val="center"/>
            </w:pPr>
            <w:r w:rsidRPr="006D767C">
              <w:t>1</w:t>
            </w:r>
          </w:p>
        </w:tc>
        <w:tc>
          <w:tcPr>
            <w:tcW w:w="329" w:type="pct"/>
            <w:shd w:val="clear" w:color="auto" w:fill="auto"/>
            <w:vAlign w:val="center"/>
          </w:tcPr>
          <w:p w:rsidR="00526F27" w:rsidRPr="006D767C" w:rsidRDefault="00526F27" w:rsidP="00092FB1">
            <w:pPr>
              <w:pStyle w:val="TableText"/>
              <w:spacing w:before="0" w:after="0"/>
              <w:jc w:val="center"/>
            </w:pPr>
            <w:r w:rsidRPr="006D767C">
              <w:t>40</w:t>
            </w:r>
          </w:p>
        </w:tc>
        <w:tc>
          <w:tcPr>
            <w:tcW w:w="557" w:type="pct"/>
            <w:shd w:val="clear" w:color="auto" w:fill="auto"/>
            <w:vAlign w:val="center"/>
          </w:tcPr>
          <w:p w:rsidR="00526F27" w:rsidRPr="006D767C" w:rsidRDefault="00526F27" w:rsidP="00092FB1">
            <w:pPr>
              <w:pStyle w:val="TableText"/>
              <w:spacing w:before="0" w:after="0"/>
              <w:jc w:val="center"/>
            </w:pPr>
            <w:r w:rsidRPr="006D767C">
              <w:t>$</w:t>
            </w:r>
            <w:r w:rsidRPr="00070622">
              <w:t>830.70</w:t>
            </w:r>
          </w:p>
        </w:tc>
        <w:tc>
          <w:tcPr>
            <w:tcW w:w="334" w:type="pct"/>
            <w:shd w:val="clear" w:color="auto" w:fill="auto"/>
            <w:vAlign w:val="center"/>
          </w:tcPr>
          <w:p w:rsidR="00526F27" w:rsidRPr="006D767C" w:rsidRDefault="00526F27" w:rsidP="00092FB1">
            <w:pPr>
              <w:pStyle w:val="TableText"/>
              <w:spacing w:before="0" w:after="0"/>
              <w:jc w:val="center"/>
            </w:pPr>
            <w:r w:rsidRPr="006D767C">
              <w:t>1</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p>
        </w:tc>
        <w:tc>
          <w:tcPr>
            <w:tcW w:w="1201" w:type="pct"/>
            <w:gridSpan w:val="3"/>
            <w:shd w:val="clear" w:color="auto" w:fill="auto"/>
            <w:vAlign w:val="center"/>
          </w:tcPr>
          <w:p w:rsidR="00526F27" w:rsidRPr="006D767C" w:rsidRDefault="00526F27" w:rsidP="00092FB1">
            <w:pPr>
              <w:pStyle w:val="TableText"/>
              <w:spacing w:before="0" w:after="0"/>
              <w:jc w:val="center"/>
            </w:pPr>
          </w:p>
        </w:tc>
        <w:tc>
          <w:tcPr>
            <w:tcW w:w="329" w:type="pct"/>
            <w:shd w:val="clear" w:color="auto" w:fill="auto"/>
            <w:vAlign w:val="center"/>
          </w:tcPr>
          <w:p w:rsidR="00526F27" w:rsidRPr="006D767C" w:rsidRDefault="00526F27" w:rsidP="00092FB1">
            <w:pPr>
              <w:pStyle w:val="TableText"/>
              <w:spacing w:before="0" w:after="0"/>
              <w:jc w:val="center"/>
            </w:pPr>
            <w:r w:rsidRPr="006D767C">
              <w:t>100</w:t>
            </w:r>
          </w:p>
        </w:tc>
        <w:tc>
          <w:tcPr>
            <w:tcW w:w="557" w:type="pct"/>
            <w:shd w:val="clear" w:color="auto" w:fill="auto"/>
            <w:vAlign w:val="center"/>
          </w:tcPr>
          <w:p w:rsidR="00526F27" w:rsidRPr="006D767C" w:rsidRDefault="00526F27" w:rsidP="00092FB1">
            <w:pPr>
              <w:pStyle w:val="TableText"/>
              <w:spacing w:before="0" w:after="0"/>
              <w:jc w:val="center"/>
            </w:pPr>
            <w:r w:rsidRPr="006D767C">
              <w:t>$</w:t>
            </w:r>
            <w:r w:rsidRPr="00070622">
              <w:t>2,076.75</w:t>
            </w:r>
          </w:p>
        </w:tc>
        <w:tc>
          <w:tcPr>
            <w:tcW w:w="334" w:type="pct"/>
            <w:shd w:val="clear" w:color="auto" w:fill="auto"/>
            <w:vAlign w:val="center"/>
          </w:tcPr>
          <w:p w:rsidR="00526F27" w:rsidRPr="006D767C" w:rsidRDefault="00526F27" w:rsidP="00092FB1">
            <w:pPr>
              <w:pStyle w:val="TableText"/>
              <w:spacing w:before="0" w:after="0"/>
              <w:jc w:val="center"/>
            </w:pPr>
            <w:r w:rsidRPr="006D767C">
              <w:t>2</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List AEMP per administration</w:t>
            </w:r>
          </w:p>
        </w:tc>
        <w:tc>
          <w:tcPr>
            <w:tcW w:w="1201" w:type="pct"/>
            <w:gridSpan w:val="3"/>
            <w:shd w:val="clear" w:color="auto" w:fill="auto"/>
            <w:vAlign w:val="center"/>
          </w:tcPr>
          <w:p w:rsidR="00526F27" w:rsidRPr="006D767C" w:rsidRDefault="00526F27" w:rsidP="00092FB1">
            <w:pPr>
              <w:pStyle w:val="TableText"/>
              <w:spacing w:before="0" w:after="0"/>
              <w:jc w:val="center"/>
            </w:pPr>
            <w:r w:rsidRPr="006D767C">
              <w:t>$</w:t>
            </w:r>
            <w:r w:rsidRPr="00070622">
              <w:t>7,476.30</w:t>
            </w:r>
          </w:p>
        </w:tc>
        <w:tc>
          <w:tcPr>
            <w:tcW w:w="1220" w:type="pct"/>
            <w:gridSpan w:val="3"/>
            <w:shd w:val="clear" w:color="auto" w:fill="auto"/>
            <w:vAlign w:val="center"/>
          </w:tcPr>
          <w:p w:rsidR="00526F27" w:rsidRPr="006D767C" w:rsidRDefault="00526F27" w:rsidP="00092FB1">
            <w:pPr>
              <w:pStyle w:val="TableText"/>
              <w:spacing w:before="0" w:after="0"/>
              <w:jc w:val="center"/>
            </w:pPr>
            <w:r w:rsidRPr="006D767C">
              <w:t>$</w:t>
            </w:r>
            <w:r w:rsidRPr="00070622">
              <w:t>4,984.20</w:t>
            </w:r>
          </w:p>
        </w:tc>
      </w:tr>
      <w:tr w:rsidR="00526F27" w:rsidRPr="006D767C" w:rsidTr="00AC57B1">
        <w:trPr>
          <w:cantSplit/>
        </w:trPr>
        <w:tc>
          <w:tcPr>
            <w:tcW w:w="5000" w:type="pct"/>
            <w:gridSpan w:val="7"/>
            <w:tcBorders>
              <w:bottom w:val="single" w:sz="4" w:space="0" w:color="auto"/>
            </w:tcBorders>
            <w:shd w:val="clear" w:color="auto" w:fill="auto"/>
            <w:vAlign w:val="center"/>
          </w:tcPr>
          <w:p w:rsidR="00526F27" w:rsidRPr="006D767C" w:rsidRDefault="00526F27" w:rsidP="00092FB1">
            <w:pPr>
              <w:pStyle w:val="TableText"/>
              <w:spacing w:before="0" w:after="0"/>
              <w:jc w:val="left"/>
              <w:rPr>
                <w:b/>
              </w:rPr>
            </w:pPr>
            <w:r w:rsidRPr="006D767C">
              <w:rPr>
                <w:b/>
              </w:rPr>
              <w:t>Equi-effective dose</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Administrations per 3 weekly cycle</w:t>
            </w:r>
          </w:p>
        </w:tc>
        <w:tc>
          <w:tcPr>
            <w:tcW w:w="1201" w:type="pct"/>
            <w:gridSpan w:val="3"/>
            <w:shd w:val="clear" w:color="auto" w:fill="auto"/>
            <w:vAlign w:val="center"/>
          </w:tcPr>
          <w:p w:rsidR="00526F27" w:rsidRPr="006D767C" w:rsidRDefault="00526F27" w:rsidP="00092FB1">
            <w:pPr>
              <w:pStyle w:val="TableText"/>
              <w:spacing w:before="0" w:after="0"/>
              <w:jc w:val="center"/>
            </w:pPr>
            <w:r w:rsidRPr="006D767C">
              <w:t>1.00</w:t>
            </w:r>
          </w:p>
        </w:tc>
        <w:tc>
          <w:tcPr>
            <w:tcW w:w="1220" w:type="pct"/>
            <w:gridSpan w:val="3"/>
            <w:shd w:val="clear" w:color="auto" w:fill="auto"/>
            <w:vAlign w:val="center"/>
          </w:tcPr>
          <w:p w:rsidR="00526F27" w:rsidRPr="006D767C" w:rsidRDefault="00526F27" w:rsidP="00092FB1">
            <w:pPr>
              <w:pStyle w:val="TableText"/>
              <w:spacing w:before="0" w:after="0"/>
              <w:jc w:val="center"/>
            </w:pPr>
            <w:r w:rsidRPr="006D767C">
              <w:t>1.50</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Equi-effective dose per 3 weekly cycle</w:t>
            </w:r>
          </w:p>
        </w:tc>
        <w:tc>
          <w:tcPr>
            <w:tcW w:w="1201" w:type="pct"/>
            <w:gridSpan w:val="3"/>
            <w:shd w:val="clear" w:color="auto" w:fill="auto"/>
            <w:vAlign w:val="center"/>
          </w:tcPr>
          <w:p w:rsidR="00526F27" w:rsidRPr="006D767C" w:rsidRDefault="00526F27" w:rsidP="00092FB1">
            <w:pPr>
              <w:pStyle w:val="TableText"/>
              <w:spacing w:before="0" w:after="0"/>
              <w:jc w:val="center"/>
            </w:pPr>
            <w:r w:rsidRPr="006D767C">
              <w:t>1200 mg</w:t>
            </w:r>
          </w:p>
        </w:tc>
        <w:tc>
          <w:tcPr>
            <w:tcW w:w="1220" w:type="pct"/>
            <w:gridSpan w:val="3"/>
            <w:shd w:val="clear" w:color="auto" w:fill="auto"/>
            <w:vAlign w:val="center"/>
          </w:tcPr>
          <w:p w:rsidR="00526F27" w:rsidRPr="006D767C" w:rsidRDefault="00526F27" w:rsidP="00092FB1">
            <w:pPr>
              <w:pStyle w:val="TableText"/>
              <w:spacing w:before="0" w:after="0"/>
              <w:jc w:val="center"/>
            </w:pPr>
            <w:r w:rsidRPr="006D767C">
              <w:t>360 mg</w:t>
            </w:r>
          </w:p>
        </w:tc>
      </w:tr>
      <w:tr w:rsidR="00526F27" w:rsidRPr="006D767C" w:rsidTr="00AC57B1">
        <w:trPr>
          <w:cantSplit/>
        </w:trPr>
        <w:tc>
          <w:tcPr>
            <w:tcW w:w="5000" w:type="pct"/>
            <w:gridSpan w:val="7"/>
            <w:shd w:val="clear" w:color="auto" w:fill="auto"/>
            <w:vAlign w:val="center"/>
          </w:tcPr>
          <w:p w:rsidR="00526F27" w:rsidRPr="006D767C" w:rsidRDefault="00526F27" w:rsidP="00092FB1">
            <w:pPr>
              <w:pStyle w:val="TableText"/>
              <w:spacing w:before="0" w:after="0"/>
              <w:jc w:val="left"/>
              <w:rPr>
                <w:b/>
              </w:rPr>
            </w:pPr>
            <w:r w:rsidRPr="006D767C">
              <w:rPr>
                <w:b/>
              </w:rPr>
              <w:t>Drug cost (ex-manufacturer price) per 3 weekly cycle at equi-effective dose</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Total drug cost per 3 weekly cycle</w:t>
            </w:r>
          </w:p>
        </w:tc>
        <w:tc>
          <w:tcPr>
            <w:tcW w:w="1201" w:type="pct"/>
            <w:gridSpan w:val="3"/>
            <w:shd w:val="clear" w:color="auto" w:fill="auto"/>
          </w:tcPr>
          <w:p w:rsidR="00526F27" w:rsidRPr="006D767C" w:rsidRDefault="00526F27" w:rsidP="00092FB1">
            <w:pPr>
              <w:pStyle w:val="TableText"/>
              <w:spacing w:before="0" w:after="0"/>
              <w:jc w:val="center"/>
            </w:pPr>
            <w:r w:rsidRPr="006D767C">
              <w:t>$</w:t>
            </w:r>
            <w:r w:rsidRPr="00070622">
              <w:t>7,476.30</w:t>
            </w:r>
          </w:p>
        </w:tc>
        <w:tc>
          <w:tcPr>
            <w:tcW w:w="1220" w:type="pct"/>
            <w:gridSpan w:val="3"/>
            <w:shd w:val="clear" w:color="auto" w:fill="auto"/>
          </w:tcPr>
          <w:p w:rsidR="00526F27" w:rsidRPr="006D767C" w:rsidRDefault="00526F27" w:rsidP="00092FB1">
            <w:pPr>
              <w:pStyle w:val="TableText"/>
              <w:spacing w:before="0" w:after="0"/>
              <w:jc w:val="center"/>
            </w:pPr>
            <w:r w:rsidRPr="006D767C">
              <w:t>$</w:t>
            </w:r>
            <w:r w:rsidRPr="00070622">
              <w:t>7,476.30</w:t>
            </w:r>
          </w:p>
        </w:tc>
      </w:tr>
      <w:tr w:rsidR="00526F27" w:rsidRPr="006D767C" w:rsidTr="00AC57B1">
        <w:trPr>
          <w:cantSplit/>
        </w:trPr>
        <w:tc>
          <w:tcPr>
            <w:tcW w:w="2579" w:type="pct"/>
            <w:tcBorders>
              <w:bottom w:val="single" w:sz="4" w:space="0" w:color="auto"/>
            </w:tcBorders>
            <w:shd w:val="clear" w:color="auto" w:fill="auto"/>
            <w:vAlign w:val="center"/>
          </w:tcPr>
          <w:p w:rsidR="00526F27" w:rsidRPr="006D767C" w:rsidRDefault="00526F27" w:rsidP="00092FB1">
            <w:pPr>
              <w:pStyle w:val="TableText"/>
              <w:spacing w:before="0" w:after="0"/>
              <w:jc w:val="left"/>
            </w:pPr>
            <w:r w:rsidRPr="006D767C">
              <w:t xml:space="preserve">Incremental drug cost per 3 weekly cycle </w:t>
            </w:r>
            <w:r w:rsidRPr="006D767C">
              <w:br/>
              <w:t>(atezolizumab vs nivolumab)</w:t>
            </w:r>
          </w:p>
        </w:tc>
        <w:tc>
          <w:tcPr>
            <w:tcW w:w="2421" w:type="pct"/>
            <w:gridSpan w:val="6"/>
            <w:tcBorders>
              <w:bottom w:val="single" w:sz="4" w:space="0" w:color="auto"/>
            </w:tcBorders>
            <w:shd w:val="clear" w:color="auto" w:fill="auto"/>
          </w:tcPr>
          <w:p w:rsidR="00526F27" w:rsidRPr="006D767C" w:rsidRDefault="00526F27" w:rsidP="00092FB1">
            <w:pPr>
              <w:pStyle w:val="TableText"/>
              <w:spacing w:before="0" w:after="0"/>
              <w:jc w:val="center"/>
            </w:pPr>
            <w:r w:rsidRPr="006D767C">
              <w:t>$</w:t>
            </w:r>
            <w:r w:rsidRPr="00070622">
              <w:t>0</w:t>
            </w:r>
          </w:p>
        </w:tc>
      </w:tr>
      <w:tr w:rsidR="00526F27" w:rsidRPr="006D767C" w:rsidTr="00AC57B1">
        <w:trPr>
          <w:cantSplit/>
        </w:trPr>
        <w:tc>
          <w:tcPr>
            <w:tcW w:w="5000" w:type="pct"/>
            <w:gridSpan w:val="7"/>
            <w:shd w:val="clear" w:color="auto" w:fill="auto"/>
            <w:vAlign w:val="center"/>
          </w:tcPr>
          <w:p w:rsidR="00526F27" w:rsidRPr="006D767C" w:rsidRDefault="00526F27" w:rsidP="00092FB1">
            <w:pPr>
              <w:pStyle w:val="TableText"/>
              <w:spacing w:before="0" w:after="0"/>
              <w:jc w:val="left"/>
              <w:rPr>
                <w:b/>
              </w:rPr>
            </w:pPr>
            <w:r w:rsidRPr="006D767C">
              <w:rPr>
                <w:b/>
              </w:rPr>
              <w:t>Administration cost</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Number of IV administrations per 3 weekly cycle</w:t>
            </w:r>
          </w:p>
        </w:tc>
        <w:tc>
          <w:tcPr>
            <w:tcW w:w="1201" w:type="pct"/>
            <w:gridSpan w:val="3"/>
            <w:shd w:val="clear" w:color="auto" w:fill="auto"/>
          </w:tcPr>
          <w:p w:rsidR="00526F27" w:rsidRPr="006D767C" w:rsidRDefault="00526F27" w:rsidP="00092FB1">
            <w:pPr>
              <w:pStyle w:val="TableText"/>
              <w:spacing w:before="0" w:after="0"/>
              <w:jc w:val="center"/>
            </w:pPr>
            <w:r w:rsidRPr="006D767C">
              <w:t>1</w:t>
            </w:r>
          </w:p>
        </w:tc>
        <w:tc>
          <w:tcPr>
            <w:tcW w:w="1220" w:type="pct"/>
            <w:gridSpan w:val="3"/>
            <w:shd w:val="clear" w:color="auto" w:fill="auto"/>
          </w:tcPr>
          <w:p w:rsidR="00526F27" w:rsidRPr="006D767C" w:rsidRDefault="00526F27" w:rsidP="00092FB1">
            <w:pPr>
              <w:pStyle w:val="TableText"/>
              <w:spacing w:before="0" w:after="0"/>
              <w:jc w:val="center"/>
            </w:pPr>
            <w:r w:rsidRPr="006D767C">
              <w:t>1.5</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Cost per administration (MBS Item 13915)</w:t>
            </w:r>
          </w:p>
        </w:tc>
        <w:tc>
          <w:tcPr>
            <w:tcW w:w="2421" w:type="pct"/>
            <w:gridSpan w:val="6"/>
            <w:shd w:val="clear" w:color="auto" w:fill="auto"/>
          </w:tcPr>
          <w:p w:rsidR="00526F27" w:rsidRPr="006D767C" w:rsidRDefault="00526F27" w:rsidP="00092FB1">
            <w:pPr>
              <w:pStyle w:val="TableText"/>
              <w:spacing w:before="0" w:after="0"/>
              <w:jc w:val="center"/>
            </w:pPr>
            <w:r w:rsidRPr="006D767C">
              <w:t>$</w:t>
            </w:r>
            <w:r w:rsidRPr="00070622">
              <w:t>65.05</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Total administration cost per</w:t>
            </w:r>
            <w:r w:rsidR="00897BE8" w:rsidRPr="006D767C">
              <w:t xml:space="preserve"> </w:t>
            </w:r>
            <w:r w:rsidRPr="006D767C">
              <w:t>3 weekly cycle</w:t>
            </w:r>
          </w:p>
        </w:tc>
        <w:tc>
          <w:tcPr>
            <w:tcW w:w="1201" w:type="pct"/>
            <w:gridSpan w:val="3"/>
            <w:shd w:val="clear" w:color="auto" w:fill="auto"/>
          </w:tcPr>
          <w:p w:rsidR="00526F27" w:rsidRPr="006D767C" w:rsidRDefault="00526F27" w:rsidP="00092FB1">
            <w:pPr>
              <w:pStyle w:val="TableText"/>
              <w:spacing w:before="0" w:after="0"/>
              <w:jc w:val="center"/>
            </w:pPr>
            <w:r w:rsidRPr="006D767C">
              <w:t>$</w:t>
            </w:r>
            <w:r w:rsidRPr="00070622">
              <w:t>65.05</w:t>
            </w:r>
          </w:p>
        </w:tc>
        <w:tc>
          <w:tcPr>
            <w:tcW w:w="1220" w:type="pct"/>
            <w:gridSpan w:val="3"/>
            <w:shd w:val="clear" w:color="auto" w:fill="auto"/>
          </w:tcPr>
          <w:p w:rsidR="00526F27" w:rsidRPr="006D767C" w:rsidRDefault="00526F27" w:rsidP="00092FB1">
            <w:pPr>
              <w:pStyle w:val="TableText"/>
              <w:spacing w:before="0" w:after="0"/>
              <w:jc w:val="center"/>
            </w:pPr>
            <w:r w:rsidRPr="006D767C">
              <w:t>$</w:t>
            </w:r>
            <w:r w:rsidRPr="00070622">
              <w:t>97.58</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 xml:space="preserve">Incremental administration cost per 3 weekly cycle </w:t>
            </w:r>
            <w:r w:rsidRPr="006D767C">
              <w:br/>
              <w:t>(atezolizumab vs nivolumab)</w:t>
            </w:r>
          </w:p>
        </w:tc>
        <w:tc>
          <w:tcPr>
            <w:tcW w:w="2421" w:type="pct"/>
            <w:gridSpan w:val="6"/>
            <w:shd w:val="clear" w:color="auto" w:fill="auto"/>
          </w:tcPr>
          <w:p w:rsidR="00526F27" w:rsidRPr="006D767C" w:rsidRDefault="00526F27" w:rsidP="00092FB1">
            <w:pPr>
              <w:pStyle w:val="TableText"/>
              <w:spacing w:before="0" w:after="0"/>
              <w:jc w:val="center"/>
            </w:pPr>
            <w:r w:rsidRPr="006D767C">
              <w:sym w:font="Symbol" w:char="F02D"/>
            </w:r>
            <w:r w:rsidRPr="006D767C">
              <w:t>$</w:t>
            </w:r>
            <w:r w:rsidRPr="00070622">
              <w:t>32.53</w:t>
            </w:r>
          </w:p>
        </w:tc>
      </w:tr>
      <w:tr w:rsidR="00526F27" w:rsidRPr="006D767C" w:rsidTr="00AC57B1">
        <w:trPr>
          <w:cantSplit/>
        </w:trPr>
        <w:tc>
          <w:tcPr>
            <w:tcW w:w="5000" w:type="pct"/>
            <w:gridSpan w:val="7"/>
            <w:shd w:val="clear" w:color="auto" w:fill="auto"/>
            <w:vAlign w:val="center"/>
          </w:tcPr>
          <w:p w:rsidR="00526F27" w:rsidRPr="006D767C" w:rsidRDefault="00526F27" w:rsidP="00092FB1">
            <w:pPr>
              <w:pStyle w:val="TableText"/>
              <w:spacing w:before="0" w:after="0"/>
              <w:jc w:val="left"/>
              <w:rPr>
                <w:b/>
              </w:rPr>
            </w:pPr>
            <w:r w:rsidRPr="006D767C">
              <w:rPr>
                <w:b/>
              </w:rPr>
              <w:t>Total cost (cost-minimisation)</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Total drug and administration cost per 3 weekly cycle</w:t>
            </w:r>
          </w:p>
        </w:tc>
        <w:tc>
          <w:tcPr>
            <w:tcW w:w="1201" w:type="pct"/>
            <w:gridSpan w:val="3"/>
            <w:shd w:val="clear" w:color="auto" w:fill="auto"/>
          </w:tcPr>
          <w:p w:rsidR="00526F27" w:rsidRPr="006D767C" w:rsidRDefault="00526F27" w:rsidP="00092FB1">
            <w:pPr>
              <w:pStyle w:val="TableText"/>
              <w:spacing w:before="0" w:after="0"/>
              <w:jc w:val="center"/>
            </w:pPr>
            <w:r w:rsidRPr="006D767C">
              <w:t>$</w:t>
            </w:r>
            <w:r w:rsidRPr="00070622">
              <w:t>7,443.78</w:t>
            </w:r>
          </w:p>
        </w:tc>
        <w:tc>
          <w:tcPr>
            <w:tcW w:w="1220" w:type="pct"/>
            <w:gridSpan w:val="3"/>
            <w:shd w:val="clear" w:color="auto" w:fill="auto"/>
          </w:tcPr>
          <w:p w:rsidR="00526F27" w:rsidRPr="006D767C" w:rsidRDefault="00526F27" w:rsidP="00092FB1">
            <w:pPr>
              <w:pStyle w:val="TableText"/>
              <w:spacing w:before="0" w:after="0"/>
              <w:jc w:val="center"/>
            </w:pPr>
            <w:r w:rsidRPr="006D767C">
              <w:t>$</w:t>
            </w:r>
            <w:r w:rsidRPr="00070622">
              <w:t>7,573.88</w:t>
            </w:r>
          </w:p>
        </w:tc>
      </w:tr>
      <w:tr w:rsidR="00526F27" w:rsidRPr="006D767C" w:rsidTr="00AC57B1">
        <w:trPr>
          <w:cantSplit/>
        </w:trPr>
        <w:tc>
          <w:tcPr>
            <w:tcW w:w="2579" w:type="pct"/>
            <w:shd w:val="clear" w:color="auto" w:fill="auto"/>
            <w:vAlign w:val="center"/>
          </w:tcPr>
          <w:p w:rsidR="00526F27" w:rsidRPr="006D767C" w:rsidRDefault="00526F27" w:rsidP="00092FB1">
            <w:pPr>
              <w:pStyle w:val="TableText"/>
              <w:spacing w:before="0" w:after="0"/>
              <w:jc w:val="left"/>
            </w:pPr>
            <w:r w:rsidRPr="006D767C">
              <w:t xml:space="preserve">Total incremental cost per 3 weekly cycle </w:t>
            </w:r>
            <w:r w:rsidRPr="006D767C">
              <w:br/>
              <w:t xml:space="preserve">(atezolizumab vs nivolumab) </w:t>
            </w:r>
          </w:p>
        </w:tc>
        <w:tc>
          <w:tcPr>
            <w:tcW w:w="2421" w:type="pct"/>
            <w:gridSpan w:val="6"/>
            <w:shd w:val="clear" w:color="auto" w:fill="auto"/>
          </w:tcPr>
          <w:p w:rsidR="00526F27" w:rsidRPr="006D767C" w:rsidRDefault="00526F27" w:rsidP="00092FB1">
            <w:pPr>
              <w:pStyle w:val="TableText"/>
              <w:spacing w:before="0" w:after="0"/>
              <w:jc w:val="center"/>
            </w:pPr>
            <w:r w:rsidRPr="006D767C">
              <w:sym w:font="Symbol" w:char="F02D"/>
            </w:r>
            <w:r w:rsidRPr="006D767C">
              <w:t>$</w:t>
            </w:r>
            <w:r w:rsidRPr="00070622">
              <w:t>32.53</w:t>
            </w:r>
          </w:p>
        </w:tc>
      </w:tr>
    </w:tbl>
    <w:p w:rsidR="00897BE8" w:rsidRPr="006D767C" w:rsidRDefault="00897BE8" w:rsidP="00526F27">
      <w:pPr>
        <w:pStyle w:val="TableFooter"/>
      </w:pPr>
      <w:r w:rsidRPr="006D767C">
        <w:t>AEMP = approved ex-manufact</w:t>
      </w:r>
      <w:r w:rsidR="00D5280E" w:rsidRPr="006D767C">
        <w:t>urer price; MBS = M</w:t>
      </w:r>
      <w:r w:rsidRPr="006D767C">
        <w:t xml:space="preserve">edical </w:t>
      </w:r>
      <w:r w:rsidR="00D5280E" w:rsidRPr="006D767C">
        <w:t>B</w:t>
      </w:r>
      <w:r w:rsidRPr="006D767C">
        <w:t xml:space="preserve">enefits </w:t>
      </w:r>
      <w:r w:rsidR="00D5280E" w:rsidRPr="006D767C">
        <w:t>S</w:t>
      </w:r>
      <w:r w:rsidRPr="006D767C">
        <w:t>cheme; IV = intravenous</w:t>
      </w:r>
      <w:r w:rsidR="00D5280E" w:rsidRPr="006D767C">
        <w:t>.</w:t>
      </w:r>
    </w:p>
    <w:p w:rsidR="00526F27" w:rsidRPr="006D767C" w:rsidRDefault="00526F27" w:rsidP="00526F27">
      <w:pPr>
        <w:pStyle w:val="TableFooter"/>
      </w:pPr>
      <w:r w:rsidRPr="006D767C">
        <w:t>* As per nivolumab November 2016 PSDs</w:t>
      </w:r>
      <w:r w:rsidR="00E55C7B" w:rsidRPr="006D767C">
        <w:t>.</w:t>
      </w:r>
    </w:p>
    <w:p w:rsidR="00526F27" w:rsidRPr="006D767C" w:rsidRDefault="00526F27" w:rsidP="00526F27">
      <w:pPr>
        <w:pStyle w:val="TableFooter"/>
      </w:pPr>
      <w:r w:rsidRPr="006D767C">
        <w:t>Source:</w:t>
      </w:r>
      <w:r w:rsidR="00F42A62" w:rsidRPr="006D767C">
        <w:t xml:space="preserve"> </w:t>
      </w:r>
      <w:r w:rsidRPr="006D767C">
        <w:t>Table 3B.4.1, Section 3 of the submission</w:t>
      </w:r>
      <w:r w:rsidR="00E55C7B" w:rsidRPr="006D767C">
        <w:t>.</w:t>
      </w:r>
    </w:p>
    <w:p w:rsidR="005A0938" w:rsidRPr="006D767C" w:rsidRDefault="005A0938" w:rsidP="002D73C8">
      <w:pPr>
        <w:pStyle w:val="ListParagraph"/>
        <w:numPr>
          <w:ilvl w:val="1"/>
          <w:numId w:val="1"/>
        </w:numPr>
        <w:spacing w:before="0" w:after="120"/>
      </w:pPr>
      <w:r w:rsidRPr="006D767C">
        <w:t xml:space="preserve">The submission </w:t>
      </w:r>
      <w:r w:rsidR="00515A36" w:rsidRPr="006D767C">
        <w:t xml:space="preserve">acknowledged </w:t>
      </w:r>
      <w:r w:rsidRPr="006D767C">
        <w:t xml:space="preserve">that the PBAC outcomes statement for nivolumab suggest that Risk Sharing Arrangements have been proposed to address the uncertainty raised by PBAC in </w:t>
      </w:r>
      <w:r w:rsidR="00C64B0E" w:rsidRPr="006D767C">
        <w:t>its</w:t>
      </w:r>
      <w:r w:rsidRPr="006D767C">
        <w:t xml:space="preserve"> November 2016 deferral of nivolumab. Given that the </w:t>
      </w:r>
      <w:r w:rsidR="00F4584A" w:rsidRPr="006D767C">
        <w:t xml:space="preserve">sponsor did not know the </w:t>
      </w:r>
      <w:r w:rsidRPr="006D767C">
        <w:t>effective price for nivolumab, the cost-minimisation presented in the submission used the published price of nivolumab. This analysis was presented based on a</w:t>
      </w:r>
      <w:r w:rsidR="00F4584A" w:rsidRPr="006D767C">
        <w:t xml:space="preserve"> request </w:t>
      </w:r>
      <w:r w:rsidRPr="006D767C">
        <w:t>the effective price for atezolizumab w</w:t>
      </w:r>
      <w:r w:rsidR="00F4584A" w:rsidRPr="006D767C">
        <w:t>ould</w:t>
      </w:r>
      <w:r w:rsidRPr="006D767C">
        <w:t xml:space="preserve"> be no higher than the cost-minimised effective price for nivolumab </w:t>
      </w:r>
      <w:r w:rsidR="00F4584A" w:rsidRPr="006D767C">
        <w:t>(also reflecting the difference in the frequency of administration)</w:t>
      </w:r>
      <w:r w:rsidRPr="006D767C">
        <w:t xml:space="preserve"> for patients with locally advanced or metastatic NSCLC, who have progressed on or after platinum-based chemotherapy.</w:t>
      </w:r>
    </w:p>
    <w:p w:rsidR="00C317F3" w:rsidRPr="006D767C" w:rsidRDefault="00C317F3" w:rsidP="00772501">
      <w:pPr>
        <w:pStyle w:val="Heading2"/>
      </w:pPr>
      <w:bookmarkStart w:id="21" w:name="_Toc413139283"/>
      <w:bookmarkStart w:id="22" w:name="_Toc492917636"/>
      <w:r w:rsidRPr="006D767C">
        <w:t>Drug cost/patient/</w:t>
      </w:r>
      <w:bookmarkEnd w:id="21"/>
      <w:r w:rsidR="00220109" w:rsidRPr="006D767C">
        <w:t>course: $</w:t>
      </w:r>
      <w:bookmarkEnd w:id="22"/>
      <w:r w:rsidR="002041B0">
        <w:rPr>
          <w:noProof/>
          <w:color w:val="000000"/>
          <w:highlight w:val="black"/>
        </w:rPr>
        <w:t>'''''''''''''</w:t>
      </w:r>
    </w:p>
    <w:p w:rsidR="00C317F3" w:rsidRPr="006D767C" w:rsidRDefault="00220109" w:rsidP="002D73C8">
      <w:pPr>
        <w:pStyle w:val="ListParagraph"/>
        <w:numPr>
          <w:ilvl w:val="1"/>
          <w:numId w:val="1"/>
        </w:numPr>
        <w:spacing w:before="0" w:after="120"/>
        <w:rPr>
          <w:color w:val="000000" w:themeColor="text1"/>
        </w:rPr>
      </w:pPr>
      <w:r w:rsidRPr="006D767C">
        <w:rPr>
          <w:color w:val="000000" w:themeColor="text1"/>
        </w:rPr>
        <w:t>This calculati</w:t>
      </w:r>
      <w:r w:rsidR="00AF6FE6" w:rsidRPr="006D767C">
        <w:rPr>
          <w:color w:val="000000" w:themeColor="text1"/>
        </w:rPr>
        <w:t>on is based on a dose of 1200</w:t>
      </w:r>
      <w:r w:rsidR="001372F5" w:rsidRPr="006D767C">
        <w:rPr>
          <w:color w:val="000000" w:themeColor="text1"/>
        </w:rPr>
        <w:t xml:space="preserve"> </w:t>
      </w:r>
      <w:r w:rsidR="00AF6FE6" w:rsidRPr="006D767C">
        <w:rPr>
          <w:color w:val="000000" w:themeColor="text1"/>
        </w:rPr>
        <w:t xml:space="preserve">mg every three weeks, and an average of </w:t>
      </w:r>
      <w:r w:rsidR="002041B0">
        <w:rPr>
          <w:noProof/>
          <w:color w:val="000000"/>
          <w:highlight w:val="black"/>
        </w:rPr>
        <w:t>''''''''</w:t>
      </w:r>
      <w:r w:rsidR="00AF6FE6" w:rsidRPr="006D767C">
        <w:rPr>
          <w:color w:val="000000" w:themeColor="text1"/>
        </w:rPr>
        <w:t xml:space="preserve"> administrations over an average treatment duration of </w:t>
      </w:r>
      <w:r w:rsidR="002041B0">
        <w:rPr>
          <w:noProof/>
          <w:color w:val="000000"/>
          <w:highlight w:val="black"/>
        </w:rPr>
        <w:t>''''''</w:t>
      </w:r>
      <w:r w:rsidR="00AF6FE6" w:rsidRPr="006D767C">
        <w:rPr>
          <w:color w:val="000000" w:themeColor="text1"/>
        </w:rPr>
        <w:t xml:space="preserve"> months (based on an extrapolation of trial data). This was based on a weighted DPMA of $</w:t>
      </w:r>
      <w:r w:rsidR="00AF6FE6" w:rsidRPr="00F64B69">
        <w:rPr>
          <w:color w:val="000000" w:themeColor="text1"/>
        </w:rPr>
        <w:t>7,681.59</w:t>
      </w:r>
      <w:r w:rsidR="00AF6FE6" w:rsidRPr="006D767C">
        <w:rPr>
          <w:color w:val="000000" w:themeColor="text1"/>
        </w:rPr>
        <w:t>, with a 14.5</w:t>
      </w:r>
      <w:r w:rsidR="008866C1" w:rsidRPr="006D767C">
        <w:rPr>
          <w:color w:val="000000" w:themeColor="text1"/>
        </w:rPr>
        <w:t>%:</w:t>
      </w:r>
      <w:r w:rsidR="00AF6FE6" w:rsidRPr="006D767C">
        <w:rPr>
          <w:color w:val="000000" w:themeColor="text1"/>
        </w:rPr>
        <w:t>85.5% split between public and private hospital dispensing</w:t>
      </w:r>
      <w:r w:rsidR="00370AF1" w:rsidRPr="006D767C">
        <w:rPr>
          <w:color w:val="000000" w:themeColor="text1"/>
        </w:rPr>
        <w:t xml:space="preserve"> as per the nivolumab submissions</w:t>
      </w:r>
      <w:r w:rsidR="00AF6FE6" w:rsidRPr="006D767C">
        <w:rPr>
          <w:color w:val="000000" w:themeColor="text1"/>
        </w:rPr>
        <w:t>.</w:t>
      </w:r>
      <w:r w:rsidR="00181023" w:rsidRPr="006D767C">
        <w:rPr>
          <w:color w:val="000000" w:themeColor="text1"/>
        </w:rPr>
        <w:t xml:space="preserve"> The DPMA was based on the published ex-manufacturer price of nivolumab, and the cost-minimised price of atezolizumab as </w:t>
      </w:r>
      <w:r w:rsidR="00515A36" w:rsidRPr="006D767C">
        <w:rPr>
          <w:color w:val="000000" w:themeColor="text1"/>
        </w:rPr>
        <w:t xml:space="preserve">estimated in Table </w:t>
      </w:r>
      <w:r w:rsidR="00363845" w:rsidRPr="006D767C">
        <w:rPr>
          <w:color w:val="000000" w:themeColor="text1"/>
        </w:rPr>
        <w:t>10</w:t>
      </w:r>
      <w:r w:rsidR="00E744A3" w:rsidRPr="006D767C">
        <w:rPr>
          <w:color w:val="000000" w:themeColor="text1"/>
        </w:rPr>
        <w:t>.</w:t>
      </w:r>
    </w:p>
    <w:p w:rsidR="00C317F3" w:rsidRPr="006D767C" w:rsidRDefault="00C317F3" w:rsidP="00772501">
      <w:pPr>
        <w:pStyle w:val="Heading2"/>
      </w:pPr>
      <w:bookmarkStart w:id="23" w:name="_Toc413139284"/>
      <w:bookmarkStart w:id="24" w:name="_Toc492917637"/>
      <w:r w:rsidRPr="006D767C">
        <w:t>Estimated PBS usage &amp; financial implications</w:t>
      </w:r>
      <w:bookmarkEnd w:id="23"/>
      <w:bookmarkEnd w:id="24"/>
    </w:p>
    <w:p w:rsidR="008866C1" w:rsidRPr="006D767C" w:rsidRDefault="00C317F3" w:rsidP="002D73C8">
      <w:pPr>
        <w:pStyle w:val="ListParagraph"/>
        <w:numPr>
          <w:ilvl w:val="1"/>
          <w:numId w:val="1"/>
        </w:numPr>
        <w:spacing w:before="0" w:after="120"/>
        <w:rPr>
          <w:color w:val="000000" w:themeColor="text1"/>
        </w:rPr>
      </w:pPr>
      <w:r w:rsidRPr="006D767C">
        <w:rPr>
          <w:color w:val="000000" w:themeColor="text1"/>
        </w:rPr>
        <w:t xml:space="preserve">This submission </w:t>
      </w:r>
      <w:r w:rsidR="00454493" w:rsidRPr="006D767C">
        <w:rPr>
          <w:color w:val="000000" w:themeColor="text1"/>
        </w:rPr>
        <w:t>w</w:t>
      </w:r>
      <w:r w:rsidR="008343E9" w:rsidRPr="006D767C">
        <w:rPr>
          <w:color w:val="000000" w:themeColor="text1"/>
        </w:rPr>
        <w:t>as</w:t>
      </w:r>
      <w:r w:rsidR="00454493" w:rsidRPr="006D767C">
        <w:rPr>
          <w:color w:val="000000" w:themeColor="text1"/>
        </w:rPr>
        <w:t xml:space="preserve"> </w:t>
      </w:r>
      <w:r w:rsidR="00AF6FE6" w:rsidRPr="006D767C">
        <w:rPr>
          <w:color w:val="000000" w:themeColor="text1"/>
        </w:rPr>
        <w:t>not</w:t>
      </w:r>
      <w:r w:rsidRPr="006D767C">
        <w:rPr>
          <w:color w:val="000000" w:themeColor="text1"/>
        </w:rPr>
        <w:t xml:space="preserve"> considered by DUSC.</w:t>
      </w:r>
      <w:r w:rsidR="00AF6FE6" w:rsidRPr="006D767C">
        <w:rPr>
          <w:color w:val="000000" w:themeColor="text1"/>
        </w:rPr>
        <w:t xml:space="preserve"> </w:t>
      </w:r>
      <w:r w:rsidR="008866C1" w:rsidRPr="006D767C">
        <w:rPr>
          <w:color w:val="000000" w:themeColor="text1"/>
        </w:rPr>
        <w:t>The submission used a mixed-method approach to estimate the expected utilisation and financial estimates of listing atezolizumab. An epidemiological approach was use</w:t>
      </w:r>
      <w:r w:rsidR="00897BE8" w:rsidRPr="006D767C">
        <w:rPr>
          <w:color w:val="000000" w:themeColor="text1"/>
        </w:rPr>
        <w:t>d</w:t>
      </w:r>
      <w:r w:rsidR="008866C1" w:rsidRPr="006D767C">
        <w:rPr>
          <w:color w:val="000000" w:themeColor="text1"/>
        </w:rPr>
        <w:t xml:space="preserve"> to estimate the number of patients eligible to be treated under the proposed restriction</w:t>
      </w:r>
      <w:r w:rsidR="00897BE8" w:rsidRPr="006D767C">
        <w:rPr>
          <w:color w:val="000000" w:themeColor="text1"/>
        </w:rPr>
        <w:t xml:space="preserve"> for</w:t>
      </w:r>
      <w:r w:rsidR="008866C1" w:rsidRPr="006D767C">
        <w:rPr>
          <w:color w:val="000000" w:themeColor="text1"/>
        </w:rPr>
        <w:t xml:space="preserve"> atezolizumab and </w:t>
      </w:r>
      <w:r w:rsidR="00897BE8" w:rsidRPr="006D767C">
        <w:rPr>
          <w:color w:val="000000" w:themeColor="text1"/>
        </w:rPr>
        <w:t xml:space="preserve">for </w:t>
      </w:r>
      <w:r w:rsidR="008866C1" w:rsidRPr="006D767C">
        <w:rPr>
          <w:color w:val="000000" w:themeColor="text1"/>
        </w:rPr>
        <w:t xml:space="preserve">nivolumab, </w:t>
      </w:r>
      <w:r w:rsidR="006D767C" w:rsidRPr="006D767C">
        <w:rPr>
          <w:color w:val="000000" w:themeColor="text1"/>
        </w:rPr>
        <w:t>and then</w:t>
      </w:r>
      <w:r w:rsidR="008866C1" w:rsidRPr="006D767C">
        <w:rPr>
          <w:color w:val="000000" w:themeColor="text1"/>
        </w:rPr>
        <w:t xml:space="preserve"> a proportional market share approach (based on clinical advice) was used to estimate the relative treatment uptake of nivolumab and atezolizumab. This approach </w:t>
      </w:r>
      <w:r w:rsidR="00515A36" w:rsidRPr="006D767C">
        <w:rPr>
          <w:color w:val="000000" w:themeColor="text1"/>
        </w:rPr>
        <w:t>wa</w:t>
      </w:r>
      <w:r w:rsidR="008866C1" w:rsidRPr="006D767C">
        <w:rPr>
          <w:color w:val="000000" w:themeColor="text1"/>
        </w:rPr>
        <w:t>s appropriate, given the absenc</w:t>
      </w:r>
      <w:r w:rsidR="00E744A3" w:rsidRPr="006D767C">
        <w:rPr>
          <w:color w:val="000000" w:themeColor="text1"/>
        </w:rPr>
        <w:t>e of market data for nivolumab.</w:t>
      </w:r>
    </w:p>
    <w:p w:rsidR="00C317F3" w:rsidRPr="006D767C" w:rsidRDefault="009263E6" w:rsidP="002D73C8">
      <w:pPr>
        <w:pStyle w:val="ListParagraph"/>
        <w:numPr>
          <w:ilvl w:val="1"/>
          <w:numId w:val="1"/>
        </w:numPr>
        <w:spacing w:before="0" w:after="120"/>
        <w:rPr>
          <w:color w:val="000000" w:themeColor="text1"/>
        </w:rPr>
      </w:pPr>
      <w:r w:rsidRPr="006D767C">
        <w:rPr>
          <w:color w:val="000000" w:themeColor="text1"/>
        </w:rPr>
        <w:t xml:space="preserve">The estimated use and financial implications </w:t>
      </w:r>
      <w:r w:rsidR="00E744A3" w:rsidRPr="006D767C">
        <w:rPr>
          <w:color w:val="000000" w:themeColor="text1"/>
        </w:rPr>
        <w:t>is provided in the table below.</w:t>
      </w:r>
    </w:p>
    <w:p w:rsidR="00C317F3" w:rsidRPr="006D767C" w:rsidRDefault="00C317F3" w:rsidP="00772501">
      <w:pPr>
        <w:pStyle w:val="TableHeading0"/>
      </w:pPr>
      <w:r w:rsidRPr="006D767C">
        <w:t>T</w:t>
      </w:r>
      <w:r w:rsidR="009263E6" w:rsidRPr="006D767C">
        <w:t>able 1</w:t>
      </w:r>
      <w:r w:rsidR="00C87201" w:rsidRPr="006D767C">
        <w:t>3</w:t>
      </w:r>
      <w:r w:rsidR="002142CF" w:rsidRPr="006D767C">
        <w:t>: Estimated</w:t>
      </w:r>
      <w:r w:rsidRPr="006D767C">
        <w:t xml:space="preserve">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5"/>
        <w:gridCol w:w="1165"/>
        <w:gridCol w:w="1165"/>
        <w:gridCol w:w="1165"/>
        <w:gridCol w:w="1165"/>
        <w:gridCol w:w="1165"/>
      </w:tblGrid>
      <w:tr w:rsidR="00E37424" w:rsidRPr="006D767C" w:rsidTr="00AC57B1">
        <w:tc>
          <w:tcPr>
            <w:tcW w:w="1118" w:type="pct"/>
            <w:shd w:val="clear" w:color="auto" w:fill="auto"/>
            <w:vAlign w:val="center"/>
          </w:tcPr>
          <w:p w:rsidR="00E37424" w:rsidRPr="006D767C" w:rsidRDefault="00E37424" w:rsidP="00772501">
            <w:pPr>
              <w:pStyle w:val="TableText"/>
            </w:pPr>
          </w:p>
        </w:tc>
        <w:tc>
          <w:tcPr>
            <w:tcW w:w="647" w:type="pct"/>
            <w:shd w:val="clear" w:color="auto" w:fill="auto"/>
            <w:vAlign w:val="center"/>
          </w:tcPr>
          <w:p w:rsidR="00E37424" w:rsidRPr="006D767C" w:rsidRDefault="00E37424" w:rsidP="00772501">
            <w:pPr>
              <w:pStyle w:val="TableText"/>
              <w:jc w:val="center"/>
              <w:rPr>
                <w:b/>
              </w:rPr>
            </w:pPr>
            <w:r w:rsidRPr="006D767C">
              <w:rPr>
                <w:b/>
              </w:rPr>
              <w:t>Year 1</w:t>
            </w:r>
          </w:p>
        </w:tc>
        <w:tc>
          <w:tcPr>
            <w:tcW w:w="647" w:type="pct"/>
            <w:shd w:val="clear" w:color="auto" w:fill="auto"/>
            <w:vAlign w:val="center"/>
          </w:tcPr>
          <w:p w:rsidR="00E37424" w:rsidRPr="006D767C" w:rsidRDefault="00E37424" w:rsidP="00772501">
            <w:pPr>
              <w:pStyle w:val="TableText"/>
              <w:jc w:val="center"/>
              <w:rPr>
                <w:b/>
              </w:rPr>
            </w:pPr>
            <w:r w:rsidRPr="006D767C">
              <w:rPr>
                <w:b/>
              </w:rPr>
              <w:t>Year 2</w:t>
            </w:r>
          </w:p>
        </w:tc>
        <w:tc>
          <w:tcPr>
            <w:tcW w:w="647" w:type="pct"/>
            <w:shd w:val="clear" w:color="auto" w:fill="auto"/>
            <w:vAlign w:val="center"/>
          </w:tcPr>
          <w:p w:rsidR="00E37424" w:rsidRPr="006D767C" w:rsidRDefault="00E37424" w:rsidP="00772501">
            <w:pPr>
              <w:pStyle w:val="TableText"/>
              <w:jc w:val="center"/>
              <w:rPr>
                <w:b/>
              </w:rPr>
            </w:pPr>
            <w:r w:rsidRPr="006D767C">
              <w:rPr>
                <w:b/>
              </w:rPr>
              <w:t>Year 3</w:t>
            </w:r>
          </w:p>
        </w:tc>
        <w:tc>
          <w:tcPr>
            <w:tcW w:w="647" w:type="pct"/>
            <w:shd w:val="clear" w:color="auto" w:fill="auto"/>
            <w:vAlign w:val="center"/>
          </w:tcPr>
          <w:p w:rsidR="00E37424" w:rsidRPr="006D767C" w:rsidRDefault="00E37424" w:rsidP="00772501">
            <w:pPr>
              <w:pStyle w:val="TableText"/>
              <w:jc w:val="center"/>
              <w:rPr>
                <w:b/>
              </w:rPr>
            </w:pPr>
            <w:r w:rsidRPr="006D767C">
              <w:rPr>
                <w:b/>
              </w:rPr>
              <w:t>Year 4</w:t>
            </w:r>
          </w:p>
        </w:tc>
        <w:tc>
          <w:tcPr>
            <w:tcW w:w="647" w:type="pct"/>
            <w:shd w:val="clear" w:color="auto" w:fill="auto"/>
            <w:vAlign w:val="center"/>
          </w:tcPr>
          <w:p w:rsidR="00E37424" w:rsidRPr="006D767C" w:rsidRDefault="00E37424" w:rsidP="00772501">
            <w:pPr>
              <w:pStyle w:val="TableText"/>
              <w:jc w:val="center"/>
              <w:rPr>
                <w:b/>
              </w:rPr>
            </w:pPr>
            <w:r w:rsidRPr="006D767C">
              <w:rPr>
                <w:b/>
              </w:rPr>
              <w:t>Year 5</w:t>
            </w:r>
          </w:p>
        </w:tc>
        <w:tc>
          <w:tcPr>
            <w:tcW w:w="647" w:type="pct"/>
          </w:tcPr>
          <w:p w:rsidR="00E37424" w:rsidRPr="006D767C" w:rsidRDefault="00E37424" w:rsidP="00772501">
            <w:pPr>
              <w:pStyle w:val="TableText"/>
              <w:jc w:val="center"/>
              <w:rPr>
                <w:b/>
              </w:rPr>
            </w:pPr>
            <w:r w:rsidRPr="006D767C">
              <w:rPr>
                <w:b/>
              </w:rPr>
              <w:t>Year 6</w:t>
            </w:r>
          </w:p>
        </w:tc>
      </w:tr>
      <w:tr w:rsidR="00E37424" w:rsidRPr="006D767C" w:rsidTr="00AC57B1">
        <w:tc>
          <w:tcPr>
            <w:tcW w:w="5000" w:type="pct"/>
            <w:gridSpan w:val="7"/>
            <w:shd w:val="clear" w:color="auto" w:fill="auto"/>
            <w:vAlign w:val="center"/>
          </w:tcPr>
          <w:p w:rsidR="00E37424" w:rsidRPr="006D767C" w:rsidRDefault="00E37424" w:rsidP="00772501">
            <w:pPr>
              <w:pStyle w:val="TableText"/>
              <w:rPr>
                <w:b/>
                <w:bCs/>
                <w:color w:val="000000"/>
              </w:rPr>
            </w:pPr>
            <w:r w:rsidRPr="006D767C">
              <w:rPr>
                <w:b/>
                <w:bCs/>
                <w:color w:val="000000"/>
              </w:rPr>
              <w:t>Estimated extent of use</w:t>
            </w:r>
          </w:p>
        </w:tc>
      </w:tr>
      <w:tr w:rsidR="009263E6" w:rsidRPr="006D767C" w:rsidTr="00AC57B1">
        <w:tc>
          <w:tcPr>
            <w:tcW w:w="1118" w:type="pct"/>
            <w:shd w:val="clear" w:color="auto" w:fill="auto"/>
            <w:vAlign w:val="center"/>
          </w:tcPr>
          <w:p w:rsidR="009263E6" w:rsidRPr="006D767C" w:rsidRDefault="009263E6" w:rsidP="00E744A3">
            <w:pPr>
              <w:pStyle w:val="TableText"/>
              <w:jc w:val="left"/>
              <w:rPr>
                <w:rFonts w:ascii="Times" w:eastAsia="Times New Roman" w:hAnsi="Times" w:cs="Times New Roman"/>
              </w:rPr>
            </w:pPr>
            <w:r w:rsidRPr="006D767C">
              <w:t>Number of patients treated</w:t>
            </w:r>
          </w:p>
        </w:tc>
        <w:tc>
          <w:tcPr>
            <w:tcW w:w="647" w:type="pct"/>
            <w:shd w:val="clear" w:color="auto" w:fill="auto"/>
          </w:tcPr>
          <w:p w:rsidR="009263E6" w:rsidRPr="002041B0" w:rsidRDefault="002041B0" w:rsidP="00181023">
            <w:pPr>
              <w:pStyle w:val="TableText"/>
              <w:jc w:val="center"/>
              <w:rPr>
                <w:bCs/>
                <w:color w:val="000000"/>
                <w:highlight w:val="black"/>
              </w:rPr>
            </w:pPr>
            <w:r>
              <w:rPr>
                <w:noProof/>
                <w:color w:val="00000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noProof/>
                <w:color w:val="00000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noProof/>
                <w:color w:val="00000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noProof/>
                <w:color w:val="00000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noProof/>
                <w:color w:val="000000"/>
                <w:highlight w:val="black"/>
              </w:rPr>
              <w:t>''''''''''''''</w:t>
            </w:r>
          </w:p>
        </w:tc>
        <w:tc>
          <w:tcPr>
            <w:tcW w:w="647" w:type="pct"/>
          </w:tcPr>
          <w:p w:rsidR="009263E6" w:rsidRPr="002041B0" w:rsidRDefault="002041B0" w:rsidP="00181023">
            <w:pPr>
              <w:pStyle w:val="TableText"/>
              <w:jc w:val="center"/>
              <w:rPr>
                <w:bCs/>
                <w:color w:val="000000"/>
                <w:highlight w:val="black"/>
              </w:rPr>
            </w:pPr>
            <w:r>
              <w:rPr>
                <w:noProof/>
                <w:color w:val="000000"/>
                <w:highlight w:val="black"/>
              </w:rPr>
              <w:t>'''''''''''''</w:t>
            </w:r>
          </w:p>
        </w:tc>
      </w:tr>
      <w:tr w:rsidR="009263E6" w:rsidRPr="006D767C" w:rsidTr="00AC57B1">
        <w:tc>
          <w:tcPr>
            <w:tcW w:w="1118" w:type="pct"/>
            <w:shd w:val="clear" w:color="auto" w:fill="auto"/>
            <w:vAlign w:val="center"/>
          </w:tcPr>
          <w:p w:rsidR="009263E6" w:rsidRPr="006D767C" w:rsidRDefault="00CB0934" w:rsidP="00E744A3">
            <w:pPr>
              <w:pStyle w:val="TableText"/>
              <w:jc w:val="left"/>
              <w:rPr>
                <w:rFonts w:ascii="Times" w:eastAsia="Times New Roman" w:hAnsi="Times" w:cs="Times New Roman"/>
              </w:rPr>
            </w:pPr>
            <w:r w:rsidRPr="006D767C">
              <w:t>Atezolizumab</w:t>
            </w:r>
            <w:r w:rsidR="009263E6" w:rsidRPr="006D767C">
              <w:t xml:space="preserve">: </w:t>
            </w:r>
            <w:r w:rsidR="00E744A3" w:rsidRPr="006D767C">
              <w:t>n</w:t>
            </w:r>
            <w:r w:rsidR="009263E6" w:rsidRPr="006D767C">
              <w:t>umber of scripts dispensed</w:t>
            </w:r>
            <w:r w:rsidR="009263E6" w:rsidRPr="006D767C">
              <w:rPr>
                <w:vertAlign w:val="superscript"/>
              </w:rPr>
              <w:t>a</w:t>
            </w:r>
            <w:r w:rsidR="00897BE8" w:rsidRPr="006D767C">
              <w:rPr>
                <w:vertAlign w:val="superscript"/>
              </w:rPr>
              <w:t xml:space="preserve"> </w:t>
            </w:r>
          </w:p>
        </w:tc>
        <w:tc>
          <w:tcPr>
            <w:tcW w:w="647" w:type="pct"/>
            <w:shd w:val="clear" w:color="auto" w:fill="auto"/>
          </w:tcPr>
          <w:p w:rsidR="009263E6" w:rsidRPr="002041B0" w:rsidRDefault="002041B0" w:rsidP="00181023">
            <w:pPr>
              <w:pStyle w:val="TableText"/>
              <w:jc w:val="center"/>
              <w:rPr>
                <w:bCs/>
                <w:color w:val="000000"/>
                <w:highlight w:val="black"/>
              </w:rPr>
            </w:pPr>
            <w:r>
              <w:rPr>
                <w:rFonts w:eastAsia="Times New Roman" w:cs="Calibri"/>
                <w:bCs/>
                <w:noProof/>
                <w:color w:val="000000"/>
                <w:szCs w:val="2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rFonts w:eastAsia="Times New Roman" w:cs="Calibri"/>
                <w:bCs/>
                <w:noProof/>
                <w:color w:val="000000"/>
                <w:szCs w:val="2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rFonts w:eastAsia="Times New Roman" w:cs="Calibri"/>
                <w:bCs/>
                <w:noProof/>
                <w:color w:val="000000"/>
                <w:szCs w:val="2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rFonts w:eastAsia="Times New Roman" w:cs="Calibri"/>
                <w:bCs/>
                <w:noProof/>
                <w:color w:val="000000"/>
                <w:szCs w:val="20"/>
                <w:highlight w:val="black"/>
              </w:rPr>
              <w:t>''''''''''''''''</w:t>
            </w:r>
          </w:p>
        </w:tc>
        <w:tc>
          <w:tcPr>
            <w:tcW w:w="647" w:type="pct"/>
            <w:shd w:val="clear" w:color="auto" w:fill="auto"/>
          </w:tcPr>
          <w:p w:rsidR="009263E6" w:rsidRPr="002041B0" w:rsidRDefault="002041B0" w:rsidP="00181023">
            <w:pPr>
              <w:pStyle w:val="TableText"/>
              <w:jc w:val="center"/>
              <w:rPr>
                <w:bCs/>
                <w:color w:val="000000"/>
                <w:highlight w:val="black"/>
              </w:rPr>
            </w:pPr>
            <w:r>
              <w:rPr>
                <w:rFonts w:eastAsia="Times New Roman" w:cs="Calibri"/>
                <w:bCs/>
                <w:noProof/>
                <w:color w:val="000000"/>
                <w:szCs w:val="20"/>
                <w:highlight w:val="black"/>
              </w:rPr>
              <w:t>'''''''''''''''</w:t>
            </w:r>
          </w:p>
        </w:tc>
        <w:tc>
          <w:tcPr>
            <w:tcW w:w="647" w:type="pct"/>
          </w:tcPr>
          <w:p w:rsidR="009263E6" w:rsidRPr="002041B0" w:rsidRDefault="002041B0" w:rsidP="00181023">
            <w:pPr>
              <w:pStyle w:val="TableText"/>
              <w:jc w:val="center"/>
              <w:rPr>
                <w:bCs/>
                <w:color w:val="000000"/>
                <w:highlight w:val="black"/>
              </w:rPr>
            </w:pPr>
            <w:r>
              <w:rPr>
                <w:rFonts w:eastAsia="Times New Roman" w:cs="Calibri"/>
                <w:bCs/>
                <w:noProof/>
                <w:color w:val="000000"/>
                <w:szCs w:val="20"/>
                <w:highlight w:val="black"/>
              </w:rPr>
              <w:t>''''''''''''''''</w:t>
            </w:r>
          </w:p>
        </w:tc>
      </w:tr>
      <w:tr w:rsidR="009263E6" w:rsidRPr="006D767C" w:rsidTr="00AC57B1">
        <w:tc>
          <w:tcPr>
            <w:tcW w:w="1118" w:type="pct"/>
            <w:shd w:val="clear" w:color="auto" w:fill="auto"/>
            <w:vAlign w:val="center"/>
          </w:tcPr>
          <w:p w:rsidR="009263E6" w:rsidRPr="006D767C" w:rsidRDefault="009263E6" w:rsidP="00E744A3">
            <w:pPr>
              <w:pStyle w:val="TableText"/>
              <w:jc w:val="left"/>
            </w:pPr>
            <w:r w:rsidRPr="006D767C">
              <w:t xml:space="preserve">Nivolumab: </w:t>
            </w:r>
            <w:r w:rsidR="00E744A3" w:rsidRPr="006D767C">
              <w:t>n</w:t>
            </w:r>
            <w:r w:rsidRPr="006D767C">
              <w:t>umber of scripts dispensed</w:t>
            </w:r>
            <w:r w:rsidRPr="006D767C">
              <w:rPr>
                <w:vertAlign w:val="superscript"/>
              </w:rPr>
              <w:t>b</w:t>
            </w:r>
          </w:p>
        </w:tc>
        <w:tc>
          <w:tcPr>
            <w:tcW w:w="647" w:type="pct"/>
            <w:shd w:val="clear" w:color="auto" w:fill="auto"/>
          </w:tcPr>
          <w:p w:rsidR="009263E6" w:rsidRPr="002041B0" w:rsidRDefault="002041B0" w:rsidP="00181023">
            <w:pPr>
              <w:pStyle w:val="TableText"/>
              <w:jc w:val="center"/>
              <w:rPr>
                <w:rFonts w:eastAsia="Times New Roman" w:cs="Calibri"/>
                <w:bCs/>
                <w:szCs w:val="2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center"/>
              <w:rPr>
                <w:rFonts w:eastAsia="Times New Roman" w:cs="Calibri"/>
                <w:bCs/>
                <w:szCs w:val="2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center"/>
              <w:rPr>
                <w:rFonts w:eastAsia="Times New Roman" w:cs="Calibri"/>
                <w:bCs/>
                <w:szCs w:val="2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center"/>
              <w:rPr>
                <w:rFonts w:eastAsia="Times New Roman" w:cs="Calibri"/>
                <w:bCs/>
                <w:szCs w:val="2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center"/>
              <w:rPr>
                <w:rFonts w:eastAsia="Times New Roman" w:cs="Calibri"/>
                <w:bCs/>
                <w:szCs w:val="20"/>
                <w:highlight w:val="black"/>
              </w:rPr>
            </w:pPr>
            <w:r>
              <w:rPr>
                <w:noProof/>
                <w:color w:val="000000"/>
                <w:szCs w:val="20"/>
                <w:highlight w:val="black"/>
              </w:rPr>
              <w:t>''''''''''''''''</w:t>
            </w:r>
          </w:p>
        </w:tc>
        <w:tc>
          <w:tcPr>
            <w:tcW w:w="647" w:type="pct"/>
          </w:tcPr>
          <w:p w:rsidR="009263E6" w:rsidRPr="002041B0" w:rsidRDefault="002041B0" w:rsidP="00181023">
            <w:pPr>
              <w:pStyle w:val="TableText"/>
              <w:jc w:val="center"/>
              <w:rPr>
                <w:rFonts w:eastAsia="Times New Roman" w:cs="Calibri"/>
                <w:bCs/>
                <w:szCs w:val="20"/>
                <w:highlight w:val="black"/>
              </w:rPr>
            </w:pPr>
            <w:r>
              <w:rPr>
                <w:noProof/>
                <w:color w:val="000000"/>
                <w:szCs w:val="20"/>
                <w:highlight w:val="black"/>
              </w:rPr>
              <w:t>''''''''''''''''''</w:t>
            </w:r>
          </w:p>
        </w:tc>
      </w:tr>
      <w:tr w:rsidR="00E37424" w:rsidRPr="006D767C" w:rsidTr="00AC57B1">
        <w:tc>
          <w:tcPr>
            <w:tcW w:w="5000" w:type="pct"/>
            <w:gridSpan w:val="7"/>
            <w:shd w:val="clear" w:color="auto" w:fill="auto"/>
            <w:vAlign w:val="center"/>
          </w:tcPr>
          <w:p w:rsidR="00E37424" w:rsidRPr="006D767C" w:rsidRDefault="00E37424" w:rsidP="009263E6">
            <w:pPr>
              <w:pStyle w:val="TableText"/>
              <w:rPr>
                <w:b/>
                <w:bCs/>
                <w:color w:val="000000"/>
              </w:rPr>
            </w:pPr>
            <w:r w:rsidRPr="006D767C">
              <w:rPr>
                <w:b/>
                <w:bCs/>
                <w:color w:val="000000"/>
              </w:rPr>
              <w:t xml:space="preserve">Estimated </w:t>
            </w:r>
            <w:r w:rsidR="00607758" w:rsidRPr="006D767C">
              <w:rPr>
                <w:b/>
                <w:bCs/>
                <w:color w:val="000000"/>
              </w:rPr>
              <w:t xml:space="preserve">financial implications of </w:t>
            </w:r>
            <w:r w:rsidR="009263E6" w:rsidRPr="006D767C">
              <w:rPr>
                <w:b/>
                <w:bCs/>
                <w:color w:val="000000"/>
              </w:rPr>
              <w:t>atezolizumab</w:t>
            </w:r>
          </w:p>
        </w:tc>
      </w:tr>
      <w:tr w:rsidR="009263E6" w:rsidRPr="006D767C" w:rsidTr="00AC57B1">
        <w:tc>
          <w:tcPr>
            <w:tcW w:w="1118" w:type="pct"/>
            <w:shd w:val="clear" w:color="auto" w:fill="auto"/>
            <w:vAlign w:val="center"/>
          </w:tcPr>
          <w:p w:rsidR="009263E6" w:rsidRPr="006D767C" w:rsidRDefault="009263E6" w:rsidP="00E744A3">
            <w:pPr>
              <w:pStyle w:val="TableText"/>
              <w:jc w:val="left"/>
              <w:rPr>
                <w:rFonts w:ascii="Times" w:eastAsia="Times New Roman" w:hAnsi="Times" w:cs="Times New Roman"/>
              </w:rPr>
            </w:pPr>
            <w:r w:rsidRPr="006D767C">
              <w:rPr>
                <w:sz w:val="19"/>
                <w:szCs w:val="19"/>
              </w:rPr>
              <w:t>Cost to PBS/RPBS</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r>
      <w:tr w:rsidR="009263E6" w:rsidRPr="006D767C" w:rsidTr="00AC57B1">
        <w:tc>
          <w:tcPr>
            <w:tcW w:w="1118" w:type="pct"/>
            <w:shd w:val="clear" w:color="auto" w:fill="auto"/>
            <w:vAlign w:val="center"/>
          </w:tcPr>
          <w:p w:rsidR="009263E6" w:rsidRPr="006D767C" w:rsidRDefault="009263E6" w:rsidP="00E744A3">
            <w:pPr>
              <w:pStyle w:val="TableText"/>
              <w:jc w:val="left"/>
              <w:rPr>
                <w:sz w:val="19"/>
                <w:szCs w:val="19"/>
              </w:rPr>
            </w:pPr>
            <w:r w:rsidRPr="006D767C">
              <w:rPr>
                <w:sz w:val="19"/>
                <w:szCs w:val="19"/>
              </w:rPr>
              <w:t>Copayments</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r>
      <w:tr w:rsidR="009263E6" w:rsidRPr="006D767C" w:rsidTr="00AC57B1">
        <w:tc>
          <w:tcPr>
            <w:tcW w:w="1118" w:type="pct"/>
            <w:shd w:val="clear" w:color="auto" w:fill="auto"/>
            <w:vAlign w:val="center"/>
          </w:tcPr>
          <w:p w:rsidR="009263E6" w:rsidRPr="006D767C" w:rsidRDefault="009263E6" w:rsidP="00E744A3">
            <w:pPr>
              <w:pStyle w:val="TableText"/>
              <w:jc w:val="left"/>
              <w:rPr>
                <w:sz w:val="19"/>
                <w:szCs w:val="19"/>
              </w:rPr>
            </w:pPr>
            <w:r w:rsidRPr="006D767C">
              <w:rPr>
                <w:sz w:val="19"/>
                <w:szCs w:val="19"/>
              </w:rPr>
              <w:t>Cost to PBS/RPBS less copayments</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c>
          <w:tcPr>
            <w:tcW w:w="647" w:type="pct"/>
            <w:vAlign w:val="center"/>
          </w:tcPr>
          <w:p w:rsidR="009263E6" w:rsidRPr="002041B0" w:rsidRDefault="002041B0" w:rsidP="00181023">
            <w:pPr>
              <w:pStyle w:val="TableText"/>
              <w:jc w:val="right"/>
              <w:rPr>
                <w:bCs/>
                <w:color w:val="000000"/>
                <w:highlight w:val="black"/>
              </w:rPr>
            </w:pPr>
            <w:r>
              <w:rPr>
                <w:rFonts w:eastAsia="Times New Roman" w:cs="Calibri"/>
                <w:bCs/>
                <w:noProof/>
                <w:color w:val="000000"/>
                <w:szCs w:val="20"/>
                <w:highlight w:val="black"/>
              </w:rPr>
              <w:t xml:space="preserve">''''''''''''''''''''''''''''''''''' </w:t>
            </w:r>
          </w:p>
        </w:tc>
      </w:tr>
      <w:tr w:rsidR="00607758" w:rsidRPr="006D767C" w:rsidTr="00AC57B1">
        <w:tc>
          <w:tcPr>
            <w:tcW w:w="5000" w:type="pct"/>
            <w:gridSpan w:val="7"/>
            <w:shd w:val="clear" w:color="auto" w:fill="auto"/>
            <w:vAlign w:val="center"/>
          </w:tcPr>
          <w:p w:rsidR="00607758" w:rsidRPr="006D767C" w:rsidRDefault="00607758" w:rsidP="009263E6">
            <w:pPr>
              <w:pStyle w:val="TableText"/>
              <w:rPr>
                <w:bCs/>
                <w:color w:val="000000"/>
              </w:rPr>
            </w:pPr>
            <w:r w:rsidRPr="006D767C">
              <w:rPr>
                <w:b/>
                <w:bCs/>
                <w:color w:val="000000"/>
              </w:rPr>
              <w:t xml:space="preserve">Estimated </w:t>
            </w:r>
            <w:r w:rsidR="009263E6" w:rsidRPr="006D767C">
              <w:rPr>
                <w:b/>
                <w:bCs/>
                <w:color w:val="000000"/>
              </w:rPr>
              <w:t>financial implications for nivolumab (reduction in use)</w:t>
            </w:r>
          </w:p>
        </w:tc>
      </w:tr>
      <w:tr w:rsidR="009263E6" w:rsidRPr="006D767C" w:rsidTr="00AC57B1">
        <w:tc>
          <w:tcPr>
            <w:tcW w:w="1118" w:type="pct"/>
            <w:shd w:val="clear" w:color="auto" w:fill="auto"/>
            <w:vAlign w:val="center"/>
          </w:tcPr>
          <w:p w:rsidR="009263E6" w:rsidRPr="006D767C" w:rsidRDefault="009263E6" w:rsidP="00E744A3">
            <w:pPr>
              <w:pStyle w:val="TableText"/>
              <w:jc w:val="left"/>
              <w:rPr>
                <w:sz w:val="19"/>
                <w:szCs w:val="19"/>
              </w:rPr>
            </w:pPr>
            <w:r w:rsidRPr="006D767C">
              <w:rPr>
                <w:sz w:val="19"/>
                <w:szCs w:val="19"/>
              </w:rPr>
              <w:t>Cost to PBS/RPBS</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tcPr>
          <w:p w:rsidR="009263E6" w:rsidRPr="002041B0" w:rsidRDefault="002041B0" w:rsidP="00181023">
            <w:pPr>
              <w:pStyle w:val="TableText"/>
              <w:jc w:val="right"/>
              <w:rPr>
                <w:bCs/>
                <w:color w:val="000000"/>
                <w:highlight w:val="black"/>
              </w:rPr>
            </w:pPr>
            <w:r>
              <w:rPr>
                <w:noProof/>
                <w:color w:val="000000"/>
                <w:szCs w:val="20"/>
                <w:highlight w:val="black"/>
              </w:rPr>
              <w:t>''''''''''''''''''''''''''''''''</w:t>
            </w:r>
          </w:p>
        </w:tc>
      </w:tr>
      <w:tr w:rsidR="009263E6" w:rsidRPr="006D767C" w:rsidTr="00AC57B1">
        <w:tc>
          <w:tcPr>
            <w:tcW w:w="1118" w:type="pct"/>
            <w:shd w:val="clear" w:color="auto" w:fill="auto"/>
            <w:vAlign w:val="center"/>
          </w:tcPr>
          <w:p w:rsidR="009263E6" w:rsidRPr="006D767C" w:rsidRDefault="009263E6" w:rsidP="00E744A3">
            <w:pPr>
              <w:pStyle w:val="TableText"/>
              <w:jc w:val="left"/>
              <w:rPr>
                <w:sz w:val="19"/>
                <w:szCs w:val="19"/>
              </w:rPr>
            </w:pPr>
            <w:r w:rsidRPr="006D767C">
              <w:rPr>
                <w:sz w:val="19"/>
                <w:szCs w:val="19"/>
              </w:rPr>
              <w:t>Copayments</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tcPr>
          <w:p w:rsidR="009263E6" w:rsidRPr="002041B0" w:rsidRDefault="002041B0" w:rsidP="00181023">
            <w:pPr>
              <w:pStyle w:val="TableText"/>
              <w:jc w:val="right"/>
              <w:rPr>
                <w:bCs/>
                <w:color w:val="000000"/>
                <w:highlight w:val="black"/>
              </w:rPr>
            </w:pPr>
            <w:r>
              <w:rPr>
                <w:noProof/>
                <w:color w:val="000000"/>
                <w:szCs w:val="20"/>
                <w:highlight w:val="black"/>
              </w:rPr>
              <w:t>''''''''''''''''''''''''</w:t>
            </w:r>
          </w:p>
        </w:tc>
      </w:tr>
      <w:tr w:rsidR="009263E6" w:rsidRPr="006D767C" w:rsidTr="00AC57B1">
        <w:tc>
          <w:tcPr>
            <w:tcW w:w="1118" w:type="pct"/>
            <w:shd w:val="clear" w:color="auto" w:fill="auto"/>
            <w:vAlign w:val="center"/>
          </w:tcPr>
          <w:p w:rsidR="009263E6" w:rsidRPr="006D767C" w:rsidRDefault="009263E6" w:rsidP="00E744A3">
            <w:pPr>
              <w:pStyle w:val="TableText"/>
              <w:jc w:val="left"/>
              <w:rPr>
                <w:sz w:val="19"/>
                <w:szCs w:val="19"/>
              </w:rPr>
            </w:pPr>
            <w:r w:rsidRPr="006D767C">
              <w:rPr>
                <w:sz w:val="19"/>
                <w:szCs w:val="19"/>
              </w:rPr>
              <w:t>Cos saving</w:t>
            </w:r>
            <w:r w:rsidR="00181023" w:rsidRPr="006D767C">
              <w:rPr>
                <w:sz w:val="19"/>
                <w:szCs w:val="19"/>
              </w:rPr>
              <w:t>s</w:t>
            </w:r>
            <w:r w:rsidRPr="006D767C">
              <w:rPr>
                <w:sz w:val="19"/>
                <w:szCs w:val="19"/>
              </w:rPr>
              <w:t xml:space="preserve"> to PBS/RPBS less copayments</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shd w:val="clear" w:color="auto" w:fill="auto"/>
            <w:vAlign w:val="center"/>
          </w:tcPr>
          <w:p w:rsidR="009263E6" w:rsidRPr="002041B0" w:rsidRDefault="002041B0" w:rsidP="00181023">
            <w:pPr>
              <w:pStyle w:val="TableText"/>
              <w:jc w:val="right"/>
              <w:rPr>
                <w:bCs/>
                <w:color w:val="000000"/>
                <w:highlight w:val="black"/>
              </w:rPr>
            </w:pPr>
            <w:r>
              <w:rPr>
                <w:noProof/>
                <w:color w:val="000000"/>
                <w:szCs w:val="20"/>
                <w:highlight w:val="black"/>
              </w:rPr>
              <w:t>'''''''''''''''''''''''''''''''''''</w:t>
            </w:r>
          </w:p>
        </w:tc>
        <w:tc>
          <w:tcPr>
            <w:tcW w:w="647" w:type="pct"/>
            <w:vAlign w:val="center"/>
          </w:tcPr>
          <w:p w:rsidR="009263E6" w:rsidRPr="002041B0" w:rsidRDefault="002041B0" w:rsidP="00181023">
            <w:pPr>
              <w:pStyle w:val="TableText"/>
              <w:jc w:val="right"/>
              <w:rPr>
                <w:bCs/>
                <w:color w:val="000000"/>
                <w:highlight w:val="black"/>
              </w:rPr>
            </w:pPr>
            <w:r>
              <w:rPr>
                <w:noProof/>
                <w:color w:val="000000"/>
                <w:szCs w:val="20"/>
                <w:highlight w:val="black"/>
              </w:rPr>
              <w:t>''''''''''''''''''''''''''''''</w:t>
            </w:r>
          </w:p>
        </w:tc>
      </w:tr>
      <w:tr w:rsidR="00607758" w:rsidRPr="006D767C" w:rsidTr="00AC57B1">
        <w:tc>
          <w:tcPr>
            <w:tcW w:w="5000" w:type="pct"/>
            <w:gridSpan w:val="7"/>
            <w:shd w:val="clear" w:color="auto" w:fill="auto"/>
            <w:vAlign w:val="center"/>
          </w:tcPr>
          <w:p w:rsidR="00607758" w:rsidRPr="006D767C" w:rsidRDefault="00FC22AB" w:rsidP="009263E6">
            <w:pPr>
              <w:pStyle w:val="TableText"/>
              <w:rPr>
                <w:b/>
                <w:bCs/>
                <w:color w:val="000000"/>
              </w:rPr>
            </w:pPr>
            <w:r w:rsidRPr="006D767C">
              <w:rPr>
                <w:b/>
                <w:bCs/>
                <w:color w:val="000000"/>
              </w:rPr>
              <w:t>Net financial implications</w:t>
            </w:r>
            <w:r w:rsidR="009263E6" w:rsidRPr="006D767C">
              <w:rPr>
                <w:b/>
                <w:bCs/>
                <w:color w:val="4472C4" w:themeColor="accent5"/>
              </w:rPr>
              <w:t xml:space="preserve"> </w:t>
            </w:r>
          </w:p>
        </w:tc>
      </w:tr>
      <w:tr w:rsidR="009263E6" w:rsidRPr="006D767C" w:rsidTr="00AC57B1">
        <w:tc>
          <w:tcPr>
            <w:tcW w:w="1118" w:type="pct"/>
            <w:shd w:val="clear" w:color="auto" w:fill="auto"/>
            <w:vAlign w:val="center"/>
          </w:tcPr>
          <w:p w:rsidR="009263E6" w:rsidRPr="006D767C" w:rsidRDefault="009263E6" w:rsidP="00E744A3">
            <w:pPr>
              <w:pStyle w:val="TableText"/>
              <w:jc w:val="left"/>
              <w:rPr>
                <w:sz w:val="19"/>
                <w:szCs w:val="19"/>
              </w:rPr>
            </w:pPr>
            <w:r w:rsidRPr="006D767C">
              <w:rPr>
                <w:sz w:val="19"/>
                <w:szCs w:val="19"/>
              </w:rPr>
              <w:t>Net cost to PBS/RPBS</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tcPr>
          <w:p w:rsidR="009263E6" w:rsidRPr="002041B0" w:rsidRDefault="002041B0" w:rsidP="00181023">
            <w:pPr>
              <w:pStyle w:val="TableText"/>
              <w:jc w:val="right"/>
              <w:rPr>
                <w:bCs/>
                <w:color w:val="000000"/>
                <w:highlight w:val="black"/>
              </w:rPr>
            </w:pPr>
            <w:r>
              <w:rPr>
                <w:bCs/>
                <w:noProof/>
                <w:color w:val="000000"/>
                <w:highlight w:val="black"/>
              </w:rPr>
              <w:t>'''''''''''''''''''''''</w:t>
            </w:r>
          </w:p>
        </w:tc>
      </w:tr>
      <w:tr w:rsidR="009263E6" w:rsidRPr="006D767C" w:rsidTr="00AC57B1">
        <w:tc>
          <w:tcPr>
            <w:tcW w:w="1118" w:type="pct"/>
            <w:shd w:val="clear" w:color="auto" w:fill="auto"/>
          </w:tcPr>
          <w:p w:rsidR="009263E6" w:rsidRPr="006D767C" w:rsidRDefault="009263E6" w:rsidP="00E744A3">
            <w:pPr>
              <w:pStyle w:val="TableText"/>
              <w:jc w:val="left"/>
              <w:rPr>
                <w:rFonts w:ascii="Times" w:eastAsia="Times New Roman" w:hAnsi="Times" w:cs="Times New Roman"/>
              </w:rPr>
            </w:pPr>
            <w:r w:rsidRPr="006D767C">
              <w:rPr>
                <w:bCs/>
              </w:rPr>
              <w:t>Net cost to MBS</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tcPr>
          <w:p w:rsidR="009263E6" w:rsidRPr="002041B0" w:rsidRDefault="002041B0" w:rsidP="00181023">
            <w:pPr>
              <w:pStyle w:val="TableText"/>
              <w:jc w:val="right"/>
              <w:rPr>
                <w:bCs/>
                <w:color w:val="000000"/>
                <w:highlight w:val="black"/>
              </w:rPr>
            </w:pPr>
            <w:r>
              <w:rPr>
                <w:bCs/>
                <w:noProof/>
                <w:color w:val="000000"/>
                <w:highlight w:val="black"/>
              </w:rPr>
              <w:t>''''''''''''''''''''''''''</w:t>
            </w:r>
          </w:p>
        </w:tc>
      </w:tr>
      <w:tr w:rsidR="009263E6" w:rsidRPr="006D767C" w:rsidTr="00AC57B1">
        <w:tc>
          <w:tcPr>
            <w:tcW w:w="1118" w:type="pct"/>
            <w:shd w:val="clear" w:color="auto" w:fill="auto"/>
          </w:tcPr>
          <w:p w:rsidR="009263E6" w:rsidRPr="006D767C" w:rsidRDefault="00897BE8" w:rsidP="00E744A3">
            <w:pPr>
              <w:pStyle w:val="TableText"/>
              <w:jc w:val="left"/>
              <w:rPr>
                <w:sz w:val="19"/>
                <w:szCs w:val="19"/>
              </w:rPr>
            </w:pPr>
            <w:r w:rsidRPr="006D767C">
              <w:rPr>
                <w:bCs/>
              </w:rPr>
              <w:t xml:space="preserve">Net cost to other </w:t>
            </w:r>
            <w:r w:rsidR="00E744A3" w:rsidRPr="006D767C">
              <w:rPr>
                <w:bCs/>
              </w:rPr>
              <w:t>g</w:t>
            </w:r>
            <w:r w:rsidRPr="006D767C">
              <w:rPr>
                <w:bCs/>
              </w:rPr>
              <w:t>ov</w:t>
            </w:r>
            <w:r w:rsidR="00E744A3" w:rsidRPr="006D767C">
              <w:rPr>
                <w:bCs/>
              </w:rPr>
              <w:t>’t</w:t>
            </w:r>
            <w:r w:rsidR="009263E6" w:rsidRPr="006D767C">
              <w:rPr>
                <w:bCs/>
              </w:rPr>
              <w:t xml:space="preserve"> </w:t>
            </w:r>
            <w:r w:rsidR="00E744A3" w:rsidRPr="006D767C">
              <w:rPr>
                <w:bCs/>
              </w:rPr>
              <w:t>h</w:t>
            </w:r>
            <w:r w:rsidR="009263E6" w:rsidRPr="006D767C">
              <w:rPr>
                <w:bCs/>
              </w:rPr>
              <w:t xml:space="preserve">ealth </w:t>
            </w:r>
            <w:r w:rsidR="00E744A3" w:rsidRPr="006D767C">
              <w:rPr>
                <w:bCs/>
              </w:rPr>
              <w:t>b</w:t>
            </w:r>
            <w:r w:rsidR="009263E6" w:rsidRPr="006D767C">
              <w:rPr>
                <w:bCs/>
              </w:rPr>
              <w:t>udgets (TGA-licensed compounders fee)</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tcPr>
          <w:p w:rsidR="009263E6" w:rsidRPr="002041B0" w:rsidRDefault="002041B0" w:rsidP="00181023">
            <w:pPr>
              <w:pStyle w:val="TableText"/>
              <w:jc w:val="right"/>
              <w:rPr>
                <w:bCs/>
                <w:color w:val="000000"/>
                <w:highlight w:val="black"/>
              </w:rPr>
            </w:pPr>
            <w:r>
              <w:rPr>
                <w:bCs/>
                <w:noProof/>
                <w:color w:val="000000"/>
                <w:highlight w:val="black"/>
              </w:rPr>
              <w:t>''''''''''''''''''''''</w:t>
            </w:r>
          </w:p>
        </w:tc>
      </w:tr>
      <w:tr w:rsidR="009263E6" w:rsidRPr="006D767C" w:rsidTr="00AC57B1">
        <w:tc>
          <w:tcPr>
            <w:tcW w:w="1118" w:type="pct"/>
            <w:shd w:val="clear" w:color="auto" w:fill="auto"/>
          </w:tcPr>
          <w:p w:rsidR="009263E6" w:rsidRPr="006D767C" w:rsidRDefault="009263E6" w:rsidP="00E744A3">
            <w:pPr>
              <w:pStyle w:val="TableText"/>
              <w:jc w:val="left"/>
              <w:rPr>
                <w:sz w:val="19"/>
                <w:szCs w:val="19"/>
              </w:rPr>
            </w:pPr>
            <w:r w:rsidRPr="006D767C">
              <w:rPr>
                <w:bCs/>
              </w:rPr>
              <w:t>Combined net cost to PBS/RPBS/MBS/</w:t>
            </w:r>
            <w:r w:rsidR="00E744A3" w:rsidRPr="006D767C">
              <w:rPr>
                <w:bCs/>
              </w:rPr>
              <w:t>o</w:t>
            </w:r>
            <w:r w:rsidRPr="006D767C">
              <w:rPr>
                <w:bCs/>
              </w:rPr>
              <w:t>ther</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shd w:val="clear" w:color="auto" w:fill="auto"/>
          </w:tcPr>
          <w:p w:rsidR="009263E6" w:rsidRPr="002041B0" w:rsidRDefault="002041B0" w:rsidP="00181023">
            <w:pPr>
              <w:pStyle w:val="TableText"/>
              <w:jc w:val="right"/>
              <w:rPr>
                <w:bCs/>
                <w:color w:val="000000"/>
                <w:highlight w:val="black"/>
              </w:rPr>
            </w:pPr>
            <w:r>
              <w:rPr>
                <w:bCs/>
                <w:noProof/>
                <w:color w:val="000000"/>
                <w:highlight w:val="black"/>
              </w:rPr>
              <w:t>'''''''''''''''''''''''''''''''</w:t>
            </w:r>
          </w:p>
        </w:tc>
        <w:tc>
          <w:tcPr>
            <w:tcW w:w="647" w:type="pct"/>
          </w:tcPr>
          <w:p w:rsidR="009263E6" w:rsidRPr="002041B0" w:rsidRDefault="002041B0" w:rsidP="00181023">
            <w:pPr>
              <w:pStyle w:val="TableText"/>
              <w:jc w:val="right"/>
              <w:rPr>
                <w:bCs/>
                <w:color w:val="000000"/>
                <w:highlight w:val="black"/>
              </w:rPr>
            </w:pPr>
            <w:r>
              <w:rPr>
                <w:bCs/>
                <w:noProof/>
                <w:color w:val="000000"/>
                <w:highlight w:val="black"/>
              </w:rPr>
              <w:t>'''''''''''''''''''''''''''''</w:t>
            </w:r>
          </w:p>
        </w:tc>
      </w:tr>
    </w:tbl>
    <w:p w:rsidR="00C317F3" w:rsidRPr="006D767C" w:rsidRDefault="00C317F3" w:rsidP="00772501">
      <w:pPr>
        <w:pStyle w:val="TableFooter"/>
      </w:pPr>
      <w:r w:rsidRPr="006D767C">
        <w:rPr>
          <w:vertAlign w:val="superscript"/>
        </w:rPr>
        <w:t>a</w:t>
      </w:r>
      <w:r w:rsidRPr="006D767C">
        <w:t xml:space="preserve"> Assuming </w:t>
      </w:r>
      <w:r w:rsidR="002041B0">
        <w:rPr>
          <w:noProof/>
          <w:color w:val="000000"/>
          <w:highlight w:val="black"/>
        </w:rPr>
        <w:t>'''''''''''''</w:t>
      </w:r>
      <w:r w:rsidR="009263E6" w:rsidRPr="006D767C">
        <w:t xml:space="preserve"> scripts per course as estimated by the submission, for an average treatment duration of </w:t>
      </w:r>
      <w:r w:rsidR="002041B0">
        <w:rPr>
          <w:noProof/>
          <w:color w:val="000000"/>
          <w:highlight w:val="black"/>
        </w:rPr>
        <w:t>'''''''</w:t>
      </w:r>
      <w:r w:rsidR="009263E6" w:rsidRPr="006D767C">
        <w:t xml:space="preserve"> months</w:t>
      </w:r>
      <w:r w:rsidR="00E55C7B" w:rsidRPr="006D767C">
        <w:t>.</w:t>
      </w:r>
    </w:p>
    <w:p w:rsidR="009263E6" w:rsidRPr="006D767C" w:rsidRDefault="00897BE8" w:rsidP="00772501">
      <w:pPr>
        <w:pStyle w:val="TableFooter"/>
      </w:pPr>
      <w:r w:rsidRPr="006D767C">
        <w:rPr>
          <w:vertAlign w:val="superscript"/>
        </w:rPr>
        <w:t>b</w:t>
      </w:r>
      <w:r w:rsidR="009263E6" w:rsidRPr="006D767C">
        <w:t xml:space="preserve"> Assuming </w:t>
      </w:r>
      <w:r w:rsidR="002041B0">
        <w:rPr>
          <w:noProof/>
          <w:color w:val="000000"/>
          <w:highlight w:val="black"/>
        </w:rPr>
        <w:t>''''''''''''''</w:t>
      </w:r>
      <w:r w:rsidR="009263E6" w:rsidRPr="006D767C">
        <w:t xml:space="preserve"> scrip</w:t>
      </w:r>
      <w:r w:rsidR="00C65BBE">
        <w:t>t</w:t>
      </w:r>
      <w:r w:rsidR="009263E6" w:rsidRPr="006D767C">
        <w:t xml:space="preserve">s per course as estimated by the submission for an average treatment duration of </w:t>
      </w:r>
      <w:r w:rsidR="002041B0">
        <w:rPr>
          <w:noProof/>
          <w:color w:val="000000"/>
          <w:highlight w:val="black"/>
        </w:rPr>
        <w:t>''''''''</w:t>
      </w:r>
      <w:r w:rsidR="009263E6" w:rsidRPr="006D767C">
        <w:t xml:space="preserve"> months</w:t>
      </w:r>
      <w:r w:rsidR="00E55C7B" w:rsidRPr="006D767C">
        <w:t>.</w:t>
      </w:r>
    </w:p>
    <w:p w:rsidR="00070622" w:rsidRPr="00513F15" w:rsidRDefault="00C317F3" w:rsidP="00513F15">
      <w:pPr>
        <w:pStyle w:val="TableFooter"/>
      </w:pPr>
      <w:r w:rsidRPr="006D767C">
        <w:t xml:space="preserve">Source: </w:t>
      </w:r>
      <w:r w:rsidR="00181023" w:rsidRPr="006D767C">
        <w:t>Compiled during the evaluation based on information provided in ‘Section 4 Workbook.xlsx’</w:t>
      </w:r>
      <w:r w:rsidR="00E55C7B" w:rsidRPr="006D767C">
        <w:t>.</w:t>
      </w:r>
    </w:p>
    <w:p w:rsidR="00070622" w:rsidRPr="00070622" w:rsidRDefault="00070622" w:rsidP="00070622">
      <w:pPr>
        <w:pStyle w:val="ListParagraph"/>
        <w:spacing w:before="0" w:after="120"/>
        <w:ind w:left="576"/>
      </w:pPr>
      <w:r w:rsidRPr="00070622">
        <w:rPr>
          <w:color w:val="000000" w:themeColor="text1"/>
        </w:rPr>
        <w:t xml:space="preserve">The redacted table shows that at year 5, the estimated number of patients was less than 10,000 per year and the net </w:t>
      </w:r>
      <w:r w:rsidR="0009232E">
        <w:rPr>
          <w:color w:val="000000" w:themeColor="text1"/>
        </w:rPr>
        <w:t>saving</w:t>
      </w:r>
      <w:r w:rsidRPr="00070622">
        <w:rPr>
          <w:color w:val="000000" w:themeColor="text1"/>
        </w:rPr>
        <w:t xml:space="preserve"> to </w:t>
      </w:r>
      <w:r w:rsidR="00042C0C">
        <w:rPr>
          <w:color w:val="000000" w:themeColor="text1"/>
        </w:rPr>
        <w:t>Government</w:t>
      </w:r>
      <w:r w:rsidRPr="00070622">
        <w:rPr>
          <w:color w:val="000000" w:themeColor="text1"/>
        </w:rPr>
        <w:t xml:space="preserve"> would be </w:t>
      </w:r>
      <w:r>
        <w:rPr>
          <w:color w:val="000000" w:themeColor="text1"/>
        </w:rPr>
        <w:t>less than $10</w:t>
      </w:r>
      <w:r w:rsidRPr="00070622">
        <w:rPr>
          <w:color w:val="000000" w:themeColor="text1"/>
        </w:rPr>
        <w:t xml:space="preserve"> million per year.</w:t>
      </w:r>
    </w:p>
    <w:p w:rsidR="005F0D8D" w:rsidRPr="006D767C" w:rsidRDefault="00181023" w:rsidP="002D73C8">
      <w:pPr>
        <w:pStyle w:val="ListParagraph"/>
        <w:numPr>
          <w:ilvl w:val="1"/>
          <w:numId w:val="1"/>
        </w:numPr>
        <w:spacing w:before="0" w:after="120"/>
        <w:rPr>
          <w:color w:val="000000" w:themeColor="text1"/>
        </w:rPr>
      </w:pPr>
      <w:r w:rsidRPr="006D767C">
        <w:rPr>
          <w:color w:val="000000" w:themeColor="text1"/>
        </w:rPr>
        <w:t xml:space="preserve">The approach used by the submission </w:t>
      </w:r>
      <w:r w:rsidR="00515A36" w:rsidRPr="006D767C">
        <w:rPr>
          <w:color w:val="000000" w:themeColor="text1"/>
        </w:rPr>
        <w:t xml:space="preserve">appeared to be </w:t>
      </w:r>
      <w:r w:rsidRPr="006D767C">
        <w:rPr>
          <w:color w:val="000000" w:themeColor="text1"/>
        </w:rPr>
        <w:t>reasonable. The financial estimat</w:t>
      </w:r>
      <w:r w:rsidR="00897BE8" w:rsidRPr="006D767C">
        <w:rPr>
          <w:color w:val="000000" w:themeColor="text1"/>
        </w:rPr>
        <w:t>e</w:t>
      </w:r>
      <w:r w:rsidRPr="006D767C">
        <w:rPr>
          <w:color w:val="000000" w:themeColor="text1"/>
        </w:rPr>
        <w:t xml:space="preserve">s </w:t>
      </w:r>
      <w:r w:rsidR="00515A36" w:rsidRPr="006D767C">
        <w:rPr>
          <w:color w:val="000000" w:themeColor="text1"/>
        </w:rPr>
        <w:t>we</w:t>
      </w:r>
      <w:r w:rsidRPr="006D767C">
        <w:rPr>
          <w:color w:val="000000" w:themeColor="text1"/>
        </w:rPr>
        <w:t>re most sensitive to the uptake rate, given the small cost saving associated with reduced treatment frequency (in terms of both dispensing fees and reduced administration costs)</w:t>
      </w:r>
      <w:r w:rsidR="00C64B0E" w:rsidRPr="006D767C">
        <w:rPr>
          <w:color w:val="000000" w:themeColor="text1"/>
        </w:rPr>
        <w:t>, which would be eliminated if the price of atezolizumab is adjusted for these differences as requested by the submission</w:t>
      </w:r>
      <w:r w:rsidRPr="006D767C">
        <w:rPr>
          <w:color w:val="000000" w:themeColor="text1"/>
        </w:rPr>
        <w:t>.</w:t>
      </w:r>
    </w:p>
    <w:p w:rsidR="005F0D8D" w:rsidRPr="006D767C" w:rsidRDefault="005F0D8D" w:rsidP="002D73C8">
      <w:pPr>
        <w:pStyle w:val="ListParagraph"/>
        <w:numPr>
          <w:ilvl w:val="1"/>
          <w:numId w:val="1"/>
        </w:numPr>
        <w:rPr>
          <w:color w:val="000000" w:themeColor="text1"/>
        </w:rPr>
      </w:pPr>
      <w:r w:rsidRPr="006D767C">
        <w:rPr>
          <w:color w:val="000000" w:themeColor="text1"/>
        </w:rPr>
        <w:t>The ESC considered that there</w:t>
      </w:r>
      <w:r w:rsidR="00177B01" w:rsidRPr="006D767C">
        <w:rPr>
          <w:color w:val="000000" w:themeColor="text1"/>
        </w:rPr>
        <w:t xml:space="preserve"> w</w:t>
      </w:r>
      <w:r w:rsidR="00C64B0E" w:rsidRPr="006D767C">
        <w:rPr>
          <w:color w:val="000000" w:themeColor="text1"/>
        </w:rPr>
        <w:t>ould be</w:t>
      </w:r>
      <w:r w:rsidR="00177B01" w:rsidRPr="006D767C">
        <w:rPr>
          <w:color w:val="000000" w:themeColor="text1"/>
        </w:rPr>
        <w:t xml:space="preserve"> a risk of leakage to patients with worse performance status than ECOG 0-1.</w:t>
      </w:r>
      <w:r w:rsidRPr="006D767C">
        <w:rPr>
          <w:color w:val="000000" w:themeColor="text1"/>
        </w:rPr>
        <w:t xml:space="preserve"> </w:t>
      </w:r>
      <w:r w:rsidR="00177B01" w:rsidRPr="006D767C">
        <w:rPr>
          <w:color w:val="000000" w:themeColor="text1"/>
        </w:rPr>
        <w:t>However, the ESC acknowledged that this risk applie</w:t>
      </w:r>
      <w:r w:rsidR="00C64B0E" w:rsidRPr="006D767C">
        <w:rPr>
          <w:color w:val="000000" w:themeColor="text1"/>
        </w:rPr>
        <w:t>d</w:t>
      </w:r>
      <w:r w:rsidR="00177B01" w:rsidRPr="006D767C">
        <w:rPr>
          <w:color w:val="000000" w:themeColor="text1"/>
        </w:rPr>
        <w:t xml:space="preserve"> to the current listing of nivolumab as well.</w:t>
      </w:r>
    </w:p>
    <w:p w:rsidR="00C317F3" w:rsidRPr="006D767C" w:rsidRDefault="00C317F3" w:rsidP="00772501">
      <w:pPr>
        <w:pStyle w:val="Heading2"/>
      </w:pPr>
      <w:bookmarkStart w:id="25" w:name="_Toc413139285"/>
      <w:bookmarkStart w:id="26" w:name="_Toc492917638"/>
      <w:r w:rsidRPr="006D767C">
        <w:t xml:space="preserve">Quality </w:t>
      </w:r>
      <w:r w:rsidR="00661286" w:rsidRPr="006D767C">
        <w:t>u</w:t>
      </w:r>
      <w:r w:rsidRPr="006D767C">
        <w:t xml:space="preserve">se of </w:t>
      </w:r>
      <w:r w:rsidR="00661286" w:rsidRPr="006D767C">
        <w:t>m</w:t>
      </w:r>
      <w:r w:rsidRPr="006D767C">
        <w:t>edicines</w:t>
      </w:r>
      <w:bookmarkEnd w:id="25"/>
      <w:bookmarkEnd w:id="26"/>
    </w:p>
    <w:p w:rsidR="00C317F3" w:rsidRPr="006D767C" w:rsidRDefault="001E7E6D" w:rsidP="002D73C8">
      <w:pPr>
        <w:pStyle w:val="ListParagraph"/>
        <w:numPr>
          <w:ilvl w:val="1"/>
          <w:numId w:val="1"/>
        </w:numPr>
        <w:spacing w:before="0" w:after="120"/>
        <w:rPr>
          <w:color w:val="000000" w:themeColor="text1"/>
        </w:rPr>
      </w:pPr>
      <w:r w:rsidRPr="006D767C">
        <w:rPr>
          <w:color w:val="000000" w:themeColor="text1"/>
        </w:rPr>
        <w:t xml:space="preserve">As recommended by the TGA, </w:t>
      </w:r>
      <w:r w:rsidR="009D6C72" w:rsidRPr="006D767C">
        <w:rPr>
          <w:color w:val="000000" w:themeColor="text1"/>
        </w:rPr>
        <w:t>the sponsor indicated its willingness</w:t>
      </w:r>
      <w:r w:rsidRPr="006D767C">
        <w:rPr>
          <w:color w:val="000000" w:themeColor="text1"/>
        </w:rPr>
        <w:t xml:space="preserve"> to perform additional activities to minimise the risk of immune-related adverse events and infusion-related reactions, through the provision of educational materials (including a Health Care Professional brochure and patient alert card). The objective of these materials will enable early reco</w:t>
      </w:r>
      <w:r w:rsidR="00C64B0E" w:rsidRPr="006D767C">
        <w:rPr>
          <w:color w:val="000000" w:themeColor="text1"/>
        </w:rPr>
        <w:t xml:space="preserve">gnition and prompt management. </w:t>
      </w:r>
      <w:r w:rsidRPr="006D767C">
        <w:rPr>
          <w:color w:val="000000" w:themeColor="text1"/>
        </w:rPr>
        <w:t xml:space="preserve">A similar implementation program applied to the registration </w:t>
      </w:r>
      <w:r w:rsidR="00897BE8" w:rsidRPr="006D767C">
        <w:rPr>
          <w:color w:val="000000" w:themeColor="text1"/>
        </w:rPr>
        <w:t>of</w:t>
      </w:r>
      <w:r w:rsidR="00C64B0E" w:rsidRPr="006D767C">
        <w:rPr>
          <w:color w:val="000000" w:themeColor="text1"/>
        </w:rPr>
        <w:t xml:space="preserve"> nivolumab.</w:t>
      </w:r>
    </w:p>
    <w:p w:rsidR="00C317F3" w:rsidRPr="006D767C" w:rsidRDefault="00C317F3" w:rsidP="00772501">
      <w:pPr>
        <w:pStyle w:val="Heading2"/>
      </w:pPr>
      <w:bookmarkStart w:id="27" w:name="_Toc413139286"/>
      <w:bookmarkStart w:id="28" w:name="_Toc492917639"/>
      <w:r w:rsidRPr="006D767C">
        <w:t xml:space="preserve">Financial </w:t>
      </w:r>
      <w:r w:rsidR="00661286" w:rsidRPr="006D767C">
        <w:t>m</w:t>
      </w:r>
      <w:r w:rsidRPr="006D767C">
        <w:t xml:space="preserve">anagement – </w:t>
      </w:r>
      <w:r w:rsidR="00661286" w:rsidRPr="006D767C">
        <w:t>r</w:t>
      </w:r>
      <w:r w:rsidRPr="006D767C">
        <w:t xml:space="preserve">isk </w:t>
      </w:r>
      <w:r w:rsidR="00661286" w:rsidRPr="006D767C">
        <w:t>s</w:t>
      </w:r>
      <w:r w:rsidRPr="006D767C">
        <w:t xml:space="preserve">haring </w:t>
      </w:r>
      <w:r w:rsidR="00661286" w:rsidRPr="006D767C">
        <w:t>a</w:t>
      </w:r>
      <w:r w:rsidRPr="006D767C">
        <w:t>rrangements</w:t>
      </w:r>
      <w:bookmarkEnd w:id="27"/>
      <w:bookmarkEnd w:id="28"/>
    </w:p>
    <w:p w:rsidR="001E7E6D" w:rsidRPr="006D767C" w:rsidRDefault="001E7E6D" w:rsidP="002D73C8">
      <w:pPr>
        <w:pStyle w:val="ListParagraph"/>
        <w:numPr>
          <w:ilvl w:val="1"/>
          <w:numId w:val="1"/>
        </w:numPr>
        <w:spacing w:before="0" w:after="120"/>
        <w:rPr>
          <w:color w:val="000000" w:themeColor="text1"/>
        </w:rPr>
      </w:pPr>
      <w:r w:rsidRPr="006D767C">
        <w:rPr>
          <w:color w:val="000000" w:themeColor="text1"/>
        </w:rPr>
        <w:t xml:space="preserve">The submission noted that from the PBAC outcomes statement for nivolumab that Risk Sharing Arrangements have been proposed to address uncertainties raised by PBAC in </w:t>
      </w:r>
      <w:r w:rsidR="00C64B0E" w:rsidRPr="006D767C">
        <w:rPr>
          <w:color w:val="000000" w:themeColor="text1"/>
        </w:rPr>
        <w:t>its</w:t>
      </w:r>
      <w:r w:rsidRPr="006D767C">
        <w:rPr>
          <w:color w:val="000000" w:themeColor="text1"/>
        </w:rPr>
        <w:t xml:space="preserve"> November 2016 deferral of nivolumab. The submission </w:t>
      </w:r>
      <w:r w:rsidR="00E64E52" w:rsidRPr="006D767C">
        <w:rPr>
          <w:color w:val="000000" w:themeColor="text1"/>
        </w:rPr>
        <w:t xml:space="preserve">claimed that the </w:t>
      </w:r>
      <w:r w:rsidR="00D11855" w:rsidRPr="006D767C">
        <w:rPr>
          <w:color w:val="000000" w:themeColor="text1"/>
        </w:rPr>
        <w:t xml:space="preserve">PBS listing </w:t>
      </w:r>
      <w:r w:rsidRPr="006D767C">
        <w:rPr>
          <w:color w:val="000000" w:themeColor="text1"/>
        </w:rPr>
        <w:t xml:space="preserve">of atezolizumab will </w:t>
      </w:r>
      <w:r w:rsidR="00E64E52" w:rsidRPr="006D767C">
        <w:rPr>
          <w:color w:val="000000" w:themeColor="text1"/>
        </w:rPr>
        <w:t xml:space="preserve">not </w:t>
      </w:r>
      <w:r w:rsidR="00D11855" w:rsidRPr="006D767C">
        <w:rPr>
          <w:color w:val="000000" w:themeColor="text1"/>
        </w:rPr>
        <w:t xml:space="preserve">result in </w:t>
      </w:r>
      <w:r w:rsidRPr="006D767C">
        <w:rPr>
          <w:color w:val="000000" w:themeColor="text1"/>
        </w:rPr>
        <w:t xml:space="preserve">additional uncertainty to Government </w:t>
      </w:r>
      <w:r w:rsidR="00D11855" w:rsidRPr="006D767C">
        <w:rPr>
          <w:color w:val="000000" w:themeColor="text1"/>
        </w:rPr>
        <w:t>h</w:t>
      </w:r>
      <w:r w:rsidRPr="006D767C">
        <w:rPr>
          <w:color w:val="000000" w:themeColor="text1"/>
        </w:rPr>
        <w:t>ealth budgets beyond that pertain</w:t>
      </w:r>
      <w:r w:rsidR="00E64E52" w:rsidRPr="006D767C">
        <w:rPr>
          <w:color w:val="000000" w:themeColor="text1"/>
        </w:rPr>
        <w:t>ing to</w:t>
      </w:r>
      <w:r w:rsidRPr="006D767C">
        <w:rPr>
          <w:color w:val="000000" w:themeColor="text1"/>
        </w:rPr>
        <w:t xml:space="preserve"> nivolumab</w:t>
      </w:r>
      <w:r w:rsidR="00E64E52" w:rsidRPr="006D767C">
        <w:rPr>
          <w:color w:val="000000" w:themeColor="text1"/>
        </w:rPr>
        <w:t>’s existing arrangement</w:t>
      </w:r>
      <w:r w:rsidRPr="006D767C">
        <w:rPr>
          <w:color w:val="000000" w:themeColor="text1"/>
        </w:rPr>
        <w:t>.</w:t>
      </w:r>
    </w:p>
    <w:p w:rsidR="00332E43" w:rsidRPr="006D767C" w:rsidRDefault="001E7E6D" w:rsidP="002D73C8">
      <w:pPr>
        <w:pStyle w:val="ListParagraph"/>
        <w:numPr>
          <w:ilvl w:val="1"/>
          <w:numId w:val="1"/>
        </w:numPr>
        <w:spacing w:before="0" w:after="120"/>
        <w:rPr>
          <w:color w:val="000000" w:themeColor="text1"/>
        </w:rPr>
      </w:pPr>
      <w:r w:rsidRPr="006D767C">
        <w:rPr>
          <w:color w:val="000000" w:themeColor="text1"/>
        </w:rPr>
        <w:t xml:space="preserve">Special </w:t>
      </w:r>
      <w:r w:rsidR="00C64B0E" w:rsidRPr="006D767C">
        <w:rPr>
          <w:color w:val="000000" w:themeColor="text1"/>
        </w:rPr>
        <w:t>P</w:t>
      </w:r>
      <w:r w:rsidRPr="006D767C">
        <w:rPr>
          <w:color w:val="000000" w:themeColor="text1"/>
        </w:rPr>
        <w:t xml:space="preserve">ricing </w:t>
      </w:r>
      <w:r w:rsidR="00C64B0E" w:rsidRPr="006D767C">
        <w:rPr>
          <w:color w:val="000000" w:themeColor="text1"/>
        </w:rPr>
        <w:t>A</w:t>
      </w:r>
      <w:r w:rsidRPr="006D767C">
        <w:rPr>
          <w:color w:val="000000" w:themeColor="text1"/>
        </w:rPr>
        <w:t xml:space="preserve">rrangements apply to the listing of nivolumab. The sponsor has </w:t>
      </w:r>
      <w:r w:rsidR="00F4584A" w:rsidRPr="006D767C">
        <w:rPr>
          <w:color w:val="000000" w:themeColor="text1"/>
        </w:rPr>
        <w:t xml:space="preserve">accepted that the effective price for </w:t>
      </w:r>
      <w:r w:rsidRPr="006D767C">
        <w:rPr>
          <w:color w:val="000000" w:themeColor="text1"/>
        </w:rPr>
        <w:t xml:space="preserve">atezolizumab </w:t>
      </w:r>
      <w:r w:rsidR="00C64B0E" w:rsidRPr="006D767C">
        <w:rPr>
          <w:color w:val="000000" w:themeColor="text1"/>
        </w:rPr>
        <w:t>w</w:t>
      </w:r>
      <w:r w:rsidR="00F4584A" w:rsidRPr="006D767C">
        <w:rPr>
          <w:color w:val="000000" w:themeColor="text1"/>
        </w:rPr>
        <w:t xml:space="preserve">ould therefore be based on </w:t>
      </w:r>
      <w:r w:rsidR="00C64B0E" w:rsidRPr="006D767C">
        <w:rPr>
          <w:color w:val="000000" w:themeColor="text1"/>
        </w:rPr>
        <w:t xml:space="preserve">the </w:t>
      </w:r>
      <w:r w:rsidRPr="006D767C">
        <w:rPr>
          <w:color w:val="000000" w:themeColor="text1"/>
        </w:rPr>
        <w:t>effective price for nivolumab.</w:t>
      </w:r>
    </w:p>
    <w:p w:rsidR="005E7260" w:rsidRPr="006D767C" w:rsidRDefault="005E7260" w:rsidP="00872E4B">
      <w:pPr>
        <w:pStyle w:val="ListParagraph"/>
        <w:rPr>
          <w:i/>
        </w:rPr>
      </w:pPr>
      <w:r w:rsidRPr="006D767C">
        <w:rPr>
          <w:i/>
        </w:rPr>
        <w:t>For more detail on PBAC’s view, see section 7 PBAC outcome.</w:t>
      </w:r>
    </w:p>
    <w:p w:rsidR="00415891" w:rsidRPr="006D767C" w:rsidRDefault="00415891" w:rsidP="001608E0">
      <w:pPr>
        <w:pStyle w:val="Heading1"/>
        <w:rPr>
          <w:rFonts w:cs="Arial"/>
          <w:b w:val="0"/>
          <w:bCs/>
          <w:snapToGrid w:val="0"/>
        </w:rPr>
      </w:pPr>
      <w:r w:rsidRPr="006D767C">
        <w:rPr>
          <w:rFonts w:cs="Arial"/>
          <w:bCs/>
          <w:snapToGrid w:val="0"/>
        </w:rPr>
        <w:t>PBAC Outcome</w:t>
      </w:r>
    </w:p>
    <w:p w:rsidR="00B9740F" w:rsidRPr="006D767C" w:rsidRDefault="00C70A2F" w:rsidP="002D73C8">
      <w:pPr>
        <w:numPr>
          <w:ilvl w:val="1"/>
          <w:numId w:val="1"/>
        </w:numPr>
        <w:spacing w:before="0" w:after="120"/>
      </w:pPr>
      <w:r w:rsidRPr="006D767C">
        <w:rPr>
          <w:rFonts w:cs="Arial"/>
          <w:bCs/>
          <w:snapToGrid w:val="0"/>
        </w:rPr>
        <w:t xml:space="preserve">The PBAC recommended </w:t>
      </w:r>
      <w:r w:rsidR="00A51FB6" w:rsidRPr="006D767C">
        <w:rPr>
          <w:rFonts w:cs="Arial"/>
          <w:bCs/>
          <w:snapToGrid w:val="0"/>
        </w:rPr>
        <w:t xml:space="preserve">the Section 100 (Efficient Funding of Chemotherapy - Public and Private Hospital) Authority Required </w:t>
      </w:r>
      <w:r w:rsidR="00794CC3" w:rsidRPr="006D767C">
        <w:rPr>
          <w:rFonts w:cs="Arial"/>
          <w:bCs/>
          <w:snapToGrid w:val="0"/>
        </w:rPr>
        <w:t xml:space="preserve">(STREAMLINED) </w:t>
      </w:r>
      <w:r w:rsidRPr="006D767C">
        <w:rPr>
          <w:rFonts w:cs="Arial"/>
          <w:bCs/>
          <w:snapToGrid w:val="0"/>
        </w:rPr>
        <w:t xml:space="preserve">listing of </w:t>
      </w:r>
      <w:r w:rsidRPr="006D767C">
        <w:t>atezolizumab</w:t>
      </w:r>
      <w:r w:rsidRPr="006D767C">
        <w:rPr>
          <w:rFonts w:cs="Arial"/>
          <w:bCs/>
          <w:snapToGrid w:val="0"/>
        </w:rPr>
        <w:t xml:space="preserve"> </w:t>
      </w:r>
      <w:r w:rsidRPr="006D767C">
        <w:t xml:space="preserve">for the treatment of locally advanced or metastatic non-small cell lung cancer (NSCLC) in patients who have disease progression on or after prior platinum based chemotherapy. </w:t>
      </w:r>
      <w:r w:rsidR="00A51FB6" w:rsidRPr="006D767C">
        <w:t>In making this recommendation, the PBAC considered that atezolizumab was non-inferior in eff</w:t>
      </w:r>
      <w:r w:rsidR="000D3F20" w:rsidRPr="006D767C">
        <w:t>ectiveness</w:t>
      </w:r>
      <w:r w:rsidR="00A51FB6" w:rsidRPr="006D767C">
        <w:t xml:space="preserve"> and safety </w:t>
      </w:r>
      <w:r w:rsidR="000D3F20" w:rsidRPr="006D767C">
        <w:t>compared with</w:t>
      </w:r>
      <w:r w:rsidR="00A51FB6" w:rsidRPr="006D767C">
        <w:t xml:space="preserve"> nivolumab, which is currently listed on the PBS for this </w:t>
      </w:r>
      <w:r w:rsidR="000D3F20" w:rsidRPr="006D767C">
        <w:t>population.</w:t>
      </w:r>
    </w:p>
    <w:p w:rsidR="00E76BBE" w:rsidRPr="006D767C" w:rsidRDefault="00E76BBE" w:rsidP="002D73C8">
      <w:pPr>
        <w:numPr>
          <w:ilvl w:val="1"/>
          <w:numId w:val="1"/>
        </w:numPr>
        <w:spacing w:before="0" w:after="120"/>
      </w:pPr>
      <w:r w:rsidRPr="006D767C">
        <w:t>The PBAC considered that the requested restriction was appropriate</w:t>
      </w:r>
      <w:r w:rsidR="000D3F20" w:rsidRPr="006D767C">
        <w:t xml:space="preserve"> as modified by the Secretariat</w:t>
      </w:r>
      <w:r w:rsidRPr="006D767C">
        <w:t xml:space="preserve">, and advised that </w:t>
      </w:r>
      <w:r w:rsidR="001477A7" w:rsidRPr="006D767C">
        <w:t xml:space="preserve">patients who received prior treatment with either a PD-1 </w:t>
      </w:r>
      <w:r w:rsidR="000D3F20" w:rsidRPr="006D767C">
        <w:t xml:space="preserve">inhibitor </w:t>
      </w:r>
      <w:r w:rsidR="001477A7" w:rsidRPr="006D767C">
        <w:t xml:space="preserve">or a PD-L1 inhibitor should be excluded from accessing initial treatment with atezolizumab via the PBS. </w:t>
      </w:r>
      <w:r w:rsidR="00AE1120" w:rsidRPr="006D767C">
        <w:t xml:space="preserve">The PBAC advised that a flow-on change to the nivolumab restriction was also warranted in order to exclude patients who have received treatment with either a PD-1 </w:t>
      </w:r>
      <w:r w:rsidR="00AD15AC" w:rsidRPr="006D767C">
        <w:t xml:space="preserve">inhibitor </w:t>
      </w:r>
      <w:r w:rsidR="00AE1120" w:rsidRPr="006D767C">
        <w:t xml:space="preserve">or </w:t>
      </w:r>
      <w:r w:rsidR="00AD15AC" w:rsidRPr="006D767C">
        <w:t xml:space="preserve">a </w:t>
      </w:r>
      <w:r w:rsidR="00AE1120" w:rsidRPr="006D767C">
        <w:t>PD-L1 inhibitor.</w:t>
      </w:r>
    </w:p>
    <w:p w:rsidR="00620C6F" w:rsidRPr="006D767C" w:rsidRDefault="00620C6F" w:rsidP="002D73C8">
      <w:pPr>
        <w:numPr>
          <w:ilvl w:val="1"/>
          <w:numId w:val="1"/>
        </w:numPr>
        <w:spacing w:before="0" w:after="120"/>
      </w:pPr>
      <w:r w:rsidRPr="006D767C">
        <w:t>The PBAC noted that nivolumab</w:t>
      </w:r>
      <w:r w:rsidR="00567C40" w:rsidRPr="006D767C">
        <w:t>, a PD-1 inhibitor,</w:t>
      </w:r>
      <w:r w:rsidRPr="006D767C">
        <w:t xml:space="preserve"> was the first immunotherapy listed on the PBS as second line therapy for advanced NSCLC following chemotherapy, regardless of PD</w:t>
      </w:r>
      <w:r w:rsidR="001477A7" w:rsidRPr="006D767C">
        <w:t>-</w:t>
      </w:r>
      <w:r w:rsidRPr="006D767C">
        <w:t xml:space="preserve">L1 expression. </w:t>
      </w:r>
      <w:r w:rsidR="00567C40" w:rsidRPr="006D767C">
        <w:t xml:space="preserve">The PBAC noted that although atezolizumab was a PD-L1 inhibitor, it was </w:t>
      </w:r>
      <w:r w:rsidR="00AD15AC" w:rsidRPr="006D767C">
        <w:t>similar</w:t>
      </w:r>
      <w:r w:rsidR="00567C40" w:rsidRPr="006D767C">
        <w:t xml:space="preserve"> in action to nivolumab, and therefore the submission’s proposed place in clinical therapy was appropriate. </w:t>
      </w:r>
      <w:r w:rsidR="006D1CBB" w:rsidRPr="006D767C">
        <w:t xml:space="preserve">Noting that the current listing of nivolumab is not conditional on PD-L1 </w:t>
      </w:r>
      <w:r w:rsidR="00AD15AC" w:rsidRPr="006D767C">
        <w:t xml:space="preserve">expression </w:t>
      </w:r>
      <w:r w:rsidR="006D1CBB" w:rsidRPr="006D767C">
        <w:t>status</w:t>
      </w:r>
      <w:r w:rsidR="00AD15AC" w:rsidRPr="006D767C">
        <w:t xml:space="preserve"> and the </w:t>
      </w:r>
      <w:r w:rsidR="00DA1768" w:rsidRPr="006D767C">
        <w:t>weakness of any signal for the effectiveness of atezolizumab to vary substantially by PD-L1 expression</w:t>
      </w:r>
      <w:r w:rsidR="006D1CBB" w:rsidRPr="006D767C">
        <w:t xml:space="preserve">, the PBAC advised that, at the present time, there was </w:t>
      </w:r>
      <w:r w:rsidR="00DA1768" w:rsidRPr="006D767C">
        <w:t xml:space="preserve">no basis to recommend </w:t>
      </w:r>
      <w:r w:rsidR="006D1CBB" w:rsidRPr="006D767C">
        <w:t xml:space="preserve">stratifying patients based on PD-L1 </w:t>
      </w:r>
      <w:r w:rsidR="00DA1768" w:rsidRPr="006D767C">
        <w:t xml:space="preserve">expression </w:t>
      </w:r>
      <w:r w:rsidR="006D1CBB" w:rsidRPr="006D767C">
        <w:t>status for atezolizumab.</w:t>
      </w:r>
    </w:p>
    <w:p w:rsidR="008F458D" w:rsidRPr="006D767C" w:rsidRDefault="00C70A2F" w:rsidP="002D73C8">
      <w:pPr>
        <w:numPr>
          <w:ilvl w:val="1"/>
          <w:numId w:val="1"/>
        </w:numPr>
        <w:spacing w:before="0" w:after="120"/>
      </w:pPr>
      <w:r w:rsidRPr="006D767C">
        <w:rPr>
          <w:rFonts w:cs="Arial"/>
          <w:bCs/>
          <w:snapToGrid w:val="0"/>
        </w:rPr>
        <w:t>The PBAC a</w:t>
      </w:r>
      <w:r w:rsidR="00A51FB6" w:rsidRPr="006D767C">
        <w:rPr>
          <w:rFonts w:cs="Arial"/>
          <w:bCs/>
          <w:snapToGrid w:val="0"/>
        </w:rPr>
        <w:t>dvised</w:t>
      </w:r>
      <w:r w:rsidRPr="006D767C">
        <w:rPr>
          <w:rFonts w:cs="Arial"/>
          <w:bCs/>
          <w:snapToGrid w:val="0"/>
        </w:rPr>
        <w:t xml:space="preserve"> that </w:t>
      </w:r>
      <w:r w:rsidRPr="006D767C">
        <w:rPr>
          <w:color w:val="000000" w:themeColor="text1"/>
        </w:rPr>
        <w:t>nivolumab was the appropriate comparator.</w:t>
      </w:r>
    </w:p>
    <w:p w:rsidR="00567C40" w:rsidRPr="006D767C" w:rsidRDefault="004E063F" w:rsidP="002D73C8">
      <w:pPr>
        <w:numPr>
          <w:ilvl w:val="1"/>
          <w:numId w:val="1"/>
        </w:numPr>
        <w:spacing w:before="0" w:after="120"/>
      </w:pPr>
      <w:r w:rsidRPr="006D767C">
        <w:t xml:space="preserve">The PBAC noted that the submission was based on an indirect comparison of four randomised controlled trials (OAK </w:t>
      </w:r>
      <w:r w:rsidR="00785090" w:rsidRPr="006D767C">
        <w:t>(n=</w:t>
      </w:r>
      <w:r w:rsidR="00785090" w:rsidRPr="00513F15">
        <w:t>850</w:t>
      </w:r>
      <w:r w:rsidR="00785090" w:rsidRPr="006D767C">
        <w:t xml:space="preserve">) </w:t>
      </w:r>
      <w:r w:rsidRPr="006D767C">
        <w:t xml:space="preserve">and POPLAR </w:t>
      </w:r>
      <w:r w:rsidR="00785090" w:rsidRPr="006D767C">
        <w:t>(n=</w:t>
      </w:r>
      <w:r w:rsidR="00785090" w:rsidRPr="00513F15">
        <w:t>287</w:t>
      </w:r>
      <w:r w:rsidR="00785090" w:rsidRPr="006D767C">
        <w:t xml:space="preserve">) </w:t>
      </w:r>
      <w:r w:rsidRPr="006D767C">
        <w:t xml:space="preserve">for atezolizumab, Checkmate 017 </w:t>
      </w:r>
      <w:r w:rsidR="00785090" w:rsidRPr="006D767C">
        <w:t>(n=</w:t>
      </w:r>
      <w:r w:rsidR="00785090" w:rsidRPr="00513F15">
        <w:t>272</w:t>
      </w:r>
      <w:r w:rsidR="00785090" w:rsidRPr="006D767C">
        <w:t xml:space="preserve">) </w:t>
      </w:r>
      <w:r w:rsidRPr="006D767C">
        <w:t xml:space="preserve">and Checkmate 057 </w:t>
      </w:r>
      <w:r w:rsidR="00785090" w:rsidRPr="006D767C">
        <w:t>(n=</w:t>
      </w:r>
      <w:r w:rsidR="00785090" w:rsidRPr="00513F15">
        <w:t>582</w:t>
      </w:r>
      <w:r w:rsidR="00785090" w:rsidRPr="006D767C">
        <w:t xml:space="preserve">) </w:t>
      </w:r>
      <w:r w:rsidRPr="006D767C">
        <w:t>for nivolumab)</w:t>
      </w:r>
      <w:r w:rsidR="006D1CBB" w:rsidRPr="006D767C">
        <w:t xml:space="preserve"> with PFS and OS as outcomes</w:t>
      </w:r>
      <w:r w:rsidRPr="006D767C">
        <w:t xml:space="preserve">, via a common reference arm </w:t>
      </w:r>
      <w:r w:rsidR="00DA1768" w:rsidRPr="006D767C">
        <w:t>involving</w:t>
      </w:r>
      <w:r w:rsidRPr="006D767C">
        <w:t xml:space="preserve"> docetaxel.</w:t>
      </w:r>
      <w:r w:rsidR="00B04C97" w:rsidRPr="006D767C">
        <w:t xml:space="preserve"> </w:t>
      </w:r>
      <w:r w:rsidR="00511EB1" w:rsidRPr="006D767C">
        <w:t xml:space="preserve">The PBAC considered that the OAK and POPLAR trials provided sufficient evidence of an overall survival gain for atezolizumab over docetaxel. </w:t>
      </w:r>
      <w:r w:rsidR="006D1CBB" w:rsidRPr="006D767C">
        <w:t xml:space="preserve">The PBAC noted that </w:t>
      </w:r>
      <w:r w:rsidR="00511EB1" w:rsidRPr="006D767C">
        <w:t xml:space="preserve">the submission </w:t>
      </w:r>
      <w:r w:rsidR="009E5B7A" w:rsidRPr="006D767C">
        <w:t xml:space="preserve">also </w:t>
      </w:r>
      <w:r w:rsidR="00511EB1" w:rsidRPr="006D767C">
        <w:t xml:space="preserve">presented </w:t>
      </w:r>
      <w:r w:rsidR="006D1CBB" w:rsidRPr="006D767C">
        <w:t xml:space="preserve">outcomes of subgroups </w:t>
      </w:r>
      <w:r w:rsidR="00511EB1" w:rsidRPr="006D767C">
        <w:t xml:space="preserve">of the OAK and POPLAR trials </w:t>
      </w:r>
      <w:r w:rsidR="006D1CBB" w:rsidRPr="006D767C">
        <w:t>stratified by squamous</w:t>
      </w:r>
      <w:r w:rsidR="00DA1768" w:rsidRPr="006D767C">
        <w:t xml:space="preserve"> and </w:t>
      </w:r>
      <w:r w:rsidR="006D1CBB" w:rsidRPr="006D767C">
        <w:t xml:space="preserve">non-squamous histologies and </w:t>
      </w:r>
      <w:r w:rsidR="00DA1768" w:rsidRPr="006D767C">
        <w:t xml:space="preserve">by </w:t>
      </w:r>
      <w:r w:rsidR="006D1CBB" w:rsidRPr="006D767C">
        <w:t xml:space="preserve">PD-L1 </w:t>
      </w:r>
      <w:r w:rsidR="00DA1768" w:rsidRPr="006D767C">
        <w:t xml:space="preserve">expression </w:t>
      </w:r>
      <w:r w:rsidR="006D1CBB" w:rsidRPr="006D767C">
        <w:t xml:space="preserve">status. </w:t>
      </w:r>
      <w:r w:rsidR="00DA1768" w:rsidRPr="006D767C">
        <w:t>T</w:t>
      </w:r>
      <w:r w:rsidR="00B04C97" w:rsidRPr="006D767C">
        <w:t>he PBAC considered that the</w:t>
      </w:r>
      <w:r w:rsidR="00DA1768" w:rsidRPr="006D767C">
        <w:t xml:space="preserve">se </w:t>
      </w:r>
      <w:r w:rsidR="005E21B1" w:rsidRPr="006D767C">
        <w:t>analyses did not provide a clear basis for limiting any PBS restriction for atezolizumab by histology or PD-L1 expression status</w:t>
      </w:r>
      <w:r w:rsidR="00B04C97" w:rsidRPr="006D767C">
        <w:t>.</w:t>
      </w:r>
      <w:r w:rsidR="00A13679" w:rsidRPr="006D767C">
        <w:t xml:space="preserve"> Notwithstanding </w:t>
      </w:r>
      <w:r w:rsidR="0096209B" w:rsidRPr="006D767C">
        <w:t xml:space="preserve">these </w:t>
      </w:r>
      <w:r w:rsidR="006E121D" w:rsidRPr="006D767C">
        <w:t xml:space="preserve">issues </w:t>
      </w:r>
      <w:r w:rsidR="0096209B" w:rsidRPr="006D767C">
        <w:t xml:space="preserve">and other </w:t>
      </w:r>
      <w:r w:rsidR="00A13679" w:rsidRPr="006D767C">
        <w:t>inherent limitations of indirect comparisons, the PBAC advised that the submission’s claim of non-inferior comparative effectiveness compared with nivolumab was reasonable.</w:t>
      </w:r>
    </w:p>
    <w:p w:rsidR="00A13679" w:rsidRPr="006D767C" w:rsidRDefault="00A13679" w:rsidP="002D73C8">
      <w:pPr>
        <w:numPr>
          <w:ilvl w:val="1"/>
          <w:numId w:val="1"/>
        </w:numPr>
        <w:spacing w:before="0" w:after="120"/>
      </w:pPr>
      <w:r w:rsidRPr="006D767C">
        <w:t xml:space="preserve">The PBAC considered that atezolizumab was superior in safety compared </w:t>
      </w:r>
      <w:r w:rsidR="006D767C">
        <w:t xml:space="preserve">to </w:t>
      </w:r>
      <w:r w:rsidRPr="006D767C">
        <w:t xml:space="preserve">docetaxel, and had a </w:t>
      </w:r>
      <w:r w:rsidR="005E21B1" w:rsidRPr="006D767C">
        <w:t>similar</w:t>
      </w:r>
      <w:r w:rsidRPr="006D767C">
        <w:t xml:space="preserve"> safety profile compared </w:t>
      </w:r>
      <w:r w:rsidR="006D767C">
        <w:t xml:space="preserve">to </w:t>
      </w:r>
      <w:r w:rsidRPr="006D767C">
        <w:t>nivolumab. Overall, the PBAC considered that the submission’s claim of non-inferior safety compared</w:t>
      </w:r>
      <w:r w:rsidR="005E21B1" w:rsidRPr="006D767C">
        <w:t xml:space="preserve"> </w:t>
      </w:r>
      <w:r w:rsidR="006D767C">
        <w:t xml:space="preserve">to </w:t>
      </w:r>
      <w:r w:rsidR="005E21B1" w:rsidRPr="006D767C">
        <w:t>nivolumab was reasonable.</w:t>
      </w:r>
    </w:p>
    <w:p w:rsidR="00256A3D" w:rsidRPr="006D767C" w:rsidRDefault="00256A3D" w:rsidP="002D73C8">
      <w:pPr>
        <w:numPr>
          <w:ilvl w:val="1"/>
          <w:numId w:val="1"/>
        </w:numPr>
        <w:spacing w:before="0" w:after="120"/>
      </w:pPr>
      <w:r w:rsidRPr="006D767C">
        <w:t xml:space="preserve">The PBAC considered that the </w:t>
      </w:r>
      <w:r w:rsidR="002C6CDF" w:rsidRPr="006D767C">
        <w:t xml:space="preserve">submission’s proposed </w:t>
      </w:r>
      <w:r w:rsidRPr="006D767C">
        <w:t xml:space="preserve">equi-effective doses of </w:t>
      </w:r>
      <w:r w:rsidR="005E21B1" w:rsidRPr="006D767C">
        <w:t>1200 </w:t>
      </w:r>
      <w:r w:rsidRPr="006D767C">
        <w:t>mg atezolizumab every 3 weeks and 360</w:t>
      </w:r>
      <w:r w:rsidR="005E21B1" w:rsidRPr="006D767C">
        <w:t> </w:t>
      </w:r>
      <w:r w:rsidRPr="006D767C">
        <w:t>mg nivolumab every 3 weeks</w:t>
      </w:r>
      <w:r w:rsidR="005E21B1" w:rsidRPr="006D767C">
        <w:t xml:space="preserve"> (i.e. calculated as 240 mg nivolumab administered every two weeks multiplied by 3/2</w:t>
      </w:r>
      <w:r w:rsidR="006903CB">
        <w:t>, with the 240 mg dose of nivolumab per infusion calculated based in the average weight of patients in the nivolumab studies rounded up to the most efficient selection of vial sizes being 2x100 mg vials plus 1x40 mg vial</w:t>
      </w:r>
      <w:r w:rsidR="005E21B1" w:rsidRPr="006D767C">
        <w:t>)</w:t>
      </w:r>
      <w:r w:rsidR="002C6CDF" w:rsidRPr="006D767C">
        <w:t xml:space="preserve"> had a</w:t>
      </w:r>
      <w:r w:rsidRPr="006D767C">
        <w:t xml:space="preserve"> reasonable</w:t>
      </w:r>
      <w:r w:rsidR="002C6CDF" w:rsidRPr="006D767C">
        <w:t xml:space="preserve"> basis</w:t>
      </w:r>
      <w:r w:rsidRPr="006D767C">
        <w:t xml:space="preserve">, noting that </w:t>
      </w:r>
      <w:r w:rsidR="00154BAB" w:rsidRPr="006D767C">
        <w:t xml:space="preserve">(i) </w:t>
      </w:r>
      <w:r w:rsidRPr="006D767C">
        <w:t>they were consistent with the doses in the respective clinical trials</w:t>
      </w:r>
      <w:r w:rsidR="00154BAB" w:rsidRPr="006D767C">
        <w:t xml:space="preserve"> of the two agents; and (ii) </w:t>
      </w:r>
      <w:r w:rsidR="00A57557" w:rsidRPr="006D767C">
        <w:t xml:space="preserve">identical </w:t>
      </w:r>
      <w:r w:rsidR="00154BAB" w:rsidRPr="006D767C">
        <w:t xml:space="preserve">durations of treatment were </w:t>
      </w:r>
      <w:r w:rsidR="00A57557" w:rsidRPr="006D767C">
        <w:t>assumed for atezolizumab and nivolumab</w:t>
      </w:r>
      <w:r w:rsidR="00154BAB" w:rsidRPr="006D767C">
        <w:t xml:space="preserve">. However, the PBAC </w:t>
      </w:r>
      <w:r w:rsidR="00913669">
        <w:t xml:space="preserve">also </w:t>
      </w:r>
      <w:r w:rsidR="00154BAB" w:rsidRPr="006D767C">
        <w:t xml:space="preserve">advised </w:t>
      </w:r>
      <w:r w:rsidR="00913669">
        <w:t>that the cost-minimisation approach would need to reflect the relevant pricing and risk-sharing arrangements applicable to the nivolumab listing in NSCLC</w:t>
      </w:r>
      <w:r w:rsidR="00410D22" w:rsidRPr="006D767C">
        <w:t>.</w:t>
      </w:r>
    </w:p>
    <w:p w:rsidR="00154BAB" w:rsidRPr="006D767C" w:rsidRDefault="00154BAB" w:rsidP="002D73C8">
      <w:pPr>
        <w:numPr>
          <w:ilvl w:val="1"/>
          <w:numId w:val="1"/>
        </w:numPr>
        <w:spacing w:before="0" w:after="120"/>
      </w:pPr>
      <w:r w:rsidRPr="006D767C">
        <w:t xml:space="preserve">The PBAC advised that the financial estimates </w:t>
      </w:r>
      <w:r w:rsidR="00072FCE" w:rsidRPr="006D767C">
        <w:t xml:space="preserve">presented in the submission </w:t>
      </w:r>
      <w:r w:rsidRPr="006D767C">
        <w:t xml:space="preserve">were </w:t>
      </w:r>
      <w:r w:rsidR="001B0706" w:rsidRPr="006D767C">
        <w:t>appropriate</w:t>
      </w:r>
      <w:r w:rsidR="004252E1" w:rsidRPr="006D767C">
        <w:t xml:space="preserve"> (after adjusting for the average dose rather than the maximum dose of nivolumab)</w:t>
      </w:r>
      <w:r w:rsidRPr="006D767C">
        <w:t>,</w:t>
      </w:r>
      <w:r w:rsidR="001B0706" w:rsidRPr="006D767C">
        <w:t xml:space="preserve"> but noted that </w:t>
      </w:r>
      <w:r w:rsidR="001B0706" w:rsidRPr="006D767C">
        <w:rPr>
          <w:color w:val="000000" w:themeColor="text1"/>
        </w:rPr>
        <w:t xml:space="preserve">the small cost saving associated with reduced treatment frequency (in terms of both dispensing fees and reduced administration costs), would be eliminated if the price of atezolizumab is adjusted for these differences as requested by the submission. As such, the PBAC </w:t>
      </w:r>
      <w:r w:rsidR="004252E1" w:rsidRPr="006D767C">
        <w:rPr>
          <w:color w:val="000000" w:themeColor="text1"/>
        </w:rPr>
        <w:t xml:space="preserve">also </w:t>
      </w:r>
      <w:r w:rsidR="001B0706" w:rsidRPr="006D767C">
        <w:rPr>
          <w:color w:val="000000" w:themeColor="text1"/>
        </w:rPr>
        <w:t>advised that atezolizumab should join the nivolumab risk-share agreement in order to ensure cost-neutrality to the Commonwealth.</w:t>
      </w:r>
    </w:p>
    <w:p w:rsidR="00DF05DB" w:rsidRPr="006D767C" w:rsidRDefault="00DF05DB" w:rsidP="002D73C8">
      <w:pPr>
        <w:pStyle w:val="ListParagraph"/>
        <w:numPr>
          <w:ilvl w:val="1"/>
          <w:numId w:val="1"/>
        </w:numPr>
        <w:rPr>
          <w:rFonts w:cs="Arial"/>
          <w:bCs/>
          <w:snapToGrid w:val="0"/>
        </w:rPr>
      </w:pPr>
      <w:r w:rsidRPr="006D767C">
        <w:rPr>
          <w:rFonts w:cs="Arial"/>
          <w:bCs/>
          <w:snapToGrid w:val="0"/>
        </w:rPr>
        <w:t>The PBAC advised that atezolizumab should be exempt from the Early Supply Rule.</w:t>
      </w:r>
    </w:p>
    <w:p w:rsidR="00DF05DB" w:rsidRPr="006D767C" w:rsidRDefault="00DF05DB" w:rsidP="002D73C8">
      <w:pPr>
        <w:pStyle w:val="ListParagraph"/>
        <w:numPr>
          <w:ilvl w:val="1"/>
          <w:numId w:val="1"/>
        </w:numPr>
        <w:rPr>
          <w:rFonts w:cs="Arial"/>
          <w:bCs/>
          <w:snapToGrid w:val="0"/>
        </w:rPr>
      </w:pPr>
      <w:r w:rsidRPr="006D767C">
        <w:rPr>
          <w:rFonts w:cs="Arial"/>
          <w:bCs/>
          <w:snapToGrid w:val="0"/>
        </w:rPr>
        <w:t>The PBAC advised that atezolizumab should not be prescribed by nurse practitioners as antineoplastic agents are currently out of scope for prescribing by nurse practitioners.</w:t>
      </w:r>
    </w:p>
    <w:p w:rsidR="00DF05DB" w:rsidRPr="006D767C" w:rsidRDefault="00DF05DB" w:rsidP="002D73C8">
      <w:pPr>
        <w:pStyle w:val="ListParagraph"/>
        <w:numPr>
          <w:ilvl w:val="1"/>
          <w:numId w:val="1"/>
        </w:numPr>
        <w:rPr>
          <w:rFonts w:cs="Arial"/>
          <w:bCs/>
          <w:snapToGrid w:val="0"/>
        </w:rPr>
      </w:pPr>
      <w:r w:rsidRPr="006D767C">
        <w:rPr>
          <w:rFonts w:cs="Arial"/>
          <w:bCs/>
          <w:snapToGrid w:val="0"/>
        </w:rPr>
        <w:t>The PBAC recommended that atezolizumab should not be treated as interchangeable on an individual patient basis with any other drugs.</w:t>
      </w:r>
    </w:p>
    <w:p w:rsidR="00F0337E" w:rsidRPr="006D767C" w:rsidRDefault="00F0337E" w:rsidP="002D73C8">
      <w:pPr>
        <w:pStyle w:val="ListParagraph"/>
        <w:numPr>
          <w:ilvl w:val="1"/>
          <w:numId w:val="1"/>
        </w:numPr>
        <w:rPr>
          <w:rFonts w:cs="Arial"/>
          <w:bCs/>
          <w:snapToGrid w:val="0"/>
        </w:rPr>
      </w:pPr>
      <w:r w:rsidRPr="006D767C">
        <w:rPr>
          <w:rFonts w:cs="Arial"/>
          <w:bCs/>
          <w:snapToGrid w:val="0"/>
        </w:rPr>
        <w:t xml:space="preserve">The PBAC noted that this submission is not eligible for an Independent Review because it </w:t>
      </w:r>
      <w:r w:rsidR="000E57DB" w:rsidRPr="006D767C">
        <w:rPr>
          <w:rFonts w:cs="Arial"/>
          <w:bCs/>
          <w:snapToGrid w:val="0"/>
        </w:rPr>
        <w:t>has received a positive recommendation</w:t>
      </w:r>
      <w:r w:rsidR="005E34D8" w:rsidRPr="006D767C">
        <w:rPr>
          <w:rFonts w:cs="Arial"/>
          <w:bCs/>
          <w:snapToGrid w:val="0"/>
        </w:rPr>
        <w:t>.</w:t>
      </w:r>
    </w:p>
    <w:p w:rsidR="00415891" w:rsidRPr="006D767C" w:rsidRDefault="00415891" w:rsidP="00F0337E">
      <w:pPr>
        <w:tabs>
          <w:tab w:val="left" w:pos="5565"/>
        </w:tabs>
        <w:spacing w:before="240"/>
        <w:rPr>
          <w:rFonts w:cs="Arial"/>
          <w:b/>
          <w:bCs/>
          <w:snapToGrid w:val="0"/>
        </w:rPr>
      </w:pPr>
      <w:r w:rsidRPr="006D767C">
        <w:rPr>
          <w:rFonts w:cs="Arial"/>
          <w:b/>
          <w:bCs/>
          <w:snapToGrid w:val="0"/>
        </w:rPr>
        <w:t>Outcome:</w:t>
      </w:r>
    </w:p>
    <w:p w:rsidR="00415891" w:rsidRPr="006D767C" w:rsidRDefault="005E34D8" w:rsidP="006E039A">
      <w:pPr>
        <w:rPr>
          <w:rFonts w:cs="Arial"/>
          <w:bCs/>
          <w:snapToGrid w:val="0"/>
        </w:rPr>
      </w:pPr>
      <w:r w:rsidRPr="006D767C">
        <w:rPr>
          <w:rFonts w:cs="Arial"/>
          <w:bCs/>
          <w:snapToGrid w:val="0"/>
        </w:rPr>
        <w:t>Recommended</w:t>
      </w:r>
    </w:p>
    <w:p w:rsidR="00415891" w:rsidRPr="006D767C" w:rsidRDefault="00415891" w:rsidP="001608E0">
      <w:pPr>
        <w:pStyle w:val="Heading1"/>
        <w:rPr>
          <w:rFonts w:cs="Arial"/>
          <w:b w:val="0"/>
          <w:bCs/>
          <w:snapToGrid w:val="0"/>
        </w:rPr>
      </w:pPr>
      <w:r w:rsidRPr="006D767C">
        <w:rPr>
          <w:rFonts w:cs="Arial"/>
          <w:bCs/>
          <w:snapToGrid w:val="0"/>
        </w:rPr>
        <w:t>Recommended listing</w:t>
      </w:r>
    </w:p>
    <w:p w:rsidR="002B48E4" w:rsidRPr="006D767C" w:rsidRDefault="00796E4D" w:rsidP="002D73C8">
      <w:pPr>
        <w:pStyle w:val="ListParagraph"/>
        <w:numPr>
          <w:ilvl w:val="1"/>
          <w:numId w:val="1"/>
        </w:numPr>
        <w:spacing w:before="0" w:after="120"/>
        <w:rPr>
          <w:rFonts w:ascii="Calibri" w:eastAsia="Times New Roman" w:hAnsi="Calibri" w:cs="Arial"/>
          <w:bCs/>
          <w:snapToGrid w:val="0"/>
          <w:szCs w:val="24"/>
        </w:rPr>
      </w:pPr>
      <w:r>
        <w:rPr>
          <w:rFonts w:ascii="Calibri" w:eastAsia="Times New Roman" w:hAnsi="Calibri" w:cs="Arial"/>
          <w:bCs/>
          <w:snapToGrid w:val="0"/>
          <w:szCs w:val="24"/>
        </w:rPr>
        <w:t>Add new item:</w:t>
      </w:r>
    </w:p>
    <w:tbl>
      <w:tblPr>
        <w:tblW w:w="8364" w:type="dxa"/>
        <w:tblInd w:w="108" w:type="dxa"/>
        <w:tblLayout w:type="fixed"/>
        <w:tblLook w:val="0000" w:firstRow="0" w:lastRow="0" w:firstColumn="0" w:lastColumn="0" w:noHBand="0" w:noVBand="0"/>
      </w:tblPr>
      <w:tblGrid>
        <w:gridCol w:w="2410"/>
        <w:gridCol w:w="851"/>
        <w:gridCol w:w="708"/>
        <w:gridCol w:w="2268"/>
        <w:gridCol w:w="1134"/>
        <w:gridCol w:w="993"/>
      </w:tblGrid>
      <w:tr w:rsidR="002B48E4" w:rsidRPr="006D767C" w:rsidTr="001608E0">
        <w:trPr>
          <w:cantSplit/>
          <w:trHeight w:val="471"/>
        </w:trPr>
        <w:tc>
          <w:tcPr>
            <w:tcW w:w="2410" w:type="dxa"/>
            <w:tcBorders>
              <w:bottom w:val="single" w:sz="4" w:space="0" w:color="auto"/>
            </w:tcBorders>
            <w:vAlign w:val="center"/>
          </w:tcPr>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Name, Restriction,</w:t>
            </w:r>
          </w:p>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Manner of administration and form</w:t>
            </w:r>
          </w:p>
        </w:tc>
        <w:tc>
          <w:tcPr>
            <w:tcW w:w="851" w:type="dxa"/>
            <w:tcBorders>
              <w:bottom w:val="single" w:sz="4" w:space="0" w:color="auto"/>
            </w:tcBorders>
            <w:vAlign w:val="center"/>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Max.</w:t>
            </w:r>
            <w:r w:rsidRPr="006D767C">
              <w:rPr>
                <w:rFonts w:ascii="Arial Narrow" w:hAnsi="Arial Narrow" w:cstheme="minorHAnsi"/>
                <w:sz w:val="20"/>
              </w:rPr>
              <w:br/>
              <w:t>amount</w:t>
            </w:r>
          </w:p>
        </w:tc>
        <w:tc>
          <w:tcPr>
            <w:tcW w:w="708" w:type="dxa"/>
            <w:tcBorders>
              <w:bottom w:val="single" w:sz="4" w:space="0" w:color="auto"/>
            </w:tcBorders>
            <w:vAlign w:val="center"/>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№.of</w:t>
            </w:r>
            <w:r w:rsidRPr="006D767C">
              <w:rPr>
                <w:rFonts w:ascii="Arial Narrow" w:hAnsi="Arial Narrow" w:cstheme="minorHAnsi"/>
                <w:sz w:val="20"/>
              </w:rPr>
              <w:br/>
              <w:t>Rpts</w:t>
            </w:r>
          </w:p>
        </w:tc>
        <w:tc>
          <w:tcPr>
            <w:tcW w:w="2268" w:type="dxa"/>
            <w:tcBorders>
              <w:bottom w:val="single" w:sz="4" w:space="0" w:color="auto"/>
            </w:tcBorders>
            <w:vAlign w:val="center"/>
          </w:tcPr>
          <w:p w:rsidR="002B48E4" w:rsidRPr="006D767C" w:rsidRDefault="001608E0" w:rsidP="00C813BE">
            <w:pPr>
              <w:keepNext/>
              <w:spacing w:before="0" w:after="0"/>
              <w:jc w:val="center"/>
              <w:rPr>
                <w:rFonts w:ascii="Arial Narrow" w:hAnsi="Arial Narrow" w:cstheme="minorHAnsi"/>
                <w:sz w:val="20"/>
              </w:rPr>
            </w:pPr>
            <w:r w:rsidRPr="006D767C">
              <w:rPr>
                <w:rFonts w:ascii="Arial Narrow" w:hAnsi="Arial Narrow"/>
                <w:sz w:val="20"/>
              </w:rPr>
              <w:t>Proprietary Name</w:t>
            </w:r>
          </w:p>
        </w:tc>
        <w:tc>
          <w:tcPr>
            <w:tcW w:w="2127" w:type="dxa"/>
            <w:gridSpan w:val="2"/>
            <w:tcBorders>
              <w:bottom w:val="single" w:sz="4" w:space="0" w:color="auto"/>
            </w:tcBorders>
            <w:vAlign w:val="center"/>
          </w:tcPr>
          <w:p w:rsidR="002B48E4" w:rsidRPr="006D767C" w:rsidRDefault="002B48E4" w:rsidP="001608E0">
            <w:pPr>
              <w:keepNext/>
              <w:spacing w:before="0" w:after="0"/>
              <w:jc w:val="left"/>
              <w:rPr>
                <w:rFonts w:ascii="Arial Narrow" w:hAnsi="Arial Narrow" w:cstheme="minorHAnsi"/>
                <w:sz w:val="20"/>
              </w:rPr>
            </w:pPr>
            <w:r w:rsidRPr="006D767C">
              <w:rPr>
                <w:rFonts w:ascii="Arial Narrow" w:hAnsi="Arial Narrow"/>
                <w:sz w:val="20"/>
              </w:rPr>
              <w:t>Manufacturer</w:t>
            </w:r>
          </w:p>
        </w:tc>
      </w:tr>
      <w:tr w:rsidR="002B48E4" w:rsidRPr="006D767C" w:rsidTr="001608E0">
        <w:trPr>
          <w:cantSplit/>
          <w:trHeight w:val="577"/>
        </w:trPr>
        <w:tc>
          <w:tcPr>
            <w:tcW w:w="2410" w:type="dxa"/>
            <w:tcBorders>
              <w:top w:val="single" w:sz="4" w:space="0" w:color="auto"/>
            </w:tcBorders>
          </w:tcPr>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atezolizumab, 1200 mg/20 mL injection, 20 mL vial, 1</w:t>
            </w:r>
          </w:p>
        </w:tc>
        <w:tc>
          <w:tcPr>
            <w:tcW w:w="851" w:type="dxa"/>
            <w:tcBorders>
              <w:top w:val="single" w:sz="4" w:space="0" w:color="auto"/>
            </w:tcBorders>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1200 mg</w:t>
            </w:r>
          </w:p>
        </w:tc>
        <w:tc>
          <w:tcPr>
            <w:tcW w:w="708" w:type="dxa"/>
            <w:tcBorders>
              <w:top w:val="single" w:sz="4" w:space="0" w:color="auto"/>
            </w:tcBorders>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5</w:t>
            </w:r>
          </w:p>
        </w:tc>
        <w:tc>
          <w:tcPr>
            <w:tcW w:w="2268" w:type="dxa"/>
            <w:tcBorders>
              <w:top w:val="single" w:sz="4" w:space="0" w:color="auto"/>
            </w:tcBorders>
          </w:tcPr>
          <w:p w:rsidR="002B48E4" w:rsidRPr="006D767C" w:rsidRDefault="001608E0" w:rsidP="001608E0">
            <w:pPr>
              <w:keepNext/>
              <w:spacing w:before="0" w:after="0"/>
              <w:ind w:left="-108"/>
              <w:jc w:val="center"/>
              <w:rPr>
                <w:rFonts w:ascii="Arial Narrow" w:hAnsi="Arial Narrow" w:cstheme="minorHAnsi"/>
                <w:sz w:val="20"/>
              </w:rPr>
            </w:pPr>
            <w:r w:rsidRPr="006D767C">
              <w:rPr>
                <w:rFonts w:ascii="Arial Narrow" w:hAnsi="Arial Narrow" w:cstheme="minorHAnsi"/>
                <w:sz w:val="20"/>
              </w:rPr>
              <w:t>Tecentriq</w:t>
            </w:r>
          </w:p>
        </w:tc>
        <w:tc>
          <w:tcPr>
            <w:tcW w:w="1134" w:type="dxa"/>
            <w:tcBorders>
              <w:top w:val="single" w:sz="4" w:space="0" w:color="auto"/>
            </w:tcBorders>
          </w:tcPr>
          <w:p w:rsidR="002B48E4" w:rsidRPr="006D767C" w:rsidRDefault="001608E0" w:rsidP="00C813BE">
            <w:pPr>
              <w:keepNext/>
              <w:spacing w:before="0" w:after="0"/>
              <w:jc w:val="center"/>
              <w:rPr>
                <w:rFonts w:ascii="Arial Narrow" w:hAnsi="Arial Narrow" w:cstheme="minorHAnsi"/>
                <w:sz w:val="20"/>
              </w:rPr>
            </w:pPr>
            <w:r w:rsidRPr="006D767C">
              <w:rPr>
                <w:rFonts w:ascii="Arial Narrow" w:hAnsi="Arial Narrow" w:cstheme="minorHAnsi"/>
                <w:sz w:val="20"/>
              </w:rPr>
              <w:t>Roche Products Pty Ltd</w:t>
            </w:r>
          </w:p>
        </w:tc>
        <w:tc>
          <w:tcPr>
            <w:tcW w:w="993" w:type="dxa"/>
            <w:tcBorders>
              <w:top w:val="single" w:sz="4" w:space="0" w:color="auto"/>
            </w:tcBorders>
          </w:tcPr>
          <w:p w:rsidR="002B48E4" w:rsidRPr="006D767C" w:rsidRDefault="002B48E4" w:rsidP="00C813BE">
            <w:pPr>
              <w:keepNext/>
              <w:spacing w:before="0" w:after="0"/>
              <w:jc w:val="center"/>
              <w:rPr>
                <w:rFonts w:ascii="Arial Narrow" w:hAnsi="Arial Narrow" w:cstheme="minorHAnsi"/>
                <w:sz w:val="20"/>
              </w:rPr>
            </w:pPr>
          </w:p>
        </w:tc>
      </w:tr>
      <w:tr w:rsidR="002B48E4" w:rsidRPr="006D767C" w:rsidTr="00C813BE">
        <w:trPr>
          <w:cantSplit/>
          <w:trHeight w:val="65"/>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Category / Program:</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Section 100 – Efficient Funding of Chemotherapy</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sz w:val="20"/>
              </w:rPr>
            </w:pPr>
            <w:r w:rsidRPr="006D767C">
              <w:rPr>
                <w:rFonts w:ascii="Arial Narrow" w:hAnsi="Arial Narrow"/>
                <w:sz w:val="20"/>
              </w:rPr>
              <w:fldChar w:fldCharType="begin">
                <w:ffData>
                  <w:name w:val="Check1"/>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Dental  </w:t>
            </w:r>
            <w:r w:rsidRPr="006D767C">
              <w:rPr>
                <w:rFonts w:ascii="Arial Narrow" w:hAnsi="Arial Narrow"/>
                <w:sz w:val="20"/>
              </w:rPr>
              <w:fldChar w:fldCharType="begin">
                <w:ffData>
                  <w:name w:val=""/>
                  <w:enabled/>
                  <w:calcOnExit w:val="0"/>
                  <w:checkBox>
                    <w:sizeAuto/>
                    <w:default w:val="1"/>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Medical Practitioners  </w:t>
            </w:r>
            <w:r w:rsidRPr="006D767C">
              <w:rPr>
                <w:rFonts w:ascii="Arial Narrow" w:hAnsi="Arial Narrow"/>
                <w:sz w:val="20"/>
              </w:rPr>
              <w:fldChar w:fldCharType="begin">
                <w:ffData>
                  <w:name w:val="Check3"/>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Nurse practitioners  </w:t>
            </w:r>
            <w:r w:rsidRPr="006D767C">
              <w:rPr>
                <w:rFonts w:ascii="Arial Narrow" w:hAnsi="Arial Narrow"/>
                <w:sz w:val="20"/>
              </w:rPr>
              <w:fldChar w:fldCharType="begin">
                <w:ffData>
                  <w:name w:val=""/>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Optometrists</w:t>
            </w:r>
          </w:p>
          <w:p w:rsidR="002B48E4" w:rsidRPr="006D767C" w:rsidRDefault="002B48E4" w:rsidP="00C813BE">
            <w:pPr>
              <w:spacing w:before="0" w:after="0"/>
              <w:rPr>
                <w:rFonts w:ascii="Arial Narrow" w:eastAsia="Calibri" w:hAnsi="Arial Narrow" w:cstheme="minorHAnsi"/>
                <w:sz w:val="20"/>
              </w:rPr>
            </w:pPr>
            <w:r w:rsidRPr="006D767C">
              <w:rPr>
                <w:rFonts w:ascii="Arial Narrow" w:hAnsi="Arial Narrow"/>
                <w:sz w:val="20"/>
              </w:rPr>
              <w:fldChar w:fldCharType="begin">
                <w:ffData>
                  <w:name w:val="Check5"/>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Midwives</w:t>
            </w:r>
          </w:p>
        </w:tc>
      </w:tr>
      <w:tr w:rsidR="002B48E4" w:rsidRPr="006D767C" w:rsidTr="00C813BE">
        <w:trPr>
          <w:cantSplit/>
          <w:trHeight w:val="263"/>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w:t>
            </w:r>
          </w:p>
        </w:tc>
      </w:tr>
      <w:tr w:rsidR="002B48E4" w:rsidRPr="006D767C" w:rsidTr="00C813BE">
        <w:trPr>
          <w:cantSplit/>
          <w:trHeight w:val="169"/>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t>Non-small cell lung cancer (NSCLC)</w:t>
            </w:r>
          </w:p>
        </w:tc>
      </w:tr>
      <w:tr w:rsidR="002B48E4" w:rsidRPr="006D767C" w:rsidTr="00C813BE">
        <w:trPr>
          <w:cantSplit/>
          <w:trHeight w:val="217"/>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 xml:space="preserve">PBS Indication: </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 NSCLC</w:t>
            </w:r>
          </w:p>
        </w:tc>
      </w:tr>
      <w:tr w:rsidR="002B48E4" w:rsidRPr="006D767C" w:rsidTr="00C813BE">
        <w:trPr>
          <w:cantSplit/>
          <w:trHeight w:val="137"/>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Initial treatment</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b/>
                <w:sz w:val="20"/>
              </w:rPr>
              <w:t>Restriction:</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Check1"/>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Restricted benefit</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In Writing</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Check3"/>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Telephone</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Emergency</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Check5"/>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Electronic</w:t>
            </w:r>
          </w:p>
          <w:p w:rsidR="002B48E4" w:rsidRPr="006D767C" w:rsidRDefault="002B48E4" w:rsidP="00C813BE">
            <w:pPr>
              <w:spacing w:before="0" w:after="0"/>
              <w:rPr>
                <w:rFonts w:ascii="Arial Narrow" w:hAnsi="Arial Narrow" w:cstheme="minorHAnsi"/>
                <w:i/>
                <w:sz w:val="20"/>
              </w:rPr>
            </w:pPr>
            <w:r w:rsidRPr="006D767C">
              <w:rPr>
                <w:rFonts w:ascii="Arial Narrow" w:hAnsi="Arial Narrow" w:cstheme="minorHAnsi"/>
                <w:sz w:val="20"/>
              </w:rPr>
              <w:fldChar w:fldCharType="begin">
                <w:ffData>
                  <w:name w:val="Check5"/>
                  <w:enabled/>
                  <w:calcOnExit w:val="0"/>
                  <w:checkBox>
                    <w:sizeAuto/>
                    <w:default w:val="1"/>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Streamlined</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b/>
                <w:sz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Patient must not have received prior treatment with a programmed cell death-1</w:t>
            </w:r>
            <w:r w:rsidR="00477505">
              <w:rPr>
                <w:rFonts w:ascii="Arial Narrow" w:eastAsia="Calibri" w:hAnsi="Arial Narrow" w:cstheme="minorHAnsi"/>
                <w:sz w:val="20"/>
              </w:rPr>
              <w:t xml:space="preserve"> (</w:t>
            </w:r>
            <w:r w:rsidR="00477505" w:rsidRPr="006D767C">
              <w:rPr>
                <w:rFonts w:ascii="Arial Narrow" w:eastAsia="Calibri" w:hAnsi="Arial Narrow" w:cstheme="minorHAnsi"/>
                <w:sz w:val="20"/>
              </w:rPr>
              <w:t>PD-1</w:t>
            </w:r>
            <w:r w:rsidR="00477505">
              <w:rPr>
                <w:rFonts w:ascii="Arial Narrow" w:eastAsia="Calibri" w:hAnsi="Arial Narrow" w:cstheme="minorHAnsi"/>
                <w:sz w:val="20"/>
              </w:rPr>
              <w:t>)</w:t>
            </w:r>
            <w:r w:rsidR="00072FCE" w:rsidRPr="006D767C">
              <w:rPr>
                <w:rFonts w:ascii="Arial Narrow" w:eastAsia="Calibri" w:hAnsi="Arial Narrow" w:cstheme="minorHAnsi"/>
                <w:sz w:val="20"/>
              </w:rPr>
              <w:t xml:space="preserve"> </w:t>
            </w:r>
            <w:r w:rsidR="005E34D8" w:rsidRPr="006D767C">
              <w:rPr>
                <w:rFonts w:ascii="Arial Narrow" w:eastAsia="Calibri" w:hAnsi="Arial Narrow" w:cstheme="minorHAnsi"/>
                <w:sz w:val="20"/>
              </w:rPr>
              <w:t xml:space="preserve">inhibitor </w:t>
            </w:r>
            <w:r w:rsidR="006F4298">
              <w:rPr>
                <w:rFonts w:ascii="Arial Narrow" w:eastAsia="Calibri" w:hAnsi="Arial Narrow" w:cstheme="minorHAnsi"/>
                <w:sz w:val="20"/>
              </w:rPr>
              <w:t>or</w:t>
            </w:r>
            <w:r w:rsidR="00072FCE" w:rsidRPr="006D767C">
              <w:rPr>
                <w:rFonts w:ascii="Arial Narrow" w:eastAsia="Calibri" w:hAnsi="Arial Narrow" w:cstheme="minorHAnsi"/>
                <w:sz w:val="20"/>
              </w:rPr>
              <w:t xml:space="preserve"> </w:t>
            </w:r>
            <w:r w:rsidR="00E054B5" w:rsidRPr="006D767C">
              <w:rPr>
                <w:rFonts w:ascii="Arial Narrow" w:eastAsia="Calibri" w:hAnsi="Arial Narrow" w:cstheme="minorHAnsi"/>
                <w:sz w:val="20"/>
              </w:rPr>
              <w:t>a programmed cell death ligand-1</w:t>
            </w:r>
            <w:r w:rsidR="00477505">
              <w:rPr>
                <w:rFonts w:ascii="Arial Narrow" w:eastAsia="Calibri" w:hAnsi="Arial Narrow" w:cstheme="minorHAnsi"/>
                <w:sz w:val="20"/>
              </w:rPr>
              <w:t xml:space="preserve"> (</w:t>
            </w:r>
            <w:r w:rsidR="00477505" w:rsidRPr="006D767C">
              <w:rPr>
                <w:rFonts w:ascii="Arial Narrow" w:eastAsia="Calibri" w:hAnsi="Arial Narrow" w:cstheme="minorHAnsi"/>
                <w:sz w:val="20"/>
              </w:rPr>
              <w:t>PD-L1</w:t>
            </w:r>
            <w:r w:rsidR="00477505">
              <w:rPr>
                <w:rFonts w:ascii="Arial Narrow" w:eastAsia="Calibri" w:hAnsi="Arial Narrow" w:cstheme="minorHAnsi"/>
                <w:sz w:val="20"/>
              </w:rPr>
              <w:t>)</w:t>
            </w:r>
            <w:r w:rsidR="00E054B5" w:rsidRPr="006D767C">
              <w:rPr>
                <w:rFonts w:ascii="Arial Narrow" w:eastAsia="Calibri" w:hAnsi="Arial Narrow" w:cstheme="minorHAnsi"/>
                <w:sz w:val="20"/>
              </w:rPr>
              <w:t xml:space="preserve"> </w:t>
            </w:r>
            <w:r w:rsidRPr="006D767C">
              <w:rPr>
                <w:rFonts w:ascii="Arial Narrow" w:eastAsia="Calibri" w:hAnsi="Arial Narrow" w:cstheme="minorHAnsi"/>
                <w:sz w:val="20"/>
              </w:rPr>
              <w:t xml:space="preserve">inhibitor for this </w:t>
            </w:r>
            <w:r w:rsidR="007279DD" w:rsidRPr="006D767C">
              <w:rPr>
                <w:rFonts w:ascii="Arial Narrow" w:eastAsia="Calibri" w:hAnsi="Arial Narrow" w:cstheme="minorHAnsi"/>
                <w:sz w:val="20"/>
              </w:rPr>
              <w:t>condition</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Patient must have a</w:t>
            </w:r>
            <w:r w:rsidRPr="006D767C">
              <w:rPr>
                <w:rFonts w:ascii="Arial Narrow" w:eastAsia="Calibri" w:hAnsi="Arial Narrow" w:cstheme="minorHAnsi"/>
                <w:strike/>
                <w:sz w:val="20"/>
              </w:rPr>
              <w:t xml:space="preserve"> </w:t>
            </w:r>
            <w:r w:rsidRPr="006D767C">
              <w:rPr>
                <w:rFonts w:ascii="Arial Narrow" w:eastAsia="Calibri" w:hAnsi="Arial Narrow" w:cstheme="minorHAnsi"/>
                <w:sz w:val="20"/>
              </w:rPr>
              <w:t>WHO</w:t>
            </w:r>
            <w:r w:rsidRPr="006D767C">
              <w:rPr>
                <w:rFonts w:ascii="Arial Narrow" w:eastAsia="Calibri" w:hAnsi="Arial Narrow" w:cstheme="minorHAnsi"/>
                <w:i/>
                <w:sz w:val="20"/>
              </w:rPr>
              <w:t xml:space="preserve"> </w:t>
            </w:r>
            <w:r w:rsidRPr="006D767C">
              <w:rPr>
                <w:rFonts w:ascii="Arial Narrow" w:eastAsia="Calibri" w:hAnsi="Arial Narrow" w:cstheme="minorHAnsi"/>
                <w:sz w:val="20"/>
              </w:rPr>
              <w:t>performance status of 0 or 1</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The treatment must be the sole PBS-subsidised therapy for this condition</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C813BE">
            <w:pPr>
              <w:spacing w:before="0" w:after="0"/>
              <w:rPr>
                <w:rFonts w:ascii="Arial Narrow" w:hAnsi="Arial Narrow" w:cstheme="minorHAnsi"/>
                <w:i/>
                <w:sz w:val="20"/>
              </w:rPr>
            </w:pPr>
            <w:r w:rsidRPr="006D767C">
              <w:rPr>
                <w:rFonts w:ascii="Arial Narrow" w:eastAsia="Calibri" w:hAnsi="Arial Narrow" w:cstheme="minorHAnsi"/>
                <w:sz w:val="20"/>
              </w:rPr>
              <w:t>The condition must have progressed on or after prior platinum based chemotherapy.</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vAlign w:val="center"/>
          </w:tcPr>
          <w:p w:rsidR="002B48E4" w:rsidRPr="006D767C" w:rsidRDefault="002B48E4" w:rsidP="00C813BE">
            <w:pPr>
              <w:spacing w:before="0" w:after="0"/>
              <w:rPr>
                <w:rFonts w:ascii="Arial Narrow" w:hAnsi="Arial Narrow" w:cstheme="minorHAnsi"/>
                <w:i/>
                <w:sz w:val="20"/>
              </w:rPr>
            </w:pPr>
            <w:r w:rsidRPr="006D767C">
              <w:rPr>
                <w:rFonts w:ascii="Arial Narrow" w:hAnsi="Arial Narrow" w:cstheme="minorHAnsi"/>
                <w:b/>
                <w:sz w:val="20"/>
              </w:rPr>
              <w:t>Administrative Advice</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No increase in the maximum number of repeats may be authorised.</w:t>
            </w:r>
          </w:p>
          <w:p w:rsidR="002B48E4" w:rsidRPr="006D767C" w:rsidRDefault="002B48E4" w:rsidP="00C813BE">
            <w:pPr>
              <w:spacing w:before="0" w:after="0"/>
              <w:rPr>
                <w:rFonts w:ascii="Arial Narrow" w:hAnsi="Arial Narrow" w:cstheme="minorHAnsi"/>
                <w:i/>
                <w:sz w:val="20"/>
              </w:rPr>
            </w:pPr>
            <w:r w:rsidRPr="006D767C">
              <w:rPr>
                <w:rFonts w:ascii="Arial Narrow" w:eastAsia="Calibri" w:hAnsi="Arial Narrow" w:cstheme="minorHAnsi"/>
                <w:sz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513F15" w:rsidRDefault="00513F15">
      <w:r>
        <w:br w:type="page"/>
      </w:r>
    </w:p>
    <w:tbl>
      <w:tblPr>
        <w:tblW w:w="8364" w:type="dxa"/>
        <w:tblInd w:w="108" w:type="dxa"/>
        <w:tblLayout w:type="fixed"/>
        <w:tblLook w:val="0000" w:firstRow="0" w:lastRow="0" w:firstColumn="0" w:lastColumn="0" w:noHBand="0" w:noVBand="0"/>
      </w:tblPr>
      <w:tblGrid>
        <w:gridCol w:w="2410"/>
        <w:gridCol w:w="851"/>
        <w:gridCol w:w="708"/>
        <w:gridCol w:w="2410"/>
        <w:gridCol w:w="992"/>
        <w:gridCol w:w="993"/>
      </w:tblGrid>
      <w:tr w:rsidR="002B48E4" w:rsidRPr="006D767C" w:rsidTr="00C813BE">
        <w:trPr>
          <w:cantSplit/>
          <w:trHeight w:val="471"/>
        </w:trPr>
        <w:tc>
          <w:tcPr>
            <w:tcW w:w="2410" w:type="dxa"/>
            <w:tcBorders>
              <w:bottom w:val="single" w:sz="4" w:space="0" w:color="auto"/>
            </w:tcBorders>
            <w:vAlign w:val="center"/>
          </w:tcPr>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Name, Restriction,</w:t>
            </w:r>
          </w:p>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Manner of administration and form</w:t>
            </w:r>
          </w:p>
        </w:tc>
        <w:tc>
          <w:tcPr>
            <w:tcW w:w="851" w:type="dxa"/>
            <w:tcBorders>
              <w:bottom w:val="single" w:sz="4" w:space="0" w:color="auto"/>
            </w:tcBorders>
            <w:vAlign w:val="center"/>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Max.</w:t>
            </w:r>
            <w:r w:rsidRPr="006D767C">
              <w:rPr>
                <w:rFonts w:ascii="Arial Narrow" w:hAnsi="Arial Narrow" w:cstheme="minorHAnsi"/>
                <w:sz w:val="20"/>
              </w:rPr>
              <w:br/>
              <w:t>amount</w:t>
            </w:r>
          </w:p>
        </w:tc>
        <w:tc>
          <w:tcPr>
            <w:tcW w:w="708" w:type="dxa"/>
            <w:tcBorders>
              <w:bottom w:val="single" w:sz="4" w:space="0" w:color="auto"/>
            </w:tcBorders>
            <w:vAlign w:val="center"/>
          </w:tcPr>
          <w:p w:rsidR="002B48E4" w:rsidRPr="006D767C" w:rsidRDefault="002B48E4" w:rsidP="00C813BE">
            <w:pPr>
              <w:keepNext/>
              <w:spacing w:before="0" w:after="0"/>
              <w:ind w:left="34"/>
              <w:jc w:val="center"/>
              <w:rPr>
                <w:rFonts w:ascii="Arial Narrow" w:hAnsi="Arial Narrow" w:cstheme="minorHAnsi"/>
                <w:sz w:val="20"/>
              </w:rPr>
            </w:pPr>
            <w:r w:rsidRPr="006D767C">
              <w:rPr>
                <w:rFonts w:ascii="Arial Narrow" w:hAnsi="Arial Narrow" w:cstheme="minorHAnsi"/>
                <w:sz w:val="20"/>
              </w:rPr>
              <w:t>№.of</w:t>
            </w:r>
            <w:r w:rsidRPr="006D767C">
              <w:rPr>
                <w:rFonts w:ascii="Arial Narrow" w:hAnsi="Arial Narrow" w:cstheme="minorHAnsi"/>
                <w:sz w:val="20"/>
              </w:rPr>
              <w:br/>
              <w:t>Rpts</w:t>
            </w:r>
          </w:p>
        </w:tc>
        <w:tc>
          <w:tcPr>
            <w:tcW w:w="2410" w:type="dxa"/>
            <w:tcBorders>
              <w:bottom w:val="single" w:sz="4" w:space="0" w:color="auto"/>
            </w:tcBorders>
            <w:vAlign w:val="center"/>
          </w:tcPr>
          <w:p w:rsidR="002B48E4" w:rsidRPr="006D767C" w:rsidRDefault="001608E0" w:rsidP="00C813BE">
            <w:pPr>
              <w:keepNext/>
              <w:spacing w:before="0" w:after="0"/>
              <w:jc w:val="center"/>
              <w:rPr>
                <w:rFonts w:ascii="Arial Narrow" w:hAnsi="Arial Narrow" w:cstheme="minorHAnsi"/>
                <w:sz w:val="20"/>
              </w:rPr>
            </w:pPr>
            <w:r w:rsidRPr="006D767C">
              <w:rPr>
                <w:rFonts w:ascii="Arial Narrow" w:hAnsi="Arial Narrow"/>
                <w:sz w:val="20"/>
              </w:rPr>
              <w:t>Proprietary Name</w:t>
            </w:r>
          </w:p>
        </w:tc>
        <w:tc>
          <w:tcPr>
            <w:tcW w:w="1985" w:type="dxa"/>
            <w:gridSpan w:val="2"/>
            <w:tcBorders>
              <w:bottom w:val="single" w:sz="4" w:space="0" w:color="auto"/>
            </w:tcBorders>
            <w:vAlign w:val="center"/>
          </w:tcPr>
          <w:p w:rsidR="002B48E4" w:rsidRPr="006D767C" w:rsidRDefault="002B48E4" w:rsidP="001608E0">
            <w:pPr>
              <w:keepNext/>
              <w:spacing w:before="0" w:after="0"/>
              <w:jc w:val="left"/>
              <w:rPr>
                <w:rFonts w:ascii="Arial Narrow" w:hAnsi="Arial Narrow" w:cstheme="minorHAnsi"/>
                <w:sz w:val="20"/>
              </w:rPr>
            </w:pPr>
            <w:r w:rsidRPr="006D767C">
              <w:rPr>
                <w:rFonts w:ascii="Arial Narrow" w:hAnsi="Arial Narrow"/>
                <w:sz w:val="20"/>
              </w:rPr>
              <w:t>Manufacturer</w:t>
            </w:r>
          </w:p>
        </w:tc>
      </w:tr>
      <w:tr w:rsidR="002B48E4" w:rsidRPr="006D767C" w:rsidTr="00C813BE">
        <w:trPr>
          <w:cantSplit/>
          <w:trHeight w:val="577"/>
        </w:trPr>
        <w:tc>
          <w:tcPr>
            <w:tcW w:w="2410" w:type="dxa"/>
            <w:tcBorders>
              <w:top w:val="single" w:sz="4" w:space="0" w:color="auto"/>
            </w:tcBorders>
          </w:tcPr>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 xml:space="preserve">atezolizumab, 1200 mg/20 mL injection, 20 mL vial, 1 </w:t>
            </w:r>
          </w:p>
        </w:tc>
        <w:tc>
          <w:tcPr>
            <w:tcW w:w="851" w:type="dxa"/>
            <w:tcBorders>
              <w:top w:val="single" w:sz="4" w:space="0" w:color="auto"/>
            </w:tcBorders>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1200 mg</w:t>
            </w:r>
          </w:p>
        </w:tc>
        <w:tc>
          <w:tcPr>
            <w:tcW w:w="708" w:type="dxa"/>
            <w:tcBorders>
              <w:top w:val="single" w:sz="4" w:space="0" w:color="auto"/>
            </w:tcBorders>
          </w:tcPr>
          <w:p w:rsidR="002B48E4" w:rsidRPr="006D767C" w:rsidRDefault="002B48E4" w:rsidP="00C813BE">
            <w:pPr>
              <w:keepNext/>
              <w:spacing w:before="0" w:after="0"/>
              <w:ind w:left="34"/>
              <w:jc w:val="center"/>
              <w:rPr>
                <w:rFonts w:ascii="Arial Narrow" w:hAnsi="Arial Narrow" w:cstheme="minorHAnsi"/>
                <w:sz w:val="20"/>
              </w:rPr>
            </w:pPr>
            <w:r w:rsidRPr="006D767C">
              <w:rPr>
                <w:rFonts w:ascii="Arial Narrow" w:hAnsi="Arial Narrow" w:cstheme="minorHAnsi"/>
                <w:sz w:val="20"/>
              </w:rPr>
              <w:t>7</w:t>
            </w:r>
          </w:p>
        </w:tc>
        <w:tc>
          <w:tcPr>
            <w:tcW w:w="2410" w:type="dxa"/>
            <w:tcBorders>
              <w:top w:val="single" w:sz="4" w:space="0" w:color="auto"/>
            </w:tcBorders>
          </w:tcPr>
          <w:p w:rsidR="002B48E4" w:rsidRPr="006D767C" w:rsidRDefault="001608E0" w:rsidP="001608E0">
            <w:pPr>
              <w:keepNext/>
              <w:spacing w:before="0" w:after="0"/>
              <w:ind w:left="-108"/>
              <w:jc w:val="center"/>
              <w:rPr>
                <w:rFonts w:ascii="Arial Narrow" w:hAnsi="Arial Narrow" w:cstheme="minorHAnsi"/>
                <w:sz w:val="20"/>
              </w:rPr>
            </w:pPr>
            <w:r w:rsidRPr="006D767C">
              <w:rPr>
                <w:rFonts w:ascii="Arial Narrow" w:hAnsi="Arial Narrow" w:cstheme="minorHAnsi"/>
                <w:sz w:val="20"/>
              </w:rPr>
              <w:t>Tecentriq</w:t>
            </w:r>
          </w:p>
        </w:tc>
        <w:tc>
          <w:tcPr>
            <w:tcW w:w="992" w:type="dxa"/>
            <w:tcBorders>
              <w:top w:val="single" w:sz="4" w:space="0" w:color="auto"/>
            </w:tcBorders>
          </w:tcPr>
          <w:p w:rsidR="002B48E4" w:rsidRPr="006D767C" w:rsidRDefault="001608E0" w:rsidP="00C813BE">
            <w:pPr>
              <w:keepNext/>
              <w:spacing w:before="0" w:after="0"/>
              <w:jc w:val="center"/>
              <w:rPr>
                <w:rFonts w:ascii="Arial Narrow" w:hAnsi="Arial Narrow" w:cstheme="minorHAnsi"/>
                <w:sz w:val="20"/>
              </w:rPr>
            </w:pPr>
            <w:r w:rsidRPr="006D767C">
              <w:rPr>
                <w:rFonts w:ascii="Arial Narrow" w:hAnsi="Arial Narrow" w:cstheme="minorHAnsi"/>
                <w:sz w:val="20"/>
              </w:rPr>
              <w:t>Roche Products Pty Ltd</w:t>
            </w:r>
          </w:p>
        </w:tc>
        <w:tc>
          <w:tcPr>
            <w:tcW w:w="993" w:type="dxa"/>
            <w:tcBorders>
              <w:top w:val="single" w:sz="4" w:space="0" w:color="auto"/>
            </w:tcBorders>
          </w:tcPr>
          <w:p w:rsidR="002B48E4" w:rsidRPr="006D767C" w:rsidRDefault="002B48E4" w:rsidP="00C813BE">
            <w:pPr>
              <w:keepNext/>
              <w:spacing w:before="0" w:after="0"/>
              <w:jc w:val="center"/>
              <w:rPr>
                <w:rFonts w:ascii="Arial Narrow" w:hAnsi="Arial Narrow" w:cstheme="minorHAnsi"/>
                <w:sz w:val="20"/>
              </w:rPr>
            </w:pPr>
          </w:p>
        </w:tc>
      </w:tr>
      <w:tr w:rsidR="002B48E4" w:rsidRPr="006D767C" w:rsidTr="00C813BE">
        <w:trPr>
          <w:cantSplit/>
          <w:trHeight w:val="127"/>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Category / Program:</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Section 100 – Efficient Funding of Chemotherapy</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sz w:val="20"/>
              </w:rPr>
            </w:pPr>
            <w:r w:rsidRPr="006D767C">
              <w:rPr>
                <w:rFonts w:ascii="Arial Narrow" w:hAnsi="Arial Narrow"/>
                <w:sz w:val="20"/>
              </w:rPr>
              <w:fldChar w:fldCharType="begin">
                <w:ffData>
                  <w:name w:val="Check1"/>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Dental  </w:t>
            </w:r>
            <w:r w:rsidRPr="006D767C">
              <w:rPr>
                <w:rFonts w:ascii="Arial Narrow" w:hAnsi="Arial Narrow"/>
                <w:sz w:val="20"/>
              </w:rPr>
              <w:fldChar w:fldCharType="begin">
                <w:ffData>
                  <w:name w:val=""/>
                  <w:enabled/>
                  <w:calcOnExit w:val="0"/>
                  <w:checkBox>
                    <w:sizeAuto/>
                    <w:default w:val="1"/>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Medical Practitioners  </w:t>
            </w:r>
            <w:r w:rsidRPr="006D767C">
              <w:rPr>
                <w:rFonts w:ascii="Arial Narrow" w:hAnsi="Arial Narrow"/>
                <w:sz w:val="20"/>
              </w:rPr>
              <w:fldChar w:fldCharType="begin">
                <w:ffData>
                  <w:name w:val="Check3"/>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Nurse practitioners  </w:t>
            </w:r>
            <w:r w:rsidRPr="006D767C">
              <w:rPr>
                <w:rFonts w:ascii="Arial Narrow" w:hAnsi="Arial Narrow"/>
                <w:sz w:val="20"/>
              </w:rPr>
              <w:fldChar w:fldCharType="begin">
                <w:ffData>
                  <w:name w:val=""/>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Optometrists</w:t>
            </w:r>
          </w:p>
          <w:p w:rsidR="002B48E4" w:rsidRPr="006D767C" w:rsidRDefault="002B48E4" w:rsidP="00C813BE">
            <w:pPr>
              <w:spacing w:before="0" w:after="0"/>
              <w:rPr>
                <w:rFonts w:ascii="Arial Narrow" w:eastAsia="Calibri" w:hAnsi="Arial Narrow" w:cstheme="minorHAnsi"/>
                <w:sz w:val="20"/>
              </w:rPr>
            </w:pPr>
            <w:r w:rsidRPr="006D767C">
              <w:rPr>
                <w:rFonts w:ascii="Arial Narrow" w:hAnsi="Arial Narrow"/>
                <w:sz w:val="20"/>
              </w:rPr>
              <w:fldChar w:fldCharType="begin">
                <w:ffData>
                  <w:name w:val="Check5"/>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Midwives</w:t>
            </w:r>
          </w:p>
        </w:tc>
      </w:tr>
      <w:tr w:rsidR="002B48E4" w:rsidRPr="006D767C" w:rsidTr="00C813BE">
        <w:trPr>
          <w:cantSplit/>
          <w:trHeight w:val="64"/>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w:t>
            </w:r>
          </w:p>
        </w:tc>
      </w:tr>
      <w:tr w:rsidR="002B48E4" w:rsidRPr="006D767C" w:rsidTr="00C813BE">
        <w:trPr>
          <w:cantSplit/>
          <w:trHeight w:val="132"/>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t>Non-small cell lung cancer (NSCLC)</w:t>
            </w:r>
          </w:p>
        </w:tc>
      </w:tr>
      <w:tr w:rsidR="002B48E4" w:rsidRPr="006D767C" w:rsidTr="00C813BE">
        <w:trPr>
          <w:cantSplit/>
          <w:trHeight w:val="194"/>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 xml:space="preserve">PBS Indication: </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 NSCLC</w:t>
            </w:r>
          </w:p>
        </w:tc>
      </w:tr>
      <w:tr w:rsidR="002B48E4" w:rsidRPr="006D767C" w:rsidTr="00C813BE">
        <w:trPr>
          <w:cantSplit/>
          <w:trHeight w:val="114"/>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Continuing treatment</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b/>
                <w:sz w:val="20"/>
              </w:rPr>
              <w:t>Restriction Level / Method:</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1"/>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Restricted benefit</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1"/>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In Writing</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3"/>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Telephone</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Emergency</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fldChar w:fldCharType="begin">
                <w:ffData>
                  <w:name w:val="Check5"/>
                  <w:enabled/>
                  <w:calcOnExit w:val="0"/>
                  <w:checkBox>
                    <w:sizeAuto/>
                    <w:default w:val="0"/>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Authority Required - Electronic</w:t>
            </w:r>
          </w:p>
          <w:p w:rsidR="002B48E4" w:rsidRPr="006D767C" w:rsidRDefault="002B48E4" w:rsidP="00C813BE">
            <w:pPr>
              <w:spacing w:before="0" w:after="0"/>
              <w:rPr>
                <w:rFonts w:ascii="Arial Narrow" w:eastAsia="Calibri" w:hAnsi="Arial Narrow" w:cstheme="minorHAnsi"/>
                <w:i/>
                <w:sz w:val="20"/>
              </w:rPr>
            </w:pPr>
            <w:r w:rsidRPr="006D767C">
              <w:rPr>
                <w:rFonts w:ascii="Arial Narrow" w:eastAsia="Calibri" w:hAnsi="Arial Narrow" w:cstheme="minorHAnsi"/>
                <w:sz w:val="20"/>
              </w:rPr>
              <w:fldChar w:fldCharType="begin">
                <w:ffData>
                  <w:name w:val=""/>
                  <w:enabled/>
                  <w:calcOnExit w:val="0"/>
                  <w:checkBox>
                    <w:sizeAuto/>
                    <w:default w:val="1"/>
                  </w:checkBox>
                </w:ffData>
              </w:fldChar>
            </w:r>
            <w:r w:rsidRPr="006D767C">
              <w:rPr>
                <w:rFonts w:ascii="Arial Narrow" w:eastAsia="Calibri" w:hAnsi="Arial Narrow" w:cstheme="minorHAnsi"/>
                <w:sz w:val="20"/>
              </w:rPr>
              <w:instrText xml:space="preserve"> FORMCHECKBOX </w:instrText>
            </w:r>
            <w:r w:rsidR="002041B0">
              <w:rPr>
                <w:rFonts w:ascii="Arial Narrow" w:eastAsia="Calibri" w:hAnsi="Arial Narrow" w:cstheme="minorHAnsi"/>
                <w:sz w:val="20"/>
              </w:rPr>
            </w:r>
            <w:r w:rsidR="002041B0">
              <w:rPr>
                <w:rFonts w:ascii="Arial Narrow" w:eastAsia="Calibri" w:hAnsi="Arial Narrow" w:cstheme="minorHAnsi"/>
                <w:sz w:val="20"/>
              </w:rPr>
              <w:fldChar w:fldCharType="separate"/>
            </w:r>
            <w:r w:rsidRPr="006D767C">
              <w:rPr>
                <w:rFonts w:ascii="Arial Narrow" w:eastAsia="Calibri" w:hAnsi="Arial Narrow" w:cstheme="minorHAnsi"/>
                <w:sz w:val="20"/>
              </w:rPr>
              <w:fldChar w:fldCharType="end"/>
            </w:r>
            <w:r w:rsidRPr="006D767C">
              <w:rPr>
                <w:rFonts w:ascii="Arial Narrow" w:eastAsia="Calibri" w:hAnsi="Arial Narrow" w:cstheme="minorHAnsi"/>
                <w:sz w:val="20"/>
              </w:rPr>
              <w:t>Streamlined</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 xml:space="preserve">Patient must have previously </w:t>
            </w:r>
            <w:r w:rsidR="007279DD">
              <w:rPr>
                <w:rFonts w:ascii="Arial Narrow" w:eastAsia="Calibri" w:hAnsi="Arial Narrow" w:cstheme="minorHAnsi"/>
                <w:sz w:val="20"/>
              </w:rPr>
              <w:t xml:space="preserve">received PBS-subsidised treatment with </w:t>
            </w:r>
            <w:r w:rsidRPr="006D767C">
              <w:rPr>
                <w:rFonts w:ascii="Arial Narrow" w:eastAsia="Calibri" w:hAnsi="Arial Narrow" w:cstheme="minorHAnsi"/>
                <w:sz w:val="20"/>
              </w:rPr>
              <w:t>this drug for this condition</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The treatment must be the sole PBS-subsidised t</w:t>
            </w:r>
            <w:r w:rsidR="00497EEA">
              <w:rPr>
                <w:rFonts w:ascii="Arial Narrow" w:eastAsia="Calibri" w:hAnsi="Arial Narrow" w:cstheme="minorHAnsi"/>
                <w:sz w:val="20"/>
              </w:rPr>
              <w:t>reatment</w:t>
            </w:r>
            <w:r w:rsidRPr="006D767C">
              <w:rPr>
                <w:rFonts w:ascii="Arial Narrow" w:eastAsia="Calibri" w:hAnsi="Arial Narrow" w:cstheme="minorHAnsi"/>
                <w:sz w:val="20"/>
              </w:rPr>
              <w:t xml:space="preserve"> for this condition</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7279DD">
            <w:pPr>
              <w:spacing w:before="0" w:after="0"/>
              <w:rPr>
                <w:rFonts w:ascii="Arial Narrow" w:eastAsia="Calibri" w:hAnsi="Arial Narrow" w:cstheme="minorHAnsi"/>
                <w:i/>
                <w:sz w:val="20"/>
              </w:rPr>
            </w:pPr>
            <w:r w:rsidRPr="006D767C">
              <w:rPr>
                <w:rFonts w:ascii="Arial Narrow" w:hAnsi="Arial Narrow" w:cstheme="minorHAnsi"/>
                <w:iCs/>
                <w:sz w:val="20"/>
              </w:rPr>
              <w:t>Patient must have stable or responding disease.</w:t>
            </w:r>
          </w:p>
        </w:tc>
      </w:tr>
      <w:tr w:rsidR="002B48E4" w:rsidRPr="006D767C" w:rsidTr="00C813BE">
        <w:trPr>
          <w:cantSplit/>
          <w:trHeight w:val="74"/>
        </w:trPr>
        <w:tc>
          <w:tcPr>
            <w:tcW w:w="2410" w:type="dxa"/>
            <w:tcBorders>
              <w:top w:val="single" w:sz="4" w:space="0" w:color="auto"/>
              <w:left w:val="single" w:sz="4" w:space="0" w:color="auto"/>
              <w:bottom w:val="single" w:sz="4" w:space="0" w:color="auto"/>
              <w:right w:val="single" w:sz="4" w:space="0" w:color="auto"/>
            </w:tcBorders>
            <w:vAlign w:val="center"/>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Administrative Advice</w:t>
            </w:r>
          </w:p>
        </w:tc>
        <w:tc>
          <w:tcPr>
            <w:tcW w:w="5954" w:type="dxa"/>
            <w:gridSpan w:val="5"/>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No increase in the maximum number of repeats may be authorised.</w:t>
            </w:r>
          </w:p>
        </w:tc>
      </w:tr>
    </w:tbl>
    <w:p w:rsidR="006E039A" w:rsidRPr="006D767C" w:rsidRDefault="006E039A" w:rsidP="00B63E00">
      <w:pPr>
        <w:pStyle w:val="PBACHeading1"/>
        <w:numPr>
          <w:ilvl w:val="0"/>
          <w:numId w:val="0"/>
        </w:numPr>
        <w:spacing w:before="0"/>
        <w:ind w:left="720" w:hanging="720"/>
        <w:rPr>
          <w:rFonts w:asciiTheme="minorHAnsi" w:hAnsiTheme="minorHAnsi"/>
          <w:b w:val="0"/>
          <w:sz w:val="24"/>
          <w:szCs w:val="24"/>
        </w:rPr>
      </w:pPr>
    </w:p>
    <w:tbl>
      <w:tblPr>
        <w:tblW w:w="8364" w:type="dxa"/>
        <w:tblInd w:w="108" w:type="dxa"/>
        <w:tblLayout w:type="fixed"/>
        <w:tblLook w:val="0000" w:firstRow="0" w:lastRow="0" w:firstColumn="0" w:lastColumn="0" w:noHBand="0" w:noVBand="0"/>
      </w:tblPr>
      <w:tblGrid>
        <w:gridCol w:w="2410"/>
        <w:gridCol w:w="142"/>
        <w:gridCol w:w="709"/>
        <w:gridCol w:w="141"/>
        <w:gridCol w:w="567"/>
        <w:gridCol w:w="142"/>
        <w:gridCol w:w="2268"/>
        <w:gridCol w:w="284"/>
        <w:gridCol w:w="708"/>
        <w:gridCol w:w="993"/>
      </w:tblGrid>
      <w:tr w:rsidR="002B48E4" w:rsidRPr="006D767C" w:rsidTr="00C813BE">
        <w:trPr>
          <w:cantSplit/>
          <w:trHeight w:val="471"/>
        </w:trPr>
        <w:tc>
          <w:tcPr>
            <w:tcW w:w="2552" w:type="dxa"/>
            <w:gridSpan w:val="2"/>
            <w:tcBorders>
              <w:bottom w:val="single" w:sz="4" w:space="0" w:color="auto"/>
            </w:tcBorders>
            <w:vAlign w:val="center"/>
          </w:tcPr>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Name, Restriction,</w:t>
            </w:r>
          </w:p>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Manner of administration and form</w:t>
            </w:r>
          </w:p>
        </w:tc>
        <w:tc>
          <w:tcPr>
            <w:tcW w:w="850" w:type="dxa"/>
            <w:gridSpan w:val="2"/>
            <w:tcBorders>
              <w:bottom w:val="single" w:sz="4" w:space="0" w:color="auto"/>
            </w:tcBorders>
            <w:vAlign w:val="center"/>
          </w:tcPr>
          <w:p w:rsidR="002B48E4" w:rsidRPr="006D767C" w:rsidRDefault="002B48E4" w:rsidP="00C813BE">
            <w:pPr>
              <w:keepNext/>
              <w:spacing w:before="0" w:after="0"/>
              <w:ind w:left="34"/>
              <w:jc w:val="center"/>
              <w:rPr>
                <w:rFonts w:ascii="Arial Narrow" w:hAnsi="Arial Narrow" w:cstheme="minorHAnsi"/>
                <w:sz w:val="20"/>
              </w:rPr>
            </w:pPr>
            <w:r w:rsidRPr="006D767C">
              <w:rPr>
                <w:rFonts w:ascii="Arial Narrow" w:hAnsi="Arial Narrow" w:cstheme="minorHAnsi"/>
                <w:sz w:val="20"/>
              </w:rPr>
              <w:t>Max.</w:t>
            </w:r>
            <w:r w:rsidRPr="006D767C">
              <w:rPr>
                <w:rFonts w:ascii="Arial Narrow" w:hAnsi="Arial Narrow" w:cstheme="minorHAnsi"/>
                <w:sz w:val="20"/>
              </w:rPr>
              <w:br/>
              <w:t>amount</w:t>
            </w:r>
          </w:p>
        </w:tc>
        <w:tc>
          <w:tcPr>
            <w:tcW w:w="709" w:type="dxa"/>
            <w:gridSpan w:val="2"/>
            <w:tcBorders>
              <w:bottom w:val="single" w:sz="4" w:space="0" w:color="auto"/>
            </w:tcBorders>
            <w:vAlign w:val="center"/>
          </w:tcPr>
          <w:p w:rsidR="002B48E4" w:rsidRPr="006D767C" w:rsidRDefault="002B48E4" w:rsidP="00C813BE">
            <w:pPr>
              <w:keepNext/>
              <w:spacing w:before="0" w:after="0"/>
              <w:ind w:left="34"/>
              <w:jc w:val="center"/>
              <w:rPr>
                <w:rFonts w:ascii="Arial Narrow" w:hAnsi="Arial Narrow" w:cstheme="minorHAnsi"/>
                <w:sz w:val="20"/>
              </w:rPr>
            </w:pPr>
            <w:r w:rsidRPr="006D767C">
              <w:rPr>
                <w:rFonts w:ascii="Arial Narrow" w:hAnsi="Arial Narrow" w:cstheme="minorHAnsi"/>
                <w:sz w:val="20"/>
              </w:rPr>
              <w:t>№.of</w:t>
            </w:r>
            <w:r w:rsidRPr="006D767C">
              <w:rPr>
                <w:rFonts w:ascii="Arial Narrow" w:hAnsi="Arial Narrow" w:cstheme="minorHAnsi"/>
                <w:sz w:val="20"/>
              </w:rPr>
              <w:br/>
              <w:t>Rpts</w:t>
            </w:r>
          </w:p>
        </w:tc>
        <w:tc>
          <w:tcPr>
            <w:tcW w:w="2552" w:type="dxa"/>
            <w:gridSpan w:val="2"/>
            <w:tcBorders>
              <w:bottom w:val="single" w:sz="4" w:space="0" w:color="auto"/>
            </w:tcBorders>
            <w:vAlign w:val="center"/>
          </w:tcPr>
          <w:p w:rsidR="002B48E4" w:rsidRPr="006D767C" w:rsidRDefault="002D73C8" w:rsidP="00C813BE">
            <w:pPr>
              <w:keepNext/>
              <w:spacing w:before="0" w:after="0"/>
              <w:jc w:val="center"/>
              <w:rPr>
                <w:rFonts w:ascii="Arial Narrow" w:hAnsi="Arial Narrow"/>
                <w:sz w:val="20"/>
              </w:rPr>
            </w:pPr>
            <w:r w:rsidRPr="006D767C">
              <w:rPr>
                <w:rFonts w:ascii="Arial Narrow" w:hAnsi="Arial Narrow"/>
                <w:sz w:val="20"/>
              </w:rPr>
              <w:t>Proprietary Name</w:t>
            </w:r>
          </w:p>
        </w:tc>
        <w:tc>
          <w:tcPr>
            <w:tcW w:w="1701" w:type="dxa"/>
            <w:gridSpan w:val="2"/>
            <w:tcBorders>
              <w:bottom w:val="single" w:sz="4" w:space="0" w:color="auto"/>
            </w:tcBorders>
            <w:vAlign w:val="center"/>
          </w:tcPr>
          <w:p w:rsidR="002B48E4" w:rsidRPr="006D767C" w:rsidRDefault="002B48E4" w:rsidP="002D73C8">
            <w:pPr>
              <w:keepNext/>
              <w:spacing w:before="0" w:after="0"/>
              <w:jc w:val="left"/>
              <w:rPr>
                <w:rFonts w:ascii="Arial Narrow" w:hAnsi="Arial Narrow"/>
                <w:sz w:val="20"/>
              </w:rPr>
            </w:pPr>
            <w:r w:rsidRPr="006D767C">
              <w:rPr>
                <w:rFonts w:ascii="Arial Narrow" w:hAnsi="Arial Narrow"/>
                <w:sz w:val="20"/>
              </w:rPr>
              <w:t>Manufacturer</w:t>
            </w:r>
          </w:p>
        </w:tc>
      </w:tr>
      <w:tr w:rsidR="002B48E4" w:rsidRPr="006D767C" w:rsidTr="00C813BE">
        <w:trPr>
          <w:cantSplit/>
          <w:trHeight w:val="577"/>
        </w:trPr>
        <w:tc>
          <w:tcPr>
            <w:tcW w:w="2410" w:type="dxa"/>
            <w:tcBorders>
              <w:top w:val="single" w:sz="4" w:space="0" w:color="auto"/>
            </w:tcBorders>
          </w:tcPr>
          <w:p w:rsidR="002B48E4" w:rsidRPr="006D767C" w:rsidRDefault="002B48E4" w:rsidP="00C813BE">
            <w:pPr>
              <w:keepNext/>
              <w:spacing w:before="0" w:after="0"/>
              <w:ind w:left="-108"/>
              <w:jc w:val="left"/>
              <w:rPr>
                <w:rFonts w:ascii="Arial Narrow" w:hAnsi="Arial Narrow" w:cstheme="minorHAnsi"/>
                <w:sz w:val="20"/>
              </w:rPr>
            </w:pPr>
            <w:r w:rsidRPr="006D767C">
              <w:rPr>
                <w:rFonts w:ascii="Arial Narrow" w:hAnsi="Arial Narrow" w:cstheme="minorHAnsi"/>
                <w:sz w:val="20"/>
              </w:rPr>
              <w:t xml:space="preserve">atezolizumab, 1200 mg/20 mL injection, 20 mL vial, 1 </w:t>
            </w:r>
          </w:p>
        </w:tc>
        <w:tc>
          <w:tcPr>
            <w:tcW w:w="851" w:type="dxa"/>
            <w:gridSpan w:val="2"/>
            <w:tcBorders>
              <w:top w:val="single" w:sz="4" w:space="0" w:color="auto"/>
            </w:tcBorders>
          </w:tcPr>
          <w:p w:rsidR="002B48E4" w:rsidRPr="006D767C" w:rsidRDefault="002B48E4" w:rsidP="00C813BE">
            <w:pPr>
              <w:keepNext/>
              <w:spacing w:before="0" w:after="0"/>
              <w:ind w:left="-108"/>
              <w:jc w:val="center"/>
              <w:rPr>
                <w:rFonts w:ascii="Arial Narrow" w:hAnsi="Arial Narrow" w:cstheme="minorHAnsi"/>
                <w:sz w:val="20"/>
              </w:rPr>
            </w:pPr>
            <w:r w:rsidRPr="006D767C">
              <w:rPr>
                <w:rFonts w:ascii="Arial Narrow" w:hAnsi="Arial Narrow" w:cstheme="minorHAnsi"/>
                <w:sz w:val="20"/>
              </w:rPr>
              <w:t>1200 mg</w:t>
            </w:r>
          </w:p>
        </w:tc>
        <w:tc>
          <w:tcPr>
            <w:tcW w:w="708" w:type="dxa"/>
            <w:gridSpan w:val="2"/>
            <w:tcBorders>
              <w:top w:val="single" w:sz="4" w:space="0" w:color="auto"/>
            </w:tcBorders>
          </w:tcPr>
          <w:p w:rsidR="002B48E4" w:rsidRPr="006D767C" w:rsidRDefault="002B48E4" w:rsidP="00C813BE">
            <w:pPr>
              <w:keepNext/>
              <w:spacing w:before="0" w:after="0"/>
              <w:ind w:left="34"/>
              <w:jc w:val="center"/>
              <w:rPr>
                <w:rFonts w:ascii="Arial Narrow" w:hAnsi="Arial Narrow" w:cstheme="minorHAnsi"/>
                <w:sz w:val="20"/>
              </w:rPr>
            </w:pPr>
            <w:r w:rsidRPr="006D767C">
              <w:rPr>
                <w:rFonts w:ascii="Arial Narrow" w:hAnsi="Arial Narrow" w:cstheme="minorHAnsi"/>
                <w:sz w:val="20"/>
              </w:rPr>
              <w:t>5</w:t>
            </w:r>
          </w:p>
        </w:tc>
        <w:tc>
          <w:tcPr>
            <w:tcW w:w="2410" w:type="dxa"/>
            <w:gridSpan w:val="2"/>
            <w:tcBorders>
              <w:top w:val="single" w:sz="4" w:space="0" w:color="auto"/>
            </w:tcBorders>
          </w:tcPr>
          <w:p w:rsidR="002B48E4" w:rsidRPr="006D767C" w:rsidRDefault="002D73C8" w:rsidP="002D73C8">
            <w:pPr>
              <w:keepNext/>
              <w:spacing w:before="0" w:after="0"/>
              <w:ind w:left="-108"/>
              <w:jc w:val="center"/>
              <w:rPr>
                <w:rFonts w:ascii="Arial Narrow" w:hAnsi="Arial Narrow" w:cstheme="minorHAnsi"/>
                <w:sz w:val="20"/>
              </w:rPr>
            </w:pPr>
            <w:r w:rsidRPr="006D767C">
              <w:rPr>
                <w:rFonts w:ascii="Arial Narrow" w:hAnsi="Arial Narrow" w:cstheme="minorHAnsi"/>
                <w:sz w:val="20"/>
              </w:rPr>
              <w:t>Tecentriq</w:t>
            </w:r>
          </w:p>
        </w:tc>
        <w:tc>
          <w:tcPr>
            <w:tcW w:w="992" w:type="dxa"/>
            <w:gridSpan w:val="2"/>
            <w:tcBorders>
              <w:top w:val="single" w:sz="4" w:space="0" w:color="auto"/>
            </w:tcBorders>
          </w:tcPr>
          <w:p w:rsidR="002B48E4" w:rsidRPr="006D767C" w:rsidRDefault="002D73C8" w:rsidP="00C813BE">
            <w:pPr>
              <w:keepNext/>
              <w:spacing w:before="0" w:after="0"/>
              <w:jc w:val="center"/>
              <w:rPr>
                <w:rFonts w:ascii="Arial Narrow" w:hAnsi="Arial Narrow" w:cstheme="minorHAnsi"/>
                <w:sz w:val="20"/>
              </w:rPr>
            </w:pPr>
            <w:r w:rsidRPr="006D767C">
              <w:rPr>
                <w:rFonts w:ascii="Arial Narrow" w:hAnsi="Arial Narrow" w:cstheme="minorHAnsi"/>
                <w:sz w:val="20"/>
              </w:rPr>
              <w:t>Roche Products Pty Ltd</w:t>
            </w:r>
          </w:p>
        </w:tc>
        <w:tc>
          <w:tcPr>
            <w:tcW w:w="993" w:type="dxa"/>
            <w:tcBorders>
              <w:top w:val="single" w:sz="4" w:space="0" w:color="auto"/>
            </w:tcBorders>
          </w:tcPr>
          <w:p w:rsidR="002B48E4" w:rsidRPr="006D767C" w:rsidRDefault="002B48E4" w:rsidP="00C813BE">
            <w:pPr>
              <w:keepNext/>
              <w:spacing w:before="0" w:after="0"/>
              <w:jc w:val="center"/>
              <w:rPr>
                <w:rFonts w:ascii="Arial Narrow" w:hAnsi="Arial Narrow" w:cstheme="minorHAnsi"/>
                <w:sz w:val="20"/>
              </w:rPr>
            </w:pPr>
          </w:p>
        </w:tc>
      </w:tr>
      <w:tr w:rsidR="002B48E4" w:rsidRPr="006D767C" w:rsidTr="00C813BE">
        <w:trPr>
          <w:cantSplit/>
          <w:trHeight w:val="249"/>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Category / Program:</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Section 100 – Efficient Funding of Chemotherapy</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Prescriber type:</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sz w:val="20"/>
              </w:rPr>
            </w:pPr>
            <w:r w:rsidRPr="006D767C">
              <w:rPr>
                <w:rFonts w:ascii="Arial Narrow" w:hAnsi="Arial Narrow"/>
                <w:sz w:val="20"/>
              </w:rPr>
              <w:fldChar w:fldCharType="begin">
                <w:ffData>
                  <w:name w:val="Check1"/>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Dental  </w:t>
            </w:r>
            <w:r w:rsidRPr="006D767C">
              <w:rPr>
                <w:rFonts w:ascii="Arial Narrow" w:hAnsi="Arial Narrow"/>
                <w:sz w:val="20"/>
              </w:rPr>
              <w:fldChar w:fldCharType="begin">
                <w:ffData>
                  <w:name w:val=""/>
                  <w:enabled/>
                  <w:calcOnExit w:val="0"/>
                  <w:checkBox>
                    <w:sizeAuto/>
                    <w:default w:val="1"/>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Medical Practitioners  </w:t>
            </w:r>
            <w:r w:rsidRPr="006D767C">
              <w:rPr>
                <w:rFonts w:ascii="Arial Narrow" w:hAnsi="Arial Narrow"/>
                <w:sz w:val="20"/>
              </w:rPr>
              <w:fldChar w:fldCharType="begin">
                <w:ffData>
                  <w:name w:val="Check3"/>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 xml:space="preserve">Nurse practitioners  </w:t>
            </w:r>
            <w:r w:rsidRPr="006D767C">
              <w:rPr>
                <w:rFonts w:ascii="Arial Narrow" w:hAnsi="Arial Narrow"/>
                <w:sz w:val="20"/>
              </w:rPr>
              <w:fldChar w:fldCharType="begin">
                <w:ffData>
                  <w:name w:val=""/>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Optometrists</w:t>
            </w:r>
          </w:p>
          <w:p w:rsidR="002B48E4" w:rsidRPr="006D767C" w:rsidRDefault="002B48E4" w:rsidP="00C813BE">
            <w:pPr>
              <w:spacing w:before="0" w:after="0"/>
              <w:rPr>
                <w:rFonts w:ascii="Arial Narrow" w:eastAsia="Calibri" w:hAnsi="Arial Narrow" w:cstheme="minorHAnsi"/>
                <w:sz w:val="20"/>
              </w:rPr>
            </w:pPr>
            <w:r w:rsidRPr="006D767C">
              <w:rPr>
                <w:rFonts w:ascii="Arial Narrow" w:hAnsi="Arial Narrow"/>
                <w:sz w:val="20"/>
              </w:rPr>
              <w:fldChar w:fldCharType="begin">
                <w:ffData>
                  <w:name w:val="Check5"/>
                  <w:enabled/>
                  <w:calcOnExit w:val="0"/>
                  <w:checkBox>
                    <w:sizeAuto/>
                    <w:default w:val="0"/>
                  </w:checkBox>
                </w:ffData>
              </w:fldChar>
            </w:r>
            <w:r w:rsidRPr="006D767C">
              <w:rPr>
                <w:rFonts w:ascii="Arial Narrow" w:hAnsi="Arial Narrow"/>
                <w:sz w:val="20"/>
              </w:rPr>
              <w:instrText xml:space="preserve"> FORMCHECKBOX </w:instrText>
            </w:r>
            <w:r w:rsidR="002041B0">
              <w:rPr>
                <w:rFonts w:ascii="Arial Narrow" w:hAnsi="Arial Narrow"/>
                <w:sz w:val="20"/>
              </w:rPr>
            </w:r>
            <w:r w:rsidR="002041B0">
              <w:rPr>
                <w:rFonts w:ascii="Arial Narrow" w:hAnsi="Arial Narrow"/>
                <w:sz w:val="20"/>
              </w:rPr>
              <w:fldChar w:fldCharType="separate"/>
            </w:r>
            <w:r w:rsidRPr="006D767C">
              <w:rPr>
                <w:rFonts w:ascii="Arial Narrow" w:hAnsi="Arial Narrow"/>
                <w:sz w:val="20"/>
              </w:rPr>
              <w:fldChar w:fldCharType="end"/>
            </w:r>
            <w:r w:rsidRPr="006D767C">
              <w:rPr>
                <w:rFonts w:ascii="Arial Narrow" w:hAnsi="Arial Narrow"/>
                <w:sz w:val="20"/>
              </w:rPr>
              <w:t>Midwives</w:t>
            </w:r>
          </w:p>
        </w:tc>
      </w:tr>
      <w:tr w:rsidR="002B48E4" w:rsidRPr="006D767C" w:rsidTr="00C813BE">
        <w:trPr>
          <w:cantSplit/>
          <w:trHeight w:val="64"/>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Severity:</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w:t>
            </w:r>
          </w:p>
        </w:tc>
      </w:tr>
      <w:tr w:rsidR="002B48E4" w:rsidRPr="006D767C" w:rsidTr="00C813BE">
        <w:trPr>
          <w:cantSplit/>
          <w:trHeight w:val="195"/>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Condition:</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t>Non-small cell lung cancer (NSCLC)</w:t>
            </w:r>
          </w:p>
        </w:tc>
      </w:tr>
      <w:tr w:rsidR="002B48E4" w:rsidRPr="006D767C" w:rsidTr="00C813BE">
        <w:trPr>
          <w:cantSplit/>
          <w:trHeight w:val="99"/>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b/>
                <w:sz w:val="20"/>
              </w:rPr>
            </w:pPr>
            <w:r w:rsidRPr="006D767C">
              <w:rPr>
                <w:rFonts w:ascii="Arial Narrow" w:eastAsia="Calibri" w:hAnsi="Arial Narrow" w:cstheme="minorHAnsi"/>
                <w:b/>
                <w:sz w:val="20"/>
              </w:rPr>
              <w:t xml:space="preserve">PBS Indication: </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Locally advanced or metastatic NSCLC</w:t>
            </w:r>
          </w:p>
        </w:tc>
      </w:tr>
      <w:tr w:rsidR="002B48E4" w:rsidRPr="006D767C" w:rsidTr="00C813BE">
        <w:trPr>
          <w:cantSplit/>
          <w:trHeight w:val="145"/>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Treatment phase:</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Grandfathering treatment</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b/>
                <w:sz w:val="20"/>
              </w:rPr>
              <w:t>Restriction:</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Check1"/>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Restricted benefit</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In Writing</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Check3"/>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Telephone</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Emergency</w:t>
            </w:r>
          </w:p>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sz w:val="20"/>
              </w:rPr>
              <w:fldChar w:fldCharType="begin">
                <w:ffData>
                  <w:name w:val="Check5"/>
                  <w:enabled/>
                  <w:calcOnExit w:val="0"/>
                  <w:checkBox>
                    <w:sizeAuto/>
                    <w:default w:val="0"/>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Authority Required - Electronic</w:t>
            </w:r>
          </w:p>
          <w:p w:rsidR="002B48E4" w:rsidRPr="006D767C" w:rsidRDefault="002B48E4" w:rsidP="00C813BE">
            <w:pPr>
              <w:spacing w:before="0" w:after="0"/>
              <w:rPr>
                <w:rFonts w:ascii="Arial Narrow" w:hAnsi="Arial Narrow" w:cstheme="minorHAnsi"/>
                <w:i/>
                <w:sz w:val="20"/>
              </w:rPr>
            </w:pPr>
            <w:r w:rsidRPr="006D767C">
              <w:rPr>
                <w:rFonts w:ascii="Arial Narrow" w:hAnsi="Arial Narrow" w:cstheme="minorHAnsi"/>
                <w:sz w:val="20"/>
              </w:rPr>
              <w:fldChar w:fldCharType="begin">
                <w:ffData>
                  <w:name w:val="Check5"/>
                  <w:enabled/>
                  <w:calcOnExit w:val="0"/>
                  <w:checkBox>
                    <w:sizeAuto/>
                    <w:default w:val="1"/>
                  </w:checkBox>
                </w:ffData>
              </w:fldChar>
            </w:r>
            <w:r w:rsidRPr="006D767C">
              <w:rPr>
                <w:rFonts w:ascii="Arial Narrow" w:hAnsi="Arial Narrow" w:cstheme="minorHAnsi"/>
                <w:sz w:val="20"/>
              </w:rPr>
              <w:instrText xml:space="preserve"> FORMCHECKBOX </w:instrText>
            </w:r>
            <w:r w:rsidR="002041B0">
              <w:rPr>
                <w:rFonts w:ascii="Arial Narrow" w:hAnsi="Arial Narrow" w:cstheme="minorHAnsi"/>
                <w:sz w:val="20"/>
              </w:rPr>
            </w:r>
            <w:r w:rsidR="002041B0">
              <w:rPr>
                <w:rFonts w:ascii="Arial Narrow" w:hAnsi="Arial Narrow" w:cstheme="minorHAnsi"/>
                <w:sz w:val="20"/>
              </w:rPr>
              <w:fldChar w:fldCharType="separate"/>
            </w:r>
            <w:r w:rsidRPr="006D767C">
              <w:rPr>
                <w:rFonts w:ascii="Arial Narrow" w:hAnsi="Arial Narrow" w:cstheme="minorHAnsi"/>
                <w:sz w:val="20"/>
              </w:rPr>
              <w:fldChar w:fldCharType="end"/>
            </w:r>
            <w:r w:rsidRPr="006D767C">
              <w:rPr>
                <w:rFonts w:ascii="Arial Narrow" w:hAnsi="Arial Narrow" w:cstheme="minorHAnsi"/>
                <w:sz w:val="20"/>
              </w:rPr>
              <w:t>Streamlined</w:t>
            </w:r>
          </w:p>
        </w:tc>
      </w:tr>
      <w:tr w:rsidR="002B48E4" w:rsidRPr="006D767C" w:rsidTr="00C813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hAnsi="Arial Narrow" w:cstheme="minorHAnsi"/>
                <w:sz w:val="20"/>
              </w:rPr>
            </w:pPr>
            <w:r w:rsidRPr="006D767C">
              <w:rPr>
                <w:rFonts w:ascii="Arial Narrow" w:hAnsi="Arial Narrow" w:cstheme="minorHAnsi"/>
                <w:b/>
                <w:sz w:val="20"/>
              </w:rPr>
              <w:t>Clinical criteria:</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 xml:space="preserve">Patient must have previously received treatment with this drug for this condition prior to [PBS listing date] </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 xml:space="preserve">The treatment must be the sole PBS-subsidised </w:t>
            </w:r>
            <w:r w:rsidR="007279DD" w:rsidRPr="006D767C">
              <w:rPr>
                <w:rFonts w:ascii="Arial Narrow" w:eastAsia="Calibri" w:hAnsi="Arial Narrow" w:cstheme="minorHAnsi"/>
                <w:sz w:val="20"/>
              </w:rPr>
              <w:t>t</w:t>
            </w:r>
            <w:r w:rsidR="007279DD">
              <w:rPr>
                <w:rFonts w:ascii="Arial Narrow" w:eastAsia="Calibri" w:hAnsi="Arial Narrow" w:cstheme="minorHAnsi"/>
                <w:sz w:val="20"/>
              </w:rPr>
              <w:t>reatment</w:t>
            </w:r>
            <w:r w:rsidRPr="006D767C">
              <w:rPr>
                <w:rFonts w:ascii="Arial Narrow" w:eastAsia="Calibri" w:hAnsi="Arial Narrow" w:cstheme="minorHAnsi"/>
                <w:sz w:val="20"/>
              </w:rPr>
              <w:t xml:space="preserve"> for this condition</w:t>
            </w:r>
          </w:p>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AND</w:t>
            </w:r>
          </w:p>
          <w:p w:rsidR="002B48E4" w:rsidRPr="006D767C" w:rsidRDefault="002B48E4" w:rsidP="00497EEA">
            <w:pPr>
              <w:spacing w:before="0" w:after="0"/>
              <w:rPr>
                <w:rFonts w:ascii="Arial Narrow" w:eastAsia="Calibri" w:hAnsi="Arial Narrow" w:cstheme="minorHAnsi"/>
                <w:i/>
                <w:sz w:val="20"/>
              </w:rPr>
            </w:pPr>
            <w:r w:rsidRPr="006D767C">
              <w:rPr>
                <w:rFonts w:ascii="Arial Narrow" w:eastAsia="Calibri" w:hAnsi="Arial Narrow" w:cstheme="minorHAnsi"/>
                <w:sz w:val="20"/>
              </w:rPr>
              <w:t>Patient must have stable or responding disease</w:t>
            </w:r>
          </w:p>
        </w:tc>
      </w:tr>
      <w:tr w:rsidR="002B48E4" w:rsidRPr="006D767C" w:rsidTr="00C813BE">
        <w:trPr>
          <w:cantSplit/>
          <w:trHeight w:val="209"/>
        </w:trPr>
        <w:tc>
          <w:tcPr>
            <w:tcW w:w="2410" w:type="dxa"/>
            <w:tcBorders>
              <w:top w:val="single" w:sz="4" w:space="0" w:color="auto"/>
              <w:left w:val="single" w:sz="4" w:space="0" w:color="auto"/>
              <w:bottom w:val="single" w:sz="4" w:space="0" w:color="auto"/>
              <w:right w:val="single" w:sz="4" w:space="0" w:color="auto"/>
            </w:tcBorders>
            <w:vAlign w:val="center"/>
          </w:tcPr>
          <w:p w:rsidR="002B48E4" w:rsidRPr="006D767C" w:rsidRDefault="002B48E4" w:rsidP="00C813BE">
            <w:pPr>
              <w:spacing w:before="0" w:after="0"/>
              <w:rPr>
                <w:rFonts w:ascii="Arial Narrow" w:hAnsi="Arial Narrow" w:cstheme="minorHAnsi"/>
                <w:b/>
                <w:sz w:val="20"/>
              </w:rPr>
            </w:pPr>
            <w:r w:rsidRPr="006D767C">
              <w:rPr>
                <w:rFonts w:ascii="Arial Narrow" w:hAnsi="Arial Narrow" w:cstheme="minorHAnsi"/>
                <w:b/>
                <w:sz w:val="20"/>
              </w:rPr>
              <w:t>Prescriber Instructions</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C813BE">
            <w:pPr>
              <w:spacing w:before="0" w:after="0"/>
              <w:rPr>
                <w:rFonts w:ascii="Arial Narrow" w:eastAsia="Calibri" w:hAnsi="Arial Narrow" w:cstheme="minorHAnsi"/>
                <w:sz w:val="20"/>
              </w:rPr>
            </w:pPr>
            <w:r w:rsidRPr="006D767C">
              <w:rPr>
                <w:rFonts w:ascii="Arial Narrow" w:eastAsia="Calibri" w:hAnsi="Arial Narrow" w:cstheme="minorHAnsi"/>
                <w:sz w:val="20"/>
              </w:rPr>
              <w:t>A patient may qualify for PBS-subsidised treatment under this restriction once only.</w:t>
            </w:r>
            <w:r w:rsidR="007279DD">
              <w:rPr>
                <w:rFonts w:ascii="Arial Narrow" w:eastAsia="Calibri" w:hAnsi="Arial Narrow" w:cstheme="minorHAnsi"/>
                <w:sz w:val="20"/>
              </w:rPr>
              <w:t xml:space="preserve"> </w:t>
            </w:r>
            <w:r w:rsidR="007279DD" w:rsidRPr="00207EE1">
              <w:rPr>
                <w:rFonts w:ascii="Arial Narrow" w:eastAsia="Calibri" w:hAnsi="Arial Narrow" w:cstheme="minorHAnsi"/>
                <w:sz w:val="20"/>
              </w:rPr>
              <w:t>For continuing PBS-subsidised treatment, a Grandfathered patient must qualify under the Continuing treatment criteria.</w:t>
            </w:r>
          </w:p>
        </w:tc>
      </w:tr>
      <w:tr w:rsidR="002B48E4" w:rsidRPr="006D767C" w:rsidTr="00C813BE">
        <w:trPr>
          <w:cantSplit/>
          <w:trHeight w:val="209"/>
        </w:trPr>
        <w:tc>
          <w:tcPr>
            <w:tcW w:w="2410" w:type="dxa"/>
            <w:tcBorders>
              <w:top w:val="single" w:sz="4" w:space="0" w:color="auto"/>
              <w:left w:val="single" w:sz="4" w:space="0" w:color="auto"/>
              <w:bottom w:val="single" w:sz="4" w:space="0" w:color="auto"/>
              <w:right w:val="single" w:sz="4" w:space="0" w:color="auto"/>
            </w:tcBorders>
            <w:vAlign w:val="center"/>
          </w:tcPr>
          <w:p w:rsidR="002B48E4" w:rsidRPr="006D767C" w:rsidRDefault="002B48E4" w:rsidP="00C813BE">
            <w:pPr>
              <w:spacing w:before="0" w:after="0"/>
              <w:rPr>
                <w:rFonts w:ascii="Arial Narrow" w:hAnsi="Arial Narrow" w:cstheme="minorHAnsi"/>
                <w:i/>
                <w:sz w:val="20"/>
              </w:rPr>
            </w:pPr>
            <w:r w:rsidRPr="006D767C">
              <w:rPr>
                <w:rFonts w:ascii="Arial Narrow" w:hAnsi="Arial Narrow" w:cstheme="minorHAnsi"/>
                <w:b/>
                <w:sz w:val="20"/>
              </w:rPr>
              <w:t>Administrative Advice</w:t>
            </w:r>
          </w:p>
        </w:tc>
        <w:tc>
          <w:tcPr>
            <w:tcW w:w="5954" w:type="dxa"/>
            <w:gridSpan w:val="9"/>
            <w:tcBorders>
              <w:top w:val="single" w:sz="4" w:space="0" w:color="auto"/>
              <w:left w:val="single" w:sz="4" w:space="0" w:color="auto"/>
              <w:bottom w:val="single" w:sz="4" w:space="0" w:color="auto"/>
              <w:right w:val="single" w:sz="4" w:space="0" w:color="auto"/>
            </w:tcBorders>
          </w:tcPr>
          <w:p w:rsidR="002B48E4" w:rsidRPr="006D767C" w:rsidRDefault="002B48E4" w:rsidP="00B63E00">
            <w:pPr>
              <w:spacing w:before="0" w:after="0"/>
              <w:rPr>
                <w:rFonts w:ascii="Arial Narrow" w:eastAsia="Calibri" w:hAnsi="Arial Narrow" w:cstheme="minorHAnsi"/>
                <w:sz w:val="20"/>
              </w:rPr>
            </w:pPr>
            <w:r w:rsidRPr="006D767C">
              <w:rPr>
                <w:rFonts w:ascii="Arial Narrow" w:eastAsia="Calibri" w:hAnsi="Arial Narrow" w:cstheme="minorHAnsi"/>
                <w:sz w:val="20"/>
              </w:rPr>
              <w:t>No increase in the maximum number of repeats may be authorised.</w:t>
            </w:r>
          </w:p>
        </w:tc>
      </w:tr>
    </w:tbl>
    <w:p w:rsidR="00513F15" w:rsidRDefault="00513F15" w:rsidP="00513F15">
      <w:pPr>
        <w:pStyle w:val="ListParagraph"/>
        <w:spacing w:after="120"/>
        <w:ind w:left="578"/>
      </w:pPr>
    </w:p>
    <w:p w:rsidR="006F4298" w:rsidRPr="006D767C" w:rsidRDefault="006F4298" w:rsidP="002D73C8">
      <w:pPr>
        <w:pStyle w:val="ListParagraph"/>
        <w:numPr>
          <w:ilvl w:val="1"/>
          <w:numId w:val="1"/>
        </w:numPr>
        <w:spacing w:after="120"/>
        <w:ind w:left="578" w:hanging="578"/>
      </w:pPr>
      <w:r w:rsidRPr="006D767C">
        <w:t>Flow-on restriction changes:</w:t>
      </w:r>
    </w:p>
    <w:p w:rsidR="006F4298" w:rsidRPr="006D767C" w:rsidRDefault="006F4298" w:rsidP="006F4298">
      <w:pPr>
        <w:pStyle w:val="ListParagraph"/>
        <w:spacing w:before="0" w:after="120"/>
        <w:ind w:left="576"/>
      </w:pPr>
      <w:r w:rsidRPr="006D767C">
        <w:t xml:space="preserve">The initial treatment criteria for </w:t>
      </w:r>
      <w:r w:rsidRPr="006D767C">
        <w:rPr>
          <w:color w:val="000000" w:themeColor="text1"/>
        </w:rPr>
        <w:t>nivolumab</w:t>
      </w:r>
      <w:r w:rsidRPr="006D767C">
        <w:t xml:space="preserve"> for the treatment of NSCLC (11143L and 11158G) should be amended to replace the criterion:</w:t>
      </w:r>
    </w:p>
    <w:p w:rsidR="006F4298" w:rsidRPr="00513F15" w:rsidRDefault="006F4298" w:rsidP="006F4298">
      <w:pPr>
        <w:pStyle w:val="ListParagraph"/>
        <w:spacing w:before="0" w:after="120"/>
        <w:ind w:left="576"/>
      </w:pPr>
      <w:r w:rsidRPr="00513F15">
        <w:t>‘Patient must not have received prior treatment with a programmed cell death-1 (PD-1) inhibitor for this condition’</w:t>
      </w:r>
    </w:p>
    <w:p w:rsidR="006F4298" w:rsidRPr="006D767C" w:rsidRDefault="006F4298" w:rsidP="006F4298">
      <w:pPr>
        <w:pStyle w:val="ListParagraph"/>
        <w:spacing w:before="0" w:after="120"/>
        <w:ind w:left="576"/>
      </w:pPr>
      <w:r w:rsidRPr="006D767C">
        <w:t>with the following criteria:</w:t>
      </w:r>
    </w:p>
    <w:p w:rsidR="006F4298" w:rsidRPr="00513F15" w:rsidRDefault="006F4298" w:rsidP="006F4298">
      <w:pPr>
        <w:pStyle w:val="ListParagraph"/>
        <w:spacing w:before="0" w:after="120"/>
        <w:ind w:left="576"/>
      </w:pPr>
      <w:r w:rsidRPr="00513F15">
        <w:t>‘Patient must not have received prior treatment with a programmed cell death-1 (PD-1) inhibitor or a programmed cell death ligand-1 (PD-L1) inhibitor for this condition</w:t>
      </w:r>
      <w:r w:rsidR="00513F15">
        <w:t>’</w:t>
      </w:r>
    </w:p>
    <w:p w:rsidR="00256A09" w:rsidRPr="00D24BA5" w:rsidRDefault="00256A09" w:rsidP="00256A09">
      <w:pPr>
        <w:pStyle w:val="Heading1"/>
      </w:pPr>
      <w:r>
        <w:t>Context for Decision</w:t>
      </w:r>
    </w:p>
    <w:p w:rsidR="00256A09" w:rsidRPr="00D24BA5" w:rsidRDefault="00256A09" w:rsidP="00256A09">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56A09" w:rsidRDefault="00256A09" w:rsidP="00256A09">
      <w:pPr>
        <w:pStyle w:val="Heading1"/>
        <w:ind w:left="709" w:hanging="709"/>
        <w:jc w:val="left"/>
        <w:rPr>
          <w:szCs w:val="32"/>
        </w:rPr>
      </w:pPr>
      <w:r>
        <w:rPr>
          <w:szCs w:val="32"/>
        </w:rPr>
        <w:t>Sponsor’s Comment</w:t>
      </w:r>
    </w:p>
    <w:p w:rsidR="00256A09" w:rsidRPr="00EC4D7F" w:rsidRDefault="00EC4D7F" w:rsidP="00EC4D7F">
      <w:pPr>
        <w:spacing w:after="120"/>
      </w:pPr>
      <w:r w:rsidRPr="00EC4D7F">
        <w:t>Roche welcomes the PBAC’s decision to recommend atezolizumab for patients with locally advanced or metastatic NSCLC and are working with the Department of Health towards a PBS listing at the earliest opportunity.</w:t>
      </w:r>
    </w:p>
    <w:p w:rsidR="00256A09" w:rsidRDefault="00256A09" w:rsidP="006F4298">
      <w:pPr>
        <w:pStyle w:val="ListParagraph"/>
        <w:spacing w:before="0" w:after="120"/>
        <w:ind w:left="576"/>
        <w:rPr>
          <w:rFonts w:ascii="Arial Narrow" w:hAnsi="Arial Narrow"/>
        </w:rPr>
      </w:pPr>
    </w:p>
    <w:sectPr w:rsidR="00256A09" w:rsidSect="00B57686">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A46A67" w15:done="0"/>
  <w15:commentEx w15:paraId="46FED6E7" w15:done="0"/>
  <w15:commentEx w15:paraId="2FC78500" w15:paraIdParent="46FED6E7" w15:done="0"/>
  <w15:commentEx w15:paraId="144D1F08" w15:done="0"/>
  <w15:commentEx w15:paraId="59B2D801" w15:paraIdParent="144D1F08" w15:done="0"/>
  <w15:commentEx w15:paraId="3CCDE44E" w15:done="0"/>
  <w15:commentEx w15:paraId="6BF8F9EE" w15:paraIdParent="3CCDE44E" w15:done="0"/>
  <w15:commentEx w15:paraId="18364BF1" w15:done="0"/>
  <w15:commentEx w15:paraId="1785F6D0" w15:paraIdParent="18364BF1" w15:done="0"/>
  <w15:commentEx w15:paraId="79F32011" w15:done="0"/>
  <w15:commentEx w15:paraId="35FB36CD" w15:paraIdParent="79F32011" w15:done="0"/>
  <w15:commentEx w15:paraId="56CD3B0E" w15:done="0"/>
  <w15:commentEx w15:paraId="5FEF707F" w15:paraIdParent="56CD3B0E" w15:done="0"/>
  <w15:commentEx w15:paraId="235B6E2C" w15:done="0"/>
  <w15:commentEx w15:paraId="7E28CDB2" w15:paraIdParent="235B6E2C" w15:done="0"/>
  <w15:commentEx w15:paraId="7B8BC7D0" w15:done="0"/>
  <w15:commentEx w15:paraId="3F1C8851" w15:paraIdParent="7B8BC7D0" w15:done="0"/>
  <w15:commentEx w15:paraId="4CA06846" w15:done="0"/>
  <w15:commentEx w15:paraId="200FEDAE" w15:paraIdParent="4CA06846" w15:done="0"/>
  <w15:commentEx w15:paraId="1F0654ED" w15:done="0"/>
  <w15:commentEx w15:paraId="534AAA67" w15:paraIdParent="1F0654ED" w15:done="0"/>
  <w15:commentEx w15:paraId="51AE2928" w15:done="0"/>
  <w15:commentEx w15:paraId="5DCCC793" w15:paraIdParent="51AE2928" w15:done="0"/>
  <w15:commentEx w15:paraId="0F150EE2" w15:done="0"/>
  <w15:commentEx w15:paraId="4BFBB2E7" w15:paraIdParent="0F150EE2" w15:done="0"/>
  <w15:commentEx w15:paraId="129076DA" w15:done="0"/>
  <w15:commentEx w15:paraId="5DA66EFB" w15:paraIdParent="129076DA" w15:done="0"/>
  <w15:commentEx w15:paraId="3EA4FFD0" w15:done="0"/>
  <w15:commentEx w15:paraId="2BEAAE6D" w15:paraIdParent="3EA4FFD0" w15:done="0"/>
  <w15:commentEx w15:paraId="5E3B615C" w15:done="0"/>
  <w15:commentEx w15:paraId="640B026E" w15:paraIdParent="5E3B615C" w15:done="0"/>
  <w15:commentEx w15:paraId="2C5271BD" w15:done="0"/>
  <w15:commentEx w15:paraId="4E30CA51" w15:paraIdParent="2C5271BD" w15:done="0"/>
  <w15:commentEx w15:paraId="12EF81C7" w15:done="0"/>
  <w15:commentEx w15:paraId="57BB3917" w15:paraIdParent="12EF81C7" w15:done="0"/>
  <w15:commentEx w15:paraId="751EEDBB" w15:done="0"/>
  <w15:commentEx w15:paraId="719CB659" w15:paraIdParent="751EEDBB" w15:done="0"/>
  <w15:commentEx w15:paraId="78C8EACD" w15:done="0"/>
  <w15:commentEx w15:paraId="5C162811" w15:paraIdParent="78C8EACD" w15:done="0"/>
  <w15:commentEx w15:paraId="7E0E0447" w15:done="0"/>
  <w15:commentEx w15:paraId="2CA70649" w15:paraIdParent="7E0E0447" w15:done="0"/>
  <w15:commentEx w15:paraId="0B6A4A9F" w15:done="0"/>
  <w15:commentEx w15:paraId="345BCCCC" w15:paraIdParent="0B6A4A9F" w15:done="0"/>
  <w15:commentEx w15:paraId="32F9EE0D" w15:done="0"/>
  <w15:commentEx w15:paraId="23AA757D" w15:paraIdParent="32F9EE0D" w15:done="0"/>
  <w15:commentEx w15:paraId="5DB4DD23" w15:done="0"/>
  <w15:commentEx w15:paraId="14218E88" w15:paraIdParent="5DB4DD23" w15:done="0"/>
  <w15:commentEx w15:paraId="3D77ECF2" w15:done="0"/>
  <w15:commentEx w15:paraId="1D55F009" w15:paraIdParent="3D77ECF2" w15:done="0"/>
  <w15:commentEx w15:paraId="624B327E" w15:done="0"/>
  <w15:commentEx w15:paraId="1BC7E68A" w15:done="0"/>
  <w15:commentEx w15:paraId="58AAC11A" w15:paraIdParent="1BC7E68A" w15:done="0"/>
  <w15:commentEx w15:paraId="5A2A8303" w15:done="0"/>
  <w15:commentEx w15:paraId="15A5F079" w15:paraIdParent="5A2A83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B0" w:rsidRDefault="002041B0" w:rsidP="00BA3306">
      <w:pPr>
        <w:spacing w:before="0" w:after="0"/>
      </w:pPr>
      <w:r>
        <w:separator/>
      </w:r>
    </w:p>
  </w:endnote>
  <w:endnote w:type="continuationSeparator" w:id="0">
    <w:p w:rsidR="002041B0" w:rsidRDefault="002041B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0" w:rsidRDefault="00204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65069"/>
      <w:docPartObj>
        <w:docPartGallery w:val="Page Numbers (Bottom of Page)"/>
        <w:docPartUnique/>
      </w:docPartObj>
    </w:sdtPr>
    <w:sdtEndPr>
      <w:rPr>
        <w:noProof/>
      </w:rPr>
    </w:sdtEndPr>
    <w:sdtContent>
      <w:p w:rsidR="00984C5F" w:rsidRDefault="00984C5F">
        <w:pPr>
          <w:pStyle w:val="Footer"/>
          <w:jc w:val="center"/>
        </w:pPr>
        <w:r>
          <w:fldChar w:fldCharType="begin"/>
        </w:r>
        <w:r>
          <w:instrText xml:space="preserve"> PAGE   \* MERGEFORMAT </w:instrText>
        </w:r>
        <w:r>
          <w:fldChar w:fldCharType="separate"/>
        </w:r>
        <w:r w:rsidR="002041B0">
          <w:rPr>
            <w:noProof/>
          </w:rPr>
          <w:t>1</w:t>
        </w:r>
        <w:r>
          <w:rPr>
            <w:noProof/>
          </w:rPr>
          <w:fldChar w:fldCharType="end"/>
        </w:r>
      </w:p>
    </w:sdtContent>
  </w:sdt>
  <w:p w:rsidR="00984C5F" w:rsidRPr="004A6E22" w:rsidRDefault="00984C5F" w:rsidP="00C75418">
    <w:pPr>
      <w:spacing w:after="0"/>
      <w:ind w:left="709"/>
      <w:contextualSpacing/>
      <w:jc w:val="center"/>
      <w:rPr>
        <w:rFonts w:cs="Arial"/>
        <w:b/>
        <w:bCs/>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0" w:rsidRDefault="00204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B0" w:rsidRDefault="002041B0" w:rsidP="00BA3306">
      <w:pPr>
        <w:spacing w:before="0" w:after="0"/>
      </w:pPr>
      <w:r>
        <w:separator/>
      </w:r>
    </w:p>
  </w:footnote>
  <w:footnote w:type="continuationSeparator" w:id="0">
    <w:p w:rsidR="002041B0" w:rsidRDefault="002041B0" w:rsidP="00BA3306">
      <w:pPr>
        <w:spacing w:before="0" w:after="0"/>
      </w:pPr>
      <w:r>
        <w:continuationSeparator/>
      </w:r>
    </w:p>
  </w:footnote>
  <w:footnote w:id="1">
    <w:p w:rsidR="00984C5F" w:rsidRDefault="00984C5F">
      <w:pPr>
        <w:pStyle w:val="FootnoteText"/>
      </w:pPr>
      <w:r>
        <w:rPr>
          <w:rStyle w:val="FootnoteReference"/>
        </w:rPr>
        <w:footnoteRef/>
      </w:r>
      <w:r>
        <w:t xml:space="preserve"> </w:t>
      </w:r>
      <w:r w:rsidRPr="00AC4701">
        <w:t>Cherny NI, Dafni U, Bogaerts J, et al: ESMO-Magnitude of Clinical Benefit Scale version 1.1. Annals of Oncology 28:2340-2366, 2017</w:t>
      </w:r>
      <w:r>
        <w:t xml:space="preserve"> </w:t>
      </w:r>
    </w:p>
  </w:footnote>
  <w:footnote w:id="2">
    <w:p w:rsidR="00984C5F" w:rsidRDefault="00984C5F">
      <w:pPr>
        <w:pStyle w:val="FootnoteText"/>
      </w:pPr>
      <w:r>
        <w:rPr>
          <w:rStyle w:val="FootnoteReference"/>
        </w:rPr>
        <w:footnoteRef/>
      </w:r>
      <w:r>
        <w:t xml:space="preserve"> </w:t>
      </w:r>
      <w:r>
        <w:rPr>
          <w:rFonts w:ascii="Segoe UI" w:hAnsi="Segoe UI" w:cs="Segoe UI"/>
          <w:szCs w:val="18"/>
        </w:rPr>
        <w:t>Bucher HC, Guyatt GH, Griffith LE, Walter SD. The results of direct and indirect treatment comparisons in meta-analysis of randomized controlled trials. J Clin Epidemiol. 1997;50(6):683-91. Epub 1997/06/01.</w:t>
      </w:r>
    </w:p>
  </w:footnote>
  <w:footnote w:id="3">
    <w:p w:rsidR="00984C5F" w:rsidRDefault="00984C5F">
      <w:pPr>
        <w:pStyle w:val="FootnoteText"/>
      </w:pPr>
      <w:r>
        <w:rPr>
          <w:rStyle w:val="FootnoteReference"/>
        </w:rPr>
        <w:footnoteRef/>
      </w:r>
      <w:r>
        <w:t xml:space="preserve"> </w:t>
      </w:r>
      <w:r>
        <w:rPr>
          <w:rFonts w:ascii="Segoe UI" w:hAnsi="Segoe UI" w:cs="Segoe UI"/>
          <w:szCs w:val="18"/>
        </w:rPr>
        <w:t>Cetin K, Ettinger DS, Hei Y-j, O’Malley CD. Survival by histologic subtype in stage IV non small cell lung cancer based on data from the Surveillance, Epidemiology and End Results Program. Clinical Epidemiology. 2011;3:139-48.</w:t>
      </w:r>
    </w:p>
  </w:footnote>
  <w:footnote w:id="4">
    <w:p w:rsidR="00984C5F" w:rsidRDefault="00984C5F" w:rsidP="00C87201">
      <w:pPr>
        <w:pStyle w:val="FootnoteText"/>
      </w:pPr>
      <w:r>
        <w:rPr>
          <w:rStyle w:val="FootnoteReference"/>
        </w:rPr>
        <w:footnoteRef/>
      </w:r>
      <w:r>
        <w:t xml:space="preserve"> </w:t>
      </w:r>
      <w:r w:rsidRPr="0026392C">
        <w:t>Hirsch FR, McElhinny A, et al. PD-L1 Immunohistochemistry Assays for Lung Cancer: Results from Phase 1 of the Blueprint PD-L1 IHC Assay Comparison Project. J Thorac Oncol. 2017 Feb;12(2):208-22.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0" w:rsidRDefault="00204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5F" w:rsidRPr="00F84F56" w:rsidRDefault="00984C5F" w:rsidP="00E52C96">
    <w:pPr>
      <w:pStyle w:val="Header"/>
      <w:tabs>
        <w:tab w:val="left" w:pos="1725"/>
        <w:tab w:val="left" w:pos="7725"/>
      </w:tabs>
      <w:jc w:val="center"/>
      <w:rPr>
        <w:i/>
      </w:rPr>
    </w:pPr>
    <w:r>
      <w:rPr>
        <w:i/>
      </w:rPr>
      <w:t>Public Summary Document</w:t>
    </w:r>
    <w:r w:rsidRPr="00F84F56">
      <w:rPr>
        <w:i/>
      </w:rPr>
      <w:t xml:space="preserve"> – November 2017 PBAC Meeting</w:t>
    </w:r>
  </w:p>
  <w:p w:rsidR="00984C5F" w:rsidRPr="00E52C96" w:rsidRDefault="00984C5F" w:rsidP="00E52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0" w:rsidRDefault="00204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83B3FC6"/>
    <w:multiLevelType w:val="hybridMultilevel"/>
    <w:tmpl w:val="91B68994"/>
    <w:lvl w:ilvl="0" w:tplc="6608C86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A40690"/>
    <w:multiLevelType w:val="singleLevel"/>
    <w:tmpl w:val="9670E4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3">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2EA0A0D"/>
    <w:multiLevelType w:val="hybridMultilevel"/>
    <w:tmpl w:val="058C49F2"/>
    <w:lvl w:ilvl="0" w:tplc="584CEA96">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F26F2E"/>
    <w:multiLevelType w:val="hybridMultilevel"/>
    <w:tmpl w:val="148C86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79C0ACA"/>
    <w:multiLevelType w:val="hybridMultilevel"/>
    <w:tmpl w:val="19CE6F22"/>
    <w:lvl w:ilvl="0" w:tplc="CF184C6A">
      <w:start w:val="1"/>
      <w:numFmt w:val="bullet"/>
      <w:pStyle w:val="V50InstructionsBullets"/>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84D033C"/>
    <w:multiLevelType w:val="multilevel"/>
    <w:tmpl w:val="F16AF7B4"/>
    <w:lvl w:ilvl="0">
      <w:start w:val="1"/>
      <w:numFmt w:val="decimal"/>
      <w:pStyle w:val="PBACHeading1"/>
      <w:lvlText w:val="%1"/>
      <w:lvlJc w:val="left"/>
      <w:pPr>
        <w:ind w:left="720" w:hanging="720"/>
      </w:pPr>
      <w:rPr>
        <w:rFonts w:hint="default"/>
        <w:b/>
        <w:i w:val="0"/>
        <w:color w:val="auto"/>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4"/>
  </w:num>
  <w:num w:numId="4">
    <w:abstractNumId w:val="1"/>
  </w:num>
  <w:num w:numId="5">
    <w:abstractNumId w:val="2"/>
  </w:num>
  <w:num w:numId="6">
    <w:abstractNumId w:val="0"/>
  </w:num>
  <w:num w:numId="7">
    <w:abstractNumId w:val="7"/>
  </w:num>
  <w:num w:numId="8">
    <w:abstractNumId w:val="6"/>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sa Lerrel Pridham">
    <w15:presenceInfo w15:providerId="AD" w15:userId="S-1-5-21-1390582872-192029990-4074164785-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AU" w:vendorID="64" w:dllVersion="131078" w:nlCheck="1" w:checkStyle="1"/>
  <w:activeWritingStyle w:appName="MSWord" w:lang="en-US" w:vendorID="64" w:dllVersion="131078"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Lees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a9d29z4szzx1epwzdp5pe50t2xzxr5tpx0&quot;&gt;Atezolizumab&lt;record-ids&gt;&lt;item&gt;9&lt;/item&gt;&lt;item&gt;10&lt;/item&gt;&lt;item&gt;11&lt;/item&gt;&lt;item&gt;13&lt;/item&gt;&lt;item&gt;14&lt;/item&gt;&lt;item&gt;15&lt;/item&gt;&lt;item&gt;88&lt;/item&gt;&lt;item&gt;89&lt;/item&gt;&lt;item&gt;90&lt;/item&gt;&lt;/record-ids&gt;&lt;/item&gt;&lt;/Libraries&gt;"/>
  </w:docVars>
  <w:rsids>
    <w:rsidRoot w:val="00821A29"/>
    <w:rsid w:val="00001AB4"/>
    <w:rsid w:val="00003276"/>
    <w:rsid w:val="0000482F"/>
    <w:rsid w:val="0000485A"/>
    <w:rsid w:val="00004F8D"/>
    <w:rsid w:val="00005D37"/>
    <w:rsid w:val="00006D02"/>
    <w:rsid w:val="00007D77"/>
    <w:rsid w:val="0001066F"/>
    <w:rsid w:val="000114D4"/>
    <w:rsid w:val="00013222"/>
    <w:rsid w:val="00013BB8"/>
    <w:rsid w:val="0001739D"/>
    <w:rsid w:val="00020314"/>
    <w:rsid w:val="0002095B"/>
    <w:rsid w:val="00023FCA"/>
    <w:rsid w:val="0002490E"/>
    <w:rsid w:val="000253C6"/>
    <w:rsid w:val="000276B7"/>
    <w:rsid w:val="000311CB"/>
    <w:rsid w:val="000313CC"/>
    <w:rsid w:val="00031729"/>
    <w:rsid w:val="000323F4"/>
    <w:rsid w:val="00033C88"/>
    <w:rsid w:val="00034404"/>
    <w:rsid w:val="000363D3"/>
    <w:rsid w:val="00042C0C"/>
    <w:rsid w:val="00043C9E"/>
    <w:rsid w:val="00044C81"/>
    <w:rsid w:val="00044E33"/>
    <w:rsid w:val="000461CF"/>
    <w:rsid w:val="000478ED"/>
    <w:rsid w:val="00047ABC"/>
    <w:rsid w:val="00052267"/>
    <w:rsid w:val="0005510F"/>
    <w:rsid w:val="0005525E"/>
    <w:rsid w:val="000552A2"/>
    <w:rsid w:val="00055E8E"/>
    <w:rsid w:val="00057F71"/>
    <w:rsid w:val="00062067"/>
    <w:rsid w:val="000631E2"/>
    <w:rsid w:val="000634F4"/>
    <w:rsid w:val="0006464B"/>
    <w:rsid w:val="0006588B"/>
    <w:rsid w:val="00065C62"/>
    <w:rsid w:val="00065CDE"/>
    <w:rsid w:val="00065F4A"/>
    <w:rsid w:val="00070622"/>
    <w:rsid w:val="00070629"/>
    <w:rsid w:val="00072FCE"/>
    <w:rsid w:val="000741D2"/>
    <w:rsid w:val="000761C0"/>
    <w:rsid w:val="000803DF"/>
    <w:rsid w:val="00080FF3"/>
    <w:rsid w:val="00082075"/>
    <w:rsid w:val="000829BD"/>
    <w:rsid w:val="000840F6"/>
    <w:rsid w:val="000847FE"/>
    <w:rsid w:val="00086133"/>
    <w:rsid w:val="000905F4"/>
    <w:rsid w:val="00091BEF"/>
    <w:rsid w:val="0009232E"/>
    <w:rsid w:val="0009282A"/>
    <w:rsid w:val="00092FB1"/>
    <w:rsid w:val="00095BCD"/>
    <w:rsid w:val="00096DB3"/>
    <w:rsid w:val="00097268"/>
    <w:rsid w:val="0009798C"/>
    <w:rsid w:val="000A1032"/>
    <w:rsid w:val="000A2694"/>
    <w:rsid w:val="000A2EF1"/>
    <w:rsid w:val="000A3818"/>
    <w:rsid w:val="000A643A"/>
    <w:rsid w:val="000A6FBD"/>
    <w:rsid w:val="000B27C5"/>
    <w:rsid w:val="000B56CD"/>
    <w:rsid w:val="000B676C"/>
    <w:rsid w:val="000B6B69"/>
    <w:rsid w:val="000B6F61"/>
    <w:rsid w:val="000C0142"/>
    <w:rsid w:val="000C253F"/>
    <w:rsid w:val="000C3A9C"/>
    <w:rsid w:val="000C5F42"/>
    <w:rsid w:val="000C63D1"/>
    <w:rsid w:val="000C6A40"/>
    <w:rsid w:val="000C6A75"/>
    <w:rsid w:val="000D0023"/>
    <w:rsid w:val="000D0483"/>
    <w:rsid w:val="000D1D23"/>
    <w:rsid w:val="000D2E92"/>
    <w:rsid w:val="000D3F20"/>
    <w:rsid w:val="000D5E25"/>
    <w:rsid w:val="000D68E7"/>
    <w:rsid w:val="000E1A2B"/>
    <w:rsid w:val="000E57DB"/>
    <w:rsid w:val="000F000A"/>
    <w:rsid w:val="000F1649"/>
    <w:rsid w:val="000F1AF0"/>
    <w:rsid w:val="000F2534"/>
    <w:rsid w:val="000F2915"/>
    <w:rsid w:val="000F2BC5"/>
    <w:rsid w:val="000F3652"/>
    <w:rsid w:val="000F3AC3"/>
    <w:rsid w:val="000F4BAB"/>
    <w:rsid w:val="000F71B3"/>
    <w:rsid w:val="0010173C"/>
    <w:rsid w:val="00102808"/>
    <w:rsid w:val="001032E5"/>
    <w:rsid w:val="00103795"/>
    <w:rsid w:val="0010576E"/>
    <w:rsid w:val="0011157F"/>
    <w:rsid w:val="001121B8"/>
    <w:rsid w:val="00113944"/>
    <w:rsid w:val="00115A93"/>
    <w:rsid w:val="00117511"/>
    <w:rsid w:val="001210F4"/>
    <w:rsid w:val="0012130F"/>
    <w:rsid w:val="001240CB"/>
    <w:rsid w:val="0012701F"/>
    <w:rsid w:val="001279AE"/>
    <w:rsid w:val="00130409"/>
    <w:rsid w:val="0013092C"/>
    <w:rsid w:val="00133385"/>
    <w:rsid w:val="00136E76"/>
    <w:rsid w:val="001372F5"/>
    <w:rsid w:val="00140021"/>
    <w:rsid w:val="0014356D"/>
    <w:rsid w:val="00144104"/>
    <w:rsid w:val="00144EF2"/>
    <w:rsid w:val="001468C6"/>
    <w:rsid w:val="00146C47"/>
    <w:rsid w:val="001477A7"/>
    <w:rsid w:val="00147EB6"/>
    <w:rsid w:val="00152B74"/>
    <w:rsid w:val="0015412D"/>
    <w:rsid w:val="0015418C"/>
    <w:rsid w:val="00154BAB"/>
    <w:rsid w:val="001562E1"/>
    <w:rsid w:val="00157C7E"/>
    <w:rsid w:val="00157EB0"/>
    <w:rsid w:val="001608DC"/>
    <w:rsid w:val="001608E0"/>
    <w:rsid w:val="0016460E"/>
    <w:rsid w:val="00165A49"/>
    <w:rsid w:val="001662D6"/>
    <w:rsid w:val="00167A7E"/>
    <w:rsid w:val="0017131F"/>
    <w:rsid w:val="001717BD"/>
    <w:rsid w:val="001722AD"/>
    <w:rsid w:val="00173577"/>
    <w:rsid w:val="001759C1"/>
    <w:rsid w:val="0017638E"/>
    <w:rsid w:val="00176AA5"/>
    <w:rsid w:val="00176B31"/>
    <w:rsid w:val="0017720E"/>
    <w:rsid w:val="00177893"/>
    <w:rsid w:val="00177B01"/>
    <w:rsid w:val="00181023"/>
    <w:rsid w:val="00181FB8"/>
    <w:rsid w:val="00184221"/>
    <w:rsid w:val="00185E15"/>
    <w:rsid w:val="00186307"/>
    <w:rsid w:val="00186EBC"/>
    <w:rsid w:val="00192526"/>
    <w:rsid w:val="00192745"/>
    <w:rsid w:val="001930DC"/>
    <w:rsid w:val="00195DA4"/>
    <w:rsid w:val="00195F3A"/>
    <w:rsid w:val="001966BE"/>
    <w:rsid w:val="00196D05"/>
    <w:rsid w:val="00197131"/>
    <w:rsid w:val="00197466"/>
    <w:rsid w:val="00197518"/>
    <w:rsid w:val="00197D95"/>
    <w:rsid w:val="001A0142"/>
    <w:rsid w:val="001A02B2"/>
    <w:rsid w:val="001A33DA"/>
    <w:rsid w:val="001A38BE"/>
    <w:rsid w:val="001A69BF"/>
    <w:rsid w:val="001B00CE"/>
    <w:rsid w:val="001B055B"/>
    <w:rsid w:val="001B0706"/>
    <w:rsid w:val="001B1751"/>
    <w:rsid w:val="001B2FDA"/>
    <w:rsid w:val="001B40D9"/>
    <w:rsid w:val="001B56BD"/>
    <w:rsid w:val="001B6389"/>
    <w:rsid w:val="001B75BE"/>
    <w:rsid w:val="001C04CC"/>
    <w:rsid w:val="001C051E"/>
    <w:rsid w:val="001C0D33"/>
    <w:rsid w:val="001C3A75"/>
    <w:rsid w:val="001D2E3D"/>
    <w:rsid w:val="001D3416"/>
    <w:rsid w:val="001D5DE3"/>
    <w:rsid w:val="001D6254"/>
    <w:rsid w:val="001E17BD"/>
    <w:rsid w:val="001E32E2"/>
    <w:rsid w:val="001E4361"/>
    <w:rsid w:val="001E5918"/>
    <w:rsid w:val="001E7E6D"/>
    <w:rsid w:val="001F073C"/>
    <w:rsid w:val="001F1B47"/>
    <w:rsid w:val="001F2912"/>
    <w:rsid w:val="001F2973"/>
    <w:rsid w:val="001F3055"/>
    <w:rsid w:val="001F3440"/>
    <w:rsid w:val="001F484F"/>
    <w:rsid w:val="001F49F0"/>
    <w:rsid w:val="001F551B"/>
    <w:rsid w:val="001F64B8"/>
    <w:rsid w:val="001F7EDC"/>
    <w:rsid w:val="002001C6"/>
    <w:rsid w:val="00200296"/>
    <w:rsid w:val="00200598"/>
    <w:rsid w:val="0020107C"/>
    <w:rsid w:val="00201ADB"/>
    <w:rsid w:val="0020336D"/>
    <w:rsid w:val="002041B0"/>
    <w:rsid w:val="002044B8"/>
    <w:rsid w:val="002045BD"/>
    <w:rsid w:val="00204A44"/>
    <w:rsid w:val="002058E3"/>
    <w:rsid w:val="002058E5"/>
    <w:rsid w:val="00207A5F"/>
    <w:rsid w:val="00210FAA"/>
    <w:rsid w:val="00212714"/>
    <w:rsid w:val="00213141"/>
    <w:rsid w:val="002142CF"/>
    <w:rsid w:val="00214399"/>
    <w:rsid w:val="00215DD2"/>
    <w:rsid w:val="00216267"/>
    <w:rsid w:val="002168EE"/>
    <w:rsid w:val="00220109"/>
    <w:rsid w:val="00222BB7"/>
    <w:rsid w:val="002234A6"/>
    <w:rsid w:val="00225B94"/>
    <w:rsid w:val="00230315"/>
    <w:rsid w:val="00230BD3"/>
    <w:rsid w:val="00230F1B"/>
    <w:rsid w:val="002320B6"/>
    <w:rsid w:val="00232676"/>
    <w:rsid w:val="00235E69"/>
    <w:rsid w:val="00235EC5"/>
    <w:rsid w:val="00237340"/>
    <w:rsid w:val="002376CB"/>
    <w:rsid w:val="00240885"/>
    <w:rsid w:val="002425EA"/>
    <w:rsid w:val="00242EA0"/>
    <w:rsid w:val="00243685"/>
    <w:rsid w:val="00243C52"/>
    <w:rsid w:val="002506C3"/>
    <w:rsid w:val="00252F20"/>
    <w:rsid w:val="00253540"/>
    <w:rsid w:val="002540B4"/>
    <w:rsid w:val="00254E8B"/>
    <w:rsid w:val="002550B9"/>
    <w:rsid w:val="0025613F"/>
    <w:rsid w:val="00256A09"/>
    <w:rsid w:val="00256A3D"/>
    <w:rsid w:val="00256C2A"/>
    <w:rsid w:val="00257CED"/>
    <w:rsid w:val="00260960"/>
    <w:rsid w:val="00260A27"/>
    <w:rsid w:val="00261DC6"/>
    <w:rsid w:val="002624FF"/>
    <w:rsid w:val="0026392C"/>
    <w:rsid w:val="00263A59"/>
    <w:rsid w:val="00263E3B"/>
    <w:rsid w:val="00264623"/>
    <w:rsid w:val="00272906"/>
    <w:rsid w:val="0027371D"/>
    <w:rsid w:val="002738BB"/>
    <w:rsid w:val="00273C92"/>
    <w:rsid w:val="00274901"/>
    <w:rsid w:val="0027595D"/>
    <w:rsid w:val="002806CD"/>
    <w:rsid w:val="00280B5B"/>
    <w:rsid w:val="002816CB"/>
    <w:rsid w:val="00282D1F"/>
    <w:rsid w:val="002836DF"/>
    <w:rsid w:val="002844DE"/>
    <w:rsid w:val="00284666"/>
    <w:rsid w:val="0028557D"/>
    <w:rsid w:val="00286781"/>
    <w:rsid w:val="00287DB4"/>
    <w:rsid w:val="00290C29"/>
    <w:rsid w:val="002911DC"/>
    <w:rsid w:val="002924EB"/>
    <w:rsid w:val="002928F4"/>
    <w:rsid w:val="00292B68"/>
    <w:rsid w:val="00295C7F"/>
    <w:rsid w:val="002A1D91"/>
    <w:rsid w:val="002A35A5"/>
    <w:rsid w:val="002A4503"/>
    <w:rsid w:val="002B01A8"/>
    <w:rsid w:val="002B3A18"/>
    <w:rsid w:val="002B48E4"/>
    <w:rsid w:val="002B4941"/>
    <w:rsid w:val="002B4AD5"/>
    <w:rsid w:val="002B4E1D"/>
    <w:rsid w:val="002B5D74"/>
    <w:rsid w:val="002B705F"/>
    <w:rsid w:val="002B7ADB"/>
    <w:rsid w:val="002C00E9"/>
    <w:rsid w:val="002C0B11"/>
    <w:rsid w:val="002C1447"/>
    <w:rsid w:val="002C1D2F"/>
    <w:rsid w:val="002C32C7"/>
    <w:rsid w:val="002C36AB"/>
    <w:rsid w:val="002C39B1"/>
    <w:rsid w:val="002C6CDF"/>
    <w:rsid w:val="002C78DB"/>
    <w:rsid w:val="002D00CD"/>
    <w:rsid w:val="002D21DD"/>
    <w:rsid w:val="002D2DD4"/>
    <w:rsid w:val="002D2FCA"/>
    <w:rsid w:val="002D34C2"/>
    <w:rsid w:val="002D6210"/>
    <w:rsid w:val="002D73C8"/>
    <w:rsid w:val="002D7823"/>
    <w:rsid w:val="002E0821"/>
    <w:rsid w:val="002E094B"/>
    <w:rsid w:val="002E42FD"/>
    <w:rsid w:val="002E4C2D"/>
    <w:rsid w:val="002E5DEA"/>
    <w:rsid w:val="002E69CC"/>
    <w:rsid w:val="002E724A"/>
    <w:rsid w:val="002F0CC4"/>
    <w:rsid w:val="002F2D6A"/>
    <w:rsid w:val="002F311E"/>
    <w:rsid w:val="002F4ECE"/>
    <w:rsid w:val="002F5E14"/>
    <w:rsid w:val="002F71B8"/>
    <w:rsid w:val="002F7530"/>
    <w:rsid w:val="0030057F"/>
    <w:rsid w:val="00300736"/>
    <w:rsid w:val="00301EA1"/>
    <w:rsid w:val="00302FCC"/>
    <w:rsid w:val="0030452D"/>
    <w:rsid w:val="00305348"/>
    <w:rsid w:val="003062AE"/>
    <w:rsid w:val="003076D5"/>
    <w:rsid w:val="00307F46"/>
    <w:rsid w:val="00311E5F"/>
    <w:rsid w:val="00314115"/>
    <w:rsid w:val="00315514"/>
    <w:rsid w:val="00315C13"/>
    <w:rsid w:val="00316297"/>
    <w:rsid w:val="003166E5"/>
    <w:rsid w:val="00316F29"/>
    <w:rsid w:val="00317391"/>
    <w:rsid w:val="003203E9"/>
    <w:rsid w:val="00323487"/>
    <w:rsid w:val="00327435"/>
    <w:rsid w:val="003276CC"/>
    <w:rsid w:val="00332E43"/>
    <w:rsid w:val="00333275"/>
    <w:rsid w:val="00333D86"/>
    <w:rsid w:val="003340D3"/>
    <w:rsid w:val="00334342"/>
    <w:rsid w:val="00334ACF"/>
    <w:rsid w:val="00340859"/>
    <w:rsid w:val="00341A14"/>
    <w:rsid w:val="00341E49"/>
    <w:rsid w:val="00344B66"/>
    <w:rsid w:val="0034505B"/>
    <w:rsid w:val="00345616"/>
    <w:rsid w:val="00346765"/>
    <w:rsid w:val="00347501"/>
    <w:rsid w:val="00350910"/>
    <w:rsid w:val="00350A3E"/>
    <w:rsid w:val="00351381"/>
    <w:rsid w:val="003530A6"/>
    <w:rsid w:val="00353627"/>
    <w:rsid w:val="00355F72"/>
    <w:rsid w:val="003565B5"/>
    <w:rsid w:val="0035760A"/>
    <w:rsid w:val="00357657"/>
    <w:rsid w:val="00357AF5"/>
    <w:rsid w:val="003606C3"/>
    <w:rsid w:val="0036235F"/>
    <w:rsid w:val="003632C3"/>
    <w:rsid w:val="00363845"/>
    <w:rsid w:val="003639A6"/>
    <w:rsid w:val="00365A6C"/>
    <w:rsid w:val="00366073"/>
    <w:rsid w:val="003675E8"/>
    <w:rsid w:val="0036797D"/>
    <w:rsid w:val="003679AE"/>
    <w:rsid w:val="00370AF1"/>
    <w:rsid w:val="00370B6C"/>
    <w:rsid w:val="0037245D"/>
    <w:rsid w:val="00372FC0"/>
    <w:rsid w:val="003755A2"/>
    <w:rsid w:val="00375B52"/>
    <w:rsid w:val="00376305"/>
    <w:rsid w:val="00380E09"/>
    <w:rsid w:val="00381166"/>
    <w:rsid w:val="0038281C"/>
    <w:rsid w:val="003828C8"/>
    <w:rsid w:val="003851FE"/>
    <w:rsid w:val="00385A64"/>
    <w:rsid w:val="00386B23"/>
    <w:rsid w:val="00386D1A"/>
    <w:rsid w:val="00387B16"/>
    <w:rsid w:val="00391DA2"/>
    <w:rsid w:val="003950D7"/>
    <w:rsid w:val="00397141"/>
    <w:rsid w:val="00397170"/>
    <w:rsid w:val="00397A1C"/>
    <w:rsid w:val="003A20B4"/>
    <w:rsid w:val="003A3433"/>
    <w:rsid w:val="003A537E"/>
    <w:rsid w:val="003A660F"/>
    <w:rsid w:val="003B095E"/>
    <w:rsid w:val="003B0E70"/>
    <w:rsid w:val="003B1281"/>
    <w:rsid w:val="003B1A99"/>
    <w:rsid w:val="003B3314"/>
    <w:rsid w:val="003B7734"/>
    <w:rsid w:val="003B7C63"/>
    <w:rsid w:val="003C079B"/>
    <w:rsid w:val="003C09C9"/>
    <w:rsid w:val="003C0BF9"/>
    <w:rsid w:val="003C0EAF"/>
    <w:rsid w:val="003C1A9F"/>
    <w:rsid w:val="003C2735"/>
    <w:rsid w:val="003C5F28"/>
    <w:rsid w:val="003D11A9"/>
    <w:rsid w:val="003D2A37"/>
    <w:rsid w:val="003D5BF0"/>
    <w:rsid w:val="003D69EF"/>
    <w:rsid w:val="003D7F8C"/>
    <w:rsid w:val="003E0EDB"/>
    <w:rsid w:val="003E261F"/>
    <w:rsid w:val="003E45F9"/>
    <w:rsid w:val="003E54DC"/>
    <w:rsid w:val="003E61D3"/>
    <w:rsid w:val="003E6475"/>
    <w:rsid w:val="003F105A"/>
    <w:rsid w:val="003F1775"/>
    <w:rsid w:val="003F1C8F"/>
    <w:rsid w:val="003F283D"/>
    <w:rsid w:val="003F3057"/>
    <w:rsid w:val="003F41D2"/>
    <w:rsid w:val="003F56F7"/>
    <w:rsid w:val="003F6199"/>
    <w:rsid w:val="004033BF"/>
    <w:rsid w:val="00405489"/>
    <w:rsid w:val="004057B4"/>
    <w:rsid w:val="00406289"/>
    <w:rsid w:val="00410D22"/>
    <w:rsid w:val="004133E5"/>
    <w:rsid w:val="00413B26"/>
    <w:rsid w:val="00414509"/>
    <w:rsid w:val="00415891"/>
    <w:rsid w:val="00415902"/>
    <w:rsid w:val="00416321"/>
    <w:rsid w:val="00417734"/>
    <w:rsid w:val="00421450"/>
    <w:rsid w:val="004226FD"/>
    <w:rsid w:val="00423F93"/>
    <w:rsid w:val="004244BB"/>
    <w:rsid w:val="004252E1"/>
    <w:rsid w:val="00427023"/>
    <w:rsid w:val="00427E55"/>
    <w:rsid w:val="00432CD8"/>
    <w:rsid w:val="00433B0F"/>
    <w:rsid w:val="004342AB"/>
    <w:rsid w:val="004345F8"/>
    <w:rsid w:val="00437BB5"/>
    <w:rsid w:val="00440B8D"/>
    <w:rsid w:val="0044203A"/>
    <w:rsid w:val="00442C82"/>
    <w:rsid w:val="00447905"/>
    <w:rsid w:val="00450475"/>
    <w:rsid w:val="00451695"/>
    <w:rsid w:val="00453B82"/>
    <w:rsid w:val="00453BAE"/>
    <w:rsid w:val="00453D59"/>
    <w:rsid w:val="00454493"/>
    <w:rsid w:val="0045501A"/>
    <w:rsid w:val="0045517A"/>
    <w:rsid w:val="004551ED"/>
    <w:rsid w:val="00455465"/>
    <w:rsid w:val="00455921"/>
    <w:rsid w:val="00456CB3"/>
    <w:rsid w:val="00460755"/>
    <w:rsid w:val="004619BB"/>
    <w:rsid w:val="00462D3F"/>
    <w:rsid w:val="0046335D"/>
    <w:rsid w:val="00465D3F"/>
    <w:rsid w:val="0046621E"/>
    <w:rsid w:val="004675F2"/>
    <w:rsid w:val="00467A9F"/>
    <w:rsid w:val="00467C6C"/>
    <w:rsid w:val="00467CA5"/>
    <w:rsid w:val="00470746"/>
    <w:rsid w:val="00472D4D"/>
    <w:rsid w:val="004730F7"/>
    <w:rsid w:val="004745D8"/>
    <w:rsid w:val="00476243"/>
    <w:rsid w:val="00477505"/>
    <w:rsid w:val="00477D5C"/>
    <w:rsid w:val="0048011C"/>
    <w:rsid w:val="0048791C"/>
    <w:rsid w:val="00487A46"/>
    <w:rsid w:val="00490D13"/>
    <w:rsid w:val="00490F54"/>
    <w:rsid w:val="0049122B"/>
    <w:rsid w:val="004912C6"/>
    <w:rsid w:val="0049153A"/>
    <w:rsid w:val="004919DD"/>
    <w:rsid w:val="00492EC5"/>
    <w:rsid w:val="00494F7C"/>
    <w:rsid w:val="00497EEA"/>
    <w:rsid w:val="004A2213"/>
    <w:rsid w:val="004A2DF5"/>
    <w:rsid w:val="004A3523"/>
    <w:rsid w:val="004A4EF3"/>
    <w:rsid w:val="004A6E22"/>
    <w:rsid w:val="004A7309"/>
    <w:rsid w:val="004B0E0F"/>
    <w:rsid w:val="004B1DE9"/>
    <w:rsid w:val="004B2E25"/>
    <w:rsid w:val="004B2F9B"/>
    <w:rsid w:val="004B3C00"/>
    <w:rsid w:val="004B437B"/>
    <w:rsid w:val="004B52A8"/>
    <w:rsid w:val="004B7A3F"/>
    <w:rsid w:val="004B7DFA"/>
    <w:rsid w:val="004C0BE5"/>
    <w:rsid w:val="004C3431"/>
    <w:rsid w:val="004C455B"/>
    <w:rsid w:val="004C66F9"/>
    <w:rsid w:val="004C748B"/>
    <w:rsid w:val="004C7E7F"/>
    <w:rsid w:val="004D1006"/>
    <w:rsid w:val="004D45DF"/>
    <w:rsid w:val="004D4907"/>
    <w:rsid w:val="004D4E2C"/>
    <w:rsid w:val="004D699D"/>
    <w:rsid w:val="004D7036"/>
    <w:rsid w:val="004E063F"/>
    <w:rsid w:val="004E0C0B"/>
    <w:rsid w:val="004E2125"/>
    <w:rsid w:val="004E2B84"/>
    <w:rsid w:val="004F3688"/>
    <w:rsid w:val="004F3AAE"/>
    <w:rsid w:val="004F4415"/>
    <w:rsid w:val="004F4BDE"/>
    <w:rsid w:val="004F5178"/>
    <w:rsid w:val="004F6163"/>
    <w:rsid w:val="004F6284"/>
    <w:rsid w:val="004F7CAC"/>
    <w:rsid w:val="004F7FF3"/>
    <w:rsid w:val="00501916"/>
    <w:rsid w:val="00505E49"/>
    <w:rsid w:val="00506B0B"/>
    <w:rsid w:val="00507713"/>
    <w:rsid w:val="00507CF1"/>
    <w:rsid w:val="00510C25"/>
    <w:rsid w:val="00511320"/>
    <w:rsid w:val="00511EB1"/>
    <w:rsid w:val="00512B8D"/>
    <w:rsid w:val="00513F15"/>
    <w:rsid w:val="005143F9"/>
    <w:rsid w:val="00515A36"/>
    <w:rsid w:val="00516566"/>
    <w:rsid w:val="00516BD2"/>
    <w:rsid w:val="00516CC3"/>
    <w:rsid w:val="005207E7"/>
    <w:rsid w:val="005218C3"/>
    <w:rsid w:val="00522162"/>
    <w:rsid w:val="00522A42"/>
    <w:rsid w:val="005240B1"/>
    <w:rsid w:val="00525998"/>
    <w:rsid w:val="00526F27"/>
    <w:rsid w:val="005278C6"/>
    <w:rsid w:val="00530FBE"/>
    <w:rsid w:val="00531A12"/>
    <w:rsid w:val="00531C11"/>
    <w:rsid w:val="0053352A"/>
    <w:rsid w:val="00533ADE"/>
    <w:rsid w:val="005343DF"/>
    <w:rsid w:val="00535C74"/>
    <w:rsid w:val="005361AB"/>
    <w:rsid w:val="00541D43"/>
    <w:rsid w:val="00542068"/>
    <w:rsid w:val="00543AF9"/>
    <w:rsid w:val="00545F59"/>
    <w:rsid w:val="0055050D"/>
    <w:rsid w:val="00551029"/>
    <w:rsid w:val="00552CA0"/>
    <w:rsid w:val="00552D2A"/>
    <w:rsid w:val="00552E1B"/>
    <w:rsid w:val="00552F7D"/>
    <w:rsid w:val="00553267"/>
    <w:rsid w:val="0055532F"/>
    <w:rsid w:val="005558A9"/>
    <w:rsid w:val="00556F44"/>
    <w:rsid w:val="00561D24"/>
    <w:rsid w:val="00566429"/>
    <w:rsid w:val="005668C1"/>
    <w:rsid w:val="0056760A"/>
    <w:rsid w:val="00567C40"/>
    <w:rsid w:val="00573939"/>
    <w:rsid w:val="00576ADE"/>
    <w:rsid w:val="00577CFD"/>
    <w:rsid w:val="00577DEF"/>
    <w:rsid w:val="00580186"/>
    <w:rsid w:val="0058520F"/>
    <w:rsid w:val="00586F91"/>
    <w:rsid w:val="00587023"/>
    <w:rsid w:val="00590DBE"/>
    <w:rsid w:val="00591E48"/>
    <w:rsid w:val="005924A7"/>
    <w:rsid w:val="005948F6"/>
    <w:rsid w:val="005948FD"/>
    <w:rsid w:val="00594E96"/>
    <w:rsid w:val="00597972"/>
    <w:rsid w:val="005A06ED"/>
    <w:rsid w:val="005A0938"/>
    <w:rsid w:val="005A1560"/>
    <w:rsid w:val="005A221C"/>
    <w:rsid w:val="005A3119"/>
    <w:rsid w:val="005A610F"/>
    <w:rsid w:val="005A6360"/>
    <w:rsid w:val="005A706B"/>
    <w:rsid w:val="005B18AA"/>
    <w:rsid w:val="005B3586"/>
    <w:rsid w:val="005B3D65"/>
    <w:rsid w:val="005B514C"/>
    <w:rsid w:val="005B5793"/>
    <w:rsid w:val="005B5F2B"/>
    <w:rsid w:val="005B774A"/>
    <w:rsid w:val="005C0574"/>
    <w:rsid w:val="005C1FE7"/>
    <w:rsid w:val="005C3ACC"/>
    <w:rsid w:val="005C3BD2"/>
    <w:rsid w:val="005C6285"/>
    <w:rsid w:val="005C67F3"/>
    <w:rsid w:val="005D10C7"/>
    <w:rsid w:val="005D3905"/>
    <w:rsid w:val="005D4329"/>
    <w:rsid w:val="005D43BB"/>
    <w:rsid w:val="005D5BA1"/>
    <w:rsid w:val="005D5CBB"/>
    <w:rsid w:val="005D622E"/>
    <w:rsid w:val="005E056D"/>
    <w:rsid w:val="005E13D4"/>
    <w:rsid w:val="005E21B1"/>
    <w:rsid w:val="005E34D8"/>
    <w:rsid w:val="005E49B2"/>
    <w:rsid w:val="005E7260"/>
    <w:rsid w:val="005E74F1"/>
    <w:rsid w:val="005F0AE8"/>
    <w:rsid w:val="005F0D8D"/>
    <w:rsid w:val="005F2A6B"/>
    <w:rsid w:val="005F2D16"/>
    <w:rsid w:val="005F3C4E"/>
    <w:rsid w:val="005F40C1"/>
    <w:rsid w:val="005F4B10"/>
    <w:rsid w:val="005F55D2"/>
    <w:rsid w:val="005F5E22"/>
    <w:rsid w:val="005F62AF"/>
    <w:rsid w:val="00601E00"/>
    <w:rsid w:val="00601E61"/>
    <w:rsid w:val="006024D3"/>
    <w:rsid w:val="006026F8"/>
    <w:rsid w:val="00602F18"/>
    <w:rsid w:val="00602F24"/>
    <w:rsid w:val="00603EB4"/>
    <w:rsid w:val="00604104"/>
    <w:rsid w:val="006049E0"/>
    <w:rsid w:val="006062D0"/>
    <w:rsid w:val="006066EE"/>
    <w:rsid w:val="00606EF9"/>
    <w:rsid w:val="0060706A"/>
    <w:rsid w:val="006070C4"/>
    <w:rsid w:val="00607758"/>
    <w:rsid w:val="00610D5E"/>
    <w:rsid w:val="006110E8"/>
    <w:rsid w:val="00613467"/>
    <w:rsid w:val="006147D5"/>
    <w:rsid w:val="00616307"/>
    <w:rsid w:val="00616E2A"/>
    <w:rsid w:val="006200C5"/>
    <w:rsid w:val="00620C6F"/>
    <w:rsid w:val="00624315"/>
    <w:rsid w:val="00624EE7"/>
    <w:rsid w:val="0062545B"/>
    <w:rsid w:val="0062552A"/>
    <w:rsid w:val="00631DA6"/>
    <w:rsid w:val="006332BE"/>
    <w:rsid w:val="00633636"/>
    <w:rsid w:val="00637302"/>
    <w:rsid w:val="0064067F"/>
    <w:rsid w:val="006408C3"/>
    <w:rsid w:val="00641C05"/>
    <w:rsid w:val="00644601"/>
    <w:rsid w:val="00644D4E"/>
    <w:rsid w:val="00645214"/>
    <w:rsid w:val="0064620D"/>
    <w:rsid w:val="006463C6"/>
    <w:rsid w:val="0064748B"/>
    <w:rsid w:val="006508B9"/>
    <w:rsid w:val="00651F6A"/>
    <w:rsid w:val="00653109"/>
    <w:rsid w:val="00653383"/>
    <w:rsid w:val="00654030"/>
    <w:rsid w:val="00654416"/>
    <w:rsid w:val="00657754"/>
    <w:rsid w:val="00660A39"/>
    <w:rsid w:val="00661286"/>
    <w:rsid w:val="00661336"/>
    <w:rsid w:val="00662DFF"/>
    <w:rsid w:val="00662F35"/>
    <w:rsid w:val="00664356"/>
    <w:rsid w:val="00666CAC"/>
    <w:rsid w:val="0067066C"/>
    <w:rsid w:val="00671682"/>
    <w:rsid w:val="00672043"/>
    <w:rsid w:val="00672120"/>
    <w:rsid w:val="00674FB5"/>
    <w:rsid w:val="00675866"/>
    <w:rsid w:val="00677160"/>
    <w:rsid w:val="00680FB0"/>
    <w:rsid w:val="0068257F"/>
    <w:rsid w:val="00686CB2"/>
    <w:rsid w:val="006903CB"/>
    <w:rsid w:val="00691711"/>
    <w:rsid w:val="00691913"/>
    <w:rsid w:val="00692FB3"/>
    <w:rsid w:val="00693BB6"/>
    <w:rsid w:val="00693E75"/>
    <w:rsid w:val="00694588"/>
    <w:rsid w:val="006966D4"/>
    <w:rsid w:val="006A138B"/>
    <w:rsid w:val="006A3A67"/>
    <w:rsid w:val="006A676C"/>
    <w:rsid w:val="006B140A"/>
    <w:rsid w:val="006B5EC3"/>
    <w:rsid w:val="006B6112"/>
    <w:rsid w:val="006C006B"/>
    <w:rsid w:val="006C0341"/>
    <w:rsid w:val="006C0985"/>
    <w:rsid w:val="006C26DA"/>
    <w:rsid w:val="006C418E"/>
    <w:rsid w:val="006C4447"/>
    <w:rsid w:val="006C4906"/>
    <w:rsid w:val="006C54F0"/>
    <w:rsid w:val="006C62B2"/>
    <w:rsid w:val="006C7E8C"/>
    <w:rsid w:val="006D0D2D"/>
    <w:rsid w:val="006D1CBB"/>
    <w:rsid w:val="006D24B5"/>
    <w:rsid w:val="006D3271"/>
    <w:rsid w:val="006D34DA"/>
    <w:rsid w:val="006D4777"/>
    <w:rsid w:val="006D5617"/>
    <w:rsid w:val="006D766F"/>
    <w:rsid w:val="006D767C"/>
    <w:rsid w:val="006D771F"/>
    <w:rsid w:val="006E0193"/>
    <w:rsid w:val="006E039A"/>
    <w:rsid w:val="006E09EE"/>
    <w:rsid w:val="006E121D"/>
    <w:rsid w:val="006E2491"/>
    <w:rsid w:val="006E4F1B"/>
    <w:rsid w:val="006E60C9"/>
    <w:rsid w:val="006E7302"/>
    <w:rsid w:val="006F161E"/>
    <w:rsid w:val="006F21CC"/>
    <w:rsid w:val="006F2F17"/>
    <w:rsid w:val="006F3526"/>
    <w:rsid w:val="006F4298"/>
    <w:rsid w:val="006F461C"/>
    <w:rsid w:val="006F4FFA"/>
    <w:rsid w:val="006F7574"/>
    <w:rsid w:val="00700F53"/>
    <w:rsid w:val="0070304E"/>
    <w:rsid w:val="00704B0A"/>
    <w:rsid w:val="00705030"/>
    <w:rsid w:val="0070507A"/>
    <w:rsid w:val="00706784"/>
    <w:rsid w:val="00706A33"/>
    <w:rsid w:val="00707082"/>
    <w:rsid w:val="0070774A"/>
    <w:rsid w:val="00710148"/>
    <w:rsid w:val="00711624"/>
    <w:rsid w:val="007124F2"/>
    <w:rsid w:val="0071258C"/>
    <w:rsid w:val="00712C73"/>
    <w:rsid w:val="00712FAF"/>
    <w:rsid w:val="007130BC"/>
    <w:rsid w:val="00714AAE"/>
    <w:rsid w:val="007171FC"/>
    <w:rsid w:val="007206C2"/>
    <w:rsid w:val="0072260F"/>
    <w:rsid w:val="00722DE3"/>
    <w:rsid w:val="00723AB1"/>
    <w:rsid w:val="00723E1E"/>
    <w:rsid w:val="0072706C"/>
    <w:rsid w:val="00727756"/>
    <w:rsid w:val="007279DD"/>
    <w:rsid w:val="007309ED"/>
    <w:rsid w:val="00730BD1"/>
    <w:rsid w:val="00732ED9"/>
    <w:rsid w:val="00735E05"/>
    <w:rsid w:val="00736612"/>
    <w:rsid w:val="00736DF5"/>
    <w:rsid w:val="00741424"/>
    <w:rsid w:val="0074187D"/>
    <w:rsid w:val="00743590"/>
    <w:rsid w:val="00744D01"/>
    <w:rsid w:val="00745A16"/>
    <w:rsid w:val="00747333"/>
    <w:rsid w:val="00747574"/>
    <w:rsid w:val="007502C5"/>
    <w:rsid w:val="0075035C"/>
    <w:rsid w:val="007509A6"/>
    <w:rsid w:val="00750AF0"/>
    <w:rsid w:val="00750B5A"/>
    <w:rsid w:val="00750FCB"/>
    <w:rsid w:val="00751984"/>
    <w:rsid w:val="00754552"/>
    <w:rsid w:val="0075548B"/>
    <w:rsid w:val="00760781"/>
    <w:rsid w:val="00760CA1"/>
    <w:rsid w:val="007629A7"/>
    <w:rsid w:val="007633B0"/>
    <w:rsid w:val="00764357"/>
    <w:rsid w:val="0076659D"/>
    <w:rsid w:val="00766783"/>
    <w:rsid w:val="00770D7C"/>
    <w:rsid w:val="007712D1"/>
    <w:rsid w:val="007715D2"/>
    <w:rsid w:val="00772501"/>
    <w:rsid w:val="00772C70"/>
    <w:rsid w:val="00772E98"/>
    <w:rsid w:val="00773A76"/>
    <w:rsid w:val="00774EBC"/>
    <w:rsid w:val="007800F9"/>
    <w:rsid w:val="00780E19"/>
    <w:rsid w:val="007830EA"/>
    <w:rsid w:val="007847FA"/>
    <w:rsid w:val="00785090"/>
    <w:rsid w:val="007860E5"/>
    <w:rsid w:val="007874D1"/>
    <w:rsid w:val="007901FC"/>
    <w:rsid w:val="00790910"/>
    <w:rsid w:val="00790A75"/>
    <w:rsid w:val="00790BB0"/>
    <w:rsid w:val="00791576"/>
    <w:rsid w:val="00791DE1"/>
    <w:rsid w:val="00794CC3"/>
    <w:rsid w:val="00794CD1"/>
    <w:rsid w:val="00794F9F"/>
    <w:rsid w:val="00796E4D"/>
    <w:rsid w:val="007974B9"/>
    <w:rsid w:val="007A1533"/>
    <w:rsid w:val="007A1C2E"/>
    <w:rsid w:val="007A2EA5"/>
    <w:rsid w:val="007A38AE"/>
    <w:rsid w:val="007A39DA"/>
    <w:rsid w:val="007A3A8C"/>
    <w:rsid w:val="007A41D8"/>
    <w:rsid w:val="007A54EB"/>
    <w:rsid w:val="007A5DA9"/>
    <w:rsid w:val="007A6BCB"/>
    <w:rsid w:val="007A71CE"/>
    <w:rsid w:val="007A7264"/>
    <w:rsid w:val="007A7418"/>
    <w:rsid w:val="007A7EF5"/>
    <w:rsid w:val="007B0E0C"/>
    <w:rsid w:val="007B3D49"/>
    <w:rsid w:val="007B411E"/>
    <w:rsid w:val="007B4C57"/>
    <w:rsid w:val="007B4CBF"/>
    <w:rsid w:val="007B4D29"/>
    <w:rsid w:val="007B51AD"/>
    <w:rsid w:val="007B64BA"/>
    <w:rsid w:val="007C201C"/>
    <w:rsid w:val="007C26E5"/>
    <w:rsid w:val="007C4A05"/>
    <w:rsid w:val="007C5DB8"/>
    <w:rsid w:val="007C720A"/>
    <w:rsid w:val="007D0983"/>
    <w:rsid w:val="007D1092"/>
    <w:rsid w:val="007D13E6"/>
    <w:rsid w:val="007D22DA"/>
    <w:rsid w:val="007D2447"/>
    <w:rsid w:val="007D2621"/>
    <w:rsid w:val="007D4606"/>
    <w:rsid w:val="007D51CB"/>
    <w:rsid w:val="007D658A"/>
    <w:rsid w:val="007D6D67"/>
    <w:rsid w:val="007E0728"/>
    <w:rsid w:val="007E0850"/>
    <w:rsid w:val="007E21A9"/>
    <w:rsid w:val="007E291A"/>
    <w:rsid w:val="007E3562"/>
    <w:rsid w:val="007E36CE"/>
    <w:rsid w:val="007E3E53"/>
    <w:rsid w:val="007E5930"/>
    <w:rsid w:val="007E7328"/>
    <w:rsid w:val="007F053A"/>
    <w:rsid w:val="007F08CA"/>
    <w:rsid w:val="007F1740"/>
    <w:rsid w:val="007F20A8"/>
    <w:rsid w:val="007F3B6E"/>
    <w:rsid w:val="007F42C0"/>
    <w:rsid w:val="007F76E9"/>
    <w:rsid w:val="00802BA1"/>
    <w:rsid w:val="00804608"/>
    <w:rsid w:val="00804F8D"/>
    <w:rsid w:val="00805603"/>
    <w:rsid w:val="008058E8"/>
    <w:rsid w:val="00805965"/>
    <w:rsid w:val="00806434"/>
    <w:rsid w:val="00812C15"/>
    <w:rsid w:val="00813288"/>
    <w:rsid w:val="00814F8C"/>
    <w:rsid w:val="00816F35"/>
    <w:rsid w:val="00820916"/>
    <w:rsid w:val="00821A29"/>
    <w:rsid w:val="00821F07"/>
    <w:rsid w:val="00823233"/>
    <w:rsid w:val="00824426"/>
    <w:rsid w:val="00825D93"/>
    <w:rsid w:val="0083038F"/>
    <w:rsid w:val="00830E52"/>
    <w:rsid w:val="008324E3"/>
    <w:rsid w:val="00833177"/>
    <w:rsid w:val="00833667"/>
    <w:rsid w:val="008343E9"/>
    <w:rsid w:val="00834DD9"/>
    <w:rsid w:val="00835E01"/>
    <w:rsid w:val="00836E8D"/>
    <w:rsid w:val="00840E91"/>
    <w:rsid w:val="00843D46"/>
    <w:rsid w:val="00845946"/>
    <w:rsid w:val="008464DD"/>
    <w:rsid w:val="008476A0"/>
    <w:rsid w:val="00852032"/>
    <w:rsid w:val="00852F38"/>
    <w:rsid w:val="00853534"/>
    <w:rsid w:val="008544ED"/>
    <w:rsid w:val="008547B8"/>
    <w:rsid w:val="00854C36"/>
    <w:rsid w:val="008551E3"/>
    <w:rsid w:val="00855BF9"/>
    <w:rsid w:val="00856C34"/>
    <w:rsid w:val="00856C99"/>
    <w:rsid w:val="00857622"/>
    <w:rsid w:val="008610C0"/>
    <w:rsid w:val="00861D64"/>
    <w:rsid w:val="00862331"/>
    <w:rsid w:val="008644D5"/>
    <w:rsid w:val="00864BCC"/>
    <w:rsid w:val="00865DC1"/>
    <w:rsid w:val="00866A5F"/>
    <w:rsid w:val="00870019"/>
    <w:rsid w:val="00870089"/>
    <w:rsid w:val="008706FE"/>
    <w:rsid w:val="00872E4B"/>
    <w:rsid w:val="00872E9B"/>
    <w:rsid w:val="00874DE5"/>
    <w:rsid w:val="008750F9"/>
    <w:rsid w:val="00875341"/>
    <w:rsid w:val="0087536F"/>
    <w:rsid w:val="00875B3A"/>
    <w:rsid w:val="00880A40"/>
    <w:rsid w:val="00880EB6"/>
    <w:rsid w:val="0088353C"/>
    <w:rsid w:val="00883F8D"/>
    <w:rsid w:val="008866C1"/>
    <w:rsid w:val="008869F4"/>
    <w:rsid w:val="00891465"/>
    <w:rsid w:val="0089257F"/>
    <w:rsid w:val="00892D19"/>
    <w:rsid w:val="00893D36"/>
    <w:rsid w:val="00893EEF"/>
    <w:rsid w:val="00894562"/>
    <w:rsid w:val="0089504C"/>
    <w:rsid w:val="00895B94"/>
    <w:rsid w:val="00895CD3"/>
    <w:rsid w:val="00897BE8"/>
    <w:rsid w:val="008A056C"/>
    <w:rsid w:val="008A1AED"/>
    <w:rsid w:val="008A23DC"/>
    <w:rsid w:val="008A3B82"/>
    <w:rsid w:val="008A3C38"/>
    <w:rsid w:val="008A3C58"/>
    <w:rsid w:val="008A3D95"/>
    <w:rsid w:val="008A4880"/>
    <w:rsid w:val="008A52B1"/>
    <w:rsid w:val="008A573C"/>
    <w:rsid w:val="008A5941"/>
    <w:rsid w:val="008A6113"/>
    <w:rsid w:val="008B035E"/>
    <w:rsid w:val="008B0A5F"/>
    <w:rsid w:val="008B1CBE"/>
    <w:rsid w:val="008B2B77"/>
    <w:rsid w:val="008B302D"/>
    <w:rsid w:val="008B5B32"/>
    <w:rsid w:val="008B66C0"/>
    <w:rsid w:val="008C3AB5"/>
    <w:rsid w:val="008C531E"/>
    <w:rsid w:val="008C62B2"/>
    <w:rsid w:val="008D0833"/>
    <w:rsid w:val="008D1463"/>
    <w:rsid w:val="008D25BA"/>
    <w:rsid w:val="008D2BB6"/>
    <w:rsid w:val="008D318B"/>
    <w:rsid w:val="008D6634"/>
    <w:rsid w:val="008D7350"/>
    <w:rsid w:val="008D78FF"/>
    <w:rsid w:val="008D7CF2"/>
    <w:rsid w:val="008E26DD"/>
    <w:rsid w:val="008E276E"/>
    <w:rsid w:val="008E2ED1"/>
    <w:rsid w:val="008E58E4"/>
    <w:rsid w:val="008F0342"/>
    <w:rsid w:val="008F07A8"/>
    <w:rsid w:val="008F148C"/>
    <w:rsid w:val="008F458D"/>
    <w:rsid w:val="008F5BEB"/>
    <w:rsid w:val="008F73A9"/>
    <w:rsid w:val="009016D3"/>
    <w:rsid w:val="009052CA"/>
    <w:rsid w:val="00905BC8"/>
    <w:rsid w:val="00906BA3"/>
    <w:rsid w:val="00913669"/>
    <w:rsid w:val="00913908"/>
    <w:rsid w:val="00914DA7"/>
    <w:rsid w:val="00915930"/>
    <w:rsid w:val="00915F63"/>
    <w:rsid w:val="00917789"/>
    <w:rsid w:val="009177E9"/>
    <w:rsid w:val="00922997"/>
    <w:rsid w:val="00923A34"/>
    <w:rsid w:val="0092411C"/>
    <w:rsid w:val="00925109"/>
    <w:rsid w:val="0092606A"/>
    <w:rsid w:val="009263E6"/>
    <w:rsid w:val="00926858"/>
    <w:rsid w:val="00927C8A"/>
    <w:rsid w:val="00930E22"/>
    <w:rsid w:val="00931E1F"/>
    <w:rsid w:val="0093225D"/>
    <w:rsid w:val="009331CF"/>
    <w:rsid w:val="009334AC"/>
    <w:rsid w:val="00936602"/>
    <w:rsid w:val="00936C26"/>
    <w:rsid w:val="00940569"/>
    <w:rsid w:val="00942010"/>
    <w:rsid w:val="009424D7"/>
    <w:rsid w:val="0094320A"/>
    <w:rsid w:val="0095170D"/>
    <w:rsid w:val="0095307F"/>
    <w:rsid w:val="00955526"/>
    <w:rsid w:val="00956731"/>
    <w:rsid w:val="00957369"/>
    <w:rsid w:val="009578F9"/>
    <w:rsid w:val="00961445"/>
    <w:rsid w:val="0096209B"/>
    <w:rsid w:val="009625E7"/>
    <w:rsid w:val="00962920"/>
    <w:rsid w:val="00962DF4"/>
    <w:rsid w:val="0096359E"/>
    <w:rsid w:val="0096664E"/>
    <w:rsid w:val="00966C09"/>
    <w:rsid w:val="009670ED"/>
    <w:rsid w:val="009672C9"/>
    <w:rsid w:val="0097025E"/>
    <w:rsid w:val="009708E0"/>
    <w:rsid w:val="00971D82"/>
    <w:rsid w:val="00973F28"/>
    <w:rsid w:val="009813A5"/>
    <w:rsid w:val="00981DB8"/>
    <w:rsid w:val="00981EB9"/>
    <w:rsid w:val="00983633"/>
    <w:rsid w:val="00984441"/>
    <w:rsid w:val="009844CF"/>
    <w:rsid w:val="00984C5F"/>
    <w:rsid w:val="00984DD8"/>
    <w:rsid w:val="00985A79"/>
    <w:rsid w:val="009874B5"/>
    <w:rsid w:val="0099085F"/>
    <w:rsid w:val="009916A6"/>
    <w:rsid w:val="009925DB"/>
    <w:rsid w:val="00993B52"/>
    <w:rsid w:val="00993CC9"/>
    <w:rsid w:val="0099712A"/>
    <w:rsid w:val="009A1F45"/>
    <w:rsid w:val="009A2BAD"/>
    <w:rsid w:val="009A319E"/>
    <w:rsid w:val="009A3D2B"/>
    <w:rsid w:val="009A4A2C"/>
    <w:rsid w:val="009A51E1"/>
    <w:rsid w:val="009A6F74"/>
    <w:rsid w:val="009B0BD2"/>
    <w:rsid w:val="009B0F9A"/>
    <w:rsid w:val="009B376D"/>
    <w:rsid w:val="009B5436"/>
    <w:rsid w:val="009B741A"/>
    <w:rsid w:val="009C2198"/>
    <w:rsid w:val="009C31A2"/>
    <w:rsid w:val="009C3D31"/>
    <w:rsid w:val="009C3DEA"/>
    <w:rsid w:val="009C5EA7"/>
    <w:rsid w:val="009D134A"/>
    <w:rsid w:val="009D1375"/>
    <w:rsid w:val="009D2444"/>
    <w:rsid w:val="009D2E97"/>
    <w:rsid w:val="009D3628"/>
    <w:rsid w:val="009D447C"/>
    <w:rsid w:val="009D45B6"/>
    <w:rsid w:val="009D4C2A"/>
    <w:rsid w:val="009D4D95"/>
    <w:rsid w:val="009D690C"/>
    <w:rsid w:val="009D6914"/>
    <w:rsid w:val="009D6C72"/>
    <w:rsid w:val="009E1C22"/>
    <w:rsid w:val="009E2481"/>
    <w:rsid w:val="009E2DEC"/>
    <w:rsid w:val="009E5B7A"/>
    <w:rsid w:val="009F3631"/>
    <w:rsid w:val="009F3790"/>
    <w:rsid w:val="009F6A31"/>
    <w:rsid w:val="009F7103"/>
    <w:rsid w:val="009F7CEB"/>
    <w:rsid w:val="00A02C86"/>
    <w:rsid w:val="00A040FD"/>
    <w:rsid w:val="00A04159"/>
    <w:rsid w:val="00A0426A"/>
    <w:rsid w:val="00A04C0D"/>
    <w:rsid w:val="00A0544C"/>
    <w:rsid w:val="00A06DED"/>
    <w:rsid w:val="00A07A7F"/>
    <w:rsid w:val="00A07E5E"/>
    <w:rsid w:val="00A1086F"/>
    <w:rsid w:val="00A11286"/>
    <w:rsid w:val="00A12983"/>
    <w:rsid w:val="00A12A21"/>
    <w:rsid w:val="00A13679"/>
    <w:rsid w:val="00A145F1"/>
    <w:rsid w:val="00A20B1A"/>
    <w:rsid w:val="00A21AEF"/>
    <w:rsid w:val="00A2256F"/>
    <w:rsid w:val="00A22A39"/>
    <w:rsid w:val="00A23439"/>
    <w:rsid w:val="00A24B61"/>
    <w:rsid w:val="00A26465"/>
    <w:rsid w:val="00A26A28"/>
    <w:rsid w:val="00A26D39"/>
    <w:rsid w:val="00A31DF5"/>
    <w:rsid w:val="00A325D1"/>
    <w:rsid w:val="00A32E21"/>
    <w:rsid w:val="00A3375C"/>
    <w:rsid w:val="00A41E5D"/>
    <w:rsid w:val="00A428A4"/>
    <w:rsid w:val="00A46134"/>
    <w:rsid w:val="00A51FB6"/>
    <w:rsid w:val="00A535D5"/>
    <w:rsid w:val="00A535FB"/>
    <w:rsid w:val="00A55E2C"/>
    <w:rsid w:val="00A57033"/>
    <w:rsid w:val="00A5719E"/>
    <w:rsid w:val="00A57557"/>
    <w:rsid w:val="00A57781"/>
    <w:rsid w:val="00A577ED"/>
    <w:rsid w:val="00A57D71"/>
    <w:rsid w:val="00A62834"/>
    <w:rsid w:val="00A6374D"/>
    <w:rsid w:val="00A64F64"/>
    <w:rsid w:val="00A65E52"/>
    <w:rsid w:val="00A66742"/>
    <w:rsid w:val="00A671C9"/>
    <w:rsid w:val="00A70ED4"/>
    <w:rsid w:val="00A72780"/>
    <w:rsid w:val="00A72930"/>
    <w:rsid w:val="00A72F94"/>
    <w:rsid w:val="00A732FD"/>
    <w:rsid w:val="00A74A1C"/>
    <w:rsid w:val="00A76699"/>
    <w:rsid w:val="00A77E77"/>
    <w:rsid w:val="00A8188C"/>
    <w:rsid w:val="00A81F82"/>
    <w:rsid w:val="00A830B8"/>
    <w:rsid w:val="00A83378"/>
    <w:rsid w:val="00A841B0"/>
    <w:rsid w:val="00A85296"/>
    <w:rsid w:val="00A85A2B"/>
    <w:rsid w:val="00A861E9"/>
    <w:rsid w:val="00A92162"/>
    <w:rsid w:val="00A92273"/>
    <w:rsid w:val="00A92663"/>
    <w:rsid w:val="00A92A6F"/>
    <w:rsid w:val="00A92B3D"/>
    <w:rsid w:val="00A9328D"/>
    <w:rsid w:val="00A9339C"/>
    <w:rsid w:val="00A93543"/>
    <w:rsid w:val="00A941E8"/>
    <w:rsid w:val="00A94EFC"/>
    <w:rsid w:val="00A95706"/>
    <w:rsid w:val="00A976F0"/>
    <w:rsid w:val="00AA1681"/>
    <w:rsid w:val="00AA2FA1"/>
    <w:rsid w:val="00AA51C1"/>
    <w:rsid w:val="00AA6156"/>
    <w:rsid w:val="00AA73AC"/>
    <w:rsid w:val="00AA7B77"/>
    <w:rsid w:val="00AB0270"/>
    <w:rsid w:val="00AB187A"/>
    <w:rsid w:val="00AB331A"/>
    <w:rsid w:val="00AB39BA"/>
    <w:rsid w:val="00AB4246"/>
    <w:rsid w:val="00AB514A"/>
    <w:rsid w:val="00AC0E82"/>
    <w:rsid w:val="00AC2D07"/>
    <w:rsid w:val="00AC350D"/>
    <w:rsid w:val="00AC4701"/>
    <w:rsid w:val="00AC50E3"/>
    <w:rsid w:val="00AC57B1"/>
    <w:rsid w:val="00AC5EA3"/>
    <w:rsid w:val="00AC5FD7"/>
    <w:rsid w:val="00AC6B36"/>
    <w:rsid w:val="00AC6EF9"/>
    <w:rsid w:val="00AC7716"/>
    <w:rsid w:val="00AD15AC"/>
    <w:rsid w:val="00AD2B97"/>
    <w:rsid w:val="00AD51C9"/>
    <w:rsid w:val="00AD6653"/>
    <w:rsid w:val="00AE0A38"/>
    <w:rsid w:val="00AE0DC9"/>
    <w:rsid w:val="00AE1120"/>
    <w:rsid w:val="00AE125B"/>
    <w:rsid w:val="00AE240B"/>
    <w:rsid w:val="00AE2A68"/>
    <w:rsid w:val="00AE3772"/>
    <w:rsid w:val="00AE4915"/>
    <w:rsid w:val="00AE513E"/>
    <w:rsid w:val="00AE72BC"/>
    <w:rsid w:val="00AE7AA8"/>
    <w:rsid w:val="00AF0647"/>
    <w:rsid w:val="00AF0DF9"/>
    <w:rsid w:val="00AF11E9"/>
    <w:rsid w:val="00AF3565"/>
    <w:rsid w:val="00AF4A04"/>
    <w:rsid w:val="00AF4BE4"/>
    <w:rsid w:val="00AF6FE6"/>
    <w:rsid w:val="00B00DFC"/>
    <w:rsid w:val="00B04C97"/>
    <w:rsid w:val="00B05587"/>
    <w:rsid w:val="00B05A6C"/>
    <w:rsid w:val="00B10BBE"/>
    <w:rsid w:val="00B11EA0"/>
    <w:rsid w:val="00B140E3"/>
    <w:rsid w:val="00B1543B"/>
    <w:rsid w:val="00B1663D"/>
    <w:rsid w:val="00B17FDB"/>
    <w:rsid w:val="00B20993"/>
    <w:rsid w:val="00B21AD4"/>
    <w:rsid w:val="00B21BB1"/>
    <w:rsid w:val="00B21E7B"/>
    <w:rsid w:val="00B2254D"/>
    <w:rsid w:val="00B22BC3"/>
    <w:rsid w:val="00B231B8"/>
    <w:rsid w:val="00B25D68"/>
    <w:rsid w:val="00B2777B"/>
    <w:rsid w:val="00B307CC"/>
    <w:rsid w:val="00B3220A"/>
    <w:rsid w:val="00B35280"/>
    <w:rsid w:val="00B35784"/>
    <w:rsid w:val="00B35ECC"/>
    <w:rsid w:val="00B36619"/>
    <w:rsid w:val="00B442BC"/>
    <w:rsid w:val="00B4440F"/>
    <w:rsid w:val="00B46249"/>
    <w:rsid w:val="00B52E17"/>
    <w:rsid w:val="00B539FB"/>
    <w:rsid w:val="00B546F1"/>
    <w:rsid w:val="00B55EEC"/>
    <w:rsid w:val="00B5671F"/>
    <w:rsid w:val="00B57186"/>
    <w:rsid w:val="00B57686"/>
    <w:rsid w:val="00B57EEE"/>
    <w:rsid w:val="00B60BC0"/>
    <w:rsid w:val="00B61C16"/>
    <w:rsid w:val="00B6367E"/>
    <w:rsid w:val="00B63B06"/>
    <w:rsid w:val="00B63E00"/>
    <w:rsid w:val="00B64B51"/>
    <w:rsid w:val="00B65CC8"/>
    <w:rsid w:val="00B66C37"/>
    <w:rsid w:val="00B67119"/>
    <w:rsid w:val="00B67A6D"/>
    <w:rsid w:val="00B7068A"/>
    <w:rsid w:val="00B71407"/>
    <w:rsid w:val="00B71675"/>
    <w:rsid w:val="00B71B62"/>
    <w:rsid w:val="00B75BC0"/>
    <w:rsid w:val="00B7689D"/>
    <w:rsid w:val="00B76D22"/>
    <w:rsid w:val="00B7796D"/>
    <w:rsid w:val="00B77ACF"/>
    <w:rsid w:val="00B8060D"/>
    <w:rsid w:val="00B80B83"/>
    <w:rsid w:val="00B81A5A"/>
    <w:rsid w:val="00B82DEB"/>
    <w:rsid w:val="00B85001"/>
    <w:rsid w:val="00B863A0"/>
    <w:rsid w:val="00B901D5"/>
    <w:rsid w:val="00B90279"/>
    <w:rsid w:val="00B90351"/>
    <w:rsid w:val="00B90626"/>
    <w:rsid w:val="00B915D3"/>
    <w:rsid w:val="00B916B7"/>
    <w:rsid w:val="00B9324E"/>
    <w:rsid w:val="00B96F27"/>
    <w:rsid w:val="00B9740F"/>
    <w:rsid w:val="00BA01AB"/>
    <w:rsid w:val="00BA0425"/>
    <w:rsid w:val="00BA2B7F"/>
    <w:rsid w:val="00BA3306"/>
    <w:rsid w:val="00BA514D"/>
    <w:rsid w:val="00BA5197"/>
    <w:rsid w:val="00BA53BF"/>
    <w:rsid w:val="00BA7311"/>
    <w:rsid w:val="00BA73EE"/>
    <w:rsid w:val="00BB0D5A"/>
    <w:rsid w:val="00BB10E2"/>
    <w:rsid w:val="00BB190B"/>
    <w:rsid w:val="00BB3B97"/>
    <w:rsid w:val="00BB6B01"/>
    <w:rsid w:val="00BB72B9"/>
    <w:rsid w:val="00BB72C5"/>
    <w:rsid w:val="00BC5346"/>
    <w:rsid w:val="00BC5AFD"/>
    <w:rsid w:val="00BC7FCB"/>
    <w:rsid w:val="00BD0282"/>
    <w:rsid w:val="00BD03EC"/>
    <w:rsid w:val="00BD1FF2"/>
    <w:rsid w:val="00BE0BF9"/>
    <w:rsid w:val="00BE3CAA"/>
    <w:rsid w:val="00BE3E5F"/>
    <w:rsid w:val="00BE4281"/>
    <w:rsid w:val="00BE4F49"/>
    <w:rsid w:val="00BE5020"/>
    <w:rsid w:val="00BE583A"/>
    <w:rsid w:val="00BE6781"/>
    <w:rsid w:val="00BE6842"/>
    <w:rsid w:val="00BF06D0"/>
    <w:rsid w:val="00BF26A7"/>
    <w:rsid w:val="00BF3C30"/>
    <w:rsid w:val="00BF6B6F"/>
    <w:rsid w:val="00C03CC0"/>
    <w:rsid w:val="00C0535E"/>
    <w:rsid w:val="00C06418"/>
    <w:rsid w:val="00C064D1"/>
    <w:rsid w:val="00C06707"/>
    <w:rsid w:val="00C07417"/>
    <w:rsid w:val="00C07BBA"/>
    <w:rsid w:val="00C104C2"/>
    <w:rsid w:val="00C10BFF"/>
    <w:rsid w:val="00C11033"/>
    <w:rsid w:val="00C13886"/>
    <w:rsid w:val="00C14B02"/>
    <w:rsid w:val="00C15598"/>
    <w:rsid w:val="00C15F99"/>
    <w:rsid w:val="00C17DCD"/>
    <w:rsid w:val="00C200B3"/>
    <w:rsid w:val="00C20A01"/>
    <w:rsid w:val="00C210A5"/>
    <w:rsid w:val="00C23FEA"/>
    <w:rsid w:val="00C317F3"/>
    <w:rsid w:val="00C32436"/>
    <w:rsid w:val="00C40766"/>
    <w:rsid w:val="00C420FA"/>
    <w:rsid w:val="00C42180"/>
    <w:rsid w:val="00C44C37"/>
    <w:rsid w:val="00C45C32"/>
    <w:rsid w:val="00C46AE5"/>
    <w:rsid w:val="00C47654"/>
    <w:rsid w:val="00C504A2"/>
    <w:rsid w:val="00C51A8C"/>
    <w:rsid w:val="00C52ACF"/>
    <w:rsid w:val="00C53856"/>
    <w:rsid w:val="00C53A2D"/>
    <w:rsid w:val="00C577EA"/>
    <w:rsid w:val="00C57E4D"/>
    <w:rsid w:val="00C613F2"/>
    <w:rsid w:val="00C626E2"/>
    <w:rsid w:val="00C628C8"/>
    <w:rsid w:val="00C64B0E"/>
    <w:rsid w:val="00C64F45"/>
    <w:rsid w:val="00C65BBE"/>
    <w:rsid w:val="00C65BFB"/>
    <w:rsid w:val="00C676D6"/>
    <w:rsid w:val="00C7021E"/>
    <w:rsid w:val="00C7057B"/>
    <w:rsid w:val="00C70A2F"/>
    <w:rsid w:val="00C71C5D"/>
    <w:rsid w:val="00C7519E"/>
    <w:rsid w:val="00C75418"/>
    <w:rsid w:val="00C75FCB"/>
    <w:rsid w:val="00C767FE"/>
    <w:rsid w:val="00C7728E"/>
    <w:rsid w:val="00C813BE"/>
    <w:rsid w:val="00C81A12"/>
    <w:rsid w:val="00C84209"/>
    <w:rsid w:val="00C846BE"/>
    <w:rsid w:val="00C8514C"/>
    <w:rsid w:val="00C87201"/>
    <w:rsid w:val="00C92608"/>
    <w:rsid w:val="00C9266E"/>
    <w:rsid w:val="00C963DE"/>
    <w:rsid w:val="00CA0C26"/>
    <w:rsid w:val="00CA0C6E"/>
    <w:rsid w:val="00CA34C2"/>
    <w:rsid w:val="00CA507F"/>
    <w:rsid w:val="00CA625A"/>
    <w:rsid w:val="00CA6FFC"/>
    <w:rsid w:val="00CA7E16"/>
    <w:rsid w:val="00CB07A8"/>
    <w:rsid w:val="00CB0934"/>
    <w:rsid w:val="00CB14A1"/>
    <w:rsid w:val="00CB4B74"/>
    <w:rsid w:val="00CB4E16"/>
    <w:rsid w:val="00CB5389"/>
    <w:rsid w:val="00CB6BF4"/>
    <w:rsid w:val="00CC0CE6"/>
    <w:rsid w:val="00CC10E1"/>
    <w:rsid w:val="00CC5BC5"/>
    <w:rsid w:val="00CD09D6"/>
    <w:rsid w:val="00CD12E3"/>
    <w:rsid w:val="00CD196E"/>
    <w:rsid w:val="00CD2D40"/>
    <w:rsid w:val="00CD4B57"/>
    <w:rsid w:val="00CD6327"/>
    <w:rsid w:val="00CD7D3C"/>
    <w:rsid w:val="00CE05BD"/>
    <w:rsid w:val="00CE1DD9"/>
    <w:rsid w:val="00CE2A9E"/>
    <w:rsid w:val="00CE2B78"/>
    <w:rsid w:val="00CE32F2"/>
    <w:rsid w:val="00CE572D"/>
    <w:rsid w:val="00CE58FF"/>
    <w:rsid w:val="00CE6467"/>
    <w:rsid w:val="00CE74A3"/>
    <w:rsid w:val="00CE769A"/>
    <w:rsid w:val="00CF465D"/>
    <w:rsid w:val="00CF52DE"/>
    <w:rsid w:val="00CF5F7F"/>
    <w:rsid w:val="00CF6B04"/>
    <w:rsid w:val="00D01FC7"/>
    <w:rsid w:val="00D02083"/>
    <w:rsid w:val="00D034DD"/>
    <w:rsid w:val="00D03D0C"/>
    <w:rsid w:val="00D04952"/>
    <w:rsid w:val="00D04B69"/>
    <w:rsid w:val="00D067C4"/>
    <w:rsid w:val="00D06A16"/>
    <w:rsid w:val="00D07AA9"/>
    <w:rsid w:val="00D07CA1"/>
    <w:rsid w:val="00D1078F"/>
    <w:rsid w:val="00D10E60"/>
    <w:rsid w:val="00D11855"/>
    <w:rsid w:val="00D1269D"/>
    <w:rsid w:val="00D12CD2"/>
    <w:rsid w:val="00D12E48"/>
    <w:rsid w:val="00D1495C"/>
    <w:rsid w:val="00D14D23"/>
    <w:rsid w:val="00D154CF"/>
    <w:rsid w:val="00D15D8B"/>
    <w:rsid w:val="00D17023"/>
    <w:rsid w:val="00D17755"/>
    <w:rsid w:val="00D17984"/>
    <w:rsid w:val="00D17AA0"/>
    <w:rsid w:val="00D227B6"/>
    <w:rsid w:val="00D2422F"/>
    <w:rsid w:val="00D24DAD"/>
    <w:rsid w:val="00D252BB"/>
    <w:rsid w:val="00D25916"/>
    <w:rsid w:val="00D26CBE"/>
    <w:rsid w:val="00D26F7B"/>
    <w:rsid w:val="00D304A3"/>
    <w:rsid w:val="00D31170"/>
    <w:rsid w:val="00D31365"/>
    <w:rsid w:val="00D329E6"/>
    <w:rsid w:val="00D33473"/>
    <w:rsid w:val="00D37130"/>
    <w:rsid w:val="00D378AF"/>
    <w:rsid w:val="00D37972"/>
    <w:rsid w:val="00D40896"/>
    <w:rsid w:val="00D40F3D"/>
    <w:rsid w:val="00D4139F"/>
    <w:rsid w:val="00D41534"/>
    <w:rsid w:val="00D43A9E"/>
    <w:rsid w:val="00D4462E"/>
    <w:rsid w:val="00D451FC"/>
    <w:rsid w:val="00D4590E"/>
    <w:rsid w:val="00D50333"/>
    <w:rsid w:val="00D5065E"/>
    <w:rsid w:val="00D50D56"/>
    <w:rsid w:val="00D5280E"/>
    <w:rsid w:val="00D611FA"/>
    <w:rsid w:val="00D62885"/>
    <w:rsid w:val="00D63C48"/>
    <w:rsid w:val="00D64289"/>
    <w:rsid w:val="00D645D5"/>
    <w:rsid w:val="00D6550B"/>
    <w:rsid w:val="00D66055"/>
    <w:rsid w:val="00D6667B"/>
    <w:rsid w:val="00D711DA"/>
    <w:rsid w:val="00D71400"/>
    <w:rsid w:val="00D714B2"/>
    <w:rsid w:val="00D72142"/>
    <w:rsid w:val="00D72C23"/>
    <w:rsid w:val="00D746C0"/>
    <w:rsid w:val="00D7730F"/>
    <w:rsid w:val="00D812F5"/>
    <w:rsid w:val="00D8263B"/>
    <w:rsid w:val="00D8324B"/>
    <w:rsid w:val="00D8435D"/>
    <w:rsid w:val="00D84B67"/>
    <w:rsid w:val="00D879B6"/>
    <w:rsid w:val="00D92652"/>
    <w:rsid w:val="00D95394"/>
    <w:rsid w:val="00D970D5"/>
    <w:rsid w:val="00D970E7"/>
    <w:rsid w:val="00DA032B"/>
    <w:rsid w:val="00DA0456"/>
    <w:rsid w:val="00DA0A61"/>
    <w:rsid w:val="00DA1768"/>
    <w:rsid w:val="00DA46DE"/>
    <w:rsid w:val="00DA49B0"/>
    <w:rsid w:val="00DA55BB"/>
    <w:rsid w:val="00DA6758"/>
    <w:rsid w:val="00DA6FD3"/>
    <w:rsid w:val="00DA73EE"/>
    <w:rsid w:val="00DB000E"/>
    <w:rsid w:val="00DB5096"/>
    <w:rsid w:val="00DB5487"/>
    <w:rsid w:val="00DB5B1C"/>
    <w:rsid w:val="00DB7C4B"/>
    <w:rsid w:val="00DB7EC4"/>
    <w:rsid w:val="00DB7F0B"/>
    <w:rsid w:val="00DC0457"/>
    <w:rsid w:val="00DC1743"/>
    <w:rsid w:val="00DC1F73"/>
    <w:rsid w:val="00DC34D0"/>
    <w:rsid w:val="00DC4CC9"/>
    <w:rsid w:val="00DC51A7"/>
    <w:rsid w:val="00DC5818"/>
    <w:rsid w:val="00DC7746"/>
    <w:rsid w:val="00DC7EF2"/>
    <w:rsid w:val="00DD027A"/>
    <w:rsid w:val="00DD0579"/>
    <w:rsid w:val="00DD14C0"/>
    <w:rsid w:val="00DD1B5D"/>
    <w:rsid w:val="00DD3049"/>
    <w:rsid w:val="00DD319A"/>
    <w:rsid w:val="00DD35B4"/>
    <w:rsid w:val="00DD3E7A"/>
    <w:rsid w:val="00DD4570"/>
    <w:rsid w:val="00DD45B1"/>
    <w:rsid w:val="00DD5176"/>
    <w:rsid w:val="00DD723B"/>
    <w:rsid w:val="00DE2165"/>
    <w:rsid w:val="00DE30E2"/>
    <w:rsid w:val="00DE3A9A"/>
    <w:rsid w:val="00DE41C1"/>
    <w:rsid w:val="00DE475D"/>
    <w:rsid w:val="00DE4CAE"/>
    <w:rsid w:val="00DE4F7A"/>
    <w:rsid w:val="00DE609A"/>
    <w:rsid w:val="00DE6128"/>
    <w:rsid w:val="00DE6421"/>
    <w:rsid w:val="00DE6604"/>
    <w:rsid w:val="00DF05DB"/>
    <w:rsid w:val="00DF15FA"/>
    <w:rsid w:val="00DF16C0"/>
    <w:rsid w:val="00DF3A2F"/>
    <w:rsid w:val="00DF3FB8"/>
    <w:rsid w:val="00DF452B"/>
    <w:rsid w:val="00DF532C"/>
    <w:rsid w:val="00DF548B"/>
    <w:rsid w:val="00DF54A8"/>
    <w:rsid w:val="00DF7892"/>
    <w:rsid w:val="00E008E5"/>
    <w:rsid w:val="00E02FC3"/>
    <w:rsid w:val="00E054B5"/>
    <w:rsid w:val="00E05FBC"/>
    <w:rsid w:val="00E076EA"/>
    <w:rsid w:val="00E07CDE"/>
    <w:rsid w:val="00E1098F"/>
    <w:rsid w:val="00E10B7D"/>
    <w:rsid w:val="00E15553"/>
    <w:rsid w:val="00E156C5"/>
    <w:rsid w:val="00E16B71"/>
    <w:rsid w:val="00E17D3D"/>
    <w:rsid w:val="00E227EA"/>
    <w:rsid w:val="00E23660"/>
    <w:rsid w:val="00E2453B"/>
    <w:rsid w:val="00E254F6"/>
    <w:rsid w:val="00E26CC0"/>
    <w:rsid w:val="00E2761D"/>
    <w:rsid w:val="00E27C85"/>
    <w:rsid w:val="00E30F82"/>
    <w:rsid w:val="00E31246"/>
    <w:rsid w:val="00E31A1E"/>
    <w:rsid w:val="00E32DF7"/>
    <w:rsid w:val="00E32FB7"/>
    <w:rsid w:val="00E34484"/>
    <w:rsid w:val="00E3470F"/>
    <w:rsid w:val="00E349F5"/>
    <w:rsid w:val="00E34B87"/>
    <w:rsid w:val="00E37424"/>
    <w:rsid w:val="00E4041E"/>
    <w:rsid w:val="00E417C6"/>
    <w:rsid w:val="00E41B72"/>
    <w:rsid w:val="00E431E9"/>
    <w:rsid w:val="00E447CB"/>
    <w:rsid w:val="00E45180"/>
    <w:rsid w:val="00E45305"/>
    <w:rsid w:val="00E4634C"/>
    <w:rsid w:val="00E46AC9"/>
    <w:rsid w:val="00E46DBC"/>
    <w:rsid w:val="00E47972"/>
    <w:rsid w:val="00E47BFC"/>
    <w:rsid w:val="00E52C96"/>
    <w:rsid w:val="00E53942"/>
    <w:rsid w:val="00E53DB6"/>
    <w:rsid w:val="00E5490B"/>
    <w:rsid w:val="00E54FB3"/>
    <w:rsid w:val="00E55904"/>
    <w:rsid w:val="00E55C7B"/>
    <w:rsid w:val="00E55E72"/>
    <w:rsid w:val="00E6339F"/>
    <w:rsid w:val="00E6393A"/>
    <w:rsid w:val="00E642FB"/>
    <w:rsid w:val="00E6440B"/>
    <w:rsid w:val="00E64E52"/>
    <w:rsid w:val="00E66614"/>
    <w:rsid w:val="00E66F2C"/>
    <w:rsid w:val="00E744A3"/>
    <w:rsid w:val="00E76BBE"/>
    <w:rsid w:val="00E773DF"/>
    <w:rsid w:val="00E8269B"/>
    <w:rsid w:val="00E836B1"/>
    <w:rsid w:val="00E930FA"/>
    <w:rsid w:val="00E96B5D"/>
    <w:rsid w:val="00E9747C"/>
    <w:rsid w:val="00E97ACB"/>
    <w:rsid w:val="00EA1B29"/>
    <w:rsid w:val="00EA226C"/>
    <w:rsid w:val="00EA402B"/>
    <w:rsid w:val="00EA6411"/>
    <w:rsid w:val="00EA66E6"/>
    <w:rsid w:val="00EA7679"/>
    <w:rsid w:val="00EB1700"/>
    <w:rsid w:val="00EB1ADB"/>
    <w:rsid w:val="00EB3F3E"/>
    <w:rsid w:val="00EB426B"/>
    <w:rsid w:val="00EB5E6D"/>
    <w:rsid w:val="00EB62C3"/>
    <w:rsid w:val="00EB645B"/>
    <w:rsid w:val="00EC4D7F"/>
    <w:rsid w:val="00EC5725"/>
    <w:rsid w:val="00ED22F6"/>
    <w:rsid w:val="00ED28A3"/>
    <w:rsid w:val="00ED60F1"/>
    <w:rsid w:val="00ED7CFF"/>
    <w:rsid w:val="00EE0E29"/>
    <w:rsid w:val="00EE4D05"/>
    <w:rsid w:val="00EE7777"/>
    <w:rsid w:val="00EF13B3"/>
    <w:rsid w:val="00EF2B6F"/>
    <w:rsid w:val="00EF2F3D"/>
    <w:rsid w:val="00EF3278"/>
    <w:rsid w:val="00EF33F5"/>
    <w:rsid w:val="00EF3E00"/>
    <w:rsid w:val="00EF453C"/>
    <w:rsid w:val="00EF5332"/>
    <w:rsid w:val="00EF542F"/>
    <w:rsid w:val="00EF7D06"/>
    <w:rsid w:val="00EF7FBB"/>
    <w:rsid w:val="00F020CF"/>
    <w:rsid w:val="00F0337E"/>
    <w:rsid w:val="00F049EC"/>
    <w:rsid w:val="00F06841"/>
    <w:rsid w:val="00F07FA1"/>
    <w:rsid w:val="00F111D8"/>
    <w:rsid w:val="00F121C5"/>
    <w:rsid w:val="00F139C9"/>
    <w:rsid w:val="00F1452F"/>
    <w:rsid w:val="00F1591E"/>
    <w:rsid w:val="00F17215"/>
    <w:rsid w:val="00F20BAB"/>
    <w:rsid w:val="00F228DD"/>
    <w:rsid w:val="00F26B4B"/>
    <w:rsid w:val="00F2706C"/>
    <w:rsid w:val="00F27568"/>
    <w:rsid w:val="00F3094A"/>
    <w:rsid w:val="00F32D23"/>
    <w:rsid w:val="00F40C22"/>
    <w:rsid w:val="00F41927"/>
    <w:rsid w:val="00F419C5"/>
    <w:rsid w:val="00F42A62"/>
    <w:rsid w:val="00F435D3"/>
    <w:rsid w:val="00F44C96"/>
    <w:rsid w:val="00F44EFB"/>
    <w:rsid w:val="00F4558D"/>
    <w:rsid w:val="00F4584A"/>
    <w:rsid w:val="00F460FE"/>
    <w:rsid w:val="00F4611F"/>
    <w:rsid w:val="00F50CE7"/>
    <w:rsid w:val="00F5288C"/>
    <w:rsid w:val="00F52B22"/>
    <w:rsid w:val="00F52B47"/>
    <w:rsid w:val="00F558EC"/>
    <w:rsid w:val="00F56314"/>
    <w:rsid w:val="00F604E6"/>
    <w:rsid w:val="00F64673"/>
    <w:rsid w:val="00F64B69"/>
    <w:rsid w:val="00F65213"/>
    <w:rsid w:val="00F65895"/>
    <w:rsid w:val="00F66476"/>
    <w:rsid w:val="00F66903"/>
    <w:rsid w:val="00F7063D"/>
    <w:rsid w:val="00F71EF7"/>
    <w:rsid w:val="00F72B42"/>
    <w:rsid w:val="00F733F3"/>
    <w:rsid w:val="00F73A39"/>
    <w:rsid w:val="00F74564"/>
    <w:rsid w:val="00F75457"/>
    <w:rsid w:val="00F75A5E"/>
    <w:rsid w:val="00F75D3A"/>
    <w:rsid w:val="00F7623E"/>
    <w:rsid w:val="00F77CC6"/>
    <w:rsid w:val="00F80139"/>
    <w:rsid w:val="00F819F1"/>
    <w:rsid w:val="00F81F67"/>
    <w:rsid w:val="00F822F9"/>
    <w:rsid w:val="00F85534"/>
    <w:rsid w:val="00F877D3"/>
    <w:rsid w:val="00F87C31"/>
    <w:rsid w:val="00F87CEC"/>
    <w:rsid w:val="00F91D3F"/>
    <w:rsid w:val="00F9212E"/>
    <w:rsid w:val="00F93605"/>
    <w:rsid w:val="00F93EEB"/>
    <w:rsid w:val="00F9783F"/>
    <w:rsid w:val="00FA0329"/>
    <w:rsid w:val="00FA163A"/>
    <w:rsid w:val="00FA1781"/>
    <w:rsid w:val="00FA7D56"/>
    <w:rsid w:val="00FB366A"/>
    <w:rsid w:val="00FB3962"/>
    <w:rsid w:val="00FB4F8B"/>
    <w:rsid w:val="00FB57DB"/>
    <w:rsid w:val="00FB60F3"/>
    <w:rsid w:val="00FB6238"/>
    <w:rsid w:val="00FB760D"/>
    <w:rsid w:val="00FC06E3"/>
    <w:rsid w:val="00FC22AB"/>
    <w:rsid w:val="00FC24F2"/>
    <w:rsid w:val="00FC307A"/>
    <w:rsid w:val="00FC5580"/>
    <w:rsid w:val="00FC594B"/>
    <w:rsid w:val="00FC596D"/>
    <w:rsid w:val="00FC6079"/>
    <w:rsid w:val="00FC7C32"/>
    <w:rsid w:val="00FD0DA5"/>
    <w:rsid w:val="00FD14A2"/>
    <w:rsid w:val="00FD2D30"/>
    <w:rsid w:val="00FD32F5"/>
    <w:rsid w:val="00FD5EE3"/>
    <w:rsid w:val="00FD65F7"/>
    <w:rsid w:val="00FD7841"/>
    <w:rsid w:val="00FE18BB"/>
    <w:rsid w:val="00FE2431"/>
    <w:rsid w:val="00FE4C58"/>
    <w:rsid w:val="00FE6746"/>
    <w:rsid w:val="00FF138F"/>
    <w:rsid w:val="00FF1844"/>
    <w:rsid w:val="00FF236D"/>
    <w:rsid w:val="00FF2550"/>
    <w:rsid w:val="00FF4153"/>
    <w:rsid w:val="00FF535D"/>
    <w:rsid w:val="00FF5843"/>
    <w:rsid w:val="00FF610D"/>
    <w:rsid w:val="00FF6181"/>
    <w:rsid w:val="00FF673E"/>
    <w:rsid w:val="00FF7550"/>
    <w:rsid w:val="00FF770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2" w:qFormat="1"/>
    <w:lsdException w:name="annotation reference" w:qFormat="1"/>
    <w:lsdException w:name="List Bullet" w:uiPriority="4"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9D"/>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7"/>
      </w:num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DB000E"/>
    <w:pPr>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98"/>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B4B74"/>
    <w:pPr>
      <w:widowControl w:val="0"/>
      <w:tabs>
        <w:tab w:val="left" w:pos="880"/>
        <w:tab w:val="right" w:leader="dot" w:pos="9016"/>
      </w:tabs>
      <w:spacing w:after="0"/>
      <w:ind w:left="851" w:hanging="425"/>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FB760D"/>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FB760D"/>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F65213"/>
    <w:pPr>
      <w:numPr>
        <w:numId w:val="9"/>
      </w:numPr>
      <w:spacing w:after="0"/>
    </w:pPr>
    <w:rPr>
      <w:szCs w:val="24"/>
      <w:lang w:val="en-US"/>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character" w:customStyle="1" w:styleId="TableTextChar0">
    <w:name w:val="TableText Char"/>
    <w:basedOn w:val="DefaultParagraphFont"/>
    <w:link w:val="TableText1"/>
    <w:uiPriority w:val="3"/>
    <w:rsid w:val="00FB760D"/>
    <w:rPr>
      <w:rFonts w:ascii="Arial Narrow" w:eastAsia="Times New Roman" w:hAnsi="Arial Narrow" w:cs="Arial Narrow"/>
      <w:sz w:val="20"/>
      <w:szCs w:val="20"/>
    </w:rPr>
  </w:style>
  <w:style w:type="paragraph" w:customStyle="1" w:styleId="LandscapeFooter">
    <w:name w:val="Landscape Footer"/>
    <w:basedOn w:val="Normal"/>
    <w:link w:val="LandscapeFooterChar"/>
    <w:uiPriority w:val="5"/>
    <w:qFormat/>
    <w:rsid w:val="00F64673"/>
    <w:pPr>
      <w:tabs>
        <w:tab w:val="center" w:pos="7655"/>
        <w:tab w:val="right" w:pos="15137"/>
      </w:tabs>
      <w:spacing w:before="0" w:after="0"/>
      <w:jc w:val="left"/>
    </w:pPr>
    <w:rPr>
      <w:rFonts w:ascii="Calibri" w:eastAsiaTheme="minorEastAsia" w:hAnsi="Calibri"/>
      <w:sz w:val="18"/>
      <w:szCs w:val="18"/>
      <w:lang w:eastAsia="zh-CN"/>
    </w:rPr>
  </w:style>
  <w:style w:type="character" w:customStyle="1" w:styleId="LandscapeFooterChar">
    <w:name w:val="Landscape Footer Char"/>
    <w:basedOn w:val="DefaultParagraphFont"/>
    <w:link w:val="LandscapeFooter"/>
    <w:uiPriority w:val="5"/>
    <w:rsid w:val="00F64673"/>
    <w:rPr>
      <w:rFonts w:ascii="Calibri" w:eastAsiaTheme="minorEastAsia" w:hAnsi="Calibri"/>
      <w:sz w:val="18"/>
      <w:szCs w:val="18"/>
      <w:lang w:eastAsia="zh-CN"/>
    </w:rPr>
  </w:style>
  <w:style w:type="paragraph" w:styleId="ListBullet">
    <w:name w:val="List Bullet"/>
    <w:basedOn w:val="Normal"/>
    <w:uiPriority w:val="4"/>
    <w:qFormat/>
    <w:rsid w:val="00727756"/>
    <w:pPr>
      <w:numPr>
        <w:numId w:val="4"/>
      </w:numPr>
      <w:spacing w:before="0" w:after="240" w:line="288" w:lineRule="auto"/>
      <w:contextualSpacing/>
    </w:pPr>
    <w:rPr>
      <w:rFonts w:ascii="Calibri" w:eastAsiaTheme="minorEastAsia" w:hAnsi="Calibri"/>
      <w:sz w:val="22"/>
      <w:lang w:val="en-US" w:eastAsia="zh-CN"/>
    </w:rPr>
  </w:style>
  <w:style w:type="paragraph" w:customStyle="1" w:styleId="PortraitHeader">
    <w:name w:val="Portrait Header"/>
    <w:basedOn w:val="Normal"/>
    <w:link w:val="PortraitHeaderChar"/>
    <w:uiPriority w:val="5"/>
    <w:qFormat/>
    <w:rsid w:val="00E008E5"/>
    <w:pPr>
      <w:pBdr>
        <w:bottom w:val="single" w:sz="4" w:space="1" w:color="auto"/>
      </w:pBdr>
      <w:tabs>
        <w:tab w:val="right" w:pos="9354"/>
      </w:tabs>
      <w:spacing w:before="0" w:after="240" w:line="288" w:lineRule="auto"/>
    </w:pPr>
    <w:rPr>
      <w:rFonts w:ascii="Calibri" w:eastAsiaTheme="minorEastAsia" w:hAnsi="Calibri"/>
      <w:sz w:val="18"/>
      <w:szCs w:val="18"/>
      <w:lang w:eastAsia="zh-CN"/>
    </w:rPr>
  </w:style>
  <w:style w:type="character" w:customStyle="1" w:styleId="PortraitHeaderChar">
    <w:name w:val="Portrait Header Char"/>
    <w:basedOn w:val="DefaultParagraphFont"/>
    <w:link w:val="PortraitHeader"/>
    <w:uiPriority w:val="5"/>
    <w:rsid w:val="00E008E5"/>
    <w:rPr>
      <w:rFonts w:ascii="Calibri" w:eastAsiaTheme="minorEastAsia" w:hAnsi="Calibri"/>
      <w:sz w:val="18"/>
      <w:szCs w:val="18"/>
      <w:lang w:eastAsia="zh-CN"/>
    </w:rPr>
  </w:style>
  <w:style w:type="paragraph" w:customStyle="1" w:styleId="TableHeadingRow">
    <w:name w:val="TableHeadingRow"/>
    <w:basedOn w:val="Normal"/>
    <w:uiPriority w:val="3"/>
    <w:qFormat/>
    <w:rsid w:val="000C5F42"/>
    <w:pPr>
      <w:keepNext/>
      <w:spacing w:before="40" w:after="40"/>
    </w:pPr>
    <w:rPr>
      <w:rFonts w:ascii="Calibri" w:eastAsiaTheme="minorEastAsia" w:hAnsi="Calibri"/>
      <w:b/>
      <w:sz w:val="20"/>
      <w:szCs w:val="20"/>
      <w:lang w:eastAsia="zh-CN"/>
    </w:rPr>
  </w:style>
  <w:style w:type="character" w:customStyle="1" w:styleId="TableCellLeftChar">
    <w:name w:val="Table Cell Left Char"/>
    <w:link w:val="TableCellLeft"/>
    <w:locked/>
    <w:rsid w:val="000C5F42"/>
    <w:rPr>
      <w:rFonts w:ascii="Arial" w:eastAsia="Times New Roman" w:hAnsi="Arial" w:cs="Times New Roman"/>
      <w:sz w:val="20"/>
      <w:szCs w:val="20"/>
      <w:lang w:val="en-US" w:eastAsia="zh-TW"/>
    </w:rPr>
  </w:style>
  <w:style w:type="paragraph" w:customStyle="1" w:styleId="TableCellLeft">
    <w:name w:val="Table Cell Left"/>
    <w:basedOn w:val="Normal"/>
    <w:link w:val="TableCellLeftChar"/>
    <w:rsid w:val="000C5F42"/>
    <w:pPr>
      <w:keepNext/>
      <w:keepLines/>
      <w:spacing w:before="50" w:after="50" w:line="240" w:lineRule="exact"/>
      <w:jc w:val="left"/>
    </w:pPr>
    <w:rPr>
      <w:rFonts w:ascii="Arial" w:eastAsia="Times New Roman" w:hAnsi="Arial" w:cs="Times New Roman"/>
      <w:sz w:val="20"/>
      <w:szCs w:val="20"/>
      <w:lang w:val="en-US" w:eastAsia="zh-TW"/>
    </w:rPr>
  </w:style>
  <w:style w:type="paragraph" w:customStyle="1" w:styleId="TableBullet">
    <w:name w:val="TableBullet"/>
    <w:basedOn w:val="TableText1"/>
    <w:link w:val="TableBulletChar"/>
    <w:uiPriority w:val="99"/>
    <w:rsid w:val="003E61D3"/>
    <w:pPr>
      <w:keepNext w:val="0"/>
      <w:numPr>
        <w:numId w:val="5"/>
      </w:numPr>
      <w:tabs>
        <w:tab w:val="left" w:pos="216"/>
      </w:tabs>
      <w:contextualSpacing/>
      <w:jc w:val="left"/>
    </w:pPr>
    <w:rPr>
      <w:rFonts w:ascii="Calibri" w:hAnsi="Calibri" w:cs="Calibri"/>
      <w:bCs/>
    </w:rPr>
  </w:style>
  <w:style w:type="character" w:customStyle="1" w:styleId="TableBulletChar">
    <w:name w:val="TableBullet Char"/>
    <w:basedOn w:val="TableTextChar0"/>
    <w:link w:val="TableBullet"/>
    <w:uiPriority w:val="99"/>
    <w:rsid w:val="003E61D3"/>
    <w:rPr>
      <w:rFonts w:ascii="Calibri" w:eastAsia="Times New Roman" w:hAnsi="Calibri" w:cs="Calibri"/>
      <w:bCs/>
      <w:sz w:val="20"/>
      <w:szCs w:val="20"/>
    </w:rPr>
  </w:style>
  <w:style w:type="paragraph" w:customStyle="1" w:styleId="TableNumbered">
    <w:name w:val="Table Numbered"/>
    <w:basedOn w:val="Normal"/>
    <w:qFormat/>
    <w:rsid w:val="00B442BC"/>
    <w:pPr>
      <w:numPr>
        <w:numId w:val="6"/>
      </w:numPr>
      <w:spacing w:before="40" w:after="40"/>
      <w:ind w:left="357" w:hanging="357"/>
      <w:jc w:val="left"/>
    </w:pPr>
    <w:rPr>
      <w:rFonts w:eastAsiaTheme="minorEastAsia" w:cstheme="minorHAnsi"/>
      <w:sz w:val="20"/>
      <w:lang w:eastAsia="zh-CN"/>
    </w:rPr>
  </w:style>
  <w:style w:type="table" w:customStyle="1" w:styleId="TableGrid1">
    <w:name w:val="Table Grid1"/>
    <w:basedOn w:val="TableNormal"/>
    <w:next w:val="TableGrid"/>
    <w:uiPriority w:val="39"/>
    <w:rsid w:val="00CE05BD"/>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D2E9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10576E"/>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10576E"/>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6A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5EA3"/>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AC5EA3"/>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350A3E"/>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EF5332"/>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20336D"/>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1F1B4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F1B47"/>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504C"/>
  </w:style>
  <w:style w:type="table" w:customStyle="1" w:styleId="TableGridbeth1">
    <w:name w:val="Table Gridbeth1"/>
    <w:basedOn w:val="TableNormal"/>
    <w:next w:val="TableGrid"/>
    <w:uiPriority w:val="59"/>
    <w:rsid w:val="0089504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8950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895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39"/>
    <w:rsid w:val="0089504C"/>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89504C"/>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89504C"/>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25998"/>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36602"/>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BF26A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9C5EA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C15F99"/>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6393A"/>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B4D29"/>
    <w:pPr>
      <w:autoSpaceDE w:val="0"/>
      <w:autoSpaceDN w:val="0"/>
      <w:adjustRightInd w:val="0"/>
      <w:spacing w:after="0" w:line="240" w:lineRule="auto"/>
    </w:pPr>
    <w:rPr>
      <w:rFonts w:ascii="Cambria" w:hAnsi="Cambria" w:cs="Cambria"/>
      <w:color w:val="000000"/>
      <w:sz w:val="24"/>
      <w:szCs w:val="24"/>
    </w:rPr>
  </w:style>
  <w:style w:type="table" w:customStyle="1" w:styleId="Summarybox1">
    <w:name w:val="Summary box1"/>
    <w:basedOn w:val="TableNormal"/>
    <w:next w:val="TableGrid"/>
    <w:uiPriority w:val="59"/>
    <w:rsid w:val="00222B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45F5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45F59"/>
    <w:rPr>
      <w:rFonts w:ascii="Calibri" w:hAnsi="Calibri"/>
      <w:noProof/>
      <w:sz w:val="24"/>
      <w:lang w:val="en-US"/>
    </w:rPr>
  </w:style>
  <w:style w:type="paragraph" w:customStyle="1" w:styleId="EndNoteBibliography">
    <w:name w:val="EndNote Bibliography"/>
    <w:basedOn w:val="Normal"/>
    <w:link w:val="EndNoteBibliographyChar"/>
    <w:rsid w:val="00545F59"/>
    <w:rPr>
      <w:rFonts w:ascii="Calibri" w:hAnsi="Calibri"/>
      <w:noProof/>
      <w:lang w:val="en-US"/>
    </w:rPr>
  </w:style>
  <w:style w:type="character" w:customStyle="1" w:styleId="EndNoteBibliographyChar">
    <w:name w:val="EndNote Bibliography Char"/>
    <w:basedOn w:val="DefaultParagraphFont"/>
    <w:link w:val="EndNoteBibliography"/>
    <w:rsid w:val="00545F59"/>
    <w:rPr>
      <w:rFonts w:ascii="Calibri" w:hAnsi="Calibri"/>
      <w:noProof/>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2" w:qFormat="1"/>
    <w:lsdException w:name="annotation reference" w:qFormat="1"/>
    <w:lsdException w:name="List Bullet" w:uiPriority="4"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9D"/>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7"/>
      </w:num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DB000E"/>
    <w:pPr>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98"/>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B4B74"/>
    <w:pPr>
      <w:widowControl w:val="0"/>
      <w:tabs>
        <w:tab w:val="left" w:pos="880"/>
        <w:tab w:val="right" w:leader="dot" w:pos="9016"/>
      </w:tabs>
      <w:spacing w:after="0"/>
      <w:ind w:left="851" w:hanging="425"/>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FB760D"/>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FB760D"/>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F65213"/>
    <w:pPr>
      <w:numPr>
        <w:numId w:val="9"/>
      </w:numPr>
      <w:spacing w:after="0"/>
    </w:pPr>
    <w:rPr>
      <w:szCs w:val="24"/>
      <w:lang w:val="en-US"/>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character" w:customStyle="1" w:styleId="TableTextChar0">
    <w:name w:val="TableText Char"/>
    <w:basedOn w:val="DefaultParagraphFont"/>
    <w:link w:val="TableText1"/>
    <w:uiPriority w:val="3"/>
    <w:rsid w:val="00FB760D"/>
    <w:rPr>
      <w:rFonts w:ascii="Arial Narrow" w:eastAsia="Times New Roman" w:hAnsi="Arial Narrow" w:cs="Arial Narrow"/>
      <w:sz w:val="20"/>
      <w:szCs w:val="20"/>
    </w:rPr>
  </w:style>
  <w:style w:type="paragraph" w:customStyle="1" w:styleId="LandscapeFooter">
    <w:name w:val="Landscape Footer"/>
    <w:basedOn w:val="Normal"/>
    <w:link w:val="LandscapeFooterChar"/>
    <w:uiPriority w:val="5"/>
    <w:qFormat/>
    <w:rsid w:val="00F64673"/>
    <w:pPr>
      <w:tabs>
        <w:tab w:val="center" w:pos="7655"/>
        <w:tab w:val="right" w:pos="15137"/>
      </w:tabs>
      <w:spacing w:before="0" w:after="0"/>
      <w:jc w:val="left"/>
    </w:pPr>
    <w:rPr>
      <w:rFonts w:ascii="Calibri" w:eastAsiaTheme="minorEastAsia" w:hAnsi="Calibri"/>
      <w:sz w:val="18"/>
      <w:szCs w:val="18"/>
      <w:lang w:eastAsia="zh-CN"/>
    </w:rPr>
  </w:style>
  <w:style w:type="character" w:customStyle="1" w:styleId="LandscapeFooterChar">
    <w:name w:val="Landscape Footer Char"/>
    <w:basedOn w:val="DefaultParagraphFont"/>
    <w:link w:val="LandscapeFooter"/>
    <w:uiPriority w:val="5"/>
    <w:rsid w:val="00F64673"/>
    <w:rPr>
      <w:rFonts w:ascii="Calibri" w:eastAsiaTheme="minorEastAsia" w:hAnsi="Calibri"/>
      <w:sz w:val="18"/>
      <w:szCs w:val="18"/>
      <w:lang w:eastAsia="zh-CN"/>
    </w:rPr>
  </w:style>
  <w:style w:type="paragraph" w:styleId="ListBullet">
    <w:name w:val="List Bullet"/>
    <w:basedOn w:val="Normal"/>
    <w:uiPriority w:val="4"/>
    <w:qFormat/>
    <w:rsid w:val="00727756"/>
    <w:pPr>
      <w:numPr>
        <w:numId w:val="4"/>
      </w:numPr>
      <w:spacing w:before="0" w:after="240" w:line="288" w:lineRule="auto"/>
      <w:contextualSpacing/>
    </w:pPr>
    <w:rPr>
      <w:rFonts w:ascii="Calibri" w:eastAsiaTheme="minorEastAsia" w:hAnsi="Calibri"/>
      <w:sz w:val="22"/>
      <w:lang w:val="en-US" w:eastAsia="zh-CN"/>
    </w:rPr>
  </w:style>
  <w:style w:type="paragraph" w:customStyle="1" w:styleId="PortraitHeader">
    <w:name w:val="Portrait Header"/>
    <w:basedOn w:val="Normal"/>
    <w:link w:val="PortraitHeaderChar"/>
    <w:uiPriority w:val="5"/>
    <w:qFormat/>
    <w:rsid w:val="00E008E5"/>
    <w:pPr>
      <w:pBdr>
        <w:bottom w:val="single" w:sz="4" w:space="1" w:color="auto"/>
      </w:pBdr>
      <w:tabs>
        <w:tab w:val="right" w:pos="9354"/>
      </w:tabs>
      <w:spacing w:before="0" w:after="240" w:line="288" w:lineRule="auto"/>
    </w:pPr>
    <w:rPr>
      <w:rFonts w:ascii="Calibri" w:eastAsiaTheme="minorEastAsia" w:hAnsi="Calibri"/>
      <w:sz w:val="18"/>
      <w:szCs w:val="18"/>
      <w:lang w:eastAsia="zh-CN"/>
    </w:rPr>
  </w:style>
  <w:style w:type="character" w:customStyle="1" w:styleId="PortraitHeaderChar">
    <w:name w:val="Portrait Header Char"/>
    <w:basedOn w:val="DefaultParagraphFont"/>
    <w:link w:val="PortraitHeader"/>
    <w:uiPriority w:val="5"/>
    <w:rsid w:val="00E008E5"/>
    <w:rPr>
      <w:rFonts w:ascii="Calibri" w:eastAsiaTheme="minorEastAsia" w:hAnsi="Calibri"/>
      <w:sz w:val="18"/>
      <w:szCs w:val="18"/>
      <w:lang w:eastAsia="zh-CN"/>
    </w:rPr>
  </w:style>
  <w:style w:type="paragraph" w:customStyle="1" w:styleId="TableHeadingRow">
    <w:name w:val="TableHeadingRow"/>
    <w:basedOn w:val="Normal"/>
    <w:uiPriority w:val="3"/>
    <w:qFormat/>
    <w:rsid w:val="000C5F42"/>
    <w:pPr>
      <w:keepNext/>
      <w:spacing w:before="40" w:after="40"/>
    </w:pPr>
    <w:rPr>
      <w:rFonts w:ascii="Calibri" w:eastAsiaTheme="minorEastAsia" w:hAnsi="Calibri"/>
      <w:b/>
      <w:sz w:val="20"/>
      <w:szCs w:val="20"/>
      <w:lang w:eastAsia="zh-CN"/>
    </w:rPr>
  </w:style>
  <w:style w:type="character" w:customStyle="1" w:styleId="TableCellLeftChar">
    <w:name w:val="Table Cell Left Char"/>
    <w:link w:val="TableCellLeft"/>
    <w:locked/>
    <w:rsid w:val="000C5F42"/>
    <w:rPr>
      <w:rFonts w:ascii="Arial" w:eastAsia="Times New Roman" w:hAnsi="Arial" w:cs="Times New Roman"/>
      <w:sz w:val="20"/>
      <w:szCs w:val="20"/>
      <w:lang w:val="en-US" w:eastAsia="zh-TW"/>
    </w:rPr>
  </w:style>
  <w:style w:type="paragraph" w:customStyle="1" w:styleId="TableCellLeft">
    <w:name w:val="Table Cell Left"/>
    <w:basedOn w:val="Normal"/>
    <w:link w:val="TableCellLeftChar"/>
    <w:rsid w:val="000C5F42"/>
    <w:pPr>
      <w:keepNext/>
      <w:keepLines/>
      <w:spacing w:before="50" w:after="50" w:line="240" w:lineRule="exact"/>
      <w:jc w:val="left"/>
    </w:pPr>
    <w:rPr>
      <w:rFonts w:ascii="Arial" w:eastAsia="Times New Roman" w:hAnsi="Arial" w:cs="Times New Roman"/>
      <w:sz w:val="20"/>
      <w:szCs w:val="20"/>
      <w:lang w:val="en-US" w:eastAsia="zh-TW"/>
    </w:rPr>
  </w:style>
  <w:style w:type="paragraph" w:customStyle="1" w:styleId="TableBullet">
    <w:name w:val="TableBullet"/>
    <w:basedOn w:val="TableText1"/>
    <w:link w:val="TableBulletChar"/>
    <w:uiPriority w:val="99"/>
    <w:rsid w:val="003E61D3"/>
    <w:pPr>
      <w:keepNext w:val="0"/>
      <w:numPr>
        <w:numId w:val="5"/>
      </w:numPr>
      <w:tabs>
        <w:tab w:val="left" w:pos="216"/>
      </w:tabs>
      <w:contextualSpacing/>
      <w:jc w:val="left"/>
    </w:pPr>
    <w:rPr>
      <w:rFonts w:ascii="Calibri" w:hAnsi="Calibri" w:cs="Calibri"/>
      <w:bCs/>
    </w:rPr>
  </w:style>
  <w:style w:type="character" w:customStyle="1" w:styleId="TableBulletChar">
    <w:name w:val="TableBullet Char"/>
    <w:basedOn w:val="TableTextChar0"/>
    <w:link w:val="TableBullet"/>
    <w:uiPriority w:val="99"/>
    <w:rsid w:val="003E61D3"/>
    <w:rPr>
      <w:rFonts w:ascii="Calibri" w:eastAsia="Times New Roman" w:hAnsi="Calibri" w:cs="Calibri"/>
      <w:bCs/>
      <w:sz w:val="20"/>
      <w:szCs w:val="20"/>
    </w:rPr>
  </w:style>
  <w:style w:type="paragraph" w:customStyle="1" w:styleId="TableNumbered">
    <w:name w:val="Table Numbered"/>
    <w:basedOn w:val="Normal"/>
    <w:qFormat/>
    <w:rsid w:val="00B442BC"/>
    <w:pPr>
      <w:numPr>
        <w:numId w:val="6"/>
      </w:numPr>
      <w:spacing w:before="40" w:after="40"/>
      <w:ind w:left="357" w:hanging="357"/>
      <w:jc w:val="left"/>
    </w:pPr>
    <w:rPr>
      <w:rFonts w:eastAsiaTheme="minorEastAsia" w:cstheme="minorHAnsi"/>
      <w:sz w:val="20"/>
      <w:lang w:eastAsia="zh-CN"/>
    </w:rPr>
  </w:style>
  <w:style w:type="table" w:customStyle="1" w:styleId="TableGrid1">
    <w:name w:val="Table Grid1"/>
    <w:basedOn w:val="TableNormal"/>
    <w:next w:val="TableGrid"/>
    <w:uiPriority w:val="39"/>
    <w:rsid w:val="00CE05BD"/>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D2E9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10576E"/>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10576E"/>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6A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5EA3"/>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AC5EA3"/>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350A3E"/>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EF5332"/>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20336D"/>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1F1B4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F1B47"/>
    <w:pPr>
      <w:spacing w:after="0" w:line="240" w:lineRule="auto"/>
    </w:pPr>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504C"/>
  </w:style>
  <w:style w:type="table" w:customStyle="1" w:styleId="TableGridbeth1">
    <w:name w:val="Table Gridbeth1"/>
    <w:basedOn w:val="TableNormal"/>
    <w:next w:val="TableGrid"/>
    <w:uiPriority w:val="59"/>
    <w:rsid w:val="0089504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8950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895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39"/>
    <w:rsid w:val="0089504C"/>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89504C"/>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89504C"/>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25998"/>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36602"/>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BF26A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9C5EA7"/>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C15F99"/>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6393A"/>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B4D29"/>
    <w:pPr>
      <w:autoSpaceDE w:val="0"/>
      <w:autoSpaceDN w:val="0"/>
      <w:adjustRightInd w:val="0"/>
      <w:spacing w:after="0" w:line="240" w:lineRule="auto"/>
    </w:pPr>
    <w:rPr>
      <w:rFonts w:ascii="Cambria" w:hAnsi="Cambria" w:cs="Cambria"/>
      <w:color w:val="000000"/>
      <w:sz w:val="24"/>
      <w:szCs w:val="24"/>
    </w:rPr>
  </w:style>
  <w:style w:type="table" w:customStyle="1" w:styleId="Summarybox1">
    <w:name w:val="Summary box1"/>
    <w:basedOn w:val="TableNormal"/>
    <w:next w:val="TableGrid"/>
    <w:uiPriority w:val="59"/>
    <w:rsid w:val="00222B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45F5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45F59"/>
    <w:rPr>
      <w:rFonts w:ascii="Calibri" w:hAnsi="Calibri"/>
      <w:noProof/>
      <w:sz w:val="24"/>
      <w:lang w:val="en-US"/>
    </w:rPr>
  </w:style>
  <w:style w:type="paragraph" w:customStyle="1" w:styleId="EndNoteBibliography">
    <w:name w:val="EndNote Bibliography"/>
    <w:basedOn w:val="Normal"/>
    <w:link w:val="EndNoteBibliographyChar"/>
    <w:rsid w:val="00545F59"/>
    <w:rPr>
      <w:rFonts w:ascii="Calibri" w:hAnsi="Calibri"/>
      <w:noProof/>
      <w:lang w:val="en-US"/>
    </w:rPr>
  </w:style>
  <w:style w:type="character" w:customStyle="1" w:styleId="EndNoteBibliographyChar">
    <w:name w:val="EndNote Bibliography Char"/>
    <w:basedOn w:val="DefaultParagraphFont"/>
    <w:link w:val="EndNoteBibliography"/>
    <w:rsid w:val="00545F59"/>
    <w:rPr>
      <w:rFonts w:ascii="Calibri" w:hAnsi="Calibri"/>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05735157">
      <w:bodyDiv w:val="1"/>
      <w:marLeft w:val="0"/>
      <w:marRight w:val="0"/>
      <w:marTop w:val="0"/>
      <w:marBottom w:val="0"/>
      <w:divBdr>
        <w:top w:val="none" w:sz="0" w:space="0" w:color="auto"/>
        <w:left w:val="none" w:sz="0" w:space="0" w:color="auto"/>
        <w:bottom w:val="none" w:sz="0" w:space="0" w:color="auto"/>
        <w:right w:val="none" w:sz="0" w:space="0" w:color="auto"/>
      </w:divBdr>
      <w:divsChild>
        <w:div w:id="15887851">
          <w:marLeft w:val="0"/>
          <w:marRight w:val="0"/>
          <w:marTop w:val="0"/>
          <w:marBottom w:val="0"/>
          <w:divBdr>
            <w:top w:val="none" w:sz="0" w:space="0" w:color="auto"/>
            <w:left w:val="none" w:sz="0" w:space="0" w:color="auto"/>
            <w:bottom w:val="none" w:sz="0" w:space="0" w:color="auto"/>
            <w:right w:val="none" w:sz="0" w:space="0" w:color="auto"/>
          </w:divBdr>
        </w:div>
        <w:div w:id="229656509">
          <w:marLeft w:val="0"/>
          <w:marRight w:val="0"/>
          <w:marTop w:val="0"/>
          <w:marBottom w:val="0"/>
          <w:divBdr>
            <w:top w:val="none" w:sz="0" w:space="0" w:color="auto"/>
            <w:left w:val="none" w:sz="0" w:space="0" w:color="auto"/>
            <w:bottom w:val="none" w:sz="0" w:space="0" w:color="auto"/>
            <w:right w:val="none" w:sz="0" w:space="0" w:color="auto"/>
          </w:divBdr>
        </w:div>
        <w:div w:id="308218287">
          <w:marLeft w:val="0"/>
          <w:marRight w:val="0"/>
          <w:marTop w:val="0"/>
          <w:marBottom w:val="0"/>
          <w:divBdr>
            <w:top w:val="none" w:sz="0" w:space="0" w:color="auto"/>
            <w:left w:val="none" w:sz="0" w:space="0" w:color="auto"/>
            <w:bottom w:val="none" w:sz="0" w:space="0" w:color="auto"/>
            <w:right w:val="none" w:sz="0" w:space="0" w:color="auto"/>
          </w:divBdr>
        </w:div>
        <w:div w:id="321470981">
          <w:marLeft w:val="0"/>
          <w:marRight w:val="0"/>
          <w:marTop w:val="0"/>
          <w:marBottom w:val="0"/>
          <w:divBdr>
            <w:top w:val="none" w:sz="0" w:space="0" w:color="auto"/>
            <w:left w:val="none" w:sz="0" w:space="0" w:color="auto"/>
            <w:bottom w:val="none" w:sz="0" w:space="0" w:color="auto"/>
            <w:right w:val="none" w:sz="0" w:space="0" w:color="auto"/>
          </w:divBdr>
        </w:div>
        <w:div w:id="464666899">
          <w:marLeft w:val="0"/>
          <w:marRight w:val="0"/>
          <w:marTop w:val="0"/>
          <w:marBottom w:val="0"/>
          <w:divBdr>
            <w:top w:val="none" w:sz="0" w:space="0" w:color="auto"/>
            <w:left w:val="none" w:sz="0" w:space="0" w:color="auto"/>
            <w:bottom w:val="none" w:sz="0" w:space="0" w:color="auto"/>
            <w:right w:val="none" w:sz="0" w:space="0" w:color="auto"/>
          </w:divBdr>
        </w:div>
        <w:div w:id="714164479">
          <w:marLeft w:val="0"/>
          <w:marRight w:val="0"/>
          <w:marTop w:val="0"/>
          <w:marBottom w:val="0"/>
          <w:divBdr>
            <w:top w:val="none" w:sz="0" w:space="0" w:color="auto"/>
            <w:left w:val="none" w:sz="0" w:space="0" w:color="auto"/>
            <w:bottom w:val="none" w:sz="0" w:space="0" w:color="auto"/>
            <w:right w:val="none" w:sz="0" w:space="0" w:color="auto"/>
          </w:divBdr>
        </w:div>
        <w:div w:id="842667074">
          <w:marLeft w:val="0"/>
          <w:marRight w:val="0"/>
          <w:marTop w:val="0"/>
          <w:marBottom w:val="0"/>
          <w:divBdr>
            <w:top w:val="none" w:sz="0" w:space="0" w:color="auto"/>
            <w:left w:val="none" w:sz="0" w:space="0" w:color="auto"/>
            <w:bottom w:val="none" w:sz="0" w:space="0" w:color="auto"/>
            <w:right w:val="none" w:sz="0" w:space="0" w:color="auto"/>
          </w:divBdr>
        </w:div>
        <w:div w:id="1093669799">
          <w:marLeft w:val="0"/>
          <w:marRight w:val="0"/>
          <w:marTop w:val="0"/>
          <w:marBottom w:val="0"/>
          <w:divBdr>
            <w:top w:val="none" w:sz="0" w:space="0" w:color="auto"/>
            <w:left w:val="none" w:sz="0" w:space="0" w:color="auto"/>
            <w:bottom w:val="none" w:sz="0" w:space="0" w:color="auto"/>
            <w:right w:val="none" w:sz="0" w:space="0" w:color="auto"/>
          </w:divBdr>
        </w:div>
        <w:div w:id="1202596345">
          <w:marLeft w:val="0"/>
          <w:marRight w:val="0"/>
          <w:marTop w:val="0"/>
          <w:marBottom w:val="0"/>
          <w:divBdr>
            <w:top w:val="none" w:sz="0" w:space="0" w:color="auto"/>
            <w:left w:val="none" w:sz="0" w:space="0" w:color="auto"/>
            <w:bottom w:val="none" w:sz="0" w:space="0" w:color="auto"/>
            <w:right w:val="none" w:sz="0" w:space="0" w:color="auto"/>
          </w:divBdr>
        </w:div>
        <w:div w:id="1234656939">
          <w:marLeft w:val="0"/>
          <w:marRight w:val="0"/>
          <w:marTop w:val="0"/>
          <w:marBottom w:val="0"/>
          <w:divBdr>
            <w:top w:val="none" w:sz="0" w:space="0" w:color="auto"/>
            <w:left w:val="none" w:sz="0" w:space="0" w:color="auto"/>
            <w:bottom w:val="none" w:sz="0" w:space="0" w:color="auto"/>
            <w:right w:val="none" w:sz="0" w:space="0" w:color="auto"/>
          </w:divBdr>
        </w:div>
        <w:div w:id="1391927553">
          <w:marLeft w:val="0"/>
          <w:marRight w:val="0"/>
          <w:marTop w:val="0"/>
          <w:marBottom w:val="0"/>
          <w:divBdr>
            <w:top w:val="none" w:sz="0" w:space="0" w:color="auto"/>
            <w:left w:val="none" w:sz="0" w:space="0" w:color="auto"/>
            <w:bottom w:val="none" w:sz="0" w:space="0" w:color="auto"/>
            <w:right w:val="none" w:sz="0" w:space="0" w:color="auto"/>
          </w:divBdr>
        </w:div>
        <w:div w:id="1450853515">
          <w:marLeft w:val="0"/>
          <w:marRight w:val="0"/>
          <w:marTop w:val="0"/>
          <w:marBottom w:val="0"/>
          <w:divBdr>
            <w:top w:val="none" w:sz="0" w:space="0" w:color="auto"/>
            <w:left w:val="none" w:sz="0" w:space="0" w:color="auto"/>
            <w:bottom w:val="none" w:sz="0" w:space="0" w:color="auto"/>
            <w:right w:val="none" w:sz="0" w:space="0" w:color="auto"/>
          </w:divBdr>
        </w:div>
        <w:div w:id="1535384500">
          <w:marLeft w:val="0"/>
          <w:marRight w:val="0"/>
          <w:marTop w:val="0"/>
          <w:marBottom w:val="0"/>
          <w:divBdr>
            <w:top w:val="none" w:sz="0" w:space="0" w:color="auto"/>
            <w:left w:val="none" w:sz="0" w:space="0" w:color="auto"/>
            <w:bottom w:val="none" w:sz="0" w:space="0" w:color="auto"/>
            <w:right w:val="none" w:sz="0" w:space="0" w:color="auto"/>
          </w:divBdr>
        </w:div>
        <w:div w:id="1856798246">
          <w:marLeft w:val="0"/>
          <w:marRight w:val="0"/>
          <w:marTop w:val="0"/>
          <w:marBottom w:val="0"/>
          <w:divBdr>
            <w:top w:val="none" w:sz="0" w:space="0" w:color="auto"/>
            <w:left w:val="none" w:sz="0" w:space="0" w:color="auto"/>
            <w:bottom w:val="none" w:sz="0" w:space="0" w:color="auto"/>
            <w:right w:val="none" w:sz="0" w:space="0" w:color="auto"/>
          </w:divBdr>
        </w:div>
        <w:div w:id="1927571342">
          <w:marLeft w:val="0"/>
          <w:marRight w:val="0"/>
          <w:marTop w:val="0"/>
          <w:marBottom w:val="0"/>
          <w:divBdr>
            <w:top w:val="none" w:sz="0" w:space="0" w:color="auto"/>
            <w:left w:val="none" w:sz="0" w:space="0" w:color="auto"/>
            <w:bottom w:val="none" w:sz="0" w:space="0" w:color="auto"/>
            <w:right w:val="none" w:sz="0" w:space="0" w:color="auto"/>
          </w:divBdr>
        </w:div>
        <w:div w:id="1975090862">
          <w:marLeft w:val="0"/>
          <w:marRight w:val="0"/>
          <w:marTop w:val="0"/>
          <w:marBottom w:val="0"/>
          <w:divBdr>
            <w:top w:val="none" w:sz="0" w:space="0" w:color="auto"/>
            <w:left w:val="none" w:sz="0" w:space="0" w:color="auto"/>
            <w:bottom w:val="none" w:sz="0" w:space="0" w:color="auto"/>
            <w:right w:val="none" w:sz="0" w:space="0" w:color="auto"/>
          </w:divBdr>
        </w:div>
        <w:div w:id="2087873512">
          <w:marLeft w:val="0"/>
          <w:marRight w:val="0"/>
          <w:marTop w:val="0"/>
          <w:marBottom w:val="0"/>
          <w:divBdr>
            <w:top w:val="none" w:sz="0" w:space="0" w:color="auto"/>
            <w:left w:val="none" w:sz="0" w:space="0" w:color="auto"/>
            <w:bottom w:val="none" w:sz="0" w:space="0" w:color="auto"/>
            <w:right w:val="none" w:sz="0" w:space="0" w:color="auto"/>
          </w:divBdr>
        </w:div>
      </w:divsChild>
    </w:div>
    <w:div w:id="133643505">
      <w:bodyDiv w:val="1"/>
      <w:marLeft w:val="0"/>
      <w:marRight w:val="0"/>
      <w:marTop w:val="0"/>
      <w:marBottom w:val="0"/>
      <w:divBdr>
        <w:top w:val="none" w:sz="0" w:space="0" w:color="auto"/>
        <w:left w:val="none" w:sz="0" w:space="0" w:color="auto"/>
        <w:bottom w:val="none" w:sz="0" w:space="0" w:color="auto"/>
        <w:right w:val="none" w:sz="0" w:space="0" w:color="auto"/>
      </w:divBdr>
    </w:div>
    <w:div w:id="156188738">
      <w:bodyDiv w:val="1"/>
      <w:marLeft w:val="0"/>
      <w:marRight w:val="0"/>
      <w:marTop w:val="0"/>
      <w:marBottom w:val="0"/>
      <w:divBdr>
        <w:top w:val="none" w:sz="0" w:space="0" w:color="auto"/>
        <w:left w:val="none" w:sz="0" w:space="0" w:color="auto"/>
        <w:bottom w:val="none" w:sz="0" w:space="0" w:color="auto"/>
        <w:right w:val="none" w:sz="0" w:space="0" w:color="auto"/>
      </w:divBdr>
    </w:div>
    <w:div w:id="157775325">
      <w:bodyDiv w:val="1"/>
      <w:marLeft w:val="0"/>
      <w:marRight w:val="0"/>
      <w:marTop w:val="0"/>
      <w:marBottom w:val="0"/>
      <w:divBdr>
        <w:top w:val="none" w:sz="0" w:space="0" w:color="auto"/>
        <w:left w:val="none" w:sz="0" w:space="0" w:color="auto"/>
        <w:bottom w:val="none" w:sz="0" w:space="0" w:color="auto"/>
        <w:right w:val="none" w:sz="0" w:space="0" w:color="auto"/>
      </w:divBdr>
    </w:div>
    <w:div w:id="209735301">
      <w:bodyDiv w:val="1"/>
      <w:marLeft w:val="0"/>
      <w:marRight w:val="0"/>
      <w:marTop w:val="0"/>
      <w:marBottom w:val="0"/>
      <w:divBdr>
        <w:top w:val="none" w:sz="0" w:space="0" w:color="auto"/>
        <w:left w:val="none" w:sz="0" w:space="0" w:color="auto"/>
        <w:bottom w:val="none" w:sz="0" w:space="0" w:color="auto"/>
        <w:right w:val="none" w:sz="0" w:space="0" w:color="auto"/>
      </w:divBdr>
    </w:div>
    <w:div w:id="222838877">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21543297">
      <w:bodyDiv w:val="1"/>
      <w:marLeft w:val="0"/>
      <w:marRight w:val="0"/>
      <w:marTop w:val="0"/>
      <w:marBottom w:val="0"/>
      <w:divBdr>
        <w:top w:val="none" w:sz="0" w:space="0" w:color="auto"/>
        <w:left w:val="none" w:sz="0" w:space="0" w:color="auto"/>
        <w:bottom w:val="none" w:sz="0" w:space="0" w:color="auto"/>
        <w:right w:val="none" w:sz="0" w:space="0" w:color="auto"/>
      </w:divBdr>
    </w:div>
    <w:div w:id="369574316">
      <w:bodyDiv w:val="1"/>
      <w:marLeft w:val="0"/>
      <w:marRight w:val="0"/>
      <w:marTop w:val="0"/>
      <w:marBottom w:val="0"/>
      <w:divBdr>
        <w:top w:val="none" w:sz="0" w:space="0" w:color="auto"/>
        <w:left w:val="none" w:sz="0" w:space="0" w:color="auto"/>
        <w:bottom w:val="none" w:sz="0" w:space="0" w:color="auto"/>
        <w:right w:val="none" w:sz="0" w:space="0" w:color="auto"/>
      </w:divBdr>
    </w:div>
    <w:div w:id="379747261">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05996349">
      <w:bodyDiv w:val="1"/>
      <w:marLeft w:val="0"/>
      <w:marRight w:val="0"/>
      <w:marTop w:val="0"/>
      <w:marBottom w:val="0"/>
      <w:divBdr>
        <w:top w:val="none" w:sz="0" w:space="0" w:color="auto"/>
        <w:left w:val="none" w:sz="0" w:space="0" w:color="auto"/>
        <w:bottom w:val="none" w:sz="0" w:space="0" w:color="auto"/>
        <w:right w:val="none" w:sz="0" w:space="0" w:color="auto"/>
      </w:divBdr>
    </w:div>
    <w:div w:id="423720284">
      <w:bodyDiv w:val="1"/>
      <w:marLeft w:val="0"/>
      <w:marRight w:val="0"/>
      <w:marTop w:val="0"/>
      <w:marBottom w:val="0"/>
      <w:divBdr>
        <w:top w:val="none" w:sz="0" w:space="0" w:color="auto"/>
        <w:left w:val="none" w:sz="0" w:space="0" w:color="auto"/>
        <w:bottom w:val="none" w:sz="0" w:space="0" w:color="auto"/>
        <w:right w:val="none" w:sz="0" w:space="0" w:color="auto"/>
      </w:divBdr>
    </w:div>
    <w:div w:id="521667239">
      <w:bodyDiv w:val="1"/>
      <w:marLeft w:val="0"/>
      <w:marRight w:val="0"/>
      <w:marTop w:val="0"/>
      <w:marBottom w:val="0"/>
      <w:divBdr>
        <w:top w:val="none" w:sz="0" w:space="0" w:color="auto"/>
        <w:left w:val="none" w:sz="0" w:space="0" w:color="auto"/>
        <w:bottom w:val="none" w:sz="0" w:space="0" w:color="auto"/>
        <w:right w:val="none" w:sz="0" w:space="0" w:color="auto"/>
      </w:divBdr>
    </w:div>
    <w:div w:id="684982495">
      <w:bodyDiv w:val="1"/>
      <w:marLeft w:val="0"/>
      <w:marRight w:val="0"/>
      <w:marTop w:val="0"/>
      <w:marBottom w:val="0"/>
      <w:divBdr>
        <w:top w:val="none" w:sz="0" w:space="0" w:color="auto"/>
        <w:left w:val="none" w:sz="0" w:space="0" w:color="auto"/>
        <w:bottom w:val="none" w:sz="0" w:space="0" w:color="auto"/>
        <w:right w:val="none" w:sz="0" w:space="0" w:color="auto"/>
      </w:divBdr>
    </w:div>
    <w:div w:id="773786366">
      <w:bodyDiv w:val="1"/>
      <w:marLeft w:val="0"/>
      <w:marRight w:val="0"/>
      <w:marTop w:val="0"/>
      <w:marBottom w:val="0"/>
      <w:divBdr>
        <w:top w:val="none" w:sz="0" w:space="0" w:color="auto"/>
        <w:left w:val="none" w:sz="0" w:space="0" w:color="auto"/>
        <w:bottom w:val="none" w:sz="0" w:space="0" w:color="auto"/>
        <w:right w:val="none" w:sz="0" w:space="0" w:color="auto"/>
      </w:divBdr>
    </w:div>
    <w:div w:id="796098098">
      <w:bodyDiv w:val="1"/>
      <w:marLeft w:val="0"/>
      <w:marRight w:val="0"/>
      <w:marTop w:val="0"/>
      <w:marBottom w:val="0"/>
      <w:divBdr>
        <w:top w:val="none" w:sz="0" w:space="0" w:color="auto"/>
        <w:left w:val="none" w:sz="0" w:space="0" w:color="auto"/>
        <w:bottom w:val="none" w:sz="0" w:space="0" w:color="auto"/>
        <w:right w:val="none" w:sz="0" w:space="0" w:color="auto"/>
      </w:divBdr>
      <w:divsChild>
        <w:div w:id="1208760528">
          <w:marLeft w:val="0"/>
          <w:marRight w:val="0"/>
          <w:marTop w:val="0"/>
          <w:marBottom w:val="0"/>
          <w:divBdr>
            <w:top w:val="none" w:sz="0" w:space="0" w:color="auto"/>
            <w:left w:val="none" w:sz="0" w:space="0" w:color="auto"/>
            <w:bottom w:val="none" w:sz="0" w:space="0" w:color="auto"/>
            <w:right w:val="none" w:sz="0" w:space="0" w:color="auto"/>
          </w:divBdr>
        </w:div>
        <w:div w:id="1512258309">
          <w:marLeft w:val="0"/>
          <w:marRight w:val="0"/>
          <w:marTop w:val="0"/>
          <w:marBottom w:val="0"/>
          <w:divBdr>
            <w:top w:val="none" w:sz="0" w:space="0" w:color="auto"/>
            <w:left w:val="none" w:sz="0" w:space="0" w:color="auto"/>
            <w:bottom w:val="none" w:sz="0" w:space="0" w:color="auto"/>
            <w:right w:val="none" w:sz="0" w:space="0" w:color="auto"/>
          </w:divBdr>
        </w:div>
      </w:divsChild>
    </w:div>
    <w:div w:id="828861622">
      <w:bodyDiv w:val="1"/>
      <w:marLeft w:val="0"/>
      <w:marRight w:val="0"/>
      <w:marTop w:val="0"/>
      <w:marBottom w:val="0"/>
      <w:divBdr>
        <w:top w:val="none" w:sz="0" w:space="0" w:color="auto"/>
        <w:left w:val="none" w:sz="0" w:space="0" w:color="auto"/>
        <w:bottom w:val="none" w:sz="0" w:space="0" w:color="auto"/>
        <w:right w:val="none" w:sz="0" w:space="0" w:color="auto"/>
      </w:divBdr>
    </w:div>
    <w:div w:id="889729686">
      <w:bodyDiv w:val="1"/>
      <w:marLeft w:val="0"/>
      <w:marRight w:val="0"/>
      <w:marTop w:val="0"/>
      <w:marBottom w:val="0"/>
      <w:divBdr>
        <w:top w:val="none" w:sz="0" w:space="0" w:color="auto"/>
        <w:left w:val="none" w:sz="0" w:space="0" w:color="auto"/>
        <w:bottom w:val="none" w:sz="0" w:space="0" w:color="auto"/>
        <w:right w:val="none" w:sz="0" w:space="0" w:color="auto"/>
      </w:divBdr>
    </w:div>
    <w:div w:id="915363547">
      <w:bodyDiv w:val="1"/>
      <w:marLeft w:val="0"/>
      <w:marRight w:val="0"/>
      <w:marTop w:val="0"/>
      <w:marBottom w:val="0"/>
      <w:divBdr>
        <w:top w:val="none" w:sz="0" w:space="0" w:color="auto"/>
        <w:left w:val="none" w:sz="0" w:space="0" w:color="auto"/>
        <w:bottom w:val="none" w:sz="0" w:space="0" w:color="auto"/>
        <w:right w:val="none" w:sz="0" w:space="0" w:color="auto"/>
      </w:divBdr>
    </w:div>
    <w:div w:id="919023808">
      <w:bodyDiv w:val="1"/>
      <w:marLeft w:val="0"/>
      <w:marRight w:val="0"/>
      <w:marTop w:val="0"/>
      <w:marBottom w:val="0"/>
      <w:divBdr>
        <w:top w:val="none" w:sz="0" w:space="0" w:color="auto"/>
        <w:left w:val="none" w:sz="0" w:space="0" w:color="auto"/>
        <w:bottom w:val="none" w:sz="0" w:space="0" w:color="auto"/>
        <w:right w:val="none" w:sz="0" w:space="0" w:color="auto"/>
      </w:divBdr>
    </w:div>
    <w:div w:id="936444461">
      <w:bodyDiv w:val="1"/>
      <w:marLeft w:val="0"/>
      <w:marRight w:val="0"/>
      <w:marTop w:val="0"/>
      <w:marBottom w:val="0"/>
      <w:divBdr>
        <w:top w:val="none" w:sz="0" w:space="0" w:color="auto"/>
        <w:left w:val="none" w:sz="0" w:space="0" w:color="auto"/>
        <w:bottom w:val="none" w:sz="0" w:space="0" w:color="auto"/>
        <w:right w:val="none" w:sz="0" w:space="0" w:color="auto"/>
      </w:divBdr>
    </w:div>
    <w:div w:id="942107064">
      <w:bodyDiv w:val="1"/>
      <w:marLeft w:val="0"/>
      <w:marRight w:val="0"/>
      <w:marTop w:val="0"/>
      <w:marBottom w:val="0"/>
      <w:divBdr>
        <w:top w:val="none" w:sz="0" w:space="0" w:color="auto"/>
        <w:left w:val="none" w:sz="0" w:space="0" w:color="auto"/>
        <w:bottom w:val="none" w:sz="0" w:space="0" w:color="auto"/>
        <w:right w:val="none" w:sz="0" w:space="0" w:color="auto"/>
      </w:divBdr>
    </w:div>
    <w:div w:id="949899289">
      <w:bodyDiv w:val="1"/>
      <w:marLeft w:val="0"/>
      <w:marRight w:val="0"/>
      <w:marTop w:val="0"/>
      <w:marBottom w:val="0"/>
      <w:divBdr>
        <w:top w:val="none" w:sz="0" w:space="0" w:color="auto"/>
        <w:left w:val="none" w:sz="0" w:space="0" w:color="auto"/>
        <w:bottom w:val="none" w:sz="0" w:space="0" w:color="auto"/>
        <w:right w:val="none" w:sz="0" w:space="0" w:color="auto"/>
      </w:divBdr>
    </w:div>
    <w:div w:id="109232060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32214402">
      <w:bodyDiv w:val="1"/>
      <w:marLeft w:val="0"/>
      <w:marRight w:val="0"/>
      <w:marTop w:val="0"/>
      <w:marBottom w:val="0"/>
      <w:divBdr>
        <w:top w:val="none" w:sz="0" w:space="0" w:color="auto"/>
        <w:left w:val="none" w:sz="0" w:space="0" w:color="auto"/>
        <w:bottom w:val="none" w:sz="0" w:space="0" w:color="auto"/>
        <w:right w:val="none" w:sz="0" w:space="0" w:color="auto"/>
      </w:divBdr>
    </w:div>
    <w:div w:id="1146439120">
      <w:bodyDiv w:val="1"/>
      <w:marLeft w:val="0"/>
      <w:marRight w:val="0"/>
      <w:marTop w:val="0"/>
      <w:marBottom w:val="0"/>
      <w:divBdr>
        <w:top w:val="none" w:sz="0" w:space="0" w:color="auto"/>
        <w:left w:val="none" w:sz="0" w:space="0" w:color="auto"/>
        <w:bottom w:val="none" w:sz="0" w:space="0" w:color="auto"/>
        <w:right w:val="none" w:sz="0" w:space="0" w:color="auto"/>
      </w:divBdr>
    </w:div>
    <w:div w:id="1157305143">
      <w:bodyDiv w:val="1"/>
      <w:marLeft w:val="0"/>
      <w:marRight w:val="0"/>
      <w:marTop w:val="0"/>
      <w:marBottom w:val="0"/>
      <w:divBdr>
        <w:top w:val="none" w:sz="0" w:space="0" w:color="auto"/>
        <w:left w:val="none" w:sz="0" w:space="0" w:color="auto"/>
        <w:bottom w:val="none" w:sz="0" w:space="0" w:color="auto"/>
        <w:right w:val="none" w:sz="0" w:space="0" w:color="auto"/>
      </w:divBdr>
    </w:div>
    <w:div w:id="1162623013">
      <w:bodyDiv w:val="1"/>
      <w:marLeft w:val="0"/>
      <w:marRight w:val="0"/>
      <w:marTop w:val="0"/>
      <w:marBottom w:val="0"/>
      <w:divBdr>
        <w:top w:val="none" w:sz="0" w:space="0" w:color="auto"/>
        <w:left w:val="none" w:sz="0" w:space="0" w:color="auto"/>
        <w:bottom w:val="none" w:sz="0" w:space="0" w:color="auto"/>
        <w:right w:val="none" w:sz="0" w:space="0" w:color="auto"/>
      </w:divBdr>
    </w:div>
    <w:div w:id="1199778662">
      <w:bodyDiv w:val="1"/>
      <w:marLeft w:val="0"/>
      <w:marRight w:val="0"/>
      <w:marTop w:val="0"/>
      <w:marBottom w:val="0"/>
      <w:divBdr>
        <w:top w:val="none" w:sz="0" w:space="0" w:color="auto"/>
        <w:left w:val="none" w:sz="0" w:space="0" w:color="auto"/>
        <w:bottom w:val="none" w:sz="0" w:space="0" w:color="auto"/>
        <w:right w:val="none" w:sz="0" w:space="0" w:color="auto"/>
      </w:divBdr>
      <w:divsChild>
        <w:div w:id="132407567">
          <w:marLeft w:val="0"/>
          <w:marRight w:val="0"/>
          <w:marTop w:val="0"/>
          <w:marBottom w:val="0"/>
          <w:divBdr>
            <w:top w:val="none" w:sz="0" w:space="0" w:color="auto"/>
            <w:left w:val="none" w:sz="0" w:space="0" w:color="auto"/>
            <w:bottom w:val="none" w:sz="0" w:space="0" w:color="auto"/>
            <w:right w:val="none" w:sz="0" w:space="0" w:color="auto"/>
          </w:divBdr>
        </w:div>
        <w:div w:id="247885022">
          <w:marLeft w:val="0"/>
          <w:marRight w:val="0"/>
          <w:marTop w:val="0"/>
          <w:marBottom w:val="0"/>
          <w:divBdr>
            <w:top w:val="none" w:sz="0" w:space="0" w:color="auto"/>
            <w:left w:val="none" w:sz="0" w:space="0" w:color="auto"/>
            <w:bottom w:val="none" w:sz="0" w:space="0" w:color="auto"/>
            <w:right w:val="none" w:sz="0" w:space="0" w:color="auto"/>
          </w:divBdr>
        </w:div>
        <w:div w:id="287275485">
          <w:marLeft w:val="0"/>
          <w:marRight w:val="0"/>
          <w:marTop w:val="0"/>
          <w:marBottom w:val="0"/>
          <w:divBdr>
            <w:top w:val="none" w:sz="0" w:space="0" w:color="auto"/>
            <w:left w:val="none" w:sz="0" w:space="0" w:color="auto"/>
            <w:bottom w:val="none" w:sz="0" w:space="0" w:color="auto"/>
            <w:right w:val="none" w:sz="0" w:space="0" w:color="auto"/>
          </w:divBdr>
        </w:div>
        <w:div w:id="294987626">
          <w:marLeft w:val="0"/>
          <w:marRight w:val="0"/>
          <w:marTop w:val="0"/>
          <w:marBottom w:val="0"/>
          <w:divBdr>
            <w:top w:val="none" w:sz="0" w:space="0" w:color="auto"/>
            <w:left w:val="none" w:sz="0" w:space="0" w:color="auto"/>
            <w:bottom w:val="none" w:sz="0" w:space="0" w:color="auto"/>
            <w:right w:val="none" w:sz="0" w:space="0" w:color="auto"/>
          </w:divBdr>
        </w:div>
        <w:div w:id="429853666">
          <w:marLeft w:val="0"/>
          <w:marRight w:val="0"/>
          <w:marTop w:val="0"/>
          <w:marBottom w:val="0"/>
          <w:divBdr>
            <w:top w:val="none" w:sz="0" w:space="0" w:color="auto"/>
            <w:left w:val="none" w:sz="0" w:space="0" w:color="auto"/>
            <w:bottom w:val="none" w:sz="0" w:space="0" w:color="auto"/>
            <w:right w:val="none" w:sz="0" w:space="0" w:color="auto"/>
          </w:divBdr>
        </w:div>
        <w:div w:id="575671399">
          <w:marLeft w:val="0"/>
          <w:marRight w:val="0"/>
          <w:marTop w:val="0"/>
          <w:marBottom w:val="0"/>
          <w:divBdr>
            <w:top w:val="none" w:sz="0" w:space="0" w:color="auto"/>
            <w:left w:val="none" w:sz="0" w:space="0" w:color="auto"/>
            <w:bottom w:val="none" w:sz="0" w:space="0" w:color="auto"/>
            <w:right w:val="none" w:sz="0" w:space="0" w:color="auto"/>
          </w:divBdr>
        </w:div>
        <w:div w:id="728109659">
          <w:marLeft w:val="0"/>
          <w:marRight w:val="0"/>
          <w:marTop w:val="0"/>
          <w:marBottom w:val="0"/>
          <w:divBdr>
            <w:top w:val="none" w:sz="0" w:space="0" w:color="auto"/>
            <w:left w:val="none" w:sz="0" w:space="0" w:color="auto"/>
            <w:bottom w:val="none" w:sz="0" w:space="0" w:color="auto"/>
            <w:right w:val="none" w:sz="0" w:space="0" w:color="auto"/>
          </w:divBdr>
        </w:div>
        <w:div w:id="743837246">
          <w:marLeft w:val="0"/>
          <w:marRight w:val="0"/>
          <w:marTop w:val="0"/>
          <w:marBottom w:val="0"/>
          <w:divBdr>
            <w:top w:val="none" w:sz="0" w:space="0" w:color="auto"/>
            <w:left w:val="none" w:sz="0" w:space="0" w:color="auto"/>
            <w:bottom w:val="none" w:sz="0" w:space="0" w:color="auto"/>
            <w:right w:val="none" w:sz="0" w:space="0" w:color="auto"/>
          </w:divBdr>
        </w:div>
        <w:div w:id="971056341">
          <w:marLeft w:val="0"/>
          <w:marRight w:val="0"/>
          <w:marTop w:val="0"/>
          <w:marBottom w:val="0"/>
          <w:divBdr>
            <w:top w:val="none" w:sz="0" w:space="0" w:color="auto"/>
            <w:left w:val="none" w:sz="0" w:space="0" w:color="auto"/>
            <w:bottom w:val="none" w:sz="0" w:space="0" w:color="auto"/>
            <w:right w:val="none" w:sz="0" w:space="0" w:color="auto"/>
          </w:divBdr>
        </w:div>
        <w:div w:id="1242984210">
          <w:marLeft w:val="0"/>
          <w:marRight w:val="0"/>
          <w:marTop w:val="0"/>
          <w:marBottom w:val="0"/>
          <w:divBdr>
            <w:top w:val="none" w:sz="0" w:space="0" w:color="auto"/>
            <w:left w:val="none" w:sz="0" w:space="0" w:color="auto"/>
            <w:bottom w:val="none" w:sz="0" w:space="0" w:color="auto"/>
            <w:right w:val="none" w:sz="0" w:space="0" w:color="auto"/>
          </w:divBdr>
        </w:div>
        <w:div w:id="1292244550">
          <w:marLeft w:val="0"/>
          <w:marRight w:val="0"/>
          <w:marTop w:val="0"/>
          <w:marBottom w:val="0"/>
          <w:divBdr>
            <w:top w:val="none" w:sz="0" w:space="0" w:color="auto"/>
            <w:left w:val="none" w:sz="0" w:space="0" w:color="auto"/>
            <w:bottom w:val="none" w:sz="0" w:space="0" w:color="auto"/>
            <w:right w:val="none" w:sz="0" w:space="0" w:color="auto"/>
          </w:divBdr>
        </w:div>
        <w:div w:id="1296720995">
          <w:marLeft w:val="0"/>
          <w:marRight w:val="0"/>
          <w:marTop w:val="0"/>
          <w:marBottom w:val="0"/>
          <w:divBdr>
            <w:top w:val="none" w:sz="0" w:space="0" w:color="auto"/>
            <w:left w:val="none" w:sz="0" w:space="0" w:color="auto"/>
            <w:bottom w:val="none" w:sz="0" w:space="0" w:color="auto"/>
            <w:right w:val="none" w:sz="0" w:space="0" w:color="auto"/>
          </w:divBdr>
        </w:div>
        <w:div w:id="1427187695">
          <w:marLeft w:val="0"/>
          <w:marRight w:val="0"/>
          <w:marTop w:val="0"/>
          <w:marBottom w:val="0"/>
          <w:divBdr>
            <w:top w:val="none" w:sz="0" w:space="0" w:color="auto"/>
            <w:left w:val="none" w:sz="0" w:space="0" w:color="auto"/>
            <w:bottom w:val="none" w:sz="0" w:space="0" w:color="auto"/>
            <w:right w:val="none" w:sz="0" w:space="0" w:color="auto"/>
          </w:divBdr>
        </w:div>
        <w:div w:id="1605310772">
          <w:marLeft w:val="0"/>
          <w:marRight w:val="0"/>
          <w:marTop w:val="0"/>
          <w:marBottom w:val="0"/>
          <w:divBdr>
            <w:top w:val="none" w:sz="0" w:space="0" w:color="auto"/>
            <w:left w:val="none" w:sz="0" w:space="0" w:color="auto"/>
            <w:bottom w:val="none" w:sz="0" w:space="0" w:color="auto"/>
            <w:right w:val="none" w:sz="0" w:space="0" w:color="auto"/>
          </w:divBdr>
        </w:div>
        <w:div w:id="1672634678">
          <w:marLeft w:val="0"/>
          <w:marRight w:val="0"/>
          <w:marTop w:val="0"/>
          <w:marBottom w:val="0"/>
          <w:divBdr>
            <w:top w:val="none" w:sz="0" w:space="0" w:color="auto"/>
            <w:left w:val="none" w:sz="0" w:space="0" w:color="auto"/>
            <w:bottom w:val="none" w:sz="0" w:space="0" w:color="auto"/>
            <w:right w:val="none" w:sz="0" w:space="0" w:color="auto"/>
          </w:divBdr>
        </w:div>
        <w:div w:id="1774477713">
          <w:marLeft w:val="0"/>
          <w:marRight w:val="0"/>
          <w:marTop w:val="0"/>
          <w:marBottom w:val="0"/>
          <w:divBdr>
            <w:top w:val="none" w:sz="0" w:space="0" w:color="auto"/>
            <w:left w:val="none" w:sz="0" w:space="0" w:color="auto"/>
            <w:bottom w:val="none" w:sz="0" w:space="0" w:color="auto"/>
            <w:right w:val="none" w:sz="0" w:space="0" w:color="auto"/>
          </w:divBdr>
        </w:div>
        <w:div w:id="2088307964">
          <w:marLeft w:val="0"/>
          <w:marRight w:val="0"/>
          <w:marTop w:val="0"/>
          <w:marBottom w:val="0"/>
          <w:divBdr>
            <w:top w:val="none" w:sz="0" w:space="0" w:color="auto"/>
            <w:left w:val="none" w:sz="0" w:space="0" w:color="auto"/>
            <w:bottom w:val="none" w:sz="0" w:space="0" w:color="auto"/>
            <w:right w:val="none" w:sz="0" w:space="0" w:color="auto"/>
          </w:divBdr>
        </w:div>
      </w:divsChild>
    </w:div>
    <w:div w:id="1212614640">
      <w:bodyDiv w:val="1"/>
      <w:marLeft w:val="0"/>
      <w:marRight w:val="0"/>
      <w:marTop w:val="0"/>
      <w:marBottom w:val="0"/>
      <w:divBdr>
        <w:top w:val="none" w:sz="0" w:space="0" w:color="auto"/>
        <w:left w:val="none" w:sz="0" w:space="0" w:color="auto"/>
        <w:bottom w:val="none" w:sz="0" w:space="0" w:color="auto"/>
        <w:right w:val="none" w:sz="0" w:space="0" w:color="auto"/>
      </w:divBdr>
    </w:div>
    <w:div w:id="1224298324">
      <w:bodyDiv w:val="1"/>
      <w:marLeft w:val="0"/>
      <w:marRight w:val="0"/>
      <w:marTop w:val="0"/>
      <w:marBottom w:val="0"/>
      <w:divBdr>
        <w:top w:val="none" w:sz="0" w:space="0" w:color="auto"/>
        <w:left w:val="none" w:sz="0" w:space="0" w:color="auto"/>
        <w:bottom w:val="none" w:sz="0" w:space="0" w:color="auto"/>
        <w:right w:val="none" w:sz="0" w:space="0" w:color="auto"/>
      </w:divBdr>
    </w:div>
    <w:div w:id="1256014264">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46706132">
      <w:bodyDiv w:val="1"/>
      <w:marLeft w:val="0"/>
      <w:marRight w:val="0"/>
      <w:marTop w:val="0"/>
      <w:marBottom w:val="0"/>
      <w:divBdr>
        <w:top w:val="none" w:sz="0" w:space="0" w:color="auto"/>
        <w:left w:val="none" w:sz="0" w:space="0" w:color="auto"/>
        <w:bottom w:val="none" w:sz="0" w:space="0" w:color="auto"/>
        <w:right w:val="none" w:sz="0" w:space="0" w:color="auto"/>
      </w:divBdr>
    </w:div>
    <w:div w:id="1406797570">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29229041">
      <w:bodyDiv w:val="1"/>
      <w:marLeft w:val="0"/>
      <w:marRight w:val="0"/>
      <w:marTop w:val="0"/>
      <w:marBottom w:val="0"/>
      <w:divBdr>
        <w:top w:val="none" w:sz="0" w:space="0" w:color="auto"/>
        <w:left w:val="none" w:sz="0" w:space="0" w:color="auto"/>
        <w:bottom w:val="none" w:sz="0" w:space="0" w:color="auto"/>
        <w:right w:val="none" w:sz="0" w:space="0" w:color="auto"/>
      </w:divBdr>
    </w:div>
    <w:div w:id="1505630483">
      <w:bodyDiv w:val="1"/>
      <w:marLeft w:val="0"/>
      <w:marRight w:val="0"/>
      <w:marTop w:val="0"/>
      <w:marBottom w:val="0"/>
      <w:divBdr>
        <w:top w:val="none" w:sz="0" w:space="0" w:color="auto"/>
        <w:left w:val="none" w:sz="0" w:space="0" w:color="auto"/>
        <w:bottom w:val="none" w:sz="0" w:space="0" w:color="auto"/>
        <w:right w:val="none" w:sz="0" w:space="0" w:color="auto"/>
      </w:divBdr>
    </w:div>
    <w:div w:id="1526209948">
      <w:bodyDiv w:val="1"/>
      <w:marLeft w:val="0"/>
      <w:marRight w:val="0"/>
      <w:marTop w:val="0"/>
      <w:marBottom w:val="0"/>
      <w:divBdr>
        <w:top w:val="none" w:sz="0" w:space="0" w:color="auto"/>
        <w:left w:val="none" w:sz="0" w:space="0" w:color="auto"/>
        <w:bottom w:val="none" w:sz="0" w:space="0" w:color="auto"/>
        <w:right w:val="none" w:sz="0" w:space="0" w:color="auto"/>
      </w:divBdr>
      <w:divsChild>
        <w:div w:id="2444504">
          <w:marLeft w:val="0"/>
          <w:marRight w:val="0"/>
          <w:marTop w:val="0"/>
          <w:marBottom w:val="0"/>
          <w:divBdr>
            <w:top w:val="none" w:sz="0" w:space="0" w:color="auto"/>
            <w:left w:val="none" w:sz="0" w:space="0" w:color="auto"/>
            <w:bottom w:val="none" w:sz="0" w:space="0" w:color="auto"/>
            <w:right w:val="none" w:sz="0" w:space="0" w:color="auto"/>
          </w:divBdr>
        </w:div>
        <w:div w:id="60059109">
          <w:marLeft w:val="0"/>
          <w:marRight w:val="0"/>
          <w:marTop w:val="0"/>
          <w:marBottom w:val="0"/>
          <w:divBdr>
            <w:top w:val="none" w:sz="0" w:space="0" w:color="auto"/>
            <w:left w:val="none" w:sz="0" w:space="0" w:color="auto"/>
            <w:bottom w:val="none" w:sz="0" w:space="0" w:color="auto"/>
            <w:right w:val="none" w:sz="0" w:space="0" w:color="auto"/>
          </w:divBdr>
        </w:div>
        <w:div w:id="128793278">
          <w:marLeft w:val="0"/>
          <w:marRight w:val="0"/>
          <w:marTop w:val="0"/>
          <w:marBottom w:val="0"/>
          <w:divBdr>
            <w:top w:val="none" w:sz="0" w:space="0" w:color="auto"/>
            <w:left w:val="none" w:sz="0" w:space="0" w:color="auto"/>
            <w:bottom w:val="none" w:sz="0" w:space="0" w:color="auto"/>
            <w:right w:val="none" w:sz="0" w:space="0" w:color="auto"/>
          </w:divBdr>
        </w:div>
        <w:div w:id="150997036">
          <w:marLeft w:val="0"/>
          <w:marRight w:val="0"/>
          <w:marTop w:val="0"/>
          <w:marBottom w:val="0"/>
          <w:divBdr>
            <w:top w:val="none" w:sz="0" w:space="0" w:color="auto"/>
            <w:left w:val="none" w:sz="0" w:space="0" w:color="auto"/>
            <w:bottom w:val="none" w:sz="0" w:space="0" w:color="auto"/>
            <w:right w:val="none" w:sz="0" w:space="0" w:color="auto"/>
          </w:divBdr>
        </w:div>
        <w:div w:id="158347749">
          <w:marLeft w:val="0"/>
          <w:marRight w:val="0"/>
          <w:marTop w:val="0"/>
          <w:marBottom w:val="0"/>
          <w:divBdr>
            <w:top w:val="none" w:sz="0" w:space="0" w:color="auto"/>
            <w:left w:val="none" w:sz="0" w:space="0" w:color="auto"/>
            <w:bottom w:val="none" w:sz="0" w:space="0" w:color="auto"/>
            <w:right w:val="none" w:sz="0" w:space="0" w:color="auto"/>
          </w:divBdr>
        </w:div>
        <w:div w:id="172304794">
          <w:marLeft w:val="0"/>
          <w:marRight w:val="0"/>
          <w:marTop w:val="0"/>
          <w:marBottom w:val="0"/>
          <w:divBdr>
            <w:top w:val="none" w:sz="0" w:space="0" w:color="auto"/>
            <w:left w:val="none" w:sz="0" w:space="0" w:color="auto"/>
            <w:bottom w:val="none" w:sz="0" w:space="0" w:color="auto"/>
            <w:right w:val="none" w:sz="0" w:space="0" w:color="auto"/>
          </w:divBdr>
        </w:div>
        <w:div w:id="351687589">
          <w:marLeft w:val="0"/>
          <w:marRight w:val="0"/>
          <w:marTop w:val="0"/>
          <w:marBottom w:val="0"/>
          <w:divBdr>
            <w:top w:val="none" w:sz="0" w:space="0" w:color="auto"/>
            <w:left w:val="none" w:sz="0" w:space="0" w:color="auto"/>
            <w:bottom w:val="none" w:sz="0" w:space="0" w:color="auto"/>
            <w:right w:val="none" w:sz="0" w:space="0" w:color="auto"/>
          </w:divBdr>
        </w:div>
        <w:div w:id="353193749">
          <w:marLeft w:val="0"/>
          <w:marRight w:val="0"/>
          <w:marTop w:val="0"/>
          <w:marBottom w:val="0"/>
          <w:divBdr>
            <w:top w:val="none" w:sz="0" w:space="0" w:color="auto"/>
            <w:left w:val="none" w:sz="0" w:space="0" w:color="auto"/>
            <w:bottom w:val="none" w:sz="0" w:space="0" w:color="auto"/>
            <w:right w:val="none" w:sz="0" w:space="0" w:color="auto"/>
          </w:divBdr>
        </w:div>
        <w:div w:id="524245920">
          <w:marLeft w:val="0"/>
          <w:marRight w:val="0"/>
          <w:marTop w:val="0"/>
          <w:marBottom w:val="0"/>
          <w:divBdr>
            <w:top w:val="none" w:sz="0" w:space="0" w:color="auto"/>
            <w:left w:val="none" w:sz="0" w:space="0" w:color="auto"/>
            <w:bottom w:val="none" w:sz="0" w:space="0" w:color="auto"/>
            <w:right w:val="none" w:sz="0" w:space="0" w:color="auto"/>
          </w:divBdr>
        </w:div>
        <w:div w:id="842089977">
          <w:marLeft w:val="0"/>
          <w:marRight w:val="0"/>
          <w:marTop w:val="0"/>
          <w:marBottom w:val="0"/>
          <w:divBdr>
            <w:top w:val="none" w:sz="0" w:space="0" w:color="auto"/>
            <w:left w:val="none" w:sz="0" w:space="0" w:color="auto"/>
            <w:bottom w:val="none" w:sz="0" w:space="0" w:color="auto"/>
            <w:right w:val="none" w:sz="0" w:space="0" w:color="auto"/>
          </w:divBdr>
        </w:div>
        <w:div w:id="987586762">
          <w:marLeft w:val="0"/>
          <w:marRight w:val="0"/>
          <w:marTop w:val="0"/>
          <w:marBottom w:val="0"/>
          <w:divBdr>
            <w:top w:val="none" w:sz="0" w:space="0" w:color="auto"/>
            <w:left w:val="none" w:sz="0" w:space="0" w:color="auto"/>
            <w:bottom w:val="none" w:sz="0" w:space="0" w:color="auto"/>
            <w:right w:val="none" w:sz="0" w:space="0" w:color="auto"/>
          </w:divBdr>
        </w:div>
        <w:div w:id="2036808164">
          <w:marLeft w:val="0"/>
          <w:marRight w:val="0"/>
          <w:marTop w:val="0"/>
          <w:marBottom w:val="0"/>
          <w:divBdr>
            <w:top w:val="none" w:sz="0" w:space="0" w:color="auto"/>
            <w:left w:val="none" w:sz="0" w:space="0" w:color="auto"/>
            <w:bottom w:val="none" w:sz="0" w:space="0" w:color="auto"/>
            <w:right w:val="none" w:sz="0" w:space="0" w:color="auto"/>
          </w:divBdr>
        </w:div>
      </w:divsChild>
    </w:div>
    <w:div w:id="1544633223">
      <w:bodyDiv w:val="1"/>
      <w:marLeft w:val="0"/>
      <w:marRight w:val="0"/>
      <w:marTop w:val="0"/>
      <w:marBottom w:val="0"/>
      <w:divBdr>
        <w:top w:val="none" w:sz="0" w:space="0" w:color="auto"/>
        <w:left w:val="none" w:sz="0" w:space="0" w:color="auto"/>
        <w:bottom w:val="none" w:sz="0" w:space="0" w:color="auto"/>
        <w:right w:val="none" w:sz="0" w:space="0" w:color="auto"/>
      </w:divBdr>
    </w:div>
    <w:div w:id="1602571036">
      <w:bodyDiv w:val="1"/>
      <w:marLeft w:val="0"/>
      <w:marRight w:val="0"/>
      <w:marTop w:val="0"/>
      <w:marBottom w:val="0"/>
      <w:divBdr>
        <w:top w:val="none" w:sz="0" w:space="0" w:color="auto"/>
        <w:left w:val="none" w:sz="0" w:space="0" w:color="auto"/>
        <w:bottom w:val="none" w:sz="0" w:space="0" w:color="auto"/>
        <w:right w:val="none" w:sz="0" w:space="0" w:color="auto"/>
      </w:divBdr>
    </w:div>
    <w:div w:id="1611863809">
      <w:bodyDiv w:val="1"/>
      <w:marLeft w:val="0"/>
      <w:marRight w:val="0"/>
      <w:marTop w:val="0"/>
      <w:marBottom w:val="0"/>
      <w:divBdr>
        <w:top w:val="none" w:sz="0" w:space="0" w:color="auto"/>
        <w:left w:val="none" w:sz="0" w:space="0" w:color="auto"/>
        <w:bottom w:val="none" w:sz="0" w:space="0" w:color="auto"/>
        <w:right w:val="none" w:sz="0" w:space="0" w:color="auto"/>
      </w:divBdr>
    </w:div>
    <w:div w:id="1638143153">
      <w:bodyDiv w:val="1"/>
      <w:marLeft w:val="0"/>
      <w:marRight w:val="0"/>
      <w:marTop w:val="0"/>
      <w:marBottom w:val="0"/>
      <w:divBdr>
        <w:top w:val="none" w:sz="0" w:space="0" w:color="auto"/>
        <w:left w:val="none" w:sz="0" w:space="0" w:color="auto"/>
        <w:bottom w:val="none" w:sz="0" w:space="0" w:color="auto"/>
        <w:right w:val="none" w:sz="0" w:space="0" w:color="auto"/>
      </w:divBdr>
      <w:divsChild>
        <w:div w:id="38172400">
          <w:marLeft w:val="0"/>
          <w:marRight w:val="0"/>
          <w:marTop w:val="0"/>
          <w:marBottom w:val="0"/>
          <w:divBdr>
            <w:top w:val="none" w:sz="0" w:space="0" w:color="auto"/>
            <w:left w:val="none" w:sz="0" w:space="0" w:color="auto"/>
            <w:bottom w:val="none" w:sz="0" w:space="0" w:color="auto"/>
            <w:right w:val="none" w:sz="0" w:space="0" w:color="auto"/>
          </w:divBdr>
        </w:div>
        <w:div w:id="542328935">
          <w:marLeft w:val="0"/>
          <w:marRight w:val="0"/>
          <w:marTop w:val="0"/>
          <w:marBottom w:val="0"/>
          <w:divBdr>
            <w:top w:val="none" w:sz="0" w:space="0" w:color="auto"/>
            <w:left w:val="none" w:sz="0" w:space="0" w:color="auto"/>
            <w:bottom w:val="none" w:sz="0" w:space="0" w:color="auto"/>
            <w:right w:val="none" w:sz="0" w:space="0" w:color="auto"/>
          </w:divBdr>
        </w:div>
        <w:div w:id="854226208">
          <w:marLeft w:val="0"/>
          <w:marRight w:val="0"/>
          <w:marTop w:val="0"/>
          <w:marBottom w:val="0"/>
          <w:divBdr>
            <w:top w:val="none" w:sz="0" w:space="0" w:color="auto"/>
            <w:left w:val="none" w:sz="0" w:space="0" w:color="auto"/>
            <w:bottom w:val="none" w:sz="0" w:space="0" w:color="auto"/>
            <w:right w:val="none" w:sz="0" w:space="0" w:color="auto"/>
          </w:divBdr>
        </w:div>
        <w:div w:id="911617288">
          <w:marLeft w:val="0"/>
          <w:marRight w:val="0"/>
          <w:marTop w:val="0"/>
          <w:marBottom w:val="0"/>
          <w:divBdr>
            <w:top w:val="none" w:sz="0" w:space="0" w:color="auto"/>
            <w:left w:val="none" w:sz="0" w:space="0" w:color="auto"/>
            <w:bottom w:val="none" w:sz="0" w:space="0" w:color="auto"/>
            <w:right w:val="none" w:sz="0" w:space="0" w:color="auto"/>
          </w:divBdr>
        </w:div>
        <w:div w:id="1992906137">
          <w:marLeft w:val="0"/>
          <w:marRight w:val="0"/>
          <w:marTop w:val="0"/>
          <w:marBottom w:val="0"/>
          <w:divBdr>
            <w:top w:val="none" w:sz="0" w:space="0" w:color="auto"/>
            <w:left w:val="none" w:sz="0" w:space="0" w:color="auto"/>
            <w:bottom w:val="none" w:sz="0" w:space="0" w:color="auto"/>
            <w:right w:val="none" w:sz="0" w:space="0" w:color="auto"/>
          </w:divBdr>
        </w:div>
      </w:divsChild>
    </w:div>
    <w:div w:id="1657221446">
      <w:bodyDiv w:val="1"/>
      <w:marLeft w:val="0"/>
      <w:marRight w:val="0"/>
      <w:marTop w:val="0"/>
      <w:marBottom w:val="0"/>
      <w:divBdr>
        <w:top w:val="none" w:sz="0" w:space="0" w:color="auto"/>
        <w:left w:val="none" w:sz="0" w:space="0" w:color="auto"/>
        <w:bottom w:val="none" w:sz="0" w:space="0" w:color="auto"/>
        <w:right w:val="none" w:sz="0" w:space="0" w:color="auto"/>
      </w:divBdr>
    </w:div>
    <w:div w:id="1830317815">
      <w:bodyDiv w:val="1"/>
      <w:marLeft w:val="0"/>
      <w:marRight w:val="0"/>
      <w:marTop w:val="0"/>
      <w:marBottom w:val="0"/>
      <w:divBdr>
        <w:top w:val="none" w:sz="0" w:space="0" w:color="auto"/>
        <w:left w:val="none" w:sz="0" w:space="0" w:color="auto"/>
        <w:bottom w:val="none" w:sz="0" w:space="0" w:color="auto"/>
        <w:right w:val="none" w:sz="0" w:space="0" w:color="auto"/>
      </w:divBdr>
    </w:div>
    <w:div w:id="1895852223">
      <w:bodyDiv w:val="1"/>
      <w:marLeft w:val="0"/>
      <w:marRight w:val="0"/>
      <w:marTop w:val="0"/>
      <w:marBottom w:val="0"/>
      <w:divBdr>
        <w:top w:val="none" w:sz="0" w:space="0" w:color="auto"/>
        <w:left w:val="none" w:sz="0" w:space="0" w:color="auto"/>
        <w:bottom w:val="none" w:sz="0" w:space="0" w:color="auto"/>
        <w:right w:val="none" w:sz="0" w:space="0" w:color="auto"/>
      </w:divBdr>
    </w:div>
    <w:div w:id="1985499808">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05370305">
      <w:bodyDiv w:val="1"/>
      <w:marLeft w:val="0"/>
      <w:marRight w:val="0"/>
      <w:marTop w:val="0"/>
      <w:marBottom w:val="0"/>
      <w:divBdr>
        <w:top w:val="none" w:sz="0" w:space="0" w:color="auto"/>
        <w:left w:val="none" w:sz="0" w:space="0" w:color="auto"/>
        <w:bottom w:val="none" w:sz="0" w:space="0" w:color="auto"/>
        <w:right w:val="none" w:sz="0" w:space="0" w:color="auto"/>
      </w:divBdr>
    </w:div>
    <w:div w:id="21278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1CC1-2869-47F2-9F55-2F6AAF39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9679</Words>
  <Characters>55172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2018-02-19T04:54:00Z</dcterms:created>
  <dcterms:modified xsi:type="dcterms:W3CDTF">2018-02-19T04:54:00Z</dcterms:modified>
</cp:coreProperties>
</file>