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E4" w:rsidRPr="00D33A17" w:rsidRDefault="00F073E4" w:rsidP="00D02AF7">
      <w:pPr>
        <w:ind w:left="992" w:hanging="992"/>
        <w:outlineLvl w:val="0"/>
        <w:rPr>
          <w:b/>
          <w:sz w:val="36"/>
          <w:szCs w:val="36"/>
        </w:rPr>
      </w:pPr>
      <w:bookmarkStart w:id="0" w:name="_GoBack"/>
      <w:bookmarkEnd w:id="0"/>
      <w:r w:rsidRPr="00D33A17">
        <w:rPr>
          <w:b/>
          <w:sz w:val="36"/>
          <w:szCs w:val="36"/>
        </w:rPr>
        <w:t>5.03</w:t>
      </w:r>
      <w:r w:rsidRPr="00D33A17">
        <w:rPr>
          <w:b/>
          <w:sz w:val="36"/>
          <w:szCs w:val="36"/>
        </w:rPr>
        <w:tab/>
        <w:t>BEZLOTOXUMAB,</w:t>
      </w:r>
      <w:r w:rsidRPr="00D33A17">
        <w:rPr>
          <w:b/>
          <w:sz w:val="36"/>
          <w:szCs w:val="36"/>
        </w:rPr>
        <w:br/>
        <w:t xml:space="preserve">Concentrated vial for infusion 1,000mg/40mL, </w:t>
      </w:r>
      <w:r w:rsidRPr="00D33A17">
        <w:rPr>
          <w:b/>
          <w:sz w:val="36"/>
          <w:szCs w:val="36"/>
        </w:rPr>
        <w:br/>
        <w:t xml:space="preserve">Zinplava®, </w:t>
      </w:r>
      <w:r w:rsidR="00EF15C9" w:rsidRPr="000E19AE">
        <w:rPr>
          <w:b/>
          <w:sz w:val="36"/>
          <w:szCs w:val="36"/>
        </w:rPr>
        <w:t>Merck Sharp &amp; Dohme (Australia) Pty L</w:t>
      </w:r>
      <w:r w:rsidR="00EF15C9">
        <w:rPr>
          <w:b/>
          <w:sz w:val="36"/>
          <w:szCs w:val="36"/>
        </w:rPr>
        <w:t>td</w:t>
      </w:r>
    </w:p>
    <w:p w:rsidR="00F073E4" w:rsidRPr="00D33A17" w:rsidRDefault="00F073E4" w:rsidP="001401DE">
      <w:pPr>
        <w:pStyle w:val="Heading1"/>
        <w:numPr>
          <w:ilvl w:val="0"/>
          <w:numId w:val="4"/>
        </w:numPr>
        <w:ind w:left="432" w:hanging="432"/>
        <w:jc w:val="both"/>
      </w:pPr>
      <w:bookmarkStart w:id="1" w:name="_Toc492999806"/>
      <w:bookmarkStart w:id="2" w:name="_Toc413139272"/>
      <w:r w:rsidRPr="00D33A17">
        <w:t>Purpose of Application</w:t>
      </w:r>
      <w:bookmarkEnd w:id="1"/>
    </w:p>
    <w:p w:rsidR="00D52BA8" w:rsidRDefault="00F073E4" w:rsidP="002471D4">
      <w:pPr>
        <w:pStyle w:val="ListParagraph"/>
        <w:numPr>
          <w:ilvl w:val="1"/>
          <w:numId w:val="4"/>
        </w:numPr>
        <w:jc w:val="both"/>
        <w:rPr>
          <w:iCs/>
        </w:rPr>
      </w:pPr>
      <w:r w:rsidRPr="00D33A17">
        <w:t xml:space="preserve">Section 100, Authority Required listing was requested for bezlotoxumab for prevention of </w:t>
      </w:r>
      <w:r w:rsidRPr="007D1282">
        <w:rPr>
          <w:i/>
        </w:rPr>
        <w:t>Clostridium difficile</w:t>
      </w:r>
      <w:r w:rsidRPr="00D33A17">
        <w:t xml:space="preserve"> infection (CDI) recurrence in patients receiving antibiotic therapy for CDI</w:t>
      </w:r>
      <w:r w:rsidR="000661CF">
        <w:t xml:space="preserve">. </w:t>
      </w:r>
      <w:r w:rsidRPr="00D33A17">
        <w:rPr>
          <w:iCs/>
        </w:rPr>
        <w:t>Bezlotoxumab has not been considered by the PBAC previously</w:t>
      </w:r>
      <w:r w:rsidR="000661CF">
        <w:rPr>
          <w:iCs/>
        </w:rPr>
        <w:t xml:space="preserve">. </w:t>
      </w:r>
    </w:p>
    <w:p w:rsidR="00F073E4" w:rsidRPr="00D33A17" w:rsidRDefault="00F073E4" w:rsidP="00F073E4">
      <w:pPr>
        <w:spacing w:before="0" w:after="0"/>
        <w:jc w:val="both"/>
        <w:rPr>
          <w:rFonts w:ascii="Arial Narrow" w:hAnsi="Arial Narrow"/>
          <w:b/>
          <w:bCs/>
          <w:sz w:val="20"/>
          <w:szCs w:val="20"/>
        </w:rPr>
      </w:pPr>
      <w:r w:rsidRPr="00D33A17">
        <w:rPr>
          <w:rFonts w:ascii="Arial Narrow" w:hAnsi="Arial Narrow"/>
          <w:b/>
          <w:bCs/>
          <w:sz w:val="20"/>
          <w:szCs w:val="20"/>
        </w:rPr>
        <w:t>Table 1: Key components of the clinical issue addressed by the submission</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w:tblPr>
      <w:tblGrid>
        <w:gridCol w:w="1134"/>
        <w:gridCol w:w="7938"/>
      </w:tblGrid>
      <w:tr w:rsidR="00F073E4" w:rsidRPr="00D33A17" w:rsidTr="00FF79DC">
        <w:trPr>
          <w:cnfStyle w:val="100000000000" w:firstRow="1" w:lastRow="0" w:firstColumn="0" w:lastColumn="0" w:oddVBand="0" w:evenVBand="0" w:oddHBand="0" w:evenHBand="0" w:firstRowFirstColumn="0" w:firstRowLastColumn="0" w:lastRowFirstColumn="0" w:lastRowLastColumn="0"/>
          <w:cantSplit/>
          <w:tblHeader/>
        </w:trPr>
        <w:tc>
          <w:tcPr>
            <w:tcW w:w="1134" w:type="dxa"/>
            <w:shd w:val="clear" w:color="auto" w:fill="FFFFFF" w:themeFill="background1"/>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Component</w:t>
            </w:r>
          </w:p>
        </w:tc>
        <w:tc>
          <w:tcPr>
            <w:tcW w:w="7938" w:type="dxa"/>
            <w:shd w:val="clear" w:color="auto" w:fill="FFFFFF" w:themeFill="background1"/>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Description</w:t>
            </w:r>
          </w:p>
        </w:tc>
      </w:tr>
      <w:tr w:rsidR="00F073E4" w:rsidRPr="00D33A17" w:rsidTr="00FF79DC">
        <w:trPr>
          <w:cantSplit/>
        </w:trPr>
        <w:tc>
          <w:tcPr>
            <w:tcW w:w="1134" w:type="dxa"/>
            <w:vAlign w:val="center"/>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Population</w:t>
            </w:r>
          </w:p>
        </w:tc>
        <w:tc>
          <w:tcPr>
            <w:tcW w:w="7938" w:type="dxa"/>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Patients with a confirmed diagnosis of CDI who are receiving oral antibiotics</w:t>
            </w:r>
          </w:p>
        </w:tc>
      </w:tr>
      <w:tr w:rsidR="00F073E4" w:rsidRPr="00D33A17" w:rsidTr="00FF79DC">
        <w:trPr>
          <w:cantSplit/>
        </w:trPr>
        <w:tc>
          <w:tcPr>
            <w:tcW w:w="1134" w:type="dxa"/>
            <w:vAlign w:val="center"/>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Intervention</w:t>
            </w:r>
          </w:p>
        </w:tc>
        <w:tc>
          <w:tcPr>
            <w:tcW w:w="7938" w:type="dxa"/>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Bezlotoxumab 10 mg/kg as a single IV administration</w:t>
            </w:r>
          </w:p>
        </w:tc>
      </w:tr>
      <w:tr w:rsidR="00F073E4" w:rsidRPr="00D33A17" w:rsidTr="00FF79DC">
        <w:trPr>
          <w:cantSplit/>
        </w:trPr>
        <w:tc>
          <w:tcPr>
            <w:tcW w:w="1134" w:type="dxa"/>
            <w:vAlign w:val="center"/>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Comparator</w:t>
            </w:r>
          </w:p>
        </w:tc>
        <w:tc>
          <w:tcPr>
            <w:tcW w:w="7938" w:type="dxa"/>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 xml:space="preserve">Placebo/SoC antibiotics only </w:t>
            </w:r>
          </w:p>
        </w:tc>
      </w:tr>
      <w:tr w:rsidR="00F073E4" w:rsidRPr="00D33A17" w:rsidTr="00FF79DC">
        <w:trPr>
          <w:cantSplit/>
        </w:trPr>
        <w:tc>
          <w:tcPr>
            <w:tcW w:w="1134" w:type="dxa"/>
            <w:vAlign w:val="center"/>
          </w:tcPr>
          <w:p w:rsidR="00F073E4" w:rsidRPr="00D33A17" w:rsidRDefault="00F073E4" w:rsidP="00D52BA8">
            <w:pPr>
              <w:keepNext/>
              <w:spacing w:before="0"/>
              <w:ind w:left="-28"/>
              <w:rPr>
                <w:rFonts w:ascii="Arial Narrow" w:hAnsi="Arial Narrow"/>
                <w:sz w:val="20"/>
                <w:szCs w:val="20"/>
                <w:lang w:val="en-AU"/>
              </w:rPr>
            </w:pPr>
            <w:r w:rsidRPr="00D33A17">
              <w:rPr>
                <w:rFonts w:ascii="Arial Narrow" w:hAnsi="Arial Narrow"/>
                <w:sz w:val="20"/>
                <w:szCs w:val="20"/>
                <w:lang w:val="en-AU"/>
              </w:rPr>
              <w:t>Outcomes</w:t>
            </w:r>
          </w:p>
        </w:tc>
        <w:tc>
          <w:tcPr>
            <w:tcW w:w="7938" w:type="dxa"/>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Prevention of recurrence of CDI</w:t>
            </w:r>
          </w:p>
        </w:tc>
      </w:tr>
      <w:tr w:rsidR="00F073E4" w:rsidRPr="00D33A17" w:rsidTr="00FF79DC">
        <w:trPr>
          <w:cantSplit/>
        </w:trPr>
        <w:tc>
          <w:tcPr>
            <w:tcW w:w="1134" w:type="dxa"/>
            <w:vAlign w:val="center"/>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Clinical claim</w:t>
            </w:r>
          </w:p>
        </w:tc>
        <w:tc>
          <w:tcPr>
            <w:tcW w:w="7938" w:type="dxa"/>
          </w:tcPr>
          <w:p w:rsidR="00F073E4" w:rsidRPr="00D33A17" w:rsidRDefault="00F073E4" w:rsidP="00D52BA8">
            <w:pPr>
              <w:keepNext/>
              <w:spacing w:before="0"/>
              <w:jc w:val="both"/>
              <w:rPr>
                <w:rFonts w:ascii="Arial Narrow" w:hAnsi="Arial Narrow"/>
                <w:sz w:val="20"/>
                <w:szCs w:val="20"/>
                <w:lang w:val="en-AU"/>
              </w:rPr>
            </w:pPr>
            <w:r w:rsidRPr="00D33A17">
              <w:rPr>
                <w:rFonts w:ascii="Arial Narrow" w:hAnsi="Arial Narrow"/>
                <w:sz w:val="20"/>
                <w:szCs w:val="20"/>
                <w:lang w:val="en-AU"/>
              </w:rPr>
              <w:t>In patients with CDI, bezlotoxumab with SoC is more effective than SoC alone at preventing recurrence of CDI infection with a safety profile similar to placebo.</w:t>
            </w:r>
          </w:p>
        </w:tc>
      </w:tr>
    </w:tbl>
    <w:p w:rsidR="00F073E4" w:rsidRPr="00D33A17" w:rsidRDefault="00F073E4" w:rsidP="00F073E4">
      <w:pPr>
        <w:spacing w:before="0" w:after="0"/>
        <w:rPr>
          <w:rFonts w:ascii="Arial Narrow" w:hAnsi="Arial Narrow"/>
          <w:sz w:val="18"/>
          <w:szCs w:val="20"/>
        </w:rPr>
      </w:pPr>
      <w:r w:rsidRPr="00D33A17">
        <w:rPr>
          <w:rFonts w:ascii="Arial Narrow" w:hAnsi="Arial Narrow"/>
          <w:sz w:val="18"/>
          <w:szCs w:val="20"/>
        </w:rPr>
        <w:t>Abbreviation: CDI = clostridium difficile infection, IV = intravenous</w:t>
      </w:r>
      <w:r w:rsidR="005074B8" w:rsidRPr="00D33A17">
        <w:rPr>
          <w:rFonts w:ascii="Arial Narrow" w:hAnsi="Arial Narrow"/>
          <w:sz w:val="18"/>
          <w:szCs w:val="20"/>
        </w:rPr>
        <w:t>, SoC=standard of care</w:t>
      </w:r>
    </w:p>
    <w:p w:rsidR="00D33A17" w:rsidRPr="00D33A17" w:rsidRDefault="00F073E4" w:rsidP="00F073E4">
      <w:pPr>
        <w:spacing w:before="0" w:after="0"/>
        <w:rPr>
          <w:rFonts w:ascii="Arial Narrow" w:hAnsi="Arial Narrow"/>
          <w:sz w:val="18"/>
          <w:szCs w:val="20"/>
        </w:rPr>
      </w:pPr>
      <w:r w:rsidRPr="00D33A17">
        <w:rPr>
          <w:rFonts w:ascii="Arial Narrow" w:hAnsi="Arial Narrow"/>
          <w:sz w:val="18"/>
          <w:szCs w:val="20"/>
        </w:rPr>
        <w:t xml:space="preserve">Source: Table 1.1-1, p 10 of the submission </w:t>
      </w:r>
    </w:p>
    <w:p w:rsidR="00F073E4" w:rsidRDefault="00D33A17" w:rsidP="001401DE">
      <w:pPr>
        <w:pStyle w:val="Heading1"/>
        <w:numPr>
          <w:ilvl w:val="0"/>
          <w:numId w:val="4"/>
        </w:numPr>
        <w:ind w:left="432" w:hanging="432"/>
        <w:jc w:val="both"/>
      </w:pPr>
      <w:bookmarkStart w:id="3" w:name="_Toc492999807"/>
      <w:r w:rsidRPr="00D33A17">
        <w:t>Requested listing</w:t>
      </w:r>
      <w:bookmarkEnd w:id="3"/>
    </w:p>
    <w:p w:rsidR="00495EE7" w:rsidRPr="0055020E" w:rsidRDefault="00495EE7" w:rsidP="00501E98">
      <w:pPr>
        <w:pStyle w:val="ListParagraph"/>
        <w:ind w:left="0"/>
        <w:jc w:val="both"/>
      </w:pPr>
      <w:r w:rsidRPr="0055020E">
        <w:t xml:space="preserve">Suggestions and additions proposed by the Secretariat to the </w:t>
      </w:r>
      <w:r w:rsidR="00B55361" w:rsidRPr="0055020E">
        <w:t>revised</w:t>
      </w:r>
      <w:r w:rsidRPr="0055020E">
        <w:t xml:space="preserve"> listing </w:t>
      </w:r>
      <w:r w:rsidR="00B55361" w:rsidRPr="0055020E">
        <w:t xml:space="preserve">proposed in the </w:t>
      </w:r>
      <w:r w:rsidR="000661CF">
        <w:t>pre-sub-committee response (</w:t>
      </w:r>
      <w:r w:rsidR="00B55361" w:rsidRPr="0055020E">
        <w:t>PSCR</w:t>
      </w:r>
      <w:r w:rsidR="000661CF">
        <w:t>)</w:t>
      </w:r>
      <w:r w:rsidR="00B55361" w:rsidRPr="0055020E">
        <w:t xml:space="preserve"> </w:t>
      </w:r>
      <w:r w:rsidRPr="0055020E">
        <w:t>are added in italics and suggested deletions are crossed out with strikethrough.</w:t>
      </w:r>
    </w:p>
    <w:p w:rsidR="008A6201" w:rsidRDefault="008A6201" w:rsidP="00CD5F4A">
      <w:pPr>
        <w:pStyle w:val="BodyText"/>
        <w:keepNext/>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6"/>
        <w:gridCol w:w="1288"/>
        <w:gridCol w:w="707"/>
        <w:gridCol w:w="846"/>
        <w:gridCol w:w="1551"/>
        <w:gridCol w:w="705"/>
        <w:gridCol w:w="2029"/>
      </w:tblGrid>
      <w:tr w:rsidR="008A6201" w:rsidRPr="00936AB8" w:rsidTr="00B35FA4">
        <w:trPr>
          <w:cantSplit/>
          <w:trHeight w:val="463"/>
        </w:trPr>
        <w:tc>
          <w:tcPr>
            <w:tcW w:w="1786" w:type="pct"/>
            <w:gridSpan w:val="2"/>
            <w:tcBorders>
              <w:top w:val="nil"/>
              <w:left w:val="nil"/>
              <w:right w:val="nil"/>
            </w:tcBorders>
            <w:vAlign w:val="center"/>
          </w:tcPr>
          <w:p w:rsidR="008A6201" w:rsidRPr="00936AB8" w:rsidRDefault="008A6201" w:rsidP="00CD5F4A">
            <w:pPr>
              <w:pStyle w:val="TableText"/>
              <w:spacing w:before="0" w:after="0"/>
              <w:rPr>
                <w:b/>
              </w:rPr>
            </w:pPr>
            <w:r w:rsidRPr="00936AB8">
              <w:rPr>
                <w:b/>
              </w:rPr>
              <w:t>Name, Restriction,</w:t>
            </w:r>
          </w:p>
          <w:p w:rsidR="008A6201" w:rsidRPr="00936AB8" w:rsidRDefault="008A6201" w:rsidP="00CD5F4A">
            <w:pPr>
              <w:pStyle w:val="TableText"/>
              <w:spacing w:before="0" w:after="0"/>
              <w:rPr>
                <w:b/>
              </w:rPr>
            </w:pPr>
            <w:r w:rsidRPr="00936AB8">
              <w:rPr>
                <w:b/>
              </w:rPr>
              <w:t>Manner of administration and form</w:t>
            </w:r>
          </w:p>
        </w:tc>
        <w:tc>
          <w:tcPr>
            <w:tcW w:w="389" w:type="pct"/>
            <w:tcBorders>
              <w:top w:val="nil"/>
              <w:left w:val="nil"/>
              <w:right w:val="nil"/>
            </w:tcBorders>
            <w:vAlign w:val="center"/>
          </w:tcPr>
          <w:p w:rsidR="008A6201" w:rsidRPr="00936AB8" w:rsidRDefault="008A6201" w:rsidP="00CD5F4A">
            <w:pPr>
              <w:pStyle w:val="TableText"/>
              <w:spacing w:before="0" w:after="0"/>
              <w:jc w:val="center"/>
              <w:rPr>
                <w:b/>
              </w:rPr>
            </w:pPr>
            <w:r w:rsidRPr="00936AB8">
              <w:rPr>
                <w:b/>
              </w:rPr>
              <w:t>Max.</w:t>
            </w:r>
          </w:p>
          <w:p w:rsidR="008A6201" w:rsidRPr="00936AB8" w:rsidRDefault="008A6201" w:rsidP="00CD5F4A">
            <w:pPr>
              <w:pStyle w:val="TableText"/>
              <w:spacing w:before="0" w:after="0"/>
              <w:jc w:val="center"/>
              <w:rPr>
                <w:b/>
              </w:rPr>
            </w:pPr>
            <w:r w:rsidRPr="00936AB8">
              <w:rPr>
                <w:b/>
              </w:rPr>
              <w:t>Qty</w:t>
            </w:r>
          </w:p>
        </w:tc>
        <w:tc>
          <w:tcPr>
            <w:tcW w:w="466" w:type="pct"/>
            <w:tcBorders>
              <w:top w:val="nil"/>
              <w:left w:val="nil"/>
              <w:right w:val="nil"/>
            </w:tcBorders>
            <w:vAlign w:val="center"/>
          </w:tcPr>
          <w:p w:rsidR="008A6201" w:rsidRPr="00936AB8" w:rsidRDefault="008A6201" w:rsidP="00CD5F4A">
            <w:pPr>
              <w:pStyle w:val="TableText"/>
              <w:spacing w:before="0" w:after="0"/>
              <w:jc w:val="center"/>
              <w:rPr>
                <w:b/>
              </w:rPr>
            </w:pPr>
            <w:r w:rsidRPr="00936AB8">
              <w:rPr>
                <w:b/>
              </w:rPr>
              <w:t>№.of</w:t>
            </w:r>
          </w:p>
          <w:p w:rsidR="008A6201" w:rsidRPr="00936AB8" w:rsidRDefault="008A6201" w:rsidP="00CD5F4A">
            <w:pPr>
              <w:pStyle w:val="TableText"/>
              <w:spacing w:before="0" w:after="0"/>
              <w:jc w:val="center"/>
              <w:rPr>
                <w:b/>
              </w:rPr>
            </w:pPr>
            <w:r w:rsidRPr="00936AB8">
              <w:rPr>
                <w:b/>
              </w:rPr>
              <w:t>Rpts</w:t>
            </w:r>
          </w:p>
        </w:tc>
        <w:tc>
          <w:tcPr>
            <w:tcW w:w="854" w:type="pct"/>
            <w:tcBorders>
              <w:top w:val="nil"/>
              <w:left w:val="nil"/>
              <w:right w:val="nil"/>
            </w:tcBorders>
            <w:vAlign w:val="center"/>
          </w:tcPr>
          <w:p w:rsidR="008A6201" w:rsidRPr="00936AB8" w:rsidRDefault="008A6201" w:rsidP="00CD5F4A">
            <w:pPr>
              <w:pStyle w:val="TableText"/>
              <w:spacing w:before="0" w:after="0"/>
              <w:jc w:val="center"/>
              <w:rPr>
                <w:b/>
              </w:rPr>
            </w:pPr>
            <w:r w:rsidRPr="00936AB8">
              <w:rPr>
                <w:b/>
              </w:rPr>
              <w:t>Dispensed Price for Max. Qty</w:t>
            </w:r>
          </w:p>
        </w:tc>
        <w:tc>
          <w:tcPr>
            <w:tcW w:w="1505" w:type="pct"/>
            <w:gridSpan w:val="2"/>
            <w:tcBorders>
              <w:top w:val="nil"/>
              <w:left w:val="nil"/>
              <w:right w:val="nil"/>
            </w:tcBorders>
            <w:vAlign w:val="center"/>
          </w:tcPr>
          <w:p w:rsidR="008A6201" w:rsidRPr="00936AB8" w:rsidRDefault="008A6201" w:rsidP="00CD5F4A">
            <w:pPr>
              <w:pStyle w:val="TableText"/>
              <w:spacing w:before="0" w:after="0"/>
              <w:jc w:val="center"/>
              <w:rPr>
                <w:b/>
              </w:rPr>
            </w:pPr>
            <w:r w:rsidRPr="00936AB8">
              <w:rPr>
                <w:b/>
              </w:rPr>
              <w:t>Proprietary Name and Manufacturer</w:t>
            </w:r>
          </w:p>
        </w:tc>
      </w:tr>
      <w:tr w:rsidR="008A6201" w:rsidRPr="00936AB8" w:rsidTr="00B35FA4">
        <w:trPr>
          <w:cantSplit/>
          <w:trHeight w:val="567"/>
        </w:trPr>
        <w:tc>
          <w:tcPr>
            <w:tcW w:w="1786" w:type="pct"/>
            <w:gridSpan w:val="2"/>
            <w:tcBorders>
              <w:left w:val="nil"/>
              <w:right w:val="nil"/>
            </w:tcBorders>
            <w:vAlign w:val="center"/>
          </w:tcPr>
          <w:p w:rsidR="008A6201" w:rsidRPr="00936AB8" w:rsidRDefault="008A6201" w:rsidP="000D1463">
            <w:pPr>
              <w:pStyle w:val="TableText"/>
              <w:spacing w:before="0" w:after="0"/>
            </w:pPr>
            <w:r w:rsidRPr="00936AB8">
              <w:t>Bezlotoxumab, concentrated vial for injection, 1000mg/40mL</w:t>
            </w:r>
          </w:p>
        </w:tc>
        <w:tc>
          <w:tcPr>
            <w:tcW w:w="389" w:type="pct"/>
            <w:tcBorders>
              <w:left w:val="nil"/>
              <w:right w:val="nil"/>
            </w:tcBorders>
            <w:vAlign w:val="center"/>
          </w:tcPr>
          <w:p w:rsidR="008A6201" w:rsidRPr="00936AB8" w:rsidRDefault="008A6201" w:rsidP="000D1463">
            <w:pPr>
              <w:pStyle w:val="TableText"/>
              <w:spacing w:before="0" w:after="0"/>
              <w:jc w:val="center"/>
            </w:pPr>
            <w:r w:rsidRPr="00936AB8">
              <w:t>1</w:t>
            </w:r>
          </w:p>
        </w:tc>
        <w:tc>
          <w:tcPr>
            <w:tcW w:w="466" w:type="pct"/>
            <w:tcBorders>
              <w:left w:val="nil"/>
              <w:right w:val="nil"/>
            </w:tcBorders>
            <w:vAlign w:val="center"/>
          </w:tcPr>
          <w:p w:rsidR="008A6201" w:rsidRPr="00936AB8" w:rsidRDefault="008A6201" w:rsidP="000D1463">
            <w:pPr>
              <w:pStyle w:val="TableText"/>
              <w:spacing w:before="0" w:after="0"/>
              <w:jc w:val="center"/>
            </w:pPr>
            <w:r w:rsidRPr="00936AB8">
              <w:t>0</w:t>
            </w:r>
          </w:p>
        </w:tc>
        <w:tc>
          <w:tcPr>
            <w:tcW w:w="854" w:type="pct"/>
            <w:tcBorders>
              <w:left w:val="nil"/>
              <w:right w:val="nil"/>
            </w:tcBorders>
            <w:vAlign w:val="center"/>
          </w:tcPr>
          <w:p w:rsidR="008A6201" w:rsidRPr="00936AB8" w:rsidRDefault="008A6201" w:rsidP="000D1463">
            <w:pPr>
              <w:pStyle w:val="Tabletext0"/>
              <w:jc w:val="center"/>
              <w:rPr>
                <w:vertAlign w:val="superscript"/>
              </w:rPr>
            </w:pPr>
            <w:r w:rsidRPr="00936AB8">
              <w:t>$</w:t>
            </w:r>
            <w:r w:rsidR="007605FE">
              <w:rPr>
                <w:noProof/>
                <w:color w:val="000000"/>
                <w:highlight w:val="black"/>
              </w:rPr>
              <w:t>'''''''''''''''''''</w:t>
            </w:r>
            <w:r w:rsidRPr="00936AB8">
              <w:rPr>
                <w:vertAlign w:val="superscript"/>
              </w:rPr>
              <w:t>1</w:t>
            </w:r>
          </w:p>
          <w:p w:rsidR="008A6201" w:rsidRPr="00936AB8" w:rsidRDefault="008A6201" w:rsidP="000D1463">
            <w:pPr>
              <w:pStyle w:val="TableText"/>
              <w:spacing w:before="0" w:after="0"/>
              <w:jc w:val="center"/>
            </w:pPr>
            <w:r w:rsidRPr="00936AB8">
              <w:t>$</w:t>
            </w:r>
            <w:r w:rsidR="007605FE">
              <w:rPr>
                <w:noProof/>
                <w:color w:val="000000"/>
                <w:highlight w:val="black"/>
              </w:rPr>
              <w:t>'''''''''''''''''''''</w:t>
            </w:r>
            <w:r w:rsidRPr="00936AB8">
              <w:rPr>
                <w:vertAlign w:val="superscript"/>
              </w:rPr>
              <w:t>2</w:t>
            </w:r>
          </w:p>
        </w:tc>
        <w:tc>
          <w:tcPr>
            <w:tcW w:w="388" w:type="pct"/>
            <w:tcBorders>
              <w:left w:val="nil"/>
              <w:right w:val="nil"/>
            </w:tcBorders>
            <w:vAlign w:val="center"/>
          </w:tcPr>
          <w:p w:rsidR="008A6201" w:rsidRPr="00936AB8" w:rsidRDefault="008A6201" w:rsidP="000D1463">
            <w:pPr>
              <w:pStyle w:val="TableText"/>
              <w:spacing w:before="0" w:after="0"/>
              <w:jc w:val="center"/>
            </w:pPr>
            <w:r w:rsidRPr="00936AB8">
              <w:t>Zinplava</w:t>
            </w:r>
          </w:p>
        </w:tc>
        <w:tc>
          <w:tcPr>
            <w:tcW w:w="1117" w:type="pct"/>
            <w:tcBorders>
              <w:left w:val="nil"/>
              <w:right w:val="nil"/>
            </w:tcBorders>
            <w:vAlign w:val="center"/>
          </w:tcPr>
          <w:p w:rsidR="008A6201" w:rsidRPr="00936AB8" w:rsidRDefault="008A6201" w:rsidP="000D1463">
            <w:pPr>
              <w:pStyle w:val="TableText"/>
              <w:spacing w:before="0" w:after="0"/>
              <w:jc w:val="center"/>
            </w:pPr>
            <w:r w:rsidRPr="00936AB8">
              <w:t>Merck Sharp &amp; Dohme</w:t>
            </w:r>
          </w:p>
        </w:tc>
      </w:tr>
      <w:tr w:rsidR="008A6201" w:rsidRPr="00936AB8" w:rsidTr="000D1463">
        <w:tblPrEx>
          <w:tblCellMar>
            <w:left w:w="108" w:type="dxa"/>
            <w:right w:w="108" w:type="dxa"/>
          </w:tblCellMar>
        </w:tblPrEx>
        <w:trPr>
          <w:cantSplit/>
          <w:trHeight w:val="57"/>
        </w:trPr>
        <w:tc>
          <w:tcPr>
            <w:tcW w:w="1077" w:type="pct"/>
            <w:vAlign w:val="center"/>
          </w:tcPr>
          <w:p w:rsidR="008A6201" w:rsidRPr="00936AB8" w:rsidRDefault="008A6201" w:rsidP="000D1463">
            <w:pPr>
              <w:pStyle w:val="TableText"/>
              <w:spacing w:before="0" w:after="0"/>
            </w:pPr>
            <w:r w:rsidRPr="00936AB8">
              <w:t>Category / Program:</w:t>
            </w:r>
          </w:p>
        </w:tc>
        <w:tc>
          <w:tcPr>
            <w:tcW w:w="3923" w:type="pct"/>
            <w:gridSpan w:val="6"/>
          </w:tcPr>
          <w:p w:rsidR="008A6201" w:rsidRPr="00936AB8" w:rsidRDefault="008A6201" w:rsidP="000D1463">
            <w:pPr>
              <w:pStyle w:val="TableText"/>
              <w:spacing w:before="0" w:after="0"/>
            </w:pPr>
            <w:r w:rsidRPr="00936AB8">
              <w:t>Section 100 Authority Required</w:t>
            </w:r>
          </w:p>
        </w:tc>
      </w:tr>
      <w:tr w:rsidR="008A6201" w:rsidRPr="00936AB8" w:rsidTr="000D1463">
        <w:tblPrEx>
          <w:tblCellMar>
            <w:left w:w="108" w:type="dxa"/>
            <w:right w:w="108" w:type="dxa"/>
          </w:tblCellMar>
        </w:tblPrEx>
        <w:trPr>
          <w:cantSplit/>
          <w:trHeight w:val="57"/>
        </w:trPr>
        <w:tc>
          <w:tcPr>
            <w:tcW w:w="1077" w:type="pct"/>
            <w:vAlign w:val="center"/>
          </w:tcPr>
          <w:p w:rsidR="008A6201" w:rsidRPr="00936AB8" w:rsidRDefault="008A6201" w:rsidP="000D1463">
            <w:pPr>
              <w:pStyle w:val="TableText"/>
              <w:spacing w:before="0" w:after="0"/>
              <w:rPr>
                <w:rFonts w:ascii="Times" w:eastAsia="Times New Roman" w:hAnsi="Times" w:cs="Times New Roman"/>
                <w:szCs w:val="20"/>
              </w:rPr>
            </w:pPr>
            <w:r w:rsidRPr="00936AB8">
              <w:t>PBS Indication:</w:t>
            </w:r>
          </w:p>
        </w:tc>
        <w:tc>
          <w:tcPr>
            <w:tcW w:w="3923" w:type="pct"/>
            <w:gridSpan w:val="6"/>
          </w:tcPr>
          <w:p w:rsidR="008A6201" w:rsidRPr="00936AB8" w:rsidRDefault="008A6201" w:rsidP="000D1463">
            <w:pPr>
              <w:pStyle w:val="TableText"/>
              <w:spacing w:before="0" w:after="0"/>
            </w:pPr>
            <w:r w:rsidRPr="00936AB8">
              <w:t>Clostridium Difficile Infection</w:t>
            </w:r>
          </w:p>
        </w:tc>
      </w:tr>
      <w:tr w:rsidR="008A6201" w:rsidRPr="00936AB8" w:rsidTr="000D1463">
        <w:tblPrEx>
          <w:tblCellMar>
            <w:left w:w="108" w:type="dxa"/>
            <w:right w:w="108" w:type="dxa"/>
          </w:tblCellMar>
        </w:tblPrEx>
        <w:trPr>
          <w:cantSplit/>
          <w:trHeight w:val="57"/>
        </w:trPr>
        <w:tc>
          <w:tcPr>
            <w:tcW w:w="1077" w:type="pct"/>
            <w:vAlign w:val="center"/>
          </w:tcPr>
          <w:p w:rsidR="008A6201" w:rsidRPr="00936AB8" w:rsidRDefault="008A6201" w:rsidP="000D1463">
            <w:pPr>
              <w:pStyle w:val="TableText"/>
              <w:spacing w:before="0" w:after="0"/>
            </w:pPr>
            <w:r w:rsidRPr="00936AB8">
              <w:t>Treatment phase:</w:t>
            </w:r>
          </w:p>
        </w:tc>
        <w:tc>
          <w:tcPr>
            <w:tcW w:w="3923" w:type="pct"/>
            <w:gridSpan w:val="6"/>
          </w:tcPr>
          <w:p w:rsidR="008A6201" w:rsidRPr="00936AB8" w:rsidRDefault="008A6201" w:rsidP="000D1463">
            <w:pPr>
              <w:pStyle w:val="TableText"/>
              <w:spacing w:before="0" w:after="0"/>
            </w:pPr>
            <w:r w:rsidRPr="00936AB8">
              <w:t>Initial</w:t>
            </w:r>
          </w:p>
        </w:tc>
      </w:tr>
      <w:tr w:rsidR="008A6201" w:rsidRPr="00936AB8" w:rsidTr="000D1463">
        <w:tblPrEx>
          <w:tblCellMar>
            <w:left w:w="108" w:type="dxa"/>
            <w:right w:w="108" w:type="dxa"/>
          </w:tblCellMar>
        </w:tblPrEx>
        <w:trPr>
          <w:cantSplit/>
          <w:trHeight w:val="57"/>
        </w:trPr>
        <w:tc>
          <w:tcPr>
            <w:tcW w:w="1077" w:type="pct"/>
            <w:vAlign w:val="center"/>
          </w:tcPr>
          <w:p w:rsidR="008A6201" w:rsidRPr="00936AB8" w:rsidRDefault="008A6201" w:rsidP="000D1463">
            <w:pPr>
              <w:pStyle w:val="TableText"/>
              <w:spacing w:before="0" w:after="0"/>
            </w:pPr>
            <w:r w:rsidRPr="00936AB8">
              <w:t>Restriction:</w:t>
            </w:r>
          </w:p>
        </w:tc>
        <w:tc>
          <w:tcPr>
            <w:tcW w:w="3923" w:type="pct"/>
            <w:gridSpan w:val="6"/>
          </w:tcPr>
          <w:p w:rsidR="008A6201" w:rsidRPr="00936AB8" w:rsidRDefault="008A6201" w:rsidP="000D1463">
            <w:pPr>
              <w:pStyle w:val="TableText"/>
              <w:spacing w:before="0" w:after="0"/>
            </w:pPr>
            <w:r w:rsidRPr="00936AB8">
              <w:t>Authority required</w:t>
            </w:r>
          </w:p>
        </w:tc>
      </w:tr>
      <w:tr w:rsidR="008A6201" w:rsidRPr="00936AB8" w:rsidTr="000D1463">
        <w:tblPrEx>
          <w:tblCellMar>
            <w:left w:w="108" w:type="dxa"/>
            <w:right w:w="108" w:type="dxa"/>
          </w:tblCellMar>
        </w:tblPrEx>
        <w:trPr>
          <w:cantSplit/>
          <w:trHeight w:val="57"/>
        </w:trPr>
        <w:tc>
          <w:tcPr>
            <w:tcW w:w="1077" w:type="pct"/>
            <w:vAlign w:val="center"/>
          </w:tcPr>
          <w:p w:rsidR="008A6201" w:rsidRPr="00936AB8" w:rsidRDefault="008A6201" w:rsidP="000D1463">
            <w:pPr>
              <w:pStyle w:val="TableText"/>
              <w:spacing w:before="0" w:after="0"/>
              <w:rPr>
                <w:rFonts w:ascii="Times" w:eastAsia="Times New Roman" w:hAnsi="Times" w:cs="Times New Roman"/>
                <w:szCs w:val="20"/>
              </w:rPr>
            </w:pPr>
            <w:r w:rsidRPr="00936AB8">
              <w:t>Treatment criteria:</w:t>
            </w:r>
          </w:p>
        </w:tc>
        <w:tc>
          <w:tcPr>
            <w:tcW w:w="3923" w:type="pct"/>
            <w:gridSpan w:val="6"/>
          </w:tcPr>
          <w:p w:rsidR="008A6201" w:rsidRPr="00936AB8" w:rsidRDefault="008A6201" w:rsidP="000D1463">
            <w:pPr>
              <w:pStyle w:val="TableText"/>
              <w:spacing w:before="0" w:after="0"/>
            </w:pPr>
            <w:r w:rsidRPr="00936AB8">
              <w:t>Patients must be receiving oral antibiotic therapy</w:t>
            </w:r>
          </w:p>
        </w:tc>
      </w:tr>
      <w:tr w:rsidR="008A6201" w:rsidRPr="00936AB8" w:rsidTr="000D1463">
        <w:tblPrEx>
          <w:tblCellMar>
            <w:left w:w="108" w:type="dxa"/>
            <w:right w:w="108" w:type="dxa"/>
          </w:tblCellMar>
        </w:tblPrEx>
        <w:trPr>
          <w:cantSplit/>
          <w:trHeight w:val="57"/>
        </w:trPr>
        <w:tc>
          <w:tcPr>
            <w:tcW w:w="1077" w:type="pct"/>
            <w:vAlign w:val="center"/>
          </w:tcPr>
          <w:p w:rsidR="008A6201" w:rsidRPr="00936AB8" w:rsidRDefault="008A6201" w:rsidP="000D1463">
            <w:pPr>
              <w:pStyle w:val="TableText"/>
              <w:spacing w:before="0" w:after="0"/>
              <w:rPr>
                <w:rFonts w:ascii="Times" w:eastAsia="Times New Roman" w:hAnsi="Times" w:cs="Times New Roman"/>
                <w:szCs w:val="20"/>
              </w:rPr>
            </w:pPr>
            <w:r w:rsidRPr="00936AB8">
              <w:t>Clinical criteria:</w:t>
            </w:r>
          </w:p>
        </w:tc>
        <w:tc>
          <w:tcPr>
            <w:tcW w:w="3923" w:type="pct"/>
            <w:gridSpan w:val="6"/>
          </w:tcPr>
          <w:p w:rsidR="00B55361" w:rsidRDefault="008A6201" w:rsidP="000D1463">
            <w:pPr>
              <w:pStyle w:val="TableText"/>
              <w:spacing w:before="0" w:after="0"/>
            </w:pPr>
            <w:r w:rsidRPr="00936AB8">
              <w:t>Patients must have Clostridium Difficile Infection confirmed with PCR or EIA or pseudomembranous colitis</w:t>
            </w:r>
            <w:r w:rsidR="00B35FA4">
              <w:t xml:space="preserve"> </w:t>
            </w:r>
          </w:p>
          <w:p w:rsidR="00B55361" w:rsidRPr="00163F00" w:rsidRDefault="00B55361" w:rsidP="000D1463">
            <w:pPr>
              <w:pStyle w:val="TableText"/>
              <w:spacing w:before="0" w:after="0"/>
              <w:rPr>
                <w:i/>
              </w:rPr>
            </w:pPr>
            <w:r w:rsidRPr="00163F00">
              <w:rPr>
                <w:i/>
              </w:rPr>
              <w:t xml:space="preserve">AND </w:t>
            </w:r>
          </w:p>
          <w:p w:rsidR="008A6201" w:rsidRPr="00163F00" w:rsidRDefault="00B55361" w:rsidP="000D1463">
            <w:pPr>
              <w:pStyle w:val="TableText"/>
              <w:spacing w:before="0" w:after="0"/>
              <w:rPr>
                <w:i/>
                <w:strike/>
              </w:rPr>
            </w:pPr>
            <w:r w:rsidRPr="00163F00">
              <w:rPr>
                <w:i/>
              </w:rPr>
              <w:t xml:space="preserve">Patient must be </w:t>
            </w:r>
            <w:r w:rsidR="00B35FA4" w:rsidRPr="00163F00">
              <w:rPr>
                <w:i/>
                <w:strike/>
              </w:rPr>
              <w:t xml:space="preserve">and be </w:t>
            </w:r>
            <w:r w:rsidR="00B35FA4" w:rsidRPr="00B55361">
              <w:rPr>
                <w:i/>
              </w:rPr>
              <w:t xml:space="preserve">at </w:t>
            </w:r>
            <w:r w:rsidR="00B35FA4" w:rsidRPr="00DC0F64">
              <w:rPr>
                <w:i/>
              </w:rPr>
              <w:t xml:space="preserve">a high </w:t>
            </w:r>
            <w:r w:rsidR="00DC0F64" w:rsidRPr="00DC0F64">
              <w:rPr>
                <w:i/>
              </w:rPr>
              <w:t xml:space="preserve">risk of recurrence. </w:t>
            </w:r>
            <w:r w:rsidR="00DC0F64" w:rsidRPr="00163F00">
              <w:rPr>
                <w:i/>
                <w:strike/>
              </w:rPr>
              <w:t>High risk is defined by the presence of one or more of the following factors:</w:t>
            </w:r>
          </w:p>
          <w:p w:rsidR="00DC0F64" w:rsidRPr="00163F00" w:rsidRDefault="00DC0F64" w:rsidP="000D1463">
            <w:pPr>
              <w:pStyle w:val="TableText"/>
              <w:spacing w:before="0" w:after="0"/>
              <w:rPr>
                <w:i/>
                <w:strike/>
              </w:rPr>
            </w:pPr>
            <w:r w:rsidRPr="00163F00">
              <w:rPr>
                <w:i/>
                <w:strike/>
              </w:rPr>
              <w:t>Older age (&gt;=65 years)</w:t>
            </w:r>
          </w:p>
          <w:p w:rsidR="00DC0F64" w:rsidRPr="00163F00" w:rsidRDefault="00DC0F64" w:rsidP="000D1463">
            <w:pPr>
              <w:pStyle w:val="TableText"/>
              <w:spacing w:before="0" w:after="0"/>
              <w:rPr>
                <w:i/>
                <w:strike/>
              </w:rPr>
            </w:pPr>
            <w:r w:rsidRPr="00163F00">
              <w:rPr>
                <w:i/>
                <w:strike/>
              </w:rPr>
              <w:t>OR</w:t>
            </w:r>
          </w:p>
          <w:p w:rsidR="00DC0F64" w:rsidRPr="00163F00" w:rsidRDefault="00DC0F64" w:rsidP="000D1463">
            <w:pPr>
              <w:pStyle w:val="TableText"/>
              <w:spacing w:before="0" w:after="0"/>
              <w:rPr>
                <w:i/>
                <w:strike/>
              </w:rPr>
            </w:pPr>
            <w:r w:rsidRPr="00163F00">
              <w:rPr>
                <w:i/>
                <w:strike/>
              </w:rPr>
              <w:t>History of CDI in the past 6 months</w:t>
            </w:r>
          </w:p>
          <w:p w:rsidR="00DC0F64" w:rsidRPr="00163F00" w:rsidRDefault="00DC0F64" w:rsidP="000D1463">
            <w:pPr>
              <w:pStyle w:val="TableText"/>
              <w:spacing w:before="0" w:after="0"/>
              <w:rPr>
                <w:i/>
                <w:strike/>
              </w:rPr>
            </w:pPr>
            <w:r w:rsidRPr="00163F00">
              <w:rPr>
                <w:i/>
                <w:strike/>
              </w:rPr>
              <w:t>OR</w:t>
            </w:r>
          </w:p>
          <w:p w:rsidR="00DC0F64" w:rsidRPr="00163F00" w:rsidRDefault="00DC0F64" w:rsidP="000D1463">
            <w:pPr>
              <w:pStyle w:val="TableText"/>
              <w:spacing w:before="0" w:after="0"/>
              <w:rPr>
                <w:i/>
                <w:strike/>
              </w:rPr>
            </w:pPr>
            <w:r w:rsidRPr="00163F00">
              <w:rPr>
                <w:i/>
                <w:strike/>
              </w:rPr>
              <w:t>Clinically severe CDI</w:t>
            </w:r>
          </w:p>
          <w:p w:rsidR="00DC0F64" w:rsidRPr="00163F00" w:rsidRDefault="00DC0F64" w:rsidP="000D1463">
            <w:pPr>
              <w:pStyle w:val="TableText"/>
              <w:spacing w:before="0" w:after="0"/>
              <w:rPr>
                <w:i/>
                <w:strike/>
              </w:rPr>
            </w:pPr>
            <w:r w:rsidRPr="00163F00">
              <w:rPr>
                <w:i/>
                <w:strike/>
              </w:rPr>
              <w:t>OR</w:t>
            </w:r>
          </w:p>
          <w:p w:rsidR="00DC0F64" w:rsidRPr="00163F00" w:rsidRDefault="00DC0F64" w:rsidP="000D1463">
            <w:pPr>
              <w:pStyle w:val="TableText"/>
              <w:spacing w:before="0" w:after="0"/>
              <w:rPr>
                <w:i/>
                <w:strike/>
              </w:rPr>
            </w:pPr>
            <w:r w:rsidRPr="00163F00">
              <w:rPr>
                <w:i/>
                <w:strike/>
              </w:rPr>
              <w:t>Hypervirulent strain (027, 078, or 244 ribotypes)</w:t>
            </w:r>
          </w:p>
          <w:p w:rsidR="00DC0F64" w:rsidRPr="00163F00" w:rsidRDefault="00DC0F64" w:rsidP="000D1463">
            <w:pPr>
              <w:pStyle w:val="TableText"/>
              <w:spacing w:before="0" w:after="0"/>
              <w:rPr>
                <w:i/>
                <w:strike/>
              </w:rPr>
            </w:pPr>
            <w:r w:rsidRPr="00163F00">
              <w:rPr>
                <w:i/>
                <w:strike/>
              </w:rPr>
              <w:t>OR</w:t>
            </w:r>
          </w:p>
          <w:p w:rsidR="00DC0F64" w:rsidRPr="00163F00" w:rsidRDefault="00DC0F64" w:rsidP="000D1463">
            <w:pPr>
              <w:pStyle w:val="TableText"/>
              <w:spacing w:before="0" w:after="0"/>
              <w:rPr>
                <w:i/>
                <w:strike/>
              </w:rPr>
            </w:pPr>
            <w:r w:rsidRPr="00163F00">
              <w:rPr>
                <w:i/>
                <w:strike/>
              </w:rPr>
              <w:t>Compromised immunity</w:t>
            </w:r>
          </w:p>
          <w:p w:rsidR="00B35FA4" w:rsidRPr="00936AB8" w:rsidRDefault="00B35FA4" w:rsidP="00B35FA4">
            <w:pPr>
              <w:pStyle w:val="TableText"/>
              <w:spacing w:before="0" w:after="0"/>
            </w:pPr>
          </w:p>
        </w:tc>
      </w:tr>
      <w:tr w:rsidR="00B55361" w:rsidRPr="00936AB8" w:rsidTr="000D1463">
        <w:tblPrEx>
          <w:tblCellMar>
            <w:left w:w="108" w:type="dxa"/>
            <w:right w:w="108" w:type="dxa"/>
          </w:tblCellMar>
        </w:tblPrEx>
        <w:trPr>
          <w:cantSplit/>
          <w:trHeight w:val="57"/>
        </w:trPr>
        <w:tc>
          <w:tcPr>
            <w:tcW w:w="1077" w:type="pct"/>
            <w:vAlign w:val="center"/>
          </w:tcPr>
          <w:p w:rsidR="00B55361" w:rsidRPr="00163F00" w:rsidRDefault="00B55361" w:rsidP="000D1463">
            <w:pPr>
              <w:pStyle w:val="TableText"/>
              <w:spacing w:before="0" w:after="0"/>
              <w:rPr>
                <w:i/>
              </w:rPr>
            </w:pPr>
            <w:r>
              <w:rPr>
                <w:i/>
              </w:rPr>
              <w:t>Prescriber instructions:</w:t>
            </w:r>
          </w:p>
        </w:tc>
        <w:tc>
          <w:tcPr>
            <w:tcW w:w="3923" w:type="pct"/>
            <w:gridSpan w:val="6"/>
          </w:tcPr>
          <w:p w:rsidR="00B55361" w:rsidRPr="00163F00" w:rsidRDefault="00B55361" w:rsidP="00B55361">
            <w:pPr>
              <w:pStyle w:val="TableText"/>
              <w:spacing w:before="0" w:after="0"/>
              <w:rPr>
                <w:i/>
              </w:rPr>
            </w:pPr>
            <w:r w:rsidRPr="00163F00">
              <w:rPr>
                <w:i/>
              </w:rPr>
              <w:t>High risk is defined by the presence of one or more of the following factors:</w:t>
            </w:r>
          </w:p>
          <w:p w:rsidR="00B55361" w:rsidRPr="00B55361" w:rsidRDefault="00B55361" w:rsidP="00B55361">
            <w:pPr>
              <w:pStyle w:val="TableText"/>
              <w:spacing w:before="0" w:after="0"/>
              <w:rPr>
                <w:i/>
                <w:strike/>
              </w:rPr>
            </w:pPr>
            <w:r w:rsidRPr="00B55361">
              <w:rPr>
                <w:i/>
                <w:strike/>
              </w:rPr>
              <w:t>Older age (&gt;=65 years)</w:t>
            </w:r>
          </w:p>
          <w:p w:rsidR="00B55361" w:rsidRPr="00163F00" w:rsidRDefault="00B55361" w:rsidP="000D1463">
            <w:pPr>
              <w:pStyle w:val="TableText"/>
              <w:spacing w:before="0" w:after="0"/>
              <w:rPr>
                <w:i/>
              </w:rPr>
            </w:pPr>
            <w:r>
              <w:rPr>
                <w:i/>
              </w:rPr>
              <w:t>Age 65 years or older, h</w:t>
            </w:r>
            <w:r w:rsidRPr="00163F00">
              <w:rPr>
                <w:i/>
              </w:rPr>
              <w:t>ist</w:t>
            </w:r>
            <w:r w:rsidRPr="00B55361">
              <w:rPr>
                <w:i/>
              </w:rPr>
              <w:t>ory of CDI in the past 6 months</w:t>
            </w:r>
            <w:r>
              <w:rPr>
                <w:i/>
              </w:rPr>
              <w:t>, c</w:t>
            </w:r>
            <w:r w:rsidRPr="00163F00">
              <w:rPr>
                <w:i/>
              </w:rPr>
              <w:t>linically severe C</w:t>
            </w:r>
            <w:r w:rsidRPr="00B55361">
              <w:rPr>
                <w:i/>
              </w:rPr>
              <w:t>DI</w:t>
            </w:r>
            <w:r>
              <w:rPr>
                <w:i/>
              </w:rPr>
              <w:t>, h</w:t>
            </w:r>
            <w:r w:rsidRPr="00163F00">
              <w:rPr>
                <w:i/>
              </w:rPr>
              <w:t>ypervirulent strain (027, 078, or 244 ribotypes)</w:t>
            </w:r>
            <w:r>
              <w:rPr>
                <w:i/>
              </w:rPr>
              <w:t>, or c</w:t>
            </w:r>
            <w:r w:rsidRPr="00163F00">
              <w:rPr>
                <w:i/>
              </w:rPr>
              <w:t>ompromised immunity</w:t>
            </w:r>
          </w:p>
        </w:tc>
      </w:tr>
      <w:tr w:rsidR="00B35FA4" w:rsidRPr="00936AB8" w:rsidTr="00B35FA4">
        <w:tblPrEx>
          <w:tblCellMar>
            <w:left w:w="108" w:type="dxa"/>
            <w:right w:w="108" w:type="dxa"/>
          </w:tblCellMar>
        </w:tblPrEx>
        <w:trPr>
          <w:cantSplit/>
          <w:trHeight w:val="57"/>
        </w:trPr>
        <w:tc>
          <w:tcPr>
            <w:tcW w:w="1077" w:type="pct"/>
            <w:tcBorders>
              <w:top w:val="single" w:sz="4" w:space="0" w:color="auto"/>
              <w:left w:val="single" w:sz="4" w:space="0" w:color="auto"/>
              <w:bottom w:val="single" w:sz="4" w:space="0" w:color="auto"/>
              <w:right w:val="single" w:sz="4" w:space="0" w:color="auto"/>
            </w:tcBorders>
            <w:vAlign w:val="center"/>
          </w:tcPr>
          <w:p w:rsidR="00B35FA4" w:rsidRPr="00163F00" w:rsidRDefault="00B35FA4" w:rsidP="00B7646D">
            <w:pPr>
              <w:pStyle w:val="TableText"/>
              <w:spacing w:before="0" w:after="0"/>
            </w:pPr>
            <w:r w:rsidRPr="00163F00">
              <w:t>Administrative Advice:</w:t>
            </w:r>
          </w:p>
        </w:tc>
        <w:tc>
          <w:tcPr>
            <w:tcW w:w="3923" w:type="pct"/>
            <w:gridSpan w:val="6"/>
            <w:tcBorders>
              <w:top w:val="single" w:sz="4" w:space="0" w:color="auto"/>
              <w:left w:val="single" w:sz="4" w:space="0" w:color="auto"/>
              <w:bottom w:val="single" w:sz="4" w:space="0" w:color="auto"/>
              <w:right w:val="single" w:sz="4" w:space="0" w:color="auto"/>
            </w:tcBorders>
          </w:tcPr>
          <w:p w:rsidR="00B35FA4" w:rsidRPr="00163F00" w:rsidRDefault="00B35FA4" w:rsidP="00B7646D">
            <w:pPr>
              <w:pStyle w:val="TableText"/>
              <w:spacing w:before="0" w:after="0"/>
            </w:pPr>
            <w:r w:rsidRPr="00163F00">
              <w:t>The dose is limited to one per patient lifetime.</w:t>
            </w:r>
          </w:p>
        </w:tc>
      </w:tr>
    </w:tbl>
    <w:p w:rsidR="00F073E4" w:rsidRPr="00D33A17" w:rsidRDefault="00F073E4" w:rsidP="00FD5312">
      <w:pPr>
        <w:spacing w:before="0" w:after="0"/>
        <w:rPr>
          <w:rFonts w:ascii="Arial Narrow" w:hAnsi="Arial Narrow"/>
          <w:sz w:val="18"/>
          <w:szCs w:val="20"/>
        </w:rPr>
      </w:pPr>
      <w:r w:rsidRPr="00D33A17">
        <w:rPr>
          <w:rFonts w:ascii="Arial Narrow" w:hAnsi="Arial Narrow"/>
          <w:sz w:val="18"/>
          <w:szCs w:val="20"/>
        </w:rPr>
        <w:t>1</w:t>
      </w:r>
      <w:r w:rsidRPr="00D33A17">
        <w:rPr>
          <w:rFonts w:ascii="Arial Narrow" w:hAnsi="Arial Narrow"/>
          <w:sz w:val="18"/>
          <w:szCs w:val="20"/>
        </w:rPr>
        <w:tab/>
        <w:t>Public hospital; 2  Private hospital</w:t>
      </w:r>
    </w:p>
    <w:p w:rsidR="00F073E4" w:rsidRPr="00D33A17" w:rsidRDefault="00F073E4" w:rsidP="00FD5312">
      <w:pPr>
        <w:spacing w:before="0" w:after="0"/>
        <w:rPr>
          <w:rFonts w:ascii="Arial Narrow" w:hAnsi="Arial Narrow"/>
          <w:sz w:val="18"/>
          <w:szCs w:val="20"/>
        </w:rPr>
      </w:pPr>
      <w:bookmarkStart w:id="4" w:name="_Toc492950672"/>
      <w:r w:rsidRPr="00D33A17">
        <w:rPr>
          <w:rFonts w:ascii="Arial Narrow" w:hAnsi="Arial Narrow"/>
          <w:sz w:val="18"/>
          <w:szCs w:val="20"/>
        </w:rPr>
        <w:t>PCR = Polymerase Chain Reaction, EIA = Enzyme Immunoassay</w:t>
      </w:r>
      <w:bookmarkEnd w:id="4"/>
      <w:r w:rsidRPr="00D33A17">
        <w:rPr>
          <w:rFonts w:ascii="Arial Narrow" w:hAnsi="Arial Narrow"/>
          <w:sz w:val="18"/>
          <w:szCs w:val="20"/>
        </w:rPr>
        <w:t xml:space="preserve"> </w:t>
      </w:r>
    </w:p>
    <w:p w:rsidR="00F073E4" w:rsidRPr="00D33A17" w:rsidRDefault="00F073E4" w:rsidP="005837B3">
      <w:pPr>
        <w:pStyle w:val="ListParagraph"/>
        <w:numPr>
          <w:ilvl w:val="1"/>
          <w:numId w:val="4"/>
        </w:numPr>
        <w:spacing w:after="120"/>
        <w:jc w:val="both"/>
      </w:pPr>
      <w:r w:rsidRPr="00D33A17">
        <w:t>The basis for the requested listing was cost effectiveness of bezlotoxumab plus standard of care antibiotic treatment (SoC) versus SoC alone.</w:t>
      </w:r>
    </w:p>
    <w:p w:rsidR="002C1C22" w:rsidRPr="00D33A17" w:rsidRDefault="00ED0709" w:rsidP="002471D4">
      <w:pPr>
        <w:pStyle w:val="ListParagraph"/>
        <w:numPr>
          <w:ilvl w:val="1"/>
          <w:numId w:val="4"/>
        </w:numPr>
        <w:jc w:val="both"/>
      </w:pPr>
      <w:r w:rsidRPr="00D33A17">
        <w:t xml:space="preserve">There </w:t>
      </w:r>
      <w:r w:rsidR="005074B8" w:rsidRPr="00D33A17">
        <w:t>were</w:t>
      </w:r>
      <w:r w:rsidRPr="00D33A17">
        <w:t xml:space="preserve"> two </w:t>
      </w:r>
      <w:r w:rsidR="002C1C22" w:rsidRPr="00D33A17">
        <w:t>main</w:t>
      </w:r>
      <w:r w:rsidR="005074B8" w:rsidRPr="00D33A17">
        <w:t xml:space="preserve"> </w:t>
      </w:r>
      <w:r w:rsidRPr="00D33A17">
        <w:t>inconsistencies between the submission’s proposed clinical management algorithm, the proposed TGA indication, the clinical evidence, and the requested PBS listing</w:t>
      </w:r>
      <w:r w:rsidR="002C1C22" w:rsidRPr="00D33A17">
        <w:t>:</w:t>
      </w:r>
    </w:p>
    <w:p w:rsidR="00EF0550" w:rsidRPr="00365010" w:rsidRDefault="008F78A8" w:rsidP="007324E8">
      <w:pPr>
        <w:pStyle w:val="ListParagraph"/>
        <w:numPr>
          <w:ilvl w:val="1"/>
          <w:numId w:val="18"/>
        </w:numPr>
        <w:ind w:hanging="294"/>
        <w:jc w:val="both"/>
      </w:pPr>
      <w:r w:rsidRPr="000855D4">
        <w:t>T</w:t>
      </w:r>
      <w:r w:rsidR="00ED0709" w:rsidRPr="000855D4">
        <w:t>he requested restrictions did</w:t>
      </w:r>
      <w:r w:rsidR="002A3E1F" w:rsidRPr="000855D4">
        <w:t xml:space="preserve"> not re</w:t>
      </w:r>
      <w:r w:rsidR="00ED0709" w:rsidRPr="000855D4">
        <w:t xml:space="preserve">quire patients to have </w:t>
      </w:r>
      <w:r w:rsidR="002C1C22" w:rsidRPr="000855D4">
        <w:t>s</w:t>
      </w:r>
      <w:r w:rsidR="00ED0709" w:rsidRPr="000855D4">
        <w:t>evere or recurrent CDI</w:t>
      </w:r>
      <w:r w:rsidR="00251254" w:rsidRPr="000855D4">
        <w:t>. A</w:t>
      </w:r>
      <w:r w:rsidR="0055429B" w:rsidRPr="000855D4">
        <w:t>lthough this was consistent with the clinical evidence and the proposed TGA indication, it</w:t>
      </w:r>
      <w:r w:rsidR="00805CF8" w:rsidRPr="000855D4">
        <w:t xml:space="preserve"> conflicted with the submission’s claims regarding how bezlotoxumab will be used </w:t>
      </w:r>
      <w:r w:rsidR="0055429B" w:rsidRPr="000855D4">
        <w:t xml:space="preserve">in practice </w:t>
      </w:r>
      <w:r w:rsidR="00805CF8" w:rsidRPr="000855D4">
        <w:t>and</w:t>
      </w:r>
      <w:r w:rsidR="0055429B" w:rsidRPr="000855D4">
        <w:t xml:space="preserve"> </w:t>
      </w:r>
      <w:r w:rsidR="00805CF8" w:rsidRPr="000855D4">
        <w:t xml:space="preserve">the </w:t>
      </w:r>
      <w:r w:rsidR="00843BC5" w:rsidRPr="000855D4">
        <w:t xml:space="preserve">clinical </w:t>
      </w:r>
      <w:r w:rsidR="0055429B" w:rsidRPr="000855D4">
        <w:t xml:space="preserve">recommendations by the </w:t>
      </w:r>
      <w:r w:rsidR="00805CF8" w:rsidRPr="000855D4">
        <w:t>FDA and EMA.</w:t>
      </w:r>
      <w:r w:rsidR="00201D45" w:rsidRPr="000855D4">
        <w:rPr>
          <w:szCs w:val="24"/>
        </w:rPr>
        <w:t xml:space="preserve"> </w:t>
      </w:r>
      <w:r w:rsidR="00B55361" w:rsidRPr="000855D4">
        <w:rPr>
          <w:szCs w:val="24"/>
        </w:rPr>
        <w:t>T</w:t>
      </w:r>
      <w:r w:rsidR="00B7646D" w:rsidRPr="000855D4">
        <w:rPr>
          <w:szCs w:val="24"/>
        </w:rPr>
        <w:t>he PSCR propose</w:t>
      </w:r>
      <w:r w:rsidR="00B55361" w:rsidRPr="000855D4">
        <w:rPr>
          <w:szCs w:val="24"/>
        </w:rPr>
        <w:t>d</w:t>
      </w:r>
      <w:r w:rsidR="00B7646D" w:rsidRPr="000855D4">
        <w:rPr>
          <w:szCs w:val="24"/>
        </w:rPr>
        <w:t xml:space="preserve"> to alter the restriction to </w:t>
      </w:r>
      <w:r w:rsidR="00B55361" w:rsidRPr="000855D4">
        <w:rPr>
          <w:szCs w:val="24"/>
        </w:rPr>
        <w:t xml:space="preserve">limit access to </w:t>
      </w:r>
      <w:r w:rsidR="00B7646D" w:rsidRPr="000855D4">
        <w:rPr>
          <w:szCs w:val="24"/>
        </w:rPr>
        <w:t xml:space="preserve">patients who are at </w:t>
      </w:r>
      <w:r w:rsidR="00F91FEA" w:rsidRPr="000855D4">
        <w:rPr>
          <w:szCs w:val="24"/>
        </w:rPr>
        <w:t>‘</w:t>
      </w:r>
      <w:r w:rsidR="00B7646D" w:rsidRPr="000855D4">
        <w:rPr>
          <w:szCs w:val="24"/>
        </w:rPr>
        <w:t>high risk</w:t>
      </w:r>
      <w:r w:rsidR="00F91FEA" w:rsidRPr="000855D4">
        <w:rPr>
          <w:szCs w:val="24"/>
        </w:rPr>
        <w:t>’</w:t>
      </w:r>
      <w:r w:rsidR="00B7646D" w:rsidRPr="000855D4">
        <w:rPr>
          <w:szCs w:val="24"/>
        </w:rPr>
        <w:t xml:space="preserve"> of recurrence of CDI, specifically: older age (&gt;=65 years); history of CDI in the past 6 month; clinically severe CDI; hypervirulent strain (027, 078, or 244 ribotypes); or compromised immunity.</w:t>
      </w:r>
      <w:r w:rsidR="00B55361" w:rsidRPr="000855D4">
        <w:rPr>
          <w:szCs w:val="24"/>
        </w:rPr>
        <w:t xml:space="preserve"> </w:t>
      </w:r>
      <w:r w:rsidRPr="000855D4">
        <w:rPr>
          <w:szCs w:val="24"/>
        </w:rPr>
        <w:t>T</w:t>
      </w:r>
      <w:r w:rsidR="00EF0550" w:rsidRPr="000855D4">
        <w:rPr>
          <w:szCs w:val="24"/>
        </w:rPr>
        <w:t xml:space="preserve">he ESC agreed that restricting treatment to the high risk sub-group </w:t>
      </w:r>
      <w:r w:rsidRPr="000855D4">
        <w:rPr>
          <w:szCs w:val="24"/>
        </w:rPr>
        <w:t>may be</w:t>
      </w:r>
      <w:r w:rsidR="00EF0550" w:rsidRPr="000855D4">
        <w:rPr>
          <w:szCs w:val="24"/>
        </w:rPr>
        <w:t xml:space="preserve"> </w:t>
      </w:r>
      <w:r w:rsidR="00B55361" w:rsidRPr="000855D4">
        <w:rPr>
          <w:szCs w:val="24"/>
        </w:rPr>
        <w:t xml:space="preserve">more </w:t>
      </w:r>
      <w:r w:rsidR="00EF0550" w:rsidRPr="000855D4">
        <w:rPr>
          <w:szCs w:val="24"/>
        </w:rPr>
        <w:t>appropriate</w:t>
      </w:r>
      <w:r w:rsidRPr="000855D4">
        <w:rPr>
          <w:szCs w:val="24"/>
        </w:rPr>
        <w:t>. However</w:t>
      </w:r>
      <w:r w:rsidR="00EF0550" w:rsidRPr="000855D4">
        <w:rPr>
          <w:szCs w:val="24"/>
        </w:rPr>
        <w:t xml:space="preserve">, </w:t>
      </w:r>
      <w:r w:rsidR="00FF5DAE">
        <w:rPr>
          <w:szCs w:val="24"/>
        </w:rPr>
        <w:t xml:space="preserve">both </w:t>
      </w:r>
      <w:r w:rsidRPr="000855D4">
        <w:rPr>
          <w:szCs w:val="24"/>
        </w:rPr>
        <w:t xml:space="preserve">the </w:t>
      </w:r>
      <w:r w:rsidR="00FF5DAE">
        <w:rPr>
          <w:szCs w:val="24"/>
        </w:rPr>
        <w:t xml:space="preserve">PBAC and </w:t>
      </w:r>
      <w:r w:rsidRPr="000855D4">
        <w:rPr>
          <w:szCs w:val="24"/>
        </w:rPr>
        <w:t>ESC noted that not all of the</w:t>
      </w:r>
      <w:r w:rsidR="00EF0550" w:rsidRPr="000855D4">
        <w:rPr>
          <w:szCs w:val="24"/>
        </w:rPr>
        <w:t xml:space="preserve"> </w:t>
      </w:r>
      <w:r w:rsidRPr="000855D4">
        <w:rPr>
          <w:szCs w:val="24"/>
        </w:rPr>
        <w:t xml:space="preserve">high </w:t>
      </w:r>
      <w:r w:rsidR="00EF0550" w:rsidRPr="000855D4">
        <w:rPr>
          <w:szCs w:val="24"/>
        </w:rPr>
        <w:t>risk factors</w:t>
      </w:r>
      <w:r w:rsidR="00B55361" w:rsidRPr="000855D4">
        <w:rPr>
          <w:szCs w:val="24"/>
        </w:rPr>
        <w:t xml:space="preserve"> proposed for inclusion in the restriction</w:t>
      </w:r>
      <w:r w:rsidRPr="000855D4">
        <w:rPr>
          <w:szCs w:val="24"/>
        </w:rPr>
        <w:t xml:space="preserve"> showed a statistically or clinically meaningful reduction in CDI recurrence</w:t>
      </w:r>
      <w:r w:rsidR="00B55361" w:rsidRPr="000855D4">
        <w:rPr>
          <w:szCs w:val="24"/>
        </w:rPr>
        <w:t xml:space="preserve">, and therefore the </w:t>
      </w:r>
      <w:r w:rsidRPr="000855D4">
        <w:rPr>
          <w:szCs w:val="24"/>
        </w:rPr>
        <w:t xml:space="preserve">revised </w:t>
      </w:r>
      <w:r w:rsidR="00B55361" w:rsidRPr="000855D4">
        <w:rPr>
          <w:szCs w:val="24"/>
        </w:rPr>
        <w:t>restriction may not capture the most appropriate population</w:t>
      </w:r>
      <w:r w:rsidR="00EF0550" w:rsidRPr="000855D4">
        <w:rPr>
          <w:szCs w:val="24"/>
        </w:rPr>
        <w:t>.</w:t>
      </w:r>
      <w:r w:rsidR="00F864DA">
        <w:rPr>
          <w:szCs w:val="24"/>
        </w:rPr>
        <w:t xml:space="preserve"> </w:t>
      </w:r>
      <w:r w:rsidR="00015C67">
        <w:rPr>
          <w:szCs w:val="24"/>
        </w:rPr>
        <w:t>The PBAC considered that the definition of what would constitute ‘high risk’ was unclear and that there was a risk of use outside this population to lower risk groups.</w:t>
      </w:r>
      <w:r w:rsidR="00B55A17">
        <w:rPr>
          <w:szCs w:val="24"/>
        </w:rPr>
        <w:t xml:space="preserve"> </w:t>
      </w:r>
      <w:r w:rsidR="00A619AE">
        <w:rPr>
          <w:szCs w:val="24"/>
        </w:rPr>
        <w:t>The PBAC considered</w:t>
      </w:r>
      <w:r w:rsidR="00E60F7C">
        <w:rPr>
          <w:szCs w:val="24"/>
        </w:rPr>
        <w:t xml:space="preserve"> that </w:t>
      </w:r>
      <w:r w:rsidR="00B4435B">
        <w:rPr>
          <w:szCs w:val="24"/>
        </w:rPr>
        <w:t>although some</w:t>
      </w:r>
      <w:r w:rsidR="00FF5DAE">
        <w:t xml:space="preserve"> </w:t>
      </w:r>
      <w:r w:rsidR="00E60F7C">
        <w:t>ribotype</w:t>
      </w:r>
      <w:r w:rsidR="00B4435B">
        <w:t>s</w:t>
      </w:r>
      <w:r w:rsidR="00E60F7C">
        <w:t xml:space="preserve"> </w:t>
      </w:r>
      <w:r w:rsidR="00B4435B">
        <w:t xml:space="preserve">were known risk factors for recurrence, it </w:t>
      </w:r>
      <w:r w:rsidR="00B4435B">
        <w:lastRenderedPageBreak/>
        <w:t xml:space="preserve">is unlikely that the ribotype </w:t>
      </w:r>
      <w:r w:rsidR="00E60F7C">
        <w:t xml:space="preserve">would be known at the time of treatment. </w:t>
      </w:r>
      <w:r w:rsidR="00365010">
        <w:t xml:space="preserve">The PBAC </w:t>
      </w:r>
      <w:r w:rsidR="00B4435B">
        <w:t xml:space="preserve">also </w:t>
      </w:r>
      <w:r w:rsidR="00365010">
        <w:t xml:space="preserve">considered that the clinical criteria should </w:t>
      </w:r>
      <w:r w:rsidR="00B4435B">
        <w:t>require</w:t>
      </w:r>
      <w:r w:rsidR="00365010">
        <w:t xml:space="preserve"> patients </w:t>
      </w:r>
      <w:r w:rsidR="00B4435B">
        <w:t xml:space="preserve">to </w:t>
      </w:r>
      <w:r w:rsidR="00365010">
        <w:t>hav</w:t>
      </w:r>
      <w:r w:rsidR="00B4435B">
        <w:t>e</w:t>
      </w:r>
      <w:r w:rsidR="00365010">
        <w:t xml:space="preserve"> a confirmed case of toxin </w:t>
      </w:r>
      <w:r w:rsidR="00B4435B">
        <w:t xml:space="preserve">B </w:t>
      </w:r>
      <w:r w:rsidR="00365010">
        <w:t>positive CDI.</w:t>
      </w:r>
    </w:p>
    <w:p w:rsidR="00B7646D" w:rsidRPr="00B7646D" w:rsidRDefault="008F78A8" w:rsidP="007324E8">
      <w:pPr>
        <w:pStyle w:val="ListParagraph"/>
        <w:numPr>
          <w:ilvl w:val="1"/>
          <w:numId w:val="18"/>
        </w:numPr>
        <w:ind w:hanging="294"/>
        <w:jc w:val="both"/>
        <w:rPr>
          <w:i/>
        </w:rPr>
      </w:pPr>
      <w:r>
        <w:t>W</w:t>
      </w:r>
      <w:r w:rsidR="00ED0709" w:rsidRPr="00D33A17">
        <w:t>hile the submission claimed bezlotoxumab is not expected to be used more than once in a patient’s lifetime, the wording in the requested listing d</w:t>
      </w:r>
      <w:r w:rsidR="0005123F" w:rsidRPr="00D33A17">
        <w:t>id</w:t>
      </w:r>
      <w:r w:rsidR="00ED0709" w:rsidRPr="00D33A17">
        <w:t xml:space="preserve"> not prohibit </w:t>
      </w:r>
      <w:r w:rsidR="00A139EE" w:rsidRPr="00D33A17">
        <w:t>use</w:t>
      </w:r>
      <w:r w:rsidR="00ED0709" w:rsidRPr="00D33A17">
        <w:t xml:space="preserve"> of bezlotoxumab</w:t>
      </w:r>
      <w:r w:rsidR="00A139EE" w:rsidRPr="00D33A17">
        <w:t xml:space="preserve"> for subsequent infections</w:t>
      </w:r>
      <w:r w:rsidR="000661CF">
        <w:t xml:space="preserve">. </w:t>
      </w:r>
      <w:r w:rsidR="00B55361" w:rsidRPr="000855D4">
        <w:t>T</w:t>
      </w:r>
      <w:r w:rsidRPr="000855D4">
        <w:t>he PSCR proposed new wording in</w:t>
      </w:r>
      <w:r w:rsidR="00B7646D" w:rsidRPr="000855D4">
        <w:t xml:space="preserve"> the restriction </w:t>
      </w:r>
      <w:r w:rsidR="00B55361" w:rsidRPr="000855D4">
        <w:t>to limit it to</w:t>
      </w:r>
      <w:r w:rsidR="00B7646D" w:rsidRPr="000855D4">
        <w:t xml:space="preserve"> single lifetime use</w:t>
      </w:r>
      <w:r w:rsidRPr="000855D4">
        <w:t>. However,</w:t>
      </w:r>
      <w:r w:rsidR="00B55361" w:rsidRPr="000855D4">
        <w:t xml:space="preserve"> given bezlotoxumab was well tolerated in the clinical trials with low rates of adverse events, repeat dosing is considered likely, and the proposed wording may not be sufficient to address this issue</w:t>
      </w:r>
      <w:r w:rsidRPr="000855D4">
        <w:t>.</w:t>
      </w:r>
      <w:r>
        <w:t xml:space="preserve"> </w:t>
      </w:r>
      <w:r w:rsidR="00B55361" w:rsidRPr="00D33A17">
        <w:t>The first round ACM clinical evaluation also considered patients may be given repeat dosing if they develop CDI recurrence or new CDI; the draft product information (PI) was silent on the issue of re-dosing.</w:t>
      </w:r>
      <w:r w:rsidR="00EA2A78">
        <w:t xml:space="preserve"> The PBAC considered it likely that dosing </w:t>
      </w:r>
      <w:r w:rsidR="00B4435B">
        <w:t>more than once per lifetime for a</w:t>
      </w:r>
      <w:r w:rsidR="00556B7A">
        <w:t xml:space="preserve"> further</w:t>
      </w:r>
      <w:r w:rsidR="00B4435B">
        <w:t xml:space="preserve"> recurrence or </w:t>
      </w:r>
      <w:r w:rsidR="00556B7A">
        <w:t xml:space="preserve">a </w:t>
      </w:r>
      <w:r w:rsidR="00B4435B">
        <w:t xml:space="preserve">new CDI </w:t>
      </w:r>
      <w:r w:rsidR="00EA2A78">
        <w:t>would occur</w:t>
      </w:r>
      <w:r w:rsidR="001216F8">
        <w:t>.</w:t>
      </w:r>
      <w:r w:rsidR="00EA2A78">
        <w:t xml:space="preserve"> </w:t>
      </w:r>
    </w:p>
    <w:p w:rsidR="001F3387" w:rsidRDefault="00DE673F" w:rsidP="002471D4">
      <w:pPr>
        <w:pStyle w:val="ListParagraph"/>
        <w:numPr>
          <w:ilvl w:val="1"/>
          <w:numId w:val="4"/>
        </w:numPr>
        <w:jc w:val="both"/>
      </w:pPr>
      <w:r w:rsidRPr="00D33A17">
        <w:t>The dose of bezlotoxumab is 10</w:t>
      </w:r>
      <w:r w:rsidR="00BC2407" w:rsidRPr="00D33A17">
        <w:t xml:space="preserve"> </w:t>
      </w:r>
      <w:r w:rsidRPr="00D33A17">
        <w:t>mg/kg as a single dose intravenous infusion via a central line or peripheral catheter over 60 minutes</w:t>
      </w:r>
      <w:r w:rsidR="000661CF">
        <w:t xml:space="preserve">. </w:t>
      </w:r>
      <w:r w:rsidRPr="00D33A17">
        <w:t>It is administered concurrently with antibiotics for treatment of CDI</w:t>
      </w:r>
      <w:r w:rsidR="000661CF">
        <w:t xml:space="preserve">. </w:t>
      </w:r>
      <w:r w:rsidR="001F3387" w:rsidRPr="00D33A17">
        <w:t xml:space="preserve">The </w:t>
      </w:r>
      <w:r w:rsidR="007C42AA" w:rsidRPr="00D33A17">
        <w:t xml:space="preserve">optimal </w:t>
      </w:r>
      <w:r w:rsidR="001F3387" w:rsidRPr="00D33A17">
        <w:t xml:space="preserve">timing of </w:t>
      </w:r>
      <w:r w:rsidR="001909CB" w:rsidRPr="00D33A17">
        <w:t xml:space="preserve">bezlotoxumab in relation to antibiotics however </w:t>
      </w:r>
      <w:r w:rsidR="007C42AA" w:rsidRPr="00D33A17">
        <w:t>wa</w:t>
      </w:r>
      <w:r w:rsidR="001909CB" w:rsidRPr="00D33A17">
        <w:t>s unclear (i</w:t>
      </w:r>
      <w:r w:rsidR="007D1282">
        <w:t>.</w:t>
      </w:r>
      <w:r w:rsidR="001909CB" w:rsidRPr="00D33A17">
        <w:t>e</w:t>
      </w:r>
      <w:r w:rsidR="007D1282">
        <w:t>.</w:t>
      </w:r>
      <w:r w:rsidR="001909CB" w:rsidRPr="00D33A17">
        <w:t>, at the start, middle or end of course) and is not stated in the draft PI</w:t>
      </w:r>
      <w:r w:rsidR="00E95DE4" w:rsidRPr="00D33A17">
        <w:t>. I</w:t>
      </w:r>
      <w:r w:rsidR="001909CB" w:rsidRPr="00D33A17">
        <w:t xml:space="preserve">n the trials the majority of patients received bezlotoxumab </w:t>
      </w:r>
      <w:r w:rsidR="001909CB" w:rsidRPr="007D1282">
        <w:t xml:space="preserve">between days 3-6 </w:t>
      </w:r>
      <w:r w:rsidR="000D29B0">
        <w:t>after</w:t>
      </w:r>
      <w:r w:rsidR="001909CB" w:rsidRPr="007D1282">
        <w:t xml:space="preserve"> </w:t>
      </w:r>
      <w:r w:rsidR="00452248" w:rsidRPr="007D1282">
        <w:t xml:space="preserve">commencing </w:t>
      </w:r>
      <w:r w:rsidR="001909CB" w:rsidRPr="007D1282">
        <w:t>antibiotic therapy.</w:t>
      </w:r>
      <w:r w:rsidR="001F3387" w:rsidRPr="007D1282">
        <w:t xml:space="preserve"> </w:t>
      </w:r>
    </w:p>
    <w:p w:rsidR="00C608C4" w:rsidRPr="001216F8" w:rsidRDefault="00C608C4" w:rsidP="00BC4EAF">
      <w:pPr>
        <w:pStyle w:val="ListParagraph"/>
        <w:jc w:val="both"/>
        <w:rPr>
          <w:i/>
        </w:rPr>
      </w:pPr>
      <w:r w:rsidRPr="001216F8">
        <w:rPr>
          <w:i/>
        </w:rPr>
        <w:t>For more detail on PBAC’s view, see section 7 PBAC outcome.</w:t>
      </w:r>
    </w:p>
    <w:p w:rsidR="00F073E4" w:rsidRPr="00BB16F1" w:rsidRDefault="00F073E4" w:rsidP="001401DE">
      <w:pPr>
        <w:pStyle w:val="Heading1"/>
        <w:numPr>
          <w:ilvl w:val="0"/>
          <w:numId w:val="4"/>
        </w:numPr>
        <w:ind w:left="432" w:hanging="432"/>
        <w:jc w:val="both"/>
      </w:pPr>
      <w:bookmarkStart w:id="5" w:name="_Toc492950673"/>
      <w:bookmarkStart w:id="6" w:name="_Toc492999808"/>
      <w:bookmarkEnd w:id="2"/>
      <w:bookmarkEnd w:id="5"/>
      <w:r w:rsidRPr="00BB16F1">
        <w:t>Background</w:t>
      </w:r>
      <w:bookmarkEnd w:id="6"/>
    </w:p>
    <w:p w:rsidR="00060C33" w:rsidRPr="00E73E5B" w:rsidRDefault="0075175C" w:rsidP="002471D4">
      <w:pPr>
        <w:pStyle w:val="ListParagraph"/>
        <w:numPr>
          <w:ilvl w:val="1"/>
          <w:numId w:val="4"/>
        </w:numPr>
        <w:jc w:val="both"/>
      </w:pPr>
      <w:r w:rsidRPr="00E73E5B">
        <w:t xml:space="preserve">The submission was lodged under the TGA/PBAC parallel process. The submission indicated (p20) that TGA approval is expected </w:t>
      </w:r>
      <w:r w:rsidR="007D1282" w:rsidRPr="00E73E5B">
        <w:t xml:space="preserve">in mid-November 2017. </w:t>
      </w:r>
      <w:r w:rsidR="00060C33" w:rsidRPr="00E73E5B">
        <w:t>At the time of PBAC consideration, the TGA Delegate</w:t>
      </w:r>
      <w:r w:rsidR="00B4435B">
        <w:t>’</w:t>
      </w:r>
      <w:r w:rsidR="00060C33" w:rsidRPr="00E73E5B">
        <w:t xml:space="preserve">s Overview and the </w:t>
      </w:r>
      <w:r w:rsidR="000D172D" w:rsidRPr="00BB16F1">
        <w:t>Advisory Committee on Medicine (</w:t>
      </w:r>
      <w:r w:rsidR="00060C33" w:rsidRPr="00E73E5B">
        <w:t>ACM</w:t>
      </w:r>
      <w:r w:rsidR="000D172D" w:rsidRPr="00E73E5B">
        <w:t>)</w:t>
      </w:r>
      <w:r w:rsidR="00060C33" w:rsidRPr="00E73E5B">
        <w:t xml:space="preserve"> Outcome were available. </w:t>
      </w:r>
    </w:p>
    <w:p w:rsidR="00F073E4" w:rsidRDefault="00A139EE" w:rsidP="00060C33">
      <w:pPr>
        <w:pStyle w:val="ListParagraph"/>
        <w:numPr>
          <w:ilvl w:val="1"/>
          <w:numId w:val="4"/>
        </w:numPr>
        <w:jc w:val="both"/>
      </w:pPr>
      <w:r w:rsidRPr="00F864DA">
        <w:t>The indication proposed in the TG</w:t>
      </w:r>
      <w:r w:rsidRPr="00365010">
        <w:t xml:space="preserve">A application is: </w:t>
      </w:r>
      <w:r w:rsidR="00F073E4" w:rsidRPr="00365010">
        <w:t xml:space="preserve"> “Bezlotoxumab is indicated for the prevention of</w:t>
      </w:r>
      <w:r w:rsidR="00F073E4" w:rsidRPr="000855D4">
        <w:t xml:space="preserve"> </w:t>
      </w:r>
      <w:r w:rsidR="00F073E4" w:rsidRPr="00060C33">
        <w:rPr>
          <w:i/>
        </w:rPr>
        <w:t>Clostridium difficile</w:t>
      </w:r>
      <w:r w:rsidR="00F073E4" w:rsidRPr="000855D4">
        <w:t xml:space="preserve"> infection (CDI) recurrence in patients 18 years or older receiving antibiotic therapy for CDI. It can be prescribed in conjunction with any standard of care antibiotic that is used for treatment of </w:t>
      </w:r>
      <w:r w:rsidR="00F951DA" w:rsidRPr="00060C33">
        <w:rPr>
          <w:i/>
          <w:iCs/>
        </w:rPr>
        <w:t>C. difficile</w:t>
      </w:r>
      <w:r w:rsidR="00F951DA" w:rsidRPr="000855D4">
        <w:t xml:space="preserve"> </w:t>
      </w:r>
      <w:r w:rsidR="00F073E4" w:rsidRPr="000855D4">
        <w:t xml:space="preserve">infection such as metronidazole, vancomycin, or fidaxomicin.” </w:t>
      </w:r>
      <w:r w:rsidR="0037637A" w:rsidRPr="000855D4">
        <w:t>The TGA’s delegate requested the ACM provide advice on whether the indication should restrict use to ‘at risk patients’.</w:t>
      </w:r>
      <w:r w:rsidR="000D172D">
        <w:t xml:space="preserve"> The ACM agreed that the indication </w:t>
      </w:r>
      <w:r w:rsidR="00CD3553">
        <w:t xml:space="preserve">should </w:t>
      </w:r>
      <w:r w:rsidR="000D172D">
        <w:t>restrict use in ‘high risk patients’ and noted that the sponsor also agree</w:t>
      </w:r>
      <w:r w:rsidR="00CD3553">
        <w:t>d with this modification</w:t>
      </w:r>
      <w:r w:rsidR="000D172D">
        <w:t>.</w:t>
      </w:r>
    </w:p>
    <w:p w:rsidR="00C608C4" w:rsidRPr="0055020E" w:rsidRDefault="00C608C4" w:rsidP="00BC4EAF">
      <w:pPr>
        <w:pStyle w:val="ListParagraph"/>
        <w:jc w:val="both"/>
        <w:rPr>
          <w:i/>
        </w:rPr>
      </w:pPr>
      <w:r w:rsidRPr="0055020E">
        <w:rPr>
          <w:i/>
        </w:rPr>
        <w:t>For more detail on PBAC’s view, see section 7 PBAC outcome.</w:t>
      </w:r>
    </w:p>
    <w:p w:rsidR="00F073E4" w:rsidRPr="00D33A17" w:rsidRDefault="00F073E4" w:rsidP="001401DE">
      <w:pPr>
        <w:pStyle w:val="Heading1"/>
        <w:numPr>
          <w:ilvl w:val="0"/>
          <w:numId w:val="4"/>
        </w:numPr>
        <w:ind w:left="432" w:hanging="432"/>
        <w:jc w:val="both"/>
      </w:pPr>
      <w:bookmarkStart w:id="7" w:name="_Toc492999809"/>
      <w:r w:rsidRPr="00D33A17">
        <w:t>Population and disease</w:t>
      </w:r>
      <w:bookmarkEnd w:id="7"/>
    </w:p>
    <w:p w:rsidR="00F073E4" w:rsidRPr="00D33A17" w:rsidRDefault="00F073E4" w:rsidP="002471D4">
      <w:pPr>
        <w:pStyle w:val="ListParagraph"/>
        <w:numPr>
          <w:ilvl w:val="1"/>
          <w:numId w:val="4"/>
        </w:numPr>
        <w:jc w:val="both"/>
      </w:pPr>
      <w:r w:rsidRPr="00834B88">
        <w:rPr>
          <w:i/>
          <w:iCs/>
        </w:rPr>
        <w:t>C</w:t>
      </w:r>
      <w:r w:rsidR="00CD3553">
        <w:rPr>
          <w:i/>
          <w:iCs/>
        </w:rPr>
        <w:t>lostridium</w:t>
      </w:r>
      <w:r w:rsidRPr="00834B88">
        <w:rPr>
          <w:i/>
          <w:iCs/>
        </w:rPr>
        <w:t xml:space="preserve"> difficile</w:t>
      </w:r>
      <w:r w:rsidR="00CD3553">
        <w:rPr>
          <w:i/>
          <w:iCs/>
        </w:rPr>
        <w:t xml:space="preserve"> </w:t>
      </w:r>
      <w:r w:rsidR="00CD3553" w:rsidRPr="0055020E">
        <w:rPr>
          <w:iCs/>
        </w:rPr>
        <w:t>(</w:t>
      </w:r>
      <w:r w:rsidR="00CD3553">
        <w:rPr>
          <w:i/>
          <w:iCs/>
        </w:rPr>
        <w:t>C. difficile</w:t>
      </w:r>
      <w:r w:rsidR="00CD3553" w:rsidRPr="0055020E">
        <w:rPr>
          <w:iCs/>
        </w:rPr>
        <w:t>)</w:t>
      </w:r>
      <w:r w:rsidRPr="00D33A17">
        <w:t xml:space="preserve"> is </w:t>
      </w:r>
      <w:r w:rsidR="00452248" w:rsidRPr="00D33A17">
        <w:t xml:space="preserve">a </w:t>
      </w:r>
      <w:r w:rsidR="00770B84">
        <w:t>bacterium</w:t>
      </w:r>
      <w:r w:rsidR="00452248" w:rsidRPr="00D33A17">
        <w:t xml:space="preserve"> </w:t>
      </w:r>
      <w:r w:rsidRPr="00D33A17">
        <w:t>not normally present in the gut flora</w:t>
      </w:r>
      <w:r w:rsidR="000661CF">
        <w:t xml:space="preserve">. </w:t>
      </w:r>
      <w:r w:rsidRPr="00D33A17">
        <w:t xml:space="preserve">In order for CDI to occur, the patient must first experience a disruption in the normal gut flora (e.g. from taking broad spectrum antibiotics) and then acquire </w:t>
      </w:r>
      <w:r w:rsidRPr="00F951DA">
        <w:rPr>
          <w:i/>
        </w:rPr>
        <w:t>C. difficile</w:t>
      </w:r>
      <w:r w:rsidRPr="00D33A17">
        <w:t xml:space="preserve"> from an exogenous source usually via faecal-oral route (e.g. from another infected patient)</w:t>
      </w:r>
      <w:r w:rsidR="000661CF">
        <w:t xml:space="preserve">. </w:t>
      </w:r>
      <w:r w:rsidRPr="00D33A17">
        <w:t xml:space="preserve">Only toxin producing strains of </w:t>
      </w:r>
      <w:r w:rsidRPr="00F951DA">
        <w:rPr>
          <w:i/>
          <w:iCs/>
        </w:rPr>
        <w:t>C. difficile</w:t>
      </w:r>
      <w:r w:rsidRPr="00D33A17">
        <w:t xml:space="preserve"> will produce disease. </w:t>
      </w:r>
      <w:r w:rsidR="00452248" w:rsidRPr="00D33A17">
        <w:t xml:space="preserve">Symptoms include watery diarrhoea, fever, nausea and abdominal pain. </w:t>
      </w:r>
      <w:r w:rsidRPr="00D33A17">
        <w:t>A more severe form of the infection, pseudomembranous colitis</w:t>
      </w:r>
      <w:r w:rsidR="008E751C" w:rsidRPr="00D33A17">
        <w:t>,</w:t>
      </w:r>
      <w:r w:rsidRPr="00D33A17">
        <w:t xml:space="preserve"> is also found in around 10% of all </w:t>
      </w:r>
      <w:r w:rsidRPr="00F951DA">
        <w:rPr>
          <w:i/>
          <w:iCs/>
        </w:rPr>
        <w:t>C.</w:t>
      </w:r>
      <w:r w:rsidR="00A9781B">
        <w:rPr>
          <w:i/>
          <w:iCs/>
        </w:rPr>
        <w:t> </w:t>
      </w:r>
      <w:r w:rsidRPr="00F951DA">
        <w:rPr>
          <w:i/>
          <w:iCs/>
        </w:rPr>
        <w:t>difficile</w:t>
      </w:r>
      <w:r w:rsidRPr="00D33A17">
        <w:t xml:space="preserve"> related diarrhoeas</w:t>
      </w:r>
      <w:r w:rsidR="00653527" w:rsidRPr="00D33A17">
        <w:t>;</w:t>
      </w:r>
      <w:r w:rsidRPr="00D33A17">
        <w:t xml:space="preserve"> this occurs when inflammatory reaction of the cells in the intestines form</w:t>
      </w:r>
      <w:r w:rsidR="00F6408A" w:rsidRPr="00D33A17">
        <w:t>s</w:t>
      </w:r>
      <w:r w:rsidRPr="00D33A17">
        <w:t xml:space="preserve"> a “pseudomembrane”</w:t>
      </w:r>
      <w:r w:rsidR="000661CF">
        <w:t xml:space="preserve">. </w:t>
      </w:r>
    </w:p>
    <w:p w:rsidR="00F073E4" w:rsidRPr="00D33A17" w:rsidRDefault="00F073E4" w:rsidP="002471D4">
      <w:pPr>
        <w:pStyle w:val="ListParagraph"/>
        <w:numPr>
          <w:ilvl w:val="1"/>
          <w:numId w:val="4"/>
        </w:numPr>
        <w:jc w:val="both"/>
      </w:pPr>
      <w:r w:rsidRPr="00D33A17">
        <w:t xml:space="preserve">Recurrence of CDI occurs due to persistent or newly-acquired </w:t>
      </w:r>
      <w:r w:rsidRPr="00834B88">
        <w:rPr>
          <w:i/>
          <w:iCs/>
        </w:rPr>
        <w:t>C. difficile</w:t>
      </w:r>
      <w:r w:rsidRPr="00D33A17">
        <w:t xml:space="preserve"> spores, whose outgrowth (leading to new toxin expression) is facilitated by gut flora disturbance caused by antibiotics</w:t>
      </w:r>
      <w:r w:rsidR="000661CF">
        <w:t xml:space="preserve">. </w:t>
      </w:r>
      <w:r w:rsidRPr="00D33A17">
        <w:t>The risk of recurrence is higher in patients who are greater than 65 years of age, who are immunocompromised or have severe initial CDI.</w:t>
      </w:r>
    </w:p>
    <w:p w:rsidR="00F073E4" w:rsidRPr="00D33A17" w:rsidRDefault="00F073E4" w:rsidP="002471D4">
      <w:pPr>
        <w:pStyle w:val="ListParagraph"/>
        <w:numPr>
          <w:ilvl w:val="1"/>
          <w:numId w:val="4"/>
        </w:numPr>
        <w:jc w:val="both"/>
      </w:pPr>
      <w:r w:rsidRPr="00D33A17">
        <w:t>CDI is more likely to occur in hospitals than in the community setting (3.65 versus 1.08 per 10,000 patient days respectively based on Slimings et al (2014))</w:t>
      </w:r>
      <w:r w:rsidR="000661CF">
        <w:t xml:space="preserve">. </w:t>
      </w:r>
      <w:r w:rsidRPr="00D33A17">
        <w:t>All-cause mortality in patients hospitalised with CDI at 30 days is estimated to be between 9% and 38%</w:t>
      </w:r>
      <w:r w:rsidR="003632BC" w:rsidRPr="00D33A17">
        <w:t xml:space="preserve"> (Mitchel 2012)</w:t>
      </w:r>
      <w:r w:rsidR="003632BC" w:rsidRPr="00D33A17">
        <w:rPr>
          <w:rStyle w:val="FootnoteReference"/>
        </w:rPr>
        <w:footnoteReference w:id="1"/>
      </w:r>
      <w:r w:rsidR="000661CF">
        <w:t xml:space="preserve">. </w:t>
      </w:r>
      <w:r w:rsidR="00C44E42" w:rsidRPr="00D33A17">
        <w:t>Limited Australian data suggest the 30-day mortality for CDI patients in Australia may be even lower with reported rates at 2.5%</w:t>
      </w:r>
      <w:r w:rsidR="00C44E42" w:rsidRPr="00D33A17">
        <w:rPr>
          <w:rStyle w:val="FootnoteReference"/>
        </w:rPr>
        <w:footnoteReference w:id="2"/>
      </w:r>
      <w:r w:rsidR="00C44E42" w:rsidRPr="00D33A17">
        <w:t xml:space="preserve"> and 3.6%</w:t>
      </w:r>
      <w:r w:rsidR="00C44E42" w:rsidRPr="00D33A17">
        <w:rPr>
          <w:rStyle w:val="FootnoteReference"/>
        </w:rPr>
        <w:footnoteReference w:id="3"/>
      </w:r>
      <w:r w:rsidR="00C44E42" w:rsidRPr="00D33A17">
        <w:t>.</w:t>
      </w:r>
    </w:p>
    <w:p w:rsidR="00F073E4" w:rsidRPr="00D33A17" w:rsidRDefault="00F073E4" w:rsidP="002471D4">
      <w:pPr>
        <w:pStyle w:val="ListParagraph"/>
        <w:numPr>
          <w:ilvl w:val="1"/>
          <w:numId w:val="4"/>
        </w:numPr>
        <w:jc w:val="both"/>
      </w:pPr>
      <w:r w:rsidRPr="00D33A17">
        <w:t>Bezlotoxumab is a human monoclonal antibody that binds with high affinity to</w:t>
      </w:r>
      <w:r w:rsidR="00A070BC" w:rsidRPr="00D33A17">
        <w:br/>
      </w:r>
      <w:r w:rsidRPr="00F951DA">
        <w:rPr>
          <w:i/>
          <w:iCs/>
        </w:rPr>
        <w:t>C.</w:t>
      </w:r>
      <w:r w:rsidR="00937774" w:rsidRPr="00F951DA">
        <w:rPr>
          <w:i/>
          <w:iCs/>
        </w:rPr>
        <w:t xml:space="preserve"> </w:t>
      </w:r>
      <w:r w:rsidRPr="00F951DA">
        <w:rPr>
          <w:i/>
          <w:iCs/>
        </w:rPr>
        <w:t>difficile</w:t>
      </w:r>
      <w:r w:rsidRPr="00D33A17">
        <w:t xml:space="preserve"> toxin B and neutralises its activity by preventing it from binding to host cells</w:t>
      </w:r>
      <w:r w:rsidR="000661CF">
        <w:t xml:space="preserve">. </w:t>
      </w:r>
      <w:r w:rsidRPr="00D33A17">
        <w:t>Bezlotoxumab is thought to prevent CDI recurrence by providing enhanced passive immunity against toxin produced by the outgrowth of persistent or newly-acquired</w:t>
      </w:r>
      <w:r w:rsidR="00251254" w:rsidRPr="00D33A17">
        <w:t xml:space="preserve"> </w:t>
      </w:r>
      <w:r w:rsidRPr="00F951DA">
        <w:rPr>
          <w:i/>
          <w:iCs/>
        </w:rPr>
        <w:t>C. difficile</w:t>
      </w:r>
      <w:r w:rsidRPr="00D33A17">
        <w:t xml:space="preserve"> spores.</w:t>
      </w:r>
      <w:r w:rsidR="00251254" w:rsidRPr="00D33A17">
        <w:t xml:space="preserve"> </w:t>
      </w:r>
      <w:r w:rsidRPr="00D33A17">
        <w:t xml:space="preserve">Bezlotoxumab is effective against toxins from a broad range of clinical isolates of </w:t>
      </w:r>
      <w:r w:rsidRPr="00F951DA">
        <w:rPr>
          <w:i/>
          <w:iCs/>
        </w:rPr>
        <w:t>C</w:t>
      </w:r>
      <w:r w:rsidR="00937774" w:rsidRPr="00F951DA">
        <w:rPr>
          <w:i/>
          <w:iCs/>
        </w:rPr>
        <w:t xml:space="preserve"> </w:t>
      </w:r>
      <w:r w:rsidRPr="00F951DA">
        <w:rPr>
          <w:i/>
          <w:iCs/>
        </w:rPr>
        <w:t>.difficile</w:t>
      </w:r>
      <w:r w:rsidR="000661CF">
        <w:rPr>
          <w:iCs/>
        </w:rPr>
        <w:t xml:space="preserve">. </w:t>
      </w:r>
      <w:r w:rsidRPr="00D33A17">
        <w:t>However, bezlotoxumab does not enhance the efficacy of antibiotics used to treat CDI and only prevents recurrence of CDI after antibiotic treatment is complete.</w:t>
      </w:r>
    </w:p>
    <w:p w:rsidR="00F073E4" w:rsidRPr="00D33A17" w:rsidRDefault="00F073E4" w:rsidP="002471D4">
      <w:pPr>
        <w:pStyle w:val="ListParagraph"/>
        <w:numPr>
          <w:ilvl w:val="1"/>
          <w:numId w:val="4"/>
        </w:numPr>
        <w:jc w:val="both"/>
      </w:pPr>
      <w:r w:rsidRPr="00D33A17">
        <w:t xml:space="preserve">There is no expected change to the diagnostic algorithms or choice of antibiotic therapy for CDI </w:t>
      </w:r>
      <w:r w:rsidR="00AC36C4" w:rsidRPr="00D33A17">
        <w:t xml:space="preserve">with the use of </w:t>
      </w:r>
      <w:r w:rsidRPr="00D33A17">
        <w:t>bezlotoxumab</w:t>
      </w:r>
      <w:r w:rsidR="000661CF">
        <w:t xml:space="preserve">. </w:t>
      </w:r>
      <w:r w:rsidR="001F3387" w:rsidRPr="00D33A17">
        <w:t>However,</w:t>
      </w:r>
      <w:r w:rsidRPr="00D33A17">
        <w:t xml:space="preserve"> it </w:t>
      </w:r>
      <w:r w:rsidR="00251254" w:rsidRPr="00D33A17">
        <w:t>i</w:t>
      </w:r>
      <w:r w:rsidRPr="00D33A17">
        <w:t>s a</w:t>
      </w:r>
      <w:r w:rsidR="00251254" w:rsidRPr="00D33A17">
        <w:t xml:space="preserve"> pote</w:t>
      </w:r>
      <w:r w:rsidR="004D0120">
        <w:t>n</w:t>
      </w:r>
      <w:r w:rsidR="00251254" w:rsidRPr="00D33A17">
        <w:t>tial</w:t>
      </w:r>
      <w:r w:rsidRPr="00D33A17">
        <w:t xml:space="preserve"> option to prevent future recurrence.</w:t>
      </w:r>
      <w:r w:rsidR="00F0439A">
        <w:t xml:space="preserve"> The PBAC noted that ribotyping is not part of the </w:t>
      </w:r>
      <w:r w:rsidR="00685333">
        <w:t>diagnostic algorithm for CDI so including infection with virulent ribotypes as criterion for treatment could result in a change in practice and incur a cost to the health system.</w:t>
      </w:r>
    </w:p>
    <w:p w:rsidR="009B1FB8" w:rsidRDefault="009B1FB8" w:rsidP="002471D4">
      <w:pPr>
        <w:pStyle w:val="ListParagraph"/>
        <w:numPr>
          <w:ilvl w:val="1"/>
          <w:numId w:val="4"/>
        </w:numPr>
        <w:jc w:val="both"/>
      </w:pPr>
      <w:r w:rsidRPr="00D33A17">
        <w:t>The submission presented separate algorithms for severe and non-severe CDIs. The main difference between the submission’s current and proposed algorithms was that if bezlotoxumab is PBS listed, it will be administered for all severe CDI (i</w:t>
      </w:r>
      <w:r w:rsidR="00E047C8">
        <w:t>.</w:t>
      </w:r>
      <w:r w:rsidRPr="00D33A17">
        <w:t>e. initial and recurrent episodes) and only fo</w:t>
      </w:r>
      <w:r w:rsidR="008F78A8">
        <w:t xml:space="preserve">r recurrent mild/moderate CDI. </w:t>
      </w:r>
      <w:r w:rsidRPr="00D33A17">
        <w:t>The submission’s algorithm also indicated that bezlotoxumab would mostly be administered alongside oral vancomycin, which is indicated for re</w:t>
      </w:r>
      <w:r w:rsidR="008F78A8">
        <w:t xml:space="preserve">current or severe initial CDI. </w:t>
      </w:r>
      <w:r w:rsidRPr="00D33A17">
        <w:t>This was considered unlikely given the trial evidence suggested bezlotoxumab to be effective in patients both with and without prior CDI episodes and in those with severe and mild/moderate CDI</w:t>
      </w:r>
      <w:r w:rsidR="000661CF">
        <w:t xml:space="preserve">. </w:t>
      </w:r>
      <w:r w:rsidRPr="00D33A17">
        <w:t>In fact, a similar proportion of patients in the trials had received oral metronidazole compared to oral vancomycin (both approximately 50%)</w:t>
      </w:r>
      <w:r w:rsidR="000661CF">
        <w:t>. The PBAC did not consider it would be appropriate to limit use of bezlotoxumab based on the antibiotic therapy the patient was using to treat the current CDI</w:t>
      </w:r>
      <w:r w:rsidRPr="00D33A17">
        <w:t>.</w:t>
      </w:r>
    </w:p>
    <w:p w:rsidR="00F073E4" w:rsidRPr="00D33A17" w:rsidRDefault="00F073E4" w:rsidP="001401DE">
      <w:pPr>
        <w:pStyle w:val="Heading1"/>
        <w:numPr>
          <w:ilvl w:val="0"/>
          <w:numId w:val="4"/>
        </w:numPr>
        <w:ind w:left="432" w:hanging="432"/>
        <w:jc w:val="both"/>
      </w:pPr>
      <w:bookmarkStart w:id="8" w:name="_Toc492999810"/>
      <w:r w:rsidRPr="00D33A17">
        <w:t>Comparator</w:t>
      </w:r>
      <w:bookmarkEnd w:id="8"/>
    </w:p>
    <w:p w:rsidR="00F073E4" w:rsidRPr="00D33A17" w:rsidRDefault="00F073E4" w:rsidP="002471D4">
      <w:pPr>
        <w:pStyle w:val="ListParagraph"/>
        <w:numPr>
          <w:ilvl w:val="1"/>
          <w:numId w:val="4"/>
        </w:numPr>
        <w:spacing w:before="0" w:after="120"/>
        <w:jc w:val="both"/>
      </w:pPr>
      <w:r w:rsidRPr="00D33A17">
        <w:t>Placebo (</w:t>
      </w:r>
      <w:r w:rsidR="009469BA" w:rsidRPr="00D33A17">
        <w:t>or</w:t>
      </w:r>
      <w:r w:rsidR="008F78A8">
        <w:t xml:space="preserve"> SoC antibiotics). Th</w:t>
      </w:r>
      <w:r w:rsidR="00A9781B">
        <w:t xml:space="preserve">e PBAC considered that the nominated comparator </w:t>
      </w:r>
      <w:r w:rsidR="008F78A8">
        <w:t xml:space="preserve">was appropriate. </w:t>
      </w:r>
      <w:r w:rsidRPr="00D33A17">
        <w:t>The submission also acknowledge</w:t>
      </w:r>
      <w:r w:rsidR="007A446E" w:rsidRPr="00D33A17">
        <w:t>d</w:t>
      </w:r>
      <w:r w:rsidRPr="00D33A17">
        <w:t xml:space="preserve"> that faecal microbiota transplant (FMT) is an alternative </w:t>
      </w:r>
      <w:r w:rsidR="00200C06" w:rsidRPr="00D33A17">
        <w:t xml:space="preserve">procedure used for </w:t>
      </w:r>
      <w:r w:rsidRPr="00D33A17">
        <w:t>prevention for recurrent CDI</w:t>
      </w:r>
      <w:r w:rsidR="000661CF">
        <w:t xml:space="preserve">. </w:t>
      </w:r>
      <w:r w:rsidRPr="00D33A17">
        <w:t>However as FMT is yet to be trialled in large randomised trials and is a “last resort” option, the submission argued that it would not be the most relevant comparator for bezlotoxumab</w:t>
      </w:r>
      <w:r w:rsidR="000661CF">
        <w:t xml:space="preserve">. </w:t>
      </w:r>
      <w:r w:rsidRPr="00D33A17">
        <w:t xml:space="preserve">It is </w:t>
      </w:r>
      <w:r w:rsidR="00DE673F" w:rsidRPr="00D33A17">
        <w:t xml:space="preserve">not clear </w:t>
      </w:r>
      <w:r w:rsidRPr="00D33A17">
        <w:t xml:space="preserve">from the submission whether FMT and bezlotoxumab </w:t>
      </w:r>
      <w:r w:rsidR="007A446E" w:rsidRPr="00D33A17">
        <w:t>are</w:t>
      </w:r>
      <w:r w:rsidRPr="00D33A17">
        <w:t xml:space="preserve"> likely to be used concurrently in clinical practice or whether FMT would be used </w:t>
      </w:r>
      <w:r w:rsidR="007A446E" w:rsidRPr="00D33A17">
        <w:t xml:space="preserve">if </w:t>
      </w:r>
      <w:r w:rsidRPr="00D33A17">
        <w:t>bezlotoxumab failed to prevent recurrence</w:t>
      </w:r>
      <w:r w:rsidR="000661CF">
        <w:t xml:space="preserve">. </w:t>
      </w:r>
    </w:p>
    <w:p w:rsidR="009B1FB8" w:rsidRDefault="00F073E4" w:rsidP="002471D4">
      <w:pPr>
        <w:pStyle w:val="ListParagraph"/>
        <w:numPr>
          <w:ilvl w:val="1"/>
          <w:numId w:val="4"/>
        </w:numPr>
        <w:spacing w:before="0" w:after="120"/>
        <w:jc w:val="both"/>
      </w:pPr>
      <w:r w:rsidRPr="00D33A17">
        <w:t>A growing body of evidence also suggest</w:t>
      </w:r>
      <w:r w:rsidR="007A446E" w:rsidRPr="00D33A17">
        <w:t>s</w:t>
      </w:r>
      <w:r w:rsidRPr="00D33A17">
        <w:t xml:space="preserve"> that some strains of probiotics may be effective in primary prevention of </w:t>
      </w:r>
      <w:r w:rsidRPr="00F951DA">
        <w:rPr>
          <w:i/>
        </w:rPr>
        <w:t>C. difficile</w:t>
      </w:r>
      <w:r w:rsidRPr="00D33A17">
        <w:rPr>
          <w:iCs/>
        </w:rPr>
        <w:t xml:space="preserve"> </w:t>
      </w:r>
      <w:r w:rsidRPr="00D33A17">
        <w:t>associated diarrhoeas (CDAD)</w:t>
      </w:r>
      <w:r w:rsidR="000661CF">
        <w:t xml:space="preserve">. </w:t>
      </w:r>
      <w:r w:rsidR="00831D18" w:rsidRPr="00D33A17">
        <w:t>A meta</w:t>
      </w:r>
      <w:r w:rsidR="00831D18" w:rsidRPr="00D33A17">
        <w:noBreakHyphen/>
      </w:r>
      <w:r w:rsidRPr="00D33A17">
        <w:t>analysis by Lau and Chamberlain (2016), including evidence from 26 RCTs enrolling a total of 7,597 patients</w:t>
      </w:r>
      <w:r w:rsidR="007A446E" w:rsidRPr="00D33A17">
        <w:t>,</w:t>
      </w:r>
      <w:r w:rsidRPr="00D33A17">
        <w:t xml:space="preserve"> concluded </w:t>
      </w:r>
      <w:r w:rsidR="007A446E" w:rsidRPr="00D33A17">
        <w:t xml:space="preserve">that </w:t>
      </w:r>
      <w:r w:rsidRPr="00D33A17">
        <w:t>probiotic use reduced the risk of developing CDAD by 60.5% (relative risk [RR] =0.395; 95% confidence interval [CI], 0.294–0.531; P&lt;0.001)</w:t>
      </w:r>
      <w:r w:rsidR="000661CF">
        <w:t xml:space="preserve">. </w:t>
      </w:r>
      <w:r w:rsidRPr="00D33A17">
        <w:t>Probiotics were</w:t>
      </w:r>
      <w:r w:rsidR="00530E06" w:rsidRPr="00D33A17">
        <w:t xml:space="preserve"> found to be </w:t>
      </w:r>
      <w:r w:rsidRPr="00D33A17">
        <w:t>beneficial in both adults and children (59.5% and 65.9% reduction</w:t>
      </w:r>
      <w:r w:rsidR="007A446E" w:rsidRPr="00D33A17">
        <w:t>,</w:t>
      </w:r>
      <w:r w:rsidRPr="00D33A17">
        <w:t xml:space="preserve"> respectively), especially among hospitalised patients. </w:t>
      </w:r>
      <w:r w:rsidR="009469BA" w:rsidRPr="00D33A17">
        <w:t>H</w:t>
      </w:r>
      <w:r w:rsidR="000176EC" w:rsidRPr="00D33A17">
        <w:t xml:space="preserve">owever </w:t>
      </w:r>
      <w:r w:rsidR="003A1C98" w:rsidRPr="00D33A17">
        <w:t xml:space="preserve">one recent review </w:t>
      </w:r>
      <w:r w:rsidR="009469BA" w:rsidRPr="00D33A17">
        <w:t xml:space="preserve">suggested probiotics </w:t>
      </w:r>
      <w:r w:rsidR="000176EC" w:rsidRPr="00D33A17">
        <w:t xml:space="preserve">were no different to placebo in primary prevention among hospitalised </w:t>
      </w:r>
      <w:r w:rsidR="009469BA" w:rsidRPr="00D33A17">
        <w:t>patients &gt;65 years</w:t>
      </w:r>
      <w:r w:rsidR="00757EF8" w:rsidRPr="00D33A17">
        <w:rPr>
          <w:rStyle w:val="FootnoteReference"/>
        </w:rPr>
        <w:footnoteReference w:id="4"/>
      </w:r>
      <w:r w:rsidR="000176EC" w:rsidRPr="00D33A17">
        <w:t>, so evidence in this area is still emerging</w:t>
      </w:r>
      <w:r w:rsidR="000661CF">
        <w:t xml:space="preserve">. </w:t>
      </w:r>
      <w:r w:rsidR="009B1FB8" w:rsidRPr="00D33A17">
        <w:t>Although not a direct comparator, the effect of probiotics at reducing primary infections of CDI is likely to also impact on the efficacy of bezlotoxumab for secondary prevention.</w:t>
      </w:r>
    </w:p>
    <w:p w:rsidR="00C608C4" w:rsidRPr="0055020E" w:rsidRDefault="00C608C4" w:rsidP="0099258F">
      <w:pPr>
        <w:pStyle w:val="ListParagraph"/>
        <w:jc w:val="both"/>
        <w:rPr>
          <w:i/>
        </w:rPr>
      </w:pPr>
      <w:r w:rsidRPr="0055020E">
        <w:rPr>
          <w:i/>
        </w:rPr>
        <w:t>For more detail on PBAC’s view, see section 7 PBAC outcome.</w:t>
      </w:r>
    </w:p>
    <w:p w:rsidR="00FC6A62" w:rsidRPr="00D33A17" w:rsidRDefault="00F073E4" w:rsidP="001401DE">
      <w:pPr>
        <w:pStyle w:val="Heading1"/>
        <w:numPr>
          <w:ilvl w:val="0"/>
          <w:numId w:val="4"/>
        </w:numPr>
        <w:ind w:left="432" w:hanging="432"/>
        <w:jc w:val="both"/>
      </w:pPr>
      <w:bookmarkStart w:id="9" w:name="_Toc492950678"/>
      <w:bookmarkStart w:id="10" w:name="_Toc492999811"/>
      <w:bookmarkEnd w:id="9"/>
      <w:r w:rsidRPr="00D33A17">
        <w:t>Consideration of the evidence</w:t>
      </w:r>
      <w:bookmarkEnd w:id="10"/>
    </w:p>
    <w:p w:rsidR="00FC6A62" w:rsidRPr="0099258F" w:rsidRDefault="00FC6A62" w:rsidP="00FC6A62">
      <w:pPr>
        <w:pStyle w:val="Heading2"/>
        <w:jc w:val="both"/>
        <w:rPr>
          <w:i w:val="0"/>
        </w:rPr>
      </w:pPr>
      <w:r w:rsidRPr="0099258F">
        <w:rPr>
          <w:i w:val="0"/>
        </w:rPr>
        <w:t>Sponsor hearing</w:t>
      </w:r>
    </w:p>
    <w:p w:rsidR="00FC6A62" w:rsidRDefault="00A82492" w:rsidP="0099258F">
      <w:pPr>
        <w:pStyle w:val="ListParagraph"/>
        <w:numPr>
          <w:ilvl w:val="1"/>
          <w:numId w:val="4"/>
        </w:numPr>
        <w:spacing w:before="0" w:after="120"/>
        <w:jc w:val="both"/>
      </w:pPr>
      <w:r>
        <w:t>The sponsor requested a hearing for this item. The clinician presented clinical case studies and how the drug would be used in practice, and addressed other matters in response to the Committee’s questions</w:t>
      </w:r>
      <w:r w:rsidR="00690727">
        <w:t>.</w:t>
      </w:r>
    </w:p>
    <w:p w:rsidR="00DF459B" w:rsidRPr="00DF459B" w:rsidRDefault="00382126" w:rsidP="00DF459B">
      <w:pPr>
        <w:widowControl w:val="0"/>
        <w:spacing w:before="0" w:after="120"/>
        <w:ind w:left="720"/>
        <w:jc w:val="both"/>
        <w:rPr>
          <w:rFonts w:cs="Arial"/>
          <w:bCs/>
          <w:snapToGrid w:val="0"/>
          <w:lang w:val="en-GB"/>
        </w:rPr>
      </w:pPr>
      <w:r>
        <w:t xml:space="preserve">The PBAC considered that the hearing was informative </w:t>
      </w:r>
      <w:r w:rsidR="00DF459B">
        <w:rPr>
          <w:iCs/>
        </w:rPr>
        <w:t>as it allowed the clinician to provide evidence that CDI had a considerable impact on quality of life, which was a relevant consideration.</w:t>
      </w:r>
      <w:r w:rsidR="00556B7A">
        <w:rPr>
          <w:iCs/>
        </w:rPr>
        <w:t xml:space="preserve"> The committee also noted the clinician’s advice that </w:t>
      </w:r>
      <w:r w:rsidR="00960EA9">
        <w:rPr>
          <w:iCs/>
        </w:rPr>
        <w:t>mortality rates varied between countries, th</w:t>
      </w:r>
      <w:r w:rsidR="000661CF">
        <w:rPr>
          <w:iCs/>
        </w:rPr>
        <w:t>at there appears to be worse mortality with the</w:t>
      </w:r>
      <w:r w:rsidR="00960EA9">
        <w:rPr>
          <w:iCs/>
        </w:rPr>
        <w:t xml:space="preserve"> highly virulent ribotypes, and that Australia did not have a high incidence of the most virulent ribotype.</w:t>
      </w:r>
      <w:r w:rsidR="00685333">
        <w:rPr>
          <w:iCs/>
        </w:rPr>
        <w:t xml:space="preserve"> The PBAC therefore felt that estimates of case </w:t>
      </w:r>
      <w:r w:rsidR="00350D8B">
        <w:rPr>
          <w:iCs/>
        </w:rPr>
        <w:t>fatality</w:t>
      </w:r>
      <w:r w:rsidR="00685333">
        <w:rPr>
          <w:iCs/>
        </w:rPr>
        <w:t xml:space="preserve"> from overseas are not directly transferrable to the Australian population.</w:t>
      </w:r>
    </w:p>
    <w:p w:rsidR="00FC6A62" w:rsidRPr="00690727" w:rsidRDefault="00FC6A62" w:rsidP="00690727">
      <w:pPr>
        <w:pStyle w:val="Heading2"/>
        <w:jc w:val="both"/>
        <w:rPr>
          <w:i w:val="0"/>
        </w:rPr>
      </w:pPr>
      <w:r w:rsidRPr="00690727">
        <w:rPr>
          <w:i w:val="0"/>
        </w:rPr>
        <w:t>Consumer comments</w:t>
      </w:r>
    </w:p>
    <w:p w:rsidR="0099258F" w:rsidRPr="0099258F" w:rsidRDefault="0099258F" w:rsidP="0099258F">
      <w:pPr>
        <w:pStyle w:val="ListParagraph"/>
        <w:numPr>
          <w:ilvl w:val="1"/>
          <w:numId w:val="4"/>
        </w:numPr>
        <w:spacing w:before="0" w:after="120"/>
        <w:jc w:val="both"/>
      </w:pPr>
      <w:r w:rsidRPr="0099258F">
        <w:t>The PBAC noted and welcomed the input from an individual (1) via the Consumer Comments facility on the PBS website</w:t>
      </w:r>
      <w:r w:rsidR="00A9781B">
        <w:t>,</w:t>
      </w:r>
      <w:r w:rsidRPr="0099258F">
        <w:t xml:space="preserve"> </w:t>
      </w:r>
      <w:r w:rsidR="00A9781B">
        <w:t>which</w:t>
      </w:r>
      <w:r w:rsidRPr="0099258F">
        <w:t xml:space="preserve"> described a range of benefits of treatment with bezlotoxumab</w:t>
      </w:r>
      <w:r w:rsidR="00A9781B">
        <w:t>,</w:t>
      </w:r>
      <w:r w:rsidRPr="0099258F">
        <w:t xml:space="preserve"> including the ability to </w:t>
      </w:r>
      <w:r w:rsidR="00960EA9">
        <w:t>return to</w:t>
      </w:r>
      <w:r w:rsidRPr="0099258F">
        <w:t xml:space="preserve"> normal life and avoidance of further </w:t>
      </w:r>
      <w:r w:rsidR="00A9781B">
        <w:t>CDI</w:t>
      </w:r>
      <w:r w:rsidRPr="0099258F">
        <w:t>.</w:t>
      </w:r>
    </w:p>
    <w:p w:rsidR="00FC6A62" w:rsidRPr="00FC6A62" w:rsidRDefault="00FC6A62" w:rsidP="00FC6A62">
      <w:pPr>
        <w:pStyle w:val="Heading2"/>
        <w:jc w:val="both"/>
        <w:rPr>
          <w:i w:val="0"/>
        </w:rPr>
      </w:pPr>
      <w:r w:rsidRPr="00D33A17">
        <w:rPr>
          <w:i w:val="0"/>
        </w:rPr>
        <w:t>Clinical trials</w:t>
      </w:r>
    </w:p>
    <w:p w:rsidR="00902290" w:rsidRPr="00D33A17" w:rsidRDefault="00F073E4" w:rsidP="002471D4">
      <w:pPr>
        <w:pStyle w:val="ListParagraph"/>
        <w:numPr>
          <w:ilvl w:val="1"/>
          <w:numId w:val="4"/>
        </w:numPr>
        <w:spacing w:before="0" w:after="120"/>
        <w:jc w:val="both"/>
      </w:pPr>
      <w:r w:rsidRPr="00D33A17">
        <w:t xml:space="preserve">The submission was based on two </w:t>
      </w:r>
      <w:r w:rsidR="005C421D" w:rsidRPr="00D33A17">
        <w:t xml:space="preserve">direct randomised </w:t>
      </w:r>
      <w:r w:rsidRPr="00D33A17">
        <w:t>trials (MODIFY I and MODIFY II</w:t>
      </w:r>
      <w:r w:rsidR="005C421D" w:rsidRPr="00D33A17">
        <w:t xml:space="preserve">) which compared </w:t>
      </w:r>
      <w:r w:rsidRPr="00D33A17">
        <w:t>bezlotoxumab + SoC</w:t>
      </w:r>
      <w:r w:rsidR="00F2442C" w:rsidRPr="00D33A17">
        <w:t xml:space="preserve"> to placebo + SoC</w:t>
      </w:r>
      <w:r w:rsidR="00902C89" w:rsidRPr="00D33A17">
        <w:t xml:space="preserve"> (N=</w:t>
      </w:r>
      <w:r w:rsidR="00CD2D20" w:rsidRPr="00D33A17">
        <w:t>807</w:t>
      </w:r>
      <w:r w:rsidR="00AA2B19" w:rsidRPr="00D33A17">
        <w:t xml:space="preserve"> and </w:t>
      </w:r>
      <w:r w:rsidR="00CD2D20" w:rsidRPr="00D33A17">
        <w:t>806</w:t>
      </w:r>
      <w:r w:rsidR="00AA2B19" w:rsidRPr="00D33A17">
        <w:t xml:space="preserve"> in MODIFY I and MODIFY II respectively</w:t>
      </w:r>
      <w:r w:rsidR="00F2442C" w:rsidRPr="00D33A17">
        <w:t>)</w:t>
      </w:r>
      <w:r w:rsidR="000661CF">
        <w:t xml:space="preserve">. </w:t>
      </w:r>
      <w:r w:rsidR="00AA2B19" w:rsidRPr="00D33A17">
        <w:t xml:space="preserve">MODIFY I </w:t>
      </w:r>
      <w:r w:rsidR="00F2442C" w:rsidRPr="00D33A17">
        <w:t xml:space="preserve">also included two additional arms which administered </w:t>
      </w:r>
      <w:r w:rsidR="005C421D" w:rsidRPr="00D33A17">
        <w:t>actoxumab + SoC</w:t>
      </w:r>
      <w:r w:rsidR="00F2442C" w:rsidRPr="00D33A17">
        <w:t xml:space="preserve"> </w:t>
      </w:r>
      <w:r w:rsidR="00AA2B19" w:rsidRPr="00D33A17">
        <w:t>(N=2</w:t>
      </w:r>
      <w:r w:rsidR="00CD2D20" w:rsidRPr="00D33A17">
        <w:t>4</w:t>
      </w:r>
      <w:r w:rsidR="00AA2B19" w:rsidRPr="00D33A17">
        <w:t xml:space="preserve">2) </w:t>
      </w:r>
      <w:r w:rsidR="00F2442C" w:rsidRPr="00D33A17">
        <w:t>and</w:t>
      </w:r>
      <w:r w:rsidR="005C421D" w:rsidRPr="00D33A17">
        <w:t xml:space="preserve"> actoxumab + bezlotoxumab +</w:t>
      </w:r>
      <w:r w:rsidR="00A65D38">
        <w:t xml:space="preserve"> </w:t>
      </w:r>
      <w:r w:rsidR="005C421D" w:rsidRPr="00D33A17">
        <w:t>So</w:t>
      </w:r>
      <w:r w:rsidR="00CD2D20" w:rsidRPr="00D33A17">
        <w:t>C</w:t>
      </w:r>
      <w:r w:rsidR="00F2442C" w:rsidRPr="00D33A17">
        <w:t xml:space="preserve"> (N=</w:t>
      </w:r>
      <w:r w:rsidR="00CD2D20" w:rsidRPr="00D33A17">
        <w:t>403</w:t>
      </w:r>
      <w:r w:rsidR="00F2442C" w:rsidRPr="00D33A17">
        <w:t>)</w:t>
      </w:r>
      <w:r w:rsidR="00CD2D20" w:rsidRPr="00D33A17">
        <w:t xml:space="preserve"> whilst MODIFY I included one additional treatment arm which administered actoxumab + bezlotoxumab +</w:t>
      </w:r>
      <w:r w:rsidR="00A65D38">
        <w:t xml:space="preserve"> </w:t>
      </w:r>
      <w:r w:rsidR="00CD2D20" w:rsidRPr="00D33A17">
        <w:t>SoC (N=397)</w:t>
      </w:r>
      <w:r w:rsidR="000661CF">
        <w:t xml:space="preserve">. </w:t>
      </w:r>
      <w:r w:rsidR="00902290" w:rsidRPr="00D33A17">
        <w:t>Actoxumab was found to be ineffective in preventing of CDI recurrence in the trials when given alone and provided no additional benefit when given with bezlotoxumab</w:t>
      </w:r>
      <w:r w:rsidR="00831D18" w:rsidRPr="00D33A17">
        <w:t>, it is also not the subject of or a comparator for this submission</w:t>
      </w:r>
      <w:r w:rsidR="000661CF">
        <w:t xml:space="preserve">. </w:t>
      </w:r>
      <w:r w:rsidR="00902290" w:rsidRPr="00D33A17">
        <w:t xml:space="preserve">Its results are therefore irrelevant to the current submission and are </w:t>
      </w:r>
      <w:r w:rsidR="00902C89" w:rsidRPr="00D33A17">
        <w:t xml:space="preserve">not </w:t>
      </w:r>
      <w:r w:rsidR="00A65D38">
        <w:t>presented</w:t>
      </w:r>
      <w:r w:rsidR="00902290" w:rsidRPr="00D33A17">
        <w:t>.</w:t>
      </w:r>
    </w:p>
    <w:p w:rsidR="00F073E4" w:rsidRPr="00D33A17" w:rsidRDefault="00F073E4" w:rsidP="002471D4">
      <w:pPr>
        <w:pStyle w:val="ListParagraph"/>
        <w:numPr>
          <w:ilvl w:val="1"/>
          <w:numId w:val="4"/>
        </w:numPr>
        <w:spacing w:before="0" w:after="120"/>
        <w:jc w:val="both"/>
      </w:pPr>
      <w:r w:rsidRPr="00D33A17">
        <w:t>MODIFY I and MODIFY II were similarly designed, randomised, double blind and placebo controlled trials</w:t>
      </w:r>
      <w:r w:rsidR="000661CF">
        <w:t xml:space="preserve">. </w:t>
      </w:r>
      <w:r w:rsidR="00F2442C" w:rsidRPr="00D33A17">
        <w:t xml:space="preserve">In the relevant treatment arms, </w:t>
      </w:r>
      <w:r w:rsidRPr="00D33A17">
        <w:t xml:space="preserve">adult patients with CDI received </w:t>
      </w:r>
      <w:r w:rsidR="00F2442C" w:rsidRPr="00D33A17">
        <w:t xml:space="preserve">a single dose of </w:t>
      </w:r>
      <w:r w:rsidRPr="00D33A17">
        <w:t>bezlotoxumab 10</w:t>
      </w:r>
      <w:r w:rsidR="00CB0212" w:rsidRPr="00D33A17">
        <w:t xml:space="preserve"> </w:t>
      </w:r>
      <w:r w:rsidRPr="00D33A17">
        <w:t>mg/kg or placebo (normal saline) infused over 60 minutes, alongside oral SoC antibiotics (metronidazole, vancomycin or fidaxomicin chosen by their treating physician for 10-14 days)</w:t>
      </w:r>
      <w:r w:rsidR="000661CF">
        <w:t xml:space="preserve">. </w:t>
      </w:r>
      <w:r w:rsidRPr="00D33A17">
        <w:t>Patients who were receiving oral vancomycin or fi</w:t>
      </w:r>
      <w:r w:rsidR="00E57E09" w:rsidRPr="00D33A17">
        <w:t>da</w:t>
      </w:r>
      <w:r w:rsidRPr="00D33A17">
        <w:t>x</w:t>
      </w:r>
      <w:r w:rsidR="00E57E09" w:rsidRPr="00D33A17">
        <w:t>o</w:t>
      </w:r>
      <w:r w:rsidRPr="00D33A17">
        <w:t>micin could also receive IV metronidazole.</w:t>
      </w:r>
    </w:p>
    <w:p w:rsidR="00F073E4" w:rsidRPr="00D33A17" w:rsidRDefault="00F073E4" w:rsidP="002471D4">
      <w:pPr>
        <w:pStyle w:val="ListParagraph"/>
        <w:numPr>
          <w:ilvl w:val="1"/>
          <w:numId w:val="4"/>
        </w:numPr>
        <w:spacing w:before="0" w:after="120"/>
        <w:jc w:val="both"/>
      </w:pPr>
      <w:r w:rsidRPr="00D33A17">
        <w:t>Details of the trials presented in the submission are provided in the table below</w:t>
      </w:r>
      <w:r w:rsidR="000661CF">
        <w:t xml:space="preserve">. </w:t>
      </w:r>
    </w:p>
    <w:p w:rsidR="00F073E4" w:rsidRPr="00D33A17" w:rsidRDefault="00F073E4" w:rsidP="00F073E4">
      <w:pPr>
        <w:pStyle w:val="TableHeading0"/>
      </w:pPr>
      <w:r w:rsidRPr="00D33A17">
        <w:t>Table 2: Trials and associated reports presented in the submission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43"/>
        <w:gridCol w:w="4977"/>
        <w:gridCol w:w="3262"/>
      </w:tblGrid>
      <w:tr w:rsidR="00F073E4" w:rsidRPr="00D33A17" w:rsidTr="00FF79DC">
        <w:tc>
          <w:tcPr>
            <w:tcW w:w="464" w:type="pct"/>
          </w:tcPr>
          <w:p w:rsidR="00F073E4" w:rsidRPr="00D33A17" w:rsidRDefault="00F073E4" w:rsidP="00FF79DC">
            <w:pPr>
              <w:pStyle w:val="TableText"/>
              <w:spacing w:before="0" w:after="0"/>
              <w:rPr>
                <w:b/>
                <w:szCs w:val="20"/>
              </w:rPr>
            </w:pPr>
            <w:r w:rsidRPr="00D33A17">
              <w:rPr>
                <w:b/>
                <w:szCs w:val="20"/>
              </w:rPr>
              <w:t>Trial ID</w:t>
            </w:r>
          </w:p>
        </w:tc>
        <w:tc>
          <w:tcPr>
            <w:tcW w:w="2740" w:type="pct"/>
          </w:tcPr>
          <w:p w:rsidR="00F073E4" w:rsidRPr="00D33A17" w:rsidRDefault="00F073E4" w:rsidP="00FF79DC">
            <w:pPr>
              <w:pStyle w:val="TableText"/>
              <w:spacing w:before="0" w:after="0"/>
              <w:rPr>
                <w:b/>
                <w:szCs w:val="20"/>
              </w:rPr>
            </w:pPr>
            <w:r w:rsidRPr="00D33A17">
              <w:rPr>
                <w:b/>
                <w:szCs w:val="20"/>
              </w:rPr>
              <w:t>Protocol title/ Publication title</w:t>
            </w:r>
          </w:p>
        </w:tc>
        <w:tc>
          <w:tcPr>
            <w:tcW w:w="1796" w:type="pct"/>
          </w:tcPr>
          <w:p w:rsidR="00F073E4" w:rsidRPr="00D33A17" w:rsidRDefault="00F073E4" w:rsidP="00FF79DC">
            <w:pPr>
              <w:pStyle w:val="TableText"/>
              <w:spacing w:before="0" w:after="0"/>
              <w:rPr>
                <w:b/>
                <w:szCs w:val="20"/>
              </w:rPr>
            </w:pPr>
            <w:r w:rsidRPr="00D33A17">
              <w:rPr>
                <w:b/>
                <w:szCs w:val="20"/>
              </w:rPr>
              <w:t>Publication citation</w:t>
            </w:r>
          </w:p>
        </w:tc>
      </w:tr>
      <w:tr w:rsidR="00F073E4" w:rsidRPr="00D33A17" w:rsidTr="00FF79DC">
        <w:tc>
          <w:tcPr>
            <w:tcW w:w="5000" w:type="pct"/>
            <w:gridSpan w:val="3"/>
          </w:tcPr>
          <w:p w:rsidR="00F073E4" w:rsidRPr="00D33A17" w:rsidRDefault="00F073E4" w:rsidP="00FF79DC">
            <w:pPr>
              <w:pStyle w:val="TableText"/>
              <w:spacing w:before="0" w:after="0"/>
              <w:rPr>
                <w:b/>
                <w:szCs w:val="20"/>
              </w:rPr>
            </w:pPr>
            <w:r w:rsidRPr="00D33A17">
              <w:rPr>
                <w:b/>
                <w:szCs w:val="20"/>
              </w:rPr>
              <w:t>Direct randomised trials</w:t>
            </w:r>
          </w:p>
        </w:tc>
      </w:tr>
      <w:tr w:rsidR="00F073E4" w:rsidRPr="00D33A17" w:rsidTr="00FF79DC">
        <w:tc>
          <w:tcPr>
            <w:tcW w:w="464" w:type="pct"/>
            <w:vAlign w:val="center"/>
          </w:tcPr>
          <w:p w:rsidR="00F073E4" w:rsidRPr="00D33A17" w:rsidRDefault="00F073E4" w:rsidP="00FF79DC">
            <w:pPr>
              <w:pStyle w:val="TableText"/>
              <w:spacing w:before="0" w:after="0"/>
              <w:rPr>
                <w:szCs w:val="20"/>
              </w:rPr>
            </w:pPr>
            <w:r w:rsidRPr="00D33A17">
              <w:rPr>
                <w:szCs w:val="20"/>
              </w:rPr>
              <w:t>MODIFY I</w:t>
            </w:r>
          </w:p>
        </w:tc>
        <w:tc>
          <w:tcPr>
            <w:tcW w:w="2740" w:type="pct"/>
          </w:tcPr>
          <w:p w:rsidR="00F073E4" w:rsidRPr="00D33A17" w:rsidRDefault="00F073E4" w:rsidP="00FF79DC">
            <w:pPr>
              <w:pStyle w:val="NoSpacing"/>
              <w:rPr>
                <w:rFonts w:ascii="Arial Narrow" w:hAnsi="Arial Narrow" w:cstheme="minorBidi"/>
                <w:sz w:val="20"/>
              </w:rPr>
            </w:pPr>
            <w:r w:rsidRPr="00D33A17">
              <w:rPr>
                <w:rFonts w:ascii="Arial Narrow" w:hAnsi="Arial Narrow" w:cstheme="minorBidi"/>
                <w:sz w:val="20"/>
              </w:rPr>
              <w:t xml:space="preserve">A Phase III, Randomized, Double-Blind, Placebo-Controlled, Adaptive Design Study of the Efficacy, Safety, and Tolerability of a Single Infusion of MK-3415 (Human Monoclonal Antibody to </w:t>
            </w:r>
            <w:r w:rsidRPr="007D1282">
              <w:rPr>
                <w:rFonts w:ascii="Arial Narrow" w:hAnsi="Arial Narrow" w:cstheme="minorBidi"/>
                <w:i/>
                <w:iCs/>
                <w:sz w:val="20"/>
              </w:rPr>
              <w:t>Clostridium difficile</w:t>
            </w:r>
            <w:r w:rsidRPr="00D33A17">
              <w:rPr>
                <w:rFonts w:ascii="Arial Narrow" w:hAnsi="Arial Narrow" w:cstheme="minorBidi"/>
                <w:sz w:val="20"/>
              </w:rPr>
              <w:t xml:space="preserve"> toxin A), MK-3067 (Human Monoclonal Antibody to </w:t>
            </w:r>
            <w:r w:rsidRPr="00F951DA">
              <w:rPr>
                <w:rFonts w:ascii="Arial Narrow" w:hAnsi="Arial Narrow" w:cstheme="minorBidi"/>
                <w:i/>
                <w:iCs/>
                <w:sz w:val="20"/>
              </w:rPr>
              <w:t>C. difficile</w:t>
            </w:r>
            <w:r w:rsidRPr="00D33A17">
              <w:rPr>
                <w:rFonts w:ascii="Arial Narrow" w:hAnsi="Arial Narrow" w:cstheme="minorBidi"/>
                <w:sz w:val="20"/>
              </w:rPr>
              <w:t xml:space="preserve"> toxin B), and MK-3415A (Human Monoclonal Antibodies to </w:t>
            </w:r>
            <w:r w:rsidRPr="00F951DA">
              <w:rPr>
                <w:rFonts w:ascii="Arial Narrow" w:hAnsi="Arial Narrow" w:cstheme="minorBidi"/>
                <w:i/>
                <w:iCs/>
                <w:sz w:val="20"/>
              </w:rPr>
              <w:t>C. difficile</w:t>
            </w:r>
            <w:r w:rsidRPr="00D33A17">
              <w:rPr>
                <w:rFonts w:ascii="Arial Narrow" w:hAnsi="Arial Narrow" w:cstheme="minorBidi"/>
                <w:sz w:val="20"/>
              </w:rPr>
              <w:t xml:space="preserve"> toxin A and toxin B) in Patient Receiving Antibiotic Therapy for </w:t>
            </w:r>
            <w:r w:rsidRPr="00F951DA">
              <w:rPr>
                <w:rFonts w:ascii="Arial Narrow" w:hAnsi="Arial Narrow" w:cstheme="minorBidi"/>
                <w:i/>
                <w:iCs/>
                <w:sz w:val="20"/>
              </w:rPr>
              <w:t>C. difficile</w:t>
            </w:r>
            <w:r w:rsidRPr="00D33A17">
              <w:rPr>
                <w:rFonts w:ascii="Arial Narrow" w:hAnsi="Arial Narrow" w:cstheme="minorBidi"/>
                <w:sz w:val="20"/>
              </w:rPr>
              <w:t xml:space="preserve"> Infection (MODIFY I). </w:t>
            </w:r>
          </w:p>
          <w:p w:rsidR="00F073E4" w:rsidRPr="00D33A17" w:rsidRDefault="00F073E4" w:rsidP="00FF79DC">
            <w:pPr>
              <w:pStyle w:val="TableText"/>
              <w:spacing w:before="0" w:after="0"/>
              <w:rPr>
                <w:szCs w:val="20"/>
              </w:rPr>
            </w:pPr>
          </w:p>
          <w:p w:rsidR="00F073E4" w:rsidRPr="00D33A17" w:rsidRDefault="00F073E4" w:rsidP="00FF79DC">
            <w:pPr>
              <w:pStyle w:val="NoSpacing"/>
              <w:rPr>
                <w:rFonts w:ascii="Arial Narrow" w:hAnsi="Arial Narrow" w:cstheme="minorBidi"/>
                <w:sz w:val="20"/>
              </w:rPr>
            </w:pPr>
            <w:r w:rsidRPr="00D33A17">
              <w:rPr>
                <w:rFonts w:ascii="Arial Narrow" w:hAnsi="Arial Narrow" w:cstheme="minorBidi"/>
                <w:sz w:val="20"/>
              </w:rPr>
              <w:t xml:space="preserve">Wilcox et al., Bezlotoxumab for Prevention of Recurrent </w:t>
            </w:r>
            <w:r w:rsidRPr="007F12C5">
              <w:rPr>
                <w:rFonts w:ascii="Arial Narrow" w:hAnsi="Arial Narrow" w:cstheme="minorBidi"/>
                <w:i/>
                <w:iCs/>
                <w:sz w:val="20"/>
              </w:rPr>
              <w:t>Clostridium difficile</w:t>
            </w:r>
            <w:r w:rsidRPr="00D33A17">
              <w:rPr>
                <w:rFonts w:ascii="Arial Narrow" w:hAnsi="Arial Narrow" w:cstheme="minorBidi"/>
                <w:iCs/>
                <w:sz w:val="20"/>
              </w:rPr>
              <w:t xml:space="preserve"> </w:t>
            </w:r>
            <w:r w:rsidRPr="00D33A17">
              <w:rPr>
                <w:rFonts w:ascii="Arial Narrow" w:hAnsi="Arial Narrow" w:cstheme="minorBidi"/>
                <w:sz w:val="20"/>
              </w:rPr>
              <w:t xml:space="preserve">Infection. </w:t>
            </w:r>
          </w:p>
        </w:tc>
        <w:tc>
          <w:tcPr>
            <w:tcW w:w="1796" w:type="pct"/>
          </w:tcPr>
          <w:p w:rsidR="006F0AAB" w:rsidRDefault="00F073E4" w:rsidP="006F0AAB">
            <w:pPr>
              <w:pStyle w:val="TableText"/>
              <w:spacing w:before="0" w:after="0"/>
              <w:rPr>
                <w:szCs w:val="20"/>
              </w:rPr>
            </w:pPr>
            <w:r w:rsidRPr="00D33A17">
              <w:rPr>
                <w:szCs w:val="20"/>
              </w:rPr>
              <w:t>09/10/2015</w:t>
            </w:r>
          </w:p>
          <w:p w:rsidR="006F0AAB" w:rsidRDefault="006F0AAB" w:rsidP="006F0AAB">
            <w:pPr>
              <w:pStyle w:val="TableText"/>
              <w:spacing w:before="0" w:after="0"/>
              <w:rPr>
                <w:szCs w:val="20"/>
              </w:rPr>
            </w:pPr>
          </w:p>
          <w:p w:rsidR="00F073E4" w:rsidRPr="00D33A17" w:rsidRDefault="00F073E4" w:rsidP="006F0AAB">
            <w:pPr>
              <w:pStyle w:val="TableText"/>
              <w:spacing w:before="0" w:after="0"/>
              <w:rPr>
                <w:szCs w:val="20"/>
              </w:rPr>
            </w:pPr>
            <w:r w:rsidRPr="00D33A17">
              <w:rPr>
                <w:szCs w:val="20"/>
              </w:rPr>
              <w:t>New England Journal of Medicine 2017; 376:4 (305-317)</w:t>
            </w:r>
          </w:p>
        </w:tc>
      </w:tr>
      <w:tr w:rsidR="00F073E4" w:rsidRPr="00D33A17" w:rsidTr="00FF79DC">
        <w:tc>
          <w:tcPr>
            <w:tcW w:w="464" w:type="pct"/>
            <w:vAlign w:val="center"/>
          </w:tcPr>
          <w:p w:rsidR="00F073E4" w:rsidRPr="00D33A17" w:rsidRDefault="00F073E4" w:rsidP="00FF79DC">
            <w:pPr>
              <w:pStyle w:val="TableText"/>
              <w:spacing w:before="0" w:after="0"/>
              <w:rPr>
                <w:szCs w:val="20"/>
              </w:rPr>
            </w:pPr>
            <w:r w:rsidRPr="00D33A17">
              <w:rPr>
                <w:szCs w:val="20"/>
              </w:rPr>
              <w:t>MODIFY II</w:t>
            </w:r>
          </w:p>
        </w:tc>
        <w:tc>
          <w:tcPr>
            <w:tcW w:w="2740" w:type="pct"/>
          </w:tcPr>
          <w:p w:rsidR="00F073E4" w:rsidRPr="00D33A17" w:rsidRDefault="00F073E4" w:rsidP="00FF79DC">
            <w:pPr>
              <w:pStyle w:val="NoSpacing"/>
              <w:rPr>
                <w:rFonts w:ascii="Arial Narrow" w:hAnsi="Arial Narrow"/>
                <w:sz w:val="20"/>
              </w:rPr>
            </w:pPr>
            <w:r w:rsidRPr="00D33A17">
              <w:rPr>
                <w:rFonts w:ascii="Arial Narrow" w:hAnsi="Arial Narrow"/>
                <w:sz w:val="20"/>
              </w:rPr>
              <w:t xml:space="preserve">A Phase III, Randomized, Double-Blind, Placebo-Controlled Study of the Efficacy, Safety and Tolerability of a Single Infusion of MK-6072 (Human Monoclonal Antibody to </w:t>
            </w:r>
            <w:r w:rsidRPr="007D1282">
              <w:rPr>
                <w:rFonts w:ascii="Arial Narrow" w:hAnsi="Arial Narrow"/>
                <w:i/>
                <w:iCs/>
                <w:sz w:val="20"/>
              </w:rPr>
              <w:t>Clostridium difficile</w:t>
            </w:r>
            <w:r w:rsidRPr="00D33A17">
              <w:rPr>
                <w:rFonts w:ascii="Arial Narrow" w:hAnsi="Arial Narrow"/>
                <w:sz w:val="20"/>
              </w:rPr>
              <w:t xml:space="preserve"> toxin B), and MK3415A (Human Monoclonal Antibodies to </w:t>
            </w:r>
            <w:r w:rsidRPr="007D1282">
              <w:rPr>
                <w:rFonts w:ascii="Arial Narrow" w:hAnsi="Arial Narrow"/>
                <w:i/>
                <w:iCs/>
                <w:sz w:val="20"/>
              </w:rPr>
              <w:t>Clostridium difficile</w:t>
            </w:r>
            <w:r w:rsidRPr="00D33A17">
              <w:rPr>
                <w:rFonts w:ascii="Arial Narrow" w:hAnsi="Arial Narrow"/>
                <w:sz w:val="20"/>
              </w:rPr>
              <w:t xml:space="preserve"> toxin A and B) in Patients Receiving Antibiotic Therapy for </w:t>
            </w:r>
            <w:r w:rsidRPr="007D1282">
              <w:rPr>
                <w:rFonts w:ascii="Arial Narrow" w:hAnsi="Arial Narrow"/>
                <w:i/>
                <w:iCs/>
                <w:sz w:val="20"/>
              </w:rPr>
              <w:t>Clostridium difficile</w:t>
            </w:r>
            <w:r w:rsidRPr="00D33A17">
              <w:rPr>
                <w:rFonts w:ascii="Arial Narrow" w:hAnsi="Arial Narrow"/>
                <w:sz w:val="20"/>
              </w:rPr>
              <w:t xml:space="preserve"> Infection (MODIFY II)</w:t>
            </w:r>
          </w:p>
          <w:p w:rsidR="00F073E4" w:rsidRPr="00D33A17" w:rsidRDefault="00F073E4" w:rsidP="00FF79DC">
            <w:pPr>
              <w:pStyle w:val="TableText"/>
              <w:spacing w:before="0" w:after="0"/>
              <w:rPr>
                <w:szCs w:val="20"/>
              </w:rPr>
            </w:pPr>
          </w:p>
          <w:p w:rsidR="00F073E4" w:rsidRPr="00D33A17" w:rsidRDefault="00F073E4" w:rsidP="00FF79DC">
            <w:pPr>
              <w:pStyle w:val="NoSpacing"/>
            </w:pPr>
            <w:r w:rsidRPr="00D33A17">
              <w:rPr>
                <w:rFonts w:ascii="Arial Narrow" w:hAnsi="Arial Narrow"/>
                <w:sz w:val="20"/>
              </w:rPr>
              <w:t xml:space="preserve">Wilcox et al., Bezlotoxumab for Prevention of Recurrent </w:t>
            </w:r>
            <w:r w:rsidRPr="007D1282">
              <w:rPr>
                <w:rFonts w:ascii="Arial Narrow" w:hAnsi="Arial Narrow"/>
                <w:i/>
                <w:iCs/>
                <w:sz w:val="20"/>
              </w:rPr>
              <w:t>Clostridium difficile</w:t>
            </w:r>
            <w:r w:rsidRPr="00D33A17">
              <w:rPr>
                <w:rFonts w:ascii="Arial Narrow" w:hAnsi="Arial Narrow"/>
                <w:iCs/>
                <w:sz w:val="20"/>
              </w:rPr>
              <w:t xml:space="preserve"> </w:t>
            </w:r>
            <w:r w:rsidRPr="00D33A17">
              <w:rPr>
                <w:rFonts w:ascii="Arial Narrow" w:hAnsi="Arial Narrow"/>
                <w:sz w:val="20"/>
              </w:rPr>
              <w:t xml:space="preserve">Infection. </w:t>
            </w:r>
          </w:p>
        </w:tc>
        <w:tc>
          <w:tcPr>
            <w:tcW w:w="1796" w:type="pct"/>
          </w:tcPr>
          <w:p w:rsidR="006F0AAB" w:rsidRDefault="00F073E4" w:rsidP="006F0AAB">
            <w:pPr>
              <w:pStyle w:val="TableText"/>
              <w:spacing w:before="0" w:after="1200"/>
              <w:rPr>
                <w:szCs w:val="20"/>
              </w:rPr>
            </w:pPr>
            <w:r w:rsidRPr="00D33A17">
              <w:rPr>
                <w:szCs w:val="20"/>
              </w:rPr>
              <w:t>02/11/2015</w:t>
            </w:r>
          </w:p>
          <w:p w:rsidR="00F073E4" w:rsidRPr="00D33A17" w:rsidRDefault="00F073E4" w:rsidP="006F0AAB">
            <w:pPr>
              <w:pStyle w:val="TableText"/>
              <w:spacing w:before="0" w:after="0"/>
              <w:rPr>
                <w:szCs w:val="20"/>
              </w:rPr>
            </w:pPr>
            <w:r w:rsidRPr="00D33A17">
              <w:rPr>
                <w:szCs w:val="20"/>
              </w:rPr>
              <w:t>New England Journal of Medicine 2017; 376:4 (305-317)</w:t>
            </w:r>
          </w:p>
        </w:tc>
      </w:tr>
    </w:tbl>
    <w:p w:rsidR="00F073E4" w:rsidRPr="00D33A17" w:rsidRDefault="00F073E4" w:rsidP="00F073E4">
      <w:pPr>
        <w:pStyle w:val="TableFooter"/>
      </w:pPr>
      <w:r w:rsidRPr="00D33A17">
        <w:t>Source: Table 2.2-1, p30 of the submission, secondary publications were removed from the Table.</w:t>
      </w:r>
    </w:p>
    <w:p w:rsidR="00F073E4" w:rsidRPr="00D33A17" w:rsidRDefault="00F073E4" w:rsidP="002471D4">
      <w:pPr>
        <w:pStyle w:val="ListParagraph"/>
        <w:numPr>
          <w:ilvl w:val="1"/>
          <w:numId w:val="4"/>
        </w:numPr>
        <w:spacing w:before="0" w:after="120"/>
        <w:jc w:val="both"/>
      </w:pPr>
      <w:r w:rsidRPr="00D33A17">
        <w:t>The key features of the direct randomised trials are summarised in the table below</w:t>
      </w:r>
      <w:r w:rsidR="000661CF">
        <w:t xml:space="preserve">. </w:t>
      </w:r>
    </w:p>
    <w:p w:rsidR="00F073E4" w:rsidRPr="00D33A17" w:rsidRDefault="00F073E4" w:rsidP="00F073E4">
      <w:pPr>
        <w:pStyle w:val="TableHeading0"/>
      </w:pPr>
      <w:r w:rsidRPr="00D33A17">
        <w:t>Table 3: Key features of the included evidence bezlotoxumab vs. placebo</w:t>
      </w:r>
      <w:r w:rsidR="00CD2D20" w:rsidRPr="00D33A17">
        <w:t xml:space="preserve"> (ITT population)</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3"/>
        <w:gridCol w:w="1003"/>
        <w:gridCol w:w="1429"/>
        <w:gridCol w:w="713"/>
        <w:gridCol w:w="2285"/>
        <w:gridCol w:w="1285"/>
        <w:gridCol w:w="1570"/>
      </w:tblGrid>
      <w:tr w:rsidR="00F073E4" w:rsidRPr="00D33A17" w:rsidTr="00657D0F">
        <w:tc>
          <w:tcPr>
            <w:tcW w:w="466" w:type="pct"/>
            <w:shd w:val="clear" w:color="auto" w:fill="auto"/>
            <w:vAlign w:val="center"/>
          </w:tcPr>
          <w:p w:rsidR="00F073E4" w:rsidRPr="00D33A17" w:rsidRDefault="00F073E4" w:rsidP="00FF79DC">
            <w:pPr>
              <w:pStyle w:val="TableText"/>
              <w:rPr>
                <w:b/>
              </w:rPr>
            </w:pPr>
            <w:r w:rsidRPr="00D33A17">
              <w:rPr>
                <w:b/>
              </w:rPr>
              <w:t>Trial</w:t>
            </w:r>
          </w:p>
        </w:tc>
        <w:tc>
          <w:tcPr>
            <w:tcW w:w="549" w:type="pct"/>
            <w:shd w:val="clear" w:color="auto" w:fill="auto"/>
            <w:vAlign w:val="center"/>
          </w:tcPr>
          <w:p w:rsidR="00F073E4" w:rsidRPr="00D33A17" w:rsidRDefault="00F073E4" w:rsidP="00FF79DC">
            <w:pPr>
              <w:pStyle w:val="TableText"/>
              <w:jc w:val="center"/>
              <w:rPr>
                <w:b/>
                <w:vertAlign w:val="superscript"/>
              </w:rPr>
            </w:pPr>
            <w:r w:rsidRPr="00D33A17">
              <w:rPr>
                <w:b/>
              </w:rPr>
              <w:t>N</w:t>
            </w:r>
          </w:p>
        </w:tc>
        <w:tc>
          <w:tcPr>
            <w:tcW w:w="782" w:type="pct"/>
            <w:shd w:val="clear" w:color="auto" w:fill="auto"/>
            <w:vAlign w:val="center"/>
          </w:tcPr>
          <w:p w:rsidR="00F073E4" w:rsidRPr="00D33A17" w:rsidRDefault="00F073E4" w:rsidP="00FF79DC">
            <w:pPr>
              <w:pStyle w:val="TableText"/>
              <w:jc w:val="center"/>
              <w:rPr>
                <w:b/>
              </w:rPr>
            </w:pPr>
            <w:r w:rsidRPr="00D33A17">
              <w:rPr>
                <w:b/>
              </w:rPr>
              <w:t>Design/ duration of follow-up</w:t>
            </w:r>
          </w:p>
        </w:tc>
        <w:tc>
          <w:tcPr>
            <w:tcW w:w="390" w:type="pct"/>
            <w:shd w:val="clear" w:color="auto" w:fill="auto"/>
            <w:vAlign w:val="center"/>
          </w:tcPr>
          <w:p w:rsidR="00F073E4" w:rsidRPr="00D33A17" w:rsidRDefault="00F073E4" w:rsidP="00FF79DC">
            <w:pPr>
              <w:pStyle w:val="TableText"/>
              <w:jc w:val="center"/>
              <w:rPr>
                <w:b/>
              </w:rPr>
            </w:pPr>
            <w:r w:rsidRPr="00D33A17">
              <w:rPr>
                <w:b/>
              </w:rPr>
              <w:t>Risk of bias</w:t>
            </w:r>
          </w:p>
        </w:tc>
        <w:tc>
          <w:tcPr>
            <w:tcW w:w="1250" w:type="pct"/>
            <w:shd w:val="clear" w:color="auto" w:fill="auto"/>
            <w:vAlign w:val="center"/>
          </w:tcPr>
          <w:p w:rsidR="00F073E4" w:rsidRPr="00D33A17" w:rsidRDefault="00F073E4" w:rsidP="00FF79DC">
            <w:pPr>
              <w:pStyle w:val="TableText"/>
              <w:jc w:val="center"/>
              <w:rPr>
                <w:b/>
              </w:rPr>
            </w:pPr>
            <w:r w:rsidRPr="00D33A17">
              <w:rPr>
                <w:b/>
              </w:rPr>
              <w:t>Patient population</w:t>
            </w:r>
          </w:p>
        </w:tc>
        <w:tc>
          <w:tcPr>
            <w:tcW w:w="703" w:type="pct"/>
            <w:shd w:val="clear" w:color="auto" w:fill="auto"/>
            <w:vAlign w:val="center"/>
          </w:tcPr>
          <w:p w:rsidR="00F073E4" w:rsidRPr="00D33A17" w:rsidRDefault="00F073E4" w:rsidP="00FF79DC">
            <w:pPr>
              <w:pStyle w:val="TableText"/>
              <w:jc w:val="center"/>
              <w:rPr>
                <w:b/>
                <w:vertAlign w:val="superscript"/>
              </w:rPr>
            </w:pPr>
            <w:r w:rsidRPr="00D33A17">
              <w:rPr>
                <w:b/>
              </w:rPr>
              <w:t>Outcomes</w:t>
            </w:r>
            <w:r w:rsidR="00BE506C" w:rsidRPr="00D33A17">
              <w:rPr>
                <w:b/>
                <w:vertAlign w:val="superscript"/>
              </w:rPr>
              <w:t>3</w:t>
            </w:r>
          </w:p>
        </w:tc>
        <w:tc>
          <w:tcPr>
            <w:tcW w:w="859" w:type="pct"/>
            <w:shd w:val="clear" w:color="auto" w:fill="auto"/>
            <w:vAlign w:val="center"/>
          </w:tcPr>
          <w:p w:rsidR="00F073E4" w:rsidRPr="00D33A17" w:rsidRDefault="00F073E4" w:rsidP="00FF79DC">
            <w:pPr>
              <w:pStyle w:val="TableText"/>
              <w:jc w:val="center"/>
              <w:rPr>
                <w:b/>
              </w:rPr>
            </w:pPr>
            <w:r w:rsidRPr="00D33A17">
              <w:rPr>
                <w:b/>
              </w:rPr>
              <w:t>Use in modelled evaluation</w:t>
            </w:r>
          </w:p>
        </w:tc>
      </w:tr>
      <w:tr w:rsidR="00541573" w:rsidRPr="00D33A17" w:rsidTr="00657D0F">
        <w:tc>
          <w:tcPr>
            <w:tcW w:w="466" w:type="pct"/>
            <w:shd w:val="clear" w:color="auto" w:fill="auto"/>
            <w:vAlign w:val="center"/>
          </w:tcPr>
          <w:p w:rsidR="00541573" w:rsidRPr="00D33A17" w:rsidRDefault="00541573" w:rsidP="00CD2D20">
            <w:pPr>
              <w:pStyle w:val="TableText"/>
            </w:pPr>
            <w:r w:rsidRPr="00D33A17">
              <w:t>MODIFY I</w:t>
            </w:r>
          </w:p>
        </w:tc>
        <w:tc>
          <w:tcPr>
            <w:tcW w:w="549" w:type="pct"/>
            <w:shd w:val="clear" w:color="auto" w:fill="auto"/>
            <w:vAlign w:val="center"/>
          </w:tcPr>
          <w:p w:rsidR="00541573" w:rsidRPr="00D33A17" w:rsidRDefault="00541573" w:rsidP="00CD2D20">
            <w:pPr>
              <w:pStyle w:val="TableText"/>
              <w:jc w:val="center"/>
              <w:rPr>
                <w:rFonts w:eastAsia="Times New Roman" w:cs="Times New Roman"/>
                <w:vertAlign w:val="superscript"/>
              </w:rPr>
            </w:pPr>
            <w:r w:rsidRPr="00D33A17">
              <w:rPr>
                <w:rFonts w:eastAsia="Times New Roman" w:cs="Times New Roman"/>
              </w:rPr>
              <w:t>1452</w:t>
            </w:r>
            <w:r w:rsidRPr="00D33A17">
              <w:rPr>
                <w:rFonts w:eastAsia="Times New Roman" w:cs="Times New Roman"/>
                <w:vertAlign w:val="superscript"/>
              </w:rPr>
              <w:t>1</w:t>
            </w:r>
          </w:p>
          <w:p w:rsidR="00541573" w:rsidRPr="00D33A17" w:rsidRDefault="00541573" w:rsidP="00CD2D20">
            <w:pPr>
              <w:pStyle w:val="TableText"/>
              <w:jc w:val="center"/>
              <w:rPr>
                <w:rFonts w:eastAsia="Times New Roman" w:cs="Times New Roman"/>
                <w:vertAlign w:val="superscript"/>
              </w:rPr>
            </w:pPr>
            <w:r w:rsidRPr="00D33A17">
              <w:rPr>
                <w:rFonts w:eastAsia="Times New Roman" w:cs="Times New Roman"/>
              </w:rPr>
              <w:t>807</w:t>
            </w:r>
            <w:r w:rsidRPr="00D33A17">
              <w:rPr>
                <w:rFonts w:eastAsia="Times New Roman" w:cs="Times New Roman"/>
                <w:vertAlign w:val="superscript"/>
              </w:rPr>
              <w:t>2</w:t>
            </w:r>
          </w:p>
        </w:tc>
        <w:tc>
          <w:tcPr>
            <w:tcW w:w="782" w:type="pct"/>
            <w:vMerge w:val="restart"/>
            <w:shd w:val="clear" w:color="auto" w:fill="auto"/>
            <w:vAlign w:val="center"/>
          </w:tcPr>
          <w:p w:rsidR="00541573" w:rsidRPr="00D33A17" w:rsidRDefault="00541573" w:rsidP="00CD2D20">
            <w:pPr>
              <w:pStyle w:val="TableText"/>
              <w:jc w:val="center"/>
              <w:rPr>
                <w:rFonts w:ascii="Times" w:eastAsia="Times New Roman" w:hAnsi="Times" w:cs="Times New Roman"/>
              </w:rPr>
            </w:pPr>
            <w:r w:rsidRPr="00D33A17">
              <w:t>R, DB</w:t>
            </w:r>
          </w:p>
          <w:p w:rsidR="00541573" w:rsidRPr="00D33A17" w:rsidRDefault="00541573" w:rsidP="00537A0E">
            <w:pPr>
              <w:pStyle w:val="TableText"/>
              <w:jc w:val="center"/>
              <w:rPr>
                <w:rFonts w:ascii="Times" w:eastAsia="Times New Roman" w:hAnsi="Times" w:cs="Times New Roman"/>
              </w:rPr>
            </w:pPr>
            <w:r w:rsidRPr="00D33A17">
              <w:t>12 weeks</w:t>
            </w:r>
          </w:p>
        </w:tc>
        <w:tc>
          <w:tcPr>
            <w:tcW w:w="390" w:type="pct"/>
            <w:vMerge w:val="restart"/>
            <w:shd w:val="clear" w:color="auto" w:fill="auto"/>
            <w:vAlign w:val="center"/>
          </w:tcPr>
          <w:p w:rsidR="00541573" w:rsidRPr="00D33A17" w:rsidRDefault="00541573" w:rsidP="00537A0E">
            <w:pPr>
              <w:pStyle w:val="TableText"/>
              <w:jc w:val="center"/>
              <w:rPr>
                <w:rFonts w:ascii="Times" w:eastAsia="Times New Roman" w:hAnsi="Times" w:cs="Times New Roman"/>
              </w:rPr>
            </w:pPr>
            <w:r w:rsidRPr="00D33A17">
              <w:t>Low</w:t>
            </w:r>
          </w:p>
        </w:tc>
        <w:tc>
          <w:tcPr>
            <w:tcW w:w="1250" w:type="pct"/>
            <w:vMerge w:val="restart"/>
            <w:shd w:val="clear" w:color="auto" w:fill="auto"/>
            <w:vAlign w:val="center"/>
          </w:tcPr>
          <w:p w:rsidR="00541573" w:rsidRPr="00D33A17" w:rsidRDefault="00541573" w:rsidP="00CD2D20">
            <w:pPr>
              <w:pStyle w:val="TableText"/>
              <w:jc w:val="center"/>
              <w:rPr>
                <w:rFonts w:ascii="Times" w:eastAsia="Times New Roman" w:hAnsi="Times" w:cs="Times New Roman"/>
              </w:rPr>
            </w:pPr>
            <w:r w:rsidRPr="00D33A17">
              <w:t>CDI (without regard to severity) being treated with either oral metronidazole, vancomycin or fidaxomicin</w:t>
            </w:r>
          </w:p>
        </w:tc>
        <w:tc>
          <w:tcPr>
            <w:tcW w:w="703" w:type="pct"/>
            <w:vMerge w:val="restart"/>
            <w:shd w:val="clear" w:color="auto" w:fill="auto"/>
            <w:vAlign w:val="center"/>
          </w:tcPr>
          <w:p w:rsidR="00541573" w:rsidRPr="00D33A17" w:rsidRDefault="00541573" w:rsidP="00CD2D20">
            <w:pPr>
              <w:pStyle w:val="TableText"/>
              <w:jc w:val="center"/>
            </w:pPr>
            <w:r w:rsidRPr="00D33A17">
              <w:t>CDI recurrence</w:t>
            </w:r>
          </w:p>
          <w:p w:rsidR="00541573" w:rsidRPr="00D33A17" w:rsidRDefault="00541573" w:rsidP="00537A0E">
            <w:pPr>
              <w:pStyle w:val="TableText"/>
              <w:jc w:val="center"/>
              <w:rPr>
                <w:rFonts w:ascii="Times" w:eastAsia="Times New Roman" w:hAnsi="Times" w:cs="Times New Roman"/>
              </w:rPr>
            </w:pPr>
            <w:r w:rsidRPr="00D33A17">
              <w:t>Global cure</w:t>
            </w:r>
          </w:p>
        </w:tc>
        <w:tc>
          <w:tcPr>
            <w:tcW w:w="859" w:type="pct"/>
            <w:vMerge w:val="restart"/>
            <w:shd w:val="clear" w:color="auto" w:fill="auto"/>
            <w:vAlign w:val="center"/>
          </w:tcPr>
          <w:p w:rsidR="00541573" w:rsidRPr="00D33A17" w:rsidRDefault="00541573" w:rsidP="00537A0E">
            <w:pPr>
              <w:pStyle w:val="TableText"/>
              <w:jc w:val="center"/>
              <w:rPr>
                <w:rFonts w:ascii="Times" w:eastAsia="Times New Roman" w:hAnsi="Times" w:cs="Times New Roman"/>
              </w:rPr>
            </w:pPr>
            <w:r w:rsidRPr="00D33A17">
              <w:t>CDI recurrence</w:t>
            </w:r>
          </w:p>
        </w:tc>
      </w:tr>
      <w:tr w:rsidR="00541573" w:rsidRPr="00D33A17" w:rsidTr="00657D0F">
        <w:tc>
          <w:tcPr>
            <w:tcW w:w="466" w:type="pct"/>
            <w:shd w:val="clear" w:color="auto" w:fill="auto"/>
            <w:vAlign w:val="center"/>
          </w:tcPr>
          <w:p w:rsidR="00541573" w:rsidRPr="00D33A17" w:rsidRDefault="00541573" w:rsidP="00CD2D20">
            <w:pPr>
              <w:pStyle w:val="TableText"/>
              <w:rPr>
                <w:rFonts w:ascii="Times" w:eastAsia="Times New Roman" w:hAnsi="Times" w:cs="Times New Roman"/>
              </w:rPr>
            </w:pPr>
            <w:r w:rsidRPr="00D33A17">
              <w:t>MODIFY II</w:t>
            </w:r>
          </w:p>
        </w:tc>
        <w:tc>
          <w:tcPr>
            <w:tcW w:w="549" w:type="pct"/>
            <w:shd w:val="clear" w:color="auto" w:fill="auto"/>
            <w:vAlign w:val="center"/>
          </w:tcPr>
          <w:p w:rsidR="00541573" w:rsidRPr="00D33A17" w:rsidRDefault="00541573" w:rsidP="00CD2D20">
            <w:pPr>
              <w:pStyle w:val="TableText"/>
              <w:jc w:val="center"/>
              <w:rPr>
                <w:rFonts w:eastAsia="Times New Roman" w:cs="Times New Roman"/>
                <w:vertAlign w:val="superscript"/>
              </w:rPr>
            </w:pPr>
            <w:r w:rsidRPr="00D33A17">
              <w:rPr>
                <w:rFonts w:eastAsia="Times New Roman" w:cs="Times New Roman"/>
              </w:rPr>
              <w:t>1203</w:t>
            </w:r>
            <w:r w:rsidRPr="00D33A17">
              <w:rPr>
                <w:rFonts w:eastAsia="Times New Roman" w:cs="Times New Roman"/>
                <w:vertAlign w:val="superscript"/>
              </w:rPr>
              <w:t>1</w:t>
            </w:r>
          </w:p>
          <w:p w:rsidR="00541573" w:rsidRPr="00D33A17" w:rsidRDefault="00541573" w:rsidP="00CD2D20">
            <w:pPr>
              <w:pStyle w:val="TableText"/>
              <w:jc w:val="center"/>
              <w:rPr>
                <w:rFonts w:eastAsia="Times New Roman" w:cs="Times New Roman"/>
                <w:vertAlign w:val="superscript"/>
              </w:rPr>
            </w:pPr>
            <w:r w:rsidRPr="00D33A17">
              <w:rPr>
                <w:rFonts w:eastAsia="Times New Roman" w:cs="Times New Roman"/>
              </w:rPr>
              <w:t>806</w:t>
            </w:r>
            <w:r w:rsidRPr="00D33A17">
              <w:rPr>
                <w:rFonts w:eastAsia="Times New Roman" w:cs="Times New Roman"/>
                <w:vertAlign w:val="superscript"/>
              </w:rPr>
              <w:t>2</w:t>
            </w:r>
          </w:p>
        </w:tc>
        <w:tc>
          <w:tcPr>
            <w:tcW w:w="782" w:type="pct"/>
            <w:vMerge/>
            <w:shd w:val="clear" w:color="auto" w:fill="auto"/>
            <w:vAlign w:val="center"/>
          </w:tcPr>
          <w:p w:rsidR="00541573" w:rsidRPr="00D33A17" w:rsidRDefault="00541573" w:rsidP="00CD2D20">
            <w:pPr>
              <w:pStyle w:val="TableText"/>
              <w:jc w:val="center"/>
              <w:rPr>
                <w:rFonts w:ascii="Times" w:eastAsia="Times New Roman" w:hAnsi="Times" w:cs="Times New Roman"/>
              </w:rPr>
            </w:pPr>
          </w:p>
        </w:tc>
        <w:tc>
          <w:tcPr>
            <w:tcW w:w="390" w:type="pct"/>
            <w:vMerge/>
            <w:shd w:val="clear" w:color="auto" w:fill="auto"/>
            <w:vAlign w:val="center"/>
          </w:tcPr>
          <w:p w:rsidR="00541573" w:rsidRPr="00D33A17" w:rsidRDefault="00541573" w:rsidP="00CD2D20">
            <w:pPr>
              <w:pStyle w:val="TableText"/>
              <w:jc w:val="center"/>
              <w:rPr>
                <w:rFonts w:ascii="Times" w:eastAsia="Times New Roman" w:hAnsi="Times" w:cs="Times New Roman"/>
              </w:rPr>
            </w:pPr>
          </w:p>
        </w:tc>
        <w:tc>
          <w:tcPr>
            <w:tcW w:w="1250" w:type="pct"/>
            <w:vMerge/>
            <w:shd w:val="clear" w:color="auto" w:fill="auto"/>
            <w:vAlign w:val="center"/>
          </w:tcPr>
          <w:p w:rsidR="00541573" w:rsidRPr="00D33A17" w:rsidRDefault="00541573" w:rsidP="00CD2D20">
            <w:pPr>
              <w:pStyle w:val="TableText"/>
              <w:jc w:val="center"/>
              <w:rPr>
                <w:rFonts w:ascii="Times" w:eastAsia="Times New Roman" w:hAnsi="Times" w:cs="Times New Roman"/>
              </w:rPr>
            </w:pPr>
          </w:p>
        </w:tc>
        <w:tc>
          <w:tcPr>
            <w:tcW w:w="703" w:type="pct"/>
            <w:vMerge/>
            <w:shd w:val="clear" w:color="auto" w:fill="auto"/>
            <w:vAlign w:val="center"/>
          </w:tcPr>
          <w:p w:rsidR="00541573" w:rsidRPr="00D33A17" w:rsidRDefault="00541573" w:rsidP="00CD2D20">
            <w:pPr>
              <w:pStyle w:val="TableText"/>
              <w:jc w:val="center"/>
              <w:rPr>
                <w:rFonts w:ascii="Times" w:eastAsia="Times New Roman" w:hAnsi="Times" w:cs="Times New Roman"/>
              </w:rPr>
            </w:pPr>
          </w:p>
        </w:tc>
        <w:tc>
          <w:tcPr>
            <w:tcW w:w="859" w:type="pct"/>
            <w:vMerge/>
            <w:shd w:val="clear" w:color="auto" w:fill="auto"/>
            <w:vAlign w:val="center"/>
          </w:tcPr>
          <w:p w:rsidR="00541573" w:rsidRPr="00D33A17" w:rsidRDefault="00541573" w:rsidP="00CD2D20">
            <w:pPr>
              <w:pStyle w:val="TableText"/>
              <w:jc w:val="center"/>
              <w:rPr>
                <w:rFonts w:ascii="Times" w:eastAsia="Times New Roman" w:hAnsi="Times" w:cs="Times New Roman"/>
              </w:rPr>
            </w:pPr>
          </w:p>
        </w:tc>
      </w:tr>
    </w:tbl>
    <w:p w:rsidR="00F073E4" w:rsidRPr="00D33A17" w:rsidRDefault="00F073E4" w:rsidP="00F073E4">
      <w:pPr>
        <w:pStyle w:val="TableFooter"/>
      </w:pPr>
      <w:r w:rsidRPr="00D33A17">
        <w:rPr>
          <w:vertAlign w:val="superscript"/>
        </w:rPr>
        <w:t>1</w:t>
      </w:r>
      <w:r w:rsidRPr="00D33A17">
        <w:rPr>
          <w:vertAlign w:val="superscript"/>
        </w:rPr>
        <w:tab/>
      </w:r>
      <w:r w:rsidRPr="00D33A17">
        <w:t>Includes patients in all arms</w:t>
      </w:r>
      <w:r w:rsidR="000661CF">
        <w:t xml:space="preserve">. </w:t>
      </w:r>
    </w:p>
    <w:p w:rsidR="00F073E4" w:rsidRPr="00D33A17" w:rsidRDefault="00F073E4" w:rsidP="00F073E4">
      <w:pPr>
        <w:pStyle w:val="TableFooter"/>
      </w:pPr>
      <w:r w:rsidRPr="00D33A17">
        <w:rPr>
          <w:vertAlign w:val="superscript"/>
        </w:rPr>
        <w:t>2</w:t>
      </w:r>
      <w:r w:rsidRPr="00D33A17">
        <w:rPr>
          <w:vertAlign w:val="superscript"/>
        </w:rPr>
        <w:tab/>
      </w:r>
      <w:r w:rsidRPr="00D33A17">
        <w:t xml:space="preserve">Only patients who were treated with placebo or bezlotoxumab alone </w:t>
      </w:r>
    </w:p>
    <w:p w:rsidR="00BE506C" w:rsidRPr="00D33A17" w:rsidRDefault="00BE506C" w:rsidP="00657D0F">
      <w:pPr>
        <w:pStyle w:val="TableFooter"/>
        <w:ind w:left="165" w:hanging="165"/>
      </w:pPr>
      <w:r w:rsidRPr="00D33A17">
        <w:rPr>
          <w:vertAlign w:val="superscript"/>
        </w:rPr>
        <w:t>3</w:t>
      </w:r>
      <w:r w:rsidRPr="00D33A17">
        <w:rPr>
          <w:vertAlign w:val="superscript"/>
        </w:rPr>
        <w:tab/>
      </w:r>
      <w:r w:rsidRPr="00D33A17">
        <w:t xml:space="preserve">Outcomes </w:t>
      </w:r>
      <w:r w:rsidR="006F170C" w:rsidRPr="00D33A17">
        <w:t xml:space="preserve">were </w:t>
      </w:r>
      <w:r w:rsidR="005F68A9" w:rsidRPr="00D33A17">
        <w:t xml:space="preserve">for the </w:t>
      </w:r>
      <w:r w:rsidRPr="00D33A17">
        <w:t>Full Analysis Set</w:t>
      </w:r>
      <w:r w:rsidR="005F68A9" w:rsidRPr="00D33A17">
        <w:t xml:space="preserve"> (FAS) population, which included </w:t>
      </w:r>
      <w:r w:rsidR="002078A7" w:rsidRPr="00D33A17">
        <w:t xml:space="preserve">treated patients with confirmed CDI </w:t>
      </w:r>
      <w:r w:rsidR="005F68A9" w:rsidRPr="00D33A17">
        <w:t xml:space="preserve">and </w:t>
      </w:r>
      <w:r w:rsidR="002078A7" w:rsidRPr="00D33A17">
        <w:t xml:space="preserve">had started </w:t>
      </w:r>
      <w:r w:rsidR="005F68A9" w:rsidRPr="00D33A17">
        <w:t>SoC antibiotics before or within 1 day after receiving the trial treatment.</w:t>
      </w:r>
    </w:p>
    <w:p w:rsidR="00F073E4" w:rsidRPr="00D33A17" w:rsidRDefault="00F073E4" w:rsidP="00F073E4">
      <w:pPr>
        <w:pStyle w:val="TableFooter"/>
      </w:pPr>
      <w:r w:rsidRPr="00D33A17">
        <w:t>DB=double blind; R=randomised.</w:t>
      </w:r>
    </w:p>
    <w:p w:rsidR="00F073E4" w:rsidRPr="00D33A17" w:rsidRDefault="00F073E4" w:rsidP="00F073E4">
      <w:pPr>
        <w:pStyle w:val="TableFooter"/>
      </w:pPr>
      <w:r w:rsidRPr="00D33A17">
        <w:t xml:space="preserve">Source: compiled during the evaluation </w:t>
      </w:r>
    </w:p>
    <w:p w:rsidR="00F073E4" w:rsidRPr="00D33A17" w:rsidRDefault="00F073E4" w:rsidP="002471D4">
      <w:pPr>
        <w:pStyle w:val="ListParagraph"/>
        <w:numPr>
          <w:ilvl w:val="1"/>
          <w:numId w:val="4"/>
        </w:numPr>
        <w:spacing w:before="0" w:after="120"/>
        <w:jc w:val="both"/>
      </w:pPr>
      <w:r w:rsidRPr="00D33A17">
        <w:t>The submission argued that CDI recurrence is the most relevant outcome from the trials as i) bezlotoxumab does not impact on the baseline episode of CDI,</w:t>
      </w:r>
      <w:r w:rsidR="006E53B0" w:rsidRPr="00D33A17">
        <w:t xml:space="preserve"> and</w:t>
      </w:r>
      <w:r w:rsidRPr="00D33A17">
        <w:t xml:space="preserve"> ii) CDI recurrence was the primary outcome, so the trials were powered to detect a difference in this outcome</w:t>
      </w:r>
      <w:r w:rsidR="000661CF">
        <w:t xml:space="preserve">. </w:t>
      </w:r>
      <w:r w:rsidRPr="00D33A17">
        <w:t xml:space="preserve">As there is no commonly accepted </w:t>
      </w:r>
      <w:r w:rsidR="000661CF">
        <w:t>minimum clinically important difference (</w:t>
      </w:r>
      <w:r w:rsidRPr="00D33A17">
        <w:t>MCID</w:t>
      </w:r>
      <w:r w:rsidR="000661CF">
        <w:t>)</w:t>
      </w:r>
      <w:r w:rsidRPr="00D33A17">
        <w:t xml:space="preserve"> for CDI recurrence, based on assumptions used in the sample size calculation of the MODIFY trials, the submission nominated a MCID of</w:t>
      </w:r>
      <w:r w:rsidR="00BE506C" w:rsidRPr="00D33A17">
        <w:t xml:space="preserve"> </w:t>
      </w:r>
      <w:r w:rsidR="00DB1CC7" w:rsidRPr="00D33A17">
        <w:t>an 8-9% reduction in the percentage of patients with CDI recurrence</w:t>
      </w:r>
      <w:r w:rsidR="00BE506C" w:rsidRPr="00D33A17">
        <w:t xml:space="preserve"> between bezlotoxumab and placebo</w:t>
      </w:r>
      <w:r w:rsidR="000661CF">
        <w:t xml:space="preserve">. </w:t>
      </w:r>
      <w:r w:rsidRPr="00D33A17">
        <w:t xml:space="preserve">The submission did not provide any further discussion on this </w:t>
      </w:r>
      <w:r w:rsidR="00F6408A" w:rsidRPr="00D33A17">
        <w:t>MCID;</w:t>
      </w:r>
      <w:r w:rsidRPr="00D33A17">
        <w:t xml:space="preserve"> </w:t>
      </w:r>
      <w:r w:rsidR="00A21B93" w:rsidRPr="00D33A17">
        <w:t>however,</w:t>
      </w:r>
      <w:r w:rsidRPr="00D33A17">
        <w:t xml:space="preserve"> given </w:t>
      </w:r>
      <w:r w:rsidR="00CB0212" w:rsidRPr="00D33A17">
        <w:t xml:space="preserve">that </w:t>
      </w:r>
      <w:r w:rsidRPr="00D33A17">
        <w:t>the longevity of the effect is unknown beyond one year, it is uncertain whether an 8-9% reduction would be clinically significant.</w:t>
      </w:r>
      <w:r w:rsidR="005A1BF3">
        <w:t xml:space="preserve"> </w:t>
      </w:r>
      <w:r w:rsidR="005A1BF3" w:rsidRPr="000855D4">
        <w:t xml:space="preserve">The </w:t>
      </w:r>
      <w:r w:rsidR="00A9781B">
        <w:t xml:space="preserve">PBAC agreed with the </w:t>
      </w:r>
      <w:r w:rsidR="005A1BF3" w:rsidRPr="000855D4">
        <w:t>ESC that an improvement of 8-9% was modest, and it was uncertain whether this was clinically meaningful.</w:t>
      </w:r>
    </w:p>
    <w:p w:rsidR="00F073E4" w:rsidRPr="00D33A17" w:rsidRDefault="006E53B0" w:rsidP="002471D4">
      <w:pPr>
        <w:pStyle w:val="ListParagraph"/>
        <w:numPr>
          <w:ilvl w:val="1"/>
          <w:numId w:val="4"/>
        </w:numPr>
        <w:spacing w:before="0" w:after="120"/>
        <w:jc w:val="both"/>
      </w:pPr>
      <w:r w:rsidRPr="00D33A17">
        <w:t>T</w:t>
      </w:r>
      <w:r w:rsidR="00F073E4" w:rsidRPr="00D33A17">
        <w:t xml:space="preserve">he </w:t>
      </w:r>
      <w:r w:rsidR="00685333">
        <w:t xml:space="preserve">PBAC noted and agreed with the </w:t>
      </w:r>
      <w:r w:rsidR="00F073E4" w:rsidRPr="00D33A17">
        <w:t xml:space="preserve">FDA </w:t>
      </w:r>
      <w:r w:rsidR="00685333">
        <w:t xml:space="preserve">who </w:t>
      </w:r>
      <w:r w:rsidR="00F073E4" w:rsidRPr="00D33A17">
        <w:t>considered global cure to be a more relevant endpoint as it is “more interpretable”</w:t>
      </w:r>
      <w:r w:rsidR="00AD2D76" w:rsidRPr="00D33A17">
        <w:t>, since clinically</w:t>
      </w:r>
      <w:r w:rsidR="00F5010F" w:rsidRPr="00D33A17">
        <w:t>,</w:t>
      </w:r>
      <w:r w:rsidR="00AD2D76" w:rsidRPr="00D33A17">
        <w:t xml:space="preserve"> </w:t>
      </w:r>
      <w:r w:rsidR="00F5010F" w:rsidRPr="00D33A17">
        <w:t xml:space="preserve">the goal would be </w:t>
      </w:r>
      <w:r w:rsidR="006445C0" w:rsidRPr="00D33A17">
        <w:t xml:space="preserve">to </w:t>
      </w:r>
      <w:r w:rsidR="00F5010F" w:rsidRPr="00D33A17">
        <w:t xml:space="preserve">get </w:t>
      </w:r>
      <w:r w:rsidR="00AD2D76" w:rsidRPr="00D33A17">
        <w:t>cured, stay alive, and remain free of recurrent infection over time</w:t>
      </w:r>
      <w:r w:rsidR="000661CF">
        <w:t xml:space="preserve">. </w:t>
      </w:r>
      <w:r w:rsidR="005E1486" w:rsidRPr="00D33A17">
        <w:t xml:space="preserve">Global cure is also less biased compared to CDI recurrence, since by definition, </w:t>
      </w:r>
      <w:r w:rsidR="00F073E4" w:rsidRPr="00D33A17">
        <w:t xml:space="preserve">CDI recurrence </w:t>
      </w:r>
      <w:r w:rsidR="005E1486" w:rsidRPr="00D33A17">
        <w:t>would underestimate the true recurrence</w:t>
      </w:r>
      <w:r w:rsidR="00F5010F" w:rsidRPr="00D33A17">
        <w:t xml:space="preserve"> rate </w:t>
      </w:r>
      <w:r w:rsidR="00F073E4" w:rsidRPr="00D33A17">
        <w:t xml:space="preserve">(since those who fail antibiotic therapy </w:t>
      </w:r>
      <w:r w:rsidR="00964A08" w:rsidRPr="00D33A17">
        <w:t xml:space="preserve">and do not get better from their current CDI episode </w:t>
      </w:r>
      <w:r w:rsidR="00F073E4" w:rsidRPr="00D33A17">
        <w:t>cannot have a recurrence).</w:t>
      </w:r>
      <w:r w:rsidR="006445C0" w:rsidRPr="00D33A17">
        <w:t xml:space="preserve"> </w:t>
      </w:r>
    </w:p>
    <w:p w:rsidR="00F073E4" w:rsidRPr="00D33A17" w:rsidRDefault="00F073E4" w:rsidP="00F073E4">
      <w:pPr>
        <w:pStyle w:val="Heading2"/>
        <w:rPr>
          <w:i w:val="0"/>
        </w:rPr>
      </w:pPr>
      <w:bookmarkStart w:id="11" w:name="_Toc413139278"/>
      <w:bookmarkStart w:id="12" w:name="_Toc492999813"/>
      <w:r w:rsidRPr="00D33A17">
        <w:rPr>
          <w:i w:val="0"/>
        </w:rPr>
        <w:t>Comparative effectiveness</w:t>
      </w:r>
      <w:bookmarkEnd w:id="11"/>
      <w:bookmarkEnd w:id="12"/>
      <w:r w:rsidRPr="00D33A17">
        <w:rPr>
          <w:i w:val="0"/>
        </w:rPr>
        <w:t xml:space="preserve"> </w:t>
      </w:r>
    </w:p>
    <w:p w:rsidR="00F073E4" w:rsidRPr="00D33A17" w:rsidRDefault="00F073E4" w:rsidP="002471D4">
      <w:pPr>
        <w:pStyle w:val="ListParagraph"/>
        <w:numPr>
          <w:ilvl w:val="1"/>
          <w:numId w:val="4"/>
        </w:numPr>
        <w:spacing w:before="0" w:after="120"/>
        <w:jc w:val="both"/>
      </w:pPr>
      <w:r w:rsidRPr="00D33A17">
        <w:t>The submission presented data based on the full analysis set (FAS), which included patients who received treatment</w:t>
      </w:r>
      <w:r w:rsidR="009B2650" w:rsidRPr="00D33A17">
        <w:t xml:space="preserve"> with bezlotoxumab </w:t>
      </w:r>
      <w:r w:rsidR="00F00DED" w:rsidRPr="00D33A17">
        <w:t xml:space="preserve">+ SoC </w:t>
      </w:r>
      <w:r w:rsidR="009B2650" w:rsidRPr="00D33A17">
        <w:t>or placebo</w:t>
      </w:r>
      <w:r w:rsidR="00F00DED" w:rsidRPr="00D33A17">
        <w:t xml:space="preserve"> + SoC</w:t>
      </w:r>
      <w:r w:rsidRPr="00D33A17">
        <w:t xml:space="preserve">, with a positive </w:t>
      </w:r>
      <w:r w:rsidRPr="00F951DA">
        <w:rPr>
          <w:i/>
          <w:iCs/>
        </w:rPr>
        <w:t>C.</w:t>
      </w:r>
      <w:r w:rsidR="00F00DED" w:rsidRPr="00F951DA">
        <w:rPr>
          <w:i/>
          <w:iCs/>
        </w:rPr>
        <w:t xml:space="preserve"> </w:t>
      </w:r>
      <w:r w:rsidRPr="00F951DA">
        <w:rPr>
          <w:i/>
          <w:iCs/>
        </w:rPr>
        <w:t>difficile</w:t>
      </w:r>
      <w:r w:rsidRPr="00D33A17">
        <w:t xml:space="preserve"> stool test and received SoC antibiotics before or within 1 day after receiving the trial treatment</w:t>
      </w:r>
      <w:r w:rsidR="000661CF">
        <w:t xml:space="preserve">. </w:t>
      </w:r>
      <w:r w:rsidR="006445C0" w:rsidRPr="00D33A17">
        <w:rPr>
          <w:iCs/>
        </w:rPr>
        <w:t xml:space="preserve">Although an intention to treat </w:t>
      </w:r>
      <w:r w:rsidR="00B646AA" w:rsidRPr="00D33A17">
        <w:rPr>
          <w:iCs/>
        </w:rPr>
        <w:t xml:space="preserve">analysis would be </w:t>
      </w:r>
      <w:r w:rsidR="006445C0" w:rsidRPr="00D33A17">
        <w:rPr>
          <w:iCs/>
        </w:rPr>
        <w:t xml:space="preserve">preferred, </w:t>
      </w:r>
      <w:r w:rsidR="003670E8" w:rsidRPr="00D33A17">
        <w:rPr>
          <w:iCs/>
        </w:rPr>
        <w:t xml:space="preserve">since </w:t>
      </w:r>
      <w:r w:rsidR="00B646AA" w:rsidRPr="00D33A17">
        <w:rPr>
          <w:iCs/>
        </w:rPr>
        <w:t xml:space="preserve">only </w:t>
      </w:r>
      <w:r w:rsidR="00155DD9" w:rsidRPr="00D33A17">
        <w:rPr>
          <w:iCs/>
        </w:rPr>
        <w:t xml:space="preserve">a small proportion of </w:t>
      </w:r>
      <w:r w:rsidR="00B646AA" w:rsidRPr="00D33A17">
        <w:rPr>
          <w:iCs/>
        </w:rPr>
        <w:t xml:space="preserve">randomised </w:t>
      </w:r>
      <w:r w:rsidR="00155DD9" w:rsidRPr="00D33A17">
        <w:rPr>
          <w:iCs/>
        </w:rPr>
        <w:t>patients were exc</w:t>
      </w:r>
      <w:r w:rsidR="0088318F" w:rsidRPr="00D33A17">
        <w:rPr>
          <w:iCs/>
        </w:rPr>
        <w:t xml:space="preserve">luded </w:t>
      </w:r>
      <w:r w:rsidR="00B646AA" w:rsidRPr="00D33A17">
        <w:rPr>
          <w:iCs/>
        </w:rPr>
        <w:t xml:space="preserve">from </w:t>
      </w:r>
      <w:r w:rsidR="003670E8" w:rsidRPr="00D33A17">
        <w:rPr>
          <w:iCs/>
        </w:rPr>
        <w:t xml:space="preserve">the FAS </w:t>
      </w:r>
      <w:r w:rsidR="00B646AA" w:rsidRPr="00D33A17">
        <w:rPr>
          <w:iCs/>
        </w:rPr>
        <w:t xml:space="preserve">(3.6%) </w:t>
      </w:r>
      <w:r w:rsidR="003670E8" w:rsidRPr="00D33A17">
        <w:rPr>
          <w:iCs/>
        </w:rPr>
        <w:t xml:space="preserve">and the proportions were even between the </w:t>
      </w:r>
      <w:r w:rsidR="005F68A9" w:rsidRPr="00D33A17">
        <w:rPr>
          <w:iCs/>
        </w:rPr>
        <w:t>bezlotoxumab and placebo</w:t>
      </w:r>
      <w:r w:rsidR="003670E8" w:rsidRPr="00D33A17">
        <w:rPr>
          <w:iCs/>
        </w:rPr>
        <w:t xml:space="preserve"> groups, this was unlikely to significantly bias the results.</w:t>
      </w:r>
    </w:p>
    <w:p w:rsidR="00D52BA8" w:rsidRPr="00EC6271" w:rsidRDefault="00BE506C" w:rsidP="002471D4">
      <w:pPr>
        <w:pStyle w:val="ListParagraph"/>
        <w:numPr>
          <w:ilvl w:val="1"/>
          <w:numId w:val="4"/>
        </w:numPr>
        <w:spacing w:before="0" w:after="120"/>
        <w:jc w:val="both"/>
      </w:pPr>
      <w:r w:rsidRPr="00D33A17">
        <w:t>The primary outcome in MODIFY I and MODIFY II was CDI recurrence at 12 weeks</w:t>
      </w:r>
      <w:r w:rsidR="000661CF">
        <w:t xml:space="preserve">. </w:t>
      </w:r>
      <w:r w:rsidRPr="00D33A17">
        <w:t xml:space="preserve">CDI recurrence was defined as developing a new episode of CDI, after clinical cure was achieved (clinical cure was defined as no diarrhoea for 2 consecutive days after completion of SoC antibiotic therapy administered for </w:t>
      </w:r>
      <w:r w:rsidRPr="00D33A17">
        <w:sym w:font="Symbol" w:char="F0A3"/>
      </w:r>
      <w:r w:rsidRPr="00D33A17">
        <w:t>16 days)</w:t>
      </w:r>
      <w:r w:rsidR="000661CF">
        <w:t xml:space="preserve">. </w:t>
      </w:r>
      <w:r w:rsidRPr="00D33A17">
        <w:t>A secondary outcome, global cure, was defined as clinical cure plus no CDI recurrence</w:t>
      </w:r>
      <w:r w:rsidR="000661CF">
        <w:t xml:space="preserve">. </w:t>
      </w:r>
      <w:r w:rsidRPr="00D33A17">
        <w:t xml:space="preserve">The results of MODIFY I and MODIFY II are presented in Table </w:t>
      </w:r>
      <w:r w:rsidR="00133251" w:rsidRPr="00D33A17">
        <w:t>4</w:t>
      </w:r>
      <w:r w:rsidR="000661CF">
        <w:t xml:space="preserve">. </w:t>
      </w:r>
    </w:p>
    <w:p w:rsidR="00F073E4" w:rsidRPr="00D33A17" w:rsidRDefault="00F073E4" w:rsidP="00F073E4">
      <w:pPr>
        <w:spacing w:before="0" w:after="0"/>
        <w:rPr>
          <w:rFonts w:ascii="Arial Narrow" w:hAnsi="Arial Narrow"/>
          <w:b/>
          <w:sz w:val="20"/>
          <w:szCs w:val="20"/>
        </w:rPr>
      </w:pPr>
      <w:r w:rsidRPr="00D33A17">
        <w:rPr>
          <w:rFonts w:ascii="Arial Narrow" w:hAnsi="Arial Narrow"/>
          <w:b/>
          <w:sz w:val="20"/>
          <w:szCs w:val="20"/>
        </w:rPr>
        <w:t xml:space="preserve">Table </w:t>
      </w:r>
      <w:r w:rsidR="00133251" w:rsidRPr="00D33A17">
        <w:rPr>
          <w:rFonts w:ascii="Arial Narrow" w:hAnsi="Arial Narrow"/>
          <w:b/>
          <w:sz w:val="20"/>
          <w:szCs w:val="20"/>
        </w:rPr>
        <w:t>4</w:t>
      </w:r>
      <w:r w:rsidRPr="00D33A17">
        <w:rPr>
          <w:rFonts w:ascii="Arial Narrow" w:hAnsi="Arial Narrow"/>
          <w:b/>
          <w:sz w:val="20"/>
          <w:szCs w:val="20"/>
        </w:rPr>
        <w:t>: CDI Recurrence and Global cure rates at 12 weeks in MODIFY I and MODIFY II FAS</w:t>
      </w:r>
    </w:p>
    <w:tbl>
      <w:tblPr>
        <w:tblStyle w:val="TableGrid"/>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CDI Recurrence and Global cure rates at 12 weeks in MODIFY I and MODIFY II FAS"/>
      </w:tblPr>
      <w:tblGrid>
        <w:gridCol w:w="1843"/>
        <w:gridCol w:w="1807"/>
        <w:gridCol w:w="1807"/>
        <w:gridCol w:w="1807"/>
        <w:gridCol w:w="1808"/>
      </w:tblGrid>
      <w:tr w:rsidR="00F073E4" w:rsidRPr="00D33A17" w:rsidTr="006F0AAB">
        <w:trPr>
          <w:cnfStyle w:val="100000000000" w:firstRow="1" w:lastRow="0" w:firstColumn="0" w:lastColumn="0" w:oddVBand="0" w:evenVBand="0" w:oddHBand="0" w:evenHBand="0" w:firstRowFirstColumn="0" w:firstRowLastColumn="0" w:lastRowFirstColumn="0" w:lastRowLastColumn="0"/>
          <w:tblHeader/>
        </w:trPr>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Bezlotoxumab</w:t>
            </w:r>
          </w:p>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n/N (%)</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Placebo</w:t>
            </w:r>
          </w:p>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n/N (%)</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Adjusted % Risk Difference^ (95% CI)</w:t>
            </w:r>
          </w:p>
        </w:tc>
        <w:tc>
          <w:tcPr>
            <w:tcW w:w="1808"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Relative risk*</w:t>
            </w:r>
          </w:p>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(95% CI)</w:t>
            </w:r>
          </w:p>
        </w:tc>
      </w:tr>
      <w:tr w:rsidR="00F073E4" w:rsidRPr="00D33A17" w:rsidTr="00FF79DC">
        <w:tc>
          <w:tcPr>
            <w:tcW w:w="9072" w:type="dxa"/>
            <w:gridSpan w:val="5"/>
            <w:shd w:val="clear" w:color="auto" w:fill="BFBFBF" w:themeFill="background1" w:themeFillShade="BF"/>
          </w:tcPr>
          <w:p w:rsidR="00F073E4" w:rsidRPr="00D33A17" w:rsidRDefault="00F073E4" w:rsidP="00D52BA8">
            <w:pPr>
              <w:keepNext/>
              <w:spacing w:before="0"/>
              <w:rPr>
                <w:rFonts w:ascii="Arial Narrow" w:hAnsi="Arial Narrow"/>
                <w:b/>
                <w:bCs/>
                <w:sz w:val="20"/>
                <w:szCs w:val="20"/>
                <w:lang w:val="en-AU"/>
              </w:rPr>
            </w:pPr>
            <w:r w:rsidRPr="00D33A17">
              <w:rPr>
                <w:rFonts w:ascii="Arial Narrow" w:hAnsi="Arial Narrow"/>
                <w:b/>
                <w:bCs/>
                <w:sz w:val="20"/>
                <w:szCs w:val="20"/>
                <w:lang w:val="en-AU"/>
              </w:rPr>
              <w:t>1: CDI Recurrence at 12 weeks</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MODIFY I</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67/386 (17.4)</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109/395 (27.6)</w:t>
            </w:r>
          </w:p>
        </w:tc>
        <w:tc>
          <w:tcPr>
            <w:tcW w:w="1807" w:type="dxa"/>
            <w:shd w:val="clear" w:color="auto" w:fill="auto"/>
          </w:tcPr>
          <w:p w:rsidR="00F073E4" w:rsidRPr="00D33A17" w:rsidRDefault="00F073E4" w:rsidP="00D52BA8">
            <w:pPr>
              <w:keepNext/>
              <w:spacing w:before="0"/>
              <w:jc w:val="center"/>
              <w:rPr>
                <w:rFonts w:ascii="Arial Narrow" w:hAnsi="Arial Narrow"/>
                <w:b/>
                <w:bCs/>
                <w:sz w:val="20"/>
                <w:szCs w:val="20"/>
                <w:lang w:val="en-AU"/>
              </w:rPr>
            </w:pPr>
            <w:r w:rsidRPr="00D33A17">
              <w:rPr>
                <w:rFonts w:ascii="Arial Narrow" w:hAnsi="Arial Narrow"/>
                <w:b/>
                <w:bCs/>
                <w:sz w:val="20"/>
                <w:szCs w:val="20"/>
                <w:lang w:val="en-AU"/>
              </w:rPr>
              <w:t>-10.1% (-15.9, -4.3)</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0.63</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(0.48, 0.82)</w:t>
            </w:r>
            <w:r w:rsidR="008607EB" w:rsidRPr="008607EB">
              <w:rPr>
                <w:rFonts w:ascii="Arial Narrow" w:hAnsi="Arial Narrow"/>
                <w:b/>
                <w:bCs/>
                <w:iCs/>
                <w:sz w:val="20"/>
                <w:szCs w:val="20"/>
                <w:vertAlign w:val="superscript"/>
                <w:lang w:val="en-AU"/>
              </w:rPr>
              <w:t>$</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MODIFY II</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62/395 (15.7)</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97/378 (25.7)</w:t>
            </w:r>
          </w:p>
        </w:tc>
        <w:tc>
          <w:tcPr>
            <w:tcW w:w="1807" w:type="dxa"/>
            <w:shd w:val="clear" w:color="auto" w:fill="auto"/>
          </w:tcPr>
          <w:p w:rsidR="00F073E4" w:rsidRPr="00D33A17" w:rsidRDefault="00F073E4" w:rsidP="00D52BA8">
            <w:pPr>
              <w:keepNext/>
              <w:spacing w:before="0"/>
              <w:jc w:val="center"/>
              <w:rPr>
                <w:rFonts w:ascii="Arial Narrow" w:hAnsi="Arial Narrow"/>
                <w:b/>
                <w:bCs/>
                <w:sz w:val="20"/>
                <w:szCs w:val="20"/>
                <w:lang w:val="en-AU"/>
              </w:rPr>
            </w:pPr>
            <w:r w:rsidRPr="00D33A17">
              <w:rPr>
                <w:rFonts w:ascii="Arial Narrow" w:hAnsi="Arial Narrow"/>
                <w:b/>
                <w:bCs/>
                <w:sz w:val="20"/>
                <w:szCs w:val="20"/>
                <w:lang w:val="en-AU"/>
              </w:rPr>
              <w:t>-9.9% (-15.5, -4.3)</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0.61</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(0.46, 0.81)</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vertAlign w:val="superscript"/>
                <w:lang w:val="en-AU"/>
              </w:rPr>
            </w:pPr>
            <w:r w:rsidRPr="00D33A17">
              <w:rPr>
                <w:rFonts w:ascii="Arial Narrow" w:hAnsi="Arial Narrow"/>
                <w:sz w:val="20"/>
                <w:szCs w:val="20"/>
                <w:lang w:val="en-AU"/>
              </w:rPr>
              <w:t>Total</w:t>
            </w:r>
            <w:r w:rsidR="00F00DED" w:rsidRPr="00D33A17">
              <w:rPr>
                <w:rFonts w:ascii="Arial Narrow" w:hAnsi="Arial Narrow"/>
                <w:sz w:val="20"/>
                <w:szCs w:val="20"/>
                <w:vertAlign w:val="superscript"/>
                <w:lang w:val="en-AU"/>
              </w:rPr>
              <w:t>#</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129/781 (16.5)</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206/773 (26.6)</w:t>
            </w:r>
          </w:p>
        </w:tc>
        <w:tc>
          <w:tcPr>
            <w:tcW w:w="1807" w:type="dxa"/>
            <w:shd w:val="clear" w:color="auto" w:fill="auto"/>
          </w:tcPr>
          <w:p w:rsidR="00F073E4" w:rsidRPr="00D33A17" w:rsidRDefault="00F073E4" w:rsidP="00D52BA8">
            <w:pPr>
              <w:keepNext/>
              <w:spacing w:before="0"/>
              <w:jc w:val="center"/>
              <w:rPr>
                <w:rFonts w:ascii="Arial Narrow" w:hAnsi="Arial Narrow"/>
                <w:b/>
                <w:bCs/>
                <w:sz w:val="20"/>
                <w:szCs w:val="20"/>
                <w:lang w:val="en-AU"/>
              </w:rPr>
            </w:pPr>
            <w:r w:rsidRPr="00D33A17">
              <w:rPr>
                <w:rFonts w:ascii="Arial Narrow" w:hAnsi="Arial Narrow"/>
                <w:b/>
                <w:bCs/>
                <w:sz w:val="20"/>
                <w:szCs w:val="20"/>
                <w:lang w:val="en-AU"/>
              </w:rPr>
              <w:t>-10.0% (-14.0, -6.0)</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0.62</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(0.51, 0.75)</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9072" w:type="dxa"/>
            <w:gridSpan w:val="5"/>
            <w:shd w:val="clear" w:color="auto" w:fill="FFFFFF" w:themeFill="background1"/>
          </w:tcPr>
          <w:p w:rsidR="00F073E4" w:rsidRPr="00D33A17" w:rsidRDefault="00F073E4" w:rsidP="00D52BA8">
            <w:pPr>
              <w:keepNext/>
              <w:spacing w:before="0"/>
              <w:rPr>
                <w:rFonts w:ascii="Arial Narrow" w:hAnsi="Arial Narrow"/>
                <w:b/>
                <w:bCs/>
                <w:iCs/>
                <w:sz w:val="20"/>
                <w:szCs w:val="20"/>
                <w:lang w:val="en-AU"/>
              </w:rPr>
            </w:pPr>
            <w:r w:rsidRPr="00D33A17">
              <w:rPr>
                <w:rFonts w:ascii="Arial Narrow" w:hAnsi="Arial Narrow"/>
                <w:b/>
                <w:bCs/>
                <w:sz w:val="20"/>
                <w:szCs w:val="20"/>
                <w:lang w:val="en-AU"/>
              </w:rPr>
              <w:t>Subgroup results: CDI Recurrence amongst patients who attained clinical cure of initial episode at 12 weeks</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MODIFY I</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67/299 (22.4)</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109/327 (33.3)</w:t>
            </w:r>
          </w:p>
        </w:tc>
        <w:tc>
          <w:tcPr>
            <w:tcW w:w="1807"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-10.8% (-17.7, -3.8)</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0.67</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(0.52, 0.87)</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MODIFY II</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62/326 (19.0)</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97/294 (33.0)</w:t>
            </w:r>
          </w:p>
        </w:tc>
        <w:tc>
          <w:tcPr>
            <w:tcW w:w="1807"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-13.7% (-20.4, -6.9)</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0.58</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(0.44,0.76)</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Total</w:t>
            </w:r>
            <w:r w:rsidR="00F00DED" w:rsidRPr="00D33A17">
              <w:rPr>
                <w:rFonts w:ascii="Arial Narrow" w:hAnsi="Arial Narrow"/>
                <w:sz w:val="20"/>
                <w:szCs w:val="20"/>
                <w:vertAlign w:val="superscript"/>
                <w:lang w:val="en-AU"/>
              </w:rPr>
              <w:t>#</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129/625 (20.6)</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206/621 (33.2)</w:t>
            </w:r>
          </w:p>
        </w:tc>
        <w:tc>
          <w:tcPr>
            <w:tcW w:w="1807"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-12.2% (-17.1, -7.4)</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0.62</w:t>
            </w:r>
            <w:r w:rsidR="00D36BA8" w:rsidRPr="008607EB">
              <w:rPr>
                <w:rFonts w:ascii="Arial Narrow" w:hAnsi="Arial Narrow"/>
                <w:b/>
                <w:bCs/>
                <w:iCs/>
                <w:sz w:val="20"/>
                <w:szCs w:val="20"/>
                <w:vertAlign w:val="superscript"/>
                <w:lang w:val="en-AU"/>
              </w:rPr>
              <w:t>$</w:t>
            </w:r>
            <w:r w:rsidR="00D36BA8" w:rsidRPr="00D33A17">
              <w:rPr>
                <w:rFonts w:ascii="Arial Narrow" w:hAnsi="Arial Narrow"/>
                <w:b/>
                <w:bCs/>
                <w:iCs/>
                <w:sz w:val="20"/>
                <w:szCs w:val="20"/>
                <w:lang w:val="en-AU"/>
              </w:rPr>
              <w:t xml:space="preserve"> </w:t>
            </w:r>
            <w:r w:rsidRPr="00D33A17">
              <w:rPr>
                <w:rFonts w:ascii="Arial Narrow" w:hAnsi="Arial Narrow"/>
                <w:b/>
                <w:bCs/>
                <w:iCs/>
                <w:sz w:val="20"/>
                <w:szCs w:val="20"/>
                <w:lang w:val="en-AU"/>
              </w:rPr>
              <w:t>(0.51, 0.75)</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9072" w:type="dxa"/>
            <w:gridSpan w:val="5"/>
            <w:shd w:val="clear" w:color="auto" w:fill="BFBFBF" w:themeFill="background1" w:themeFillShade="BF"/>
          </w:tcPr>
          <w:p w:rsidR="00F073E4" w:rsidRPr="00D33A17" w:rsidRDefault="00F073E4" w:rsidP="00D52BA8">
            <w:pPr>
              <w:keepNext/>
              <w:spacing w:before="0"/>
              <w:rPr>
                <w:rFonts w:ascii="Arial Narrow" w:hAnsi="Arial Narrow"/>
                <w:b/>
                <w:bCs/>
                <w:iCs/>
                <w:sz w:val="20"/>
                <w:szCs w:val="20"/>
                <w:lang w:val="en-AU"/>
              </w:rPr>
            </w:pPr>
            <w:r w:rsidRPr="00D33A17">
              <w:rPr>
                <w:rFonts w:ascii="Arial Narrow" w:hAnsi="Arial Narrow"/>
                <w:b/>
                <w:bCs/>
                <w:sz w:val="20"/>
                <w:szCs w:val="20"/>
                <w:lang w:val="en-AU"/>
              </w:rPr>
              <w:t>2: Clinical cure of initial episode at 12 weeks</w:t>
            </w:r>
          </w:p>
        </w:tc>
      </w:tr>
      <w:tr w:rsidR="00F073E4" w:rsidRPr="00D33A17" w:rsidTr="00FF79DC">
        <w:tc>
          <w:tcPr>
            <w:tcW w:w="1843" w:type="dxa"/>
            <w:shd w:val="clear" w:color="auto" w:fill="auto"/>
            <w:vAlign w:val="center"/>
          </w:tcPr>
          <w:p w:rsidR="00F073E4" w:rsidRPr="00D33A17" w:rsidRDefault="00F073E4" w:rsidP="00D52BA8">
            <w:pPr>
              <w:keepNext/>
              <w:spacing w:before="0"/>
              <w:rPr>
                <w:rFonts w:ascii="Arial Narrow" w:hAnsi="Arial Narrow"/>
                <w:iCs/>
                <w:sz w:val="20"/>
                <w:szCs w:val="20"/>
                <w:lang w:val="en-AU"/>
              </w:rPr>
            </w:pPr>
            <w:r w:rsidRPr="00D33A17">
              <w:rPr>
                <w:rFonts w:ascii="Arial Narrow" w:hAnsi="Arial Narrow"/>
                <w:iCs/>
                <w:sz w:val="20"/>
                <w:szCs w:val="20"/>
                <w:lang w:val="en-AU"/>
              </w:rPr>
              <w:t>MODIFY I</w:t>
            </w:r>
          </w:p>
        </w:tc>
        <w:tc>
          <w:tcPr>
            <w:tcW w:w="1807" w:type="dxa"/>
            <w:shd w:val="clear" w:color="auto" w:fill="auto"/>
            <w:vAlign w:val="center"/>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299/386 (77.5)</w:t>
            </w:r>
          </w:p>
        </w:tc>
        <w:tc>
          <w:tcPr>
            <w:tcW w:w="1807" w:type="dxa"/>
            <w:shd w:val="clear" w:color="auto" w:fill="auto"/>
            <w:vAlign w:val="center"/>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327/395 (82.8)</w:t>
            </w:r>
          </w:p>
        </w:tc>
        <w:tc>
          <w:tcPr>
            <w:tcW w:w="1807" w:type="dxa"/>
            <w:shd w:val="clear" w:color="auto" w:fill="auto"/>
            <w:vAlign w:val="center"/>
          </w:tcPr>
          <w:p w:rsidR="00F073E4" w:rsidRPr="00D33A17" w:rsidRDefault="00F073E4" w:rsidP="00D52BA8">
            <w:pPr>
              <w:keepNext/>
              <w:spacing w:before="0"/>
              <w:jc w:val="center"/>
              <w:rPr>
                <w:rFonts w:ascii="Arial Narrow" w:hAnsi="Arial Narrow"/>
                <w:bCs/>
                <w:iCs/>
                <w:sz w:val="20"/>
                <w:szCs w:val="20"/>
                <w:lang w:val="en-AU"/>
              </w:rPr>
            </w:pPr>
            <w:r w:rsidRPr="00D33A17">
              <w:rPr>
                <w:rFonts w:ascii="Arial Narrow" w:hAnsi="Arial Narrow"/>
                <w:bCs/>
                <w:iCs/>
                <w:sz w:val="20"/>
                <w:szCs w:val="20"/>
                <w:lang w:val="en-AU"/>
              </w:rPr>
              <w:t>-5.3% (10.9, 0.3)</w:t>
            </w:r>
          </w:p>
        </w:tc>
        <w:tc>
          <w:tcPr>
            <w:tcW w:w="1808" w:type="dxa"/>
            <w:shd w:val="clear" w:color="auto" w:fill="auto"/>
            <w:vAlign w:val="center"/>
          </w:tcPr>
          <w:p w:rsidR="00F073E4" w:rsidRPr="00D33A17" w:rsidRDefault="00F073E4" w:rsidP="00D52BA8">
            <w:pPr>
              <w:keepNext/>
              <w:spacing w:before="0"/>
              <w:jc w:val="center"/>
              <w:rPr>
                <w:rFonts w:ascii="Arial Narrow" w:hAnsi="Arial Narrow"/>
                <w:bCs/>
                <w:iCs/>
                <w:sz w:val="20"/>
                <w:szCs w:val="20"/>
                <w:lang w:val="en-AU"/>
              </w:rPr>
            </w:pPr>
            <w:r w:rsidRPr="00D33A17">
              <w:rPr>
                <w:rFonts w:ascii="Arial Narrow" w:hAnsi="Arial Narrow"/>
                <w:bCs/>
                <w:iCs/>
                <w:sz w:val="20"/>
                <w:szCs w:val="20"/>
                <w:lang w:val="en-AU"/>
              </w:rPr>
              <w:t>0.94</w:t>
            </w:r>
            <w:r w:rsidR="00D36BA8" w:rsidRPr="008607EB">
              <w:rPr>
                <w:rFonts w:ascii="Arial Narrow" w:hAnsi="Arial Narrow"/>
                <w:b/>
                <w:bCs/>
                <w:iCs/>
                <w:sz w:val="20"/>
                <w:szCs w:val="20"/>
                <w:vertAlign w:val="superscript"/>
                <w:lang w:val="en-AU"/>
              </w:rPr>
              <w:t>$</w:t>
            </w:r>
            <w:r w:rsidRPr="00D33A17">
              <w:rPr>
                <w:rFonts w:ascii="Arial Narrow" w:hAnsi="Arial Narrow"/>
                <w:bCs/>
                <w:iCs/>
                <w:sz w:val="20"/>
                <w:szCs w:val="20"/>
                <w:lang w:val="en-AU"/>
              </w:rPr>
              <w:t xml:space="preserve"> (0.87, 1.00)</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vAlign w:val="center"/>
          </w:tcPr>
          <w:p w:rsidR="00F073E4" w:rsidRPr="00D33A17" w:rsidRDefault="00F073E4" w:rsidP="00D52BA8">
            <w:pPr>
              <w:keepNext/>
              <w:spacing w:before="0"/>
              <w:rPr>
                <w:rFonts w:ascii="Arial Narrow" w:hAnsi="Arial Narrow"/>
                <w:iCs/>
                <w:sz w:val="20"/>
                <w:szCs w:val="20"/>
                <w:lang w:val="en-AU"/>
              </w:rPr>
            </w:pPr>
            <w:r w:rsidRPr="00D33A17">
              <w:rPr>
                <w:rFonts w:ascii="Arial Narrow" w:hAnsi="Arial Narrow"/>
                <w:iCs/>
                <w:sz w:val="20"/>
                <w:szCs w:val="20"/>
                <w:lang w:val="en-AU"/>
              </w:rPr>
              <w:t>MODIFY II</w:t>
            </w:r>
          </w:p>
        </w:tc>
        <w:tc>
          <w:tcPr>
            <w:tcW w:w="1807" w:type="dxa"/>
            <w:shd w:val="clear" w:color="auto" w:fill="auto"/>
            <w:vAlign w:val="center"/>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326/395 (82.5)</w:t>
            </w:r>
          </w:p>
        </w:tc>
        <w:tc>
          <w:tcPr>
            <w:tcW w:w="1807" w:type="dxa"/>
            <w:shd w:val="clear" w:color="auto" w:fill="auto"/>
            <w:vAlign w:val="center"/>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294/378 (77.8)</w:t>
            </w:r>
          </w:p>
        </w:tc>
        <w:tc>
          <w:tcPr>
            <w:tcW w:w="1807" w:type="dxa"/>
            <w:shd w:val="clear" w:color="auto" w:fill="auto"/>
            <w:vAlign w:val="center"/>
          </w:tcPr>
          <w:p w:rsidR="00F073E4" w:rsidRPr="00D33A17" w:rsidRDefault="00F073E4" w:rsidP="00D52BA8">
            <w:pPr>
              <w:keepNext/>
              <w:spacing w:before="0"/>
              <w:jc w:val="center"/>
              <w:rPr>
                <w:rFonts w:ascii="Arial Narrow" w:hAnsi="Arial Narrow"/>
                <w:bCs/>
                <w:iCs/>
                <w:sz w:val="20"/>
                <w:szCs w:val="20"/>
                <w:lang w:val="en-AU"/>
              </w:rPr>
            </w:pPr>
            <w:r w:rsidRPr="00D33A17">
              <w:rPr>
                <w:rFonts w:ascii="Arial Narrow" w:hAnsi="Arial Narrow"/>
                <w:bCs/>
                <w:iCs/>
                <w:sz w:val="20"/>
                <w:szCs w:val="20"/>
                <w:lang w:val="en-AU"/>
              </w:rPr>
              <w:t>4.8% (-0.9, 10.4)</w:t>
            </w:r>
          </w:p>
        </w:tc>
        <w:tc>
          <w:tcPr>
            <w:tcW w:w="1808" w:type="dxa"/>
            <w:shd w:val="clear" w:color="auto" w:fill="auto"/>
            <w:vAlign w:val="center"/>
          </w:tcPr>
          <w:p w:rsidR="00F073E4" w:rsidRPr="00D33A17" w:rsidRDefault="00F073E4" w:rsidP="00D52BA8">
            <w:pPr>
              <w:keepNext/>
              <w:spacing w:before="0"/>
              <w:jc w:val="center"/>
              <w:rPr>
                <w:rFonts w:ascii="Arial Narrow" w:hAnsi="Arial Narrow"/>
                <w:bCs/>
                <w:iCs/>
                <w:sz w:val="20"/>
                <w:szCs w:val="20"/>
                <w:lang w:val="en-AU"/>
              </w:rPr>
            </w:pPr>
            <w:r w:rsidRPr="00D33A17">
              <w:rPr>
                <w:rFonts w:ascii="Arial Narrow" w:hAnsi="Arial Narrow"/>
                <w:bCs/>
                <w:iCs/>
                <w:sz w:val="20"/>
                <w:szCs w:val="20"/>
                <w:lang w:val="en-AU"/>
              </w:rPr>
              <w:t>1.06</w:t>
            </w:r>
            <w:r w:rsidR="00D36BA8" w:rsidRPr="008607EB">
              <w:rPr>
                <w:rFonts w:ascii="Arial Narrow" w:hAnsi="Arial Narrow"/>
                <w:b/>
                <w:bCs/>
                <w:iCs/>
                <w:sz w:val="20"/>
                <w:szCs w:val="20"/>
                <w:vertAlign w:val="superscript"/>
                <w:lang w:val="en-AU"/>
              </w:rPr>
              <w:t>$</w:t>
            </w:r>
            <w:r w:rsidRPr="00D33A17">
              <w:rPr>
                <w:rFonts w:ascii="Arial Narrow" w:hAnsi="Arial Narrow"/>
                <w:bCs/>
                <w:iCs/>
                <w:sz w:val="20"/>
                <w:szCs w:val="20"/>
                <w:lang w:val="en-AU"/>
              </w:rPr>
              <w:t xml:space="preserve"> (0.99, 1.14)</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vAlign w:val="center"/>
          </w:tcPr>
          <w:p w:rsidR="00F073E4" w:rsidRPr="00D33A17" w:rsidRDefault="00F073E4" w:rsidP="00D52BA8">
            <w:pPr>
              <w:keepNext/>
              <w:spacing w:before="0"/>
              <w:rPr>
                <w:rFonts w:ascii="Arial Narrow" w:hAnsi="Arial Narrow"/>
                <w:iCs/>
                <w:sz w:val="20"/>
                <w:szCs w:val="20"/>
                <w:lang w:val="en-AU"/>
              </w:rPr>
            </w:pPr>
            <w:r w:rsidRPr="00D33A17">
              <w:rPr>
                <w:rFonts w:ascii="Arial Narrow" w:hAnsi="Arial Narrow"/>
                <w:iCs/>
                <w:sz w:val="20"/>
                <w:szCs w:val="20"/>
                <w:lang w:val="en-AU"/>
              </w:rPr>
              <w:t>Total</w:t>
            </w:r>
            <w:r w:rsidR="00F00DED" w:rsidRPr="00D33A17">
              <w:rPr>
                <w:rFonts w:ascii="Arial Narrow" w:hAnsi="Arial Narrow"/>
                <w:sz w:val="20"/>
                <w:szCs w:val="20"/>
                <w:vertAlign w:val="superscript"/>
                <w:lang w:val="en-AU"/>
              </w:rPr>
              <w:t>#</w:t>
            </w:r>
          </w:p>
        </w:tc>
        <w:tc>
          <w:tcPr>
            <w:tcW w:w="1807" w:type="dxa"/>
            <w:shd w:val="clear" w:color="auto" w:fill="auto"/>
            <w:vAlign w:val="center"/>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625/781 (80.0)</w:t>
            </w:r>
          </w:p>
        </w:tc>
        <w:tc>
          <w:tcPr>
            <w:tcW w:w="1807" w:type="dxa"/>
            <w:shd w:val="clear" w:color="auto" w:fill="auto"/>
            <w:vAlign w:val="center"/>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621/773 (80.3)</w:t>
            </w:r>
          </w:p>
        </w:tc>
        <w:tc>
          <w:tcPr>
            <w:tcW w:w="1807" w:type="dxa"/>
            <w:shd w:val="clear" w:color="auto" w:fill="auto"/>
            <w:vAlign w:val="center"/>
          </w:tcPr>
          <w:p w:rsidR="00F073E4" w:rsidRPr="00D33A17" w:rsidRDefault="00F073E4" w:rsidP="00D52BA8">
            <w:pPr>
              <w:keepNext/>
              <w:spacing w:before="0"/>
              <w:jc w:val="center"/>
              <w:rPr>
                <w:rFonts w:ascii="Arial Narrow" w:hAnsi="Arial Narrow"/>
                <w:bCs/>
                <w:iCs/>
                <w:sz w:val="20"/>
                <w:szCs w:val="20"/>
                <w:lang w:val="en-AU"/>
              </w:rPr>
            </w:pPr>
            <w:r w:rsidRPr="00D33A17">
              <w:rPr>
                <w:rFonts w:ascii="Arial Narrow" w:hAnsi="Arial Narrow"/>
                <w:bCs/>
                <w:iCs/>
                <w:sz w:val="20"/>
                <w:szCs w:val="20"/>
                <w:lang w:val="en-AU"/>
              </w:rPr>
              <w:t>-0.3% (-4.3, 3.7)</w:t>
            </w:r>
          </w:p>
        </w:tc>
        <w:tc>
          <w:tcPr>
            <w:tcW w:w="1808" w:type="dxa"/>
            <w:shd w:val="clear" w:color="auto" w:fill="auto"/>
            <w:vAlign w:val="center"/>
          </w:tcPr>
          <w:p w:rsidR="00F073E4" w:rsidRPr="00D33A17" w:rsidRDefault="00F073E4" w:rsidP="00D52BA8">
            <w:pPr>
              <w:keepNext/>
              <w:spacing w:before="0"/>
              <w:jc w:val="center"/>
              <w:rPr>
                <w:rFonts w:ascii="Arial Narrow" w:hAnsi="Arial Narrow"/>
                <w:bCs/>
                <w:iCs/>
                <w:sz w:val="20"/>
                <w:szCs w:val="20"/>
                <w:lang w:val="en-AU"/>
              </w:rPr>
            </w:pPr>
            <w:r w:rsidRPr="00D33A17">
              <w:rPr>
                <w:rFonts w:ascii="Arial Narrow" w:hAnsi="Arial Narrow"/>
                <w:bCs/>
                <w:iCs/>
                <w:sz w:val="20"/>
                <w:szCs w:val="20"/>
                <w:lang w:val="en-AU"/>
              </w:rPr>
              <w:t>1.00</w:t>
            </w:r>
            <w:r w:rsidR="00D36BA8" w:rsidRPr="008607EB">
              <w:rPr>
                <w:rFonts w:ascii="Arial Narrow" w:hAnsi="Arial Narrow"/>
                <w:b/>
                <w:bCs/>
                <w:iCs/>
                <w:sz w:val="20"/>
                <w:szCs w:val="20"/>
                <w:vertAlign w:val="superscript"/>
                <w:lang w:val="en-AU"/>
              </w:rPr>
              <w:t>$</w:t>
            </w:r>
            <w:r w:rsidRPr="00D33A17">
              <w:rPr>
                <w:rFonts w:ascii="Arial Narrow" w:hAnsi="Arial Narrow"/>
                <w:bCs/>
                <w:iCs/>
                <w:sz w:val="20"/>
                <w:szCs w:val="20"/>
                <w:lang w:val="en-AU"/>
              </w:rPr>
              <w:t xml:space="preserve"> (0.95, 1.05)</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9072" w:type="dxa"/>
            <w:gridSpan w:val="5"/>
            <w:shd w:val="clear" w:color="auto" w:fill="BFBFBF" w:themeFill="background1" w:themeFillShade="BF"/>
          </w:tcPr>
          <w:p w:rsidR="00F073E4" w:rsidRPr="00D33A17" w:rsidRDefault="00F073E4" w:rsidP="00D52BA8">
            <w:pPr>
              <w:keepNext/>
              <w:spacing w:before="0"/>
              <w:rPr>
                <w:rFonts w:ascii="Arial Narrow" w:hAnsi="Arial Narrow"/>
                <w:b/>
                <w:bCs/>
                <w:sz w:val="20"/>
                <w:szCs w:val="20"/>
                <w:lang w:val="en-AU"/>
              </w:rPr>
            </w:pPr>
            <w:r w:rsidRPr="00D33A17">
              <w:rPr>
                <w:rFonts w:ascii="Arial Narrow" w:hAnsi="Arial Narrow"/>
                <w:b/>
                <w:bCs/>
                <w:sz w:val="20"/>
                <w:szCs w:val="20"/>
                <w:lang w:val="en-AU"/>
              </w:rPr>
              <w:t>3: Global cure at 12 weeks (Clinical cure of initial episode and no CDI recurrence)</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MODIFY I</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232/386 (60.1)</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218/395 (55.2)</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4.9% (-2.1, 11.7)</w:t>
            </w:r>
          </w:p>
        </w:tc>
        <w:tc>
          <w:tcPr>
            <w:tcW w:w="1808" w:type="dxa"/>
            <w:shd w:val="clear" w:color="auto" w:fill="auto"/>
          </w:tcPr>
          <w:p w:rsidR="00F073E4" w:rsidRPr="00D33A17" w:rsidRDefault="00F073E4" w:rsidP="00D52BA8">
            <w:pPr>
              <w:keepNext/>
              <w:spacing w:before="0"/>
              <w:jc w:val="center"/>
              <w:rPr>
                <w:rFonts w:ascii="Arial Narrow" w:hAnsi="Arial Narrow"/>
                <w:iCs/>
                <w:sz w:val="20"/>
                <w:szCs w:val="20"/>
                <w:lang w:val="en-AU"/>
              </w:rPr>
            </w:pPr>
            <w:r w:rsidRPr="00D33A17">
              <w:rPr>
                <w:rFonts w:ascii="Arial Narrow" w:hAnsi="Arial Narrow"/>
                <w:iCs/>
                <w:sz w:val="20"/>
                <w:szCs w:val="20"/>
                <w:lang w:val="en-AU"/>
              </w:rPr>
              <w:t>1.09</w:t>
            </w:r>
            <w:r w:rsidR="00D36BA8" w:rsidRPr="008607EB">
              <w:rPr>
                <w:rFonts w:ascii="Arial Narrow" w:hAnsi="Arial Narrow"/>
                <w:b/>
                <w:bCs/>
                <w:iCs/>
                <w:sz w:val="20"/>
                <w:szCs w:val="20"/>
                <w:vertAlign w:val="superscript"/>
                <w:lang w:val="en-AU"/>
              </w:rPr>
              <w:t>$</w:t>
            </w:r>
            <w:r w:rsidRPr="00D33A17">
              <w:rPr>
                <w:rFonts w:ascii="Arial Narrow" w:hAnsi="Arial Narrow"/>
                <w:iCs/>
                <w:sz w:val="20"/>
                <w:szCs w:val="20"/>
                <w:lang w:val="en-AU"/>
              </w:rPr>
              <w:t xml:space="preserve"> (0.97, 1.23)</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MODIFY II</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264/395 (66.8)</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197/378 (52.1)</w:t>
            </w:r>
          </w:p>
        </w:tc>
        <w:tc>
          <w:tcPr>
            <w:tcW w:w="1807" w:type="dxa"/>
            <w:shd w:val="clear" w:color="auto" w:fill="auto"/>
          </w:tcPr>
          <w:p w:rsidR="00F073E4" w:rsidRPr="00D33A17" w:rsidRDefault="00F073E4" w:rsidP="00D52BA8">
            <w:pPr>
              <w:keepNext/>
              <w:spacing w:before="0"/>
              <w:jc w:val="center"/>
              <w:rPr>
                <w:rFonts w:ascii="Arial Narrow" w:hAnsi="Arial Narrow"/>
                <w:b/>
                <w:bCs/>
                <w:sz w:val="20"/>
                <w:szCs w:val="20"/>
                <w:lang w:val="en-AU"/>
              </w:rPr>
            </w:pPr>
            <w:r w:rsidRPr="00D33A17">
              <w:rPr>
                <w:rFonts w:ascii="Arial Narrow" w:hAnsi="Arial Narrow"/>
                <w:b/>
                <w:bCs/>
                <w:sz w:val="20"/>
                <w:szCs w:val="20"/>
                <w:lang w:val="en-AU"/>
              </w:rPr>
              <w:t>14.6% (7.7, 21.4)</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1.28</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(1.14, 1.45)</w:t>
            </w:r>
            <w:r w:rsidR="008607EB" w:rsidRPr="008607EB">
              <w:rPr>
                <w:rFonts w:ascii="Arial Narrow" w:hAnsi="Arial Narrow"/>
                <w:b/>
                <w:bCs/>
                <w:iCs/>
                <w:sz w:val="20"/>
                <w:szCs w:val="20"/>
                <w:vertAlign w:val="superscript"/>
                <w:lang w:val="en-AU"/>
              </w:rPr>
              <w:t xml:space="preserve"> $</w:t>
            </w:r>
          </w:p>
        </w:tc>
      </w:tr>
      <w:tr w:rsidR="00F073E4" w:rsidRPr="00D33A17" w:rsidTr="00FF79DC">
        <w:tc>
          <w:tcPr>
            <w:tcW w:w="1843" w:type="dxa"/>
            <w:shd w:val="clear" w:color="auto" w:fill="auto"/>
          </w:tcPr>
          <w:p w:rsidR="00F073E4" w:rsidRPr="00D33A17" w:rsidRDefault="00F073E4" w:rsidP="00D52BA8">
            <w:pPr>
              <w:keepNext/>
              <w:spacing w:before="0"/>
              <w:rPr>
                <w:rFonts w:ascii="Arial Narrow" w:hAnsi="Arial Narrow"/>
                <w:sz w:val="20"/>
                <w:szCs w:val="20"/>
                <w:lang w:val="en-AU"/>
              </w:rPr>
            </w:pPr>
            <w:r w:rsidRPr="00D33A17">
              <w:rPr>
                <w:rFonts w:ascii="Arial Narrow" w:hAnsi="Arial Narrow"/>
                <w:sz w:val="20"/>
                <w:szCs w:val="20"/>
                <w:lang w:val="en-AU"/>
              </w:rPr>
              <w:t>Total</w:t>
            </w:r>
            <w:r w:rsidR="00F00DED" w:rsidRPr="00D33A17">
              <w:rPr>
                <w:rFonts w:ascii="Arial Narrow" w:hAnsi="Arial Narrow"/>
                <w:sz w:val="20"/>
                <w:szCs w:val="20"/>
                <w:vertAlign w:val="superscript"/>
                <w:lang w:val="en-AU"/>
              </w:rPr>
              <w:t>#</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496/781 (63.5)</w:t>
            </w:r>
          </w:p>
        </w:tc>
        <w:tc>
          <w:tcPr>
            <w:tcW w:w="1807" w:type="dxa"/>
            <w:shd w:val="clear" w:color="auto" w:fill="auto"/>
          </w:tcPr>
          <w:p w:rsidR="00F073E4" w:rsidRPr="00D33A17" w:rsidRDefault="00F073E4" w:rsidP="00D52BA8">
            <w:pPr>
              <w:keepNext/>
              <w:spacing w:before="0"/>
              <w:jc w:val="center"/>
              <w:rPr>
                <w:rFonts w:ascii="Arial Narrow" w:hAnsi="Arial Narrow"/>
                <w:sz w:val="20"/>
                <w:szCs w:val="20"/>
                <w:lang w:val="en-AU"/>
              </w:rPr>
            </w:pPr>
            <w:r w:rsidRPr="00D33A17">
              <w:rPr>
                <w:rFonts w:ascii="Arial Narrow" w:hAnsi="Arial Narrow"/>
                <w:sz w:val="20"/>
                <w:szCs w:val="20"/>
                <w:lang w:val="en-AU"/>
              </w:rPr>
              <w:t>415/773 (53.7)</w:t>
            </w:r>
          </w:p>
        </w:tc>
        <w:tc>
          <w:tcPr>
            <w:tcW w:w="1807" w:type="dxa"/>
            <w:shd w:val="clear" w:color="auto" w:fill="auto"/>
          </w:tcPr>
          <w:p w:rsidR="00F073E4" w:rsidRPr="00D33A17" w:rsidRDefault="00F073E4" w:rsidP="00D52BA8">
            <w:pPr>
              <w:keepNext/>
              <w:spacing w:before="0"/>
              <w:jc w:val="center"/>
              <w:rPr>
                <w:rFonts w:ascii="Arial Narrow" w:hAnsi="Arial Narrow"/>
                <w:b/>
                <w:bCs/>
                <w:sz w:val="20"/>
                <w:szCs w:val="20"/>
                <w:lang w:val="en-AU"/>
              </w:rPr>
            </w:pPr>
            <w:r w:rsidRPr="00D33A17">
              <w:rPr>
                <w:rFonts w:ascii="Arial Narrow" w:hAnsi="Arial Narrow"/>
                <w:b/>
                <w:bCs/>
                <w:sz w:val="20"/>
                <w:szCs w:val="20"/>
                <w:lang w:val="en-AU"/>
              </w:rPr>
              <w:t>9.7 (4.8, 14.5)</w:t>
            </w:r>
          </w:p>
        </w:tc>
        <w:tc>
          <w:tcPr>
            <w:tcW w:w="1808" w:type="dxa"/>
            <w:shd w:val="clear" w:color="auto" w:fill="auto"/>
          </w:tcPr>
          <w:p w:rsidR="00F073E4" w:rsidRPr="00D33A17" w:rsidRDefault="00F073E4" w:rsidP="00D52BA8">
            <w:pPr>
              <w:keepNext/>
              <w:spacing w:before="0"/>
              <w:jc w:val="center"/>
              <w:rPr>
                <w:rFonts w:ascii="Arial Narrow" w:hAnsi="Arial Narrow"/>
                <w:b/>
                <w:bCs/>
                <w:iCs/>
                <w:sz w:val="20"/>
                <w:szCs w:val="20"/>
                <w:lang w:val="en-AU"/>
              </w:rPr>
            </w:pPr>
            <w:r w:rsidRPr="00D33A17">
              <w:rPr>
                <w:rFonts w:ascii="Arial Narrow" w:hAnsi="Arial Narrow"/>
                <w:b/>
                <w:bCs/>
                <w:iCs/>
                <w:sz w:val="20"/>
                <w:szCs w:val="20"/>
                <w:lang w:val="en-AU"/>
              </w:rPr>
              <w:t>1.18</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(1.09, 1.29)</w:t>
            </w:r>
            <w:r w:rsidR="008607EB" w:rsidRPr="008607EB">
              <w:rPr>
                <w:rFonts w:ascii="Arial Narrow" w:hAnsi="Arial Narrow"/>
                <w:b/>
                <w:bCs/>
                <w:iCs/>
                <w:sz w:val="20"/>
                <w:szCs w:val="20"/>
                <w:vertAlign w:val="superscript"/>
                <w:lang w:val="en-AU"/>
              </w:rPr>
              <w:t xml:space="preserve"> $</w:t>
            </w:r>
          </w:p>
        </w:tc>
      </w:tr>
    </w:tbl>
    <w:p w:rsidR="00F00DED" w:rsidRPr="00D33A17" w:rsidRDefault="00F00DED" w:rsidP="00F00DED">
      <w:pPr>
        <w:spacing w:before="0" w:after="0"/>
        <w:jc w:val="both"/>
        <w:rPr>
          <w:rFonts w:ascii="Arial Narrow" w:hAnsi="Arial Narrow"/>
          <w:sz w:val="18"/>
          <w:szCs w:val="20"/>
        </w:rPr>
      </w:pPr>
      <w:r w:rsidRPr="00D33A17">
        <w:rPr>
          <w:rFonts w:ascii="Arial Narrow" w:hAnsi="Arial Narrow"/>
          <w:sz w:val="20"/>
          <w:szCs w:val="20"/>
          <w:vertAlign w:val="superscript"/>
        </w:rPr>
        <w:t>#</w:t>
      </w:r>
      <w:r w:rsidRPr="00D33A17">
        <w:rPr>
          <w:rFonts w:ascii="Arial Narrow" w:hAnsi="Arial Narrow"/>
          <w:sz w:val="20"/>
          <w:szCs w:val="20"/>
        </w:rPr>
        <w:tab/>
      </w:r>
      <w:r w:rsidRPr="001339EB">
        <w:rPr>
          <w:rFonts w:ascii="Arial Narrow" w:hAnsi="Arial Narrow"/>
          <w:sz w:val="18"/>
          <w:szCs w:val="20"/>
        </w:rPr>
        <w:t xml:space="preserve">pooled results of MODIFY I and MODIFY II </w:t>
      </w:r>
    </w:p>
    <w:p w:rsidR="00F073E4" w:rsidRPr="00D33A17" w:rsidRDefault="00F073E4" w:rsidP="00F073E4">
      <w:pPr>
        <w:spacing w:before="0" w:after="0"/>
        <w:jc w:val="both"/>
        <w:rPr>
          <w:rFonts w:ascii="Arial Narrow" w:hAnsi="Arial Narrow"/>
          <w:sz w:val="18"/>
          <w:szCs w:val="20"/>
        </w:rPr>
      </w:pPr>
      <w:r w:rsidRPr="00D33A17">
        <w:rPr>
          <w:rFonts w:ascii="Arial Narrow" w:hAnsi="Arial Narrow"/>
          <w:sz w:val="18"/>
          <w:szCs w:val="20"/>
        </w:rPr>
        <w:t>^</w:t>
      </w:r>
      <w:r w:rsidRPr="00D33A17">
        <w:rPr>
          <w:rFonts w:ascii="Arial Narrow" w:hAnsi="Arial Narrow"/>
          <w:sz w:val="18"/>
          <w:szCs w:val="20"/>
        </w:rPr>
        <w:tab/>
        <w:t>adjusted for stratification factors of hospitalisation status and standard of care therapy.</w:t>
      </w:r>
    </w:p>
    <w:p w:rsidR="00F073E4" w:rsidRPr="00D33A17" w:rsidRDefault="00F073E4" w:rsidP="00F073E4">
      <w:pPr>
        <w:spacing w:before="0" w:after="0"/>
        <w:jc w:val="both"/>
        <w:rPr>
          <w:rFonts w:ascii="Arial Narrow" w:hAnsi="Arial Narrow"/>
          <w:sz w:val="18"/>
          <w:szCs w:val="20"/>
        </w:rPr>
      </w:pPr>
      <w:r w:rsidRPr="000A2555">
        <w:rPr>
          <w:rFonts w:ascii="Arial Narrow" w:hAnsi="Arial Narrow"/>
          <w:sz w:val="18"/>
          <w:szCs w:val="20"/>
        </w:rPr>
        <w:t>*</w:t>
      </w:r>
      <w:r w:rsidRPr="000A2555">
        <w:rPr>
          <w:rFonts w:ascii="Arial Narrow" w:hAnsi="Arial Narrow"/>
          <w:sz w:val="18"/>
          <w:szCs w:val="20"/>
        </w:rPr>
        <w:tab/>
      </w:r>
      <w:r w:rsidR="008607EB" w:rsidRPr="00537EA9">
        <w:rPr>
          <w:rFonts w:ascii="Arial Narrow" w:hAnsi="Arial Narrow"/>
          <w:sz w:val="18"/>
          <w:szCs w:val="20"/>
          <w:vertAlign w:val="superscript"/>
        </w:rPr>
        <w:t>$</w:t>
      </w:r>
      <w:r w:rsidRPr="00537EA9">
        <w:rPr>
          <w:rFonts w:ascii="Arial Narrow" w:hAnsi="Arial Narrow"/>
          <w:sz w:val="18"/>
          <w:szCs w:val="20"/>
        </w:rPr>
        <w:t xml:space="preserve"> values calculated during evaluation using StatsDirect v2.7.8</w:t>
      </w:r>
      <w:r w:rsidRPr="00D33A17">
        <w:rPr>
          <w:rFonts w:ascii="Arial Narrow" w:hAnsi="Arial Narrow"/>
          <w:sz w:val="18"/>
          <w:szCs w:val="20"/>
        </w:rPr>
        <w:t xml:space="preserve"> (adjustment for stratification not able to be applied)</w:t>
      </w:r>
      <w:r w:rsidR="000661CF">
        <w:rPr>
          <w:rFonts w:ascii="Arial Narrow" w:hAnsi="Arial Narrow"/>
          <w:sz w:val="18"/>
          <w:szCs w:val="20"/>
        </w:rPr>
        <w:t xml:space="preserve">. </w:t>
      </w:r>
      <w:r w:rsidRPr="00D33A17">
        <w:rPr>
          <w:rFonts w:ascii="Arial Narrow" w:hAnsi="Arial Narrow"/>
          <w:sz w:val="18"/>
          <w:szCs w:val="20"/>
        </w:rPr>
        <w:t>Text in bold indicate statistically significant results.</w:t>
      </w:r>
    </w:p>
    <w:p w:rsidR="00F073E4" w:rsidRPr="00D33A17" w:rsidRDefault="00F073E4" w:rsidP="00F073E4">
      <w:pPr>
        <w:spacing w:before="0" w:after="0"/>
        <w:jc w:val="both"/>
        <w:rPr>
          <w:rFonts w:ascii="Arial Narrow" w:hAnsi="Arial Narrow"/>
          <w:sz w:val="18"/>
          <w:szCs w:val="20"/>
        </w:rPr>
      </w:pPr>
      <w:r w:rsidRPr="00D33A17">
        <w:rPr>
          <w:rFonts w:ascii="Arial Narrow" w:hAnsi="Arial Narrow"/>
          <w:sz w:val="18"/>
          <w:szCs w:val="20"/>
        </w:rPr>
        <w:t>Source: Table 11-1, p206 MODIFY I CSR, and table 11-1, Table 2.7.3-rcdi: 19, p87 and table 2.7.3-rcdi: 23, p97 CSR RCDI, Tables S5 to S8 of the supplementary Appendix to the published report (Wilcox et al 2017).</w:t>
      </w:r>
    </w:p>
    <w:p w:rsidR="00F073E4" w:rsidRPr="00D33A17" w:rsidRDefault="00F073E4" w:rsidP="00F073E4">
      <w:pPr>
        <w:spacing w:before="0" w:after="0"/>
        <w:ind w:left="720"/>
        <w:rPr>
          <w:rFonts w:ascii="Arial Narrow" w:hAnsi="Arial Narrow"/>
          <w:sz w:val="20"/>
          <w:szCs w:val="20"/>
        </w:rPr>
      </w:pPr>
    </w:p>
    <w:p w:rsidR="00F073E4" w:rsidRPr="00D33A17" w:rsidRDefault="00F073E4" w:rsidP="002471D4">
      <w:pPr>
        <w:pStyle w:val="ListParagraph"/>
        <w:numPr>
          <w:ilvl w:val="1"/>
          <w:numId w:val="4"/>
        </w:numPr>
        <w:spacing w:before="0" w:after="120"/>
        <w:jc w:val="both"/>
      </w:pPr>
      <w:r w:rsidRPr="00D33A17">
        <w:t>Overall, CDI recurrence at 12 weeks was statistically significantly lower in patients treated with a single dose bezlotoxumab than placebo in the MODIFY trials</w:t>
      </w:r>
      <w:r w:rsidR="000661CF">
        <w:t xml:space="preserve">. </w:t>
      </w:r>
      <w:r w:rsidRPr="00D33A17">
        <w:t>The pooled point estimate of the risk difference (RD) of -10.1% (95%CI: -14%, -6%) exceeded the submission’s nominated MCID of 8-9%</w:t>
      </w:r>
      <w:r w:rsidR="000661CF">
        <w:t xml:space="preserve">. </w:t>
      </w:r>
      <w:r w:rsidR="00A35F1D" w:rsidRPr="00D33A17">
        <w:t>However, t</w:t>
      </w:r>
      <w:r w:rsidR="005800A5" w:rsidRPr="00D33A17">
        <w:t>he upper 95% CI (</w:t>
      </w:r>
      <w:r w:rsidR="005800A5" w:rsidRPr="00D33A17">
        <w:noBreakHyphen/>
      </w:r>
      <w:r w:rsidRPr="00D33A17">
        <w:t>6.0%) did not meet this threshold</w:t>
      </w:r>
      <w:r w:rsidR="00A35F1D" w:rsidRPr="00D33A17">
        <w:t>.</w:t>
      </w:r>
      <w:r w:rsidR="00373A9B" w:rsidRPr="00D33A17">
        <w:t xml:space="preserve"> </w:t>
      </w:r>
    </w:p>
    <w:p w:rsidR="00373A9B" w:rsidRPr="00D33A17" w:rsidRDefault="00613A1F" w:rsidP="002471D4">
      <w:pPr>
        <w:pStyle w:val="ListParagraph"/>
        <w:numPr>
          <w:ilvl w:val="1"/>
          <w:numId w:val="4"/>
        </w:numPr>
        <w:spacing w:before="0" w:after="120"/>
        <w:jc w:val="both"/>
      </w:pPr>
      <w:r w:rsidRPr="00D33A17">
        <w:t>The magnitude of the difference between the treatment arms in terms of global cure (RD: 9.7% 95%CI: 4.8, 14.8) was smaller than the estimated difference in the primary outcome of CDI recurrence (</w:t>
      </w:r>
      <w:r w:rsidRPr="00D33A17">
        <w:noBreakHyphen/>
        <w:t xml:space="preserve">10.1%), and the lower 95%CI (4.8%) was also below the nominated MCID. </w:t>
      </w:r>
      <w:r w:rsidR="007E5ADA" w:rsidRPr="00D33A17">
        <w:t>Global cure</w:t>
      </w:r>
      <w:r w:rsidR="00373A9B" w:rsidRPr="00D33A17">
        <w:t xml:space="preserve"> </w:t>
      </w:r>
      <w:r w:rsidR="003E582E" w:rsidRPr="00D33A17">
        <w:t xml:space="preserve">was </w:t>
      </w:r>
      <w:r w:rsidR="00373A9B" w:rsidRPr="00D33A17">
        <w:t>statistically significantly higher in bezlotoxumab treated patients in the pooled analysis and in the MODIFY II trial versus placebo</w:t>
      </w:r>
      <w:r w:rsidR="00DB1CC7" w:rsidRPr="00D33A17">
        <w:t>.</w:t>
      </w:r>
      <w:r w:rsidR="00373A9B" w:rsidRPr="00D33A17">
        <w:t xml:space="preserve"> </w:t>
      </w:r>
      <w:r w:rsidR="00DB1CC7" w:rsidRPr="00D33A17">
        <w:t>T</w:t>
      </w:r>
      <w:r w:rsidR="00373A9B" w:rsidRPr="00D33A17">
        <w:t>he result for MODIFY I, though numerically higher than placebo did not reach statistical significance</w:t>
      </w:r>
      <w:r w:rsidR="000661CF">
        <w:t xml:space="preserve">. </w:t>
      </w:r>
      <w:r w:rsidR="00373A9B" w:rsidRPr="00D33A17">
        <w:t xml:space="preserve">The submission argued this was due to a lower than expected </w:t>
      </w:r>
      <w:r w:rsidR="00DB1CC7" w:rsidRPr="00D33A17">
        <w:t xml:space="preserve">proportion of patients achieving </w:t>
      </w:r>
      <w:r w:rsidR="00373A9B" w:rsidRPr="00D33A17">
        <w:t>clinical cure in the bezlotoxumab arm of the trial</w:t>
      </w:r>
      <w:r w:rsidR="00DB1CC7" w:rsidRPr="00D33A17">
        <w:t>.</w:t>
      </w:r>
      <w:r w:rsidR="00373A9B" w:rsidRPr="00D33A17">
        <w:t xml:space="preserve"> </w:t>
      </w:r>
      <w:r w:rsidR="00DB1CC7" w:rsidRPr="00D33A17">
        <w:t>H</w:t>
      </w:r>
      <w:r w:rsidR="003E582E" w:rsidRPr="00D33A17">
        <w:t>owever</w:t>
      </w:r>
      <w:r w:rsidR="00DB1CC7" w:rsidRPr="00D33A17">
        <w:t>,</w:t>
      </w:r>
      <w:r w:rsidR="003E582E" w:rsidRPr="00D33A17">
        <w:t xml:space="preserve"> as evident in Table 5</w:t>
      </w:r>
      <w:r w:rsidR="00373A9B" w:rsidRPr="00D33A17">
        <w:t xml:space="preserve">, there was no significant difference </w:t>
      </w:r>
      <w:r w:rsidRPr="00D33A17">
        <w:t xml:space="preserve">in the proportion of patients achieving clinical cure </w:t>
      </w:r>
      <w:r w:rsidR="00373A9B" w:rsidRPr="00D33A17">
        <w:t xml:space="preserve">between bezlotoxumab and placebo in any of </w:t>
      </w:r>
      <w:r w:rsidR="003E582E" w:rsidRPr="00D33A17">
        <w:t xml:space="preserve">the </w:t>
      </w:r>
      <w:r w:rsidR="00373A9B" w:rsidRPr="00D33A17">
        <w:t>trials</w:t>
      </w:r>
      <w:r w:rsidR="000661CF">
        <w:t xml:space="preserve">. </w:t>
      </w:r>
      <w:r w:rsidRPr="00D33A17">
        <w:t xml:space="preserve">While these results do not support the submission’s claim above, the proportion of patients achieving a </w:t>
      </w:r>
      <w:r w:rsidR="007E5ADA" w:rsidRPr="00D33A17">
        <w:t xml:space="preserve">clinical cure in the trial arms </w:t>
      </w:r>
      <w:r w:rsidR="00373A9B" w:rsidRPr="00D33A17">
        <w:t>affirm</w:t>
      </w:r>
      <w:r w:rsidRPr="00D33A17">
        <w:t>ed</w:t>
      </w:r>
      <w:r w:rsidR="00373A9B" w:rsidRPr="00D33A17">
        <w:t xml:space="preserve"> the claim that bezlotoxumab is not expected to change the course of disease (or rate of recovery) for the current episode of CDI infection</w:t>
      </w:r>
      <w:r w:rsidR="000661CF">
        <w:t xml:space="preserve">. </w:t>
      </w:r>
      <w:r w:rsidR="00373A9B" w:rsidRPr="00D33A17">
        <w:t xml:space="preserve"> </w:t>
      </w:r>
    </w:p>
    <w:p w:rsidR="00D52BA8" w:rsidRPr="00D33A17" w:rsidRDefault="00BE506C" w:rsidP="002471D4">
      <w:pPr>
        <w:pStyle w:val="ListParagraph"/>
        <w:numPr>
          <w:ilvl w:val="1"/>
          <w:numId w:val="4"/>
        </w:numPr>
        <w:spacing w:before="0" w:after="120"/>
        <w:jc w:val="both"/>
      </w:pPr>
      <w:r w:rsidRPr="00D33A17">
        <w:t>A number of predefined subgroup analyses were presented in the submission for the outcome of CDI recurrence for the combined MODIFY I and MODIFY II population</w:t>
      </w:r>
      <w:r w:rsidR="000661CF">
        <w:t xml:space="preserve">. </w:t>
      </w:r>
      <w:r w:rsidRPr="00D33A17">
        <w:t xml:space="preserve">These are summarised in Table </w:t>
      </w:r>
      <w:r w:rsidR="00EA1861" w:rsidRPr="00D33A17">
        <w:t>5</w:t>
      </w:r>
      <w:r w:rsidRPr="00D33A17">
        <w:t>.</w:t>
      </w:r>
    </w:p>
    <w:p w:rsidR="00900949" w:rsidRDefault="00900949">
      <w:pPr>
        <w:spacing w:before="0" w:line="259" w:lineRule="auto"/>
        <w:rPr>
          <w:rFonts w:ascii="Arial Narrow" w:hAnsi="Arial Narrow"/>
          <w:b/>
          <w:bCs/>
          <w:sz w:val="20"/>
          <w:szCs w:val="20"/>
        </w:rPr>
      </w:pPr>
      <w:r>
        <w:rPr>
          <w:rFonts w:ascii="Arial Narrow" w:hAnsi="Arial Narrow"/>
          <w:b/>
          <w:bCs/>
          <w:sz w:val="20"/>
          <w:szCs w:val="20"/>
        </w:rPr>
        <w:br w:type="page"/>
      </w:r>
    </w:p>
    <w:p w:rsidR="00C97258" w:rsidRPr="00D33A17" w:rsidRDefault="00C97258" w:rsidP="00244219">
      <w:pPr>
        <w:pStyle w:val="ListParagraph"/>
        <w:spacing w:before="0" w:after="0"/>
        <w:ind w:hanging="720"/>
        <w:jc w:val="both"/>
        <w:rPr>
          <w:rFonts w:ascii="Arial Narrow" w:hAnsi="Arial Narrow"/>
          <w:b/>
          <w:bCs/>
          <w:sz w:val="20"/>
          <w:szCs w:val="20"/>
        </w:rPr>
      </w:pPr>
      <w:r w:rsidRPr="00D33A17">
        <w:rPr>
          <w:rFonts w:ascii="Arial Narrow" w:hAnsi="Arial Narrow"/>
          <w:b/>
          <w:bCs/>
          <w:sz w:val="20"/>
          <w:szCs w:val="20"/>
        </w:rPr>
        <w:t>Table</w:t>
      </w:r>
      <w:r w:rsidR="00244219" w:rsidRPr="00D33A17">
        <w:rPr>
          <w:rFonts w:ascii="Arial Narrow" w:hAnsi="Arial Narrow"/>
          <w:b/>
          <w:bCs/>
          <w:sz w:val="20"/>
          <w:szCs w:val="20"/>
        </w:rPr>
        <w:t xml:space="preserve"> </w:t>
      </w:r>
      <w:r w:rsidR="00017D32" w:rsidRPr="00D33A17">
        <w:rPr>
          <w:rFonts w:ascii="Arial Narrow" w:hAnsi="Arial Narrow"/>
          <w:b/>
          <w:bCs/>
          <w:sz w:val="20"/>
          <w:szCs w:val="20"/>
        </w:rPr>
        <w:t>5</w:t>
      </w:r>
      <w:r w:rsidRPr="00D33A17">
        <w:rPr>
          <w:rFonts w:ascii="Arial Narrow" w:hAnsi="Arial Narrow"/>
          <w:b/>
          <w:bCs/>
          <w:sz w:val="20"/>
          <w:szCs w:val="20"/>
        </w:rPr>
        <w:t>: CDI recurrence in subpopulations: RISK Factors for CDI Recurrence (MODIFY I and II integrated)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CDI recurrence in subpopulations: RISK Factors for CDI Recurrence (MODIFY I and II integrated"/>
      </w:tblPr>
      <w:tblGrid>
        <w:gridCol w:w="2830"/>
        <w:gridCol w:w="1418"/>
        <w:gridCol w:w="1417"/>
        <w:gridCol w:w="1843"/>
        <w:gridCol w:w="1508"/>
      </w:tblGrid>
      <w:tr w:rsidR="00C97258" w:rsidRPr="00D33A17" w:rsidTr="006F0AAB">
        <w:trPr>
          <w:cnfStyle w:val="100000000000" w:firstRow="1" w:lastRow="0" w:firstColumn="0" w:lastColumn="0" w:oddVBand="0" w:evenVBand="0" w:oddHBand="0" w:evenHBand="0" w:firstRowFirstColumn="0" w:firstRowLastColumn="0" w:lastRowFirstColumn="0" w:lastRowLastColumn="0"/>
          <w:tblHeader/>
        </w:trPr>
        <w:tc>
          <w:tcPr>
            <w:tcW w:w="2830" w:type="dxa"/>
            <w:shd w:val="clear" w:color="auto" w:fill="auto"/>
          </w:tcPr>
          <w:p w:rsidR="00C97258" w:rsidRPr="00D33A17" w:rsidRDefault="00C97258" w:rsidP="00D87E2A">
            <w:pPr>
              <w:spacing w:before="0"/>
              <w:rPr>
                <w:rFonts w:ascii="Arial Narrow" w:hAnsi="Arial Narrow"/>
                <w:sz w:val="20"/>
                <w:szCs w:val="20"/>
                <w:lang w:val="en-AU"/>
              </w:rPr>
            </w:pPr>
            <w:r w:rsidRPr="00D33A17">
              <w:rPr>
                <w:rFonts w:ascii="Arial Narrow" w:hAnsi="Arial Narrow"/>
                <w:sz w:val="20"/>
                <w:szCs w:val="20"/>
                <w:lang w:val="en-AU"/>
              </w:rPr>
              <w:t>Population</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Bezlotoxumab</w:t>
            </w:r>
          </w:p>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n/N (%)</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Placebo</w:t>
            </w:r>
          </w:p>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n/N (%)</w:t>
            </w:r>
          </w:p>
        </w:tc>
        <w:tc>
          <w:tcPr>
            <w:tcW w:w="1843"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Risk difference</w:t>
            </w:r>
          </w:p>
          <w:p w:rsidR="00C97258" w:rsidRPr="00D33A17" w:rsidRDefault="00C97258" w:rsidP="00D87E2A">
            <w:pPr>
              <w:spacing w:before="0"/>
              <w:jc w:val="center"/>
              <w:rPr>
                <w:rFonts w:ascii="Arial Narrow" w:hAnsi="Arial Narrow"/>
                <w:sz w:val="20"/>
                <w:szCs w:val="20"/>
                <w:vertAlign w:val="superscript"/>
                <w:lang w:val="en-AU"/>
              </w:rPr>
            </w:pPr>
            <w:r w:rsidRPr="00D33A17">
              <w:rPr>
                <w:rFonts w:ascii="Arial Narrow" w:hAnsi="Arial Narrow"/>
                <w:sz w:val="20"/>
                <w:szCs w:val="20"/>
                <w:lang w:val="en-AU"/>
              </w:rPr>
              <w:t>(95% CI)</w:t>
            </w:r>
            <w:r w:rsidRPr="00D33A17">
              <w:rPr>
                <w:rFonts w:ascii="Arial Narrow" w:hAnsi="Arial Narrow"/>
                <w:sz w:val="20"/>
                <w:szCs w:val="20"/>
                <w:vertAlign w:val="superscript"/>
                <w:lang w:val="en-AU"/>
              </w:rPr>
              <w:t>1</w:t>
            </w:r>
          </w:p>
        </w:tc>
        <w:tc>
          <w:tcPr>
            <w:tcW w:w="150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Relative Risk</w:t>
            </w:r>
          </w:p>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(95% CI)</w:t>
            </w:r>
          </w:p>
        </w:tc>
      </w:tr>
      <w:tr w:rsidR="00C97258" w:rsidRPr="00D33A17" w:rsidTr="00D87E2A">
        <w:tc>
          <w:tcPr>
            <w:tcW w:w="2830" w:type="dxa"/>
            <w:shd w:val="clear" w:color="auto" w:fill="auto"/>
          </w:tcPr>
          <w:p w:rsidR="00C97258" w:rsidRPr="00D33A17" w:rsidRDefault="00C97258" w:rsidP="00D87E2A">
            <w:pPr>
              <w:spacing w:before="0"/>
              <w:rPr>
                <w:rFonts w:ascii="Arial Narrow" w:hAnsi="Arial Narrow"/>
                <w:sz w:val="20"/>
                <w:szCs w:val="20"/>
                <w:lang w:val="en-AU"/>
              </w:rPr>
            </w:pPr>
            <w:r w:rsidRPr="00D33A17">
              <w:rPr>
                <w:rFonts w:ascii="Arial Narrow" w:hAnsi="Arial Narrow"/>
                <w:sz w:val="20"/>
                <w:szCs w:val="20"/>
                <w:lang w:val="en-AU"/>
              </w:rPr>
              <w:t>All participant</w:t>
            </w:r>
            <w:r w:rsidR="005D1A1E" w:rsidRPr="00D33A17">
              <w:rPr>
                <w:rFonts w:ascii="Arial Narrow" w:hAnsi="Arial Narrow"/>
                <w:sz w:val="20"/>
                <w:szCs w:val="20"/>
                <w:lang w:val="en-AU"/>
              </w:rPr>
              <w:t>s</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129/781 (16.5)</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206/773 (26.6)</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-10.1%</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(-14.2, </w:t>
            </w:r>
            <w:r w:rsidR="000A2555">
              <w:rPr>
                <w:rFonts w:ascii="Arial Narrow" w:hAnsi="Arial Narrow"/>
                <w:b/>
                <w:bCs/>
                <w:iCs/>
                <w:sz w:val="20"/>
                <w:szCs w:val="20"/>
                <w:lang w:val="en-AU"/>
              </w:rPr>
              <w:t>-</w:t>
            </w:r>
            <w:r w:rsidRPr="00D33A17">
              <w:rPr>
                <w:rFonts w:ascii="Arial Narrow" w:hAnsi="Arial Narrow"/>
                <w:b/>
                <w:bCs/>
                <w:iCs/>
                <w:sz w:val="20"/>
                <w:szCs w:val="20"/>
                <w:lang w:val="en-AU"/>
              </w:rPr>
              <w:t>6.1)</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0.62</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(0.51,0.75)</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9016" w:type="dxa"/>
            <w:gridSpan w:val="5"/>
            <w:shd w:val="clear" w:color="auto" w:fill="auto"/>
            <w:vAlign w:val="center"/>
          </w:tcPr>
          <w:p w:rsidR="00C97258" w:rsidRPr="00D33A17" w:rsidRDefault="00C97258" w:rsidP="00D87E2A">
            <w:pPr>
              <w:spacing w:before="0"/>
              <w:rPr>
                <w:rFonts w:ascii="Arial Narrow" w:hAnsi="Arial Narrow"/>
                <w:b/>
                <w:bCs/>
                <w:sz w:val="20"/>
                <w:szCs w:val="20"/>
                <w:lang w:val="en-AU"/>
              </w:rPr>
            </w:pPr>
            <w:r w:rsidRPr="00D33A17">
              <w:rPr>
                <w:rFonts w:ascii="Arial Narrow" w:hAnsi="Arial Narrow"/>
                <w:b/>
                <w:bCs/>
                <w:sz w:val="20"/>
                <w:szCs w:val="20"/>
                <w:lang w:val="en-AU"/>
              </w:rPr>
              <w:t>Risk factors for recurrence</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 xml:space="preserve">Older than 65 years </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60/390 (15.4)</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127/405 (31.4)</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-16.0%</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(-21.7, -10.2)</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0.4</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9 (0.37,0.64)</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No CDI in past 6 months</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75/556 (13.5)</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114/545 (20.9)</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-7.4%</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(-11.9,-3.0)</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0.64</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(0.49, 0.84)</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≥1 CDI episode in past 6 months</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54/216 (25.0)</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90/219 (41.1)</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-16.1%</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(-24.7,-7.3)</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0.61</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(0.46, 0.80)</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≥2 previous CDI episodes ever</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29/100 (29.0)</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53/126 (42.1)</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-13.1%</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(-25.1,-0.4)</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0.69</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(0.47, 0.99)</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Immunocompromised</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26/178 (14.6)</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42/153 (27.5)</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-12.8%</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(-21.7,-4.1)</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0.53</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(0.34, 0.82)</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Severe CDI; Zar score &gt;=2</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13/122 (10.7)</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28/125 (22.4)</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-11.7%</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(-21.1,-2.5)</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0.48</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(0.26, 0.86)</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027, 078 or 244 strain</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22/102 (21.6)</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37/115 (32.2)</w:t>
            </w:r>
          </w:p>
        </w:tc>
        <w:tc>
          <w:tcPr>
            <w:tcW w:w="1843" w:type="dxa"/>
            <w:shd w:val="clear" w:color="auto" w:fill="auto"/>
            <w:vAlign w:val="center"/>
          </w:tcPr>
          <w:p w:rsidR="00C97258" w:rsidRPr="00D33A17" w:rsidRDefault="00C97258" w:rsidP="00D87E2A">
            <w:pPr>
              <w:spacing w:before="0"/>
              <w:jc w:val="center"/>
              <w:rPr>
                <w:rFonts w:ascii="Arial Narrow" w:hAnsi="Arial Narrow"/>
                <w:iCs/>
                <w:color w:val="000000"/>
                <w:sz w:val="20"/>
                <w:szCs w:val="20"/>
                <w:lang w:val="en-AU"/>
              </w:rPr>
            </w:pPr>
            <w:r w:rsidRPr="00D33A17">
              <w:rPr>
                <w:rFonts w:ascii="Arial Narrow" w:hAnsi="Arial Narrow"/>
                <w:iCs/>
                <w:color w:val="000000"/>
                <w:sz w:val="20"/>
                <w:szCs w:val="20"/>
                <w:lang w:val="en-AU"/>
              </w:rPr>
              <w:t>-10.6%</w:t>
            </w:r>
            <w:r w:rsidR="00D36BA8" w:rsidRPr="008607EB">
              <w:rPr>
                <w:rFonts w:ascii="Arial Narrow" w:hAnsi="Arial Narrow"/>
                <w:b/>
                <w:bCs/>
                <w:iCs/>
                <w:sz w:val="20"/>
                <w:szCs w:val="20"/>
                <w:vertAlign w:val="superscript"/>
                <w:lang w:val="en-AU"/>
              </w:rPr>
              <w:t>$</w:t>
            </w:r>
            <w:r w:rsidRPr="00D33A17">
              <w:rPr>
                <w:rFonts w:ascii="Arial Narrow" w:hAnsi="Arial Narrow"/>
                <w:iCs/>
                <w:color w:val="000000"/>
                <w:sz w:val="20"/>
                <w:szCs w:val="20"/>
                <w:lang w:val="en-AU"/>
              </w:rPr>
              <w:t xml:space="preserve"> (-22.1, 1.3)</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iCs/>
                <w:sz w:val="20"/>
                <w:szCs w:val="20"/>
                <w:lang w:val="en-AU"/>
              </w:rPr>
            </w:pPr>
            <w:r w:rsidRPr="00D33A17">
              <w:rPr>
                <w:rFonts w:ascii="Arial Narrow" w:hAnsi="Arial Narrow"/>
                <w:iCs/>
                <w:sz w:val="20"/>
                <w:szCs w:val="20"/>
                <w:lang w:val="en-AU"/>
              </w:rPr>
              <w:t>0.67</w:t>
            </w:r>
            <w:r w:rsidR="00D36BA8" w:rsidRPr="008607EB">
              <w:rPr>
                <w:rFonts w:ascii="Arial Narrow" w:hAnsi="Arial Narrow"/>
                <w:b/>
                <w:bCs/>
                <w:iCs/>
                <w:sz w:val="20"/>
                <w:szCs w:val="20"/>
                <w:vertAlign w:val="superscript"/>
                <w:lang w:val="en-AU"/>
              </w:rPr>
              <w:t>$</w:t>
            </w:r>
            <w:r w:rsidRPr="00D33A17">
              <w:rPr>
                <w:rFonts w:ascii="Arial Narrow" w:hAnsi="Arial Narrow"/>
                <w:iCs/>
                <w:sz w:val="20"/>
                <w:szCs w:val="20"/>
                <w:lang w:val="en-AU"/>
              </w:rPr>
              <w:t xml:space="preserve"> (0.42, 1.05)</w:t>
            </w:r>
            <w:r w:rsidR="00E047C8" w:rsidRPr="008607EB">
              <w:rPr>
                <w:rFonts w:ascii="Arial Narrow" w:hAnsi="Arial Narrow"/>
                <w:b/>
                <w:bCs/>
                <w:iCs/>
                <w:sz w:val="20"/>
                <w:szCs w:val="20"/>
                <w:vertAlign w:val="superscript"/>
                <w:lang w:val="en-AU"/>
              </w:rPr>
              <w:t xml:space="preserve"> $</w:t>
            </w:r>
          </w:p>
        </w:tc>
      </w:tr>
      <w:tr w:rsidR="00C97258" w:rsidRPr="00D33A17" w:rsidTr="00D87E2A">
        <w:trPr>
          <w:trHeight w:val="105"/>
        </w:trPr>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027 strain</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21/89 (23.6)</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34/100 (34.0)</w:t>
            </w:r>
          </w:p>
        </w:tc>
        <w:tc>
          <w:tcPr>
            <w:tcW w:w="1843" w:type="dxa"/>
            <w:shd w:val="clear" w:color="auto" w:fill="auto"/>
            <w:vAlign w:val="center"/>
          </w:tcPr>
          <w:p w:rsidR="00C97258" w:rsidRPr="00D33A17" w:rsidRDefault="00C97258" w:rsidP="00D87E2A">
            <w:pPr>
              <w:spacing w:before="0"/>
              <w:jc w:val="center"/>
              <w:rPr>
                <w:rFonts w:ascii="Arial Narrow" w:hAnsi="Arial Narrow"/>
                <w:iCs/>
                <w:color w:val="000000"/>
                <w:sz w:val="20"/>
                <w:szCs w:val="20"/>
                <w:lang w:val="en-AU"/>
              </w:rPr>
            </w:pPr>
            <w:r w:rsidRPr="00D33A17">
              <w:rPr>
                <w:rFonts w:ascii="Arial Narrow" w:hAnsi="Arial Narrow"/>
                <w:iCs/>
                <w:color w:val="000000"/>
                <w:sz w:val="20"/>
                <w:szCs w:val="20"/>
                <w:lang w:val="en-AU"/>
              </w:rPr>
              <w:t>-10.4%</w:t>
            </w:r>
            <w:r w:rsidR="00D36BA8" w:rsidRPr="008607EB">
              <w:rPr>
                <w:rFonts w:ascii="Arial Narrow" w:hAnsi="Arial Narrow"/>
                <w:b/>
                <w:bCs/>
                <w:iCs/>
                <w:sz w:val="20"/>
                <w:szCs w:val="20"/>
                <w:vertAlign w:val="superscript"/>
                <w:lang w:val="en-AU"/>
              </w:rPr>
              <w:t>$</w:t>
            </w:r>
            <w:r w:rsidRPr="00D33A17">
              <w:rPr>
                <w:rFonts w:ascii="Arial Narrow" w:hAnsi="Arial Narrow"/>
                <w:iCs/>
                <w:color w:val="000000"/>
                <w:sz w:val="20"/>
                <w:szCs w:val="20"/>
                <w:lang w:val="en-AU"/>
              </w:rPr>
              <w:t xml:space="preserve"> (-23.0,2.6)</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iCs/>
                <w:sz w:val="20"/>
                <w:szCs w:val="20"/>
                <w:lang w:val="en-AU"/>
              </w:rPr>
            </w:pPr>
            <w:r w:rsidRPr="00D33A17">
              <w:rPr>
                <w:rFonts w:ascii="Arial Narrow" w:hAnsi="Arial Narrow"/>
                <w:iCs/>
                <w:sz w:val="20"/>
                <w:szCs w:val="20"/>
                <w:lang w:val="en-AU"/>
              </w:rPr>
              <w:t>0.69</w:t>
            </w:r>
            <w:r w:rsidR="00D36BA8" w:rsidRPr="008607EB">
              <w:rPr>
                <w:rFonts w:ascii="Arial Narrow" w:hAnsi="Arial Narrow"/>
                <w:b/>
                <w:bCs/>
                <w:iCs/>
                <w:sz w:val="20"/>
                <w:szCs w:val="20"/>
                <w:vertAlign w:val="superscript"/>
                <w:lang w:val="en-AU"/>
              </w:rPr>
              <w:t>$</w:t>
            </w:r>
            <w:r w:rsidRPr="00D33A17">
              <w:rPr>
                <w:rFonts w:ascii="Arial Narrow" w:hAnsi="Arial Narrow"/>
                <w:iCs/>
                <w:sz w:val="20"/>
                <w:szCs w:val="20"/>
                <w:lang w:val="en-AU"/>
              </w:rPr>
              <w:t xml:space="preserve"> (0.44, 1.09)</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9016" w:type="dxa"/>
            <w:gridSpan w:val="5"/>
            <w:shd w:val="clear" w:color="auto" w:fill="auto"/>
            <w:vAlign w:val="center"/>
          </w:tcPr>
          <w:p w:rsidR="00C97258" w:rsidRPr="00D33A17" w:rsidRDefault="00C97258" w:rsidP="00D87E2A">
            <w:pPr>
              <w:spacing w:before="0"/>
              <w:rPr>
                <w:rFonts w:ascii="Arial Narrow" w:hAnsi="Arial Narrow"/>
                <w:b/>
                <w:bCs/>
                <w:sz w:val="20"/>
                <w:szCs w:val="20"/>
                <w:lang w:val="en-AU"/>
              </w:rPr>
            </w:pPr>
            <w:r w:rsidRPr="00D33A17">
              <w:rPr>
                <w:rFonts w:ascii="Arial Narrow" w:hAnsi="Arial Narrow"/>
                <w:b/>
                <w:bCs/>
                <w:sz w:val="20"/>
                <w:szCs w:val="20"/>
                <w:lang w:val="en-AU"/>
              </w:rPr>
              <w:t>Stratification variables</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Inpatient</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73/530 (13.8)</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120/520 (23.1)</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-9.3%</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(-14.0,-4.6)</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0.60</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(0.46, 0.78)</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Outpatient</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56/251 (22.3)</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86/253 (34.0)</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-11.7%</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(-19.4,-3.8)</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0.66</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(0.49, 0.87)</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Metronidazole</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56/379 (14.8)</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85/374 (22.7)</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-8.0%</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(-13.5,-2.4)</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0.65</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(0.48, 0.88)</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Vancomycin</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67/372 (18.0)</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114/373 (30.6)</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-12.6%</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(-18.6,-6.4)</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0.59</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(0.45, 0.77)</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Fid</w:t>
            </w:r>
            <w:r w:rsidR="00F6408A" w:rsidRPr="00D33A17">
              <w:rPr>
                <w:rFonts w:ascii="Arial Narrow" w:hAnsi="Arial Narrow"/>
                <w:sz w:val="20"/>
                <w:szCs w:val="20"/>
                <w:lang w:val="en-AU"/>
              </w:rPr>
              <w:t>ax</w:t>
            </w:r>
            <w:r w:rsidRPr="00D33A17">
              <w:rPr>
                <w:rFonts w:ascii="Arial Narrow" w:hAnsi="Arial Narrow"/>
                <w:sz w:val="20"/>
                <w:szCs w:val="20"/>
                <w:lang w:val="en-AU"/>
              </w:rPr>
              <w:t>omicin</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6/30 (20.0)</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7/26 (26.9)</w:t>
            </w:r>
          </w:p>
        </w:tc>
        <w:tc>
          <w:tcPr>
            <w:tcW w:w="1843" w:type="dxa"/>
            <w:shd w:val="clear" w:color="auto" w:fill="auto"/>
            <w:vAlign w:val="center"/>
          </w:tcPr>
          <w:p w:rsidR="00C97258" w:rsidRPr="00D33A17" w:rsidRDefault="00C97258" w:rsidP="00D87E2A">
            <w:pPr>
              <w:spacing w:before="0"/>
              <w:jc w:val="center"/>
              <w:rPr>
                <w:rFonts w:ascii="Arial Narrow" w:hAnsi="Arial Narrow"/>
                <w:iCs/>
                <w:color w:val="000000"/>
                <w:sz w:val="20"/>
                <w:szCs w:val="20"/>
                <w:lang w:val="en-AU"/>
              </w:rPr>
            </w:pPr>
            <w:r w:rsidRPr="00D33A17">
              <w:rPr>
                <w:rFonts w:ascii="Arial Narrow" w:hAnsi="Arial Narrow"/>
                <w:iCs/>
                <w:color w:val="000000"/>
                <w:sz w:val="20"/>
                <w:szCs w:val="20"/>
                <w:lang w:val="en-AU"/>
              </w:rPr>
              <w:t>-6.9%</w:t>
            </w:r>
            <w:r w:rsidR="00D36BA8" w:rsidRPr="008607EB">
              <w:rPr>
                <w:rFonts w:ascii="Arial Narrow" w:hAnsi="Arial Narrow"/>
                <w:b/>
                <w:bCs/>
                <w:iCs/>
                <w:sz w:val="20"/>
                <w:szCs w:val="20"/>
                <w:vertAlign w:val="superscript"/>
                <w:lang w:val="en-AU"/>
              </w:rPr>
              <w:t>$</w:t>
            </w:r>
            <w:r w:rsidRPr="00D33A17">
              <w:rPr>
                <w:rFonts w:ascii="Arial Narrow" w:hAnsi="Arial Narrow"/>
                <w:iCs/>
                <w:color w:val="000000"/>
                <w:sz w:val="20"/>
                <w:szCs w:val="20"/>
                <w:lang w:val="en-AU"/>
              </w:rPr>
              <w:t xml:space="preserve"> (-29.7,15.5)</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iCs/>
                <w:sz w:val="20"/>
                <w:szCs w:val="20"/>
                <w:lang w:val="en-AU"/>
              </w:rPr>
            </w:pPr>
            <w:r w:rsidRPr="00D33A17">
              <w:rPr>
                <w:rFonts w:ascii="Arial Narrow" w:hAnsi="Arial Narrow"/>
                <w:iCs/>
                <w:sz w:val="20"/>
                <w:szCs w:val="20"/>
                <w:lang w:val="en-AU"/>
              </w:rPr>
              <w:t>0.74</w:t>
            </w:r>
            <w:r w:rsidR="00D36BA8" w:rsidRPr="008607EB">
              <w:rPr>
                <w:rFonts w:ascii="Arial Narrow" w:hAnsi="Arial Narrow"/>
                <w:b/>
                <w:bCs/>
                <w:iCs/>
                <w:sz w:val="20"/>
                <w:szCs w:val="20"/>
                <w:vertAlign w:val="superscript"/>
                <w:lang w:val="en-AU"/>
              </w:rPr>
              <w:t>$</w:t>
            </w:r>
            <w:r w:rsidRPr="00D33A17">
              <w:rPr>
                <w:rFonts w:ascii="Arial Narrow" w:hAnsi="Arial Narrow"/>
                <w:iCs/>
                <w:sz w:val="20"/>
                <w:szCs w:val="20"/>
                <w:lang w:val="en-AU"/>
              </w:rPr>
              <w:t xml:space="preserve"> (0.29, 1.88)</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9016" w:type="dxa"/>
            <w:gridSpan w:val="5"/>
            <w:shd w:val="clear" w:color="auto" w:fill="auto"/>
            <w:vAlign w:val="center"/>
          </w:tcPr>
          <w:p w:rsidR="00C97258" w:rsidRPr="00D33A17" w:rsidRDefault="00C97258" w:rsidP="00D87E2A">
            <w:pPr>
              <w:spacing w:before="0"/>
              <w:rPr>
                <w:rFonts w:ascii="Arial Narrow" w:hAnsi="Arial Narrow"/>
                <w:b/>
                <w:bCs/>
                <w:sz w:val="20"/>
                <w:szCs w:val="20"/>
                <w:lang w:val="en-AU"/>
              </w:rPr>
            </w:pPr>
            <w:r w:rsidRPr="00D33A17">
              <w:rPr>
                <w:rFonts w:ascii="Arial Narrow" w:hAnsi="Arial Narrow"/>
                <w:b/>
                <w:bCs/>
                <w:sz w:val="20"/>
                <w:szCs w:val="20"/>
                <w:lang w:val="en-AU"/>
              </w:rPr>
              <w:t>Geographic region</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North America</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69/354 (19.5)</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106/366 (29.0)</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-9.5%</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(-15.7,-3.2)</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0.67</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(0.52, 0.88)</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Europe</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47/313 (15.0)</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71/293 (24.2)</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-9.2%</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(-15.6,-2.9)</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0.62</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(0.44, 0.86)</w:t>
            </w:r>
            <w:r w:rsidR="00E047C8" w:rsidRPr="008607EB">
              <w:rPr>
                <w:rFonts w:ascii="Arial Narrow" w:hAnsi="Arial Narrow"/>
                <w:b/>
                <w:bCs/>
                <w:iCs/>
                <w:sz w:val="20"/>
                <w:szCs w:val="20"/>
                <w:vertAlign w:val="superscript"/>
                <w:lang w:val="en-AU"/>
              </w:rPr>
              <w:t xml:space="preserve"> $</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Asia Pacific</w:t>
            </w:r>
          </w:p>
        </w:tc>
        <w:tc>
          <w:tcPr>
            <w:tcW w:w="1418"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11/79 (13.9)</w:t>
            </w:r>
          </w:p>
        </w:tc>
        <w:tc>
          <w:tcPr>
            <w:tcW w:w="1417" w:type="dxa"/>
            <w:shd w:val="clear" w:color="auto" w:fill="auto"/>
            <w:vAlign w:val="center"/>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21/77 (27.3)</w:t>
            </w:r>
          </w:p>
        </w:tc>
        <w:tc>
          <w:tcPr>
            <w:tcW w:w="1843" w:type="dxa"/>
            <w:shd w:val="clear" w:color="auto" w:fill="auto"/>
            <w:vAlign w:val="center"/>
          </w:tcPr>
          <w:p w:rsidR="00C97258" w:rsidRPr="00D33A17" w:rsidRDefault="00C97258" w:rsidP="00D87E2A">
            <w:pPr>
              <w:spacing w:before="0"/>
              <w:jc w:val="center"/>
              <w:rPr>
                <w:rFonts w:ascii="Arial Narrow" w:hAnsi="Arial Narrow"/>
                <w:b/>
                <w:bCs/>
                <w:iCs/>
                <w:color w:val="000000"/>
                <w:sz w:val="20"/>
                <w:szCs w:val="20"/>
                <w:lang w:val="en-AU"/>
              </w:rPr>
            </w:pPr>
            <w:r w:rsidRPr="00D33A17">
              <w:rPr>
                <w:rFonts w:ascii="Arial Narrow" w:hAnsi="Arial Narrow"/>
                <w:b/>
                <w:bCs/>
                <w:iCs/>
                <w:color w:val="000000"/>
                <w:sz w:val="20"/>
                <w:szCs w:val="20"/>
                <w:lang w:val="en-AU"/>
              </w:rPr>
              <w:t>-13.3%</w:t>
            </w:r>
            <w:r w:rsidR="00D36BA8" w:rsidRPr="008607EB">
              <w:rPr>
                <w:rFonts w:ascii="Arial Narrow" w:hAnsi="Arial Narrow"/>
                <w:b/>
                <w:bCs/>
                <w:iCs/>
                <w:sz w:val="20"/>
                <w:szCs w:val="20"/>
                <w:vertAlign w:val="superscript"/>
                <w:lang w:val="en-AU"/>
              </w:rPr>
              <w:t>$</w:t>
            </w:r>
            <w:r w:rsidRPr="00D33A17">
              <w:rPr>
                <w:rFonts w:ascii="Arial Narrow" w:hAnsi="Arial Narrow"/>
                <w:b/>
                <w:bCs/>
                <w:iCs/>
                <w:color w:val="000000"/>
                <w:sz w:val="20"/>
                <w:szCs w:val="20"/>
                <w:lang w:val="en-AU"/>
              </w:rPr>
              <w:t xml:space="preserve"> (-26.1,-0.6)</w:t>
            </w:r>
            <w:r w:rsidR="00E047C8" w:rsidRPr="008607EB">
              <w:rPr>
                <w:rFonts w:ascii="Arial Narrow" w:hAnsi="Arial Narrow"/>
                <w:b/>
                <w:bCs/>
                <w:iCs/>
                <w:sz w:val="20"/>
                <w:szCs w:val="20"/>
                <w:vertAlign w:val="superscript"/>
                <w:lang w:val="en-AU"/>
              </w:rPr>
              <w:t xml:space="preserve"> $</w:t>
            </w:r>
          </w:p>
        </w:tc>
        <w:tc>
          <w:tcPr>
            <w:tcW w:w="1508" w:type="dxa"/>
            <w:shd w:val="clear" w:color="auto" w:fill="auto"/>
            <w:vAlign w:val="center"/>
          </w:tcPr>
          <w:p w:rsidR="00C97258" w:rsidRPr="00D33A17" w:rsidRDefault="00C97258" w:rsidP="00D87E2A">
            <w:pPr>
              <w:spacing w:before="0"/>
              <w:jc w:val="center"/>
              <w:rPr>
                <w:rFonts w:ascii="Arial Narrow" w:hAnsi="Arial Narrow"/>
                <w:b/>
                <w:bCs/>
                <w:iCs/>
                <w:sz w:val="20"/>
                <w:szCs w:val="20"/>
                <w:lang w:val="en-AU"/>
              </w:rPr>
            </w:pPr>
            <w:r w:rsidRPr="00D33A17">
              <w:rPr>
                <w:rFonts w:ascii="Arial Narrow" w:hAnsi="Arial Narrow"/>
                <w:b/>
                <w:bCs/>
                <w:iCs/>
                <w:sz w:val="20"/>
                <w:szCs w:val="20"/>
                <w:lang w:val="en-AU"/>
              </w:rPr>
              <w:t>0.51</w:t>
            </w:r>
            <w:r w:rsidR="00D36BA8" w:rsidRPr="008607EB">
              <w:rPr>
                <w:rFonts w:ascii="Arial Narrow" w:hAnsi="Arial Narrow"/>
                <w:b/>
                <w:bCs/>
                <w:iCs/>
                <w:sz w:val="20"/>
                <w:szCs w:val="20"/>
                <w:vertAlign w:val="superscript"/>
                <w:lang w:val="en-AU"/>
              </w:rPr>
              <w:t>$</w:t>
            </w:r>
            <w:r w:rsidRPr="00D33A17">
              <w:rPr>
                <w:rFonts w:ascii="Arial Narrow" w:hAnsi="Arial Narrow"/>
                <w:b/>
                <w:bCs/>
                <w:iCs/>
                <w:sz w:val="20"/>
                <w:szCs w:val="20"/>
                <w:lang w:val="en-AU"/>
              </w:rPr>
              <w:t xml:space="preserve"> (0.27, 0.97</w:t>
            </w:r>
            <w:r w:rsidR="00E047C8" w:rsidRPr="008607EB">
              <w:rPr>
                <w:rFonts w:ascii="Arial Narrow" w:hAnsi="Arial Narrow"/>
                <w:b/>
                <w:bCs/>
                <w:iCs/>
                <w:sz w:val="20"/>
                <w:szCs w:val="20"/>
                <w:vertAlign w:val="superscript"/>
                <w:lang w:val="en-AU"/>
              </w:rPr>
              <w:t>$</w:t>
            </w:r>
          </w:p>
        </w:tc>
      </w:tr>
      <w:tr w:rsidR="00C97258" w:rsidRPr="00D33A17" w:rsidTr="00D87E2A">
        <w:tc>
          <w:tcPr>
            <w:tcW w:w="2830" w:type="dxa"/>
            <w:shd w:val="clear" w:color="auto" w:fill="auto"/>
          </w:tcPr>
          <w:p w:rsidR="00C97258" w:rsidRPr="00D33A17" w:rsidRDefault="00C97258" w:rsidP="00D87E2A">
            <w:pPr>
              <w:spacing w:before="0"/>
              <w:ind w:left="109"/>
              <w:rPr>
                <w:rFonts w:ascii="Arial Narrow" w:hAnsi="Arial Narrow"/>
                <w:sz w:val="20"/>
                <w:szCs w:val="20"/>
                <w:lang w:val="en-AU"/>
              </w:rPr>
            </w:pPr>
            <w:r w:rsidRPr="00D33A17">
              <w:rPr>
                <w:rFonts w:ascii="Arial Narrow" w:hAnsi="Arial Narrow"/>
                <w:sz w:val="20"/>
                <w:szCs w:val="20"/>
                <w:lang w:val="en-AU"/>
              </w:rPr>
              <w:t>Latin America</w:t>
            </w:r>
          </w:p>
        </w:tc>
        <w:tc>
          <w:tcPr>
            <w:tcW w:w="1418" w:type="dxa"/>
            <w:shd w:val="clear" w:color="auto" w:fill="auto"/>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2/30 (6.7)</w:t>
            </w:r>
          </w:p>
        </w:tc>
        <w:tc>
          <w:tcPr>
            <w:tcW w:w="1417" w:type="dxa"/>
            <w:shd w:val="clear" w:color="auto" w:fill="auto"/>
          </w:tcPr>
          <w:p w:rsidR="00C97258" w:rsidRPr="00D33A17" w:rsidRDefault="00C97258" w:rsidP="00D87E2A">
            <w:pPr>
              <w:spacing w:before="0"/>
              <w:jc w:val="center"/>
              <w:rPr>
                <w:rFonts w:ascii="Arial Narrow" w:hAnsi="Arial Narrow"/>
                <w:sz w:val="20"/>
                <w:szCs w:val="20"/>
                <w:lang w:val="en-AU"/>
              </w:rPr>
            </w:pPr>
            <w:r w:rsidRPr="00D33A17">
              <w:rPr>
                <w:rFonts w:ascii="Arial Narrow" w:hAnsi="Arial Narrow"/>
                <w:sz w:val="20"/>
                <w:szCs w:val="20"/>
                <w:lang w:val="en-AU"/>
              </w:rPr>
              <w:t>8/35 (22.9)</w:t>
            </w:r>
          </w:p>
        </w:tc>
        <w:tc>
          <w:tcPr>
            <w:tcW w:w="1843" w:type="dxa"/>
            <w:shd w:val="clear" w:color="auto" w:fill="auto"/>
            <w:vAlign w:val="bottom"/>
          </w:tcPr>
          <w:p w:rsidR="00C97258" w:rsidRPr="00D33A17" w:rsidRDefault="00C97258" w:rsidP="00D87E2A">
            <w:pPr>
              <w:spacing w:before="0"/>
              <w:jc w:val="center"/>
              <w:rPr>
                <w:rFonts w:ascii="Arial Narrow" w:hAnsi="Arial Narrow"/>
                <w:iCs/>
                <w:color w:val="000000"/>
                <w:sz w:val="20"/>
                <w:szCs w:val="20"/>
                <w:lang w:val="en-AU"/>
              </w:rPr>
            </w:pPr>
            <w:r w:rsidRPr="00D33A17">
              <w:rPr>
                <w:rFonts w:ascii="Arial Narrow" w:hAnsi="Arial Narrow"/>
                <w:iCs/>
                <w:color w:val="000000"/>
                <w:sz w:val="20"/>
                <w:szCs w:val="20"/>
                <w:lang w:val="en-AU"/>
              </w:rPr>
              <w:t>-16.2%</w:t>
            </w:r>
            <w:r w:rsidR="00D36BA8" w:rsidRPr="008607EB">
              <w:rPr>
                <w:rFonts w:ascii="Arial Narrow" w:hAnsi="Arial Narrow"/>
                <w:b/>
                <w:bCs/>
                <w:iCs/>
                <w:sz w:val="20"/>
                <w:szCs w:val="20"/>
                <w:vertAlign w:val="superscript"/>
                <w:lang w:val="en-AU"/>
              </w:rPr>
              <w:t>$</w:t>
            </w:r>
            <w:r w:rsidRPr="00D33A17">
              <w:rPr>
                <w:rFonts w:ascii="Arial Narrow" w:hAnsi="Arial Narrow"/>
                <w:iCs/>
                <w:color w:val="000000"/>
                <w:sz w:val="20"/>
                <w:szCs w:val="20"/>
                <w:lang w:val="en-AU"/>
              </w:rPr>
              <w:t xml:space="preserve"> (-33.8,1.8)</w:t>
            </w:r>
            <w:r w:rsidR="00E047C8" w:rsidRPr="008607EB">
              <w:rPr>
                <w:rFonts w:ascii="Arial Narrow" w:hAnsi="Arial Narrow"/>
                <w:b/>
                <w:bCs/>
                <w:iCs/>
                <w:sz w:val="20"/>
                <w:szCs w:val="20"/>
                <w:vertAlign w:val="superscript"/>
                <w:lang w:val="en-AU"/>
              </w:rPr>
              <w:t xml:space="preserve"> $</w:t>
            </w:r>
          </w:p>
        </w:tc>
        <w:tc>
          <w:tcPr>
            <w:tcW w:w="1508" w:type="dxa"/>
            <w:shd w:val="clear" w:color="auto" w:fill="auto"/>
          </w:tcPr>
          <w:p w:rsidR="00C97258" w:rsidRPr="00D33A17" w:rsidRDefault="00C97258" w:rsidP="00D87E2A">
            <w:pPr>
              <w:spacing w:before="0"/>
              <w:jc w:val="center"/>
              <w:rPr>
                <w:rFonts w:ascii="Arial Narrow" w:hAnsi="Arial Narrow"/>
                <w:iCs/>
                <w:sz w:val="20"/>
                <w:szCs w:val="20"/>
                <w:lang w:val="en-AU"/>
              </w:rPr>
            </w:pPr>
            <w:r w:rsidRPr="00D33A17">
              <w:rPr>
                <w:rFonts w:ascii="Arial Narrow" w:hAnsi="Arial Narrow"/>
                <w:iCs/>
                <w:sz w:val="20"/>
                <w:szCs w:val="20"/>
                <w:lang w:val="en-AU"/>
              </w:rPr>
              <w:t>0.29</w:t>
            </w:r>
            <w:r w:rsidR="00D36BA8" w:rsidRPr="008607EB">
              <w:rPr>
                <w:rFonts w:ascii="Arial Narrow" w:hAnsi="Arial Narrow"/>
                <w:b/>
                <w:bCs/>
                <w:iCs/>
                <w:sz w:val="20"/>
                <w:szCs w:val="20"/>
                <w:vertAlign w:val="superscript"/>
                <w:lang w:val="en-AU"/>
              </w:rPr>
              <w:t>$</w:t>
            </w:r>
            <w:r w:rsidRPr="00D33A17">
              <w:rPr>
                <w:rFonts w:ascii="Arial Narrow" w:hAnsi="Arial Narrow"/>
                <w:iCs/>
                <w:sz w:val="20"/>
                <w:szCs w:val="20"/>
                <w:lang w:val="en-AU"/>
              </w:rPr>
              <w:t xml:space="preserve"> (0.07,1.10)</w:t>
            </w:r>
            <w:r w:rsidR="00E047C8" w:rsidRPr="008607EB">
              <w:rPr>
                <w:rFonts w:ascii="Arial Narrow" w:hAnsi="Arial Narrow"/>
                <w:b/>
                <w:bCs/>
                <w:iCs/>
                <w:sz w:val="20"/>
                <w:szCs w:val="20"/>
                <w:vertAlign w:val="superscript"/>
                <w:lang w:val="en-AU"/>
              </w:rPr>
              <w:t xml:space="preserve"> $</w:t>
            </w:r>
          </w:p>
        </w:tc>
      </w:tr>
    </w:tbl>
    <w:p w:rsidR="00C97258" w:rsidRPr="001339EB" w:rsidRDefault="00C97258" w:rsidP="00284B50">
      <w:pPr>
        <w:pStyle w:val="oldTablefooter"/>
        <w:rPr>
          <w:rFonts w:ascii="Arial Narrow" w:hAnsi="Arial Narrow" w:cstheme="minorBidi"/>
          <w:szCs w:val="20"/>
          <w:lang w:val="en-AU" w:eastAsia="en-US"/>
        </w:rPr>
      </w:pPr>
      <w:bookmarkStart w:id="13" w:name="_Toc492950682"/>
      <w:r w:rsidRPr="001339EB">
        <w:rPr>
          <w:rFonts w:ascii="Arial Narrow" w:hAnsi="Arial Narrow" w:cstheme="minorBidi"/>
          <w:szCs w:val="20"/>
          <w:lang w:val="en-AU" w:eastAsia="en-US"/>
        </w:rPr>
        <w:t>1</w:t>
      </w:r>
      <w:r w:rsidR="00C36908" w:rsidRPr="001339EB">
        <w:rPr>
          <w:rFonts w:ascii="Arial Narrow" w:hAnsi="Arial Narrow" w:cstheme="minorBidi"/>
          <w:szCs w:val="20"/>
          <w:lang w:val="en-AU" w:eastAsia="en-US"/>
        </w:rPr>
        <w:t xml:space="preserve">  </w:t>
      </w:r>
      <w:r w:rsidRPr="001339EB">
        <w:rPr>
          <w:rFonts w:ascii="Arial Narrow" w:hAnsi="Arial Narrow" w:cstheme="minorBidi"/>
          <w:szCs w:val="20"/>
          <w:lang w:val="en-AU" w:eastAsia="en-US"/>
        </w:rPr>
        <w:t>Based on the Miettinen and Nurminen method without stratification.</w:t>
      </w:r>
      <w:bookmarkEnd w:id="13"/>
    </w:p>
    <w:p w:rsidR="00C97258" w:rsidRPr="001339EB" w:rsidRDefault="00C97258" w:rsidP="00284B50">
      <w:pPr>
        <w:pStyle w:val="oldTablefooter"/>
        <w:rPr>
          <w:rFonts w:ascii="Arial Narrow" w:hAnsi="Arial Narrow" w:cstheme="minorBidi"/>
          <w:szCs w:val="20"/>
          <w:lang w:val="en-AU" w:eastAsia="en-US"/>
        </w:rPr>
      </w:pPr>
      <w:bookmarkStart w:id="14" w:name="_Toc492950683"/>
      <w:r w:rsidRPr="001339EB">
        <w:rPr>
          <w:rFonts w:ascii="Arial Narrow" w:hAnsi="Arial Narrow" w:cstheme="minorBidi"/>
          <w:szCs w:val="20"/>
          <w:lang w:val="en-AU" w:eastAsia="en-US"/>
        </w:rPr>
        <w:t xml:space="preserve">Text in bold indicate statistical significance. </w:t>
      </w:r>
      <w:r w:rsidR="00E047C8" w:rsidRPr="001339EB">
        <w:rPr>
          <w:rFonts w:ascii="Arial Narrow" w:hAnsi="Arial Narrow" w:cstheme="minorBidi"/>
          <w:szCs w:val="20"/>
          <w:lang w:val="en-AU" w:eastAsia="en-US"/>
        </w:rPr>
        <w:t>$</w:t>
      </w:r>
      <w:r w:rsidRPr="001339EB">
        <w:rPr>
          <w:rFonts w:ascii="Arial Narrow" w:hAnsi="Arial Narrow" w:cstheme="minorBidi"/>
          <w:szCs w:val="20"/>
          <w:lang w:val="en-AU" w:eastAsia="en-US"/>
        </w:rPr>
        <w:t xml:space="preserve"> indicate</w:t>
      </w:r>
      <w:r w:rsidR="00E047C8" w:rsidRPr="001339EB">
        <w:rPr>
          <w:rFonts w:ascii="Arial Narrow" w:hAnsi="Arial Narrow" w:cstheme="minorBidi"/>
          <w:szCs w:val="20"/>
          <w:lang w:val="en-AU" w:eastAsia="en-US"/>
        </w:rPr>
        <w:t>s</w:t>
      </w:r>
      <w:r w:rsidRPr="001339EB">
        <w:rPr>
          <w:rFonts w:ascii="Arial Narrow" w:hAnsi="Arial Narrow" w:cstheme="minorBidi"/>
          <w:szCs w:val="20"/>
          <w:lang w:val="en-AU" w:eastAsia="en-US"/>
        </w:rPr>
        <w:t xml:space="preserve"> values calculated during evaluation using StatsDirect</w:t>
      </w:r>
      <w:bookmarkEnd w:id="14"/>
    </w:p>
    <w:p w:rsidR="00C97258" w:rsidRPr="001339EB" w:rsidRDefault="00C97258" w:rsidP="00284B50">
      <w:pPr>
        <w:pStyle w:val="oldTablefooter"/>
        <w:rPr>
          <w:rFonts w:ascii="Arial Narrow" w:hAnsi="Arial Narrow" w:cstheme="minorBidi"/>
          <w:szCs w:val="20"/>
          <w:lang w:val="en-AU" w:eastAsia="en-US"/>
        </w:rPr>
      </w:pPr>
      <w:r w:rsidRPr="001339EB">
        <w:rPr>
          <w:rFonts w:ascii="Arial Narrow" w:hAnsi="Arial Narrow" w:cstheme="minorBidi"/>
          <w:szCs w:val="20"/>
          <w:lang w:val="en-AU" w:eastAsia="en-US"/>
        </w:rPr>
        <w:t xml:space="preserve">Source: Figure A, Wilcox et al 2017 </w:t>
      </w:r>
    </w:p>
    <w:p w:rsidR="002C000E" w:rsidRPr="000855D4" w:rsidRDefault="002C000E" w:rsidP="002471D4">
      <w:pPr>
        <w:pStyle w:val="ListParagraph"/>
        <w:numPr>
          <w:ilvl w:val="1"/>
          <w:numId w:val="4"/>
        </w:numPr>
        <w:spacing w:after="120"/>
        <w:jc w:val="both"/>
        <w:rPr>
          <w:iCs/>
          <w:lang w:val="en-GB"/>
        </w:rPr>
      </w:pPr>
      <w:r w:rsidRPr="000855D4">
        <w:rPr>
          <w:iCs/>
        </w:rPr>
        <w:t xml:space="preserve">The PSCR provided a new analysis of the </w:t>
      </w:r>
      <w:r w:rsidR="008F78A8" w:rsidRPr="000855D4">
        <w:rPr>
          <w:iCs/>
        </w:rPr>
        <w:t>rate of</w:t>
      </w:r>
      <w:r w:rsidRPr="000855D4">
        <w:rPr>
          <w:iCs/>
        </w:rPr>
        <w:t xml:space="preserve"> recurrence based on their revised listing population of ‘high risk’ patients to support their revised restriction. The results indicated a slightly larger reduction in recurrence in all high-risk patients (</w:t>
      </w:r>
      <w:r w:rsidR="007605FE">
        <w:rPr>
          <w:bCs/>
          <w:iCs/>
          <w:noProof/>
          <w:color w:val="000000"/>
          <w:highlight w:val="black"/>
          <w:lang w:val="en-GB"/>
        </w:rPr>
        <w:t>''''''''</w:t>
      </w:r>
      <w:r w:rsidRPr="000855D4">
        <w:rPr>
          <w:bCs/>
          <w:iCs/>
          <w:lang w:val="en-GB"/>
        </w:rPr>
        <w:t xml:space="preserve">% [95% CI: </w:t>
      </w:r>
      <w:r w:rsidR="007605FE">
        <w:rPr>
          <w:bCs/>
          <w:iCs/>
          <w:noProof/>
          <w:color w:val="000000"/>
          <w:highlight w:val="black"/>
          <w:lang w:val="en-GB"/>
        </w:rPr>
        <w:t>'''''''''''''' '''' ''''''''''''</w:t>
      </w:r>
      <w:r w:rsidRPr="000855D4">
        <w:rPr>
          <w:bCs/>
          <w:iCs/>
          <w:lang w:val="en-GB"/>
        </w:rPr>
        <w:t>]</w:t>
      </w:r>
      <w:r w:rsidR="000C297F" w:rsidRPr="000855D4">
        <w:rPr>
          <w:bCs/>
          <w:iCs/>
          <w:lang w:val="en-GB"/>
        </w:rPr>
        <w:t xml:space="preserve">; </w:t>
      </w:r>
      <w:r w:rsidR="00546D83" w:rsidRPr="000855D4">
        <w:rPr>
          <w:bCs/>
          <w:iCs/>
          <w:lang w:val="en-GB"/>
        </w:rPr>
        <w:t>T</w:t>
      </w:r>
      <w:r w:rsidR="000C297F" w:rsidRPr="000855D4">
        <w:rPr>
          <w:bCs/>
          <w:iCs/>
          <w:lang w:val="en-GB"/>
        </w:rPr>
        <w:t>able 6</w:t>
      </w:r>
      <w:r w:rsidRPr="000855D4">
        <w:rPr>
          <w:bCs/>
          <w:iCs/>
          <w:lang w:val="en-GB"/>
        </w:rPr>
        <w:t>) with the lower limit now closer to the proposed MCID.</w:t>
      </w:r>
      <w:r w:rsidR="00BF105B" w:rsidRPr="000855D4">
        <w:rPr>
          <w:bCs/>
          <w:iCs/>
          <w:lang w:val="en-GB"/>
        </w:rPr>
        <w:t xml:space="preserve"> </w:t>
      </w:r>
      <w:r w:rsidR="00546D83" w:rsidRPr="000855D4">
        <w:rPr>
          <w:bCs/>
          <w:iCs/>
          <w:lang w:val="en-GB"/>
        </w:rPr>
        <w:t>T</w:t>
      </w:r>
      <w:r w:rsidRPr="000855D4">
        <w:rPr>
          <w:bCs/>
          <w:iCs/>
          <w:lang w:val="en-GB"/>
        </w:rPr>
        <w:t>hese results could not be verified. Furthermore, as shown in th</w:t>
      </w:r>
      <w:r w:rsidR="005A1BF3" w:rsidRPr="000855D4">
        <w:rPr>
          <w:bCs/>
          <w:iCs/>
          <w:lang w:val="en-GB"/>
        </w:rPr>
        <w:t xml:space="preserve">e sub-group analysis in </w:t>
      </w:r>
      <w:r w:rsidR="00546D83" w:rsidRPr="000855D4">
        <w:rPr>
          <w:bCs/>
          <w:iCs/>
          <w:lang w:val="en-GB"/>
        </w:rPr>
        <w:t>T</w:t>
      </w:r>
      <w:r w:rsidR="005A1BF3" w:rsidRPr="000855D4">
        <w:rPr>
          <w:bCs/>
          <w:iCs/>
          <w:lang w:val="en-GB"/>
        </w:rPr>
        <w:t>able 5</w:t>
      </w:r>
      <w:r w:rsidRPr="000855D4">
        <w:rPr>
          <w:bCs/>
          <w:iCs/>
          <w:lang w:val="en-GB"/>
        </w:rPr>
        <w:t xml:space="preserve"> above, some of the high risk groups </w:t>
      </w:r>
      <w:r w:rsidR="005A1BF3" w:rsidRPr="000855D4">
        <w:rPr>
          <w:bCs/>
          <w:iCs/>
          <w:lang w:val="en-GB"/>
        </w:rPr>
        <w:t xml:space="preserve">nominated for inclusion in the restriction </w:t>
      </w:r>
      <w:r w:rsidRPr="000855D4">
        <w:rPr>
          <w:bCs/>
          <w:iCs/>
          <w:lang w:val="en-GB"/>
        </w:rPr>
        <w:t>had upper 95% CIs that crossed over the pre-specified MCID</w:t>
      </w:r>
      <w:r w:rsidR="005A1BF3" w:rsidRPr="000855D4">
        <w:rPr>
          <w:bCs/>
          <w:iCs/>
          <w:lang w:val="en-GB"/>
        </w:rPr>
        <w:t xml:space="preserve"> (CDI episode in past 6 months, immunocompromised, and severe CDI patients), or were not statistically significant (hypervirulent CDI strain)</w:t>
      </w:r>
      <w:r w:rsidRPr="000855D4">
        <w:rPr>
          <w:bCs/>
          <w:iCs/>
          <w:lang w:val="en-GB"/>
        </w:rPr>
        <w:t>.</w:t>
      </w:r>
      <w:r w:rsidR="00685333">
        <w:rPr>
          <w:bCs/>
          <w:iCs/>
          <w:lang w:val="en-GB"/>
        </w:rPr>
        <w:t xml:space="preserve"> The PBAC considered that </w:t>
      </w:r>
      <w:r w:rsidR="00217619">
        <w:rPr>
          <w:bCs/>
          <w:iCs/>
          <w:lang w:val="en-GB"/>
        </w:rPr>
        <w:t xml:space="preserve">there was little evidence that the variation in absolute risk difference observed across patient subgroups was beyond that expected by chance. </w:t>
      </w:r>
    </w:p>
    <w:p w:rsidR="00BD31EB" w:rsidRPr="00BD31EB" w:rsidRDefault="00BD31EB" w:rsidP="00BD31EB">
      <w:pPr>
        <w:pStyle w:val="ListParagraph"/>
        <w:spacing w:after="0"/>
        <w:ind w:left="0"/>
        <w:jc w:val="both"/>
        <w:rPr>
          <w:rFonts w:ascii="Arial Narrow" w:hAnsi="Arial Narrow"/>
          <w:b/>
          <w:bCs/>
          <w:sz w:val="20"/>
          <w:szCs w:val="20"/>
        </w:rPr>
      </w:pPr>
      <w:r w:rsidRPr="00834B88">
        <w:rPr>
          <w:rFonts w:ascii="Arial Narrow" w:hAnsi="Arial Narrow"/>
          <w:b/>
          <w:bCs/>
          <w:sz w:val="20"/>
          <w:szCs w:val="20"/>
        </w:rPr>
        <w:t xml:space="preserve">Table </w:t>
      </w:r>
      <w:r>
        <w:rPr>
          <w:rFonts w:ascii="Arial Narrow" w:hAnsi="Arial Narrow"/>
          <w:b/>
          <w:bCs/>
          <w:sz w:val="20"/>
          <w:szCs w:val="20"/>
        </w:rPr>
        <w:t>6</w:t>
      </w:r>
      <w:r w:rsidRPr="00834B88">
        <w:rPr>
          <w:rFonts w:ascii="Arial Narrow" w:hAnsi="Arial Narrow"/>
          <w:b/>
          <w:bCs/>
          <w:sz w:val="20"/>
          <w:szCs w:val="20"/>
        </w:rPr>
        <w:t>: Recurrence rates for all high risk &amp; high risk outpatients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currence rates for all high risk &amp; high risk outpatients"/>
      </w:tblPr>
      <w:tblGrid>
        <w:gridCol w:w="2830"/>
        <w:gridCol w:w="1593"/>
        <w:gridCol w:w="1559"/>
        <w:gridCol w:w="2126"/>
      </w:tblGrid>
      <w:tr w:rsidR="008F78A8" w:rsidRPr="00D33A17" w:rsidTr="006F0AAB">
        <w:trPr>
          <w:cnfStyle w:val="100000000000" w:firstRow="1" w:lastRow="0" w:firstColumn="0" w:lastColumn="0" w:oddVBand="0" w:evenVBand="0" w:oddHBand="0" w:evenHBand="0" w:firstRowFirstColumn="0" w:firstRowLastColumn="0" w:lastRowFirstColumn="0" w:lastRowLastColumn="0"/>
          <w:tblHeader/>
        </w:trPr>
        <w:tc>
          <w:tcPr>
            <w:tcW w:w="2830" w:type="dxa"/>
            <w:shd w:val="clear" w:color="auto" w:fill="auto"/>
          </w:tcPr>
          <w:p w:rsidR="008F78A8" w:rsidRPr="00D33A17" w:rsidRDefault="008F78A8" w:rsidP="00276A6E">
            <w:pPr>
              <w:spacing w:before="0"/>
              <w:rPr>
                <w:rFonts w:ascii="Arial Narrow" w:hAnsi="Arial Narrow"/>
                <w:sz w:val="20"/>
                <w:szCs w:val="20"/>
                <w:lang w:val="en-AU"/>
              </w:rPr>
            </w:pPr>
          </w:p>
        </w:tc>
        <w:tc>
          <w:tcPr>
            <w:tcW w:w="1593" w:type="dxa"/>
            <w:shd w:val="clear" w:color="auto" w:fill="auto"/>
            <w:vAlign w:val="center"/>
          </w:tcPr>
          <w:p w:rsidR="008F78A8" w:rsidRPr="008F78A8" w:rsidRDefault="008F78A8" w:rsidP="008F78A8">
            <w:pPr>
              <w:spacing w:before="0"/>
              <w:jc w:val="center"/>
              <w:rPr>
                <w:rFonts w:ascii="Arial Narrow" w:hAnsi="Arial Narrow"/>
                <w:sz w:val="20"/>
                <w:szCs w:val="20"/>
                <w:lang w:val="en-AU"/>
              </w:rPr>
            </w:pPr>
            <w:r>
              <w:rPr>
                <w:rFonts w:ascii="Arial Narrow" w:hAnsi="Arial Narrow"/>
                <w:sz w:val="20"/>
                <w:szCs w:val="20"/>
                <w:lang w:val="en-AU"/>
              </w:rPr>
              <w:t>B</w:t>
            </w:r>
            <w:r w:rsidRPr="00EE29CE">
              <w:rPr>
                <w:rFonts w:ascii="Arial Narrow" w:hAnsi="Arial Narrow"/>
                <w:sz w:val="20"/>
                <w:szCs w:val="20"/>
                <w:lang w:val="en-AU"/>
              </w:rPr>
              <w:t>ezlotoxumab</w:t>
            </w:r>
            <w:r w:rsidRPr="008F78A8">
              <w:rPr>
                <w:rFonts w:ascii="Arial Narrow" w:hAnsi="Arial Narrow"/>
                <w:sz w:val="20"/>
                <w:szCs w:val="20"/>
                <w:lang w:val="en-AU"/>
              </w:rPr>
              <w:t xml:space="preserve"> n/N (%)</w:t>
            </w:r>
          </w:p>
        </w:tc>
        <w:tc>
          <w:tcPr>
            <w:tcW w:w="1559" w:type="dxa"/>
            <w:shd w:val="clear" w:color="auto" w:fill="auto"/>
            <w:vAlign w:val="center"/>
          </w:tcPr>
          <w:p w:rsidR="008F78A8" w:rsidRPr="008F78A8" w:rsidRDefault="008F78A8" w:rsidP="008F78A8">
            <w:pPr>
              <w:spacing w:before="0"/>
              <w:jc w:val="center"/>
              <w:rPr>
                <w:rFonts w:ascii="Arial Narrow" w:hAnsi="Arial Narrow"/>
                <w:sz w:val="20"/>
                <w:szCs w:val="20"/>
                <w:lang w:val="en-AU"/>
              </w:rPr>
            </w:pPr>
            <w:r>
              <w:rPr>
                <w:rFonts w:ascii="Arial Narrow" w:hAnsi="Arial Narrow"/>
                <w:sz w:val="20"/>
                <w:szCs w:val="20"/>
                <w:lang w:val="en-AU"/>
              </w:rPr>
              <w:t>P</w:t>
            </w:r>
            <w:r w:rsidRPr="00EE29CE">
              <w:rPr>
                <w:rFonts w:ascii="Arial Narrow" w:hAnsi="Arial Narrow"/>
                <w:sz w:val="20"/>
                <w:szCs w:val="20"/>
                <w:lang w:val="en-AU"/>
              </w:rPr>
              <w:t>lacebo</w:t>
            </w:r>
            <w:r w:rsidRPr="008F78A8">
              <w:rPr>
                <w:rFonts w:ascii="Arial Narrow" w:hAnsi="Arial Narrow"/>
                <w:sz w:val="20"/>
                <w:szCs w:val="20"/>
                <w:lang w:val="en-AU"/>
              </w:rPr>
              <w:t xml:space="preserve"> </w:t>
            </w:r>
          </w:p>
          <w:p w:rsidR="008F78A8" w:rsidRPr="008F78A8" w:rsidRDefault="008F78A8" w:rsidP="008F78A8">
            <w:pPr>
              <w:spacing w:before="0"/>
              <w:jc w:val="center"/>
              <w:rPr>
                <w:rFonts w:ascii="Arial Narrow" w:hAnsi="Arial Narrow"/>
                <w:sz w:val="20"/>
                <w:szCs w:val="20"/>
                <w:lang w:val="en-AU"/>
              </w:rPr>
            </w:pPr>
            <w:r w:rsidRPr="008F78A8">
              <w:rPr>
                <w:rFonts w:ascii="Arial Narrow" w:hAnsi="Arial Narrow"/>
                <w:sz w:val="20"/>
                <w:szCs w:val="20"/>
                <w:lang w:val="en-AU"/>
              </w:rPr>
              <w:t>n/N (%)</w:t>
            </w:r>
          </w:p>
        </w:tc>
        <w:tc>
          <w:tcPr>
            <w:tcW w:w="2126" w:type="dxa"/>
            <w:shd w:val="clear" w:color="auto" w:fill="auto"/>
            <w:vAlign w:val="center"/>
          </w:tcPr>
          <w:p w:rsidR="008F78A8" w:rsidRPr="00D33A17" w:rsidRDefault="008F78A8" w:rsidP="008F78A8">
            <w:pPr>
              <w:spacing w:before="0"/>
              <w:jc w:val="center"/>
              <w:rPr>
                <w:rFonts w:ascii="Arial Narrow" w:hAnsi="Arial Narrow"/>
                <w:b w:val="0"/>
                <w:sz w:val="20"/>
                <w:szCs w:val="20"/>
              </w:rPr>
            </w:pPr>
            <w:r>
              <w:rPr>
                <w:rFonts w:ascii="Arial Narrow" w:hAnsi="Arial Narrow"/>
                <w:sz w:val="20"/>
                <w:szCs w:val="20"/>
                <w:lang w:val="en-AU"/>
              </w:rPr>
              <w:t xml:space="preserve">Risk </w:t>
            </w:r>
            <w:r w:rsidRPr="0036679C">
              <w:rPr>
                <w:rFonts w:ascii="Arial Narrow" w:hAnsi="Arial Narrow"/>
                <w:sz w:val="20"/>
                <w:szCs w:val="20"/>
                <w:lang w:val="en-AU"/>
              </w:rPr>
              <w:t>Difference (95% CI§)</w:t>
            </w:r>
          </w:p>
        </w:tc>
      </w:tr>
      <w:tr w:rsidR="008F78A8" w:rsidRPr="00D33A17" w:rsidTr="000C297F">
        <w:tc>
          <w:tcPr>
            <w:tcW w:w="2830" w:type="dxa"/>
            <w:shd w:val="clear" w:color="auto" w:fill="auto"/>
          </w:tcPr>
          <w:p w:rsidR="008F78A8" w:rsidRPr="00D33A17" w:rsidRDefault="008F78A8" w:rsidP="00BD31EB">
            <w:pPr>
              <w:spacing w:before="0"/>
              <w:ind w:left="109"/>
              <w:rPr>
                <w:rFonts w:ascii="Arial Narrow" w:hAnsi="Arial Narrow"/>
                <w:sz w:val="20"/>
                <w:szCs w:val="20"/>
                <w:lang w:val="en-AU"/>
              </w:rPr>
            </w:pPr>
            <w:r w:rsidRPr="0036679C">
              <w:rPr>
                <w:rFonts w:ascii="Arial Narrow" w:hAnsi="Arial Narrow"/>
                <w:sz w:val="20"/>
                <w:szCs w:val="20"/>
                <w:lang w:val="en-AU"/>
              </w:rPr>
              <w:t>High Risk Patients</w:t>
            </w:r>
            <w:r w:rsidRPr="00EE29CE">
              <w:rPr>
                <w:rFonts w:ascii="Arial Narrow" w:hAnsi="Arial Narrow"/>
                <w:sz w:val="20"/>
                <w:szCs w:val="20"/>
                <w:lang w:val="en-AU"/>
              </w:rPr>
              <w:t xml:space="preserve">‡  </w:t>
            </w:r>
          </w:p>
        </w:tc>
        <w:tc>
          <w:tcPr>
            <w:tcW w:w="1593" w:type="dxa"/>
            <w:shd w:val="clear" w:color="auto" w:fill="auto"/>
            <w:vAlign w:val="center"/>
          </w:tcPr>
          <w:p w:rsidR="008F78A8" w:rsidRPr="007605FE" w:rsidRDefault="007605FE" w:rsidP="00276A6E">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 '''''''''''''''''''''</w:t>
            </w:r>
          </w:p>
        </w:tc>
        <w:tc>
          <w:tcPr>
            <w:tcW w:w="1559" w:type="dxa"/>
            <w:shd w:val="clear" w:color="auto" w:fill="auto"/>
            <w:vAlign w:val="center"/>
          </w:tcPr>
          <w:p w:rsidR="008F78A8" w:rsidRPr="007605FE" w:rsidRDefault="007605FE" w:rsidP="00276A6E">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 ''''''''''''''''''''''</w:t>
            </w:r>
          </w:p>
        </w:tc>
        <w:tc>
          <w:tcPr>
            <w:tcW w:w="2126" w:type="dxa"/>
            <w:shd w:val="clear" w:color="auto" w:fill="auto"/>
            <w:vAlign w:val="center"/>
          </w:tcPr>
          <w:p w:rsidR="008F78A8" w:rsidRPr="007605FE" w:rsidRDefault="007605FE" w:rsidP="008F78A8">
            <w:pPr>
              <w:spacing w:before="0"/>
              <w:jc w:val="center"/>
              <w:rPr>
                <w:rFonts w:ascii="Arial Narrow" w:hAnsi="Arial Narrow"/>
                <w:b/>
                <w:bCs/>
                <w:iCs/>
                <w:sz w:val="20"/>
                <w:szCs w:val="20"/>
                <w:highlight w:val="black"/>
                <w:lang w:val="en-AU"/>
              </w:rPr>
            </w:pPr>
            <w:r>
              <w:rPr>
                <w:rFonts w:ascii="Arial Narrow" w:hAnsi="Arial Narrow"/>
                <w:b/>
                <w:bCs/>
                <w:iCs/>
                <w:noProof/>
                <w:color w:val="000000"/>
                <w:sz w:val="20"/>
                <w:szCs w:val="20"/>
                <w:highlight w:val="black"/>
                <w:lang w:val="en-AU"/>
              </w:rPr>
              <w:t>''''''''''''''' '''''''''''''''' ''''''''''''''</w:t>
            </w:r>
          </w:p>
        </w:tc>
      </w:tr>
      <w:tr w:rsidR="008F78A8" w:rsidRPr="00D33A17" w:rsidTr="000C297F">
        <w:tc>
          <w:tcPr>
            <w:tcW w:w="2830" w:type="dxa"/>
            <w:shd w:val="clear" w:color="auto" w:fill="auto"/>
          </w:tcPr>
          <w:p w:rsidR="008F78A8" w:rsidRPr="00D33A17" w:rsidRDefault="008F78A8" w:rsidP="00276A6E">
            <w:pPr>
              <w:spacing w:before="0"/>
              <w:ind w:left="109"/>
              <w:rPr>
                <w:rFonts w:ascii="Arial Narrow" w:hAnsi="Arial Narrow"/>
                <w:sz w:val="20"/>
                <w:szCs w:val="20"/>
                <w:lang w:val="en-AU"/>
              </w:rPr>
            </w:pPr>
            <w:r w:rsidRPr="0036679C">
              <w:rPr>
                <w:rFonts w:ascii="Arial Narrow" w:hAnsi="Arial Narrow"/>
                <w:sz w:val="20"/>
                <w:szCs w:val="20"/>
                <w:lang w:val="en-AU"/>
              </w:rPr>
              <w:t xml:space="preserve">Outpatient AND </w:t>
            </w:r>
            <w:r w:rsidRPr="00EE29CE">
              <w:rPr>
                <w:rFonts w:ascii="Arial Narrow" w:hAnsi="Arial Narrow"/>
                <w:sz w:val="20"/>
                <w:szCs w:val="20"/>
                <w:lang w:val="en-AU"/>
              </w:rPr>
              <w:t xml:space="preserve">High Risk‡   </w:t>
            </w:r>
          </w:p>
        </w:tc>
        <w:tc>
          <w:tcPr>
            <w:tcW w:w="1593" w:type="dxa"/>
            <w:shd w:val="clear" w:color="auto" w:fill="auto"/>
            <w:vAlign w:val="center"/>
          </w:tcPr>
          <w:p w:rsidR="008F78A8" w:rsidRPr="007605FE" w:rsidRDefault="007605FE" w:rsidP="00276A6E">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 '''''''''''''''''''''''</w:t>
            </w:r>
          </w:p>
        </w:tc>
        <w:tc>
          <w:tcPr>
            <w:tcW w:w="1559" w:type="dxa"/>
            <w:shd w:val="clear" w:color="auto" w:fill="auto"/>
            <w:vAlign w:val="center"/>
          </w:tcPr>
          <w:p w:rsidR="008F78A8" w:rsidRPr="007605FE" w:rsidRDefault="007605FE" w:rsidP="00276A6E">
            <w:pPr>
              <w:spacing w:before="0"/>
              <w:jc w:val="center"/>
              <w:rPr>
                <w:rFonts w:ascii="Arial Narrow" w:hAnsi="Arial Narrow"/>
                <w:sz w:val="20"/>
                <w:szCs w:val="20"/>
                <w:highlight w:val="black"/>
                <w:lang w:val="en-AU"/>
              </w:rPr>
            </w:pPr>
            <w:r>
              <w:rPr>
                <w:rFonts w:ascii="Arial Narrow" w:hAnsi="Arial Narrow"/>
                <w:noProof/>
                <w:color w:val="000000"/>
                <w:sz w:val="20"/>
                <w:szCs w:val="20"/>
                <w:highlight w:val="black"/>
                <w:lang w:val="en-AU"/>
              </w:rPr>
              <w:t>''''''''''''''''' '''''''''''''''''''''</w:t>
            </w:r>
          </w:p>
        </w:tc>
        <w:tc>
          <w:tcPr>
            <w:tcW w:w="2126" w:type="dxa"/>
            <w:shd w:val="clear" w:color="auto" w:fill="auto"/>
            <w:vAlign w:val="center"/>
          </w:tcPr>
          <w:p w:rsidR="008F78A8" w:rsidRPr="007605FE" w:rsidRDefault="007605FE" w:rsidP="008F78A8">
            <w:pPr>
              <w:spacing w:before="0"/>
              <w:jc w:val="center"/>
              <w:rPr>
                <w:rFonts w:ascii="Arial Narrow" w:hAnsi="Arial Narrow"/>
                <w:b/>
                <w:bCs/>
                <w:iCs/>
                <w:sz w:val="20"/>
                <w:szCs w:val="20"/>
                <w:highlight w:val="black"/>
                <w:lang w:val="en-AU"/>
              </w:rPr>
            </w:pPr>
            <w:r>
              <w:rPr>
                <w:rFonts w:ascii="Arial Narrow" w:hAnsi="Arial Narrow"/>
                <w:b/>
                <w:noProof/>
                <w:color w:val="000000"/>
                <w:sz w:val="20"/>
                <w:szCs w:val="20"/>
                <w:highlight w:val="black"/>
                <w:lang w:val="en-AU"/>
              </w:rPr>
              <w:t>'''''''''''''' ''''''''''''''''' '''''''''''''</w:t>
            </w:r>
          </w:p>
        </w:tc>
      </w:tr>
    </w:tbl>
    <w:p w:rsidR="00BD31EB" w:rsidRPr="001339EB" w:rsidRDefault="00BD31EB" w:rsidP="00BD31EB">
      <w:pPr>
        <w:pStyle w:val="oldTablefooter"/>
        <w:rPr>
          <w:rFonts w:ascii="Arial Narrow" w:hAnsi="Arial Narrow" w:cstheme="minorBidi"/>
          <w:szCs w:val="20"/>
          <w:lang w:val="en-AU" w:eastAsia="en-US"/>
        </w:rPr>
      </w:pPr>
      <w:r w:rsidRPr="001339EB">
        <w:rPr>
          <w:rFonts w:ascii="Arial Narrow" w:hAnsi="Arial Narrow" w:cstheme="minorBidi"/>
          <w:szCs w:val="20"/>
          <w:lang w:val="en-AU" w:eastAsia="en-US"/>
        </w:rPr>
        <w:t>§ Based on the Miettinen and Nurminen method without stratification.</w:t>
      </w:r>
    </w:p>
    <w:p w:rsidR="00BD31EB" w:rsidRPr="001339EB" w:rsidRDefault="00BD31EB" w:rsidP="00BD31EB">
      <w:pPr>
        <w:pStyle w:val="oldTablefooter"/>
        <w:rPr>
          <w:rFonts w:ascii="Arial Narrow" w:hAnsi="Arial Narrow" w:cstheme="minorBidi"/>
          <w:szCs w:val="20"/>
          <w:lang w:val="en-AU" w:eastAsia="en-US"/>
        </w:rPr>
      </w:pPr>
      <w:r w:rsidRPr="001339EB">
        <w:rPr>
          <w:rFonts w:ascii="Arial Narrow" w:hAnsi="Arial Narrow" w:cstheme="minorBidi"/>
          <w:szCs w:val="20"/>
          <w:lang w:val="en-AU" w:eastAsia="en-US"/>
        </w:rPr>
        <w:t xml:space="preserve">‡ Predefined risk factors include CDI history in the past 6 months, severe CDI at baseline (per Zar score), Age ≥ 65 years, </w:t>
      </w:r>
    </w:p>
    <w:p w:rsidR="0036679C" w:rsidRPr="00BD31EB" w:rsidRDefault="00BD31EB" w:rsidP="00BD31EB">
      <w:pPr>
        <w:pStyle w:val="oldTablefooter"/>
      </w:pPr>
      <w:r w:rsidRPr="001339EB">
        <w:rPr>
          <w:rFonts w:ascii="Arial Narrow" w:hAnsi="Arial Narrow" w:cstheme="minorBidi"/>
          <w:szCs w:val="20"/>
          <w:lang w:val="en-AU" w:eastAsia="en-US"/>
        </w:rPr>
        <w:t>have a hypervirulent strain (027, 078, or 244 ribotypes) at baseline, and/or immunocompromised</w:t>
      </w:r>
      <w:r w:rsidR="000661CF" w:rsidRPr="001339EB">
        <w:rPr>
          <w:rFonts w:ascii="Arial Narrow" w:hAnsi="Arial Narrow" w:cstheme="minorBidi"/>
          <w:szCs w:val="20"/>
          <w:lang w:val="en-AU" w:eastAsia="en-US"/>
        </w:rPr>
        <w:t>.</w:t>
      </w:r>
      <w:r w:rsidRPr="005A1BF3">
        <w:t xml:space="preserve"> </w:t>
      </w:r>
    </w:p>
    <w:p w:rsidR="009007BD" w:rsidRPr="00D33A17" w:rsidRDefault="009A7E72" w:rsidP="00900949">
      <w:pPr>
        <w:pStyle w:val="ListParagraph"/>
        <w:numPr>
          <w:ilvl w:val="1"/>
          <w:numId w:val="4"/>
        </w:numPr>
        <w:autoSpaceDE w:val="0"/>
        <w:autoSpaceDN w:val="0"/>
        <w:adjustRightInd w:val="0"/>
        <w:spacing w:after="120"/>
        <w:jc w:val="both"/>
        <w:rPr>
          <w:rFonts w:eastAsia="OTNEJMQuadraat" w:cstheme="minorHAnsi"/>
          <w:szCs w:val="24"/>
        </w:rPr>
      </w:pPr>
      <w:r w:rsidRPr="00D33A17">
        <w:t>The publish</w:t>
      </w:r>
      <w:r w:rsidR="00452248" w:rsidRPr="00D33A17">
        <w:t>ed</w:t>
      </w:r>
      <w:r w:rsidRPr="00D33A17">
        <w:t xml:space="preserve"> report stated that 77% of the MODIFY trial populations had one or more risk factors for recurrent CDI or for adverse outcomes related to CDI</w:t>
      </w:r>
      <w:r w:rsidR="002D0936" w:rsidRPr="00D33A17">
        <w:t xml:space="preserve"> (Wilcox 2015)</w:t>
      </w:r>
      <w:r w:rsidR="000661CF">
        <w:t xml:space="preserve">. </w:t>
      </w:r>
      <w:r w:rsidR="00D87E2A" w:rsidRPr="00D33A17">
        <w:t xml:space="preserve">Across </w:t>
      </w:r>
      <w:r w:rsidRPr="00D33A17">
        <w:t xml:space="preserve">these </w:t>
      </w:r>
      <w:r w:rsidR="00D87E2A" w:rsidRPr="00D33A17">
        <w:t>pr</w:t>
      </w:r>
      <w:r w:rsidR="003A2573" w:rsidRPr="00D33A17">
        <w:t>e</w:t>
      </w:r>
      <w:r w:rsidR="002245FF" w:rsidRPr="00D33A17">
        <w:t>-</w:t>
      </w:r>
      <w:r w:rsidR="003A2573" w:rsidRPr="00D33A17">
        <w:t xml:space="preserve">specified </w:t>
      </w:r>
      <w:r w:rsidRPr="00D33A17">
        <w:t xml:space="preserve">risk </w:t>
      </w:r>
      <w:r w:rsidR="003A2573" w:rsidRPr="00D33A17">
        <w:t>subpopulations</w:t>
      </w:r>
      <w:r w:rsidR="007F0119" w:rsidRPr="00D33A17">
        <w:t xml:space="preserve">, </w:t>
      </w:r>
      <w:r w:rsidR="00D87E2A" w:rsidRPr="00D33A17">
        <w:t>recurrent</w:t>
      </w:r>
      <w:r w:rsidR="007F0119" w:rsidRPr="00D33A17">
        <w:t xml:space="preserve"> CDI</w:t>
      </w:r>
      <w:r w:rsidR="00D87E2A" w:rsidRPr="00D33A17">
        <w:t xml:space="preserve"> infection</w:t>
      </w:r>
      <w:r w:rsidR="007F0119" w:rsidRPr="00D33A17">
        <w:t>s</w:t>
      </w:r>
      <w:r w:rsidR="00D87E2A" w:rsidRPr="00D33A17">
        <w:t xml:space="preserve"> were </w:t>
      </w:r>
      <w:r w:rsidRPr="00D33A17">
        <w:t xml:space="preserve">consistently </w:t>
      </w:r>
      <w:r w:rsidR="00D87E2A" w:rsidRPr="00D33A17">
        <w:t xml:space="preserve">lower in the bezlotoxumab </w:t>
      </w:r>
      <w:r w:rsidR="00A10721" w:rsidRPr="00D33A17">
        <w:t xml:space="preserve">treatment arm than </w:t>
      </w:r>
      <w:r w:rsidR="002D0936" w:rsidRPr="00D33A17">
        <w:t>placebo;</w:t>
      </w:r>
      <w:r w:rsidRPr="00D33A17">
        <w:t xml:space="preserve"> the difference</w:t>
      </w:r>
      <w:r w:rsidR="002D0936" w:rsidRPr="00D33A17">
        <w:t xml:space="preserve">s </w:t>
      </w:r>
      <w:r w:rsidR="007F0119" w:rsidRPr="00D33A17">
        <w:t xml:space="preserve">also remained </w:t>
      </w:r>
      <w:r w:rsidR="00083C05" w:rsidRPr="00D33A17">
        <w:t xml:space="preserve">statistically </w:t>
      </w:r>
      <w:r w:rsidR="002D0936" w:rsidRPr="00D33A17">
        <w:t xml:space="preserve">significant </w:t>
      </w:r>
      <w:r w:rsidR="007F0119" w:rsidRPr="00D33A17">
        <w:t>for</w:t>
      </w:r>
      <w:r w:rsidR="00083C05" w:rsidRPr="00D33A17">
        <w:t xml:space="preserve"> all </w:t>
      </w:r>
      <w:r w:rsidR="00D87E2A" w:rsidRPr="00D33A17">
        <w:t xml:space="preserve">subgroups except </w:t>
      </w:r>
      <w:r w:rsidR="00A611EF" w:rsidRPr="00D33A17">
        <w:t xml:space="preserve">for </w:t>
      </w:r>
      <w:r w:rsidR="002D0936" w:rsidRPr="00D33A17">
        <w:t>patients</w:t>
      </w:r>
      <w:r w:rsidR="00D87E2A" w:rsidRPr="00D33A17">
        <w:t xml:space="preserve"> with infection caused by </w:t>
      </w:r>
      <w:r w:rsidR="00D87E2A" w:rsidRPr="00F951DA">
        <w:rPr>
          <w:i/>
        </w:rPr>
        <w:t>C. difficile</w:t>
      </w:r>
      <w:r w:rsidR="00D87E2A" w:rsidRPr="00D33A17">
        <w:t xml:space="preserve"> strain 027 and </w:t>
      </w:r>
      <w:r w:rsidR="002D0936" w:rsidRPr="00D33A17">
        <w:t>patients</w:t>
      </w:r>
      <w:r w:rsidR="00D87E2A" w:rsidRPr="00D33A17">
        <w:t xml:space="preserve"> with infection caused by</w:t>
      </w:r>
      <w:r w:rsidR="00D87E2A" w:rsidRPr="00D33A17">
        <w:rPr>
          <w:rFonts w:eastAsia="OTNEJMQuadraat" w:cstheme="minorHAnsi"/>
          <w:szCs w:val="24"/>
        </w:rPr>
        <w:t xml:space="preserve"> </w:t>
      </w:r>
      <w:r w:rsidR="00D87E2A" w:rsidRPr="00D33A17">
        <w:t>strain 027, 078, or 244</w:t>
      </w:r>
      <w:r w:rsidR="000661CF">
        <w:t xml:space="preserve">. </w:t>
      </w:r>
      <w:r w:rsidR="003A2573" w:rsidRPr="00D33A17">
        <w:t>However,</w:t>
      </w:r>
      <w:r w:rsidR="00A611EF" w:rsidRPr="00D33A17">
        <w:t xml:space="preserve"> the numbers of patients in these </w:t>
      </w:r>
      <w:r w:rsidR="00DE4027" w:rsidRPr="00D33A17">
        <w:t xml:space="preserve">bacterial strain </w:t>
      </w:r>
      <w:r w:rsidR="00A611EF" w:rsidRPr="00D33A17">
        <w:t>subgroups were small</w:t>
      </w:r>
      <w:r w:rsidR="000661CF">
        <w:t xml:space="preserve">. </w:t>
      </w:r>
      <w:r w:rsidR="00422822" w:rsidRPr="00D33A17">
        <w:t xml:space="preserve">In comparison to the overall trial result, </w:t>
      </w:r>
      <w:r w:rsidR="00040D2F" w:rsidRPr="00D33A17">
        <w:t xml:space="preserve">the </w:t>
      </w:r>
      <w:r w:rsidR="00422822" w:rsidRPr="00D33A17">
        <w:t>difference</w:t>
      </w:r>
      <w:r w:rsidR="00D20611" w:rsidRPr="00D33A17">
        <w:t>s</w:t>
      </w:r>
      <w:r w:rsidR="00040D2F" w:rsidRPr="00D33A17">
        <w:t xml:space="preserve"> </w:t>
      </w:r>
      <w:r w:rsidR="00422822" w:rsidRPr="00D33A17">
        <w:t xml:space="preserve">in </w:t>
      </w:r>
      <w:r w:rsidR="00DE4027" w:rsidRPr="00D33A17">
        <w:t xml:space="preserve">CDI </w:t>
      </w:r>
      <w:r w:rsidR="00422822" w:rsidRPr="00D33A17">
        <w:t xml:space="preserve">recurrence between bezlotoxumab and placebo treated </w:t>
      </w:r>
      <w:r w:rsidR="00DE4027" w:rsidRPr="00D33A17">
        <w:t>patients</w:t>
      </w:r>
      <w:r w:rsidR="00422822" w:rsidRPr="00D33A17">
        <w:t xml:space="preserve"> </w:t>
      </w:r>
      <w:r w:rsidR="00D20611" w:rsidRPr="00D33A17">
        <w:t>were</w:t>
      </w:r>
      <w:r w:rsidR="00422822" w:rsidRPr="00D33A17">
        <w:t xml:space="preserve"> consistently higher in those with risk factors, particularly those aged </w:t>
      </w:r>
      <w:r w:rsidR="005B6603" w:rsidRPr="00D33A17">
        <w:t>&gt;</w:t>
      </w:r>
      <w:r w:rsidR="00422822" w:rsidRPr="00D33A17">
        <w:t>65 years (RD</w:t>
      </w:r>
      <w:r w:rsidR="007E5ADA" w:rsidRPr="00D33A17">
        <w:t> </w:t>
      </w:r>
      <w:r w:rsidR="00422822" w:rsidRPr="00D33A17">
        <w:t xml:space="preserve">(95%CI): </w:t>
      </w:r>
      <w:r w:rsidR="00894B9A" w:rsidRPr="00D33A17">
        <w:noBreakHyphen/>
      </w:r>
      <w:r w:rsidR="007A0919" w:rsidRPr="00D33A17">
        <w:t>16.0% (-21.7, -10.2))</w:t>
      </w:r>
      <w:r w:rsidR="00D20611" w:rsidRPr="00D33A17">
        <w:t xml:space="preserve"> and have had </w:t>
      </w:r>
      <w:r w:rsidR="005B6603" w:rsidRPr="00D33A17">
        <w:t>&gt;</w:t>
      </w:r>
      <w:r w:rsidR="007A0919" w:rsidRPr="00D33A17">
        <w:t>1 CDI</w:t>
      </w:r>
      <w:r w:rsidR="00422822" w:rsidRPr="00D33A17">
        <w:t xml:space="preserve"> </w:t>
      </w:r>
      <w:r w:rsidR="007A0919" w:rsidRPr="00D33A17">
        <w:t>episode in the last 6 months (RD</w:t>
      </w:r>
      <w:r w:rsidR="00EA1861" w:rsidRPr="00D33A17">
        <w:t xml:space="preserve"> </w:t>
      </w:r>
      <w:r w:rsidR="007A0919" w:rsidRPr="00D33A17">
        <w:t xml:space="preserve">(95%CI): </w:t>
      </w:r>
      <w:r w:rsidR="00894B9A" w:rsidRPr="00D33A17">
        <w:noBreakHyphen/>
      </w:r>
      <w:r w:rsidR="007A0919" w:rsidRPr="00D33A17">
        <w:t>16.1% (-24.7,-7.3))</w:t>
      </w:r>
      <w:r w:rsidR="000661CF">
        <w:t xml:space="preserve">. </w:t>
      </w:r>
      <w:r w:rsidR="00110751" w:rsidRPr="00D33A17">
        <w:t xml:space="preserve">In </w:t>
      </w:r>
      <w:r w:rsidR="00B05C05" w:rsidRPr="00D33A17">
        <w:t xml:space="preserve">contrast, </w:t>
      </w:r>
      <w:r w:rsidR="00110751" w:rsidRPr="00D33A17">
        <w:t xml:space="preserve">the effect size for bezlotoxumab versus placebo was lower in patients with no CDI in the past 6 months RD (95%CI): </w:t>
      </w:r>
      <w:r w:rsidR="00894B9A" w:rsidRPr="00D33A17">
        <w:noBreakHyphen/>
      </w:r>
      <w:r w:rsidR="007E5ADA" w:rsidRPr="00D33A17">
        <w:t>7.4% (</w:t>
      </w:r>
      <w:r w:rsidR="007E5ADA" w:rsidRPr="00D33A17">
        <w:noBreakHyphen/>
      </w:r>
      <w:r w:rsidR="00DE4027" w:rsidRPr="00D33A17">
        <w:t>11.9,-3.0).</w:t>
      </w:r>
      <w:r w:rsidR="005A1BF3">
        <w:t xml:space="preserve"> </w:t>
      </w:r>
    </w:p>
    <w:p w:rsidR="005D1A1E" w:rsidRPr="000855D4" w:rsidRDefault="005D1A1E" w:rsidP="002471D4">
      <w:pPr>
        <w:pStyle w:val="ListParagraph"/>
        <w:numPr>
          <w:ilvl w:val="1"/>
          <w:numId w:val="4"/>
        </w:numPr>
        <w:autoSpaceDE w:val="0"/>
        <w:autoSpaceDN w:val="0"/>
        <w:adjustRightInd w:val="0"/>
        <w:spacing w:before="0" w:after="120"/>
        <w:jc w:val="both"/>
        <w:rPr>
          <w:rFonts w:eastAsia="OTNEJMQuadraat" w:cstheme="minorHAnsi"/>
          <w:szCs w:val="24"/>
        </w:rPr>
      </w:pPr>
      <w:r w:rsidRPr="00D33A17">
        <w:t xml:space="preserve">There is limited Australian data to permit a direct comparison of CDI recurrence risk with the trial population, however </w:t>
      </w:r>
      <w:r w:rsidR="007E5ADA" w:rsidRPr="00D33A17">
        <w:t>two studies</w:t>
      </w:r>
      <w:r w:rsidRPr="00D33A17">
        <w:t xml:space="preserve"> sourced during the evaluation </w:t>
      </w:r>
      <w:r w:rsidRPr="00D33A17">
        <w:rPr>
          <w:iCs/>
        </w:rPr>
        <w:t>suggested that the risk of recurrence in the Australian population in some aspects may be lower than in the MODIFY trials</w:t>
      </w:r>
      <w:r w:rsidR="000661CF">
        <w:rPr>
          <w:iCs/>
        </w:rPr>
        <w:t xml:space="preserve">. </w:t>
      </w:r>
      <w:r w:rsidRPr="00D33A17">
        <w:rPr>
          <w:iCs/>
        </w:rPr>
        <w:t xml:space="preserve">The study reported that </w:t>
      </w:r>
      <w:r w:rsidRPr="00D33A17">
        <w:t xml:space="preserve">across </w:t>
      </w:r>
      <w:r w:rsidRPr="00D33A17">
        <w:rPr>
          <w:iCs/>
        </w:rPr>
        <w:t>175 hospitals in a 2 months period in Queensland in early 2012</w:t>
      </w:r>
      <w:r w:rsidRPr="00D33A17">
        <w:rPr>
          <w:rStyle w:val="FootnoteReference"/>
          <w:iCs/>
        </w:rPr>
        <w:footnoteReference w:id="5"/>
      </w:r>
      <w:r w:rsidRPr="00D33A17">
        <w:rPr>
          <w:iCs/>
        </w:rPr>
        <w:t>, only 11.9% (20/168) of all patients who experienced a CDI episode have had a prior episode of CDI in the past 2 months, whereas 22.8% (375/1554) of patients in the combined MODIFY trials reported CDI in the past 3 months</w:t>
      </w:r>
      <w:r w:rsidR="000661CF">
        <w:rPr>
          <w:iCs/>
        </w:rPr>
        <w:t xml:space="preserve">. </w:t>
      </w:r>
      <w:r w:rsidRPr="00D33A17">
        <w:rPr>
          <w:iCs/>
        </w:rPr>
        <w:t>One Western Australian hospital cross section study (Foster 2014) also reported that only 17.5% (14/80) of CDI patients in the study reported any prior history of CDI.</w:t>
      </w:r>
      <w:r w:rsidR="005A1BF3">
        <w:rPr>
          <w:iCs/>
        </w:rPr>
        <w:t xml:space="preserve"> </w:t>
      </w:r>
      <w:r w:rsidR="005A1BF3" w:rsidRPr="000855D4">
        <w:rPr>
          <w:iCs/>
        </w:rPr>
        <w:t>However, it was not possible to conduct a comparison of the high-risk groups from the trial to a similar high-risk group in the Australian population.</w:t>
      </w:r>
    </w:p>
    <w:p w:rsidR="00EC6271" w:rsidRPr="00D33A17" w:rsidRDefault="00CE19DD" w:rsidP="002471D4">
      <w:pPr>
        <w:pStyle w:val="ListParagraph"/>
        <w:numPr>
          <w:ilvl w:val="1"/>
          <w:numId w:val="4"/>
        </w:numPr>
        <w:autoSpaceDE w:val="0"/>
        <w:autoSpaceDN w:val="0"/>
        <w:adjustRightInd w:val="0"/>
        <w:spacing w:before="0" w:after="120"/>
        <w:jc w:val="both"/>
      </w:pPr>
      <w:r w:rsidRPr="00D33A17">
        <w:t xml:space="preserve">The submission claimed that patients identified as ‘outpatients’ in </w:t>
      </w:r>
      <w:r w:rsidR="00D520AD" w:rsidRPr="00D33A17">
        <w:t xml:space="preserve">MODIFY I and MODIFY II </w:t>
      </w:r>
      <w:r w:rsidRPr="00D33A17">
        <w:t xml:space="preserve">would </w:t>
      </w:r>
      <w:r w:rsidR="00017D32" w:rsidRPr="00D33A17">
        <w:t xml:space="preserve">be most relevant to </w:t>
      </w:r>
      <w:r w:rsidR="0083506D" w:rsidRPr="00D33A17">
        <w:t>the requested PBS listing</w:t>
      </w:r>
      <w:r w:rsidR="00017D32" w:rsidRPr="00D33A17">
        <w:t xml:space="preserve"> since they re</w:t>
      </w:r>
      <w:r w:rsidRPr="00D33A17">
        <w:t>present patients who will be treated with bezlotoxumab in an outpatient setting</w:t>
      </w:r>
      <w:r w:rsidR="000661CF">
        <w:t xml:space="preserve">. </w:t>
      </w:r>
      <w:r w:rsidR="0083506D" w:rsidRPr="00D33A17">
        <w:t xml:space="preserve">This was </w:t>
      </w:r>
      <w:r w:rsidR="009B1780" w:rsidRPr="00D33A17">
        <w:t xml:space="preserve">not an </w:t>
      </w:r>
      <w:r w:rsidR="0083506D" w:rsidRPr="00D33A17">
        <w:t xml:space="preserve">appropriate assumption, in the trials </w:t>
      </w:r>
      <w:r w:rsidR="004651C8" w:rsidRPr="00D33A17">
        <w:rPr>
          <w:iCs/>
        </w:rPr>
        <w:t>this classification was based on a patient’s hospitalisation status at randomisation, and not where the patient was treated</w:t>
      </w:r>
      <w:r w:rsidR="000661CF">
        <w:rPr>
          <w:iCs/>
        </w:rPr>
        <w:t xml:space="preserve">. </w:t>
      </w:r>
      <w:r w:rsidR="005B3ECE" w:rsidRPr="00E047C8">
        <w:rPr>
          <w:iCs/>
        </w:rPr>
        <w:t>In addition</w:t>
      </w:r>
      <w:r w:rsidR="00E2187A" w:rsidRPr="00E047C8">
        <w:rPr>
          <w:iCs/>
        </w:rPr>
        <w:t>,</w:t>
      </w:r>
      <w:r w:rsidR="00E2187A" w:rsidRPr="00D33A17">
        <w:rPr>
          <w:iCs/>
        </w:rPr>
        <w:t xml:space="preserve"> some ‘outpatients’</w:t>
      </w:r>
      <w:r w:rsidR="00B90320" w:rsidRPr="00D33A17">
        <w:rPr>
          <w:iCs/>
        </w:rPr>
        <w:t xml:space="preserve"> had</w:t>
      </w:r>
      <w:r w:rsidR="00E2187A" w:rsidRPr="00D33A17">
        <w:rPr>
          <w:iCs/>
        </w:rPr>
        <w:t xml:space="preserve"> received treatment in the hospital and vice versa</w:t>
      </w:r>
      <w:r w:rsidR="000661CF">
        <w:rPr>
          <w:iCs/>
        </w:rPr>
        <w:t xml:space="preserve">. </w:t>
      </w:r>
      <w:r w:rsidR="008E4C40" w:rsidRPr="00D33A17">
        <w:rPr>
          <w:iCs/>
        </w:rPr>
        <w:t>Overall,</w:t>
      </w:r>
      <w:r w:rsidR="0047436D" w:rsidRPr="00D33A17">
        <w:rPr>
          <w:iCs/>
        </w:rPr>
        <w:t xml:space="preserve"> </w:t>
      </w:r>
      <w:r w:rsidR="00871BA2" w:rsidRPr="00D33A17">
        <w:rPr>
          <w:iCs/>
        </w:rPr>
        <w:t>i</w:t>
      </w:r>
      <w:r w:rsidR="0047436D" w:rsidRPr="00D33A17">
        <w:rPr>
          <w:iCs/>
        </w:rPr>
        <w:t>t was</w:t>
      </w:r>
      <w:r w:rsidR="00E2187A" w:rsidRPr="00D33A17">
        <w:rPr>
          <w:iCs/>
        </w:rPr>
        <w:t xml:space="preserve"> considered </w:t>
      </w:r>
      <w:r w:rsidR="00D520AD" w:rsidRPr="00D33A17">
        <w:rPr>
          <w:iCs/>
        </w:rPr>
        <w:t xml:space="preserve">unlikely that the </w:t>
      </w:r>
      <w:r w:rsidR="00AA11B6">
        <w:rPr>
          <w:iCs/>
        </w:rPr>
        <w:t>‘</w:t>
      </w:r>
      <w:r w:rsidR="00D520AD" w:rsidRPr="00D33A17">
        <w:rPr>
          <w:iCs/>
        </w:rPr>
        <w:t>outpa</w:t>
      </w:r>
      <w:r w:rsidR="00E2187A" w:rsidRPr="00D33A17">
        <w:rPr>
          <w:iCs/>
        </w:rPr>
        <w:t>tients</w:t>
      </w:r>
      <w:r w:rsidR="00AA11B6">
        <w:rPr>
          <w:iCs/>
        </w:rPr>
        <w:t>’</w:t>
      </w:r>
      <w:r w:rsidR="00E2187A" w:rsidRPr="00D33A17">
        <w:rPr>
          <w:iCs/>
        </w:rPr>
        <w:t xml:space="preserve"> subgroup in the trials would be </w:t>
      </w:r>
      <w:r w:rsidR="00D520AD" w:rsidRPr="00D33A17">
        <w:rPr>
          <w:iCs/>
        </w:rPr>
        <w:t xml:space="preserve">representative of the PBS population. </w:t>
      </w:r>
      <w:r w:rsidR="00B90320" w:rsidRPr="00D33A17">
        <w:t>A</w:t>
      </w:r>
      <w:r w:rsidR="008E4C40" w:rsidRPr="00D33A17">
        <w:t xml:space="preserve"> brief</w:t>
      </w:r>
      <w:r w:rsidR="00C55188" w:rsidRPr="00D33A17">
        <w:t xml:space="preserve"> comparison </w:t>
      </w:r>
      <w:r w:rsidR="008E4C40" w:rsidRPr="00D33A17">
        <w:t xml:space="preserve">of baseline </w:t>
      </w:r>
      <w:r w:rsidR="00C55188" w:rsidRPr="00D33A17">
        <w:t xml:space="preserve">demographics by </w:t>
      </w:r>
      <w:r w:rsidR="008E4C40" w:rsidRPr="00D33A17">
        <w:t xml:space="preserve">hospitalisation </w:t>
      </w:r>
      <w:r w:rsidR="00C55188" w:rsidRPr="00D33A17">
        <w:t xml:space="preserve">subgroup </w:t>
      </w:r>
      <w:r w:rsidR="007240FC" w:rsidRPr="00D33A17">
        <w:t>is presented below</w:t>
      </w:r>
      <w:r w:rsidR="000661CF">
        <w:t xml:space="preserve">. </w:t>
      </w:r>
      <w:r w:rsidR="007240FC" w:rsidRPr="00D33A17">
        <w:t xml:space="preserve">As the </w:t>
      </w:r>
      <w:r w:rsidR="00B90320" w:rsidRPr="00D33A17">
        <w:t xml:space="preserve">clinical study report </w:t>
      </w:r>
      <w:r w:rsidR="007240FC" w:rsidRPr="00D33A17">
        <w:t>and</w:t>
      </w:r>
      <w:r w:rsidR="00B90320" w:rsidRPr="00D33A17">
        <w:t xml:space="preserve"> published report do not </w:t>
      </w:r>
      <w:r w:rsidR="007240FC" w:rsidRPr="00D33A17">
        <w:t xml:space="preserve">report patient </w:t>
      </w:r>
      <w:r w:rsidR="00700A72" w:rsidRPr="00D33A17">
        <w:t>demographics</w:t>
      </w:r>
      <w:r w:rsidR="007240FC" w:rsidRPr="00D33A17">
        <w:t xml:space="preserve"> by hospitalisation subgroup, these numbers were not able to be </w:t>
      </w:r>
      <w:r w:rsidR="00B35CD0" w:rsidRPr="00D33A17">
        <w:t xml:space="preserve">independently </w:t>
      </w:r>
      <w:r w:rsidR="007240FC" w:rsidRPr="00D33A17">
        <w:t xml:space="preserve">verified </w:t>
      </w:r>
      <w:r w:rsidR="00B35CD0" w:rsidRPr="00D33A17">
        <w:t>during t</w:t>
      </w:r>
      <w:r w:rsidR="007240FC" w:rsidRPr="00D33A17">
        <w:t>he evaluation.</w:t>
      </w:r>
    </w:p>
    <w:p w:rsidR="00C55188" w:rsidRPr="00D33A17" w:rsidRDefault="00C55188" w:rsidP="00900949">
      <w:pPr>
        <w:spacing w:before="0" w:after="120"/>
        <w:rPr>
          <w:rFonts w:ascii="Arial Narrow" w:hAnsi="Arial Narrow"/>
          <w:b/>
          <w:bCs/>
          <w:iCs/>
          <w:sz w:val="20"/>
          <w:szCs w:val="20"/>
        </w:rPr>
      </w:pPr>
      <w:r w:rsidRPr="00D33A17">
        <w:rPr>
          <w:rFonts w:ascii="Arial Narrow" w:hAnsi="Arial Narrow"/>
          <w:b/>
          <w:bCs/>
          <w:iCs/>
          <w:sz w:val="20"/>
          <w:szCs w:val="20"/>
        </w:rPr>
        <w:t xml:space="preserve">Table </w:t>
      </w:r>
      <w:r w:rsidR="00BD31EB">
        <w:rPr>
          <w:rFonts w:ascii="Arial Narrow" w:hAnsi="Arial Narrow"/>
          <w:b/>
          <w:bCs/>
          <w:iCs/>
          <w:sz w:val="20"/>
          <w:szCs w:val="20"/>
        </w:rPr>
        <w:t>7</w:t>
      </w:r>
      <w:r w:rsidRPr="00D33A17">
        <w:rPr>
          <w:rFonts w:ascii="Arial Narrow" w:hAnsi="Arial Narrow"/>
          <w:b/>
          <w:bCs/>
          <w:iCs/>
          <w:sz w:val="20"/>
          <w:szCs w:val="20"/>
        </w:rPr>
        <w:t xml:space="preserve">: Comparison of patient demographics by hospitalisation status </w:t>
      </w:r>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7: Comparison of patient demographics by hospitalisation status "/>
      </w:tblPr>
      <w:tblGrid>
        <w:gridCol w:w="3681"/>
        <w:gridCol w:w="1701"/>
        <w:gridCol w:w="1276"/>
        <w:gridCol w:w="2409"/>
      </w:tblGrid>
      <w:tr w:rsidR="00C55188" w:rsidRPr="00D33A17" w:rsidTr="006F0AAB">
        <w:trPr>
          <w:cnfStyle w:val="100000000000" w:firstRow="1" w:lastRow="0" w:firstColumn="0" w:lastColumn="0" w:oddVBand="0" w:evenVBand="0" w:oddHBand="0" w:evenHBand="0" w:firstRowFirstColumn="0" w:firstRowLastColumn="0" w:lastRowFirstColumn="0" w:lastRowLastColumn="0"/>
          <w:tblHeader/>
        </w:trPr>
        <w:tc>
          <w:tcPr>
            <w:tcW w:w="3681" w:type="dxa"/>
            <w:shd w:val="clear" w:color="auto" w:fill="auto"/>
            <w:vAlign w:val="center"/>
          </w:tcPr>
          <w:p w:rsidR="00C55188" w:rsidRPr="00D33A17" w:rsidRDefault="00C55188" w:rsidP="0080485D">
            <w:pPr>
              <w:spacing w:before="0"/>
              <w:rPr>
                <w:rFonts w:ascii="Arial Narrow" w:hAnsi="Arial Narrow"/>
                <w:sz w:val="20"/>
                <w:szCs w:val="20"/>
                <w:lang w:val="en-AU"/>
              </w:rPr>
            </w:pPr>
            <w:r w:rsidRPr="00D33A17">
              <w:rPr>
                <w:rFonts w:ascii="Arial Narrow" w:hAnsi="Arial Narrow"/>
                <w:sz w:val="20"/>
                <w:szCs w:val="20"/>
                <w:lang w:val="en-AU"/>
              </w:rPr>
              <w:t>Parameter</w:t>
            </w:r>
          </w:p>
        </w:tc>
        <w:tc>
          <w:tcPr>
            <w:tcW w:w="1701" w:type="dxa"/>
            <w:shd w:val="clear" w:color="auto" w:fill="auto"/>
            <w:vAlign w:val="center"/>
          </w:tcPr>
          <w:p w:rsidR="00C55188" w:rsidRPr="00D33A17" w:rsidRDefault="00C55188" w:rsidP="00C55188">
            <w:pPr>
              <w:spacing w:before="0"/>
              <w:jc w:val="center"/>
              <w:rPr>
                <w:rFonts w:ascii="Arial Narrow" w:hAnsi="Arial Narrow"/>
                <w:sz w:val="20"/>
                <w:szCs w:val="20"/>
                <w:lang w:val="en-AU"/>
              </w:rPr>
            </w:pPr>
            <w:r w:rsidRPr="00D33A17">
              <w:rPr>
                <w:rFonts w:ascii="Arial Narrow" w:hAnsi="Arial Narrow"/>
                <w:sz w:val="20"/>
                <w:szCs w:val="20"/>
                <w:lang w:val="en-AU"/>
              </w:rPr>
              <w:t xml:space="preserve">Outpatient </w:t>
            </w:r>
          </w:p>
        </w:tc>
        <w:tc>
          <w:tcPr>
            <w:tcW w:w="1276"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Inpatient</w:t>
            </w:r>
          </w:p>
        </w:tc>
        <w:tc>
          <w:tcPr>
            <w:tcW w:w="2409" w:type="dxa"/>
            <w:shd w:val="clear" w:color="auto" w:fill="auto"/>
            <w:vAlign w:val="center"/>
          </w:tcPr>
          <w:p w:rsidR="00C55188" w:rsidRPr="00D33A17" w:rsidRDefault="00C55188" w:rsidP="00C55188">
            <w:pPr>
              <w:spacing w:before="0"/>
              <w:jc w:val="center"/>
              <w:rPr>
                <w:rFonts w:ascii="Arial Narrow" w:hAnsi="Arial Narrow"/>
                <w:sz w:val="20"/>
                <w:szCs w:val="20"/>
                <w:lang w:val="en-AU"/>
              </w:rPr>
            </w:pPr>
            <w:r w:rsidRPr="00D33A17">
              <w:rPr>
                <w:rFonts w:ascii="Arial Narrow" w:hAnsi="Arial Narrow"/>
                <w:sz w:val="20"/>
                <w:szCs w:val="20"/>
                <w:lang w:val="en-AU"/>
              </w:rPr>
              <w:t>Whole trial population</w:t>
            </w:r>
          </w:p>
        </w:tc>
      </w:tr>
      <w:tr w:rsidR="00C55188" w:rsidRPr="00D33A17" w:rsidTr="0080485D">
        <w:tc>
          <w:tcPr>
            <w:tcW w:w="9067" w:type="dxa"/>
            <w:gridSpan w:val="4"/>
            <w:shd w:val="clear" w:color="auto" w:fill="auto"/>
            <w:vAlign w:val="center"/>
          </w:tcPr>
          <w:p w:rsidR="00C55188" w:rsidRPr="00D33A17" w:rsidRDefault="00C55188" w:rsidP="0080485D">
            <w:pPr>
              <w:spacing w:before="0"/>
              <w:rPr>
                <w:rFonts w:ascii="Arial Narrow" w:hAnsi="Arial Narrow"/>
                <w:b/>
                <w:sz w:val="20"/>
                <w:szCs w:val="20"/>
                <w:lang w:val="en-AU"/>
              </w:rPr>
            </w:pPr>
            <w:r w:rsidRPr="00D33A17">
              <w:rPr>
                <w:rFonts w:ascii="Arial Narrow" w:hAnsi="Arial Narrow"/>
                <w:b/>
                <w:sz w:val="20"/>
                <w:szCs w:val="20"/>
                <w:lang w:val="en-AU"/>
              </w:rPr>
              <w:t>Patient demographics</w:t>
            </w:r>
          </w:p>
        </w:tc>
      </w:tr>
      <w:tr w:rsidR="00C55188" w:rsidRPr="00D33A17" w:rsidTr="0080485D">
        <w:tc>
          <w:tcPr>
            <w:tcW w:w="3681" w:type="dxa"/>
            <w:shd w:val="clear" w:color="auto" w:fill="auto"/>
            <w:vAlign w:val="center"/>
          </w:tcPr>
          <w:p w:rsidR="00C55188" w:rsidRPr="00D33A17" w:rsidRDefault="00C55188" w:rsidP="0080485D">
            <w:pPr>
              <w:spacing w:before="0"/>
              <w:rPr>
                <w:rFonts w:ascii="Arial Narrow" w:hAnsi="Arial Narrow"/>
                <w:sz w:val="20"/>
                <w:szCs w:val="20"/>
                <w:lang w:val="en-AU"/>
              </w:rPr>
            </w:pPr>
            <w:r w:rsidRPr="00D33A17">
              <w:rPr>
                <w:rFonts w:ascii="Arial Narrow" w:hAnsi="Arial Narrow"/>
                <w:sz w:val="20"/>
                <w:szCs w:val="20"/>
                <w:lang w:val="en-AU"/>
              </w:rPr>
              <w:t>Age of population (years)</w:t>
            </w:r>
          </w:p>
        </w:tc>
        <w:tc>
          <w:tcPr>
            <w:tcW w:w="1701"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56.7</w:t>
            </w:r>
          </w:p>
        </w:tc>
        <w:tc>
          <w:tcPr>
            <w:tcW w:w="1276"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65.6</w:t>
            </w:r>
          </w:p>
        </w:tc>
        <w:tc>
          <w:tcPr>
            <w:tcW w:w="2409"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62.7</w:t>
            </w:r>
          </w:p>
        </w:tc>
      </w:tr>
      <w:tr w:rsidR="00C55188" w:rsidRPr="00D33A17" w:rsidTr="0080485D">
        <w:tc>
          <w:tcPr>
            <w:tcW w:w="3681" w:type="dxa"/>
            <w:shd w:val="clear" w:color="auto" w:fill="auto"/>
            <w:vAlign w:val="center"/>
          </w:tcPr>
          <w:p w:rsidR="00C55188" w:rsidRPr="00D33A17" w:rsidRDefault="00C55188" w:rsidP="0080485D">
            <w:pPr>
              <w:spacing w:before="0"/>
              <w:rPr>
                <w:rFonts w:ascii="Arial Narrow" w:hAnsi="Arial Narrow"/>
                <w:sz w:val="20"/>
                <w:szCs w:val="20"/>
                <w:lang w:val="en-AU"/>
              </w:rPr>
            </w:pPr>
            <w:r w:rsidRPr="00D33A17">
              <w:rPr>
                <w:rFonts w:ascii="Arial Narrow" w:hAnsi="Arial Narrow"/>
                <w:sz w:val="20"/>
                <w:szCs w:val="20"/>
                <w:lang w:val="en-AU"/>
              </w:rPr>
              <w:t>Proportion of Female patients</w:t>
            </w:r>
          </w:p>
        </w:tc>
        <w:tc>
          <w:tcPr>
            <w:tcW w:w="1701"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63.3%</w:t>
            </w:r>
          </w:p>
        </w:tc>
        <w:tc>
          <w:tcPr>
            <w:tcW w:w="1276"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54.5%</w:t>
            </w:r>
          </w:p>
        </w:tc>
        <w:tc>
          <w:tcPr>
            <w:tcW w:w="2409"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57.3%</w:t>
            </w:r>
          </w:p>
        </w:tc>
      </w:tr>
      <w:tr w:rsidR="00C55188" w:rsidRPr="00D33A17" w:rsidTr="0080485D">
        <w:tc>
          <w:tcPr>
            <w:tcW w:w="3681" w:type="dxa"/>
            <w:shd w:val="clear" w:color="auto" w:fill="auto"/>
            <w:vAlign w:val="center"/>
          </w:tcPr>
          <w:p w:rsidR="00C55188" w:rsidRPr="00D33A17" w:rsidRDefault="00C55188" w:rsidP="0080485D">
            <w:pPr>
              <w:spacing w:before="0"/>
              <w:rPr>
                <w:rFonts w:ascii="Arial Narrow" w:hAnsi="Arial Narrow"/>
                <w:sz w:val="20"/>
                <w:szCs w:val="20"/>
                <w:lang w:val="en-AU"/>
              </w:rPr>
            </w:pPr>
            <w:r w:rsidRPr="00D33A17">
              <w:rPr>
                <w:rFonts w:ascii="Arial Narrow" w:hAnsi="Arial Narrow"/>
                <w:sz w:val="20"/>
                <w:szCs w:val="20"/>
                <w:lang w:val="en-AU"/>
              </w:rPr>
              <w:t>Proportion with mild/moderate CDI in index case</w:t>
            </w:r>
          </w:p>
        </w:tc>
        <w:tc>
          <w:tcPr>
            <w:tcW w:w="1701"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96.4%</w:t>
            </w:r>
          </w:p>
        </w:tc>
        <w:tc>
          <w:tcPr>
            <w:tcW w:w="1276"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77.2%</w:t>
            </w:r>
          </w:p>
        </w:tc>
        <w:tc>
          <w:tcPr>
            <w:tcW w:w="2409"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83.4%</w:t>
            </w:r>
          </w:p>
        </w:tc>
      </w:tr>
      <w:tr w:rsidR="00C55188" w:rsidRPr="00D33A17" w:rsidTr="0080485D">
        <w:tc>
          <w:tcPr>
            <w:tcW w:w="3681" w:type="dxa"/>
            <w:shd w:val="clear" w:color="auto" w:fill="auto"/>
            <w:vAlign w:val="center"/>
          </w:tcPr>
          <w:p w:rsidR="00C55188" w:rsidRPr="00D33A17" w:rsidRDefault="00C55188" w:rsidP="0080485D">
            <w:pPr>
              <w:spacing w:before="0"/>
              <w:rPr>
                <w:rFonts w:ascii="Arial Narrow" w:hAnsi="Arial Narrow"/>
                <w:sz w:val="20"/>
                <w:szCs w:val="20"/>
                <w:lang w:val="en-AU"/>
              </w:rPr>
            </w:pPr>
            <w:r w:rsidRPr="00D33A17">
              <w:rPr>
                <w:rFonts w:ascii="Arial Narrow" w:hAnsi="Arial Narrow"/>
                <w:sz w:val="20"/>
                <w:szCs w:val="20"/>
                <w:lang w:val="en-AU"/>
              </w:rPr>
              <w:t>Proportion of recurrence CDI which is severe</w:t>
            </w:r>
          </w:p>
        </w:tc>
        <w:tc>
          <w:tcPr>
            <w:tcW w:w="1701"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1.6%</w:t>
            </w:r>
          </w:p>
        </w:tc>
        <w:tc>
          <w:tcPr>
            <w:tcW w:w="1276"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16.2%</w:t>
            </w:r>
          </w:p>
        </w:tc>
        <w:tc>
          <w:tcPr>
            <w:tcW w:w="2409" w:type="dxa"/>
            <w:shd w:val="clear" w:color="auto" w:fill="auto"/>
            <w:vAlign w:val="center"/>
          </w:tcPr>
          <w:p w:rsidR="00C55188" w:rsidRPr="00D33A17" w:rsidRDefault="00C55188" w:rsidP="0080485D">
            <w:pPr>
              <w:spacing w:before="0"/>
              <w:jc w:val="center"/>
              <w:rPr>
                <w:rFonts w:ascii="Arial Narrow" w:hAnsi="Arial Narrow"/>
                <w:sz w:val="20"/>
                <w:szCs w:val="20"/>
                <w:lang w:val="en-AU"/>
              </w:rPr>
            </w:pPr>
            <w:r w:rsidRPr="00D33A17">
              <w:rPr>
                <w:rFonts w:ascii="Arial Narrow" w:hAnsi="Arial Narrow"/>
                <w:sz w:val="20"/>
                <w:szCs w:val="20"/>
                <w:lang w:val="en-AU"/>
              </w:rPr>
              <w:t>9.9%</w:t>
            </w:r>
          </w:p>
        </w:tc>
      </w:tr>
    </w:tbl>
    <w:p w:rsidR="00D520AD" w:rsidRPr="00D33A17" w:rsidRDefault="00C55188" w:rsidP="00C55188">
      <w:pPr>
        <w:autoSpaceDE w:val="0"/>
        <w:autoSpaceDN w:val="0"/>
        <w:adjustRightInd w:val="0"/>
        <w:spacing w:before="0" w:after="120"/>
        <w:jc w:val="both"/>
        <w:rPr>
          <w:rFonts w:ascii="Arial Narrow" w:eastAsia="OTNEJMQuadraat" w:hAnsi="Arial Narrow" w:cstheme="minorHAnsi"/>
          <w:sz w:val="20"/>
          <w:szCs w:val="20"/>
        </w:rPr>
      </w:pPr>
      <w:r w:rsidRPr="00D33A17">
        <w:rPr>
          <w:rFonts w:ascii="Arial Narrow" w:eastAsia="OTNEJMQuadraat" w:hAnsi="Arial Narrow" w:cstheme="minorHAnsi"/>
          <w:sz w:val="20"/>
          <w:szCs w:val="20"/>
        </w:rPr>
        <w:t>Source: extracted from Section 3 Model spreadsheet</w:t>
      </w:r>
    </w:p>
    <w:p w:rsidR="00802FA3" w:rsidRPr="000855D4" w:rsidRDefault="003A1B48" w:rsidP="002471D4">
      <w:pPr>
        <w:pStyle w:val="ListParagraph"/>
        <w:numPr>
          <w:ilvl w:val="1"/>
          <w:numId w:val="4"/>
        </w:numPr>
        <w:spacing w:before="0" w:after="120"/>
        <w:jc w:val="both"/>
      </w:pPr>
      <w:r w:rsidRPr="00D33A17">
        <w:t xml:space="preserve">Patients classified as ‘outpatients’ in the trials </w:t>
      </w:r>
      <w:r w:rsidR="00871BA2" w:rsidRPr="00D33A17">
        <w:t xml:space="preserve">were </w:t>
      </w:r>
      <w:r w:rsidRPr="00D33A17">
        <w:t>younger with a greater proportion of patients with mild/moderate disease and a lower proportion of patients with recurrent CDI which is severe</w:t>
      </w:r>
      <w:r w:rsidR="000661CF">
        <w:t xml:space="preserve">. </w:t>
      </w:r>
      <w:r w:rsidR="00802FA3" w:rsidRPr="00D33A17">
        <w:t xml:space="preserve">Despite this, </w:t>
      </w:r>
      <w:r w:rsidR="001C105C" w:rsidRPr="00D33A17">
        <w:t xml:space="preserve">CDI recurrence was greater in patients classified as </w:t>
      </w:r>
      <w:r w:rsidR="00554D4A" w:rsidRPr="00D33A17">
        <w:t>‘</w:t>
      </w:r>
      <w:r w:rsidR="00802FA3" w:rsidRPr="00D33A17">
        <w:t>outpatient</w:t>
      </w:r>
      <w:r w:rsidR="00554D4A" w:rsidRPr="00D33A17">
        <w:t>’</w:t>
      </w:r>
      <w:r w:rsidR="001C105C" w:rsidRPr="00D33A17">
        <w:t xml:space="preserve"> in the trials compared to </w:t>
      </w:r>
      <w:r w:rsidR="00554D4A" w:rsidRPr="00D33A17">
        <w:t>‘</w:t>
      </w:r>
      <w:r w:rsidR="001C105C" w:rsidRPr="00D33A17">
        <w:t>inpatients</w:t>
      </w:r>
      <w:r w:rsidR="00554D4A" w:rsidRPr="00D33A17">
        <w:t>’</w:t>
      </w:r>
      <w:r w:rsidR="000661CF">
        <w:t xml:space="preserve">. </w:t>
      </w:r>
      <w:r w:rsidR="00554D4A" w:rsidRPr="00D33A17">
        <w:t xml:space="preserve">The </w:t>
      </w:r>
      <w:r w:rsidR="00AC227B" w:rsidRPr="00D33A17">
        <w:t xml:space="preserve">risk difference </w:t>
      </w:r>
      <w:r w:rsidR="00554D4A" w:rsidRPr="00D33A17">
        <w:t xml:space="preserve">in CDI recurrence </w:t>
      </w:r>
      <w:r w:rsidR="00241747" w:rsidRPr="00D33A17">
        <w:t xml:space="preserve">between bezlotoxumab and placebo was also greater in the ‘outpatient’ subgroup </w:t>
      </w:r>
      <w:r w:rsidR="001C105C" w:rsidRPr="00D33A17">
        <w:t>-11.7% (</w:t>
      </w:r>
      <w:r w:rsidR="00241747" w:rsidRPr="00D33A17">
        <w:t xml:space="preserve">95%CI: </w:t>
      </w:r>
      <w:r w:rsidR="001C105C" w:rsidRPr="00D33A17">
        <w:t>-19.4,-3.8)</w:t>
      </w:r>
      <w:r w:rsidR="00802FA3" w:rsidRPr="00D33A17">
        <w:t xml:space="preserve"> </w:t>
      </w:r>
      <w:r w:rsidR="001C105C" w:rsidRPr="00D33A17">
        <w:t xml:space="preserve">versus </w:t>
      </w:r>
      <w:r w:rsidR="00802FA3" w:rsidRPr="00D33A17">
        <w:t>-9.3% (</w:t>
      </w:r>
      <w:r w:rsidR="00241747" w:rsidRPr="00D33A17">
        <w:t xml:space="preserve">95%CI: </w:t>
      </w:r>
      <w:r w:rsidR="00802FA3" w:rsidRPr="00D33A17">
        <w:t>-14.0,-4.6)</w:t>
      </w:r>
      <w:r w:rsidR="00241747" w:rsidRPr="00D33A17">
        <w:t xml:space="preserve"> in the ‘inpatient’ group and </w:t>
      </w:r>
      <w:r w:rsidR="00AC227B" w:rsidRPr="00D33A17">
        <w:t xml:space="preserve">-10.1 (95%CI: -14.2, 6.1) in </w:t>
      </w:r>
      <w:r w:rsidR="00241747" w:rsidRPr="00D33A17">
        <w:t xml:space="preserve">the whole trial </w:t>
      </w:r>
      <w:r w:rsidR="00AC227B" w:rsidRPr="00D33A17">
        <w:t>population.</w:t>
      </w:r>
      <w:r w:rsidR="005B3ECE">
        <w:t xml:space="preserve"> </w:t>
      </w:r>
      <w:r w:rsidR="005B3ECE" w:rsidRPr="000855D4">
        <w:t>The PSCR (p2) also presented a sub-group analysis of the ‘</w:t>
      </w:r>
      <w:r w:rsidR="00AA11B6" w:rsidRPr="000855D4">
        <w:t xml:space="preserve">high-risk </w:t>
      </w:r>
      <w:r w:rsidR="005B3ECE" w:rsidRPr="000855D4">
        <w:t>outpatient’</w:t>
      </w:r>
      <w:r w:rsidR="00AA11B6" w:rsidRPr="000855D4">
        <w:t xml:space="preserve"> population in the trial</w:t>
      </w:r>
      <w:r w:rsidR="000C297F" w:rsidRPr="000855D4">
        <w:t xml:space="preserve"> (</w:t>
      </w:r>
      <w:r w:rsidR="00546D83" w:rsidRPr="000855D4">
        <w:t>T</w:t>
      </w:r>
      <w:r w:rsidR="000C297F" w:rsidRPr="000855D4">
        <w:t>able 6)</w:t>
      </w:r>
      <w:r w:rsidR="005B3ECE" w:rsidRPr="000855D4">
        <w:t xml:space="preserve">, which showed a slightly greater reduction in the risk of recurrence compared to the total high-risk trial population. However, </w:t>
      </w:r>
      <w:r w:rsidR="00012F24">
        <w:t>PBAC agreed with</w:t>
      </w:r>
      <w:r w:rsidR="00012F24" w:rsidRPr="000855D4">
        <w:t xml:space="preserve"> </w:t>
      </w:r>
      <w:r w:rsidR="005B3ECE" w:rsidRPr="000855D4">
        <w:t xml:space="preserve">the </w:t>
      </w:r>
      <w:r w:rsidR="00AA11B6" w:rsidRPr="000855D4">
        <w:t xml:space="preserve">ESC that for the reasons outlined above the outpatient sub-population </w:t>
      </w:r>
      <w:r w:rsidR="00012F24">
        <w:t>was</w:t>
      </w:r>
      <w:r w:rsidR="00012F24" w:rsidRPr="000855D4">
        <w:t xml:space="preserve"> </w:t>
      </w:r>
      <w:r w:rsidR="00AA11B6" w:rsidRPr="000855D4">
        <w:t>inappropriate, and therefore the whole of trial high</w:t>
      </w:r>
      <w:r w:rsidR="00960EA9">
        <w:noBreakHyphen/>
      </w:r>
      <w:r w:rsidR="00AA11B6" w:rsidRPr="000855D4">
        <w:t>risk group should be used.</w:t>
      </w:r>
      <w:r w:rsidR="00012F24">
        <w:t xml:space="preserve"> The PBAC noted that the reduction in risk of recurrence was slightly greater in the hig</w:t>
      </w:r>
      <w:r w:rsidR="00960EA9">
        <w:t>h</w:t>
      </w:r>
      <w:r w:rsidR="00012F24">
        <w:t>-risk subgroup of patients, but that the difference remained modest.</w:t>
      </w:r>
    </w:p>
    <w:p w:rsidR="002C6677" w:rsidRPr="00FF286D" w:rsidRDefault="002C6677" w:rsidP="002471D4">
      <w:pPr>
        <w:pStyle w:val="ListParagraph"/>
        <w:numPr>
          <w:ilvl w:val="1"/>
          <w:numId w:val="4"/>
        </w:numPr>
        <w:spacing w:before="0" w:after="120"/>
        <w:jc w:val="both"/>
      </w:pPr>
      <w:r w:rsidRPr="00D33A17">
        <w:t>The submission also presented data from an extension study of MODIFY II, in which some patients (100 patients treated with bezlotoxumab and 83 patients treated with placebo) were observed for an additional nine months after MODIFY II for a total of 12 months</w:t>
      </w:r>
      <w:r w:rsidR="001E65AE" w:rsidRPr="00D33A17">
        <w:t xml:space="preserve">, however </w:t>
      </w:r>
      <w:r w:rsidR="001E65AE" w:rsidRPr="00D33A17">
        <w:rPr>
          <w:iCs/>
        </w:rPr>
        <w:t>t</w:t>
      </w:r>
      <w:r w:rsidRPr="00D33A17">
        <w:rPr>
          <w:iCs/>
        </w:rPr>
        <w:t xml:space="preserve">he </w:t>
      </w:r>
      <w:r w:rsidR="001E65AE" w:rsidRPr="00D33A17">
        <w:rPr>
          <w:iCs/>
        </w:rPr>
        <w:t xml:space="preserve">inclusion </w:t>
      </w:r>
      <w:r w:rsidRPr="00D33A17">
        <w:rPr>
          <w:iCs/>
        </w:rPr>
        <w:t>criteria for the MODIFY II extension study were unclear</w:t>
      </w:r>
      <w:r w:rsidR="000661CF">
        <w:rPr>
          <w:iCs/>
        </w:rPr>
        <w:t xml:space="preserve">. </w:t>
      </w:r>
      <w:r w:rsidRPr="00D33A17">
        <w:t>In all patients observed in the MODIFY II extension study, only one additional case of CDI recurrence (in a patient treated with placebo) was reported after Week 12</w:t>
      </w:r>
      <w:r w:rsidR="000661CF">
        <w:t xml:space="preserve">. </w:t>
      </w:r>
      <w:r w:rsidRPr="00D33A17">
        <w:t>Based on this evidence, the submission assumed that CDI recurrence was unlikely to occur after 12 weeks of the index CDI episode</w:t>
      </w:r>
      <w:r w:rsidR="0014236C" w:rsidRPr="00D33A17">
        <w:t xml:space="preserve"> and that bezlotoxumab prevents rather than just delay CDI recurrence beyond 12 weeks</w:t>
      </w:r>
      <w:r w:rsidR="000661CF">
        <w:t xml:space="preserve">. </w:t>
      </w:r>
      <w:r w:rsidRPr="00D33A17">
        <w:rPr>
          <w:iCs/>
        </w:rPr>
        <w:t>Whil</w:t>
      </w:r>
      <w:r w:rsidR="005469C4" w:rsidRPr="00D33A17">
        <w:rPr>
          <w:iCs/>
        </w:rPr>
        <w:t>e</w:t>
      </w:r>
      <w:r w:rsidRPr="00D33A17">
        <w:rPr>
          <w:iCs/>
        </w:rPr>
        <w:t xml:space="preserve"> this </w:t>
      </w:r>
      <w:r w:rsidR="005469C4" w:rsidRPr="00D33A17">
        <w:rPr>
          <w:iCs/>
        </w:rPr>
        <w:t>was</w:t>
      </w:r>
      <w:r w:rsidRPr="00D33A17">
        <w:rPr>
          <w:iCs/>
        </w:rPr>
        <w:t xml:space="preserve"> reasonable, </w:t>
      </w:r>
      <w:r w:rsidR="005469C4" w:rsidRPr="00D33A17">
        <w:rPr>
          <w:iCs/>
        </w:rPr>
        <w:t xml:space="preserve">it was unknown whether </w:t>
      </w:r>
      <w:r w:rsidRPr="00D33A17">
        <w:rPr>
          <w:iCs/>
        </w:rPr>
        <w:t xml:space="preserve">this effect will persist beyond one year and up to 10 years (as </w:t>
      </w:r>
      <w:r w:rsidR="005469C4" w:rsidRPr="00D33A17">
        <w:rPr>
          <w:iCs/>
        </w:rPr>
        <w:t xml:space="preserve">was </w:t>
      </w:r>
      <w:r w:rsidR="00AC227B" w:rsidRPr="00D33A17">
        <w:rPr>
          <w:iCs/>
        </w:rPr>
        <w:t xml:space="preserve">estimated </w:t>
      </w:r>
      <w:r w:rsidRPr="00D33A17">
        <w:rPr>
          <w:iCs/>
        </w:rPr>
        <w:t>in the base case of the economic evaluation)</w:t>
      </w:r>
      <w:r w:rsidR="005469C4" w:rsidRPr="00D33A17">
        <w:rPr>
          <w:iCs/>
        </w:rPr>
        <w:t>.</w:t>
      </w:r>
    </w:p>
    <w:p w:rsidR="00F073E4" w:rsidRPr="00D33A17" w:rsidRDefault="00F073E4" w:rsidP="00F073E4">
      <w:pPr>
        <w:pStyle w:val="Heading2"/>
        <w:rPr>
          <w:i w:val="0"/>
        </w:rPr>
      </w:pPr>
      <w:bookmarkStart w:id="15" w:name="_Toc413139279"/>
      <w:bookmarkStart w:id="16" w:name="_Toc492999814"/>
      <w:r w:rsidRPr="00D33A17">
        <w:rPr>
          <w:i w:val="0"/>
        </w:rPr>
        <w:t>Comparative harms</w:t>
      </w:r>
      <w:bookmarkEnd w:id="15"/>
      <w:bookmarkEnd w:id="16"/>
    </w:p>
    <w:p w:rsidR="002C6677" w:rsidRPr="00D33A17" w:rsidRDefault="002C6677" w:rsidP="002471D4">
      <w:pPr>
        <w:pStyle w:val="ListParagraph"/>
        <w:numPr>
          <w:ilvl w:val="1"/>
          <w:numId w:val="4"/>
        </w:numPr>
        <w:spacing w:before="0" w:after="120"/>
        <w:jc w:val="both"/>
        <w:rPr>
          <w:iCs/>
        </w:rPr>
      </w:pPr>
      <w:r w:rsidRPr="00D33A17">
        <w:rPr>
          <w:iCs/>
        </w:rPr>
        <w:t>Overall</w:t>
      </w:r>
      <w:r w:rsidRPr="00D33A17">
        <w:t>, there were no statistically significant differences in adverse events (AEs) between bezlotoxumab and placebo treatment groups in MODIFY I and MODIFY II</w:t>
      </w:r>
      <w:r w:rsidR="000661CF">
        <w:t xml:space="preserve">. </w:t>
      </w:r>
      <w:r w:rsidRPr="00D33A17">
        <w:rPr>
          <w:iCs/>
        </w:rPr>
        <w:t>The most commonly reported adverse events in the MODIFY I and MODIFY II trials for bezlotoxumab and placebo were infusion specific AEs (9%), nausea (2%), headache (2%), dizziness (1%), fatigue (1%) and pyrexia (1%)</w:t>
      </w:r>
      <w:r w:rsidR="000661CF">
        <w:rPr>
          <w:iCs/>
        </w:rPr>
        <w:t xml:space="preserve">. </w:t>
      </w:r>
      <w:r w:rsidR="00196E83" w:rsidRPr="00D33A17">
        <w:rPr>
          <w:iCs/>
        </w:rPr>
        <w:t>The most frequently reported AEs</w:t>
      </w:r>
      <w:r w:rsidR="009843A8" w:rsidRPr="00D33A17">
        <w:rPr>
          <w:iCs/>
        </w:rPr>
        <w:t xml:space="preserve"> with a fatal outcome in the bezlotoxumab and placebo treatment arms of the trials </w:t>
      </w:r>
      <w:r w:rsidR="00196E83" w:rsidRPr="00D33A17">
        <w:rPr>
          <w:iCs/>
        </w:rPr>
        <w:t>were septic shock (</w:t>
      </w:r>
      <w:r w:rsidR="0088436A" w:rsidRPr="00D33A17">
        <w:rPr>
          <w:iCs/>
        </w:rPr>
        <w:t>0.8</w:t>
      </w:r>
      <w:r w:rsidR="00196E83" w:rsidRPr="00D33A17">
        <w:rPr>
          <w:iCs/>
        </w:rPr>
        <w:t>%), sepsis (</w:t>
      </w:r>
      <w:r w:rsidR="0088436A" w:rsidRPr="00D33A17">
        <w:rPr>
          <w:iCs/>
        </w:rPr>
        <w:t>0.8</w:t>
      </w:r>
      <w:r w:rsidR="00196E83" w:rsidRPr="00D33A17">
        <w:rPr>
          <w:iCs/>
        </w:rPr>
        <w:t>%), pneumonia (0.</w:t>
      </w:r>
      <w:r w:rsidR="0088436A" w:rsidRPr="00D33A17">
        <w:rPr>
          <w:iCs/>
        </w:rPr>
        <w:t>6</w:t>
      </w:r>
      <w:r w:rsidR="00196E83" w:rsidRPr="00D33A17">
        <w:rPr>
          <w:iCs/>
        </w:rPr>
        <w:t xml:space="preserve">%), cardiac failure (0.4%), </w:t>
      </w:r>
      <w:r w:rsidR="009843A8" w:rsidRPr="00D33A17">
        <w:rPr>
          <w:iCs/>
        </w:rPr>
        <w:t xml:space="preserve">and </w:t>
      </w:r>
      <w:r w:rsidR="00196E83" w:rsidRPr="00D33A17">
        <w:rPr>
          <w:iCs/>
        </w:rPr>
        <w:t xml:space="preserve">respiratory failure (0.4%). </w:t>
      </w:r>
    </w:p>
    <w:p w:rsidR="00F073E4" w:rsidRPr="004F6BAE" w:rsidRDefault="0085432D" w:rsidP="002471D4">
      <w:pPr>
        <w:pStyle w:val="ListParagraph"/>
        <w:numPr>
          <w:ilvl w:val="1"/>
          <w:numId w:val="4"/>
        </w:numPr>
        <w:spacing w:before="0" w:after="120"/>
        <w:jc w:val="both"/>
        <w:rPr>
          <w:iCs/>
        </w:rPr>
      </w:pPr>
      <w:r w:rsidRPr="00D33A17">
        <w:t>With respect to infusion specific AEs</w:t>
      </w:r>
      <w:r w:rsidR="00244219" w:rsidRPr="00D33A17">
        <w:t xml:space="preserve"> (</w:t>
      </w:r>
      <w:r w:rsidR="0014236C" w:rsidRPr="00D33A17">
        <w:t xml:space="preserve">including </w:t>
      </w:r>
      <w:r w:rsidR="00244219" w:rsidRPr="00D33A17">
        <w:t xml:space="preserve">local infusion site </w:t>
      </w:r>
      <w:r w:rsidR="0014236C" w:rsidRPr="00D33A17">
        <w:t xml:space="preserve">as well as </w:t>
      </w:r>
      <w:r w:rsidR="00244219" w:rsidRPr="00D33A17">
        <w:t xml:space="preserve">systemic </w:t>
      </w:r>
      <w:r w:rsidR="00417206" w:rsidRPr="00D33A17">
        <w:t>AEs</w:t>
      </w:r>
      <w:r w:rsidR="00244219" w:rsidRPr="00D33A17">
        <w:t>)</w:t>
      </w:r>
      <w:r w:rsidRPr="00D33A17">
        <w:t>, a</w:t>
      </w:r>
      <w:r w:rsidR="00B969B3" w:rsidRPr="00D33A17">
        <w:t>lthough</w:t>
      </w:r>
      <w:r w:rsidR="00F073E4" w:rsidRPr="00D33A17">
        <w:t xml:space="preserve"> no</w:t>
      </w:r>
      <w:r w:rsidR="00B969B3" w:rsidRPr="00D33A17">
        <w:t>t</w:t>
      </w:r>
      <w:r w:rsidR="00F073E4" w:rsidRPr="00D33A17">
        <w:t xml:space="preserve"> statistically significant</w:t>
      </w:r>
      <w:r w:rsidR="00B969B3" w:rsidRPr="00D33A17">
        <w:t xml:space="preserve">, there was a trend for </w:t>
      </w:r>
      <w:r w:rsidRPr="00D33A17">
        <w:t xml:space="preserve">more events </w:t>
      </w:r>
      <w:r w:rsidR="0012283C" w:rsidRPr="00D33A17">
        <w:t xml:space="preserve">in patients </w:t>
      </w:r>
      <w:r w:rsidRPr="00D33A17">
        <w:t xml:space="preserve">treated with bezlotoxumab </w:t>
      </w:r>
      <w:r w:rsidR="00B969B3" w:rsidRPr="00D33A17">
        <w:t xml:space="preserve">compared to </w:t>
      </w:r>
      <w:r w:rsidR="00F073E4" w:rsidRPr="00D33A17">
        <w:t>placebo (</w:t>
      </w:r>
      <w:r w:rsidR="00F63547" w:rsidRPr="00D33A17">
        <w:t xml:space="preserve">10% vs. </w:t>
      </w:r>
      <w:r w:rsidR="00F073E4" w:rsidRPr="00D33A17">
        <w:t>8%</w:t>
      </w:r>
      <w:r w:rsidR="00B969B3" w:rsidRPr="00D33A17">
        <w:t xml:space="preserve">; </w:t>
      </w:r>
      <w:r w:rsidR="00F073E4" w:rsidRPr="00D33A17">
        <w:t>p=0.056)</w:t>
      </w:r>
      <w:r w:rsidR="000661CF">
        <w:t xml:space="preserve">. </w:t>
      </w:r>
      <w:r w:rsidR="00814C7E" w:rsidRPr="00D33A17">
        <w:t>Furthermore,</w:t>
      </w:r>
      <w:r w:rsidR="0012283C" w:rsidRPr="00D33A17">
        <w:t xml:space="preserve"> it should be noted that </w:t>
      </w:r>
      <w:r w:rsidR="001B0672" w:rsidRPr="00D33A17">
        <w:rPr>
          <w:iCs/>
        </w:rPr>
        <w:t xml:space="preserve">in clinical practice, </w:t>
      </w:r>
      <w:r w:rsidR="00F073E4" w:rsidRPr="00D33A17">
        <w:rPr>
          <w:iCs/>
        </w:rPr>
        <w:t>SoC</w:t>
      </w:r>
      <w:r w:rsidR="00B969B3" w:rsidRPr="00D33A17">
        <w:rPr>
          <w:iCs/>
        </w:rPr>
        <w:t xml:space="preserve"> would</w:t>
      </w:r>
      <w:r w:rsidR="00F073E4" w:rsidRPr="00D33A17">
        <w:rPr>
          <w:iCs/>
        </w:rPr>
        <w:t xml:space="preserve"> not </w:t>
      </w:r>
      <w:r w:rsidR="00B969B3" w:rsidRPr="00D33A17">
        <w:rPr>
          <w:iCs/>
        </w:rPr>
        <w:t xml:space="preserve">require </w:t>
      </w:r>
      <w:r w:rsidR="00F073E4" w:rsidRPr="00D33A17">
        <w:rPr>
          <w:iCs/>
        </w:rPr>
        <w:t xml:space="preserve">all patients </w:t>
      </w:r>
      <w:r w:rsidR="00B969B3" w:rsidRPr="00D33A17">
        <w:rPr>
          <w:iCs/>
        </w:rPr>
        <w:t>to have</w:t>
      </w:r>
      <w:r w:rsidR="00F073E4" w:rsidRPr="00D33A17">
        <w:rPr>
          <w:iCs/>
        </w:rPr>
        <w:t xml:space="preserve"> an infusion</w:t>
      </w:r>
      <w:r w:rsidR="003B4DB5" w:rsidRPr="00D33A17">
        <w:rPr>
          <w:iCs/>
        </w:rPr>
        <w:t xml:space="preserve"> </w:t>
      </w:r>
      <w:r w:rsidR="00F073E4" w:rsidRPr="00D33A17">
        <w:rPr>
          <w:iCs/>
        </w:rPr>
        <w:t>and</w:t>
      </w:r>
      <w:r w:rsidR="00AD6DB5" w:rsidRPr="00D33A17">
        <w:rPr>
          <w:iCs/>
        </w:rPr>
        <w:t>,</w:t>
      </w:r>
      <w:r w:rsidR="00F073E4" w:rsidRPr="00D33A17">
        <w:rPr>
          <w:iCs/>
        </w:rPr>
        <w:t xml:space="preserve"> as such, </w:t>
      </w:r>
      <w:r w:rsidR="003B4DB5" w:rsidRPr="00D33A17">
        <w:rPr>
          <w:iCs/>
        </w:rPr>
        <w:t xml:space="preserve">most of the </w:t>
      </w:r>
      <w:r w:rsidR="00F073E4" w:rsidRPr="00D33A17">
        <w:rPr>
          <w:iCs/>
        </w:rPr>
        <w:t xml:space="preserve">infusion </w:t>
      </w:r>
      <w:r w:rsidR="008E62C9" w:rsidRPr="00D33A17">
        <w:rPr>
          <w:iCs/>
        </w:rPr>
        <w:t xml:space="preserve">specific AEs </w:t>
      </w:r>
      <w:r w:rsidR="00F073E4" w:rsidRPr="00D33A17">
        <w:rPr>
          <w:iCs/>
        </w:rPr>
        <w:t xml:space="preserve">from </w:t>
      </w:r>
      <w:r w:rsidR="008E62C9" w:rsidRPr="00D33A17">
        <w:rPr>
          <w:iCs/>
        </w:rPr>
        <w:t xml:space="preserve">the </w:t>
      </w:r>
      <w:r w:rsidR="00F073E4" w:rsidRPr="00D33A17">
        <w:rPr>
          <w:iCs/>
        </w:rPr>
        <w:t xml:space="preserve">administration of bezlotoxumab </w:t>
      </w:r>
      <w:r w:rsidR="00B914D0" w:rsidRPr="00D33A17">
        <w:rPr>
          <w:iCs/>
        </w:rPr>
        <w:t>could be</w:t>
      </w:r>
      <w:r w:rsidR="00F073E4" w:rsidRPr="00D33A17">
        <w:rPr>
          <w:iCs/>
        </w:rPr>
        <w:t xml:space="preserve"> considered additional to current SoC.</w:t>
      </w:r>
      <w:r w:rsidR="000C297F">
        <w:rPr>
          <w:iCs/>
        </w:rPr>
        <w:t xml:space="preserve"> </w:t>
      </w:r>
      <w:r w:rsidR="000C297F" w:rsidRPr="004F6BAE">
        <w:rPr>
          <w:iCs/>
        </w:rPr>
        <w:t xml:space="preserve">The </w:t>
      </w:r>
      <w:r w:rsidR="00BC6904">
        <w:rPr>
          <w:iCs/>
        </w:rPr>
        <w:t xml:space="preserve">PBAC agreed with the </w:t>
      </w:r>
      <w:r w:rsidR="000C297F" w:rsidRPr="004F6BAE">
        <w:rPr>
          <w:iCs/>
        </w:rPr>
        <w:t>ESC that it was more reasonable to assume that the rate</w:t>
      </w:r>
      <w:r w:rsidR="00546D83" w:rsidRPr="004F6BAE">
        <w:rPr>
          <w:iCs/>
        </w:rPr>
        <w:t xml:space="preserve"> of</w:t>
      </w:r>
      <w:r w:rsidR="000C297F" w:rsidRPr="004F6BAE">
        <w:rPr>
          <w:iCs/>
        </w:rPr>
        <w:t xml:space="preserve"> infusion reactions for bezlotoxumab would be closer to 10%</w:t>
      </w:r>
      <w:r w:rsidR="009E6F99" w:rsidRPr="004F6BAE">
        <w:rPr>
          <w:iCs/>
        </w:rPr>
        <w:t xml:space="preserve"> and be additional to SoC</w:t>
      </w:r>
      <w:r w:rsidR="000C297F" w:rsidRPr="004F6BAE">
        <w:rPr>
          <w:iCs/>
        </w:rPr>
        <w:t>.</w:t>
      </w:r>
    </w:p>
    <w:p w:rsidR="00F073E4" w:rsidRPr="00D33A17" w:rsidRDefault="00F073E4" w:rsidP="002471D4">
      <w:pPr>
        <w:pStyle w:val="ListParagraph"/>
        <w:numPr>
          <w:ilvl w:val="1"/>
          <w:numId w:val="4"/>
        </w:numPr>
        <w:spacing w:before="0" w:after="120"/>
        <w:jc w:val="both"/>
      </w:pPr>
      <w:r w:rsidRPr="00D33A17">
        <w:t xml:space="preserve">There were </w:t>
      </w:r>
      <w:r w:rsidR="00B914D0" w:rsidRPr="00D33A17">
        <w:t xml:space="preserve">no </w:t>
      </w:r>
      <w:r w:rsidRPr="00D33A17">
        <w:t>statistically significant differences in the number of deaths reported between treatment groups in MODIFY I and MODIFY II</w:t>
      </w:r>
      <w:r w:rsidR="000661CF">
        <w:t xml:space="preserve">. </w:t>
      </w:r>
      <w:r w:rsidRPr="00D33A17">
        <w:t>The numbers of deaths were low in the MODIFY trials and were numerically similar between placebo and bezlotoxumab at Week 12 (</w:t>
      </w:r>
      <w:r w:rsidR="00244219" w:rsidRPr="00D33A17">
        <w:t>pooled MODIFY I and MODIFY II, 59/781</w:t>
      </w:r>
      <w:r w:rsidR="00617EB5" w:rsidRPr="00D33A17">
        <w:t xml:space="preserve"> </w:t>
      </w:r>
      <w:r w:rsidR="00244219" w:rsidRPr="00D33A17">
        <w:t>(</w:t>
      </w:r>
      <w:r w:rsidRPr="00D33A17">
        <w:t>7.6%</w:t>
      </w:r>
      <w:r w:rsidR="00244219" w:rsidRPr="00D33A17">
        <w:t>)</w:t>
      </w:r>
      <w:r w:rsidRPr="00D33A17">
        <w:t xml:space="preserve"> and </w:t>
      </w:r>
      <w:r w:rsidR="00244219" w:rsidRPr="00D33A17">
        <w:t>56/786</w:t>
      </w:r>
      <w:r w:rsidR="00617EB5" w:rsidRPr="00D33A17">
        <w:t xml:space="preserve"> </w:t>
      </w:r>
      <w:r w:rsidR="00244219" w:rsidRPr="00D33A17">
        <w:t>(</w:t>
      </w:r>
      <w:r w:rsidRPr="00D33A17">
        <w:t>7.1%</w:t>
      </w:r>
      <w:r w:rsidR="00244219" w:rsidRPr="00D33A17">
        <w:t>)</w:t>
      </w:r>
      <w:r w:rsidR="00F969B4" w:rsidRPr="00D33A17">
        <w:t>,</w:t>
      </w:r>
      <w:r w:rsidRPr="00D33A17">
        <w:t xml:space="preserve"> respectively)</w:t>
      </w:r>
      <w:r w:rsidR="000661CF">
        <w:t xml:space="preserve">. </w:t>
      </w:r>
      <w:r w:rsidR="002C6677" w:rsidRPr="00D33A17">
        <w:t xml:space="preserve"> </w:t>
      </w:r>
    </w:p>
    <w:p w:rsidR="00F073E4" w:rsidRPr="00D33A17" w:rsidRDefault="00F073E4" w:rsidP="002471D4">
      <w:pPr>
        <w:pStyle w:val="ListParagraph"/>
        <w:numPr>
          <w:ilvl w:val="1"/>
          <w:numId w:val="4"/>
        </w:numPr>
        <w:spacing w:before="0" w:after="120"/>
        <w:jc w:val="both"/>
      </w:pPr>
      <w:r w:rsidRPr="00D33A17">
        <w:t>In the US prescri</w:t>
      </w:r>
      <w:r w:rsidR="00CF5AB6" w:rsidRPr="00D33A17">
        <w:t>bing</w:t>
      </w:r>
      <w:r w:rsidRPr="00D33A17">
        <w:t xml:space="preserve"> information, FDA note</w:t>
      </w:r>
      <w:r w:rsidR="00CF5AB6" w:rsidRPr="00D33A17">
        <w:t>d</w:t>
      </w:r>
      <w:r w:rsidRPr="00D33A17">
        <w:t xml:space="preserve"> that heart failure was reported more commonly in patients with a history of congestive heart failure (CHF)</w:t>
      </w:r>
      <w:r w:rsidR="000C6AFF" w:rsidRPr="00D33A17">
        <w:t xml:space="preserve"> taking bezlotoxumab,</w:t>
      </w:r>
      <w:r w:rsidRPr="00D33A17">
        <w:t xml:space="preserve"> and bezlotoxumab should </w:t>
      </w:r>
      <w:r w:rsidR="00CF5AB6" w:rsidRPr="00D33A17">
        <w:t xml:space="preserve">only </w:t>
      </w:r>
      <w:r w:rsidRPr="00D33A17">
        <w:t>be used if benefits outweigh the risk</w:t>
      </w:r>
      <w:r w:rsidR="000661CF">
        <w:t xml:space="preserve">. </w:t>
      </w:r>
    </w:p>
    <w:p w:rsidR="00F073E4" w:rsidRPr="00D33A17" w:rsidRDefault="00F073E4" w:rsidP="00F073E4">
      <w:pPr>
        <w:pStyle w:val="Heading2"/>
        <w:rPr>
          <w:i w:val="0"/>
        </w:rPr>
      </w:pPr>
      <w:bookmarkStart w:id="17" w:name="_Toc492999815"/>
      <w:bookmarkStart w:id="18" w:name="_Toc413139281"/>
      <w:r w:rsidRPr="00D33A17">
        <w:rPr>
          <w:i w:val="0"/>
        </w:rPr>
        <w:t>Benefits and harms</w:t>
      </w:r>
      <w:bookmarkEnd w:id="17"/>
    </w:p>
    <w:p w:rsidR="00F073E4" w:rsidRPr="00D33A17" w:rsidRDefault="00F073E4" w:rsidP="002471D4">
      <w:pPr>
        <w:pStyle w:val="ListParagraph"/>
        <w:numPr>
          <w:ilvl w:val="1"/>
          <w:numId w:val="4"/>
        </w:numPr>
        <w:spacing w:before="0" w:after="120"/>
        <w:jc w:val="both"/>
      </w:pPr>
      <w:r w:rsidRPr="00D33A17">
        <w:t xml:space="preserve">A summary of the comparative benefits and harms for bezlotoxumab plus SoC versus SoC </w:t>
      </w:r>
      <w:r w:rsidR="00B44BA8" w:rsidRPr="00D33A17">
        <w:t>alone is</w:t>
      </w:r>
      <w:r w:rsidRPr="00D33A17">
        <w:t xml:space="preserve"> presented in Table </w:t>
      </w:r>
      <w:r w:rsidR="00BD31EB">
        <w:t>8</w:t>
      </w:r>
      <w:r w:rsidR="00BD31EB" w:rsidRPr="00D33A17">
        <w:t xml:space="preserve"> </w:t>
      </w:r>
      <w:r w:rsidRPr="00D33A17">
        <w:t xml:space="preserve">below. </w:t>
      </w:r>
    </w:p>
    <w:p w:rsidR="00F073E4" w:rsidRPr="00D33A17" w:rsidRDefault="00F073E4" w:rsidP="002C6677">
      <w:pPr>
        <w:pStyle w:val="TableHeading0"/>
        <w:spacing w:after="0"/>
      </w:pPr>
      <w:r w:rsidRPr="00D33A17">
        <w:t xml:space="preserve">Table </w:t>
      </w:r>
      <w:r w:rsidR="00BD31EB">
        <w:t>8</w:t>
      </w:r>
      <w:r w:rsidRPr="00D33A17">
        <w:t xml:space="preserve">: Summary of comparative benefits and harms for bezlotoxumab and SoC </w:t>
      </w:r>
    </w:p>
    <w:tbl>
      <w:tblPr>
        <w:tblStyle w:val="TableGrid"/>
        <w:tblW w:w="499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comparative benefits and harms for bezlotoxumab and SoC "/>
      </w:tblPr>
      <w:tblGrid>
        <w:gridCol w:w="1968"/>
        <w:gridCol w:w="1212"/>
        <w:gridCol w:w="214"/>
        <w:gridCol w:w="1000"/>
        <w:gridCol w:w="1292"/>
        <w:gridCol w:w="1279"/>
        <w:gridCol w:w="856"/>
        <w:gridCol w:w="33"/>
        <w:gridCol w:w="1219"/>
      </w:tblGrid>
      <w:tr w:rsidR="00F073E4" w:rsidRPr="00D33A17" w:rsidTr="006F0AAB">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9"/>
            <w:shd w:val="clear" w:color="auto" w:fill="auto"/>
            <w:vAlign w:val="center"/>
          </w:tcPr>
          <w:p w:rsidR="00F073E4" w:rsidRPr="00D33A17" w:rsidRDefault="00F073E4" w:rsidP="00FF79DC">
            <w:pPr>
              <w:pStyle w:val="TableText"/>
              <w:spacing w:before="0" w:after="0"/>
              <w:rPr>
                <w:szCs w:val="20"/>
                <w:u w:val="single"/>
                <w:lang w:val="en-AU"/>
              </w:rPr>
            </w:pPr>
            <w:r w:rsidRPr="00D33A17">
              <w:rPr>
                <w:szCs w:val="20"/>
                <w:u w:val="single"/>
                <w:lang w:val="en-AU"/>
              </w:rPr>
              <w:t>Benefits</w:t>
            </w:r>
          </w:p>
        </w:tc>
      </w:tr>
      <w:tr w:rsidR="00F073E4" w:rsidRPr="00D33A17" w:rsidTr="00FF79DC">
        <w:trPr>
          <w:trHeight w:val="150"/>
        </w:trPr>
        <w:tc>
          <w:tcPr>
            <w:tcW w:w="5000" w:type="pct"/>
            <w:gridSpan w:val="9"/>
            <w:shd w:val="clear" w:color="auto" w:fill="auto"/>
            <w:vAlign w:val="center"/>
          </w:tcPr>
          <w:p w:rsidR="00F073E4" w:rsidRPr="00D33A17" w:rsidRDefault="00F073E4" w:rsidP="00FF79DC">
            <w:pPr>
              <w:pStyle w:val="TableText"/>
              <w:spacing w:before="0" w:after="0"/>
              <w:rPr>
                <w:szCs w:val="20"/>
                <w:lang w:val="en-AU"/>
              </w:rPr>
            </w:pPr>
            <w:r w:rsidRPr="00D33A17">
              <w:rPr>
                <w:b/>
                <w:szCs w:val="20"/>
                <w:lang w:val="en-AU"/>
              </w:rPr>
              <w:t xml:space="preserve">CDI recurrence at 12 weeks </w:t>
            </w:r>
          </w:p>
        </w:tc>
      </w:tr>
      <w:tr w:rsidR="00F073E4" w:rsidRPr="00D33A17" w:rsidTr="00FF79DC">
        <w:trPr>
          <w:trHeight w:val="150"/>
        </w:trPr>
        <w:tc>
          <w:tcPr>
            <w:tcW w:w="1084" w:type="pct"/>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Trial</w:t>
            </w:r>
          </w:p>
        </w:tc>
        <w:tc>
          <w:tcPr>
            <w:tcW w:w="668" w:type="pct"/>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Bez + SoC</w:t>
            </w:r>
          </w:p>
        </w:tc>
        <w:tc>
          <w:tcPr>
            <w:tcW w:w="669" w:type="pct"/>
            <w:gridSpan w:val="2"/>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SoC</w:t>
            </w:r>
          </w:p>
        </w:tc>
        <w:tc>
          <w:tcPr>
            <w:tcW w:w="712" w:type="pct"/>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RR</w:t>
            </w:r>
          </w:p>
          <w:p w:rsidR="00F073E4" w:rsidRPr="00D33A17" w:rsidRDefault="00F073E4" w:rsidP="00FF79DC">
            <w:pPr>
              <w:pStyle w:val="TableText"/>
              <w:spacing w:before="0" w:after="0"/>
              <w:jc w:val="center"/>
              <w:rPr>
                <w:b/>
                <w:szCs w:val="20"/>
                <w:lang w:val="en-AU"/>
              </w:rPr>
            </w:pPr>
            <w:r w:rsidRPr="00D33A17">
              <w:rPr>
                <w:b/>
                <w:szCs w:val="20"/>
                <w:lang w:val="en-AU"/>
              </w:rPr>
              <w:t>(95% CI)</w:t>
            </w:r>
          </w:p>
        </w:tc>
        <w:tc>
          <w:tcPr>
            <w:tcW w:w="1177" w:type="pct"/>
            <w:gridSpan w:val="2"/>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Events/100 patients</w:t>
            </w:r>
            <w:r w:rsidRPr="00D33A17">
              <w:rPr>
                <w:b/>
                <w:szCs w:val="20"/>
                <w:vertAlign w:val="superscript"/>
                <w:lang w:val="en-AU"/>
              </w:rPr>
              <w:t>1</w:t>
            </w:r>
          </w:p>
        </w:tc>
        <w:tc>
          <w:tcPr>
            <w:tcW w:w="690" w:type="pct"/>
            <w:gridSpan w:val="2"/>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RD</w:t>
            </w:r>
          </w:p>
          <w:p w:rsidR="00F073E4" w:rsidRPr="00D33A17" w:rsidRDefault="00F073E4" w:rsidP="00FF79DC">
            <w:pPr>
              <w:pStyle w:val="TableText"/>
              <w:spacing w:before="0" w:after="0"/>
              <w:jc w:val="center"/>
              <w:rPr>
                <w:b/>
                <w:szCs w:val="20"/>
                <w:lang w:val="en-AU"/>
              </w:rPr>
            </w:pPr>
            <w:r w:rsidRPr="00D33A17">
              <w:rPr>
                <w:b/>
                <w:szCs w:val="20"/>
                <w:lang w:val="en-AU"/>
              </w:rPr>
              <w:t>(95% CI)</w:t>
            </w:r>
          </w:p>
        </w:tc>
      </w:tr>
      <w:tr w:rsidR="00F073E4" w:rsidRPr="00D33A17" w:rsidTr="00FF79DC">
        <w:trPr>
          <w:trHeight w:val="315"/>
        </w:trPr>
        <w:tc>
          <w:tcPr>
            <w:tcW w:w="1084" w:type="pct"/>
            <w:vMerge/>
            <w:shd w:val="clear" w:color="auto" w:fill="auto"/>
            <w:vAlign w:val="center"/>
          </w:tcPr>
          <w:p w:rsidR="00F073E4" w:rsidRPr="00D33A17" w:rsidRDefault="00F073E4" w:rsidP="00FF79DC">
            <w:pPr>
              <w:pStyle w:val="TableText"/>
              <w:spacing w:before="0" w:after="0"/>
              <w:rPr>
                <w:szCs w:val="20"/>
                <w:lang w:val="en-AU"/>
              </w:rPr>
            </w:pPr>
          </w:p>
        </w:tc>
        <w:tc>
          <w:tcPr>
            <w:tcW w:w="668" w:type="pct"/>
            <w:vMerge/>
            <w:shd w:val="clear" w:color="auto" w:fill="auto"/>
            <w:vAlign w:val="center"/>
          </w:tcPr>
          <w:p w:rsidR="00F073E4" w:rsidRPr="00D33A17" w:rsidRDefault="00F073E4" w:rsidP="00FF79DC">
            <w:pPr>
              <w:pStyle w:val="TableText"/>
              <w:spacing w:before="0" w:after="0"/>
              <w:jc w:val="center"/>
              <w:rPr>
                <w:szCs w:val="20"/>
                <w:lang w:val="en-AU"/>
              </w:rPr>
            </w:pPr>
          </w:p>
        </w:tc>
        <w:tc>
          <w:tcPr>
            <w:tcW w:w="669" w:type="pct"/>
            <w:gridSpan w:val="2"/>
            <w:vMerge/>
            <w:shd w:val="clear" w:color="auto" w:fill="auto"/>
            <w:vAlign w:val="center"/>
          </w:tcPr>
          <w:p w:rsidR="00F073E4" w:rsidRPr="00D33A17" w:rsidRDefault="00F073E4" w:rsidP="00FF79DC">
            <w:pPr>
              <w:pStyle w:val="TableText"/>
              <w:spacing w:before="0" w:after="0"/>
              <w:jc w:val="center"/>
              <w:rPr>
                <w:szCs w:val="20"/>
                <w:lang w:val="en-AU"/>
              </w:rPr>
            </w:pPr>
          </w:p>
        </w:tc>
        <w:tc>
          <w:tcPr>
            <w:tcW w:w="712" w:type="pct"/>
            <w:vMerge/>
            <w:shd w:val="clear" w:color="auto" w:fill="auto"/>
            <w:vAlign w:val="center"/>
          </w:tcPr>
          <w:p w:rsidR="00F073E4" w:rsidRPr="00D33A17" w:rsidRDefault="00F073E4" w:rsidP="00FF79DC">
            <w:pPr>
              <w:pStyle w:val="TableText"/>
              <w:spacing w:before="0" w:after="0"/>
              <w:jc w:val="center"/>
              <w:rPr>
                <w:szCs w:val="20"/>
                <w:lang w:val="en-AU"/>
              </w:rPr>
            </w:pPr>
          </w:p>
        </w:tc>
        <w:tc>
          <w:tcPr>
            <w:tcW w:w="705" w:type="pct"/>
            <w:shd w:val="clear" w:color="auto" w:fill="auto"/>
          </w:tcPr>
          <w:p w:rsidR="00F073E4" w:rsidRPr="00D33A17" w:rsidRDefault="00F073E4" w:rsidP="00FF79DC">
            <w:pPr>
              <w:pStyle w:val="TableText"/>
              <w:spacing w:before="0" w:after="0"/>
              <w:jc w:val="center"/>
              <w:rPr>
                <w:b/>
                <w:szCs w:val="20"/>
                <w:lang w:val="en-AU"/>
              </w:rPr>
            </w:pPr>
            <w:r w:rsidRPr="00D33A17">
              <w:rPr>
                <w:b/>
                <w:szCs w:val="20"/>
                <w:lang w:val="en-AU"/>
              </w:rPr>
              <w:t>Bez + SoC</w:t>
            </w:r>
          </w:p>
        </w:tc>
        <w:tc>
          <w:tcPr>
            <w:tcW w:w="472" w:type="pct"/>
            <w:shd w:val="clear" w:color="auto" w:fill="auto"/>
          </w:tcPr>
          <w:p w:rsidR="00F073E4" w:rsidRPr="00D33A17" w:rsidRDefault="00F073E4" w:rsidP="00FF79DC">
            <w:pPr>
              <w:pStyle w:val="TableText"/>
              <w:spacing w:before="0" w:after="0"/>
              <w:jc w:val="center"/>
              <w:rPr>
                <w:b/>
                <w:szCs w:val="20"/>
                <w:lang w:val="en-AU"/>
              </w:rPr>
            </w:pPr>
            <w:r w:rsidRPr="00D33A17">
              <w:rPr>
                <w:b/>
                <w:szCs w:val="20"/>
                <w:lang w:val="en-AU"/>
              </w:rPr>
              <w:t xml:space="preserve">SoC </w:t>
            </w:r>
          </w:p>
        </w:tc>
        <w:tc>
          <w:tcPr>
            <w:tcW w:w="690" w:type="pct"/>
            <w:gridSpan w:val="2"/>
            <w:vMerge/>
            <w:shd w:val="clear" w:color="auto" w:fill="auto"/>
            <w:vAlign w:val="center"/>
          </w:tcPr>
          <w:p w:rsidR="00F073E4" w:rsidRPr="00D33A17" w:rsidRDefault="00F073E4" w:rsidP="00FF79DC">
            <w:pPr>
              <w:pStyle w:val="TableText"/>
              <w:spacing w:before="0" w:after="0"/>
              <w:jc w:val="center"/>
              <w:rPr>
                <w:szCs w:val="20"/>
                <w:lang w:val="en-AU"/>
              </w:rPr>
            </w:pP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ind w:left="81"/>
              <w:rPr>
                <w:szCs w:val="20"/>
                <w:lang w:val="en-AU"/>
              </w:rPr>
            </w:pPr>
            <w:r w:rsidRPr="00D33A17">
              <w:rPr>
                <w:szCs w:val="20"/>
                <w:lang w:val="en-AU"/>
              </w:rPr>
              <w:t>MODIFY I</w:t>
            </w:r>
          </w:p>
        </w:tc>
        <w:tc>
          <w:tcPr>
            <w:tcW w:w="668"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67/386</w:t>
            </w:r>
          </w:p>
        </w:tc>
        <w:tc>
          <w:tcPr>
            <w:tcW w:w="669"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109/395</w:t>
            </w:r>
          </w:p>
        </w:tc>
        <w:tc>
          <w:tcPr>
            <w:tcW w:w="71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0.63 (0.48,0.82)</w:t>
            </w:r>
          </w:p>
        </w:tc>
        <w:tc>
          <w:tcPr>
            <w:tcW w:w="705"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17.4</w:t>
            </w:r>
          </w:p>
        </w:tc>
        <w:tc>
          <w:tcPr>
            <w:tcW w:w="47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27.6</w:t>
            </w:r>
          </w:p>
        </w:tc>
        <w:tc>
          <w:tcPr>
            <w:tcW w:w="6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-10.1(-15.9,-4.3)</w:t>
            </w: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ind w:left="81"/>
              <w:rPr>
                <w:szCs w:val="20"/>
                <w:lang w:val="en-AU"/>
              </w:rPr>
            </w:pPr>
            <w:r w:rsidRPr="00D33A17">
              <w:rPr>
                <w:szCs w:val="20"/>
                <w:lang w:val="en-AU"/>
              </w:rPr>
              <w:t>MODIFY II</w:t>
            </w:r>
          </w:p>
        </w:tc>
        <w:tc>
          <w:tcPr>
            <w:tcW w:w="668"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62/395</w:t>
            </w:r>
          </w:p>
        </w:tc>
        <w:tc>
          <w:tcPr>
            <w:tcW w:w="669"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97/378</w:t>
            </w:r>
          </w:p>
        </w:tc>
        <w:tc>
          <w:tcPr>
            <w:tcW w:w="71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0.61 (0.46,0.81)</w:t>
            </w:r>
          </w:p>
        </w:tc>
        <w:tc>
          <w:tcPr>
            <w:tcW w:w="705"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15.7</w:t>
            </w:r>
          </w:p>
        </w:tc>
        <w:tc>
          <w:tcPr>
            <w:tcW w:w="47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25.7</w:t>
            </w:r>
          </w:p>
        </w:tc>
        <w:tc>
          <w:tcPr>
            <w:tcW w:w="6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-9.9(-15.5,-4.3)</w:t>
            </w: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ind w:left="81"/>
              <w:rPr>
                <w:szCs w:val="20"/>
                <w:lang w:val="en-AU"/>
              </w:rPr>
            </w:pPr>
            <w:r w:rsidRPr="00D33A17">
              <w:rPr>
                <w:szCs w:val="20"/>
                <w:lang w:val="en-AU"/>
              </w:rPr>
              <w:t>Pooled</w:t>
            </w:r>
          </w:p>
        </w:tc>
        <w:tc>
          <w:tcPr>
            <w:tcW w:w="668"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129/781</w:t>
            </w:r>
          </w:p>
        </w:tc>
        <w:tc>
          <w:tcPr>
            <w:tcW w:w="669"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206/773</w:t>
            </w:r>
          </w:p>
        </w:tc>
        <w:tc>
          <w:tcPr>
            <w:tcW w:w="71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0.62 (0.51,0.75)</w:t>
            </w:r>
          </w:p>
        </w:tc>
        <w:tc>
          <w:tcPr>
            <w:tcW w:w="705"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16.5</w:t>
            </w:r>
          </w:p>
        </w:tc>
        <w:tc>
          <w:tcPr>
            <w:tcW w:w="47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26.6</w:t>
            </w:r>
          </w:p>
        </w:tc>
        <w:tc>
          <w:tcPr>
            <w:tcW w:w="6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-10.0(-14.0,-6.0)</w:t>
            </w:r>
          </w:p>
        </w:tc>
      </w:tr>
      <w:tr w:rsidR="00F073E4" w:rsidRPr="00D33A17" w:rsidTr="00FF79DC">
        <w:tc>
          <w:tcPr>
            <w:tcW w:w="5000" w:type="pct"/>
            <w:gridSpan w:val="9"/>
            <w:shd w:val="clear" w:color="auto" w:fill="auto"/>
            <w:vAlign w:val="center"/>
          </w:tcPr>
          <w:p w:rsidR="00F073E4" w:rsidRPr="00D33A17" w:rsidRDefault="00F073E4" w:rsidP="00FF79DC">
            <w:pPr>
              <w:pStyle w:val="TableText"/>
              <w:spacing w:before="0" w:after="0"/>
              <w:rPr>
                <w:b/>
                <w:bCs/>
                <w:szCs w:val="20"/>
                <w:lang w:val="en-AU"/>
              </w:rPr>
            </w:pPr>
            <w:r w:rsidRPr="00D33A17">
              <w:rPr>
                <w:b/>
                <w:bCs/>
                <w:szCs w:val="20"/>
                <w:lang w:val="en-AU"/>
              </w:rPr>
              <w:t xml:space="preserve">Global cure at 12 weeks </w:t>
            </w: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ind w:left="81"/>
              <w:rPr>
                <w:szCs w:val="20"/>
                <w:lang w:val="en-AU"/>
              </w:rPr>
            </w:pPr>
            <w:r w:rsidRPr="00D33A17">
              <w:rPr>
                <w:szCs w:val="20"/>
                <w:lang w:val="en-AU"/>
              </w:rPr>
              <w:t>MODIFY I</w:t>
            </w:r>
          </w:p>
        </w:tc>
        <w:tc>
          <w:tcPr>
            <w:tcW w:w="786"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232/386</w:t>
            </w:r>
          </w:p>
        </w:tc>
        <w:tc>
          <w:tcPr>
            <w:tcW w:w="551"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218/395</w:t>
            </w:r>
          </w:p>
        </w:tc>
        <w:tc>
          <w:tcPr>
            <w:tcW w:w="71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1.09 (0.97,1.23)</w:t>
            </w:r>
          </w:p>
        </w:tc>
        <w:tc>
          <w:tcPr>
            <w:tcW w:w="705"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60.1</w:t>
            </w:r>
          </w:p>
        </w:tc>
        <w:tc>
          <w:tcPr>
            <w:tcW w:w="47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55.2</w:t>
            </w:r>
          </w:p>
        </w:tc>
        <w:tc>
          <w:tcPr>
            <w:tcW w:w="6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4.9 (-2.1,11.7)</w:t>
            </w: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ind w:left="81"/>
              <w:rPr>
                <w:szCs w:val="20"/>
                <w:lang w:val="en-AU"/>
              </w:rPr>
            </w:pPr>
            <w:r w:rsidRPr="00D33A17">
              <w:rPr>
                <w:szCs w:val="20"/>
                <w:lang w:val="en-AU"/>
              </w:rPr>
              <w:t>MODIFY II</w:t>
            </w:r>
          </w:p>
        </w:tc>
        <w:tc>
          <w:tcPr>
            <w:tcW w:w="786"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264/395</w:t>
            </w:r>
          </w:p>
        </w:tc>
        <w:tc>
          <w:tcPr>
            <w:tcW w:w="551"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197/378</w:t>
            </w:r>
          </w:p>
        </w:tc>
        <w:tc>
          <w:tcPr>
            <w:tcW w:w="71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1.28 (1.14,1.45)</w:t>
            </w:r>
          </w:p>
        </w:tc>
        <w:tc>
          <w:tcPr>
            <w:tcW w:w="705"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66.8</w:t>
            </w:r>
          </w:p>
        </w:tc>
        <w:tc>
          <w:tcPr>
            <w:tcW w:w="47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52.1</w:t>
            </w:r>
          </w:p>
        </w:tc>
        <w:tc>
          <w:tcPr>
            <w:tcW w:w="6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14.6 (7.7,21.4)</w:t>
            </w: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ind w:left="81"/>
              <w:rPr>
                <w:szCs w:val="20"/>
                <w:lang w:val="en-AU"/>
              </w:rPr>
            </w:pPr>
            <w:r w:rsidRPr="00D33A17">
              <w:rPr>
                <w:szCs w:val="20"/>
                <w:lang w:val="en-AU"/>
              </w:rPr>
              <w:t>Pooled</w:t>
            </w:r>
          </w:p>
        </w:tc>
        <w:tc>
          <w:tcPr>
            <w:tcW w:w="786"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496/781</w:t>
            </w:r>
          </w:p>
        </w:tc>
        <w:tc>
          <w:tcPr>
            <w:tcW w:w="551"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415/773</w:t>
            </w:r>
          </w:p>
        </w:tc>
        <w:tc>
          <w:tcPr>
            <w:tcW w:w="71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1.18 (1.09,1.29)</w:t>
            </w:r>
          </w:p>
        </w:tc>
        <w:tc>
          <w:tcPr>
            <w:tcW w:w="705"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63.5</w:t>
            </w:r>
          </w:p>
        </w:tc>
        <w:tc>
          <w:tcPr>
            <w:tcW w:w="472"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53.7</w:t>
            </w:r>
          </w:p>
        </w:tc>
        <w:tc>
          <w:tcPr>
            <w:tcW w:w="6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9.7 (4.8,14.5)</w:t>
            </w:r>
          </w:p>
        </w:tc>
      </w:tr>
      <w:tr w:rsidR="00F073E4" w:rsidRPr="00D33A17" w:rsidTr="00FF79DC">
        <w:tc>
          <w:tcPr>
            <w:tcW w:w="5000" w:type="pct"/>
            <w:gridSpan w:val="9"/>
            <w:tcBorders>
              <w:top w:val="double" w:sz="4" w:space="0" w:color="auto"/>
            </w:tcBorders>
            <w:shd w:val="clear" w:color="auto" w:fill="auto"/>
            <w:vAlign w:val="center"/>
          </w:tcPr>
          <w:p w:rsidR="00F073E4" w:rsidRPr="00D33A17" w:rsidRDefault="00F073E4" w:rsidP="00FF79DC">
            <w:pPr>
              <w:pStyle w:val="TableText"/>
              <w:spacing w:before="0" w:after="0"/>
              <w:rPr>
                <w:b/>
                <w:szCs w:val="20"/>
                <w:u w:val="single"/>
                <w:lang w:val="en-AU"/>
              </w:rPr>
            </w:pPr>
            <w:r w:rsidRPr="00D33A17">
              <w:rPr>
                <w:b/>
                <w:szCs w:val="20"/>
                <w:u w:val="single"/>
                <w:lang w:val="en-AU"/>
              </w:rPr>
              <w:t>Harms</w:t>
            </w:r>
          </w:p>
        </w:tc>
      </w:tr>
      <w:tr w:rsidR="00F073E4" w:rsidRPr="00D33A17" w:rsidTr="00FF79DC">
        <w:trPr>
          <w:trHeight w:val="70"/>
        </w:trPr>
        <w:tc>
          <w:tcPr>
            <w:tcW w:w="1084" w:type="pct"/>
            <w:vMerge w:val="restart"/>
            <w:shd w:val="clear" w:color="auto" w:fill="auto"/>
            <w:vAlign w:val="center"/>
          </w:tcPr>
          <w:p w:rsidR="00F073E4" w:rsidRPr="00D33A17" w:rsidRDefault="00F073E4" w:rsidP="00FF79DC">
            <w:pPr>
              <w:pStyle w:val="TableText"/>
              <w:spacing w:before="0" w:after="0"/>
              <w:jc w:val="center"/>
              <w:rPr>
                <w:szCs w:val="20"/>
                <w:lang w:val="en-AU"/>
              </w:rPr>
            </w:pPr>
          </w:p>
        </w:tc>
        <w:tc>
          <w:tcPr>
            <w:tcW w:w="786" w:type="pct"/>
            <w:gridSpan w:val="2"/>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Bez + SoC</w:t>
            </w:r>
          </w:p>
        </w:tc>
        <w:tc>
          <w:tcPr>
            <w:tcW w:w="551" w:type="pct"/>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SoC</w:t>
            </w:r>
          </w:p>
        </w:tc>
        <w:tc>
          <w:tcPr>
            <w:tcW w:w="712" w:type="pct"/>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RR</w:t>
            </w:r>
          </w:p>
          <w:p w:rsidR="00F073E4" w:rsidRPr="00D33A17" w:rsidRDefault="00F073E4" w:rsidP="00FF79DC">
            <w:pPr>
              <w:pStyle w:val="TableText"/>
              <w:spacing w:before="0" w:after="0"/>
              <w:jc w:val="center"/>
              <w:rPr>
                <w:b/>
                <w:szCs w:val="20"/>
                <w:lang w:val="en-AU"/>
              </w:rPr>
            </w:pPr>
            <w:r w:rsidRPr="00D33A17">
              <w:rPr>
                <w:b/>
                <w:szCs w:val="20"/>
                <w:lang w:val="en-AU"/>
              </w:rPr>
              <w:t>(95% CI)</w:t>
            </w:r>
          </w:p>
        </w:tc>
        <w:tc>
          <w:tcPr>
            <w:tcW w:w="1195" w:type="pct"/>
            <w:gridSpan w:val="3"/>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Events/100 patients</w:t>
            </w:r>
            <w:r w:rsidRPr="00D33A17">
              <w:rPr>
                <w:b/>
                <w:szCs w:val="20"/>
                <w:vertAlign w:val="superscript"/>
                <w:lang w:val="en-AU"/>
              </w:rPr>
              <w:t>1</w:t>
            </w:r>
          </w:p>
        </w:tc>
        <w:tc>
          <w:tcPr>
            <w:tcW w:w="672" w:type="pct"/>
            <w:vMerge w:val="restar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RD</w:t>
            </w:r>
          </w:p>
          <w:p w:rsidR="00F073E4" w:rsidRPr="00D33A17" w:rsidRDefault="00F073E4" w:rsidP="00FF79DC">
            <w:pPr>
              <w:pStyle w:val="TableText"/>
              <w:spacing w:before="0" w:after="0"/>
              <w:jc w:val="center"/>
              <w:rPr>
                <w:b/>
                <w:szCs w:val="20"/>
                <w:lang w:val="en-AU"/>
              </w:rPr>
            </w:pPr>
            <w:r w:rsidRPr="00D33A17">
              <w:rPr>
                <w:b/>
                <w:szCs w:val="20"/>
                <w:lang w:val="en-AU"/>
              </w:rPr>
              <w:t>(95% CI)</w:t>
            </w:r>
          </w:p>
        </w:tc>
      </w:tr>
      <w:tr w:rsidR="00F073E4" w:rsidRPr="00D33A17" w:rsidTr="00FF79DC">
        <w:trPr>
          <w:trHeight w:val="390"/>
        </w:trPr>
        <w:tc>
          <w:tcPr>
            <w:tcW w:w="1084" w:type="pct"/>
            <w:vMerge/>
            <w:shd w:val="clear" w:color="auto" w:fill="auto"/>
            <w:vAlign w:val="center"/>
          </w:tcPr>
          <w:p w:rsidR="00F073E4" w:rsidRPr="00D33A17" w:rsidRDefault="00F073E4" w:rsidP="00FF79DC">
            <w:pPr>
              <w:pStyle w:val="TableText"/>
              <w:spacing w:before="0" w:after="0"/>
              <w:rPr>
                <w:szCs w:val="20"/>
                <w:lang w:val="en-AU"/>
              </w:rPr>
            </w:pPr>
          </w:p>
        </w:tc>
        <w:tc>
          <w:tcPr>
            <w:tcW w:w="786" w:type="pct"/>
            <w:gridSpan w:val="2"/>
            <w:vMerge/>
            <w:shd w:val="clear" w:color="auto" w:fill="auto"/>
            <w:vAlign w:val="center"/>
          </w:tcPr>
          <w:p w:rsidR="00F073E4" w:rsidRPr="00D33A17" w:rsidRDefault="00F073E4" w:rsidP="00FF79DC">
            <w:pPr>
              <w:pStyle w:val="TableText"/>
              <w:spacing w:before="0" w:after="0"/>
              <w:rPr>
                <w:szCs w:val="20"/>
                <w:lang w:val="en-AU"/>
              </w:rPr>
            </w:pPr>
          </w:p>
        </w:tc>
        <w:tc>
          <w:tcPr>
            <w:tcW w:w="551" w:type="pct"/>
            <w:vMerge/>
            <w:shd w:val="clear" w:color="auto" w:fill="auto"/>
            <w:vAlign w:val="center"/>
          </w:tcPr>
          <w:p w:rsidR="00F073E4" w:rsidRPr="00D33A17" w:rsidRDefault="00F073E4" w:rsidP="00FF79DC">
            <w:pPr>
              <w:pStyle w:val="TableText"/>
              <w:spacing w:before="0" w:after="0"/>
              <w:rPr>
                <w:szCs w:val="20"/>
                <w:lang w:val="en-AU"/>
              </w:rPr>
            </w:pPr>
          </w:p>
        </w:tc>
        <w:tc>
          <w:tcPr>
            <w:tcW w:w="712" w:type="pct"/>
            <w:vMerge/>
            <w:shd w:val="clear" w:color="auto" w:fill="auto"/>
            <w:vAlign w:val="center"/>
          </w:tcPr>
          <w:p w:rsidR="00F073E4" w:rsidRPr="00D33A17" w:rsidRDefault="00F073E4" w:rsidP="00FF79DC">
            <w:pPr>
              <w:pStyle w:val="TableText"/>
              <w:spacing w:before="0" w:after="0"/>
              <w:rPr>
                <w:szCs w:val="20"/>
                <w:lang w:val="en-AU"/>
              </w:rPr>
            </w:pPr>
          </w:p>
        </w:tc>
        <w:tc>
          <w:tcPr>
            <w:tcW w:w="704" w:type="pct"/>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Bez+SoC</w:t>
            </w:r>
          </w:p>
        </w:tc>
        <w:tc>
          <w:tcPr>
            <w:tcW w:w="490" w:type="pct"/>
            <w:gridSpan w:val="2"/>
            <w:shd w:val="clear" w:color="auto" w:fill="auto"/>
            <w:vAlign w:val="center"/>
          </w:tcPr>
          <w:p w:rsidR="00F073E4" w:rsidRPr="00D33A17" w:rsidRDefault="00F073E4" w:rsidP="00FF79DC">
            <w:pPr>
              <w:pStyle w:val="TableText"/>
              <w:spacing w:before="0" w:after="0"/>
              <w:jc w:val="center"/>
              <w:rPr>
                <w:b/>
                <w:szCs w:val="20"/>
                <w:lang w:val="en-AU"/>
              </w:rPr>
            </w:pPr>
            <w:r w:rsidRPr="00D33A17">
              <w:rPr>
                <w:b/>
                <w:szCs w:val="20"/>
                <w:lang w:val="en-AU"/>
              </w:rPr>
              <w:t>SoC</w:t>
            </w:r>
          </w:p>
        </w:tc>
        <w:tc>
          <w:tcPr>
            <w:tcW w:w="672" w:type="pct"/>
            <w:vMerge/>
            <w:shd w:val="clear" w:color="auto" w:fill="auto"/>
            <w:vAlign w:val="center"/>
          </w:tcPr>
          <w:p w:rsidR="00F073E4" w:rsidRPr="00D33A17" w:rsidRDefault="00F073E4" w:rsidP="00FF79DC">
            <w:pPr>
              <w:pStyle w:val="TableText"/>
              <w:spacing w:before="0" w:after="0"/>
              <w:rPr>
                <w:szCs w:val="20"/>
                <w:lang w:val="en-AU"/>
              </w:rPr>
            </w:pPr>
          </w:p>
        </w:tc>
      </w:tr>
      <w:tr w:rsidR="00F073E4" w:rsidRPr="00D33A17" w:rsidTr="00FF79DC">
        <w:tc>
          <w:tcPr>
            <w:tcW w:w="5000" w:type="pct"/>
            <w:gridSpan w:val="9"/>
            <w:shd w:val="clear" w:color="auto" w:fill="auto"/>
            <w:vAlign w:val="center"/>
          </w:tcPr>
          <w:p w:rsidR="00F073E4" w:rsidRPr="00D33A17" w:rsidRDefault="00F073E4" w:rsidP="00FF79DC">
            <w:pPr>
              <w:pStyle w:val="TableText"/>
              <w:spacing w:before="0" w:after="0"/>
              <w:rPr>
                <w:b/>
                <w:szCs w:val="20"/>
                <w:lang w:val="en-AU"/>
              </w:rPr>
            </w:pPr>
            <w:r w:rsidRPr="00D33A17">
              <w:rPr>
                <w:b/>
                <w:szCs w:val="20"/>
                <w:lang w:val="en-AU"/>
              </w:rPr>
              <w:t>Infusion specific adverse events (e.g. nausea, dizziness, headache, fatigue and pyrexia)</w:t>
            </w:r>
          </w:p>
        </w:tc>
      </w:tr>
      <w:tr w:rsidR="00F073E4" w:rsidRPr="00D33A17" w:rsidTr="00FF79DC">
        <w:tc>
          <w:tcPr>
            <w:tcW w:w="1084" w:type="pct"/>
            <w:shd w:val="clear" w:color="auto" w:fill="auto"/>
            <w:vAlign w:val="center"/>
          </w:tcPr>
          <w:p w:rsidR="00F073E4" w:rsidRPr="00D33A17" w:rsidRDefault="00F073E4" w:rsidP="00FF79DC">
            <w:pPr>
              <w:pStyle w:val="TableText"/>
              <w:spacing w:before="0" w:after="0"/>
              <w:rPr>
                <w:szCs w:val="20"/>
                <w:lang w:val="en-AU"/>
              </w:rPr>
            </w:pPr>
            <w:r w:rsidRPr="00D33A17">
              <w:rPr>
                <w:szCs w:val="20"/>
                <w:lang w:val="en-AU"/>
              </w:rPr>
              <w:t>MODIFY I and II (pooled)</w:t>
            </w:r>
          </w:p>
        </w:tc>
        <w:tc>
          <w:tcPr>
            <w:tcW w:w="786"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81/786 (10)</w:t>
            </w:r>
          </w:p>
        </w:tc>
        <w:tc>
          <w:tcPr>
            <w:tcW w:w="551" w:type="pct"/>
            <w:shd w:val="clear" w:color="auto" w:fill="auto"/>
            <w:vAlign w:val="center"/>
          </w:tcPr>
          <w:p w:rsidR="00F073E4" w:rsidRPr="00D33A17" w:rsidRDefault="00F073E4" w:rsidP="00FF79DC">
            <w:pPr>
              <w:pStyle w:val="TableText"/>
              <w:spacing w:before="0" w:after="0"/>
              <w:jc w:val="center"/>
              <w:rPr>
                <w:szCs w:val="20"/>
                <w:vertAlign w:val="superscript"/>
                <w:lang w:val="en-AU"/>
              </w:rPr>
            </w:pPr>
            <w:r w:rsidRPr="00D33A17">
              <w:rPr>
                <w:szCs w:val="20"/>
                <w:lang w:val="en-AU"/>
              </w:rPr>
              <w:t>0/781</w:t>
            </w:r>
            <w:r w:rsidRPr="00D33A17">
              <w:rPr>
                <w:szCs w:val="20"/>
                <w:vertAlign w:val="superscript"/>
                <w:lang w:val="en-AU"/>
              </w:rPr>
              <w:t>2</w:t>
            </w:r>
          </w:p>
        </w:tc>
        <w:tc>
          <w:tcPr>
            <w:tcW w:w="712" w:type="pct"/>
            <w:shd w:val="clear" w:color="auto" w:fill="auto"/>
            <w:vAlign w:val="center"/>
          </w:tcPr>
          <w:p w:rsidR="00F073E4" w:rsidRPr="00D33A17" w:rsidRDefault="00F073E4" w:rsidP="00FF79DC">
            <w:pPr>
              <w:pStyle w:val="TableText"/>
              <w:spacing w:before="0" w:after="0"/>
              <w:jc w:val="center"/>
              <w:rPr>
                <w:iCs/>
                <w:szCs w:val="20"/>
                <w:lang w:val="en-AU"/>
              </w:rPr>
            </w:pPr>
            <w:r w:rsidRPr="00D33A17">
              <w:rPr>
                <w:iCs/>
                <w:szCs w:val="20"/>
                <w:lang w:val="en-AU"/>
              </w:rPr>
              <w:t>162.0</w:t>
            </w:r>
            <w:r w:rsidR="00911D33" w:rsidRPr="008607EB">
              <w:rPr>
                <w:b/>
                <w:bCs/>
                <w:iCs/>
                <w:szCs w:val="20"/>
                <w:vertAlign w:val="superscript"/>
                <w:lang w:val="en-AU"/>
              </w:rPr>
              <w:t>$</w:t>
            </w:r>
            <w:r w:rsidRPr="00D33A17">
              <w:rPr>
                <w:iCs/>
                <w:szCs w:val="20"/>
                <w:lang w:val="en-AU"/>
              </w:rPr>
              <w:t xml:space="preserve"> (21,NA)</w:t>
            </w:r>
            <w:r w:rsidR="00911D33" w:rsidRPr="008607EB">
              <w:rPr>
                <w:b/>
                <w:bCs/>
                <w:iCs/>
                <w:szCs w:val="20"/>
                <w:vertAlign w:val="superscript"/>
                <w:lang w:val="en-AU"/>
              </w:rPr>
              <w:t>$</w:t>
            </w:r>
          </w:p>
        </w:tc>
        <w:tc>
          <w:tcPr>
            <w:tcW w:w="704" w:type="pct"/>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10.3</w:t>
            </w:r>
          </w:p>
        </w:tc>
        <w:tc>
          <w:tcPr>
            <w:tcW w:w="490" w:type="pct"/>
            <w:gridSpan w:val="2"/>
            <w:shd w:val="clear" w:color="auto" w:fill="auto"/>
            <w:vAlign w:val="center"/>
          </w:tcPr>
          <w:p w:rsidR="00F073E4" w:rsidRPr="00D33A17" w:rsidRDefault="00F073E4" w:rsidP="00FF79DC">
            <w:pPr>
              <w:pStyle w:val="TableText"/>
              <w:spacing w:before="0" w:after="0"/>
              <w:jc w:val="center"/>
              <w:rPr>
                <w:szCs w:val="20"/>
                <w:lang w:val="en-AU"/>
              </w:rPr>
            </w:pPr>
            <w:r w:rsidRPr="00D33A17">
              <w:rPr>
                <w:szCs w:val="20"/>
                <w:lang w:val="en-AU"/>
              </w:rPr>
              <w:t>0</w:t>
            </w:r>
          </w:p>
        </w:tc>
        <w:tc>
          <w:tcPr>
            <w:tcW w:w="672" w:type="pct"/>
            <w:shd w:val="clear" w:color="auto" w:fill="auto"/>
            <w:vAlign w:val="center"/>
          </w:tcPr>
          <w:p w:rsidR="00F073E4" w:rsidRPr="00D33A17" w:rsidRDefault="00F073E4" w:rsidP="00FF79DC">
            <w:pPr>
              <w:pStyle w:val="TableText"/>
              <w:spacing w:before="0" w:after="0"/>
              <w:jc w:val="center"/>
              <w:rPr>
                <w:iCs/>
                <w:szCs w:val="20"/>
                <w:lang w:val="en-AU"/>
              </w:rPr>
            </w:pPr>
            <w:r w:rsidRPr="00D33A17">
              <w:rPr>
                <w:iCs/>
                <w:szCs w:val="20"/>
                <w:lang w:val="en-AU"/>
              </w:rPr>
              <w:t>10</w:t>
            </w:r>
            <w:r w:rsidR="00911D33" w:rsidRPr="008607EB">
              <w:rPr>
                <w:b/>
                <w:bCs/>
                <w:iCs/>
                <w:szCs w:val="20"/>
                <w:vertAlign w:val="superscript"/>
                <w:lang w:val="en-AU"/>
              </w:rPr>
              <w:t>$</w:t>
            </w:r>
            <w:r w:rsidR="00911D33" w:rsidRPr="00D33A17">
              <w:rPr>
                <w:iCs/>
                <w:szCs w:val="20"/>
                <w:lang w:val="en-AU"/>
              </w:rPr>
              <w:t xml:space="preserve"> </w:t>
            </w:r>
            <w:r w:rsidRPr="00D33A17">
              <w:rPr>
                <w:iCs/>
                <w:szCs w:val="20"/>
                <w:lang w:val="en-AU"/>
              </w:rPr>
              <w:t>(8.3,12.6)</w:t>
            </w:r>
            <w:r w:rsidR="00911D33" w:rsidRPr="008607EB">
              <w:rPr>
                <w:b/>
                <w:bCs/>
                <w:iCs/>
                <w:szCs w:val="20"/>
                <w:vertAlign w:val="superscript"/>
                <w:lang w:val="en-AU"/>
              </w:rPr>
              <w:t>$</w:t>
            </w:r>
          </w:p>
        </w:tc>
      </w:tr>
    </w:tbl>
    <w:p w:rsidR="00F073E4" w:rsidRPr="00D33A17" w:rsidRDefault="00F073E4" w:rsidP="00F073E4">
      <w:pPr>
        <w:pStyle w:val="TableFooter"/>
        <w:rPr>
          <w:sz w:val="16"/>
        </w:rPr>
      </w:pPr>
      <w:r w:rsidRPr="00D33A17">
        <w:rPr>
          <w:sz w:val="16"/>
          <w:vertAlign w:val="superscript"/>
        </w:rPr>
        <w:t>1</w:t>
      </w:r>
      <w:r w:rsidRPr="00D33A17">
        <w:rPr>
          <w:sz w:val="16"/>
        </w:rPr>
        <w:t>At 12 weeks of follow-up for all trials</w:t>
      </w:r>
    </w:p>
    <w:p w:rsidR="00F073E4" w:rsidRPr="00D33A17" w:rsidRDefault="00F073E4" w:rsidP="00F073E4">
      <w:pPr>
        <w:pStyle w:val="TableFooter"/>
        <w:rPr>
          <w:sz w:val="16"/>
        </w:rPr>
      </w:pPr>
      <w:r w:rsidRPr="00D33A17">
        <w:rPr>
          <w:sz w:val="16"/>
          <w:vertAlign w:val="superscript"/>
        </w:rPr>
        <w:t>2</w:t>
      </w:r>
      <w:r w:rsidRPr="00D33A17">
        <w:rPr>
          <w:sz w:val="16"/>
        </w:rPr>
        <w:t>Comparator in practice is no treatment therefore do not expect any infusion related adverse events</w:t>
      </w:r>
    </w:p>
    <w:p w:rsidR="00F073E4" w:rsidRPr="00D33A17" w:rsidRDefault="00F073E4" w:rsidP="00F073E4">
      <w:pPr>
        <w:pStyle w:val="TableFooter"/>
        <w:rPr>
          <w:sz w:val="16"/>
        </w:rPr>
      </w:pPr>
      <w:r w:rsidRPr="00D33A17">
        <w:rPr>
          <w:sz w:val="16"/>
        </w:rPr>
        <w:t>Abbreviations: NA = not applicable; SoC = standard of care antibiotics; RD = risk difference; RR = risk ratio, Bez=bezlotoxumab</w:t>
      </w:r>
    </w:p>
    <w:p w:rsidR="00F073E4" w:rsidRPr="00D33A17" w:rsidRDefault="00911D33" w:rsidP="00F073E4">
      <w:pPr>
        <w:pStyle w:val="TableFooter"/>
        <w:rPr>
          <w:sz w:val="16"/>
        </w:rPr>
      </w:pPr>
      <w:r w:rsidRPr="00537EA9">
        <w:rPr>
          <w:sz w:val="16"/>
          <w:vertAlign w:val="superscript"/>
        </w:rPr>
        <w:t>$</w:t>
      </w:r>
      <w:r w:rsidR="00F073E4" w:rsidRPr="00537EA9">
        <w:rPr>
          <w:sz w:val="16"/>
        </w:rPr>
        <w:t xml:space="preserve"> indicate</w:t>
      </w:r>
      <w:r w:rsidRPr="00537EA9">
        <w:rPr>
          <w:sz w:val="16"/>
        </w:rPr>
        <w:t>s</w:t>
      </w:r>
      <w:r w:rsidR="00F073E4" w:rsidRPr="00537EA9">
        <w:rPr>
          <w:sz w:val="16"/>
        </w:rPr>
        <w:t xml:space="preserve"> values calculated during evaluation</w:t>
      </w:r>
      <w:r w:rsidR="00F073E4" w:rsidRPr="00D33A17">
        <w:rPr>
          <w:sz w:val="16"/>
        </w:rPr>
        <w:t xml:space="preserve"> </w:t>
      </w:r>
    </w:p>
    <w:p w:rsidR="00F073E4" w:rsidRPr="00D33A17" w:rsidRDefault="00F073E4" w:rsidP="00F073E4">
      <w:pPr>
        <w:pStyle w:val="TableFooter"/>
        <w:rPr>
          <w:sz w:val="16"/>
        </w:rPr>
      </w:pPr>
      <w:r w:rsidRPr="00D33A17">
        <w:rPr>
          <w:sz w:val="16"/>
        </w:rPr>
        <w:t>Source: Compiled during the evaluation using data from Table 11-1, p206 MODIFY I CSR, and table 11-1, Table 2.7.3-rcdi: 19, p87 and table 2.7.3-rcdi: 23, p97 CSR RCDI, Tables S5 to S8 of the supplementary Appendix to the published report (Wilcox et al 2017) and Table 2.5-13, p61 of the submission</w:t>
      </w:r>
    </w:p>
    <w:p w:rsidR="00F073E4" w:rsidRPr="00D33A17" w:rsidRDefault="00F073E4" w:rsidP="00900949">
      <w:pPr>
        <w:pStyle w:val="ListParagraph"/>
        <w:numPr>
          <w:ilvl w:val="1"/>
          <w:numId w:val="4"/>
        </w:numPr>
        <w:spacing w:after="120"/>
        <w:jc w:val="both"/>
      </w:pPr>
      <w:r w:rsidRPr="00D33A17">
        <w:t>On the basis of direct evidence presented by the submission, for every 100 patients treated with bezlotoxumab plus SoC in comparison to SoC, after 12 week</w:t>
      </w:r>
      <w:r w:rsidR="000C6AFF" w:rsidRPr="00D33A17">
        <w:t>s</w:t>
      </w:r>
      <w:r w:rsidRPr="00D33A17">
        <w:t>:</w:t>
      </w:r>
    </w:p>
    <w:p w:rsidR="00F073E4" w:rsidRPr="00D33A17" w:rsidRDefault="00F073E4" w:rsidP="00900949">
      <w:pPr>
        <w:pStyle w:val="ListParagraph"/>
        <w:numPr>
          <w:ilvl w:val="0"/>
          <w:numId w:val="3"/>
        </w:numPr>
        <w:spacing w:after="120"/>
        <w:ind w:left="993" w:hanging="284"/>
        <w:jc w:val="both"/>
      </w:pPr>
      <w:r w:rsidRPr="00D33A17">
        <w:t>Approximately 10 fewer patients would have CDI recurrence</w:t>
      </w:r>
      <w:r w:rsidR="00F969B4" w:rsidRPr="00D33A17">
        <w:t>;</w:t>
      </w:r>
    </w:p>
    <w:p w:rsidR="00F073E4" w:rsidRPr="00D33A17" w:rsidRDefault="00F073E4" w:rsidP="00900949">
      <w:pPr>
        <w:pStyle w:val="ListParagraph"/>
        <w:numPr>
          <w:ilvl w:val="0"/>
          <w:numId w:val="3"/>
        </w:numPr>
        <w:spacing w:after="120"/>
        <w:ind w:left="993" w:hanging="284"/>
        <w:jc w:val="both"/>
      </w:pPr>
      <w:r w:rsidRPr="00D33A17">
        <w:t>Approximately 10 more patients would have achieved global cure (clinical cure of initial CDI episode plus no CDI recurrence)</w:t>
      </w:r>
      <w:r w:rsidR="00F969B4" w:rsidRPr="00D33A17">
        <w:t>;</w:t>
      </w:r>
      <w:r w:rsidRPr="00D33A17">
        <w:t xml:space="preserve"> and </w:t>
      </w:r>
    </w:p>
    <w:p w:rsidR="00FF286D" w:rsidRDefault="00F073E4" w:rsidP="00900949">
      <w:pPr>
        <w:pStyle w:val="ListParagraph"/>
        <w:numPr>
          <w:ilvl w:val="0"/>
          <w:numId w:val="3"/>
        </w:numPr>
        <w:spacing w:after="120"/>
        <w:ind w:left="993" w:hanging="284"/>
        <w:jc w:val="both"/>
      </w:pPr>
      <w:r w:rsidRPr="00D33A17">
        <w:t>Approximately 10 more patients would experience an infusion specific adverse event</w:t>
      </w:r>
      <w:r w:rsidR="00F969B4" w:rsidRPr="00D33A17">
        <w:t>.</w:t>
      </w:r>
    </w:p>
    <w:p w:rsidR="00FF286D" w:rsidRPr="000855D4" w:rsidRDefault="00AA11B6" w:rsidP="002471D4">
      <w:pPr>
        <w:pStyle w:val="ListParagraph"/>
        <w:numPr>
          <w:ilvl w:val="1"/>
          <w:numId w:val="4"/>
        </w:numPr>
        <w:spacing w:before="0" w:after="120"/>
        <w:jc w:val="both"/>
      </w:pPr>
      <w:r w:rsidRPr="000855D4">
        <w:t xml:space="preserve">The </w:t>
      </w:r>
      <w:r w:rsidR="00FF021B">
        <w:t>PBAC</w:t>
      </w:r>
      <w:r w:rsidRPr="000855D4">
        <w:t xml:space="preserve"> noted that based on the sub-group of high-risk patients, </w:t>
      </w:r>
      <w:r w:rsidR="00FF286D" w:rsidRPr="000855D4">
        <w:t>for every 100 ‘high risk’ patients treated with bezlotoxumab plus SoC compared to SoC after 12 weeks</w:t>
      </w:r>
      <w:r w:rsidRPr="000855D4">
        <w:t>,</w:t>
      </w:r>
      <w:r w:rsidR="00FF286D" w:rsidRPr="000855D4">
        <w:t xml:space="preserve"> approximately 13 fewer patients would have CDI recurrence.</w:t>
      </w:r>
      <w:r w:rsidRPr="000855D4">
        <w:t xml:space="preserve"> No analysis was provided with respect to rates of global cure or infusion reactions in this subgroup.</w:t>
      </w:r>
    </w:p>
    <w:p w:rsidR="00F073E4" w:rsidRPr="00D33A17" w:rsidRDefault="00F073E4" w:rsidP="00F073E4">
      <w:pPr>
        <w:pStyle w:val="Heading2"/>
        <w:rPr>
          <w:i w:val="0"/>
        </w:rPr>
      </w:pPr>
      <w:bookmarkStart w:id="19" w:name="_Toc492999816"/>
      <w:bookmarkEnd w:id="18"/>
      <w:r w:rsidRPr="00D33A17">
        <w:rPr>
          <w:i w:val="0"/>
        </w:rPr>
        <w:t>Interpretation of clinical evidence</w:t>
      </w:r>
      <w:bookmarkEnd w:id="19"/>
    </w:p>
    <w:p w:rsidR="00F073E4" w:rsidRPr="00D33A17" w:rsidRDefault="00F073E4" w:rsidP="002471D4">
      <w:pPr>
        <w:pStyle w:val="ListParagraph"/>
        <w:numPr>
          <w:ilvl w:val="1"/>
          <w:numId w:val="4"/>
        </w:numPr>
        <w:spacing w:before="0" w:after="120"/>
        <w:jc w:val="both"/>
      </w:pPr>
      <w:r w:rsidRPr="00D33A17">
        <w:t xml:space="preserve">The submission claimed that treatment with bezlotoxumab plus SoC antibiotics compared to SoC antibiotics alone is superior in </w:t>
      </w:r>
      <w:r w:rsidR="007E5ADA" w:rsidRPr="00D33A17">
        <w:t>preventing CDI recurrence at 12 </w:t>
      </w:r>
      <w:r w:rsidRPr="00D33A17">
        <w:t xml:space="preserve">weeks and non-inferior in terms of safety. </w:t>
      </w:r>
    </w:p>
    <w:p w:rsidR="00AA11B6" w:rsidRDefault="00F073E4" w:rsidP="002471D4">
      <w:pPr>
        <w:pStyle w:val="ListParagraph"/>
        <w:numPr>
          <w:ilvl w:val="1"/>
          <w:numId w:val="4"/>
        </w:numPr>
        <w:spacing w:before="0" w:after="120"/>
        <w:jc w:val="both"/>
      </w:pPr>
      <w:r w:rsidRPr="00D33A17">
        <w:t>In terms of efficacy, bezlotoxumab was superior to place</w:t>
      </w:r>
      <w:r w:rsidR="007E5ADA" w:rsidRPr="00D33A17">
        <w:t>bo in preventing CDI recurrence</w:t>
      </w:r>
      <w:r w:rsidRPr="00D33A17">
        <w:t xml:space="preserve"> in the trials, </w:t>
      </w:r>
      <w:r w:rsidR="00BE5309" w:rsidRPr="00D33A17">
        <w:t xml:space="preserve">with an absolute </w:t>
      </w:r>
      <w:r w:rsidR="00FC68C1" w:rsidRPr="00D33A17">
        <w:t xml:space="preserve">difference </w:t>
      </w:r>
      <w:r w:rsidR="00BE5309" w:rsidRPr="00D33A17">
        <w:t xml:space="preserve">in </w:t>
      </w:r>
      <w:r w:rsidRPr="00D33A17">
        <w:t>recurrence</w:t>
      </w:r>
      <w:r w:rsidR="00BE5309" w:rsidRPr="00D33A17">
        <w:t xml:space="preserve"> of</w:t>
      </w:r>
      <w:r w:rsidRPr="00D33A17">
        <w:t xml:space="preserve"> </w:t>
      </w:r>
      <w:r w:rsidR="004C4CBB" w:rsidRPr="00D33A17">
        <w:t>-</w:t>
      </w:r>
      <w:r w:rsidR="007E5ADA" w:rsidRPr="00D33A17">
        <w:t xml:space="preserve">10.1% (95%CI: </w:t>
      </w:r>
      <w:r w:rsidR="007E5ADA" w:rsidRPr="00D33A17">
        <w:noBreakHyphen/>
        <w:t>14.2, -6.1)</w:t>
      </w:r>
      <w:r w:rsidR="000661CF">
        <w:t xml:space="preserve">. </w:t>
      </w:r>
      <w:r w:rsidR="007E5ADA" w:rsidRPr="00D33A17">
        <w:t>However, i</w:t>
      </w:r>
      <w:r w:rsidRPr="00D33A17">
        <w:t>t is uncertain whether this difference is</w:t>
      </w:r>
      <w:r w:rsidR="007E5ADA" w:rsidRPr="00D33A17">
        <w:t xml:space="preserve"> clinically meaningful as </w:t>
      </w:r>
      <w:r w:rsidRPr="00D33A17">
        <w:t>the lower 95%CI did not meet the</w:t>
      </w:r>
      <w:r w:rsidR="000C297F">
        <w:t xml:space="preserve"> submission nominated MCID of 8</w:t>
      </w:r>
      <w:r w:rsidR="000C297F">
        <w:noBreakHyphen/>
      </w:r>
      <w:r w:rsidRPr="00D33A17">
        <w:t>9% reduction versus placebo</w:t>
      </w:r>
      <w:r w:rsidR="000661CF">
        <w:t xml:space="preserve">. </w:t>
      </w:r>
    </w:p>
    <w:p w:rsidR="00F073E4" w:rsidRPr="000855D4" w:rsidRDefault="00AA11B6" w:rsidP="002471D4">
      <w:pPr>
        <w:pStyle w:val="ListParagraph"/>
        <w:numPr>
          <w:ilvl w:val="1"/>
          <w:numId w:val="4"/>
        </w:numPr>
        <w:spacing w:before="0" w:after="120"/>
        <w:jc w:val="both"/>
      </w:pPr>
      <w:r w:rsidRPr="000855D4">
        <w:t xml:space="preserve">With respect to the </w:t>
      </w:r>
      <w:r w:rsidR="00FF286D" w:rsidRPr="000855D4">
        <w:t xml:space="preserve">‘high-risk’ </w:t>
      </w:r>
      <w:r w:rsidRPr="000855D4">
        <w:t xml:space="preserve">subgroup of </w:t>
      </w:r>
      <w:r w:rsidR="00FF286D" w:rsidRPr="000855D4">
        <w:t xml:space="preserve">patients </w:t>
      </w:r>
      <w:r w:rsidRPr="000855D4">
        <w:t xml:space="preserve">nominated in the PSCR, the data </w:t>
      </w:r>
      <w:r w:rsidR="00FF286D" w:rsidRPr="000855D4">
        <w:t xml:space="preserve">indicates bezlotoxumab was superior to placebo in preventing CDI recurrence in the trials, with an absolute difference in recurrence of </w:t>
      </w:r>
      <w:r w:rsidR="007605FE">
        <w:rPr>
          <w:noProof/>
          <w:color w:val="000000"/>
          <w:highlight w:val="black"/>
        </w:rPr>
        <w:t>''''''</w:t>
      </w:r>
      <w:r w:rsidR="00FF286D" w:rsidRPr="000855D4">
        <w:t xml:space="preserve">% (95%CI </w:t>
      </w:r>
      <w:r w:rsidR="007605FE">
        <w:rPr>
          <w:noProof/>
          <w:color w:val="000000"/>
          <w:highlight w:val="black"/>
        </w:rPr>
        <w:t>''''''''''' ''''''''</w:t>
      </w:r>
      <w:r w:rsidR="00FF286D" w:rsidRPr="000855D4">
        <w:t>).</w:t>
      </w:r>
      <w:r w:rsidR="00BC47D7">
        <w:t xml:space="preserve"> </w:t>
      </w:r>
      <w:r w:rsidR="00546D83" w:rsidRPr="000855D4">
        <w:t>T</w:t>
      </w:r>
      <w:r w:rsidR="00FF286D" w:rsidRPr="000855D4">
        <w:t>hese results have not been verified</w:t>
      </w:r>
      <w:r w:rsidRPr="000855D4">
        <w:t xml:space="preserve">, and it is unclear whether </w:t>
      </w:r>
      <w:r w:rsidR="00DE2C7A" w:rsidRPr="000855D4">
        <w:t xml:space="preserve">this </w:t>
      </w:r>
      <w:r w:rsidRPr="000855D4">
        <w:t>difference is clinically meaningful.</w:t>
      </w:r>
      <w:r w:rsidR="00FF286D" w:rsidRPr="000855D4">
        <w:t xml:space="preserve"> </w:t>
      </w:r>
    </w:p>
    <w:p w:rsidR="00F073E4" w:rsidRDefault="00F073E4" w:rsidP="002471D4">
      <w:pPr>
        <w:pStyle w:val="ListParagraph"/>
        <w:numPr>
          <w:ilvl w:val="1"/>
          <w:numId w:val="4"/>
        </w:numPr>
        <w:spacing w:before="0" w:after="120"/>
        <w:jc w:val="both"/>
      </w:pPr>
      <w:r w:rsidRPr="00D33A17">
        <w:t xml:space="preserve">In terms of safety, the conclusion was supported when compared to the administered placebo infusion in the MODIFY I and MODIFY II trials, but it </w:t>
      </w:r>
      <w:r w:rsidR="00CE378E" w:rsidRPr="00D33A17">
        <w:t xml:space="preserve">may not </w:t>
      </w:r>
      <w:r w:rsidRPr="00D33A17">
        <w:t xml:space="preserve">be supported when compared to current SoC antibiotics alone, </w:t>
      </w:r>
      <w:r w:rsidR="007E5ADA" w:rsidRPr="00D33A17">
        <w:t>where</w:t>
      </w:r>
      <w:r w:rsidRPr="00D33A17">
        <w:t xml:space="preserve"> patients may not receive any infusions</w:t>
      </w:r>
      <w:r w:rsidR="000661CF">
        <w:t xml:space="preserve">. </w:t>
      </w:r>
      <w:r w:rsidR="00C7462A" w:rsidRPr="00D33A17">
        <w:t>C</w:t>
      </w:r>
      <w:r w:rsidRPr="00D33A17">
        <w:t>ompared to patients who do not receive any infusions</w:t>
      </w:r>
      <w:r w:rsidR="007E5ADA" w:rsidRPr="00D33A17">
        <w:t xml:space="preserve"> in current SoC</w:t>
      </w:r>
      <w:r w:rsidR="00F969B4" w:rsidRPr="00D33A17">
        <w:t>,</w:t>
      </w:r>
      <w:r w:rsidRPr="00D33A17">
        <w:t xml:space="preserve"> patients treated with bezlotoxumab may suffer additional infusion related adverse events </w:t>
      </w:r>
      <w:r w:rsidR="00C7462A" w:rsidRPr="00D33A17">
        <w:t xml:space="preserve">so </w:t>
      </w:r>
      <w:r w:rsidR="00F969B4" w:rsidRPr="00D33A17">
        <w:t xml:space="preserve">bezlotoxumab </w:t>
      </w:r>
      <w:r w:rsidRPr="00D33A17">
        <w:t>may not</w:t>
      </w:r>
      <w:r w:rsidR="001D4FA5" w:rsidRPr="00D33A17">
        <w:t xml:space="preserve"> actually be</w:t>
      </w:r>
      <w:r w:rsidRPr="00D33A17">
        <w:t xml:space="preserve"> non-inferior in safety</w:t>
      </w:r>
      <w:r w:rsidR="000661CF">
        <w:t xml:space="preserve">. </w:t>
      </w:r>
      <w:r w:rsidRPr="00D33A17">
        <w:t>Moreover, there may be specific concerns for patients with a history of CHF, which was not discussed by the submission</w:t>
      </w:r>
      <w:r w:rsidR="002245FF" w:rsidRPr="00D33A17">
        <w:t>.</w:t>
      </w:r>
    </w:p>
    <w:p w:rsidR="006129DB" w:rsidRDefault="006129DB" w:rsidP="006129DB">
      <w:pPr>
        <w:pStyle w:val="ListParagraph"/>
        <w:numPr>
          <w:ilvl w:val="1"/>
          <w:numId w:val="4"/>
        </w:numPr>
      </w:pPr>
      <w:r w:rsidRPr="004F6BAE">
        <w:t xml:space="preserve">The PBAC considered that </w:t>
      </w:r>
      <w:r w:rsidR="00BC6904">
        <w:t xml:space="preserve">while </w:t>
      </w:r>
      <w:r w:rsidRPr="004F6BAE">
        <w:t>the claim of superior comparative effectiveness was supported by the data</w:t>
      </w:r>
      <w:r w:rsidR="00BC6904">
        <w:t xml:space="preserve"> based on the pre-defined superiority margin, the clinical relevance of this difference was unclear</w:t>
      </w:r>
      <w:r w:rsidRPr="004F6BAE">
        <w:t>.</w:t>
      </w:r>
    </w:p>
    <w:p w:rsidR="006129DB" w:rsidRPr="006129DB" w:rsidRDefault="006129DB" w:rsidP="001339EB">
      <w:pPr>
        <w:pStyle w:val="ListParagraph"/>
        <w:numPr>
          <w:ilvl w:val="1"/>
          <w:numId w:val="4"/>
        </w:numPr>
        <w:spacing w:before="0" w:after="120"/>
        <w:ind w:left="709" w:hanging="709"/>
        <w:jc w:val="both"/>
        <w:rPr>
          <w:rFonts w:cs="Arial"/>
          <w:snapToGrid w:val="0"/>
          <w:szCs w:val="20"/>
        </w:rPr>
      </w:pPr>
      <w:r w:rsidRPr="004F6BAE">
        <w:rPr>
          <w:rFonts w:cs="Arial"/>
          <w:snapToGrid w:val="0"/>
          <w:szCs w:val="20"/>
        </w:rPr>
        <w:t xml:space="preserve">The PBAC considered that the claim of non-inferior comparative safety was </w:t>
      </w:r>
      <w:r w:rsidR="00BC6904">
        <w:rPr>
          <w:rFonts w:cs="Arial"/>
          <w:snapToGrid w:val="0"/>
          <w:szCs w:val="20"/>
        </w:rPr>
        <w:t>not supported by the data when compared to oral antibiotics alone (i.e. no placebo infusion)</w:t>
      </w:r>
      <w:r w:rsidRPr="004F6BAE">
        <w:rPr>
          <w:rFonts w:cs="Arial"/>
          <w:snapToGrid w:val="0"/>
          <w:szCs w:val="20"/>
        </w:rPr>
        <w:t>.</w:t>
      </w:r>
    </w:p>
    <w:p w:rsidR="00F073E4" w:rsidRPr="00D33A17" w:rsidRDefault="00F073E4" w:rsidP="00F073E4">
      <w:pPr>
        <w:pStyle w:val="Heading2"/>
        <w:rPr>
          <w:i w:val="0"/>
        </w:rPr>
      </w:pPr>
      <w:bookmarkStart w:id="20" w:name="_Toc413139282"/>
      <w:bookmarkStart w:id="21" w:name="_Toc492999817"/>
      <w:r w:rsidRPr="00D33A17">
        <w:rPr>
          <w:i w:val="0"/>
        </w:rPr>
        <w:t>Economic analysis</w:t>
      </w:r>
      <w:bookmarkEnd w:id="20"/>
      <w:bookmarkEnd w:id="21"/>
    </w:p>
    <w:p w:rsidR="00F073E4" w:rsidRPr="000855D4" w:rsidRDefault="00F073E4" w:rsidP="002471D4">
      <w:pPr>
        <w:pStyle w:val="ListParagraph"/>
        <w:numPr>
          <w:ilvl w:val="1"/>
          <w:numId w:val="4"/>
        </w:numPr>
        <w:spacing w:before="0" w:after="120"/>
        <w:jc w:val="both"/>
      </w:pPr>
      <w:r w:rsidRPr="00D33A17">
        <w:t>A stepped cost utility analysis was presented, based on results from the MODIFY I and MODIFY II trials</w:t>
      </w:r>
      <w:r w:rsidR="000661CF">
        <w:t xml:space="preserve">. </w:t>
      </w:r>
      <w:r w:rsidRPr="00D33A17">
        <w:t xml:space="preserve">Key components of the economic evaluation </w:t>
      </w:r>
      <w:r w:rsidR="00016C2B" w:rsidRPr="00D33A17">
        <w:t>are</w:t>
      </w:r>
      <w:r w:rsidRPr="00D33A17">
        <w:t xml:space="preserve"> summarised in Table </w:t>
      </w:r>
      <w:r w:rsidR="0097375A">
        <w:t>9</w:t>
      </w:r>
      <w:r w:rsidRPr="00D33A17">
        <w:t xml:space="preserve">. </w:t>
      </w:r>
      <w:r w:rsidR="009D4555" w:rsidRPr="000855D4">
        <w:t xml:space="preserve">The PSCR presented a new economic analysis based on restricting the PBS indication to the high-risk patients only. This new analysis retained the same structure of the model, but changed inputs regarding </w:t>
      </w:r>
      <w:r w:rsidR="009D4555" w:rsidRPr="000855D4">
        <w:rPr>
          <w:iCs/>
        </w:rPr>
        <w:t>patient age, gender split, proportion entering with mild/moderate or severe CDI</w:t>
      </w:r>
      <w:r w:rsidR="00ED4021" w:rsidRPr="000855D4">
        <w:rPr>
          <w:iCs/>
        </w:rPr>
        <w:t>,</w:t>
      </w:r>
      <w:r w:rsidR="009D4555" w:rsidRPr="000855D4">
        <w:rPr>
          <w:iCs/>
        </w:rPr>
        <w:t xml:space="preserve"> proportion of subsequent recurrences that were severe, rate of recurrence for those who received bezlotoxumab</w:t>
      </w:r>
      <w:r w:rsidR="00ED4021" w:rsidRPr="000855D4">
        <w:rPr>
          <w:iCs/>
        </w:rPr>
        <w:t>,</w:t>
      </w:r>
      <w:r w:rsidR="009D4555" w:rsidRPr="000855D4">
        <w:rPr>
          <w:iCs/>
        </w:rPr>
        <w:t xml:space="preserve"> and rate of recurrence in those who received no treatment</w:t>
      </w:r>
      <w:r w:rsidR="00ED4021" w:rsidRPr="000855D4">
        <w:rPr>
          <w:iCs/>
        </w:rPr>
        <w:t>. While the revised ICER based on these new inputs could be confirmed, the choice of inputs could not.</w:t>
      </w:r>
    </w:p>
    <w:p w:rsidR="00900949" w:rsidRDefault="00900949">
      <w:pPr>
        <w:spacing w:before="0" w:line="259" w:lineRule="auto"/>
        <w:rPr>
          <w:rFonts w:ascii="Arial Narrow" w:hAnsi="Arial Narrow"/>
          <w:b/>
          <w:sz w:val="20"/>
        </w:rPr>
      </w:pPr>
      <w:r>
        <w:br w:type="page"/>
      </w:r>
    </w:p>
    <w:p w:rsidR="00F073E4" w:rsidRPr="00D33A17" w:rsidRDefault="00F073E4" w:rsidP="00C4393C">
      <w:pPr>
        <w:pStyle w:val="TableHeading0"/>
        <w:spacing w:after="0"/>
      </w:pPr>
      <w:r w:rsidRPr="00D33A17">
        <w:t xml:space="preserve">Table </w:t>
      </w:r>
      <w:r w:rsidR="0097375A">
        <w:t>9</w:t>
      </w:r>
      <w:r w:rsidRPr="00D33A17">
        <w:t>: Summary of model structure and rationale</w:t>
      </w:r>
      <w:r w:rsidRPr="00D33A17">
        <w:rPr>
          <w:b w:val="0"/>
          <w:color w:val="4472C4" w:themeColor="accent5"/>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7796"/>
      </w:tblGrid>
      <w:tr w:rsidR="00EF0CF3" w:rsidRPr="00D33A17" w:rsidTr="00244219">
        <w:tc>
          <w:tcPr>
            <w:tcW w:w="1271" w:type="dxa"/>
            <w:shd w:val="clear" w:color="auto" w:fill="auto"/>
          </w:tcPr>
          <w:p w:rsidR="00EF0CF3" w:rsidRPr="00D33A17" w:rsidRDefault="00EF0CF3" w:rsidP="00FF79DC">
            <w:pPr>
              <w:spacing w:before="0" w:after="0"/>
              <w:rPr>
                <w:rFonts w:ascii="Arial Narrow" w:hAnsi="Arial Narrow"/>
                <w:b/>
                <w:bCs/>
                <w:sz w:val="20"/>
                <w:szCs w:val="20"/>
              </w:rPr>
            </w:pPr>
            <w:r w:rsidRPr="00D33A17">
              <w:rPr>
                <w:rFonts w:ascii="Arial Narrow" w:hAnsi="Arial Narrow"/>
                <w:b/>
                <w:bCs/>
                <w:sz w:val="20"/>
                <w:szCs w:val="20"/>
              </w:rPr>
              <w:t xml:space="preserve">Component </w:t>
            </w:r>
          </w:p>
        </w:tc>
        <w:tc>
          <w:tcPr>
            <w:tcW w:w="7796" w:type="dxa"/>
            <w:shd w:val="clear" w:color="auto" w:fill="auto"/>
          </w:tcPr>
          <w:p w:rsidR="00EF0CF3" w:rsidRPr="00D33A17" w:rsidRDefault="00EF0CF3" w:rsidP="00FF79DC">
            <w:pPr>
              <w:spacing w:before="0" w:after="0"/>
              <w:rPr>
                <w:rFonts w:ascii="Arial Narrow" w:hAnsi="Arial Narrow"/>
                <w:b/>
                <w:bCs/>
                <w:sz w:val="20"/>
                <w:szCs w:val="20"/>
              </w:rPr>
            </w:pPr>
            <w:r w:rsidRPr="00D33A17">
              <w:rPr>
                <w:rFonts w:ascii="Arial Narrow" w:hAnsi="Arial Narrow"/>
                <w:b/>
                <w:bCs/>
                <w:sz w:val="20"/>
                <w:szCs w:val="20"/>
              </w:rPr>
              <w:t>Description</w:t>
            </w:r>
          </w:p>
        </w:tc>
      </w:tr>
      <w:tr w:rsidR="00EF0CF3" w:rsidRPr="00D33A17" w:rsidTr="00244219">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 xml:space="preserve">Type of analysis </w:t>
            </w:r>
          </w:p>
        </w:tc>
        <w:tc>
          <w:tcPr>
            <w:tcW w:w="7796"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Cost utility analysis</w:t>
            </w:r>
          </w:p>
        </w:tc>
      </w:tr>
      <w:tr w:rsidR="00EF0CF3" w:rsidRPr="00D33A17" w:rsidTr="00244219">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Outcomes</w:t>
            </w:r>
          </w:p>
        </w:tc>
        <w:tc>
          <w:tcPr>
            <w:tcW w:w="7796"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Cost per CDI recurrence avoided; cost per life year (LYG) gained; cost per quality adjusted life year (QALY) gained.</w:t>
            </w:r>
          </w:p>
        </w:tc>
      </w:tr>
      <w:tr w:rsidR="00EF0CF3" w:rsidRPr="00D33A17" w:rsidTr="00244219">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Time horizon</w:t>
            </w:r>
          </w:p>
        </w:tc>
        <w:tc>
          <w:tcPr>
            <w:tcW w:w="7796" w:type="dxa"/>
            <w:shd w:val="clear" w:color="auto" w:fill="auto"/>
            <w:vAlign w:val="center"/>
          </w:tcPr>
          <w:p w:rsidR="00EF0CF3" w:rsidRPr="00D33A17" w:rsidRDefault="00EF0CF3" w:rsidP="000306BE">
            <w:pPr>
              <w:spacing w:before="0" w:after="0"/>
              <w:rPr>
                <w:rFonts w:ascii="Arial Narrow" w:hAnsi="Arial Narrow"/>
                <w:sz w:val="20"/>
                <w:szCs w:val="20"/>
              </w:rPr>
            </w:pPr>
            <w:r w:rsidRPr="00D33A17">
              <w:rPr>
                <w:rFonts w:ascii="Arial Narrow" w:hAnsi="Arial Narrow"/>
                <w:sz w:val="20"/>
                <w:szCs w:val="20"/>
              </w:rPr>
              <w:t>A 10 year time horizon was presented as the base case. A 5 year time horizon and a lifetime horizon were tested in sensitivity analysis</w:t>
            </w:r>
            <w:r w:rsidR="000661CF">
              <w:rPr>
                <w:rFonts w:ascii="Arial Narrow" w:hAnsi="Arial Narrow"/>
                <w:sz w:val="20"/>
                <w:szCs w:val="20"/>
              </w:rPr>
              <w:t xml:space="preserve">. </w:t>
            </w:r>
            <w:r w:rsidR="002C6677" w:rsidRPr="00D33A17">
              <w:rPr>
                <w:rFonts w:ascii="Arial Narrow" w:hAnsi="Arial Narrow"/>
                <w:sz w:val="20"/>
                <w:szCs w:val="20"/>
              </w:rPr>
              <w:t>Given there is no clinical trial data on CDI recurrence beyond 1 year and the main trial outcomes were measured at 12 weeks a 10 year time horizon may not be appropriate</w:t>
            </w:r>
            <w:r w:rsidR="000661CF">
              <w:rPr>
                <w:rFonts w:ascii="Arial Narrow" w:hAnsi="Arial Narrow"/>
                <w:sz w:val="20"/>
                <w:szCs w:val="20"/>
              </w:rPr>
              <w:t xml:space="preserve">. </w:t>
            </w:r>
            <w:r w:rsidR="002C6677" w:rsidRPr="00D33A17">
              <w:rPr>
                <w:rFonts w:ascii="Arial Narrow" w:hAnsi="Arial Narrow"/>
                <w:sz w:val="20"/>
                <w:szCs w:val="20"/>
              </w:rPr>
              <w:t>The model was very sensitive to the assumed time horizon, halving the time horizon to 5 years doubled the ICER to over $100,000 per QALY gained.</w:t>
            </w:r>
          </w:p>
        </w:tc>
      </w:tr>
      <w:tr w:rsidR="00EF0CF3" w:rsidRPr="00D33A17" w:rsidTr="00244219">
        <w:trPr>
          <w:trHeight w:val="524"/>
        </w:trPr>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Methods used to generate results</w:t>
            </w:r>
          </w:p>
        </w:tc>
        <w:tc>
          <w:tcPr>
            <w:tcW w:w="7796"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Markov cohort analysis.</w:t>
            </w:r>
          </w:p>
        </w:tc>
      </w:tr>
      <w:tr w:rsidR="00EF0CF3" w:rsidRPr="00D33A17" w:rsidTr="00244219">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Health states</w:t>
            </w:r>
          </w:p>
        </w:tc>
        <w:tc>
          <w:tcPr>
            <w:tcW w:w="7796" w:type="dxa"/>
            <w:shd w:val="clear" w:color="auto" w:fill="auto"/>
            <w:vAlign w:val="center"/>
          </w:tcPr>
          <w:p w:rsidR="002C6677" w:rsidRPr="00D33A17" w:rsidRDefault="002C6677" w:rsidP="002C6677">
            <w:pPr>
              <w:spacing w:before="0" w:after="0"/>
              <w:rPr>
                <w:rFonts w:ascii="Arial Narrow" w:hAnsi="Arial Narrow"/>
                <w:sz w:val="20"/>
                <w:szCs w:val="20"/>
              </w:rPr>
            </w:pPr>
            <w:r w:rsidRPr="00D33A17">
              <w:rPr>
                <w:rFonts w:ascii="Arial Narrow" w:hAnsi="Arial Narrow"/>
                <w:sz w:val="20"/>
                <w:szCs w:val="20"/>
              </w:rPr>
              <w:t>8 main health states: mild/moderate CDI; severe CDI; clinical cure; clinical failure; post clinical failure; colectomy; post colectomy and death.</w:t>
            </w:r>
          </w:p>
          <w:p w:rsidR="00EF0CF3" w:rsidRPr="00D33A17" w:rsidRDefault="002C6677" w:rsidP="002C6677">
            <w:pPr>
              <w:spacing w:before="0" w:after="0"/>
              <w:rPr>
                <w:rFonts w:ascii="Arial Narrow" w:hAnsi="Arial Narrow"/>
                <w:sz w:val="20"/>
                <w:szCs w:val="20"/>
              </w:rPr>
            </w:pPr>
            <w:r w:rsidRPr="00D33A17">
              <w:rPr>
                <w:rFonts w:ascii="Arial Narrow" w:hAnsi="Arial Narrow"/>
                <w:sz w:val="20"/>
                <w:szCs w:val="20"/>
              </w:rPr>
              <w:t>Clinical failure and colectomy are temporary health states and patients were assumed to transit to post clinical failure and post colectomy next cycle.</w:t>
            </w:r>
          </w:p>
        </w:tc>
      </w:tr>
      <w:tr w:rsidR="00EF0CF3" w:rsidRPr="00D33A17" w:rsidTr="00244219">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Utilities</w:t>
            </w:r>
          </w:p>
        </w:tc>
        <w:tc>
          <w:tcPr>
            <w:tcW w:w="7796" w:type="dxa"/>
            <w:shd w:val="clear" w:color="auto" w:fill="auto"/>
            <w:vAlign w:val="center"/>
          </w:tcPr>
          <w:p w:rsidR="00EF0CF3" w:rsidRPr="00D33A17" w:rsidRDefault="00EF0CF3" w:rsidP="00244219">
            <w:pPr>
              <w:spacing w:before="0" w:after="0"/>
              <w:jc w:val="both"/>
              <w:rPr>
                <w:rFonts w:ascii="Arial Narrow" w:hAnsi="Arial Narrow"/>
                <w:sz w:val="20"/>
                <w:szCs w:val="20"/>
              </w:rPr>
            </w:pPr>
            <w:r w:rsidRPr="00D33A17">
              <w:rPr>
                <w:rFonts w:ascii="Arial Narrow" w:hAnsi="Arial Narrow"/>
                <w:sz w:val="20"/>
                <w:szCs w:val="20"/>
              </w:rPr>
              <w:t>The utilities for the health states of mild/moderate CDI (0.880), severe CDI (0.817) and colectomy (0.817) were</w:t>
            </w:r>
            <w:r w:rsidRPr="00D33A17">
              <w:t xml:space="preserve"> </w:t>
            </w:r>
            <w:r w:rsidRPr="00D33A17">
              <w:rPr>
                <w:rFonts w:ascii="Arial Narrow" w:hAnsi="Arial Narrow"/>
                <w:sz w:val="20"/>
                <w:szCs w:val="20"/>
              </w:rPr>
              <w:t>extracted from an economic evaluation reported by Bartsch 2013</w:t>
            </w:r>
            <w:r w:rsidR="000661CF">
              <w:rPr>
                <w:rFonts w:ascii="Arial Narrow" w:hAnsi="Arial Narrow"/>
                <w:sz w:val="20"/>
                <w:szCs w:val="20"/>
              </w:rPr>
              <w:t xml:space="preserve">. </w:t>
            </w:r>
            <w:r w:rsidRPr="00D33A17">
              <w:rPr>
                <w:rFonts w:ascii="Arial Narrow" w:hAnsi="Arial Narrow"/>
                <w:sz w:val="20"/>
                <w:szCs w:val="20"/>
              </w:rPr>
              <w:t>The utilities for the health states clinical cure (1.0), clinical failure (0.88), post clinical failure (1.0), post colectomy (1.0) and death (0) were assumptions</w:t>
            </w:r>
            <w:r w:rsidR="000661CF">
              <w:rPr>
                <w:rFonts w:ascii="Arial Narrow" w:hAnsi="Arial Narrow"/>
                <w:sz w:val="20"/>
                <w:szCs w:val="20"/>
              </w:rPr>
              <w:t xml:space="preserve">. </w:t>
            </w:r>
            <w:r w:rsidRPr="00D33A17">
              <w:rPr>
                <w:rFonts w:ascii="Arial Narrow" w:hAnsi="Arial Narrow"/>
                <w:sz w:val="20"/>
                <w:szCs w:val="20"/>
              </w:rPr>
              <w:t xml:space="preserve">Patient specific health state utilities were then estimated by multiplying these health state utilities by the age/gender population level utility values from a large international study using EQ-5D values (Szende2014). </w:t>
            </w:r>
          </w:p>
          <w:p w:rsidR="00EF0CF3" w:rsidRPr="00D33A17" w:rsidRDefault="002C6677" w:rsidP="00FF79DC">
            <w:pPr>
              <w:spacing w:before="0" w:after="0"/>
              <w:rPr>
                <w:rFonts w:ascii="Arial Narrow" w:hAnsi="Arial Narrow"/>
                <w:sz w:val="20"/>
                <w:szCs w:val="20"/>
              </w:rPr>
            </w:pPr>
            <w:r w:rsidRPr="00D33A17">
              <w:rPr>
                <w:rFonts w:ascii="Arial Narrow" w:hAnsi="Arial Narrow"/>
                <w:sz w:val="20"/>
                <w:szCs w:val="20"/>
              </w:rPr>
              <w:t>The reported CDI health state utilities were not specific to CDI and were reported for conditions associated with non-infectious diarrhoea</w:t>
            </w:r>
            <w:r w:rsidR="000661CF">
              <w:rPr>
                <w:rFonts w:ascii="Arial Narrow" w:hAnsi="Arial Narrow"/>
                <w:sz w:val="20"/>
                <w:szCs w:val="20"/>
              </w:rPr>
              <w:t xml:space="preserve">. </w:t>
            </w:r>
            <w:r w:rsidRPr="00D33A17">
              <w:rPr>
                <w:rFonts w:ascii="Arial Narrow" w:hAnsi="Arial Narrow"/>
                <w:sz w:val="20"/>
                <w:szCs w:val="20"/>
              </w:rPr>
              <w:t>However, the model is not very sensitive to utility assumptions alone.</w:t>
            </w:r>
          </w:p>
        </w:tc>
      </w:tr>
      <w:tr w:rsidR="00EF0CF3" w:rsidRPr="00D33A17" w:rsidTr="00244219">
        <w:tc>
          <w:tcPr>
            <w:tcW w:w="1271" w:type="dxa"/>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Cycle length</w:t>
            </w:r>
          </w:p>
        </w:tc>
        <w:tc>
          <w:tcPr>
            <w:tcW w:w="7796" w:type="dxa"/>
            <w:shd w:val="clear" w:color="auto" w:fill="auto"/>
            <w:vAlign w:val="center"/>
          </w:tcPr>
          <w:p w:rsidR="00EF0CF3" w:rsidRPr="00D33A17" w:rsidRDefault="00EF0CF3" w:rsidP="00FB7EE3">
            <w:pPr>
              <w:spacing w:before="0" w:after="0"/>
              <w:rPr>
                <w:rFonts w:ascii="Arial Narrow" w:hAnsi="Arial Narrow"/>
                <w:sz w:val="20"/>
                <w:szCs w:val="20"/>
              </w:rPr>
            </w:pPr>
            <w:r w:rsidRPr="00D33A17">
              <w:rPr>
                <w:rFonts w:ascii="Arial Narrow" w:hAnsi="Arial Narrow"/>
                <w:sz w:val="20"/>
                <w:szCs w:val="20"/>
              </w:rPr>
              <w:t xml:space="preserve">15 days in the first year, annual cycle length thereafter. With half cycle corrections to costs and benefits. </w:t>
            </w:r>
            <w:r w:rsidR="00FB7EE3" w:rsidRPr="00D33A17">
              <w:rPr>
                <w:rFonts w:ascii="Arial Narrow" w:hAnsi="Arial Narrow"/>
                <w:sz w:val="20"/>
                <w:szCs w:val="20"/>
              </w:rPr>
              <w:t>This was reasonable given the chosen model structure.</w:t>
            </w:r>
          </w:p>
        </w:tc>
      </w:tr>
      <w:tr w:rsidR="00EF0CF3" w:rsidRPr="00D33A17" w:rsidTr="00244219">
        <w:tc>
          <w:tcPr>
            <w:tcW w:w="1271" w:type="dxa"/>
            <w:tcBorders>
              <w:bottom w:val="single" w:sz="4" w:space="0" w:color="auto"/>
            </w:tcBorders>
            <w:shd w:val="clear" w:color="auto" w:fill="auto"/>
            <w:vAlign w:val="center"/>
          </w:tcPr>
          <w:p w:rsidR="00EF0CF3" w:rsidRPr="00D33A17" w:rsidRDefault="00EF0CF3" w:rsidP="00FF79DC">
            <w:pPr>
              <w:spacing w:before="0" w:after="0"/>
              <w:rPr>
                <w:rFonts w:ascii="Arial Narrow" w:hAnsi="Arial Narrow"/>
                <w:sz w:val="20"/>
                <w:szCs w:val="20"/>
              </w:rPr>
            </w:pPr>
            <w:r w:rsidRPr="00D33A17">
              <w:rPr>
                <w:rFonts w:ascii="Arial Narrow" w:hAnsi="Arial Narrow"/>
                <w:sz w:val="20"/>
                <w:szCs w:val="20"/>
              </w:rPr>
              <w:t xml:space="preserve">Transition probability </w:t>
            </w:r>
          </w:p>
        </w:tc>
        <w:tc>
          <w:tcPr>
            <w:tcW w:w="7796" w:type="dxa"/>
            <w:shd w:val="clear" w:color="auto" w:fill="auto"/>
            <w:vAlign w:val="center"/>
          </w:tcPr>
          <w:p w:rsidR="00E7734C" w:rsidRPr="00D33A17" w:rsidRDefault="00EF0CF3" w:rsidP="00825B25">
            <w:pPr>
              <w:spacing w:before="0" w:after="0"/>
              <w:rPr>
                <w:rFonts w:ascii="Arial Narrow" w:hAnsi="Arial Narrow"/>
                <w:sz w:val="20"/>
                <w:szCs w:val="20"/>
              </w:rPr>
            </w:pPr>
            <w:r w:rsidRPr="00D33A17">
              <w:rPr>
                <w:rFonts w:ascii="Arial Narrow" w:hAnsi="Arial Narrow"/>
                <w:sz w:val="20"/>
                <w:szCs w:val="20"/>
              </w:rPr>
              <w:t>Transitional probabilities were calculated from MODIFY I and MODIFY II.</w:t>
            </w:r>
          </w:p>
          <w:p w:rsidR="00E7734C" w:rsidRPr="00D33A17" w:rsidRDefault="00E7734C" w:rsidP="002B43F1">
            <w:pPr>
              <w:spacing w:before="0" w:after="0"/>
              <w:rPr>
                <w:rFonts w:ascii="Arial Narrow" w:hAnsi="Arial Narrow"/>
                <w:sz w:val="20"/>
                <w:szCs w:val="20"/>
              </w:rPr>
            </w:pPr>
          </w:p>
          <w:p w:rsidR="00016C2B" w:rsidRPr="00D33A17" w:rsidRDefault="00016C2B" w:rsidP="002B43F1">
            <w:pPr>
              <w:spacing w:before="0" w:after="0"/>
              <w:rPr>
                <w:rFonts w:ascii="Arial Narrow" w:hAnsi="Arial Narrow"/>
                <w:sz w:val="20"/>
                <w:szCs w:val="20"/>
              </w:rPr>
            </w:pPr>
            <w:r w:rsidRPr="00D33A17">
              <w:rPr>
                <w:rFonts w:ascii="Arial Narrow" w:hAnsi="Arial Narrow"/>
                <w:sz w:val="20"/>
                <w:szCs w:val="20"/>
              </w:rPr>
              <w:t>The results for global cure were not applied in the</w:t>
            </w:r>
            <w:r w:rsidR="00A42611" w:rsidRPr="00D33A17">
              <w:rPr>
                <w:rFonts w:ascii="Arial Narrow" w:hAnsi="Arial Narrow"/>
                <w:sz w:val="20"/>
                <w:szCs w:val="20"/>
              </w:rPr>
              <w:t xml:space="preserve"> model</w:t>
            </w:r>
            <w:r w:rsidR="000661CF">
              <w:rPr>
                <w:rFonts w:ascii="Arial Narrow" w:hAnsi="Arial Narrow"/>
                <w:sz w:val="20"/>
                <w:szCs w:val="20"/>
              </w:rPr>
              <w:t xml:space="preserve">. </w:t>
            </w:r>
            <w:r w:rsidRPr="00D33A17">
              <w:rPr>
                <w:rFonts w:ascii="Arial Narrow" w:hAnsi="Arial Narrow"/>
                <w:sz w:val="20"/>
                <w:szCs w:val="20"/>
              </w:rPr>
              <w:t>Instead, clinical cure and CDI recurrence from the MODIFY trials were applied</w:t>
            </w:r>
            <w:r w:rsidR="00A42611" w:rsidRPr="00D33A17">
              <w:rPr>
                <w:rFonts w:ascii="Arial Narrow" w:hAnsi="Arial Narrow"/>
                <w:sz w:val="20"/>
                <w:szCs w:val="20"/>
              </w:rPr>
              <w:t xml:space="preserve"> separately</w:t>
            </w:r>
            <w:r w:rsidR="000661CF">
              <w:rPr>
                <w:rFonts w:ascii="Arial Narrow" w:hAnsi="Arial Narrow"/>
                <w:sz w:val="20"/>
                <w:szCs w:val="20"/>
              </w:rPr>
              <w:t xml:space="preserve">. </w:t>
            </w:r>
          </w:p>
          <w:p w:rsidR="00016C2B" w:rsidRPr="00D33A17" w:rsidRDefault="00016C2B" w:rsidP="002B43F1">
            <w:pPr>
              <w:spacing w:before="0" w:after="0"/>
              <w:rPr>
                <w:rFonts w:ascii="Arial Narrow" w:hAnsi="Arial Narrow"/>
                <w:sz w:val="20"/>
                <w:szCs w:val="20"/>
              </w:rPr>
            </w:pPr>
          </w:p>
          <w:p w:rsidR="00E7734C" w:rsidRPr="00D33A17" w:rsidRDefault="00EF0CF3" w:rsidP="00FB7EE3">
            <w:pPr>
              <w:spacing w:before="0" w:after="0"/>
              <w:rPr>
                <w:rFonts w:ascii="Arial Narrow" w:hAnsi="Arial Narrow"/>
                <w:sz w:val="20"/>
                <w:szCs w:val="20"/>
              </w:rPr>
            </w:pPr>
            <w:r w:rsidRPr="00D33A17">
              <w:rPr>
                <w:rFonts w:ascii="Arial Narrow" w:hAnsi="Arial Narrow"/>
                <w:sz w:val="20"/>
                <w:szCs w:val="20"/>
              </w:rPr>
              <w:t>Efficacy estimates regarding the probability of CDI recurrence were adjusted to the 15 day cycle length in the first year of the model</w:t>
            </w:r>
            <w:r w:rsidR="000661CF">
              <w:rPr>
                <w:rFonts w:ascii="Arial Narrow" w:hAnsi="Arial Narrow"/>
                <w:sz w:val="20"/>
                <w:szCs w:val="20"/>
              </w:rPr>
              <w:t xml:space="preserve">. </w:t>
            </w:r>
            <w:r w:rsidR="00FB7EE3" w:rsidRPr="00D33A17">
              <w:rPr>
                <w:rFonts w:ascii="Arial Narrow" w:hAnsi="Arial Narrow"/>
                <w:sz w:val="20"/>
                <w:szCs w:val="20"/>
              </w:rPr>
              <w:t>The submission claimed the literature suggested most CDI recurrences occur within 30 days of the index episode and that in MODIFY I and MODIFY II 71% of all CDI recurrences across all treatment groups had occurred within the first 4 weeks following the infusion of trial medication</w:t>
            </w:r>
            <w:r w:rsidR="000661CF">
              <w:rPr>
                <w:rFonts w:ascii="Arial Narrow" w:hAnsi="Arial Narrow"/>
                <w:sz w:val="20"/>
                <w:szCs w:val="20"/>
              </w:rPr>
              <w:t xml:space="preserve">. </w:t>
            </w:r>
            <w:r w:rsidR="00FB7EE3" w:rsidRPr="00D33A17">
              <w:rPr>
                <w:rFonts w:ascii="Arial Narrow" w:hAnsi="Arial Narrow"/>
                <w:sz w:val="20"/>
                <w:szCs w:val="20"/>
              </w:rPr>
              <w:t>Based on this, the submission assumed that 100% of all CDI recurrences that occurred over 84 days in the trials will occur within the first 30 days of the initial episode of CDI in the economic evaluation</w:t>
            </w:r>
            <w:r w:rsidR="000661CF">
              <w:rPr>
                <w:rFonts w:ascii="Arial Narrow" w:hAnsi="Arial Narrow"/>
                <w:sz w:val="20"/>
                <w:szCs w:val="20"/>
              </w:rPr>
              <w:t xml:space="preserve">. </w:t>
            </w:r>
            <w:r w:rsidR="00FB7EE3" w:rsidRPr="00D33A17">
              <w:rPr>
                <w:rFonts w:ascii="Arial Narrow" w:hAnsi="Arial Narrow"/>
                <w:sz w:val="20"/>
                <w:szCs w:val="20"/>
              </w:rPr>
              <w:t>This approach favoured bezlotoxumab in the model since it allowed events to happen earlier and thus benefits to be accrued for longer</w:t>
            </w:r>
            <w:r w:rsidR="000661CF">
              <w:rPr>
                <w:rFonts w:ascii="Arial Narrow" w:hAnsi="Arial Narrow"/>
                <w:sz w:val="20"/>
                <w:szCs w:val="20"/>
              </w:rPr>
              <w:t xml:space="preserve">. </w:t>
            </w:r>
          </w:p>
          <w:p w:rsidR="00714B53" w:rsidRPr="00D33A17" w:rsidRDefault="00714B53" w:rsidP="00FF45E4">
            <w:pPr>
              <w:spacing w:before="0" w:after="0"/>
              <w:rPr>
                <w:rFonts w:ascii="Arial Narrow" w:hAnsi="Arial Narrow"/>
                <w:sz w:val="20"/>
                <w:szCs w:val="20"/>
              </w:rPr>
            </w:pPr>
          </w:p>
          <w:p w:rsidR="00EF0CF3" w:rsidRPr="00D33A17" w:rsidRDefault="00EF0CF3">
            <w:pPr>
              <w:spacing w:before="0" w:after="0"/>
              <w:rPr>
                <w:rFonts w:ascii="Arial Narrow" w:hAnsi="Arial Narrow"/>
                <w:sz w:val="20"/>
                <w:szCs w:val="20"/>
              </w:rPr>
            </w:pPr>
            <w:r w:rsidRPr="00D33A17">
              <w:rPr>
                <w:rFonts w:ascii="Arial Narrow" w:hAnsi="Arial Narrow"/>
                <w:sz w:val="20"/>
                <w:szCs w:val="20"/>
              </w:rPr>
              <w:t xml:space="preserve">Mortality rates </w:t>
            </w:r>
            <w:r w:rsidR="00714B53" w:rsidRPr="00D33A17">
              <w:rPr>
                <w:rFonts w:ascii="Arial Narrow" w:hAnsi="Arial Narrow"/>
                <w:sz w:val="20"/>
                <w:szCs w:val="20"/>
              </w:rPr>
              <w:t xml:space="preserve">were </w:t>
            </w:r>
            <w:r w:rsidR="00FB7EE3" w:rsidRPr="00D33A17">
              <w:rPr>
                <w:rFonts w:ascii="Arial Narrow" w:hAnsi="Arial Narrow"/>
                <w:sz w:val="20"/>
                <w:szCs w:val="20"/>
              </w:rPr>
              <w:t xml:space="preserve">allowed to differ between bezlotoxumab + SoC and placebo + SoC arms </w:t>
            </w:r>
            <w:r w:rsidRPr="00D33A17">
              <w:rPr>
                <w:rFonts w:ascii="Arial Narrow" w:hAnsi="Arial Narrow"/>
                <w:sz w:val="20"/>
                <w:szCs w:val="20"/>
              </w:rPr>
              <w:t>in the first 180 days in the model</w:t>
            </w:r>
            <w:r w:rsidR="00FB7EE3" w:rsidRPr="00D33A17">
              <w:rPr>
                <w:rFonts w:ascii="Arial Narrow" w:hAnsi="Arial Narrow"/>
                <w:sz w:val="20"/>
                <w:szCs w:val="20"/>
              </w:rPr>
              <w:t xml:space="preserve"> assuming lower probability of deaths in the bezlotoxumab + SoC arm</w:t>
            </w:r>
            <w:r w:rsidR="00714B53" w:rsidRPr="00D33A17">
              <w:rPr>
                <w:rFonts w:ascii="Arial Narrow" w:hAnsi="Arial Narrow"/>
                <w:sz w:val="20"/>
                <w:szCs w:val="20"/>
              </w:rPr>
              <w:t xml:space="preserve">. These </w:t>
            </w:r>
            <w:r w:rsidRPr="00D33A17">
              <w:rPr>
                <w:rFonts w:ascii="Arial Narrow" w:hAnsi="Arial Narrow"/>
                <w:sz w:val="20"/>
                <w:szCs w:val="20"/>
              </w:rPr>
              <w:t xml:space="preserve">were </w:t>
            </w:r>
            <w:r w:rsidR="00FB7EE3" w:rsidRPr="00D33A17">
              <w:rPr>
                <w:rFonts w:ascii="Arial Narrow" w:hAnsi="Arial Narrow"/>
                <w:sz w:val="20"/>
                <w:szCs w:val="20"/>
              </w:rPr>
              <w:t xml:space="preserve">not informed by the </w:t>
            </w:r>
            <w:r w:rsidR="00A42611" w:rsidRPr="00D33A17">
              <w:rPr>
                <w:rFonts w:ascii="Arial Narrow" w:hAnsi="Arial Narrow"/>
                <w:sz w:val="20"/>
                <w:szCs w:val="20"/>
              </w:rPr>
              <w:t>trials, which</w:t>
            </w:r>
            <w:r w:rsidR="00FB7EE3" w:rsidRPr="00D33A17">
              <w:rPr>
                <w:rFonts w:ascii="Arial Narrow" w:hAnsi="Arial Narrow"/>
                <w:sz w:val="20"/>
                <w:szCs w:val="20"/>
              </w:rPr>
              <w:t xml:space="preserve"> did not find any significant difference between bezlotoxumab and placebo in mortality, instead these were </w:t>
            </w:r>
            <w:r w:rsidRPr="00D33A17">
              <w:rPr>
                <w:rFonts w:ascii="Arial Narrow" w:hAnsi="Arial Narrow"/>
                <w:sz w:val="20"/>
                <w:szCs w:val="20"/>
              </w:rPr>
              <w:t>derived from Olsen 2015 and were converted to 15 day probabilities assuming constant incidence over this time</w:t>
            </w:r>
            <w:r w:rsidR="000661CF">
              <w:rPr>
                <w:rFonts w:ascii="Arial Narrow" w:hAnsi="Arial Narrow"/>
                <w:sz w:val="20"/>
                <w:szCs w:val="20"/>
              </w:rPr>
              <w:t xml:space="preserve">. </w:t>
            </w:r>
            <w:r w:rsidRPr="00D33A17">
              <w:rPr>
                <w:rFonts w:ascii="Arial Narrow" w:hAnsi="Arial Narrow"/>
                <w:sz w:val="20"/>
                <w:szCs w:val="20"/>
              </w:rPr>
              <w:t>Post 180 days, mortality in the model was assumed to revert to Australian Bureau of statistics life table values</w:t>
            </w:r>
            <w:r w:rsidR="000661CF">
              <w:rPr>
                <w:rFonts w:ascii="Arial Narrow" w:hAnsi="Arial Narrow"/>
                <w:sz w:val="20"/>
                <w:szCs w:val="20"/>
              </w:rPr>
              <w:t xml:space="preserve">. </w:t>
            </w:r>
            <w:r w:rsidR="00FB7EE3" w:rsidRPr="00834B88">
              <w:rPr>
                <w:rFonts w:ascii="Arial Narrow" w:hAnsi="Arial Narrow"/>
                <w:sz w:val="20"/>
                <w:szCs w:val="20"/>
              </w:rPr>
              <w:t>A number of issues were noted in relation to transition probabilities.</w:t>
            </w:r>
          </w:p>
        </w:tc>
      </w:tr>
    </w:tbl>
    <w:p w:rsidR="00F073E4" w:rsidRPr="00D33A17" w:rsidRDefault="00F073E4" w:rsidP="00F073E4">
      <w:pPr>
        <w:pStyle w:val="TableFooter"/>
      </w:pPr>
      <w:r w:rsidRPr="00D33A17">
        <w:t xml:space="preserve">CDI = </w:t>
      </w:r>
      <w:r w:rsidRPr="00D33A17">
        <w:rPr>
          <w:iCs/>
        </w:rPr>
        <w:t>Clostridium difficile</w:t>
      </w:r>
      <w:r w:rsidRPr="00D33A17">
        <w:t xml:space="preserve"> infection </w:t>
      </w:r>
    </w:p>
    <w:p w:rsidR="00F073E4" w:rsidRPr="00D33A17" w:rsidRDefault="00F073E4" w:rsidP="00F073E4">
      <w:pPr>
        <w:pStyle w:val="TableFooter"/>
      </w:pPr>
      <w:r w:rsidRPr="00D33A17">
        <w:t xml:space="preserve">Source: Table 3.1-1, p74 of the submission </w:t>
      </w:r>
    </w:p>
    <w:p w:rsidR="00481924" w:rsidRDefault="00FB7EE3" w:rsidP="002471D4">
      <w:pPr>
        <w:pStyle w:val="ListParagraph"/>
        <w:numPr>
          <w:ilvl w:val="1"/>
          <w:numId w:val="4"/>
        </w:numPr>
        <w:jc w:val="both"/>
      </w:pPr>
      <w:r w:rsidRPr="00D33A17">
        <w:t xml:space="preserve">The </w:t>
      </w:r>
      <w:r w:rsidR="0086175C" w:rsidRPr="00245E89">
        <w:t>ESC</w:t>
      </w:r>
      <w:r w:rsidR="0086175C" w:rsidRPr="00B013B0">
        <w:rPr>
          <w:i/>
        </w:rPr>
        <w:t xml:space="preserve"> </w:t>
      </w:r>
      <w:r w:rsidR="0086175C" w:rsidRPr="00E73E5B">
        <w:t>noted that</w:t>
      </w:r>
      <w:r w:rsidR="0086175C" w:rsidRPr="00D33A17">
        <w:t xml:space="preserve"> </w:t>
      </w:r>
      <w:r w:rsidR="0086175C">
        <w:t xml:space="preserve">the </w:t>
      </w:r>
      <w:r w:rsidRPr="00D33A17">
        <w:t>modelled economic evaluation did not consider adverse events related to bezlotoxumab (such as infusion related events)</w:t>
      </w:r>
      <w:r w:rsidR="000661CF">
        <w:t xml:space="preserve">. </w:t>
      </w:r>
    </w:p>
    <w:p w:rsidR="00FB7EE3" w:rsidRPr="00BD2462" w:rsidRDefault="000F17FC" w:rsidP="002471D4">
      <w:pPr>
        <w:pStyle w:val="ListParagraph"/>
        <w:numPr>
          <w:ilvl w:val="1"/>
          <w:numId w:val="4"/>
        </w:numPr>
        <w:jc w:val="both"/>
      </w:pPr>
      <w:r w:rsidRPr="000C297F">
        <w:t xml:space="preserve">The </w:t>
      </w:r>
      <w:r w:rsidR="00481924" w:rsidRPr="000C297F">
        <w:t>submission’s base case result was estimated for a subpopulation of patients classified as ‘outpatients’ in the trials</w:t>
      </w:r>
      <w:r w:rsidR="000661CF">
        <w:t xml:space="preserve">. </w:t>
      </w:r>
      <w:r w:rsidR="00481924" w:rsidRPr="000C297F">
        <w:t xml:space="preserve">Given this is highly unlikely to reflect how bezlotoxumab will be used in </w:t>
      </w:r>
      <w:r w:rsidR="00593606" w:rsidRPr="000C297F">
        <w:t>practice;</w:t>
      </w:r>
      <w:r w:rsidR="00481924" w:rsidRPr="000C297F">
        <w:t xml:space="preserve"> the results of the modelled economic evaluation were re-estimated during the evaluation using the submission’s methodology for the whol</w:t>
      </w:r>
      <w:r w:rsidRPr="000C297F">
        <w:t>e trial population</w:t>
      </w:r>
      <w:r w:rsidR="000661CF">
        <w:t xml:space="preserve">. </w:t>
      </w:r>
      <w:r w:rsidR="00481924" w:rsidRPr="000C297F">
        <w:t xml:space="preserve">As </w:t>
      </w:r>
      <w:r w:rsidR="00593606" w:rsidRPr="000C297F">
        <w:t xml:space="preserve">summarised in Table </w:t>
      </w:r>
      <w:r w:rsidR="0097375A" w:rsidRPr="000C297F">
        <w:t>10</w:t>
      </w:r>
      <w:r w:rsidR="00593606" w:rsidRPr="000C297F">
        <w:t xml:space="preserve">, use </w:t>
      </w:r>
      <w:r w:rsidR="00481924" w:rsidRPr="000C297F">
        <w:t xml:space="preserve">of outpatient data in the modelled economic evaluation had favoured bezlotoxumab, </w:t>
      </w:r>
      <w:r w:rsidR="00F6408A" w:rsidRPr="000C297F">
        <w:t xml:space="preserve">as </w:t>
      </w:r>
      <w:r w:rsidR="00481924" w:rsidRPr="000C297F">
        <w:t>when the whole trial results were used the ICER increased by 14%.</w:t>
      </w:r>
    </w:p>
    <w:p w:rsidR="00CB4850" w:rsidRPr="000855D4" w:rsidRDefault="00BD2462" w:rsidP="002471D4">
      <w:pPr>
        <w:pStyle w:val="ListParagraph"/>
        <w:numPr>
          <w:ilvl w:val="1"/>
          <w:numId w:val="4"/>
        </w:numPr>
        <w:spacing w:before="0" w:after="0"/>
        <w:jc w:val="both"/>
        <w:rPr>
          <w:iCs/>
        </w:rPr>
      </w:pPr>
      <w:r w:rsidRPr="000855D4">
        <w:rPr>
          <w:iCs/>
        </w:rPr>
        <w:t xml:space="preserve">The ESC </w:t>
      </w:r>
      <w:r w:rsidR="006803DA" w:rsidRPr="000855D4">
        <w:rPr>
          <w:iCs/>
        </w:rPr>
        <w:t>considered</w:t>
      </w:r>
      <w:r w:rsidRPr="000855D4">
        <w:rPr>
          <w:iCs/>
        </w:rPr>
        <w:t xml:space="preserve"> that </w:t>
      </w:r>
      <w:r w:rsidR="003113B7" w:rsidRPr="000855D4">
        <w:rPr>
          <w:iCs/>
        </w:rPr>
        <w:t>the total population, rather than the subpopulation of ‘outpatients’ w</w:t>
      </w:r>
      <w:r w:rsidR="006803DA" w:rsidRPr="000855D4">
        <w:rPr>
          <w:iCs/>
        </w:rPr>
        <w:t>as</w:t>
      </w:r>
      <w:r w:rsidR="003113B7" w:rsidRPr="000855D4">
        <w:rPr>
          <w:iCs/>
        </w:rPr>
        <w:t xml:space="preserve"> the appropriate population</w:t>
      </w:r>
      <w:r w:rsidR="0086175C" w:rsidRPr="000855D4">
        <w:rPr>
          <w:iCs/>
        </w:rPr>
        <w:t xml:space="preserve"> to use for the economic evaluation</w:t>
      </w:r>
      <w:r w:rsidR="003113B7" w:rsidRPr="000855D4">
        <w:rPr>
          <w:iCs/>
        </w:rPr>
        <w:t>.</w:t>
      </w:r>
      <w:r w:rsidR="0086175C" w:rsidRPr="000855D4">
        <w:rPr>
          <w:iCs/>
        </w:rPr>
        <w:t xml:space="preserve"> The ESC also noted that in light of the revised restriction proposed in the PSCR, the economic model was amended to use updated characteristics to reflect this subgroup</w:t>
      </w:r>
      <w:r w:rsidR="003D1A5F" w:rsidRPr="000855D4">
        <w:rPr>
          <w:iCs/>
        </w:rPr>
        <w:t>, as detailed in 6.29</w:t>
      </w:r>
      <w:r w:rsidR="0086175C" w:rsidRPr="000855D4">
        <w:rPr>
          <w:iCs/>
        </w:rPr>
        <w:t>.</w:t>
      </w:r>
      <w:r w:rsidR="00CB4850" w:rsidRPr="000855D4">
        <w:rPr>
          <w:iCs/>
        </w:rPr>
        <w:t xml:space="preserve"> </w:t>
      </w:r>
      <w:r w:rsidR="003D1A5F" w:rsidRPr="000855D4">
        <w:rPr>
          <w:iCs/>
        </w:rPr>
        <w:t>As t</w:t>
      </w:r>
      <w:r w:rsidR="00CB4850" w:rsidRPr="000855D4">
        <w:rPr>
          <w:iCs/>
        </w:rPr>
        <w:t xml:space="preserve">he structure of the model was unchanged from the </w:t>
      </w:r>
      <w:r w:rsidR="003D1A5F" w:rsidRPr="000855D4">
        <w:rPr>
          <w:iCs/>
        </w:rPr>
        <w:t xml:space="preserve">original </w:t>
      </w:r>
      <w:r w:rsidR="00CB4850" w:rsidRPr="000855D4">
        <w:rPr>
          <w:iCs/>
        </w:rPr>
        <w:t>submission</w:t>
      </w:r>
      <w:r w:rsidR="003D1A5F" w:rsidRPr="000855D4">
        <w:rPr>
          <w:iCs/>
        </w:rPr>
        <w:t>,</w:t>
      </w:r>
      <w:r w:rsidR="00CB4850" w:rsidRPr="000855D4">
        <w:rPr>
          <w:iCs/>
        </w:rPr>
        <w:t xml:space="preserve"> the </w:t>
      </w:r>
      <w:r w:rsidR="003D1A5F" w:rsidRPr="000855D4">
        <w:rPr>
          <w:iCs/>
        </w:rPr>
        <w:t xml:space="preserve">ESC noted that the issues relating to the key </w:t>
      </w:r>
      <w:r w:rsidR="00CB4850" w:rsidRPr="000855D4">
        <w:rPr>
          <w:iCs/>
        </w:rPr>
        <w:t xml:space="preserve">drivers are the same as </w:t>
      </w:r>
      <w:r w:rsidR="00DE2C7A" w:rsidRPr="000855D4">
        <w:rPr>
          <w:iCs/>
        </w:rPr>
        <w:t xml:space="preserve">for </w:t>
      </w:r>
      <w:r w:rsidR="00CB4850" w:rsidRPr="000855D4">
        <w:rPr>
          <w:iCs/>
        </w:rPr>
        <w:t xml:space="preserve">the modelled economic evaluation </w:t>
      </w:r>
      <w:r w:rsidR="00DE2C7A" w:rsidRPr="000855D4">
        <w:rPr>
          <w:iCs/>
        </w:rPr>
        <w:t xml:space="preserve">provided with </w:t>
      </w:r>
      <w:r w:rsidR="00CB4850" w:rsidRPr="000855D4">
        <w:rPr>
          <w:iCs/>
        </w:rPr>
        <w:t>the submission.</w:t>
      </w:r>
    </w:p>
    <w:p w:rsidR="00FB7EE3" w:rsidRPr="00D33A17" w:rsidRDefault="00FB7EE3" w:rsidP="00FB7EE3">
      <w:pPr>
        <w:pStyle w:val="ListParagraph"/>
        <w:spacing w:before="0" w:after="0"/>
        <w:jc w:val="both"/>
      </w:pPr>
    </w:p>
    <w:p w:rsidR="00F073E4" w:rsidRPr="00D33A17" w:rsidRDefault="00F073E4" w:rsidP="00900949">
      <w:pPr>
        <w:pStyle w:val="ListParagraph"/>
        <w:numPr>
          <w:ilvl w:val="1"/>
          <w:numId w:val="4"/>
        </w:numPr>
        <w:spacing w:before="0" w:after="120"/>
        <w:jc w:val="both"/>
      </w:pPr>
      <w:r w:rsidRPr="00D33A17">
        <w:t xml:space="preserve">The key drivers of the model are summarised in Table </w:t>
      </w:r>
      <w:r w:rsidR="0097375A">
        <w:t>10</w:t>
      </w:r>
      <w:r w:rsidR="000661CF">
        <w:t xml:space="preserve">. </w:t>
      </w:r>
    </w:p>
    <w:p w:rsidR="00F073E4" w:rsidRPr="00D33A17" w:rsidRDefault="00F073E4" w:rsidP="00452248">
      <w:pPr>
        <w:keepNext/>
        <w:keepLines/>
        <w:spacing w:before="0" w:after="0"/>
        <w:jc w:val="both"/>
        <w:rPr>
          <w:rFonts w:ascii="Arial Narrow" w:hAnsi="Arial Narrow"/>
          <w:b/>
          <w:sz w:val="20"/>
          <w:szCs w:val="20"/>
        </w:rPr>
      </w:pPr>
      <w:r w:rsidRPr="00D33A17">
        <w:rPr>
          <w:rFonts w:ascii="Arial Narrow" w:hAnsi="Arial Narrow"/>
          <w:b/>
          <w:sz w:val="20"/>
          <w:szCs w:val="20"/>
        </w:rPr>
        <w:t xml:space="preserve">Table </w:t>
      </w:r>
      <w:r w:rsidR="0097375A">
        <w:rPr>
          <w:rFonts w:ascii="Arial Narrow" w:hAnsi="Arial Narrow"/>
          <w:b/>
          <w:sz w:val="20"/>
          <w:szCs w:val="20"/>
        </w:rPr>
        <w:t>10</w:t>
      </w:r>
      <w:r w:rsidRPr="00D33A17">
        <w:rPr>
          <w:rFonts w:ascii="Arial Narrow" w:hAnsi="Arial Narrow"/>
          <w:b/>
          <w:sz w:val="20"/>
          <w:szCs w:val="20"/>
        </w:rPr>
        <w:t>: Key drivers of the model</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0: Key drivers of the model"/>
      </w:tblPr>
      <w:tblGrid>
        <w:gridCol w:w="2237"/>
        <w:gridCol w:w="3824"/>
        <w:gridCol w:w="3181"/>
      </w:tblGrid>
      <w:tr w:rsidR="00F073E4" w:rsidRPr="00D33A17" w:rsidTr="006F0AAB">
        <w:trPr>
          <w:cnfStyle w:val="100000000000" w:firstRow="1" w:lastRow="0" w:firstColumn="0" w:lastColumn="0" w:oddVBand="0" w:evenVBand="0" w:oddHBand="0" w:evenHBand="0" w:firstRowFirstColumn="0" w:firstRowLastColumn="0" w:lastRowFirstColumn="0" w:lastRowLastColumn="0"/>
          <w:tblHeader/>
        </w:trPr>
        <w:tc>
          <w:tcPr>
            <w:tcW w:w="1210" w:type="pct"/>
            <w:shd w:val="clear" w:color="auto" w:fill="auto"/>
            <w:vAlign w:val="center"/>
          </w:tcPr>
          <w:p w:rsidR="00F073E4" w:rsidRPr="00D33A17" w:rsidRDefault="00F073E4" w:rsidP="00FF79DC">
            <w:pPr>
              <w:keepNext/>
              <w:keepLines/>
              <w:spacing w:before="0"/>
              <w:ind w:left="-113"/>
              <w:rPr>
                <w:rFonts w:ascii="Arial Narrow" w:hAnsi="Arial Narrow"/>
                <w:sz w:val="20"/>
                <w:szCs w:val="20"/>
                <w:lang w:val="en-AU"/>
              </w:rPr>
            </w:pPr>
            <w:r w:rsidRPr="00D33A17">
              <w:rPr>
                <w:rFonts w:ascii="Arial Narrow" w:hAnsi="Arial Narrow"/>
                <w:sz w:val="20"/>
                <w:szCs w:val="20"/>
                <w:lang w:val="en-AU"/>
              </w:rPr>
              <w:t>Description</w:t>
            </w:r>
          </w:p>
        </w:tc>
        <w:tc>
          <w:tcPr>
            <w:tcW w:w="2069" w:type="pct"/>
            <w:shd w:val="clear" w:color="auto" w:fill="auto"/>
            <w:vAlign w:val="center"/>
          </w:tcPr>
          <w:p w:rsidR="00F073E4" w:rsidRPr="00D33A17" w:rsidRDefault="00F073E4" w:rsidP="00FF79DC">
            <w:pPr>
              <w:keepNext/>
              <w:keepLines/>
              <w:spacing w:before="0"/>
              <w:rPr>
                <w:rFonts w:ascii="Arial Narrow" w:hAnsi="Arial Narrow"/>
                <w:sz w:val="20"/>
                <w:szCs w:val="20"/>
                <w:lang w:val="en-AU"/>
              </w:rPr>
            </w:pPr>
            <w:r w:rsidRPr="00D33A17">
              <w:rPr>
                <w:rFonts w:ascii="Arial Narrow" w:hAnsi="Arial Narrow"/>
                <w:sz w:val="20"/>
                <w:szCs w:val="20"/>
                <w:lang w:val="en-AU"/>
              </w:rPr>
              <w:t>Method/Value</w:t>
            </w:r>
          </w:p>
        </w:tc>
        <w:tc>
          <w:tcPr>
            <w:tcW w:w="1721" w:type="pct"/>
            <w:shd w:val="clear" w:color="auto" w:fill="auto"/>
            <w:vAlign w:val="center"/>
          </w:tcPr>
          <w:p w:rsidR="00F073E4" w:rsidRPr="00D33A17" w:rsidRDefault="00F073E4" w:rsidP="00FF79DC">
            <w:pPr>
              <w:keepNext/>
              <w:keepLines/>
              <w:spacing w:before="0"/>
              <w:rPr>
                <w:rFonts w:ascii="Arial Narrow" w:hAnsi="Arial Narrow"/>
                <w:sz w:val="20"/>
                <w:szCs w:val="20"/>
                <w:lang w:val="en-AU"/>
              </w:rPr>
            </w:pPr>
            <w:r w:rsidRPr="00D33A17">
              <w:rPr>
                <w:rFonts w:ascii="Arial Narrow" w:hAnsi="Arial Narrow"/>
                <w:sz w:val="20"/>
                <w:szCs w:val="20"/>
                <w:lang w:val="en-AU"/>
              </w:rPr>
              <w:t>Impact</w:t>
            </w:r>
          </w:p>
        </w:tc>
      </w:tr>
      <w:tr w:rsidR="00F073E4" w:rsidRPr="00D33A17" w:rsidTr="00240524">
        <w:tc>
          <w:tcPr>
            <w:tcW w:w="1210" w:type="pct"/>
            <w:shd w:val="clear" w:color="auto" w:fill="auto"/>
            <w:vAlign w:val="center"/>
          </w:tcPr>
          <w:p w:rsidR="00F073E4" w:rsidRPr="00D33A17" w:rsidRDefault="00F073E4" w:rsidP="00FF79DC">
            <w:pPr>
              <w:keepNext/>
              <w:keepLines/>
              <w:spacing w:before="0"/>
              <w:ind w:left="-113"/>
              <w:rPr>
                <w:rFonts w:ascii="Arial Narrow" w:hAnsi="Arial Narrow"/>
                <w:sz w:val="20"/>
                <w:szCs w:val="20"/>
                <w:lang w:val="en-AU"/>
              </w:rPr>
            </w:pPr>
            <w:r w:rsidRPr="00D33A17">
              <w:rPr>
                <w:rFonts w:ascii="Arial Narrow" w:hAnsi="Arial Narrow"/>
                <w:sz w:val="20"/>
                <w:szCs w:val="20"/>
                <w:lang w:val="en-AU"/>
              </w:rPr>
              <w:t xml:space="preserve">Time horizon </w:t>
            </w:r>
          </w:p>
        </w:tc>
        <w:tc>
          <w:tcPr>
            <w:tcW w:w="2069" w:type="pct"/>
            <w:shd w:val="clear" w:color="auto" w:fill="auto"/>
            <w:vAlign w:val="center"/>
          </w:tcPr>
          <w:p w:rsidR="00F073E4" w:rsidRPr="00D33A17" w:rsidRDefault="00FB7EE3" w:rsidP="00FB7EE3">
            <w:pPr>
              <w:keepNext/>
              <w:keepLines/>
              <w:spacing w:before="0"/>
              <w:rPr>
                <w:rFonts w:ascii="Arial Narrow" w:hAnsi="Arial Narrow"/>
                <w:sz w:val="20"/>
                <w:szCs w:val="20"/>
                <w:lang w:val="en-AU"/>
              </w:rPr>
            </w:pPr>
            <w:r w:rsidRPr="00D33A17">
              <w:rPr>
                <w:rFonts w:ascii="Arial Narrow" w:hAnsi="Arial Narrow"/>
                <w:sz w:val="20"/>
                <w:szCs w:val="20"/>
                <w:lang w:val="en-AU"/>
              </w:rPr>
              <w:t>Time horizon assumed to be 5 years rather than the 10 year assumed in the base case</w:t>
            </w:r>
          </w:p>
        </w:tc>
        <w:tc>
          <w:tcPr>
            <w:tcW w:w="1721" w:type="pct"/>
            <w:shd w:val="clear" w:color="auto" w:fill="auto"/>
            <w:vAlign w:val="center"/>
          </w:tcPr>
          <w:p w:rsidR="00F073E4" w:rsidRPr="00D33A17" w:rsidRDefault="00F073E4" w:rsidP="00FB7EE3">
            <w:pPr>
              <w:keepNext/>
              <w:keepLines/>
              <w:spacing w:before="0"/>
              <w:jc w:val="center"/>
              <w:rPr>
                <w:rFonts w:ascii="Arial Narrow" w:hAnsi="Arial Narrow"/>
                <w:sz w:val="20"/>
                <w:szCs w:val="20"/>
                <w:lang w:val="en-AU"/>
              </w:rPr>
            </w:pPr>
            <w:r w:rsidRPr="00D33A17">
              <w:rPr>
                <w:rFonts w:ascii="Arial Narrow" w:hAnsi="Arial Narrow"/>
                <w:sz w:val="20"/>
                <w:szCs w:val="20"/>
              </w:rPr>
              <w:t xml:space="preserve">High (100% </w:t>
            </w:r>
            <w:r w:rsidR="00FB7EE3" w:rsidRPr="00D33A17">
              <w:rPr>
                <w:rFonts w:ascii="Arial Narrow" w:hAnsi="Arial Narrow"/>
                <w:sz w:val="20"/>
                <w:szCs w:val="20"/>
              </w:rPr>
              <w:t xml:space="preserve">increase </w:t>
            </w:r>
            <w:r w:rsidR="00536C68" w:rsidRPr="00D33A17">
              <w:rPr>
                <w:rFonts w:ascii="Arial Narrow" w:hAnsi="Arial Narrow"/>
                <w:sz w:val="20"/>
                <w:szCs w:val="20"/>
                <w:lang w:val="en-AU"/>
              </w:rPr>
              <w:t>in ICER</w:t>
            </w:r>
            <w:r w:rsidRPr="00D33A17">
              <w:rPr>
                <w:rFonts w:ascii="Arial Narrow" w:hAnsi="Arial Narrow"/>
                <w:sz w:val="20"/>
                <w:szCs w:val="20"/>
              </w:rPr>
              <w:t>).</w:t>
            </w:r>
            <w:r w:rsidRPr="00D33A17">
              <w:rPr>
                <w:rFonts w:ascii="Arial Narrow" w:hAnsi="Arial Narrow"/>
                <w:sz w:val="20"/>
                <w:szCs w:val="20"/>
                <w:lang w:val="en-BZ"/>
              </w:rPr>
              <w:t xml:space="preserve"> Favour</w:t>
            </w:r>
            <w:r w:rsidR="00514AFE" w:rsidRPr="00D33A17">
              <w:rPr>
                <w:rFonts w:ascii="Arial Narrow" w:hAnsi="Arial Narrow"/>
                <w:sz w:val="20"/>
                <w:szCs w:val="20"/>
                <w:lang w:val="en-AU"/>
              </w:rPr>
              <w:t>ed</w:t>
            </w:r>
            <w:r w:rsidRPr="00D33A17">
              <w:rPr>
                <w:rFonts w:ascii="Arial Narrow" w:hAnsi="Arial Narrow"/>
                <w:sz w:val="20"/>
                <w:szCs w:val="20"/>
              </w:rPr>
              <w:t xml:space="preserve"> bezlotoxumab.</w:t>
            </w:r>
          </w:p>
        </w:tc>
      </w:tr>
      <w:tr w:rsidR="00F073E4" w:rsidRPr="00D33A17" w:rsidTr="00240524">
        <w:tc>
          <w:tcPr>
            <w:tcW w:w="1210" w:type="pct"/>
            <w:shd w:val="clear" w:color="auto" w:fill="auto"/>
            <w:vAlign w:val="center"/>
          </w:tcPr>
          <w:p w:rsidR="00F073E4" w:rsidRPr="00D33A17" w:rsidRDefault="00F073E4" w:rsidP="00FF79DC">
            <w:pPr>
              <w:keepNext/>
              <w:keepLines/>
              <w:spacing w:before="0"/>
              <w:ind w:left="-113"/>
              <w:rPr>
                <w:rFonts w:ascii="Arial Narrow" w:hAnsi="Arial Narrow"/>
                <w:sz w:val="20"/>
                <w:szCs w:val="20"/>
                <w:lang w:val="en-AU"/>
              </w:rPr>
            </w:pPr>
            <w:r w:rsidRPr="00D33A17">
              <w:rPr>
                <w:rFonts w:ascii="Arial Narrow" w:hAnsi="Arial Narrow"/>
                <w:sz w:val="20"/>
                <w:szCs w:val="20"/>
                <w:lang w:val="en-AU"/>
              </w:rPr>
              <w:t>Trial population</w:t>
            </w:r>
          </w:p>
        </w:tc>
        <w:tc>
          <w:tcPr>
            <w:tcW w:w="2069" w:type="pct"/>
            <w:shd w:val="clear" w:color="auto" w:fill="auto"/>
            <w:vAlign w:val="center"/>
          </w:tcPr>
          <w:p w:rsidR="00FB7EE3" w:rsidRPr="00D33A17" w:rsidRDefault="00FB7EE3" w:rsidP="00FB7EE3">
            <w:pPr>
              <w:keepNext/>
              <w:keepLines/>
              <w:spacing w:before="0"/>
              <w:rPr>
                <w:rFonts w:ascii="Arial Narrow" w:hAnsi="Arial Narrow"/>
                <w:sz w:val="20"/>
                <w:szCs w:val="20"/>
                <w:lang w:val="en-AU"/>
              </w:rPr>
            </w:pPr>
            <w:r w:rsidRPr="00D33A17">
              <w:rPr>
                <w:rFonts w:ascii="Arial Narrow" w:hAnsi="Arial Narrow"/>
                <w:sz w:val="20"/>
                <w:szCs w:val="20"/>
                <w:lang w:val="en-AU"/>
              </w:rPr>
              <w:t xml:space="preserve">Using results for the whole trial population rather than the ‘outpatient’ population. </w:t>
            </w:r>
          </w:p>
        </w:tc>
        <w:tc>
          <w:tcPr>
            <w:tcW w:w="1721" w:type="pct"/>
            <w:shd w:val="clear" w:color="auto" w:fill="auto"/>
            <w:vAlign w:val="center"/>
          </w:tcPr>
          <w:p w:rsidR="00F073E4" w:rsidRPr="00D33A17" w:rsidRDefault="00F073E4" w:rsidP="00FF79DC">
            <w:pPr>
              <w:keepNext/>
              <w:keepLines/>
              <w:spacing w:before="0"/>
              <w:jc w:val="center"/>
              <w:rPr>
                <w:rFonts w:ascii="Arial Narrow" w:hAnsi="Arial Narrow"/>
                <w:sz w:val="20"/>
                <w:szCs w:val="20"/>
                <w:lang w:val="en-AU"/>
              </w:rPr>
            </w:pPr>
            <w:r w:rsidRPr="00D33A17">
              <w:rPr>
                <w:rFonts w:ascii="Arial Narrow" w:hAnsi="Arial Narrow"/>
                <w:sz w:val="20"/>
                <w:szCs w:val="20"/>
              </w:rPr>
              <w:t>Moderate (~14%). Favour</w:t>
            </w:r>
            <w:r w:rsidR="00514AFE" w:rsidRPr="00D33A17">
              <w:rPr>
                <w:rFonts w:ascii="Arial Narrow" w:hAnsi="Arial Narrow"/>
                <w:sz w:val="20"/>
                <w:szCs w:val="20"/>
                <w:lang w:val="en-AU"/>
              </w:rPr>
              <w:t>ed</w:t>
            </w:r>
            <w:r w:rsidRPr="00D33A17">
              <w:rPr>
                <w:rFonts w:ascii="Arial Narrow" w:hAnsi="Arial Narrow"/>
                <w:sz w:val="20"/>
                <w:szCs w:val="20"/>
              </w:rPr>
              <w:t xml:space="preserve"> bezlotoxumab.</w:t>
            </w:r>
          </w:p>
        </w:tc>
      </w:tr>
      <w:tr w:rsidR="00F073E4" w:rsidRPr="00D33A17" w:rsidTr="00240524">
        <w:tc>
          <w:tcPr>
            <w:tcW w:w="1210" w:type="pct"/>
            <w:shd w:val="clear" w:color="auto" w:fill="auto"/>
            <w:vAlign w:val="center"/>
          </w:tcPr>
          <w:p w:rsidR="00F073E4" w:rsidRPr="00D33A17" w:rsidRDefault="00F073E4" w:rsidP="00FF79DC">
            <w:pPr>
              <w:keepNext/>
              <w:keepLines/>
              <w:spacing w:before="0"/>
              <w:ind w:left="-113"/>
              <w:rPr>
                <w:rFonts w:ascii="Arial Narrow" w:hAnsi="Arial Narrow"/>
                <w:sz w:val="20"/>
                <w:szCs w:val="20"/>
                <w:lang w:val="en-AU"/>
              </w:rPr>
            </w:pPr>
            <w:r w:rsidRPr="00D33A17">
              <w:rPr>
                <w:rFonts w:ascii="Arial Narrow" w:hAnsi="Arial Narrow"/>
                <w:sz w:val="20"/>
                <w:szCs w:val="20"/>
                <w:lang w:val="en-AU"/>
              </w:rPr>
              <w:t>Translating 180 day mortality to 15 day mortality</w:t>
            </w:r>
          </w:p>
        </w:tc>
        <w:tc>
          <w:tcPr>
            <w:tcW w:w="2069" w:type="pct"/>
            <w:shd w:val="clear" w:color="auto" w:fill="auto"/>
            <w:vAlign w:val="center"/>
          </w:tcPr>
          <w:p w:rsidR="00F073E4" w:rsidRPr="00D33A17" w:rsidRDefault="00F073E4" w:rsidP="00FF79DC">
            <w:pPr>
              <w:keepNext/>
              <w:keepLines/>
              <w:spacing w:before="0"/>
              <w:rPr>
                <w:rFonts w:ascii="Arial Narrow" w:hAnsi="Arial Narrow"/>
                <w:sz w:val="20"/>
                <w:szCs w:val="20"/>
                <w:lang w:val="en-AU"/>
              </w:rPr>
            </w:pPr>
            <w:r w:rsidRPr="00D33A17">
              <w:rPr>
                <w:rFonts w:ascii="Arial Narrow" w:hAnsi="Arial Narrow"/>
                <w:sz w:val="20"/>
                <w:szCs w:val="20"/>
                <w:lang w:val="en-AU"/>
              </w:rPr>
              <w:t>Applying flat 15 day mortality instead of higher rates in first 30 days</w:t>
            </w:r>
          </w:p>
        </w:tc>
        <w:tc>
          <w:tcPr>
            <w:tcW w:w="1721" w:type="pct"/>
            <w:shd w:val="clear" w:color="auto" w:fill="auto"/>
            <w:vAlign w:val="center"/>
          </w:tcPr>
          <w:p w:rsidR="00F073E4" w:rsidRPr="00D33A17" w:rsidRDefault="00F073E4" w:rsidP="00825B25">
            <w:pPr>
              <w:keepNext/>
              <w:keepLines/>
              <w:spacing w:before="0"/>
              <w:jc w:val="center"/>
              <w:rPr>
                <w:rFonts w:ascii="Arial Narrow" w:hAnsi="Arial Narrow"/>
                <w:sz w:val="20"/>
                <w:szCs w:val="20"/>
                <w:lang w:val="en-AU"/>
              </w:rPr>
            </w:pPr>
            <w:r w:rsidRPr="00D33A17">
              <w:rPr>
                <w:rFonts w:ascii="Arial Narrow" w:hAnsi="Arial Narrow"/>
                <w:sz w:val="20"/>
                <w:szCs w:val="20"/>
              </w:rPr>
              <w:t>High (~70%). Favour</w:t>
            </w:r>
            <w:r w:rsidR="00624B1C" w:rsidRPr="00D33A17">
              <w:rPr>
                <w:rFonts w:ascii="Arial Narrow" w:hAnsi="Arial Narrow"/>
                <w:sz w:val="20"/>
                <w:szCs w:val="20"/>
                <w:lang w:val="en-AU"/>
              </w:rPr>
              <w:t>ed</w:t>
            </w:r>
            <w:r w:rsidRPr="00D33A17">
              <w:rPr>
                <w:rFonts w:ascii="Arial Narrow" w:hAnsi="Arial Narrow"/>
                <w:sz w:val="20"/>
                <w:szCs w:val="20"/>
              </w:rPr>
              <w:t xml:space="preserve"> bezlotoxumab.</w:t>
            </w:r>
          </w:p>
        </w:tc>
      </w:tr>
      <w:tr w:rsidR="00F073E4" w:rsidRPr="00D33A17" w:rsidTr="00240524">
        <w:tc>
          <w:tcPr>
            <w:tcW w:w="1210" w:type="pct"/>
            <w:shd w:val="clear" w:color="auto" w:fill="auto"/>
            <w:vAlign w:val="center"/>
          </w:tcPr>
          <w:p w:rsidR="00F073E4" w:rsidRPr="00D33A17" w:rsidRDefault="00F073E4" w:rsidP="00FF79DC">
            <w:pPr>
              <w:keepNext/>
              <w:keepLines/>
              <w:spacing w:before="0"/>
              <w:ind w:left="-113"/>
              <w:rPr>
                <w:rFonts w:ascii="Arial Narrow" w:hAnsi="Arial Narrow"/>
                <w:sz w:val="20"/>
                <w:szCs w:val="20"/>
                <w:lang w:val="en-AU"/>
              </w:rPr>
            </w:pPr>
            <w:r w:rsidRPr="00D33A17">
              <w:rPr>
                <w:rFonts w:ascii="Arial Narrow" w:hAnsi="Arial Narrow"/>
                <w:sz w:val="20"/>
                <w:szCs w:val="20"/>
                <w:lang w:val="en-AU"/>
              </w:rPr>
              <w:t xml:space="preserve">Application of mortality rate to patients with and without CDI recurrence </w:t>
            </w:r>
          </w:p>
        </w:tc>
        <w:tc>
          <w:tcPr>
            <w:tcW w:w="2069" w:type="pct"/>
            <w:shd w:val="clear" w:color="auto" w:fill="auto"/>
            <w:vAlign w:val="center"/>
          </w:tcPr>
          <w:p w:rsidR="00F073E4" w:rsidRPr="00D33A17" w:rsidRDefault="00FB7EE3" w:rsidP="00FB7EE3">
            <w:pPr>
              <w:keepNext/>
              <w:keepLines/>
              <w:spacing w:before="0"/>
              <w:rPr>
                <w:rFonts w:ascii="Arial Narrow" w:hAnsi="Arial Narrow"/>
                <w:sz w:val="20"/>
                <w:szCs w:val="20"/>
                <w:lang w:val="en-AU"/>
              </w:rPr>
            </w:pPr>
            <w:r w:rsidRPr="00D33A17">
              <w:rPr>
                <w:rFonts w:ascii="Arial Narrow" w:hAnsi="Arial Narrow"/>
                <w:sz w:val="20"/>
                <w:szCs w:val="20"/>
                <w:lang w:val="en-AU"/>
              </w:rPr>
              <w:t xml:space="preserve">Applying data from Olsen 2015 directly rather than using the submission’s </w:t>
            </w:r>
            <w:r w:rsidR="006563A1">
              <w:rPr>
                <w:rFonts w:ascii="Arial Narrow" w:hAnsi="Arial Narrow"/>
                <w:sz w:val="20"/>
                <w:szCs w:val="20"/>
                <w:lang w:val="en-AU"/>
              </w:rPr>
              <w:t>‘</w:t>
            </w:r>
            <w:r w:rsidRPr="00D33A17">
              <w:rPr>
                <w:rFonts w:ascii="Arial Narrow" w:hAnsi="Arial Narrow"/>
                <w:sz w:val="20"/>
                <w:szCs w:val="20"/>
                <w:lang w:val="en-AU"/>
              </w:rPr>
              <w:t>target mortality’ approach applying an estimated relative risk to the probability of death reported for those without recurrence to estimate mortality in those with recurrence.</w:t>
            </w:r>
          </w:p>
        </w:tc>
        <w:tc>
          <w:tcPr>
            <w:tcW w:w="1721" w:type="pct"/>
            <w:shd w:val="clear" w:color="auto" w:fill="auto"/>
            <w:vAlign w:val="center"/>
          </w:tcPr>
          <w:p w:rsidR="00F073E4" w:rsidRPr="00D33A17" w:rsidRDefault="00F073E4" w:rsidP="00FF79DC">
            <w:pPr>
              <w:keepNext/>
              <w:keepLines/>
              <w:spacing w:before="0"/>
              <w:jc w:val="center"/>
              <w:rPr>
                <w:rFonts w:ascii="Arial Narrow" w:hAnsi="Arial Narrow"/>
                <w:sz w:val="20"/>
                <w:szCs w:val="20"/>
                <w:lang w:val="en-AU"/>
              </w:rPr>
            </w:pPr>
            <w:r w:rsidRPr="00D33A17">
              <w:rPr>
                <w:rFonts w:ascii="Arial Narrow" w:hAnsi="Arial Narrow"/>
                <w:sz w:val="20"/>
                <w:szCs w:val="20"/>
              </w:rPr>
              <w:t>High (~35%). Favour</w:t>
            </w:r>
            <w:r w:rsidR="00624B1C" w:rsidRPr="00D33A17">
              <w:rPr>
                <w:rFonts w:ascii="Arial Narrow" w:hAnsi="Arial Narrow"/>
                <w:sz w:val="20"/>
                <w:szCs w:val="20"/>
                <w:lang w:val="en-AU"/>
              </w:rPr>
              <w:t>ed</w:t>
            </w:r>
            <w:r w:rsidRPr="00D33A17">
              <w:rPr>
                <w:rFonts w:ascii="Arial Narrow" w:hAnsi="Arial Narrow"/>
                <w:sz w:val="20"/>
                <w:szCs w:val="20"/>
              </w:rPr>
              <w:t xml:space="preserve"> bezlotoxumab.</w:t>
            </w:r>
          </w:p>
        </w:tc>
      </w:tr>
      <w:tr w:rsidR="00F073E4" w:rsidRPr="00D33A17" w:rsidTr="00240524">
        <w:tc>
          <w:tcPr>
            <w:tcW w:w="1210" w:type="pct"/>
            <w:shd w:val="clear" w:color="auto" w:fill="auto"/>
            <w:vAlign w:val="center"/>
          </w:tcPr>
          <w:p w:rsidR="00F073E4" w:rsidRPr="00D33A17" w:rsidRDefault="00F073E4" w:rsidP="00FF79DC">
            <w:pPr>
              <w:keepNext/>
              <w:keepLines/>
              <w:spacing w:before="0"/>
              <w:ind w:left="-113"/>
              <w:rPr>
                <w:rFonts w:ascii="Arial Narrow" w:hAnsi="Arial Narrow"/>
                <w:sz w:val="20"/>
                <w:szCs w:val="20"/>
                <w:lang w:val="en-AU"/>
              </w:rPr>
            </w:pPr>
            <w:r w:rsidRPr="00D33A17">
              <w:rPr>
                <w:rFonts w:ascii="Arial Narrow" w:hAnsi="Arial Narrow"/>
                <w:sz w:val="20"/>
                <w:szCs w:val="20"/>
                <w:lang w:val="en-AU"/>
              </w:rPr>
              <w:t>Number of bezlotoxumab doses per patient</w:t>
            </w:r>
          </w:p>
        </w:tc>
        <w:tc>
          <w:tcPr>
            <w:tcW w:w="2069" w:type="pct"/>
            <w:shd w:val="clear" w:color="auto" w:fill="auto"/>
            <w:vAlign w:val="center"/>
          </w:tcPr>
          <w:p w:rsidR="00F073E4" w:rsidRPr="00D33A17" w:rsidRDefault="00FB7EE3" w:rsidP="00FB7EE3">
            <w:pPr>
              <w:keepNext/>
              <w:keepLines/>
              <w:spacing w:before="0"/>
              <w:rPr>
                <w:rFonts w:ascii="Arial Narrow" w:hAnsi="Arial Narrow"/>
                <w:sz w:val="20"/>
                <w:szCs w:val="20"/>
                <w:lang w:val="en-AU"/>
              </w:rPr>
            </w:pPr>
            <w:r w:rsidRPr="00D33A17">
              <w:rPr>
                <w:rFonts w:ascii="Arial Narrow" w:hAnsi="Arial Narrow"/>
                <w:sz w:val="20"/>
                <w:szCs w:val="20"/>
                <w:lang w:val="en-AU"/>
              </w:rPr>
              <w:t>Assuming one dose per recurrence rather than one dose in a life time (which was assumed by the submission).</w:t>
            </w:r>
          </w:p>
        </w:tc>
        <w:tc>
          <w:tcPr>
            <w:tcW w:w="1721" w:type="pct"/>
            <w:shd w:val="clear" w:color="auto" w:fill="auto"/>
            <w:vAlign w:val="center"/>
          </w:tcPr>
          <w:p w:rsidR="00F073E4" w:rsidRPr="00D33A17" w:rsidRDefault="00F073E4" w:rsidP="00825B25">
            <w:pPr>
              <w:keepNext/>
              <w:keepLines/>
              <w:spacing w:before="0"/>
              <w:jc w:val="center"/>
              <w:rPr>
                <w:rFonts w:ascii="Arial Narrow" w:hAnsi="Arial Narrow"/>
                <w:sz w:val="20"/>
                <w:szCs w:val="20"/>
                <w:lang w:val="en-AU"/>
              </w:rPr>
            </w:pPr>
            <w:r w:rsidRPr="00D33A17">
              <w:rPr>
                <w:rFonts w:ascii="Arial Narrow" w:hAnsi="Arial Narrow"/>
                <w:sz w:val="20"/>
                <w:szCs w:val="20"/>
              </w:rPr>
              <w:t>High (~30%). Favour</w:t>
            </w:r>
            <w:r w:rsidR="00624B1C" w:rsidRPr="00D33A17">
              <w:rPr>
                <w:rFonts w:ascii="Arial Narrow" w:hAnsi="Arial Narrow"/>
                <w:sz w:val="20"/>
                <w:szCs w:val="20"/>
                <w:lang w:val="en-AU"/>
              </w:rPr>
              <w:t>ed</w:t>
            </w:r>
            <w:r w:rsidRPr="00D33A17">
              <w:rPr>
                <w:rFonts w:ascii="Arial Narrow" w:hAnsi="Arial Narrow"/>
                <w:sz w:val="20"/>
                <w:szCs w:val="20"/>
              </w:rPr>
              <w:t xml:space="preserve"> bezlotoxumab.</w:t>
            </w:r>
          </w:p>
        </w:tc>
      </w:tr>
    </w:tbl>
    <w:p w:rsidR="00F073E4" w:rsidRPr="00D36BA8" w:rsidRDefault="00F073E4" w:rsidP="00D36BA8">
      <w:pPr>
        <w:keepNext/>
        <w:keepLines/>
        <w:spacing w:before="0" w:after="0"/>
        <w:rPr>
          <w:rFonts w:ascii="Arial Narrow" w:hAnsi="Arial Narrow"/>
          <w:sz w:val="20"/>
          <w:szCs w:val="20"/>
        </w:rPr>
      </w:pPr>
      <w:bookmarkStart w:id="22" w:name="_Toc492950689"/>
      <w:r w:rsidRPr="00D36BA8">
        <w:rPr>
          <w:rFonts w:ascii="Arial Narrow" w:hAnsi="Arial Narrow"/>
          <w:sz w:val="20"/>
          <w:szCs w:val="20"/>
        </w:rPr>
        <w:t>Page numbers refer to sections of submission in which the claim of bias was made.</w:t>
      </w:r>
      <w:bookmarkEnd w:id="22"/>
      <w:r w:rsidRPr="00D36BA8">
        <w:rPr>
          <w:rFonts w:ascii="Arial Narrow" w:hAnsi="Arial Narrow"/>
          <w:sz w:val="20"/>
          <w:szCs w:val="20"/>
        </w:rPr>
        <w:t xml:space="preserve"> </w:t>
      </w:r>
    </w:p>
    <w:p w:rsidR="00F073E4" w:rsidRPr="00D36BA8" w:rsidRDefault="00F073E4" w:rsidP="00D36BA8">
      <w:pPr>
        <w:keepNext/>
        <w:keepLines/>
        <w:spacing w:before="0" w:after="0"/>
        <w:rPr>
          <w:rFonts w:ascii="Arial Narrow" w:hAnsi="Arial Narrow"/>
          <w:sz w:val="20"/>
          <w:szCs w:val="20"/>
        </w:rPr>
      </w:pPr>
      <w:bookmarkStart w:id="23" w:name="_Toc492950690"/>
      <w:r w:rsidRPr="00D36BA8">
        <w:rPr>
          <w:rFonts w:ascii="Arial Narrow" w:hAnsi="Arial Narrow"/>
          <w:sz w:val="20"/>
          <w:szCs w:val="20"/>
        </w:rPr>
        <w:t xml:space="preserve">Source: constructed during evaluation using values presented in tables 3.9.1, 3.9.2 and 3.9.3 of the </w:t>
      </w:r>
      <w:r w:rsidR="00376668" w:rsidRPr="00D36BA8">
        <w:rPr>
          <w:rFonts w:ascii="Arial Narrow" w:hAnsi="Arial Narrow"/>
          <w:sz w:val="20"/>
          <w:szCs w:val="20"/>
        </w:rPr>
        <w:t>Commentary</w:t>
      </w:r>
      <w:bookmarkEnd w:id="23"/>
      <w:r w:rsidRPr="00D36BA8">
        <w:rPr>
          <w:rFonts w:ascii="Arial Narrow" w:hAnsi="Arial Narrow"/>
          <w:sz w:val="20"/>
          <w:szCs w:val="20"/>
        </w:rPr>
        <w:t xml:space="preserve"> </w:t>
      </w:r>
    </w:p>
    <w:p w:rsidR="00784844" w:rsidRPr="009433B1" w:rsidRDefault="00F073E4" w:rsidP="00900949">
      <w:pPr>
        <w:pStyle w:val="ListParagraph"/>
        <w:numPr>
          <w:ilvl w:val="1"/>
          <w:numId w:val="4"/>
        </w:numPr>
        <w:spacing w:after="120"/>
        <w:jc w:val="both"/>
        <w:rPr>
          <w:iCs/>
        </w:rPr>
      </w:pPr>
      <w:r w:rsidRPr="00D33A17">
        <w:t xml:space="preserve">Table </w:t>
      </w:r>
      <w:r w:rsidR="0097375A">
        <w:t>11</w:t>
      </w:r>
      <w:r w:rsidR="0097375A" w:rsidRPr="00D33A17">
        <w:t xml:space="preserve"> </w:t>
      </w:r>
      <w:r w:rsidRPr="00D33A17">
        <w:t>summarises the results of the stepped economic analysis</w:t>
      </w:r>
      <w:r w:rsidR="00593606" w:rsidRPr="00D33A17">
        <w:t xml:space="preserve">, as discussed, these were re-estimated during the evaluation for the </w:t>
      </w:r>
      <w:r w:rsidRPr="00D33A17">
        <w:t>whole trial population</w:t>
      </w:r>
      <w:r w:rsidR="00593606" w:rsidRPr="00D33A17">
        <w:t>, using the submission’s methodology.</w:t>
      </w:r>
    </w:p>
    <w:p w:rsidR="00F073E4" w:rsidRPr="00D33A17" w:rsidRDefault="00F073E4" w:rsidP="00E32AFE">
      <w:pPr>
        <w:pStyle w:val="ListParagraph"/>
        <w:keepNext/>
        <w:keepLines/>
        <w:spacing w:after="0"/>
        <w:ind w:left="0"/>
        <w:rPr>
          <w:rFonts w:ascii="Arial Narrow" w:hAnsi="Arial Narrow"/>
          <w:b/>
          <w:sz w:val="20"/>
          <w:szCs w:val="20"/>
        </w:rPr>
      </w:pPr>
      <w:r w:rsidRPr="00D33A17">
        <w:rPr>
          <w:rFonts w:ascii="Arial Narrow" w:hAnsi="Arial Narrow"/>
          <w:b/>
          <w:sz w:val="20"/>
          <w:szCs w:val="20"/>
        </w:rPr>
        <w:t xml:space="preserve">Table </w:t>
      </w:r>
      <w:r w:rsidR="0097375A">
        <w:rPr>
          <w:rFonts w:ascii="Arial Narrow" w:hAnsi="Arial Narrow"/>
          <w:b/>
          <w:sz w:val="20"/>
          <w:szCs w:val="20"/>
        </w:rPr>
        <w:t>11</w:t>
      </w:r>
      <w:r w:rsidR="00737FF2" w:rsidRPr="00D33A17">
        <w:rPr>
          <w:rFonts w:ascii="Arial Narrow" w:hAnsi="Arial Narrow"/>
          <w:b/>
          <w:sz w:val="20"/>
          <w:szCs w:val="20"/>
        </w:rPr>
        <w:t xml:space="preserve">: </w:t>
      </w:r>
      <w:r w:rsidRPr="00D33A17">
        <w:rPr>
          <w:rFonts w:ascii="Arial Narrow" w:hAnsi="Arial Narrow"/>
          <w:b/>
          <w:sz w:val="20"/>
          <w:szCs w:val="20"/>
        </w:rPr>
        <w:t>Results from stepped economic analysis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from stepped economic analysis"/>
      </w:tblPr>
      <w:tblGrid>
        <w:gridCol w:w="3193"/>
        <w:gridCol w:w="2179"/>
        <w:gridCol w:w="2179"/>
        <w:gridCol w:w="1691"/>
      </w:tblGrid>
      <w:tr w:rsidR="00F073E4" w:rsidRPr="00D33A17" w:rsidTr="006F0AAB">
        <w:trPr>
          <w:cnfStyle w:val="100000000000" w:firstRow="1" w:lastRow="0" w:firstColumn="0" w:lastColumn="0" w:oddVBand="0" w:evenVBand="0" w:oddHBand="0" w:evenHBand="0" w:firstRowFirstColumn="0" w:firstRowLastColumn="0" w:lastRowFirstColumn="0" w:lastRowLastColumn="0"/>
          <w:tblHeader/>
        </w:trPr>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Parameter</w:t>
            </w:r>
          </w:p>
        </w:tc>
        <w:tc>
          <w:tcPr>
            <w:tcW w:w="1179" w:type="pct"/>
            <w:shd w:val="clear" w:color="auto" w:fill="auto"/>
            <w:vAlign w:val="center"/>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Bezlotoxumab + SoC</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SoC</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Increment</w:t>
            </w:r>
          </w:p>
        </w:tc>
      </w:tr>
      <w:tr w:rsidR="00F073E4" w:rsidRPr="00D33A17" w:rsidTr="00240524">
        <w:tc>
          <w:tcPr>
            <w:tcW w:w="5000" w:type="pct"/>
            <w:gridSpan w:val="4"/>
            <w:shd w:val="clear" w:color="auto" w:fill="auto"/>
          </w:tcPr>
          <w:p w:rsidR="00F073E4" w:rsidRPr="00D33A17" w:rsidRDefault="00F073E4" w:rsidP="00657D0F">
            <w:pPr>
              <w:keepNext/>
              <w:keepLines/>
              <w:spacing w:before="0"/>
              <w:rPr>
                <w:rFonts w:ascii="Arial Narrow" w:hAnsi="Arial Narrow"/>
                <w:b/>
                <w:bCs/>
                <w:sz w:val="20"/>
                <w:szCs w:val="20"/>
                <w:lang w:val="en-AU"/>
              </w:rPr>
            </w:pPr>
            <w:r w:rsidRPr="00D33A17">
              <w:rPr>
                <w:rFonts w:ascii="Arial Narrow" w:hAnsi="Arial Narrow"/>
                <w:b/>
                <w:bCs/>
                <w:sz w:val="20"/>
                <w:szCs w:val="20"/>
                <w:lang w:val="en-AU"/>
              </w:rPr>
              <w:t xml:space="preserve">Step 1 </w:t>
            </w:r>
            <w:r w:rsidR="006D7B1D" w:rsidRPr="00D33A17">
              <w:rPr>
                <w:rFonts w:ascii="Arial Narrow" w:hAnsi="Arial Narrow"/>
                <w:b/>
                <w:bCs/>
                <w:sz w:val="20"/>
                <w:szCs w:val="20"/>
                <w:lang w:val="en-AU"/>
              </w:rPr>
              <w:t xml:space="preserve">Using </w:t>
            </w:r>
            <w:r w:rsidR="00FB7EE3" w:rsidRPr="00D33A17">
              <w:rPr>
                <w:rFonts w:ascii="Arial Narrow" w:hAnsi="Arial Narrow"/>
                <w:b/>
                <w:bCs/>
                <w:sz w:val="20"/>
                <w:szCs w:val="20"/>
                <w:lang w:val="en-AU"/>
              </w:rPr>
              <w:t xml:space="preserve">whole trial </w:t>
            </w:r>
            <w:r w:rsidRPr="00D33A17">
              <w:rPr>
                <w:rFonts w:ascii="Arial Narrow" w:hAnsi="Arial Narrow"/>
                <w:b/>
                <w:bCs/>
                <w:sz w:val="20"/>
                <w:szCs w:val="20"/>
                <w:lang w:val="en-AU"/>
              </w:rPr>
              <w:t>results</w:t>
            </w:r>
            <w:r w:rsidR="00FB7EE3" w:rsidRPr="00D33A17">
              <w:rPr>
                <w:rFonts w:ascii="Arial Narrow" w:hAnsi="Arial Narrow"/>
                <w:b/>
                <w:bCs/>
                <w:sz w:val="20"/>
                <w:szCs w:val="20"/>
                <w:lang w:val="en-AU"/>
              </w:rPr>
              <w:t xml:space="preserve"> </w:t>
            </w:r>
            <w:r w:rsidRPr="00D33A17">
              <w:rPr>
                <w:rFonts w:ascii="Arial Narrow" w:hAnsi="Arial Narrow"/>
                <w:b/>
                <w:bCs/>
                <w:sz w:val="20"/>
                <w:szCs w:val="20"/>
                <w:lang w:val="en-AU"/>
              </w:rPr>
              <w:t>from MODIFY I and MODIFY II</w:t>
            </w:r>
          </w:p>
        </w:tc>
      </w:tr>
      <w:tr w:rsidR="00F073E4" w:rsidRPr="00D33A17" w:rsidTr="00240524">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Costs</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r w:rsidRPr="00D33A17">
              <w:rPr>
                <w:rFonts w:ascii="Arial Narrow" w:hAnsi="Arial Narrow"/>
                <w:sz w:val="20"/>
                <w:szCs w:val="20"/>
                <w:vertAlign w:val="superscript"/>
                <w:lang w:val="en-AU"/>
              </w:rPr>
              <w:t>1</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$0</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F073E4" w:rsidRPr="00D33A17" w:rsidTr="00240524">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Outcomes (CDI recurrence rate)</w:t>
            </w:r>
          </w:p>
        </w:tc>
        <w:tc>
          <w:tcPr>
            <w:tcW w:w="1179" w:type="pct"/>
            <w:shd w:val="clear" w:color="auto" w:fill="auto"/>
            <w:vAlign w:val="center"/>
          </w:tcPr>
          <w:p w:rsidR="00F073E4" w:rsidRPr="00D33A17" w:rsidRDefault="007605FE" w:rsidP="00E32AFE">
            <w:pPr>
              <w:keepNext/>
              <w:keepLines/>
              <w:spacing w:before="0"/>
              <w:jc w:val="center"/>
              <w:rPr>
                <w:rFonts w:ascii="Arial Narrow" w:hAnsi="Arial Narrow"/>
                <w:sz w:val="20"/>
                <w:szCs w:val="20"/>
                <w:lang w:val="en-AU"/>
              </w:rPr>
            </w:pPr>
            <w:r>
              <w:rPr>
                <w:rFonts w:ascii="Arial Narrow" w:hAnsi="Arial Narrow"/>
                <w:noProof/>
                <w:color w:val="000000"/>
                <w:sz w:val="20"/>
                <w:szCs w:val="20"/>
                <w:highlight w:val="black"/>
              </w:rPr>
              <w:t>'''''''''''</w:t>
            </w:r>
            <w:r w:rsidR="00F073E4" w:rsidRPr="00D33A17">
              <w:rPr>
                <w:rFonts w:ascii="Arial Narrow" w:hAnsi="Arial Narrow"/>
                <w:sz w:val="20"/>
                <w:szCs w:val="20"/>
                <w:lang w:val="en-AU"/>
              </w:rPr>
              <w:t>%</w:t>
            </w:r>
          </w:p>
        </w:tc>
        <w:tc>
          <w:tcPr>
            <w:tcW w:w="1179" w:type="pct"/>
            <w:shd w:val="clear" w:color="auto" w:fill="auto"/>
            <w:vAlign w:val="center"/>
          </w:tcPr>
          <w:p w:rsidR="00F073E4" w:rsidRPr="00D33A17" w:rsidRDefault="007605FE" w:rsidP="00E32AFE">
            <w:pPr>
              <w:keepNext/>
              <w:keepLines/>
              <w:spacing w:before="0"/>
              <w:jc w:val="center"/>
              <w:rPr>
                <w:rFonts w:ascii="Arial Narrow" w:hAnsi="Arial Narrow"/>
                <w:sz w:val="20"/>
                <w:szCs w:val="20"/>
                <w:lang w:val="en-AU"/>
              </w:rPr>
            </w:pPr>
            <w:r>
              <w:rPr>
                <w:rFonts w:ascii="Arial Narrow" w:hAnsi="Arial Narrow"/>
                <w:noProof/>
                <w:color w:val="000000"/>
                <w:sz w:val="20"/>
                <w:szCs w:val="20"/>
                <w:highlight w:val="black"/>
              </w:rPr>
              <w:t>''''''''''</w:t>
            </w:r>
            <w:r w:rsidR="00F073E4" w:rsidRPr="00D33A17">
              <w:rPr>
                <w:rFonts w:ascii="Arial Narrow" w:hAnsi="Arial Narrow"/>
                <w:sz w:val="20"/>
                <w:szCs w:val="20"/>
                <w:lang w:val="en-AU"/>
              </w:rPr>
              <w:t>%</w:t>
            </w:r>
          </w:p>
        </w:tc>
        <w:tc>
          <w:tcPr>
            <w:tcW w:w="915" w:type="pct"/>
            <w:shd w:val="clear" w:color="auto" w:fill="auto"/>
            <w:vAlign w:val="center"/>
          </w:tcPr>
          <w:p w:rsidR="00F073E4" w:rsidRPr="00D33A17" w:rsidRDefault="007605FE" w:rsidP="00E32AFE">
            <w:pPr>
              <w:keepNext/>
              <w:keepLines/>
              <w:spacing w:before="0"/>
              <w:jc w:val="center"/>
              <w:rPr>
                <w:rFonts w:ascii="Arial Narrow" w:hAnsi="Arial Narrow"/>
                <w:sz w:val="20"/>
                <w:szCs w:val="20"/>
                <w:lang w:val="en-AU"/>
              </w:rPr>
            </w:pPr>
            <w:r>
              <w:rPr>
                <w:rFonts w:ascii="Arial Narrow" w:hAnsi="Arial Narrow"/>
                <w:noProof/>
                <w:color w:val="000000"/>
                <w:sz w:val="20"/>
                <w:szCs w:val="20"/>
                <w:highlight w:val="black"/>
              </w:rPr>
              <w:t>''''''''''</w:t>
            </w:r>
            <w:r w:rsidR="00F073E4" w:rsidRPr="00D33A17">
              <w:rPr>
                <w:rFonts w:ascii="Arial Narrow" w:hAnsi="Arial Narrow"/>
                <w:sz w:val="20"/>
                <w:szCs w:val="20"/>
                <w:lang w:val="en-AU"/>
              </w:rPr>
              <w:t>%</w:t>
            </w:r>
          </w:p>
        </w:tc>
      </w:tr>
      <w:tr w:rsidR="00F073E4" w:rsidRPr="00D33A17" w:rsidTr="00240524">
        <w:tc>
          <w:tcPr>
            <w:tcW w:w="4085" w:type="pct"/>
            <w:gridSpan w:val="3"/>
            <w:shd w:val="clear" w:color="auto" w:fill="auto"/>
            <w:vAlign w:val="center"/>
          </w:tcPr>
          <w:p w:rsidR="00F073E4" w:rsidRPr="00D33A17" w:rsidRDefault="00F073E4" w:rsidP="00E32AFE">
            <w:pPr>
              <w:keepNext/>
              <w:keepLines/>
              <w:spacing w:before="0"/>
              <w:jc w:val="right"/>
              <w:rPr>
                <w:rFonts w:ascii="Arial Narrow" w:hAnsi="Arial Narrow"/>
                <w:sz w:val="20"/>
                <w:szCs w:val="20"/>
                <w:lang w:val="en-AU"/>
              </w:rPr>
            </w:pPr>
            <w:r w:rsidRPr="00D33A17">
              <w:rPr>
                <w:rFonts w:ascii="Arial Narrow" w:hAnsi="Arial Narrow"/>
                <w:sz w:val="20"/>
                <w:szCs w:val="20"/>
                <w:lang w:val="en-AU"/>
              </w:rPr>
              <w:t>Cost per CDI recurrence avoided</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F073E4" w:rsidRPr="00D33A17" w:rsidTr="00240524">
        <w:tc>
          <w:tcPr>
            <w:tcW w:w="5000" w:type="pct"/>
            <w:gridSpan w:val="4"/>
            <w:shd w:val="clear" w:color="auto" w:fill="auto"/>
          </w:tcPr>
          <w:p w:rsidR="00F073E4" w:rsidRPr="00D33A17" w:rsidRDefault="00F073E4" w:rsidP="00E32AFE">
            <w:pPr>
              <w:keepNext/>
              <w:keepLines/>
              <w:spacing w:before="0"/>
              <w:rPr>
                <w:rFonts w:ascii="Arial Narrow" w:hAnsi="Arial Narrow"/>
                <w:b/>
                <w:bCs/>
                <w:sz w:val="20"/>
                <w:szCs w:val="20"/>
                <w:lang w:val="en-AU"/>
              </w:rPr>
            </w:pPr>
            <w:r w:rsidRPr="00D33A17">
              <w:rPr>
                <w:rFonts w:ascii="Arial Narrow" w:hAnsi="Arial Narrow"/>
                <w:b/>
                <w:bCs/>
                <w:sz w:val="20"/>
                <w:szCs w:val="20"/>
                <w:lang w:val="en-AU"/>
              </w:rPr>
              <w:t xml:space="preserve">Step 2 </w:t>
            </w:r>
            <w:r w:rsidR="006D7B1D" w:rsidRPr="00D33A17">
              <w:rPr>
                <w:rFonts w:ascii="Arial Narrow" w:hAnsi="Arial Narrow"/>
                <w:b/>
                <w:bCs/>
                <w:sz w:val="20"/>
                <w:szCs w:val="20"/>
                <w:lang w:val="en-AU"/>
              </w:rPr>
              <w:t>Results estimated using</w:t>
            </w:r>
            <w:r w:rsidRPr="00D33A17">
              <w:rPr>
                <w:rFonts w:ascii="Arial Narrow" w:hAnsi="Arial Narrow"/>
                <w:b/>
                <w:bCs/>
                <w:sz w:val="20"/>
                <w:szCs w:val="20"/>
                <w:lang w:val="en-AU"/>
              </w:rPr>
              <w:t xml:space="preserve"> Markov model to determine life years</w:t>
            </w:r>
          </w:p>
        </w:tc>
      </w:tr>
      <w:tr w:rsidR="00F073E4" w:rsidRPr="00D33A17" w:rsidTr="00240524">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Costs</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F073E4" w:rsidRPr="00D33A17" w:rsidTr="00240524">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Outcomes (life years)</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5.3949</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5.3186</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0.0763</w:t>
            </w:r>
          </w:p>
        </w:tc>
      </w:tr>
      <w:tr w:rsidR="00F073E4" w:rsidRPr="00D33A17" w:rsidTr="00240524">
        <w:tc>
          <w:tcPr>
            <w:tcW w:w="4085" w:type="pct"/>
            <w:gridSpan w:val="3"/>
            <w:shd w:val="clear" w:color="auto" w:fill="auto"/>
          </w:tcPr>
          <w:p w:rsidR="00F073E4" w:rsidRPr="00D33A17" w:rsidRDefault="00F073E4" w:rsidP="00E32AFE">
            <w:pPr>
              <w:keepNext/>
              <w:keepLines/>
              <w:spacing w:before="0"/>
              <w:jc w:val="right"/>
              <w:rPr>
                <w:rFonts w:ascii="Arial Narrow" w:hAnsi="Arial Narrow"/>
                <w:sz w:val="20"/>
                <w:szCs w:val="20"/>
                <w:lang w:val="en-AU"/>
              </w:rPr>
            </w:pPr>
            <w:r w:rsidRPr="00D33A17">
              <w:rPr>
                <w:rFonts w:ascii="Arial Narrow" w:hAnsi="Arial Narrow"/>
                <w:sz w:val="20"/>
                <w:szCs w:val="20"/>
                <w:lang w:val="en-AU"/>
              </w:rPr>
              <w:t>Cost per life year gained</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F073E4" w:rsidRPr="00D33A17" w:rsidTr="00240524">
        <w:tc>
          <w:tcPr>
            <w:tcW w:w="5000" w:type="pct"/>
            <w:gridSpan w:val="4"/>
            <w:shd w:val="clear" w:color="auto" w:fill="auto"/>
          </w:tcPr>
          <w:p w:rsidR="00F073E4" w:rsidRPr="00D33A17" w:rsidRDefault="00F073E4" w:rsidP="00E32AFE">
            <w:pPr>
              <w:keepNext/>
              <w:keepLines/>
              <w:spacing w:before="0"/>
              <w:rPr>
                <w:rFonts w:ascii="Arial Narrow" w:hAnsi="Arial Narrow"/>
                <w:b/>
                <w:bCs/>
                <w:sz w:val="20"/>
                <w:szCs w:val="20"/>
                <w:lang w:val="en-AU"/>
              </w:rPr>
            </w:pPr>
            <w:r w:rsidRPr="00D33A17">
              <w:rPr>
                <w:rFonts w:ascii="Arial Narrow" w:hAnsi="Arial Narrow"/>
                <w:b/>
                <w:bCs/>
                <w:sz w:val="20"/>
                <w:szCs w:val="20"/>
                <w:lang w:val="en-AU"/>
              </w:rPr>
              <w:t>Step 3 Apply utilities to Markov model</w:t>
            </w:r>
            <w:r w:rsidR="006D7B1D" w:rsidRPr="00D33A17">
              <w:rPr>
                <w:rFonts w:ascii="Arial Narrow" w:hAnsi="Arial Narrow"/>
                <w:b/>
                <w:bCs/>
                <w:sz w:val="20"/>
                <w:szCs w:val="20"/>
                <w:lang w:val="en-AU"/>
              </w:rPr>
              <w:t xml:space="preserve"> to determine QALYs</w:t>
            </w:r>
            <w:r w:rsidRPr="00D33A17">
              <w:rPr>
                <w:rFonts w:ascii="Arial Narrow" w:hAnsi="Arial Narrow"/>
                <w:b/>
                <w:bCs/>
                <w:sz w:val="20"/>
                <w:szCs w:val="20"/>
                <w:lang w:val="en-AU"/>
              </w:rPr>
              <w:t xml:space="preserve"> </w:t>
            </w:r>
          </w:p>
        </w:tc>
      </w:tr>
      <w:tr w:rsidR="00F073E4" w:rsidRPr="00D33A17" w:rsidTr="00240524">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Costs</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F073E4" w:rsidRPr="00D33A17" w:rsidTr="00240524">
        <w:tc>
          <w:tcPr>
            <w:tcW w:w="1727" w:type="pct"/>
            <w:shd w:val="clear" w:color="auto" w:fill="auto"/>
          </w:tcPr>
          <w:p w:rsidR="00F073E4" w:rsidRPr="00D33A17" w:rsidRDefault="00F073E4" w:rsidP="00E32AFE">
            <w:pPr>
              <w:keepNext/>
              <w:keepLines/>
              <w:spacing w:before="0"/>
              <w:rPr>
                <w:rFonts w:ascii="Arial Narrow" w:hAnsi="Arial Narrow"/>
                <w:sz w:val="20"/>
                <w:szCs w:val="20"/>
                <w:lang w:val="en-AU"/>
              </w:rPr>
            </w:pPr>
            <w:r w:rsidRPr="00D33A17">
              <w:rPr>
                <w:rFonts w:ascii="Arial Narrow" w:hAnsi="Arial Narrow"/>
                <w:sz w:val="20"/>
                <w:szCs w:val="20"/>
                <w:lang w:val="en-AU"/>
              </w:rPr>
              <w:t>Outcomes (QALYs)</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4.6065</w:t>
            </w:r>
          </w:p>
        </w:tc>
        <w:tc>
          <w:tcPr>
            <w:tcW w:w="1179"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4.5405</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0.0660</w:t>
            </w:r>
          </w:p>
        </w:tc>
      </w:tr>
      <w:tr w:rsidR="00F073E4" w:rsidRPr="00D33A17" w:rsidTr="00240524">
        <w:tc>
          <w:tcPr>
            <w:tcW w:w="4085" w:type="pct"/>
            <w:gridSpan w:val="3"/>
            <w:shd w:val="clear" w:color="auto" w:fill="auto"/>
          </w:tcPr>
          <w:p w:rsidR="00F073E4" w:rsidRPr="00D33A17" w:rsidRDefault="00F073E4" w:rsidP="00E32AFE">
            <w:pPr>
              <w:keepNext/>
              <w:keepLines/>
              <w:spacing w:before="0"/>
              <w:jc w:val="right"/>
              <w:rPr>
                <w:rFonts w:ascii="Arial Narrow" w:hAnsi="Arial Narrow"/>
                <w:sz w:val="20"/>
                <w:szCs w:val="20"/>
                <w:lang w:val="en-AU"/>
              </w:rPr>
            </w:pPr>
            <w:r w:rsidRPr="00D33A17">
              <w:rPr>
                <w:rFonts w:ascii="Arial Narrow" w:hAnsi="Arial Narrow"/>
                <w:sz w:val="20"/>
                <w:szCs w:val="20"/>
                <w:lang w:val="en-AU"/>
              </w:rPr>
              <w:t>Cost per QALY gained</w:t>
            </w:r>
          </w:p>
        </w:tc>
        <w:tc>
          <w:tcPr>
            <w:tcW w:w="915" w:type="pct"/>
            <w:shd w:val="clear" w:color="auto" w:fill="auto"/>
            <w:vAlign w:val="center"/>
          </w:tcPr>
          <w:p w:rsidR="00F073E4" w:rsidRPr="00D33A17" w:rsidRDefault="00F073E4" w:rsidP="00E32AFE">
            <w:pPr>
              <w:keepNext/>
              <w:keepLines/>
              <w:spacing w:before="0"/>
              <w:jc w:val="center"/>
              <w:rPr>
                <w:rFonts w:ascii="Arial Narrow" w:hAnsi="Arial Narrow"/>
                <w:sz w:val="20"/>
                <w:szCs w:val="20"/>
                <w:lang w:val="en-AU"/>
              </w:rPr>
            </w:pPr>
            <w:r w:rsidRPr="00D33A17">
              <w:rPr>
                <w:rFonts w:ascii="Arial Narrow" w:hAnsi="Arial Narrow"/>
                <w:sz w:val="20"/>
                <w:szCs w:val="20"/>
                <w:lang w:val="en-AU"/>
              </w:rPr>
              <w:t>$</w:t>
            </w:r>
            <w:r w:rsidR="007605FE">
              <w:rPr>
                <w:rFonts w:ascii="Arial Narrow" w:hAnsi="Arial Narrow"/>
                <w:noProof/>
                <w:color w:val="000000"/>
                <w:sz w:val="20"/>
                <w:szCs w:val="20"/>
                <w:highlight w:val="black"/>
              </w:rPr>
              <w:t>'''''''''''''''</w:t>
            </w:r>
          </w:p>
        </w:tc>
      </w:tr>
    </w:tbl>
    <w:p w:rsidR="00F073E4" w:rsidRPr="00D33A17" w:rsidRDefault="00F073E4" w:rsidP="00E32AFE">
      <w:pPr>
        <w:keepNext/>
        <w:keepLines/>
        <w:spacing w:before="0" w:after="0"/>
        <w:rPr>
          <w:rFonts w:ascii="Arial Narrow" w:hAnsi="Arial Narrow"/>
          <w:sz w:val="20"/>
          <w:szCs w:val="20"/>
        </w:rPr>
      </w:pPr>
      <w:r w:rsidRPr="00D33A17">
        <w:rPr>
          <w:rFonts w:ascii="Arial Narrow" w:hAnsi="Arial Narrow"/>
          <w:sz w:val="20"/>
          <w:szCs w:val="20"/>
          <w:vertAlign w:val="superscript"/>
        </w:rPr>
        <w:t>1</w:t>
      </w:r>
      <w:r w:rsidRPr="00D33A17">
        <w:rPr>
          <w:rFonts w:ascii="Arial Narrow" w:hAnsi="Arial Narrow"/>
          <w:sz w:val="20"/>
          <w:szCs w:val="20"/>
          <w:vertAlign w:val="superscript"/>
        </w:rPr>
        <w:tab/>
      </w:r>
      <w:r w:rsidRPr="00D33A17">
        <w:rPr>
          <w:rFonts w:ascii="Arial Narrow" w:hAnsi="Arial Narrow"/>
          <w:sz w:val="20"/>
          <w:szCs w:val="20"/>
        </w:rPr>
        <w:t>calculated as cost of DPMQ of one vial of bezlotoxumab ($</w:t>
      </w:r>
      <w:r w:rsidR="007605FE">
        <w:rPr>
          <w:rFonts w:ascii="Arial Narrow" w:hAnsi="Arial Narrow"/>
          <w:noProof/>
          <w:color w:val="000000"/>
          <w:sz w:val="20"/>
          <w:szCs w:val="20"/>
          <w:highlight w:val="black"/>
        </w:rPr>
        <w:t>''''''''''''''''''''</w:t>
      </w:r>
      <w:r w:rsidRPr="00D33A17">
        <w:rPr>
          <w:rFonts w:ascii="Arial Narrow" w:hAnsi="Arial Narrow"/>
          <w:sz w:val="20"/>
          <w:szCs w:val="20"/>
        </w:rPr>
        <w:t>) plus $</w:t>
      </w:r>
      <w:r w:rsidRPr="000306BE">
        <w:rPr>
          <w:rFonts w:ascii="Arial Narrow" w:hAnsi="Arial Narrow"/>
          <w:sz w:val="20"/>
          <w:szCs w:val="20"/>
        </w:rPr>
        <w:t>97.95</w:t>
      </w:r>
      <w:r w:rsidRPr="00D33A17">
        <w:rPr>
          <w:rFonts w:ascii="Arial Narrow" w:hAnsi="Arial Narrow"/>
          <w:sz w:val="20"/>
          <w:szCs w:val="20"/>
        </w:rPr>
        <w:t xml:space="preserve"> administration cost </w:t>
      </w:r>
    </w:p>
    <w:p w:rsidR="00F073E4" w:rsidRPr="00D33A17" w:rsidRDefault="00F073E4" w:rsidP="00E32AFE">
      <w:pPr>
        <w:keepNext/>
        <w:keepLines/>
        <w:spacing w:before="0" w:after="0"/>
        <w:rPr>
          <w:rFonts w:ascii="Arial Narrow" w:hAnsi="Arial Narrow"/>
          <w:sz w:val="20"/>
          <w:szCs w:val="20"/>
        </w:rPr>
      </w:pPr>
      <w:r w:rsidRPr="00D33A17">
        <w:rPr>
          <w:rFonts w:ascii="Arial Narrow" w:hAnsi="Arial Narrow"/>
          <w:sz w:val="20"/>
          <w:szCs w:val="20"/>
        </w:rPr>
        <w:t>Abbreviations: SOC=standard of care</w:t>
      </w:r>
    </w:p>
    <w:p w:rsidR="00F073E4" w:rsidRPr="00D33A17" w:rsidRDefault="00F073E4" w:rsidP="00E32AFE">
      <w:pPr>
        <w:keepNext/>
        <w:keepLines/>
        <w:spacing w:before="0" w:after="0"/>
        <w:rPr>
          <w:rFonts w:ascii="Arial Narrow" w:hAnsi="Arial Narrow"/>
          <w:sz w:val="20"/>
          <w:szCs w:val="20"/>
        </w:rPr>
      </w:pPr>
      <w:r w:rsidRPr="00D33A17">
        <w:rPr>
          <w:rFonts w:ascii="Arial Narrow" w:hAnsi="Arial Narrow"/>
          <w:sz w:val="20"/>
          <w:szCs w:val="20"/>
        </w:rPr>
        <w:t>Values above were corrected for transcriptional error in identifying proportion of hospitalisations for mild/moderate CDI.</w:t>
      </w:r>
    </w:p>
    <w:p w:rsidR="00F073E4" w:rsidRDefault="00F073E4" w:rsidP="00E32AFE">
      <w:pPr>
        <w:keepNext/>
        <w:keepLines/>
        <w:spacing w:before="0"/>
        <w:rPr>
          <w:rFonts w:ascii="Arial Narrow" w:hAnsi="Arial Narrow"/>
          <w:sz w:val="20"/>
          <w:szCs w:val="20"/>
        </w:rPr>
      </w:pPr>
      <w:r w:rsidRPr="00D33A17">
        <w:rPr>
          <w:rFonts w:ascii="Arial Narrow" w:hAnsi="Arial Narrow"/>
          <w:sz w:val="20"/>
          <w:szCs w:val="20"/>
        </w:rPr>
        <w:t xml:space="preserve">Source: calculated using section 3 model.xlsm during evaluation </w:t>
      </w:r>
    </w:p>
    <w:p w:rsidR="00CB4850" w:rsidRPr="000855D4" w:rsidRDefault="00CB4850" w:rsidP="002351DA">
      <w:pPr>
        <w:pStyle w:val="ListParagraph"/>
        <w:numPr>
          <w:ilvl w:val="1"/>
          <w:numId w:val="4"/>
        </w:numPr>
        <w:spacing w:before="0" w:after="0"/>
        <w:jc w:val="both"/>
      </w:pPr>
      <w:r w:rsidRPr="000855D4">
        <w:rPr>
          <w:iCs/>
        </w:rPr>
        <w:t xml:space="preserve">Results for the economic analysis updated for the high risk patient group, and corrected to account for the </w:t>
      </w:r>
      <w:r w:rsidRPr="000855D4">
        <w:t>error in the estimated proportion of hospitalisations for mild/moderate CDI identified during the evaluation</w:t>
      </w:r>
      <w:r w:rsidRPr="000855D4">
        <w:rPr>
          <w:iCs/>
        </w:rPr>
        <w:t xml:space="preserve"> are provided in </w:t>
      </w:r>
      <w:r w:rsidR="0097375A" w:rsidRPr="000855D4">
        <w:rPr>
          <w:iCs/>
        </w:rPr>
        <w:t>T</w:t>
      </w:r>
      <w:r w:rsidRPr="000855D4">
        <w:rPr>
          <w:iCs/>
        </w:rPr>
        <w:t xml:space="preserve">able </w:t>
      </w:r>
      <w:r w:rsidR="0097375A" w:rsidRPr="000855D4">
        <w:rPr>
          <w:iCs/>
        </w:rPr>
        <w:t>12</w:t>
      </w:r>
      <w:r w:rsidRPr="000855D4">
        <w:rPr>
          <w:iCs/>
        </w:rPr>
        <w:t>.</w:t>
      </w:r>
      <w:r w:rsidRPr="000855D4">
        <w:t xml:space="preserve"> Th</w:t>
      </w:r>
      <w:r w:rsidR="00117BDF" w:rsidRPr="000855D4">
        <w:t>is increased the</w:t>
      </w:r>
      <w:r w:rsidRPr="000855D4">
        <w:t xml:space="preserve"> ICER in the ‘high risk’ patients</w:t>
      </w:r>
      <w:r w:rsidR="00117BDF" w:rsidRPr="000855D4">
        <w:t xml:space="preserve"> </w:t>
      </w:r>
      <w:r w:rsidRPr="000855D4">
        <w:t xml:space="preserve">from </w:t>
      </w:r>
      <w:r w:rsidR="00DB58AD" w:rsidRPr="00AA338D">
        <w:rPr>
          <w:rFonts w:cs="Times New Roman"/>
          <w:szCs w:val="24"/>
        </w:rPr>
        <w:t>$15,000/QALY - $45,000/QALY</w:t>
      </w:r>
      <w:r w:rsidR="00DB58AD" w:rsidRPr="000855D4" w:rsidDel="00DB58AD">
        <w:t xml:space="preserve"> </w:t>
      </w:r>
      <w:r w:rsidR="00117BDF" w:rsidRPr="000855D4">
        <w:t xml:space="preserve">in the PSCR </w:t>
      </w:r>
      <w:r w:rsidRPr="000855D4">
        <w:t xml:space="preserve">to </w:t>
      </w:r>
      <w:r w:rsidR="00DB58AD" w:rsidRPr="00AA338D">
        <w:rPr>
          <w:rFonts w:cs="Times New Roman"/>
          <w:szCs w:val="24"/>
        </w:rPr>
        <w:t>$15,000/QALY - $45,000/QALY</w:t>
      </w:r>
      <w:r w:rsidR="00DB58AD" w:rsidRPr="000855D4" w:rsidDel="00DB58AD">
        <w:t xml:space="preserve"> </w:t>
      </w:r>
      <w:r w:rsidR="00117BDF" w:rsidRPr="000855D4">
        <w:t>with the correction</w:t>
      </w:r>
      <w:r w:rsidRPr="000855D4">
        <w:t>.</w:t>
      </w:r>
      <w:r w:rsidR="002351DA">
        <w:t xml:space="preserve"> The </w:t>
      </w:r>
      <w:r w:rsidR="000306BE">
        <w:t xml:space="preserve">redacted table also shows the </w:t>
      </w:r>
      <w:r w:rsidR="002351DA">
        <w:t xml:space="preserve">whole trial population resulted in an ICER of </w:t>
      </w:r>
      <w:r w:rsidR="002351DA" w:rsidRPr="002351DA">
        <w:t>$45,000/QALY – $75,000/QALY</w:t>
      </w:r>
      <w:r w:rsidR="002351DA">
        <w:t>.</w:t>
      </w:r>
    </w:p>
    <w:p w:rsidR="00E76A6D" w:rsidRPr="00E76A6D" w:rsidRDefault="00E76A6D" w:rsidP="00E76A6D">
      <w:pPr>
        <w:pStyle w:val="ListParagraph"/>
        <w:keepNext/>
        <w:keepLines/>
        <w:spacing w:after="0"/>
        <w:ind w:left="0"/>
        <w:rPr>
          <w:rFonts w:ascii="Arial Narrow" w:hAnsi="Arial Narrow"/>
          <w:b/>
          <w:sz w:val="20"/>
          <w:szCs w:val="20"/>
        </w:rPr>
      </w:pPr>
      <w:r w:rsidRPr="00E76A6D">
        <w:rPr>
          <w:rFonts w:ascii="Arial Narrow" w:hAnsi="Arial Narrow"/>
          <w:b/>
          <w:sz w:val="20"/>
          <w:szCs w:val="20"/>
        </w:rPr>
        <w:t xml:space="preserve">Table 12: Results </w:t>
      </w:r>
      <w:r w:rsidR="00240524">
        <w:rPr>
          <w:rFonts w:ascii="Arial Narrow" w:hAnsi="Arial Narrow"/>
          <w:b/>
          <w:sz w:val="20"/>
          <w:szCs w:val="20"/>
        </w:rPr>
        <w:t>of Modelled economic evaluation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Results of Modelled economic evaluation"/>
      </w:tblPr>
      <w:tblGrid>
        <w:gridCol w:w="2703"/>
        <w:gridCol w:w="2356"/>
        <w:gridCol w:w="2355"/>
        <w:gridCol w:w="1828"/>
      </w:tblGrid>
      <w:tr w:rsidR="00E76A6D" w:rsidRPr="00D33A17" w:rsidTr="006F0AAB">
        <w:trPr>
          <w:cnfStyle w:val="100000000000" w:firstRow="1" w:lastRow="0" w:firstColumn="0" w:lastColumn="0" w:oddVBand="0" w:evenVBand="0" w:oddHBand="0" w:evenHBand="0" w:firstRowFirstColumn="0" w:firstRowLastColumn="0" w:lastRowFirstColumn="0" w:lastRowLastColumn="0"/>
          <w:tblHeader/>
        </w:trPr>
        <w:tc>
          <w:tcPr>
            <w:tcW w:w="1462" w:type="pct"/>
            <w:shd w:val="clear" w:color="auto" w:fill="auto"/>
          </w:tcPr>
          <w:p w:rsidR="00E76A6D" w:rsidRPr="00D33A17" w:rsidRDefault="00E76A6D" w:rsidP="00E76A6D">
            <w:pPr>
              <w:keepNext/>
              <w:keepLines/>
              <w:spacing w:before="0"/>
              <w:rPr>
                <w:rFonts w:ascii="Arial Narrow" w:hAnsi="Arial Narrow"/>
                <w:sz w:val="20"/>
                <w:szCs w:val="20"/>
                <w:lang w:val="en-AU"/>
              </w:rPr>
            </w:pPr>
            <w:r w:rsidRPr="00D33A17">
              <w:rPr>
                <w:rFonts w:ascii="Arial Narrow" w:hAnsi="Arial Narrow"/>
                <w:sz w:val="20"/>
                <w:szCs w:val="20"/>
                <w:lang w:val="en-AU"/>
              </w:rPr>
              <w:t>P</w:t>
            </w:r>
            <w:r>
              <w:rPr>
                <w:rFonts w:ascii="Arial Narrow" w:hAnsi="Arial Narrow"/>
                <w:sz w:val="20"/>
                <w:szCs w:val="20"/>
                <w:lang w:val="en-AU"/>
              </w:rPr>
              <w:t>opulation</w:t>
            </w:r>
          </w:p>
        </w:tc>
        <w:tc>
          <w:tcPr>
            <w:tcW w:w="1274" w:type="pct"/>
            <w:shd w:val="clear" w:color="auto" w:fill="auto"/>
            <w:vAlign w:val="center"/>
          </w:tcPr>
          <w:p w:rsidR="00E76A6D" w:rsidRPr="00E76A6D" w:rsidRDefault="00E76A6D" w:rsidP="00276A6E">
            <w:pPr>
              <w:keepNext/>
              <w:keepLines/>
              <w:spacing w:before="0"/>
              <w:rPr>
                <w:rFonts w:ascii="Arial Narrow" w:hAnsi="Arial Narrow"/>
                <w:sz w:val="20"/>
                <w:szCs w:val="20"/>
                <w:lang w:val="en-AU"/>
              </w:rPr>
            </w:pPr>
            <w:r w:rsidRPr="00E76A6D">
              <w:rPr>
                <w:rFonts w:ascii="Arial Narrow" w:hAnsi="Arial Narrow"/>
                <w:sz w:val="20"/>
              </w:rPr>
              <w:t>Incremental cost</w:t>
            </w:r>
          </w:p>
        </w:tc>
        <w:tc>
          <w:tcPr>
            <w:tcW w:w="1274" w:type="pct"/>
            <w:shd w:val="clear" w:color="auto" w:fill="auto"/>
            <w:vAlign w:val="center"/>
          </w:tcPr>
          <w:p w:rsidR="00E76A6D" w:rsidRPr="00E76A6D" w:rsidRDefault="00E76A6D" w:rsidP="00276A6E">
            <w:pPr>
              <w:keepNext/>
              <w:keepLines/>
              <w:spacing w:before="0"/>
              <w:jc w:val="center"/>
              <w:rPr>
                <w:rFonts w:ascii="Arial Narrow" w:hAnsi="Arial Narrow"/>
                <w:sz w:val="20"/>
                <w:szCs w:val="20"/>
                <w:lang w:val="en-AU"/>
              </w:rPr>
            </w:pPr>
            <w:r w:rsidRPr="00E76A6D">
              <w:rPr>
                <w:rFonts w:ascii="Arial Narrow" w:hAnsi="Arial Narrow"/>
                <w:sz w:val="20"/>
              </w:rPr>
              <w:t>Incremental QALY</w:t>
            </w:r>
          </w:p>
        </w:tc>
        <w:tc>
          <w:tcPr>
            <w:tcW w:w="989" w:type="pct"/>
            <w:shd w:val="clear" w:color="auto" w:fill="auto"/>
            <w:vAlign w:val="center"/>
          </w:tcPr>
          <w:p w:rsidR="00E76A6D" w:rsidRPr="00E76A6D" w:rsidRDefault="00E76A6D" w:rsidP="00276A6E">
            <w:pPr>
              <w:keepNext/>
              <w:keepLines/>
              <w:spacing w:before="0"/>
              <w:jc w:val="center"/>
              <w:rPr>
                <w:rFonts w:ascii="Arial Narrow" w:hAnsi="Arial Narrow"/>
                <w:sz w:val="20"/>
                <w:szCs w:val="20"/>
                <w:lang w:val="en-AU"/>
              </w:rPr>
            </w:pPr>
            <w:r w:rsidRPr="00E76A6D">
              <w:rPr>
                <w:rFonts w:ascii="Arial Narrow" w:hAnsi="Arial Narrow"/>
                <w:sz w:val="20"/>
              </w:rPr>
              <w:t>ICER^</w:t>
            </w:r>
          </w:p>
        </w:tc>
      </w:tr>
      <w:tr w:rsidR="00E76A6D" w:rsidRPr="00D33A17" w:rsidTr="00240524">
        <w:tc>
          <w:tcPr>
            <w:tcW w:w="1462" w:type="pct"/>
            <w:shd w:val="clear" w:color="auto" w:fill="auto"/>
          </w:tcPr>
          <w:p w:rsidR="00E76A6D" w:rsidRPr="00D33A17" w:rsidRDefault="00E76A6D" w:rsidP="00276A6E">
            <w:pPr>
              <w:keepNext/>
              <w:keepLines/>
              <w:spacing w:before="0"/>
              <w:rPr>
                <w:rFonts w:ascii="Arial Narrow" w:hAnsi="Arial Narrow"/>
                <w:sz w:val="20"/>
                <w:szCs w:val="20"/>
                <w:lang w:val="en-AU"/>
              </w:rPr>
            </w:pPr>
            <w:r w:rsidRPr="00EE29CE">
              <w:rPr>
                <w:rFonts w:ascii="Arial Narrow" w:hAnsi="Arial Narrow"/>
                <w:bCs/>
                <w:sz w:val="20"/>
              </w:rPr>
              <w:t xml:space="preserve">Whole trial </w:t>
            </w:r>
          </w:p>
        </w:tc>
        <w:tc>
          <w:tcPr>
            <w:tcW w:w="1274" w:type="pct"/>
            <w:shd w:val="clear" w:color="auto" w:fill="auto"/>
          </w:tcPr>
          <w:p w:rsidR="00E76A6D" w:rsidRPr="00D33A17" w:rsidRDefault="00E76A6D" w:rsidP="00276A6E">
            <w:pPr>
              <w:keepNext/>
              <w:keepLines/>
              <w:spacing w:before="0"/>
              <w:jc w:val="center"/>
              <w:rPr>
                <w:rFonts w:ascii="Arial Narrow" w:hAnsi="Arial Narrow"/>
                <w:sz w:val="20"/>
                <w:szCs w:val="20"/>
                <w:lang w:val="en-AU"/>
              </w:rPr>
            </w:pPr>
            <w:r w:rsidRPr="00EE29CE">
              <w:rPr>
                <w:rFonts w:ascii="Arial Narrow" w:hAnsi="Arial Narrow"/>
                <w:bCs/>
                <w:sz w:val="20"/>
              </w:rPr>
              <w:t>$</w:t>
            </w:r>
            <w:r w:rsidR="007605FE">
              <w:rPr>
                <w:rFonts w:ascii="Arial Narrow" w:hAnsi="Arial Narrow"/>
                <w:bCs/>
                <w:noProof/>
                <w:color w:val="000000"/>
                <w:sz w:val="20"/>
                <w:highlight w:val="black"/>
              </w:rPr>
              <w:t>'''''''''''''''</w:t>
            </w:r>
          </w:p>
        </w:tc>
        <w:tc>
          <w:tcPr>
            <w:tcW w:w="1274" w:type="pct"/>
            <w:shd w:val="clear" w:color="auto" w:fill="auto"/>
          </w:tcPr>
          <w:p w:rsidR="00E76A6D" w:rsidRPr="00D33A17" w:rsidRDefault="00E76A6D" w:rsidP="00276A6E">
            <w:pPr>
              <w:keepNext/>
              <w:keepLines/>
              <w:spacing w:before="0"/>
              <w:jc w:val="center"/>
              <w:rPr>
                <w:rFonts w:ascii="Arial Narrow" w:hAnsi="Arial Narrow"/>
                <w:sz w:val="20"/>
                <w:szCs w:val="20"/>
                <w:lang w:val="en-AU"/>
              </w:rPr>
            </w:pPr>
            <w:r w:rsidRPr="00EE29CE">
              <w:rPr>
                <w:rFonts w:ascii="Arial Narrow" w:hAnsi="Arial Narrow"/>
                <w:bCs/>
                <w:sz w:val="20"/>
              </w:rPr>
              <w:t>0.0660</w:t>
            </w:r>
          </w:p>
        </w:tc>
        <w:tc>
          <w:tcPr>
            <w:tcW w:w="989" w:type="pct"/>
            <w:shd w:val="clear" w:color="auto" w:fill="auto"/>
          </w:tcPr>
          <w:p w:rsidR="00E76A6D" w:rsidRPr="00D33A17" w:rsidRDefault="00E76A6D" w:rsidP="00276A6E">
            <w:pPr>
              <w:keepNext/>
              <w:keepLines/>
              <w:spacing w:before="0"/>
              <w:jc w:val="center"/>
              <w:rPr>
                <w:rFonts w:ascii="Arial Narrow" w:hAnsi="Arial Narrow"/>
                <w:sz w:val="20"/>
                <w:szCs w:val="20"/>
                <w:lang w:val="en-AU"/>
              </w:rPr>
            </w:pPr>
            <w:r w:rsidRPr="00EE29CE">
              <w:rPr>
                <w:rFonts w:ascii="Arial Narrow" w:hAnsi="Arial Narrow"/>
                <w:bCs/>
                <w:sz w:val="20"/>
              </w:rPr>
              <w:t>$</w:t>
            </w:r>
            <w:r w:rsidR="007605FE">
              <w:rPr>
                <w:rFonts w:ascii="Arial Narrow" w:hAnsi="Arial Narrow"/>
                <w:bCs/>
                <w:noProof/>
                <w:color w:val="000000"/>
                <w:sz w:val="20"/>
                <w:highlight w:val="black"/>
              </w:rPr>
              <w:t>''''''''''''''''</w:t>
            </w:r>
          </w:p>
        </w:tc>
      </w:tr>
      <w:tr w:rsidR="00E76A6D" w:rsidRPr="00D33A17" w:rsidTr="00240524">
        <w:tc>
          <w:tcPr>
            <w:tcW w:w="1462" w:type="pct"/>
            <w:shd w:val="clear" w:color="auto" w:fill="auto"/>
          </w:tcPr>
          <w:p w:rsidR="00E76A6D" w:rsidRPr="00D33A17" w:rsidRDefault="00E76A6D" w:rsidP="00276A6E">
            <w:pPr>
              <w:keepNext/>
              <w:keepLines/>
              <w:spacing w:before="0"/>
              <w:rPr>
                <w:rFonts w:ascii="Arial Narrow" w:hAnsi="Arial Narrow"/>
                <w:sz w:val="20"/>
                <w:szCs w:val="20"/>
                <w:lang w:val="en-AU"/>
              </w:rPr>
            </w:pPr>
            <w:r w:rsidRPr="00EE29CE">
              <w:rPr>
                <w:rFonts w:ascii="Arial Narrow" w:hAnsi="Arial Narrow"/>
                <w:bCs/>
                <w:sz w:val="20"/>
              </w:rPr>
              <w:t>High risk</w:t>
            </w:r>
          </w:p>
        </w:tc>
        <w:tc>
          <w:tcPr>
            <w:tcW w:w="1274" w:type="pct"/>
            <w:shd w:val="clear" w:color="auto" w:fill="auto"/>
          </w:tcPr>
          <w:p w:rsidR="00E76A6D" w:rsidRPr="00D33A17" w:rsidRDefault="00E76A6D" w:rsidP="00276A6E">
            <w:pPr>
              <w:keepNext/>
              <w:keepLines/>
              <w:spacing w:before="0"/>
              <w:jc w:val="center"/>
              <w:rPr>
                <w:rFonts w:ascii="Arial Narrow" w:hAnsi="Arial Narrow"/>
                <w:sz w:val="20"/>
                <w:szCs w:val="20"/>
                <w:lang w:val="en-AU"/>
              </w:rPr>
            </w:pPr>
            <w:r w:rsidRPr="00EE29CE">
              <w:rPr>
                <w:rFonts w:ascii="Arial Narrow" w:hAnsi="Arial Narrow"/>
                <w:bCs/>
                <w:sz w:val="20"/>
              </w:rPr>
              <w:t>$</w:t>
            </w:r>
            <w:r w:rsidR="007605FE">
              <w:rPr>
                <w:rFonts w:ascii="Arial Narrow" w:hAnsi="Arial Narrow"/>
                <w:bCs/>
                <w:noProof/>
                <w:color w:val="000000"/>
                <w:sz w:val="20"/>
                <w:highlight w:val="black"/>
              </w:rPr>
              <w:t>''''''''''''''</w:t>
            </w:r>
          </w:p>
        </w:tc>
        <w:tc>
          <w:tcPr>
            <w:tcW w:w="1274" w:type="pct"/>
            <w:shd w:val="clear" w:color="auto" w:fill="auto"/>
          </w:tcPr>
          <w:p w:rsidR="00E76A6D" w:rsidRPr="00D33A17" w:rsidRDefault="00E76A6D" w:rsidP="00276A6E">
            <w:pPr>
              <w:keepNext/>
              <w:keepLines/>
              <w:spacing w:before="0"/>
              <w:jc w:val="center"/>
              <w:rPr>
                <w:rFonts w:ascii="Arial Narrow" w:hAnsi="Arial Narrow"/>
                <w:sz w:val="20"/>
                <w:szCs w:val="20"/>
                <w:lang w:val="en-AU"/>
              </w:rPr>
            </w:pPr>
            <w:r w:rsidRPr="00EE29CE">
              <w:rPr>
                <w:rFonts w:ascii="Arial Narrow" w:hAnsi="Arial Narrow"/>
                <w:bCs/>
                <w:sz w:val="20"/>
              </w:rPr>
              <w:t>0.0785</w:t>
            </w:r>
          </w:p>
        </w:tc>
        <w:tc>
          <w:tcPr>
            <w:tcW w:w="989" w:type="pct"/>
            <w:shd w:val="clear" w:color="auto" w:fill="auto"/>
          </w:tcPr>
          <w:p w:rsidR="00E76A6D" w:rsidRPr="00D33A17" w:rsidRDefault="00E76A6D" w:rsidP="00276A6E">
            <w:pPr>
              <w:keepNext/>
              <w:keepLines/>
              <w:spacing w:before="0"/>
              <w:jc w:val="center"/>
              <w:rPr>
                <w:rFonts w:ascii="Arial Narrow" w:hAnsi="Arial Narrow"/>
                <w:sz w:val="20"/>
                <w:szCs w:val="20"/>
                <w:lang w:val="en-AU"/>
              </w:rPr>
            </w:pPr>
            <w:r w:rsidRPr="00EE29CE">
              <w:rPr>
                <w:rFonts w:ascii="Arial Narrow" w:hAnsi="Arial Narrow"/>
                <w:bCs/>
                <w:sz w:val="20"/>
              </w:rPr>
              <w:t>$</w:t>
            </w:r>
            <w:r w:rsidR="007605FE">
              <w:rPr>
                <w:rFonts w:ascii="Arial Narrow" w:hAnsi="Arial Narrow"/>
                <w:bCs/>
                <w:noProof/>
                <w:color w:val="000000"/>
                <w:sz w:val="20"/>
                <w:highlight w:val="black"/>
              </w:rPr>
              <w:t>''''''''''''''''</w:t>
            </w:r>
          </w:p>
        </w:tc>
      </w:tr>
    </w:tbl>
    <w:p w:rsidR="00E76A6D" w:rsidRPr="00CB4850" w:rsidRDefault="00E76A6D" w:rsidP="00E76A6D">
      <w:pPr>
        <w:keepNext/>
        <w:keepLines/>
        <w:spacing w:before="0" w:after="0"/>
        <w:rPr>
          <w:rFonts w:ascii="Arial Narrow" w:hAnsi="Arial Narrow"/>
          <w:sz w:val="20"/>
          <w:szCs w:val="20"/>
        </w:rPr>
      </w:pPr>
      <w:r w:rsidRPr="00CB4850">
        <w:rPr>
          <w:rFonts w:ascii="Arial Narrow" w:hAnsi="Arial Narrow"/>
          <w:sz w:val="20"/>
          <w:szCs w:val="20"/>
        </w:rPr>
        <w:t>^</w:t>
      </w:r>
      <w:r w:rsidRPr="00CB4850">
        <w:rPr>
          <w:rFonts w:ascii="Arial Narrow" w:hAnsi="Arial Narrow"/>
          <w:sz w:val="20"/>
          <w:szCs w:val="20"/>
        </w:rPr>
        <w:tab/>
        <w:t>correcting for transcription error in the model for hospitalisation rate associate with mild/moderate CDI.</w:t>
      </w:r>
    </w:p>
    <w:p w:rsidR="00E76A6D" w:rsidRDefault="00E76A6D" w:rsidP="00E76A6D">
      <w:pPr>
        <w:keepNext/>
        <w:keepLines/>
        <w:spacing w:before="0" w:after="0"/>
        <w:rPr>
          <w:rFonts w:ascii="Arial Narrow" w:hAnsi="Arial Narrow"/>
          <w:sz w:val="20"/>
          <w:szCs w:val="20"/>
        </w:rPr>
      </w:pPr>
      <w:r w:rsidRPr="00CB4850">
        <w:rPr>
          <w:rFonts w:ascii="Arial Narrow" w:hAnsi="Arial Narrow"/>
          <w:sz w:val="20"/>
          <w:szCs w:val="20"/>
        </w:rPr>
        <w:t>Source: Att 1_ Zinplava Section 3_revised spreadsheet and Section 3 model spreadsheet from submission</w:t>
      </w:r>
    </w:p>
    <w:p w:rsidR="00216577" w:rsidRPr="00D33A17" w:rsidRDefault="00F073E4" w:rsidP="00900949">
      <w:pPr>
        <w:pStyle w:val="ListParagraph"/>
        <w:numPr>
          <w:ilvl w:val="1"/>
          <w:numId w:val="4"/>
        </w:numPr>
        <w:spacing w:after="120"/>
        <w:jc w:val="both"/>
        <w:rPr>
          <w:iCs/>
        </w:rPr>
      </w:pPr>
      <w:r w:rsidRPr="00D33A17">
        <w:rPr>
          <w:iCs/>
        </w:rPr>
        <w:t xml:space="preserve">Overall, the biggest drivers of the model were </w:t>
      </w:r>
      <w:r w:rsidR="00F969B4" w:rsidRPr="00D33A17">
        <w:rPr>
          <w:iCs/>
        </w:rPr>
        <w:t>the</w:t>
      </w:r>
      <w:r w:rsidR="00636A78" w:rsidRPr="00D33A17">
        <w:rPr>
          <w:iCs/>
        </w:rPr>
        <w:t xml:space="preserve"> assumed</w:t>
      </w:r>
      <w:r w:rsidR="00F969B4" w:rsidRPr="00D33A17">
        <w:rPr>
          <w:iCs/>
        </w:rPr>
        <w:t xml:space="preserve"> </w:t>
      </w:r>
      <w:r w:rsidR="00635256" w:rsidRPr="00D33A17">
        <w:rPr>
          <w:iCs/>
        </w:rPr>
        <w:t xml:space="preserve">differences in </w:t>
      </w:r>
      <w:r w:rsidRPr="00D33A17">
        <w:rPr>
          <w:iCs/>
        </w:rPr>
        <w:t xml:space="preserve">CDI recurrence </w:t>
      </w:r>
      <w:r w:rsidR="00636A78" w:rsidRPr="00D33A17">
        <w:rPr>
          <w:iCs/>
        </w:rPr>
        <w:t xml:space="preserve">and </w:t>
      </w:r>
      <w:r w:rsidRPr="00D33A17">
        <w:rPr>
          <w:iCs/>
        </w:rPr>
        <w:t>mortality</w:t>
      </w:r>
      <w:r w:rsidR="00636A78" w:rsidRPr="00D33A17">
        <w:rPr>
          <w:iCs/>
        </w:rPr>
        <w:t xml:space="preserve"> </w:t>
      </w:r>
      <w:r w:rsidR="00FB7EE3" w:rsidRPr="00D33A17">
        <w:rPr>
          <w:iCs/>
        </w:rPr>
        <w:t>between those treated with bezlotoxumab + SoC versus SoC alone</w:t>
      </w:r>
      <w:r w:rsidR="000661CF">
        <w:rPr>
          <w:iCs/>
        </w:rPr>
        <w:t xml:space="preserve">. </w:t>
      </w:r>
    </w:p>
    <w:p w:rsidR="00CB4850" w:rsidRPr="000855D4" w:rsidRDefault="00635256" w:rsidP="002471D4">
      <w:pPr>
        <w:pStyle w:val="ListParagraph"/>
        <w:numPr>
          <w:ilvl w:val="1"/>
          <w:numId w:val="4"/>
        </w:numPr>
        <w:spacing w:before="0" w:after="120"/>
        <w:jc w:val="both"/>
        <w:rPr>
          <w:iCs/>
        </w:rPr>
      </w:pPr>
      <w:r w:rsidRPr="00D33A17">
        <w:rPr>
          <w:iCs/>
        </w:rPr>
        <w:t xml:space="preserve">There was no evidence of a </w:t>
      </w:r>
      <w:r w:rsidR="00216577" w:rsidRPr="00D33A17">
        <w:rPr>
          <w:iCs/>
        </w:rPr>
        <w:t xml:space="preserve">significant </w:t>
      </w:r>
      <w:r w:rsidRPr="00D33A17">
        <w:rPr>
          <w:iCs/>
        </w:rPr>
        <w:t>difference in mortality between bezlotoxumab and placebo</w:t>
      </w:r>
      <w:r w:rsidR="00216577" w:rsidRPr="00D33A17">
        <w:rPr>
          <w:iCs/>
        </w:rPr>
        <w:t xml:space="preserve"> in the trials</w:t>
      </w:r>
      <w:r w:rsidRPr="00D33A17">
        <w:rPr>
          <w:iCs/>
        </w:rPr>
        <w:t>, the mortality rate in the trials were also much lower</w:t>
      </w:r>
      <w:r w:rsidR="008259FB" w:rsidRPr="00D33A17">
        <w:rPr>
          <w:iCs/>
        </w:rPr>
        <w:t xml:space="preserve"> (7</w:t>
      </w:r>
      <w:r w:rsidR="00140BE7" w:rsidRPr="00D33A17">
        <w:rPr>
          <w:iCs/>
        </w:rPr>
        <w:t>.6% and 7.1% in the placebo and bezlotoxumab arms at 84 days) versus those estimated in the model (15.4% and 14.8% in the placebo and bezlotoxumab arms</w:t>
      </w:r>
      <w:r w:rsidR="008259FB" w:rsidRPr="00D33A17">
        <w:rPr>
          <w:iCs/>
        </w:rPr>
        <w:t>)</w:t>
      </w:r>
      <w:r w:rsidR="000661CF">
        <w:rPr>
          <w:iCs/>
        </w:rPr>
        <w:t xml:space="preserve">. </w:t>
      </w:r>
      <w:r w:rsidR="0090693F" w:rsidRPr="00D33A17">
        <w:rPr>
          <w:iCs/>
        </w:rPr>
        <w:t>There was limited data fro</w:t>
      </w:r>
      <w:r w:rsidR="00140BE7" w:rsidRPr="00D33A17">
        <w:rPr>
          <w:iCs/>
        </w:rPr>
        <w:t xml:space="preserve">m Australian sources </w:t>
      </w:r>
      <w:r w:rsidR="000F473F" w:rsidRPr="00D33A17">
        <w:rPr>
          <w:iCs/>
        </w:rPr>
        <w:t xml:space="preserve">to enable verification of </w:t>
      </w:r>
      <w:r w:rsidR="00140BE7" w:rsidRPr="00D33A17">
        <w:rPr>
          <w:iCs/>
        </w:rPr>
        <w:t xml:space="preserve">the applied mortality data from Olsen 2015 which </w:t>
      </w:r>
      <w:r w:rsidR="00E9562B" w:rsidRPr="00D33A17">
        <w:rPr>
          <w:iCs/>
        </w:rPr>
        <w:t>was derived for a</w:t>
      </w:r>
      <w:r w:rsidR="000F473F" w:rsidRPr="00D33A17">
        <w:rPr>
          <w:iCs/>
        </w:rPr>
        <w:t>n</w:t>
      </w:r>
      <w:r w:rsidR="00E9562B" w:rsidRPr="00D33A17">
        <w:rPr>
          <w:iCs/>
        </w:rPr>
        <w:t xml:space="preserve"> US population</w:t>
      </w:r>
      <w:r w:rsidR="000661CF">
        <w:rPr>
          <w:iCs/>
        </w:rPr>
        <w:t xml:space="preserve">. </w:t>
      </w:r>
      <w:r w:rsidR="00CB4850" w:rsidRPr="000855D4">
        <w:rPr>
          <w:iCs/>
        </w:rPr>
        <w:t xml:space="preserve">The ESC noted that in addition to the seemingly high mortality rate in the SoC group, Olsen </w:t>
      </w:r>
      <w:r w:rsidR="00CB4850" w:rsidRPr="000855D4">
        <w:rPr>
          <w:i/>
          <w:iCs/>
        </w:rPr>
        <w:t>et</w:t>
      </w:r>
      <w:r w:rsidR="000C297F" w:rsidRPr="000855D4">
        <w:rPr>
          <w:i/>
          <w:iCs/>
        </w:rPr>
        <w:t>.</w:t>
      </w:r>
      <w:r w:rsidR="00CB4850" w:rsidRPr="000855D4">
        <w:rPr>
          <w:i/>
          <w:iCs/>
        </w:rPr>
        <w:t xml:space="preserve"> al</w:t>
      </w:r>
      <w:r w:rsidR="000C297F" w:rsidRPr="000855D4">
        <w:rPr>
          <w:i/>
          <w:iCs/>
        </w:rPr>
        <w:t>.</w:t>
      </w:r>
      <w:r w:rsidR="00CB4850" w:rsidRPr="000855D4">
        <w:rPr>
          <w:iCs/>
        </w:rPr>
        <w:t xml:space="preserve"> acknowledged the following limitations that are likely to have resulted in the overestimation of the mortality effect of recurrent CDI:</w:t>
      </w:r>
    </w:p>
    <w:p w:rsidR="00CB4850" w:rsidRPr="000855D4" w:rsidRDefault="00CB4850" w:rsidP="00900949">
      <w:pPr>
        <w:pStyle w:val="ListParagraph"/>
        <w:spacing w:before="0" w:after="120"/>
        <w:ind w:left="1360" w:hanging="509"/>
        <w:jc w:val="both"/>
        <w:rPr>
          <w:iCs/>
        </w:rPr>
      </w:pPr>
      <w:r w:rsidRPr="000855D4">
        <w:rPr>
          <w:iCs/>
        </w:rPr>
        <w:t>•</w:t>
      </w:r>
      <w:r w:rsidRPr="000855D4">
        <w:rPr>
          <w:iCs/>
        </w:rPr>
        <w:tab/>
        <w:t>they were more likely to miss less severe recurrent cases,</w:t>
      </w:r>
    </w:p>
    <w:p w:rsidR="00CB4850" w:rsidRPr="000855D4" w:rsidRDefault="00CB4850" w:rsidP="00900949">
      <w:pPr>
        <w:pStyle w:val="ListParagraph"/>
        <w:spacing w:before="0" w:after="120"/>
        <w:ind w:left="1360" w:hanging="509"/>
        <w:jc w:val="both"/>
        <w:rPr>
          <w:iCs/>
        </w:rPr>
      </w:pPr>
      <w:r w:rsidRPr="000855D4">
        <w:rPr>
          <w:iCs/>
        </w:rPr>
        <w:t>•</w:t>
      </w:r>
      <w:r w:rsidRPr="000855D4">
        <w:rPr>
          <w:iCs/>
        </w:rPr>
        <w:tab/>
        <w:t xml:space="preserve">the lack of data on </w:t>
      </w:r>
      <w:r w:rsidRPr="001339EB">
        <w:rPr>
          <w:i/>
          <w:iCs/>
        </w:rPr>
        <w:t>C. difficile</w:t>
      </w:r>
      <w:r w:rsidRPr="000855D4">
        <w:rPr>
          <w:iCs/>
        </w:rPr>
        <w:t xml:space="preserve"> strain is important because the 027/BI/NAP1 strain has been associated with both increased risk of CDI recurrence and mortality</w:t>
      </w:r>
      <w:r w:rsidR="00EB5E2D">
        <w:rPr>
          <w:iCs/>
        </w:rPr>
        <w:t>.</w:t>
      </w:r>
    </w:p>
    <w:p w:rsidR="000E3F77" w:rsidRDefault="00E9562B" w:rsidP="002471D4">
      <w:pPr>
        <w:pStyle w:val="ListParagraph"/>
        <w:numPr>
          <w:ilvl w:val="1"/>
          <w:numId w:val="4"/>
        </w:numPr>
        <w:spacing w:before="0" w:after="120"/>
        <w:jc w:val="both"/>
        <w:rPr>
          <w:iCs/>
        </w:rPr>
      </w:pPr>
      <w:r w:rsidRPr="00D33A17">
        <w:rPr>
          <w:iCs/>
        </w:rPr>
        <w:t xml:space="preserve">One </w:t>
      </w:r>
      <w:r w:rsidR="0090693F" w:rsidRPr="00D33A17">
        <w:rPr>
          <w:iCs/>
        </w:rPr>
        <w:t xml:space="preserve">Australian study </w:t>
      </w:r>
      <w:r w:rsidR="0037637A" w:rsidRPr="00E73E5B">
        <w:rPr>
          <w:iCs/>
        </w:rPr>
        <w:t>(Huber</w:t>
      </w:r>
      <w:r w:rsidR="0037637A" w:rsidRPr="0037637A">
        <w:rPr>
          <w:i/>
          <w:iCs/>
        </w:rPr>
        <w:t xml:space="preserve"> et al, </w:t>
      </w:r>
      <w:r w:rsidR="0037637A" w:rsidRPr="00E73E5B">
        <w:rPr>
          <w:iCs/>
        </w:rPr>
        <w:t>2014)</w:t>
      </w:r>
      <w:r w:rsidR="0037637A">
        <w:rPr>
          <w:iCs/>
        </w:rPr>
        <w:t xml:space="preserve"> </w:t>
      </w:r>
      <w:r w:rsidR="0090693F" w:rsidRPr="00D33A17">
        <w:rPr>
          <w:iCs/>
        </w:rPr>
        <w:t>identified during the evaluation of a Department of Health surveillance snapshot of CD</w:t>
      </w:r>
      <w:r w:rsidR="007E5ADA" w:rsidRPr="00D33A17">
        <w:rPr>
          <w:iCs/>
        </w:rPr>
        <w:t>I across 175 hospitals during 2 </w:t>
      </w:r>
      <w:r w:rsidR="0090693F" w:rsidRPr="00D33A17">
        <w:rPr>
          <w:iCs/>
        </w:rPr>
        <w:t>mon</w:t>
      </w:r>
      <w:r w:rsidR="000F473F" w:rsidRPr="00D33A17">
        <w:rPr>
          <w:iCs/>
        </w:rPr>
        <w:t>ths in Queensland in early 2012</w:t>
      </w:r>
      <w:r w:rsidR="0090693F" w:rsidRPr="00D33A17">
        <w:rPr>
          <w:iCs/>
        </w:rPr>
        <w:t xml:space="preserve"> </w:t>
      </w:r>
      <w:r w:rsidRPr="00D33A17">
        <w:rPr>
          <w:iCs/>
        </w:rPr>
        <w:t>suggest</w:t>
      </w:r>
      <w:r w:rsidR="00573A90" w:rsidRPr="00D33A17">
        <w:rPr>
          <w:iCs/>
        </w:rPr>
        <w:t>ed</w:t>
      </w:r>
      <w:r w:rsidRPr="00D33A17">
        <w:rPr>
          <w:iCs/>
        </w:rPr>
        <w:t xml:space="preserve"> the numbers of death due to CDI may be lower in Australia</w:t>
      </w:r>
      <w:r w:rsidR="000661CF">
        <w:rPr>
          <w:iCs/>
        </w:rPr>
        <w:t xml:space="preserve">. </w:t>
      </w:r>
      <w:r w:rsidRPr="00D33A17">
        <w:rPr>
          <w:iCs/>
        </w:rPr>
        <w:t>T</w:t>
      </w:r>
      <w:r w:rsidR="000F473F" w:rsidRPr="00D33A17">
        <w:rPr>
          <w:iCs/>
        </w:rPr>
        <w:t>he study estimated a</w:t>
      </w:r>
      <w:r w:rsidRPr="00D33A17">
        <w:rPr>
          <w:iCs/>
        </w:rPr>
        <w:t xml:space="preserve"> </w:t>
      </w:r>
      <w:r w:rsidR="0090693F" w:rsidRPr="00D33A17">
        <w:rPr>
          <w:iCs/>
        </w:rPr>
        <w:t xml:space="preserve">30 day mortality </w:t>
      </w:r>
      <w:r w:rsidR="000F473F" w:rsidRPr="00D33A17">
        <w:rPr>
          <w:iCs/>
        </w:rPr>
        <w:t xml:space="preserve">rate of </w:t>
      </w:r>
      <w:r w:rsidR="0090693F" w:rsidRPr="00D33A17">
        <w:rPr>
          <w:iCs/>
        </w:rPr>
        <w:t xml:space="preserve">3.6%, </w:t>
      </w:r>
      <w:r w:rsidRPr="00D33A17">
        <w:rPr>
          <w:iCs/>
        </w:rPr>
        <w:t xml:space="preserve">which is </w:t>
      </w:r>
      <w:r w:rsidR="0090693F" w:rsidRPr="00D33A17">
        <w:rPr>
          <w:iCs/>
        </w:rPr>
        <w:t>significantly lower than that reported by Olsen 2015</w:t>
      </w:r>
      <w:r w:rsidR="00C15C22" w:rsidRPr="00D33A17">
        <w:rPr>
          <w:iCs/>
        </w:rPr>
        <w:t xml:space="preserve"> at 30 days of 8.7% and 7.8%</w:t>
      </w:r>
      <w:r w:rsidR="00211D10" w:rsidRPr="00D33A17">
        <w:rPr>
          <w:iCs/>
        </w:rPr>
        <w:t xml:space="preserve"> or 25.7% and 36.3% at 180 days</w:t>
      </w:r>
      <w:r w:rsidR="000661CF">
        <w:rPr>
          <w:iCs/>
        </w:rPr>
        <w:t xml:space="preserve">. </w:t>
      </w:r>
      <w:r w:rsidR="000F473F" w:rsidRPr="00D33A17">
        <w:rPr>
          <w:iCs/>
        </w:rPr>
        <w:t xml:space="preserve">A lower mortality due to CDI in Australia was </w:t>
      </w:r>
      <w:r w:rsidR="00C80060" w:rsidRPr="00D33A17">
        <w:rPr>
          <w:iCs/>
        </w:rPr>
        <w:t xml:space="preserve">also affirmed by a small west Australian </w:t>
      </w:r>
      <w:r w:rsidR="00573A90" w:rsidRPr="00D33A17">
        <w:rPr>
          <w:iCs/>
        </w:rPr>
        <w:t>study identified by the submission</w:t>
      </w:r>
      <w:r w:rsidR="00C80060" w:rsidRPr="00D33A17">
        <w:rPr>
          <w:iCs/>
        </w:rPr>
        <w:t xml:space="preserve"> (Foster 2014) </w:t>
      </w:r>
      <w:r w:rsidR="00CD39CF" w:rsidRPr="00D33A17">
        <w:rPr>
          <w:iCs/>
        </w:rPr>
        <w:t>that estimated 30-day mortality to be 2.5% among hospitalised adult patients with CDI in two large teaching hospitals in Perth</w:t>
      </w:r>
      <w:r w:rsidR="000661CF">
        <w:rPr>
          <w:iCs/>
        </w:rPr>
        <w:t xml:space="preserve">. </w:t>
      </w:r>
      <w:r w:rsidR="00CD39CF" w:rsidRPr="00D33A17">
        <w:rPr>
          <w:iCs/>
        </w:rPr>
        <w:t>M</w:t>
      </w:r>
      <w:r w:rsidR="00FF7C74" w:rsidRPr="00D33A17">
        <w:rPr>
          <w:iCs/>
        </w:rPr>
        <w:t>i</w:t>
      </w:r>
      <w:r w:rsidR="000F473F" w:rsidRPr="00D33A17">
        <w:rPr>
          <w:iCs/>
        </w:rPr>
        <w:t>tchel 2012 conducted a review of</w:t>
      </w:r>
      <w:r w:rsidR="00FF7C74" w:rsidRPr="00D33A17">
        <w:rPr>
          <w:iCs/>
        </w:rPr>
        <w:t xml:space="preserve"> the mortality rates associated with CDI and concluded that all-cause mortality</w:t>
      </w:r>
      <w:r w:rsidR="0060536E" w:rsidRPr="00D33A17">
        <w:rPr>
          <w:iCs/>
        </w:rPr>
        <w:t xml:space="preserve"> at 30 days</w:t>
      </w:r>
      <w:r w:rsidR="00FF7C74" w:rsidRPr="00D33A17">
        <w:rPr>
          <w:iCs/>
        </w:rPr>
        <w:t xml:space="preserve"> could vary between 9% </w:t>
      </w:r>
      <w:r w:rsidR="00CB4850">
        <w:rPr>
          <w:iCs/>
        </w:rPr>
        <w:t>and</w:t>
      </w:r>
      <w:r w:rsidR="00CB4850" w:rsidRPr="00D33A17">
        <w:rPr>
          <w:iCs/>
        </w:rPr>
        <w:t xml:space="preserve"> </w:t>
      </w:r>
      <w:r w:rsidR="00FF7C74" w:rsidRPr="00D33A17">
        <w:rPr>
          <w:iCs/>
        </w:rPr>
        <w:t>38% and is dependent on a range of risk factors including severity of CDI and age</w:t>
      </w:r>
      <w:r w:rsidR="000661CF">
        <w:rPr>
          <w:iCs/>
        </w:rPr>
        <w:t xml:space="preserve">. </w:t>
      </w:r>
      <w:r w:rsidR="00FF7C74" w:rsidRPr="00D33A17">
        <w:rPr>
          <w:iCs/>
        </w:rPr>
        <w:t>It appeared the submission had applied the upper range of the values reported in the literature.</w:t>
      </w:r>
      <w:r w:rsidR="00716A11" w:rsidRPr="00D33A17">
        <w:rPr>
          <w:iCs/>
        </w:rPr>
        <w:t xml:space="preserve"> </w:t>
      </w:r>
    </w:p>
    <w:p w:rsidR="002E6A89" w:rsidRPr="000855D4" w:rsidRDefault="005B40FD" w:rsidP="002471D4">
      <w:pPr>
        <w:pStyle w:val="ListParagraph"/>
        <w:numPr>
          <w:ilvl w:val="1"/>
          <w:numId w:val="4"/>
        </w:numPr>
        <w:spacing w:before="0" w:after="120"/>
        <w:jc w:val="both"/>
        <w:rPr>
          <w:iCs/>
        </w:rPr>
      </w:pPr>
      <w:r w:rsidRPr="000855D4">
        <w:rPr>
          <w:iCs/>
        </w:rPr>
        <w:t>The ESC noted that a</w:t>
      </w:r>
      <w:r w:rsidR="002E6A89" w:rsidRPr="000855D4">
        <w:rPr>
          <w:iCs/>
        </w:rPr>
        <w:t xml:space="preserve"> RR for mortality of 1.6 was applied to patients with recurrent CDI compared to non-recurrent CDI patients</w:t>
      </w:r>
      <w:r w:rsidRPr="000855D4">
        <w:rPr>
          <w:iCs/>
        </w:rPr>
        <w:t xml:space="preserve">, which was higher than reported in </w:t>
      </w:r>
      <w:r w:rsidR="002E6A89" w:rsidRPr="000855D4">
        <w:rPr>
          <w:iCs/>
        </w:rPr>
        <w:t xml:space="preserve"> </w:t>
      </w:r>
      <w:r w:rsidRPr="000855D4">
        <w:rPr>
          <w:iCs/>
        </w:rPr>
        <w:t>t</w:t>
      </w:r>
      <w:r w:rsidR="002E6A89" w:rsidRPr="000855D4">
        <w:rPr>
          <w:iCs/>
        </w:rPr>
        <w:t xml:space="preserve">he study used to inform the RR </w:t>
      </w:r>
      <w:r w:rsidRPr="000855D4">
        <w:rPr>
          <w:iCs/>
        </w:rPr>
        <w:t>(</w:t>
      </w:r>
      <w:r w:rsidR="002E6A89" w:rsidRPr="000855D4">
        <w:rPr>
          <w:iCs/>
        </w:rPr>
        <w:t>adjusted HR of 1.33</w:t>
      </w:r>
      <w:r w:rsidRPr="000855D4">
        <w:rPr>
          <w:iCs/>
        </w:rPr>
        <w:t xml:space="preserve">: </w:t>
      </w:r>
      <w:r w:rsidR="002E6A89" w:rsidRPr="000855D4">
        <w:rPr>
          <w:iCs/>
        </w:rPr>
        <w:t>95% CI 1.12 to 1.58)</w:t>
      </w:r>
      <w:r w:rsidRPr="000855D4">
        <w:rPr>
          <w:iCs/>
        </w:rPr>
        <w:t>, which was in itself likely an overestimate</w:t>
      </w:r>
      <w:r w:rsidR="000661CF">
        <w:rPr>
          <w:iCs/>
        </w:rPr>
        <w:t xml:space="preserve">. </w:t>
      </w:r>
      <w:r w:rsidRPr="000855D4">
        <w:rPr>
          <w:iCs/>
        </w:rPr>
        <w:t xml:space="preserve">The model also assumed a higher mortality rate in the comparator </w:t>
      </w:r>
      <w:r w:rsidR="00DE2C7A" w:rsidRPr="000855D4">
        <w:rPr>
          <w:iCs/>
        </w:rPr>
        <w:t xml:space="preserve">arm </w:t>
      </w:r>
      <w:r w:rsidRPr="000855D4">
        <w:rPr>
          <w:iCs/>
        </w:rPr>
        <w:t>than likely to be the case in the eligible Australian population</w:t>
      </w:r>
      <w:r w:rsidR="000661CF">
        <w:rPr>
          <w:iCs/>
        </w:rPr>
        <w:t xml:space="preserve">. </w:t>
      </w:r>
      <w:r w:rsidRPr="000855D4">
        <w:rPr>
          <w:iCs/>
        </w:rPr>
        <w:t>The ESC considered that a more appropriate approach would be to apply the lower 95% CI for the recurrent CDI hazard ratio for mortality (1.12) to estimate the mortality effect.</w:t>
      </w:r>
      <w:r w:rsidR="006563A1">
        <w:rPr>
          <w:iCs/>
        </w:rPr>
        <w:t xml:space="preserve"> </w:t>
      </w:r>
    </w:p>
    <w:p w:rsidR="004D0120" w:rsidRPr="000855D4" w:rsidRDefault="00FB7EE3" w:rsidP="002471D4">
      <w:pPr>
        <w:pStyle w:val="ListParagraph"/>
        <w:numPr>
          <w:ilvl w:val="1"/>
          <w:numId w:val="4"/>
        </w:numPr>
        <w:spacing w:before="0" w:after="120"/>
        <w:jc w:val="both"/>
        <w:rPr>
          <w:iCs/>
        </w:rPr>
      </w:pPr>
      <w:r w:rsidRPr="00D33A17">
        <w:rPr>
          <w:iCs/>
        </w:rPr>
        <w:t xml:space="preserve">There was also </w:t>
      </w:r>
      <w:r w:rsidR="00F073E4" w:rsidRPr="00D33A17">
        <w:rPr>
          <w:iCs/>
        </w:rPr>
        <w:t>considerable variability</w:t>
      </w:r>
      <w:r w:rsidR="000E3F77" w:rsidRPr="00D33A17">
        <w:rPr>
          <w:iCs/>
        </w:rPr>
        <w:t xml:space="preserve"> in treatment effect of bezlotoxumab in prevention of </w:t>
      </w:r>
      <w:r w:rsidR="00F073E4" w:rsidRPr="00D33A17">
        <w:rPr>
          <w:iCs/>
        </w:rPr>
        <w:t xml:space="preserve">CDI recurrence across </w:t>
      </w:r>
      <w:r w:rsidR="000E3F77" w:rsidRPr="00D33A17">
        <w:rPr>
          <w:iCs/>
        </w:rPr>
        <w:t xml:space="preserve">different </w:t>
      </w:r>
      <w:r w:rsidR="00F073E4" w:rsidRPr="00D33A17">
        <w:rPr>
          <w:iCs/>
        </w:rPr>
        <w:t>subpopulations (</w:t>
      </w:r>
      <w:r w:rsidR="00CF10FD" w:rsidRPr="00D33A17">
        <w:rPr>
          <w:iCs/>
        </w:rPr>
        <w:t xml:space="preserve">based on risk factor, </w:t>
      </w:r>
      <w:r w:rsidR="000E3F77" w:rsidRPr="00D33A17">
        <w:rPr>
          <w:iCs/>
        </w:rPr>
        <w:t xml:space="preserve">see Table </w:t>
      </w:r>
      <w:r w:rsidR="00716A11" w:rsidRPr="00D33A17">
        <w:rPr>
          <w:iCs/>
        </w:rPr>
        <w:t>5</w:t>
      </w:r>
      <w:r w:rsidR="0060536E" w:rsidRPr="00D33A17">
        <w:rPr>
          <w:iCs/>
        </w:rPr>
        <w:t xml:space="preserve"> </w:t>
      </w:r>
      <w:r w:rsidR="000E3F77" w:rsidRPr="00D33A17">
        <w:rPr>
          <w:iCs/>
        </w:rPr>
        <w:t>above</w:t>
      </w:r>
      <w:r w:rsidR="00F073E4" w:rsidRPr="00D33A17">
        <w:rPr>
          <w:iCs/>
        </w:rPr>
        <w:t>)</w:t>
      </w:r>
      <w:r w:rsidR="000661CF">
        <w:rPr>
          <w:iCs/>
        </w:rPr>
        <w:t xml:space="preserve">. </w:t>
      </w:r>
      <w:r w:rsidRPr="00D33A17">
        <w:rPr>
          <w:iCs/>
        </w:rPr>
        <w:t>If the PBS population should have lower risk for CDI recurrence, such as a greater proportion of patients with no CDI episodes in the last 6</w:t>
      </w:r>
      <w:r w:rsidR="005B40FD">
        <w:rPr>
          <w:iCs/>
        </w:rPr>
        <w:t xml:space="preserve"> </w:t>
      </w:r>
      <w:r w:rsidRPr="00D33A17">
        <w:rPr>
          <w:iCs/>
        </w:rPr>
        <w:t>months, the likely benefit associated with bezlotoxumab treatment will be lower than those estimated in overall trial results, resulting in a higher ICER.</w:t>
      </w:r>
      <w:r w:rsidR="000C297F">
        <w:rPr>
          <w:iCs/>
        </w:rPr>
        <w:t xml:space="preserve"> </w:t>
      </w:r>
      <w:r w:rsidR="004D0120" w:rsidRPr="000855D4">
        <w:rPr>
          <w:iCs/>
        </w:rPr>
        <w:t xml:space="preserve">The </w:t>
      </w:r>
      <w:r w:rsidR="005B40FD" w:rsidRPr="000855D4">
        <w:rPr>
          <w:iCs/>
        </w:rPr>
        <w:t xml:space="preserve">ESC noted that </w:t>
      </w:r>
      <w:r w:rsidR="000E766D" w:rsidRPr="000855D4">
        <w:rPr>
          <w:iCs/>
        </w:rPr>
        <w:t xml:space="preserve">the </w:t>
      </w:r>
      <w:r w:rsidR="004D0120" w:rsidRPr="000855D4">
        <w:rPr>
          <w:iCs/>
        </w:rPr>
        <w:t>probability of recurrence in SoC arm in the trial</w:t>
      </w:r>
      <w:r w:rsidR="000E766D" w:rsidRPr="000855D4">
        <w:rPr>
          <w:iCs/>
        </w:rPr>
        <w:t xml:space="preserve"> and the </w:t>
      </w:r>
      <w:r w:rsidR="004D0120" w:rsidRPr="000855D4">
        <w:rPr>
          <w:iCs/>
        </w:rPr>
        <w:t xml:space="preserve">model (26.6%) are higher than estimated using cross sectional Australian data (17.5%, assuming constant incidence of CDI over time). </w:t>
      </w:r>
      <w:r w:rsidR="005B40FD" w:rsidRPr="000855D4">
        <w:rPr>
          <w:iCs/>
        </w:rPr>
        <w:t>Furthermore, t</w:t>
      </w:r>
      <w:r w:rsidR="004D0120" w:rsidRPr="000855D4">
        <w:rPr>
          <w:iCs/>
        </w:rPr>
        <w:t xml:space="preserve">he </w:t>
      </w:r>
      <w:r w:rsidR="005B40FD" w:rsidRPr="000855D4">
        <w:rPr>
          <w:iCs/>
        </w:rPr>
        <w:t xml:space="preserve">ESC noted that the </w:t>
      </w:r>
      <w:r w:rsidR="004D0120" w:rsidRPr="000855D4">
        <w:rPr>
          <w:iCs/>
        </w:rPr>
        <w:t>model probabilities were estimated using a complex formula</w:t>
      </w:r>
      <w:r w:rsidR="005B40FD" w:rsidRPr="000855D4">
        <w:rPr>
          <w:iCs/>
        </w:rPr>
        <w:t xml:space="preserve"> and that it may be more appropriate to </w:t>
      </w:r>
      <w:r w:rsidR="004D0120" w:rsidRPr="000855D4">
        <w:rPr>
          <w:iCs/>
        </w:rPr>
        <w:t xml:space="preserve">use the time to event data to estimate a hazard ratio for recurrent CDI to represent the effect of </w:t>
      </w:r>
      <w:r w:rsidR="00BD2462" w:rsidRPr="000855D4">
        <w:rPr>
          <w:iCs/>
        </w:rPr>
        <w:t>b</w:t>
      </w:r>
      <w:r w:rsidR="004D0120" w:rsidRPr="000855D4">
        <w:rPr>
          <w:iCs/>
        </w:rPr>
        <w:t>ezlotoxumab, which could be applied to the best available estimate of the probability of recurrent CDI in an Australian population.</w:t>
      </w:r>
    </w:p>
    <w:p w:rsidR="004E7EF7" w:rsidRPr="000855D4" w:rsidRDefault="00F073E4" w:rsidP="002471D4">
      <w:pPr>
        <w:pStyle w:val="ListParagraph"/>
        <w:numPr>
          <w:ilvl w:val="1"/>
          <w:numId w:val="4"/>
        </w:numPr>
        <w:spacing w:before="0" w:after="120"/>
        <w:jc w:val="both"/>
        <w:rPr>
          <w:iCs/>
        </w:rPr>
      </w:pPr>
      <w:r w:rsidRPr="00D33A17">
        <w:rPr>
          <w:iCs/>
        </w:rPr>
        <w:t>The time horizon of the model also had a significant impact on the ICER</w:t>
      </w:r>
      <w:r w:rsidR="000661CF">
        <w:rPr>
          <w:iCs/>
        </w:rPr>
        <w:t xml:space="preserve">. </w:t>
      </w:r>
      <w:r w:rsidRPr="00D33A17">
        <w:rPr>
          <w:iCs/>
        </w:rPr>
        <w:t xml:space="preserve">The submission argued that a 10 year model </w:t>
      </w:r>
      <w:r w:rsidR="00977C9E" w:rsidRPr="00D33A17">
        <w:rPr>
          <w:iCs/>
        </w:rPr>
        <w:t>wa</w:t>
      </w:r>
      <w:r w:rsidRPr="00D33A17">
        <w:rPr>
          <w:iCs/>
        </w:rPr>
        <w:t xml:space="preserve">s appropriate to capture the </w:t>
      </w:r>
      <w:r w:rsidR="00B0279A" w:rsidRPr="00D33A17">
        <w:rPr>
          <w:iCs/>
        </w:rPr>
        <w:t>long-term</w:t>
      </w:r>
      <w:r w:rsidRPr="00D33A17">
        <w:rPr>
          <w:iCs/>
        </w:rPr>
        <w:t xml:space="preserve"> benefits of preventing CDI, however as noted above</w:t>
      </w:r>
      <w:r w:rsidR="00716A11" w:rsidRPr="00D33A17">
        <w:rPr>
          <w:iCs/>
        </w:rPr>
        <w:t>,</w:t>
      </w:r>
      <w:r w:rsidRPr="00D33A17">
        <w:rPr>
          <w:iCs/>
        </w:rPr>
        <w:t xml:space="preserve"> </w:t>
      </w:r>
      <w:r w:rsidR="00B0279A" w:rsidRPr="00D33A17">
        <w:rPr>
          <w:iCs/>
        </w:rPr>
        <w:t xml:space="preserve">given there was </w:t>
      </w:r>
      <w:r w:rsidRPr="00D33A17">
        <w:rPr>
          <w:iCs/>
        </w:rPr>
        <w:t>no clinical data beyond one year</w:t>
      </w:r>
      <w:r w:rsidR="00B0279A" w:rsidRPr="00D33A17">
        <w:rPr>
          <w:iCs/>
        </w:rPr>
        <w:t xml:space="preserve">, </w:t>
      </w:r>
      <w:r w:rsidR="00FB7EE3" w:rsidRPr="00D33A17">
        <w:rPr>
          <w:iCs/>
        </w:rPr>
        <w:t>a long time horizon would add considerably uncertainty to the modelled estimates</w:t>
      </w:r>
      <w:r w:rsidR="000661CF">
        <w:rPr>
          <w:iCs/>
        </w:rPr>
        <w:t xml:space="preserve">. </w:t>
      </w:r>
      <w:r w:rsidR="00FB7EE3" w:rsidRPr="00D33A17">
        <w:rPr>
          <w:iCs/>
        </w:rPr>
        <w:t>Based on the model presented, o</w:t>
      </w:r>
      <w:r w:rsidR="00FB7EE3" w:rsidRPr="00D33A17">
        <w:t>nly the first 150 days out of the 3646 days of the model were informed by outcomes from the MODIFY I and MODIFY II trials.</w:t>
      </w:r>
      <w:r w:rsidR="00EA207F">
        <w:t xml:space="preserve"> </w:t>
      </w:r>
      <w:r w:rsidR="0011452B" w:rsidRPr="000855D4">
        <w:rPr>
          <w:iCs/>
        </w:rPr>
        <w:t xml:space="preserve">The ESC </w:t>
      </w:r>
      <w:r w:rsidR="000E766D" w:rsidRPr="000855D4">
        <w:rPr>
          <w:iCs/>
        </w:rPr>
        <w:t>considered</w:t>
      </w:r>
      <w:r w:rsidR="0011452B" w:rsidRPr="000855D4">
        <w:rPr>
          <w:iCs/>
        </w:rPr>
        <w:t xml:space="preserve"> that i</w:t>
      </w:r>
      <w:r w:rsidR="004E7EF7" w:rsidRPr="000855D4">
        <w:rPr>
          <w:iCs/>
        </w:rPr>
        <w:t xml:space="preserve">f a mortality benefit is accepted, </w:t>
      </w:r>
      <w:r w:rsidR="000E766D" w:rsidRPr="000855D4">
        <w:rPr>
          <w:iCs/>
        </w:rPr>
        <w:t>a 10-year</w:t>
      </w:r>
      <w:r w:rsidR="004E7EF7" w:rsidRPr="000855D4">
        <w:rPr>
          <w:iCs/>
        </w:rPr>
        <w:t xml:space="preserve"> time horizon </w:t>
      </w:r>
      <w:r w:rsidR="000E766D" w:rsidRPr="000855D4">
        <w:rPr>
          <w:iCs/>
        </w:rPr>
        <w:t xml:space="preserve">may be reasonable </w:t>
      </w:r>
      <w:r w:rsidR="004E7EF7" w:rsidRPr="000855D4">
        <w:rPr>
          <w:iCs/>
        </w:rPr>
        <w:t xml:space="preserve">to capture the longer-term benefits of reduced mortality. </w:t>
      </w:r>
      <w:r w:rsidR="000E766D" w:rsidRPr="000855D4">
        <w:rPr>
          <w:iCs/>
        </w:rPr>
        <w:t>However, the ESC</w:t>
      </w:r>
      <w:r w:rsidR="0055020E">
        <w:rPr>
          <w:iCs/>
        </w:rPr>
        <w:t xml:space="preserve"> </w:t>
      </w:r>
      <w:r w:rsidR="003B653B">
        <w:rPr>
          <w:iCs/>
        </w:rPr>
        <w:t>was of the view</w:t>
      </w:r>
      <w:r w:rsidR="000E766D" w:rsidRPr="000855D4">
        <w:rPr>
          <w:iCs/>
        </w:rPr>
        <w:t xml:space="preserve"> that </w:t>
      </w:r>
      <w:r w:rsidR="004E7EF7" w:rsidRPr="000855D4">
        <w:rPr>
          <w:iCs/>
        </w:rPr>
        <w:t>the magnitude of the mortality benefit</w:t>
      </w:r>
      <w:r w:rsidR="000E766D" w:rsidRPr="000855D4">
        <w:rPr>
          <w:iCs/>
        </w:rPr>
        <w:t xml:space="preserve"> was overestimated</w:t>
      </w:r>
      <w:r w:rsidR="004E7EF7" w:rsidRPr="000855D4">
        <w:rPr>
          <w:iCs/>
        </w:rPr>
        <w:t>.</w:t>
      </w:r>
      <w:r w:rsidR="006C4BE6">
        <w:rPr>
          <w:iCs/>
        </w:rPr>
        <w:t xml:space="preserve"> </w:t>
      </w:r>
      <w:r w:rsidR="003B653B">
        <w:rPr>
          <w:iCs/>
        </w:rPr>
        <w:t>The PBAC noted that during the sponsor hearing, the presenting clinician indicated that there was a variation in the mortality rates globally. The clinician was also of the view that although Australian-specific mortality data was not very rigorous, mortality rates appeared lower in Australia compared to other countries, which may be associated with the lower incidence of the highly virulent 027 ribotype. The PBAC therefore agreed with the ESC that the mortality rates were overestimated in the model.</w:t>
      </w:r>
    </w:p>
    <w:p w:rsidR="008550D5" w:rsidRPr="000855D4" w:rsidRDefault="008550D5" w:rsidP="002471D4">
      <w:pPr>
        <w:pStyle w:val="ListParagraph"/>
        <w:numPr>
          <w:ilvl w:val="1"/>
          <w:numId w:val="4"/>
        </w:numPr>
        <w:spacing w:before="0" w:after="120"/>
        <w:jc w:val="both"/>
      </w:pPr>
      <w:r w:rsidRPr="000855D4">
        <w:rPr>
          <w:iCs/>
        </w:rPr>
        <w:t xml:space="preserve">The </w:t>
      </w:r>
      <w:r w:rsidR="0055020E">
        <w:rPr>
          <w:iCs/>
        </w:rPr>
        <w:t xml:space="preserve">PBAC and </w:t>
      </w:r>
      <w:r w:rsidRPr="000855D4">
        <w:rPr>
          <w:iCs/>
        </w:rPr>
        <w:t xml:space="preserve">ESC noted that the submission did not present analyses of repeat dosing, which appears to be likely in practice. </w:t>
      </w:r>
    </w:p>
    <w:p w:rsidR="00606BDE" w:rsidRPr="000C297F" w:rsidRDefault="00F073E4" w:rsidP="002471D4">
      <w:pPr>
        <w:pStyle w:val="ListParagraph"/>
        <w:numPr>
          <w:ilvl w:val="1"/>
          <w:numId w:val="4"/>
        </w:numPr>
        <w:spacing w:before="0" w:after="120"/>
        <w:jc w:val="both"/>
      </w:pPr>
      <w:r w:rsidRPr="00D33A17">
        <w:rPr>
          <w:iCs/>
        </w:rPr>
        <w:t xml:space="preserve">While the modelled economic evaluation (based on MODIFY I and </w:t>
      </w:r>
      <w:r w:rsidR="00FB7EE3" w:rsidRPr="00D33A17">
        <w:rPr>
          <w:iCs/>
        </w:rPr>
        <w:t xml:space="preserve">MODIFY </w:t>
      </w:r>
      <w:r w:rsidRPr="00D33A17">
        <w:rPr>
          <w:iCs/>
        </w:rPr>
        <w:t xml:space="preserve">II) was consistent with the requested restriction, there were inconsistencies with the submission’s proposed clinical management </w:t>
      </w:r>
      <w:r w:rsidRPr="00D33A17">
        <w:t>algorithm</w:t>
      </w:r>
      <w:r w:rsidR="000661CF">
        <w:rPr>
          <w:iCs/>
        </w:rPr>
        <w:t xml:space="preserve">. </w:t>
      </w:r>
      <w:r w:rsidRPr="00D33A17">
        <w:rPr>
          <w:iCs/>
        </w:rPr>
        <w:t>For example, the model assumed patients will receive bezlotoxumab once only</w:t>
      </w:r>
      <w:r w:rsidR="00111E00">
        <w:rPr>
          <w:iCs/>
        </w:rPr>
        <w:t>. While the PSCR proposed inclusion of a note in the restriction that PBS su</w:t>
      </w:r>
      <w:r w:rsidR="00C11DF3">
        <w:rPr>
          <w:iCs/>
        </w:rPr>
        <w:t>bsidy was for a single use in a patient’s</w:t>
      </w:r>
      <w:r w:rsidR="00111E00">
        <w:rPr>
          <w:iCs/>
        </w:rPr>
        <w:t xml:space="preserve"> lifetime, the risk of additional use for subsequent recurrence</w:t>
      </w:r>
      <w:r w:rsidR="00C11DF3">
        <w:rPr>
          <w:iCs/>
        </w:rPr>
        <w:t>,</w:t>
      </w:r>
      <w:r w:rsidR="00111E00">
        <w:rPr>
          <w:iCs/>
        </w:rPr>
        <w:t xml:space="preserve"> or </w:t>
      </w:r>
      <w:r w:rsidR="00C11DF3">
        <w:rPr>
          <w:iCs/>
        </w:rPr>
        <w:t xml:space="preserve">new </w:t>
      </w:r>
      <w:r w:rsidR="00111E00">
        <w:rPr>
          <w:iCs/>
        </w:rPr>
        <w:t>infections remained high</w:t>
      </w:r>
      <w:r w:rsidRPr="00D33A17">
        <w:rPr>
          <w:iCs/>
        </w:rPr>
        <w:t>.</w:t>
      </w:r>
      <w:r w:rsidR="00CA252C" w:rsidRPr="00D33A17">
        <w:rPr>
          <w:iCs/>
        </w:rPr>
        <w:t xml:space="preserve"> </w:t>
      </w:r>
      <w:r w:rsidR="003B653B">
        <w:rPr>
          <w:iCs/>
        </w:rPr>
        <w:t>The pre-PBAC response argued that i</w:t>
      </w:r>
      <w:r w:rsidR="003B653B" w:rsidRPr="003B653B">
        <w:rPr>
          <w:iCs/>
        </w:rPr>
        <w:t>f a s</w:t>
      </w:r>
      <w:r w:rsidR="003B653B">
        <w:rPr>
          <w:iCs/>
        </w:rPr>
        <w:t>ubsequent</w:t>
      </w:r>
      <w:r w:rsidR="003B653B" w:rsidRPr="003B653B">
        <w:rPr>
          <w:iCs/>
        </w:rPr>
        <w:t xml:space="preserve"> </w:t>
      </w:r>
      <w:r w:rsidR="003B653B">
        <w:rPr>
          <w:iCs/>
        </w:rPr>
        <w:t>CDI</w:t>
      </w:r>
      <w:r w:rsidR="003B653B" w:rsidRPr="003B653B">
        <w:rPr>
          <w:iCs/>
        </w:rPr>
        <w:t xml:space="preserve"> were to occur within a patient’s lifetime, the efficacy of bezlotoxumab</w:t>
      </w:r>
      <w:r w:rsidR="003B653B">
        <w:rPr>
          <w:iCs/>
        </w:rPr>
        <w:t xml:space="preserve"> </w:t>
      </w:r>
      <w:r w:rsidR="00C11DF3">
        <w:rPr>
          <w:iCs/>
        </w:rPr>
        <w:t xml:space="preserve">in this repeat use </w:t>
      </w:r>
      <w:r w:rsidR="003B653B">
        <w:rPr>
          <w:iCs/>
        </w:rPr>
        <w:t>would be</w:t>
      </w:r>
      <w:r w:rsidR="003B653B" w:rsidRPr="003B653B">
        <w:rPr>
          <w:iCs/>
        </w:rPr>
        <w:t xml:space="preserve"> expected to be the same</w:t>
      </w:r>
      <w:r w:rsidR="003B653B">
        <w:rPr>
          <w:iCs/>
        </w:rPr>
        <w:t>,</w:t>
      </w:r>
      <w:r w:rsidR="003B653B" w:rsidRPr="003B653B">
        <w:rPr>
          <w:iCs/>
        </w:rPr>
        <w:t xml:space="preserve"> </w:t>
      </w:r>
      <w:r w:rsidR="003B653B">
        <w:rPr>
          <w:iCs/>
        </w:rPr>
        <w:t>and</w:t>
      </w:r>
      <w:r w:rsidR="003B653B" w:rsidRPr="003B653B">
        <w:rPr>
          <w:iCs/>
        </w:rPr>
        <w:t xml:space="preserve"> it would </w:t>
      </w:r>
      <w:r w:rsidR="00111E00">
        <w:rPr>
          <w:iCs/>
        </w:rPr>
        <w:t xml:space="preserve">therefore </w:t>
      </w:r>
      <w:r w:rsidR="003B653B" w:rsidRPr="003B653B">
        <w:rPr>
          <w:iCs/>
        </w:rPr>
        <w:t>be reasonable to assume the same ICER.</w:t>
      </w:r>
      <w:r w:rsidR="00CA252C" w:rsidRPr="00D33A17">
        <w:rPr>
          <w:iCs/>
        </w:rPr>
        <w:t xml:space="preserve"> </w:t>
      </w:r>
      <w:r w:rsidR="003B653B">
        <w:rPr>
          <w:iCs/>
        </w:rPr>
        <w:t xml:space="preserve">The PBAC </w:t>
      </w:r>
      <w:r w:rsidR="00111E00">
        <w:rPr>
          <w:iCs/>
        </w:rPr>
        <w:t>considered</w:t>
      </w:r>
      <w:r w:rsidR="00A6147E">
        <w:rPr>
          <w:iCs/>
        </w:rPr>
        <w:t xml:space="preserve"> that</w:t>
      </w:r>
      <w:r w:rsidR="003B653B">
        <w:rPr>
          <w:iCs/>
        </w:rPr>
        <w:t xml:space="preserve"> this assumption</w:t>
      </w:r>
      <w:r w:rsidR="00111E00">
        <w:rPr>
          <w:iCs/>
        </w:rPr>
        <w:t xml:space="preserve"> was incorrect</w:t>
      </w:r>
      <w:r w:rsidR="00C11DF3">
        <w:rPr>
          <w:iCs/>
        </w:rPr>
        <w:t xml:space="preserve"> because</w:t>
      </w:r>
      <w:r w:rsidR="00111E00">
        <w:rPr>
          <w:iCs/>
        </w:rPr>
        <w:t xml:space="preserve"> </w:t>
      </w:r>
      <w:r w:rsidR="00C11DF3">
        <w:rPr>
          <w:iCs/>
        </w:rPr>
        <w:t>this assumes</w:t>
      </w:r>
      <w:r w:rsidR="00111E00">
        <w:rPr>
          <w:iCs/>
        </w:rPr>
        <w:t xml:space="preserve"> </w:t>
      </w:r>
      <w:r w:rsidR="003B653B">
        <w:rPr>
          <w:iCs/>
        </w:rPr>
        <w:t xml:space="preserve">all subsequent recurrence or new infections </w:t>
      </w:r>
      <w:r w:rsidR="00C11DF3">
        <w:rPr>
          <w:iCs/>
        </w:rPr>
        <w:t>occur more than 10 </w:t>
      </w:r>
      <w:r w:rsidR="00111E00">
        <w:rPr>
          <w:iCs/>
        </w:rPr>
        <w:t>years after the initial use of bezlotoxumab</w:t>
      </w:r>
      <w:r w:rsidR="00C11DF3">
        <w:rPr>
          <w:iCs/>
        </w:rPr>
        <w:t>, which was implausible</w:t>
      </w:r>
      <w:r w:rsidR="00111E00">
        <w:rPr>
          <w:iCs/>
        </w:rPr>
        <w:t>. The PBAC also noted that a</w:t>
      </w:r>
      <w:r w:rsidR="00321268" w:rsidRPr="00D33A17">
        <w:rPr>
          <w:iCs/>
        </w:rPr>
        <w:t xml:space="preserve"> multivariate analysis</w:t>
      </w:r>
      <w:r w:rsidR="00C4393C" w:rsidRPr="00D33A17">
        <w:rPr>
          <w:iCs/>
        </w:rPr>
        <w:t xml:space="preserve"> using data from the whole trial population and</w:t>
      </w:r>
      <w:r w:rsidR="00321268" w:rsidRPr="00D33A17">
        <w:rPr>
          <w:iCs/>
        </w:rPr>
        <w:t xml:space="preserve"> </w:t>
      </w:r>
      <w:r w:rsidR="006D33F4" w:rsidRPr="00D33A17">
        <w:rPr>
          <w:iCs/>
        </w:rPr>
        <w:t>assuming a</w:t>
      </w:r>
      <w:r w:rsidR="00321268" w:rsidRPr="00D33A17">
        <w:rPr>
          <w:iCs/>
        </w:rPr>
        <w:t xml:space="preserve"> time horizon of 5 years, allowing for repeat dosing in CDI recurrence and </w:t>
      </w:r>
      <w:r w:rsidR="006D33F4" w:rsidRPr="00D33A17">
        <w:rPr>
          <w:iCs/>
        </w:rPr>
        <w:t xml:space="preserve">restricting use to </w:t>
      </w:r>
      <w:r w:rsidR="00321268" w:rsidRPr="00D33A17">
        <w:rPr>
          <w:iCs/>
        </w:rPr>
        <w:t>severe CDI only (assum</w:t>
      </w:r>
      <w:r w:rsidR="006D33F4" w:rsidRPr="00D33A17">
        <w:rPr>
          <w:iCs/>
        </w:rPr>
        <w:t>ing</w:t>
      </w:r>
      <w:r w:rsidR="00321268" w:rsidRPr="00D33A17">
        <w:rPr>
          <w:iCs/>
        </w:rPr>
        <w:t xml:space="preserve"> 100% of patients enter model with severe CDI) yields an ICER of </w:t>
      </w:r>
      <w:r w:rsidR="00564912" w:rsidRPr="00AA338D">
        <w:rPr>
          <w:rFonts w:cs="Times New Roman"/>
          <w:szCs w:val="24"/>
        </w:rPr>
        <w:t>$105,000/QALY – $200,000/QALY</w:t>
      </w:r>
      <w:r w:rsidR="00564912" w:rsidRPr="00D33A17" w:rsidDel="00564912">
        <w:rPr>
          <w:iCs/>
        </w:rPr>
        <w:t xml:space="preserve"> </w:t>
      </w:r>
      <w:r w:rsidR="00321268" w:rsidRPr="00D33A17">
        <w:rPr>
          <w:iCs/>
        </w:rPr>
        <w:t xml:space="preserve">compared to the base case of </w:t>
      </w:r>
      <w:r w:rsidR="00564912" w:rsidRPr="00AA338D">
        <w:rPr>
          <w:rFonts w:cs="Times New Roman"/>
          <w:szCs w:val="24"/>
        </w:rPr>
        <w:t>$45,000/QALY – $75,000/QALY</w:t>
      </w:r>
      <w:r w:rsidR="00EA207F">
        <w:rPr>
          <w:iCs/>
        </w:rPr>
        <w:t>,</w:t>
      </w:r>
      <w:r w:rsidR="00BF1569" w:rsidRPr="00D33A17">
        <w:rPr>
          <w:iCs/>
        </w:rPr>
        <w:t xml:space="preserve"> </w:t>
      </w:r>
      <w:r w:rsidR="00EA207F">
        <w:rPr>
          <w:iCs/>
        </w:rPr>
        <w:t>i</w:t>
      </w:r>
      <w:r w:rsidR="00BF1569" w:rsidRPr="00D33A17">
        <w:rPr>
          <w:iCs/>
        </w:rPr>
        <w:t>llustrating the sensitivity of the model to these assumptions.</w:t>
      </w:r>
    </w:p>
    <w:p w:rsidR="008550D5" w:rsidRPr="000855D4" w:rsidRDefault="00606BDE" w:rsidP="002471D4">
      <w:pPr>
        <w:pStyle w:val="ListParagraph"/>
        <w:numPr>
          <w:ilvl w:val="1"/>
          <w:numId w:val="4"/>
        </w:numPr>
        <w:jc w:val="both"/>
        <w:rPr>
          <w:iCs/>
        </w:rPr>
      </w:pPr>
      <w:r w:rsidRPr="000855D4">
        <w:rPr>
          <w:iCs/>
        </w:rPr>
        <w:t xml:space="preserve">The ESC noted that the </w:t>
      </w:r>
      <w:r w:rsidR="008550D5" w:rsidRPr="000855D4">
        <w:rPr>
          <w:iCs/>
        </w:rPr>
        <w:t xml:space="preserve">model </w:t>
      </w:r>
      <w:r w:rsidRPr="000855D4">
        <w:rPr>
          <w:iCs/>
        </w:rPr>
        <w:t xml:space="preserve">did not allow for </w:t>
      </w:r>
      <w:r w:rsidR="000E766D" w:rsidRPr="000855D4">
        <w:rPr>
          <w:iCs/>
        </w:rPr>
        <w:t xml:space="preserve">sensitivity analysis on </w:t>
      </w:r>
      <w:r w:rsidR="00EA207F" w:rsidRPr="000855D4">
        <w:rPr>
          <w:iCs/>
        </w:rPr>
        <w:t xml:space="preserve">reduced mortality risk, </w:t>
      </w:r>
      <w:r w:rsidR="000E766D" w:rsidRPr="000855D4">
        <w:rPr>
          <w:iCs/>
        </w:rPr>
        <w:t xml:space="preserve">reduced mortality RR, and reduced recurrent CDI risk, which would be informative. </w:t>
      </w:r>
    </w:p>
    <w:p w:rsidR="00606BDE" w:rsidRPr="000855D4" w:rsidRDefault="00EA207F" w:rsidP="002471D4">
      <w:pPr>
        <w:pStyle w:val="ListParagraph"/>
        <w:numPr>
          <w:ilvl w:val="1"/>
          <w:numId w:val="4"/>
        </w:numPr>
        <w:jc w:val="both"/>
        <w:rPr>
          <w:iCs/>
        </w:rPr>
      </w:pPr>
      <w:r w:rsidRPr="000855D4">
        <w:rPr>
          <w:iCs/>
        </w:rPr>
        <w:t xml:space="preserve">The </w:t>
      </w:r>
      <w:r w:rsidR="00FF021B">
        <w:rPr>
          <w:iCs/>
        </w:rPr>
        <w:t xml:space="preserve">PBAC </w:t>
      </w:r>
      <w:r w:rsidRPr="000855D4">
        <w:rPr>
          <w:iCs/>
        </w:rPr>
        <w:t xml:space="preserve">noted that the model did not take into account other </w:t>
      </w:r>
      <w:r w:rsidR="00111E00">
        <w:rPr>
          <w:iCs/>
        </w:rPr>
        <w:t xml:space="preserve">important </w:t>
      </w:r>
      <w:r w:rsidRPr="000855D4">
        <w:rPr>
          <w:iCs/>
        </w:rPr>
        <w:t xml:space="preserve">patient and health-system relevant benefits, such as a reduction in hospital bed </w:t>
      </w:r>
      <w:r w:rsidR="000C297F" w:rsidRPr="000855D4">
        <w:rPr>
          <w:iCs/>
        </w:rPr>
        <w:t>days, which</w:t>
      </w:r>
      <w:r w:rsidRPr="000855D4">
        <w:rPr>
          <w:iCs/>
        </w:rPr>
        <w:t xml:space="preserve"> may be realised as a result of the reduction in CDI recurrence.</w:t>
      </w:r>
      <w:r w:rsidR="00C11DF3">
        <w:rPr>
          <w:iCs/>
        </w:rPr>
        <w:t xml:space="preserve"> The PBAC also noted that </w:t>
      </w:r>
      <w:r w:rsidR="00111E00">
        <w:rPr>
          <w:iCs/>
        </w:rPr>
        <w:t>the sponsor hearing</w:t>
      </w:r>
      <w:r w:rsidR="00C11DF3">
        <w:rPr>
          <w:iCs/>
        </w:rPr>
        <w:t xml:space="preserve"> presented evidence </w:t>
      </w:r>
      <w:r w:rsidR="00111E00">
        <w:rPr>
          <w:iCs/>
        </w:rPr>
        <w:t>that CDI had a considerable impact on quality of life, which is a relevant consideration.</w:t>
      </w:r>
      <w:r w:rsidR="00111E00">
        <w:rPr>
          <w:rStyle w:val="FootnoteReference"/>
          <w:iCs/>
        </w:rPr>
        <w:footnoteReference w:id="6"/>
      </w:r>
    </w:p>
    <w:p w:rsidR="00F073E4" w:rsidRPr="00D33A17" w:rsidRDefault="00F073E4" w:rsidP="00F073E4">
      <w:pPr>
        <w:pStyle w:val="Heading2"/>
        <w:rPr>
          <w:i w:val="0"/>
        </w:rPr>
      </w:pPr>
      <w:bookmarkStart w:id="24" w:name="_Toc413139283"/>
      <w:bookmarkStart w:id="25" w:name="_Toc492999818"/>
      <w:r w:rsidRPr="00D33A17">
        <w:rPr>
          <w:i w:val="0"/>
        </w:rPr>
        <w:t>Drug cost/patient</w:t>
      </w:r>
      <w:bookmarkEnd w:id="24"/>
      <w:r w:rsidRPr="00D33A17">
        <w:rPr>
          <w:i w:val="0"/>
        </w:rPr>
        <w:t>/treatment: $</w:t>
      </w:r>
      <w:bookmarkEnd w:id="25"/>
      <w:r w:rsidR="007605FE">
        <w:rPr>
          <w:i w:val="0"/>
          <w:noProof/>
          <w:color w:val="000000"/>
          <w:highlight w:val="black"/>
        </w:rPr>
        <w:t>'''''''''''''''''</w:t>
      </w:r>
    </w:p>
    <w:p w:rsidR="00F073E4" w:rsidRPr="00D33A17" w:rsidRDefault="00D67568" w:rsidP="002471D4">
      <w:pPr>
        <w:pStyle w:val="ListParagraph"/>
        <w:numPr>
          <w:ilvl w:val="1"/>
          <w:numId w:val="4"/>
        </w:numPr>
        <w:spacing w:before="0" w:after="120"/>
        <w:jc w:val="both"/>
      </w:pPr>
      <w:r w:rsidRPr="00D33A17">
        <w:t>The a</w:t>
      </w:r>
      <w:r w:rsidR="00F073E4" w:rsidRPr="00D33A17">
        <w:t xml:space="preserve">verage cost of bezlotoxumab </w:t>
      </w:r>
      <w:r w:rsidR="00493934" w:rsidRPr="00D33A17">
        <w:t>wa</w:t>
      </w:r>
      <w:r w:rsidR="00F073E4" w:rsidRPr="00D33A17">
        <w:t>s assumed to be $</w:t>
      </w:r>
      <w:r w:rsidR="007605FE">
        <w:rPr>
          <w:noProof/>
          <w:color w:val="000000"/>
          <w:highlight w:val="black"/>
        </w:rPr>
        <w:t>''''''''''''''''''</w:t>
      </w:r>
      <w:r w:rsidR="00F073E4" w:rsidRPr="00D33A17">
        <w:t xml:space="preserve">, </w:t>
      </w:r>
      <w:r w:rsidRPr="00D33A17">
        <w:t xml:space="preserve">based on </w:t>
      </w:r>
      <w:r w:rsidR="00F073E4" w:rsidRPr="00D33A17">
        <w:t>the DPMQ (Private hospital) for 1 vial of 1,000mg</w:t>
      </w:r>
      <w:r w:rsidR="007E5ADA" w:rsidRPr="00D33A17">
        <w:t xml:space="preserve"> and</w:t>
      </w:r>
      <w:r w:rsidR="00493934" w:rsidRPr="00D33A17">
        <w:t xml:space="preserve"> assuming </w:t>
      </w:r>
      <w:r w:rsidR="00F073E4" w:rsidRPr="00D41AB0">
        <w:t>10</w:t>
      </w:r>
      <w:r w:rsidR="00F073E4" w:rsidRPr="00D33A17">
        <w:t xml:space="preserve">% of the population </w:t>
      </w:r>
      <w:r w:rsidRPr="00D33A17">
        <w:t xml:space="preserve">will require </w:t>
      </w:r>
      <w:r w:rsidR="00F073E4" w:rsidRPr="00D33A17">
        <w:t xml:space="preserve">two vials (i.e. weight &gt;100kg but </w:t>
      </w:r>
      <w:r w:rsidR="00F073E4" w:rsidRPr="00D33A17">
        <w:rPr>
          <w:rFonts w:ascii="Gulim" w:eastAsia="Gulim" w:hAnsi="Gulim"/>
        </w:rPr>
        <w:t>≤</w:t>
      </w:r>
      <w:r w:rsidR="00F073E4" w:rsidRPr="00D33A17">
        <w:t>200kg)</w:t>
      </w:r>
      <w:r w:rsidRPr="00D33A17">
        <w:t>;</w:t>
      </w:r>
      <w:r w:rsidR="00F073E4" w:rsidRPr="00D33A17">
        <w:t xml:space="preserve"> and that patients will only use one dose per </w:t>
      </w:r>
      <w:r w:rsidRPr="00D33A17">
        <w:t xml:space="preserve">course of </w:t>
      </w:r>
      <w:r w:rsidR="00F073E4" w:rsidRPr="00D33A17">
        <w:t>treatment</w:t>
      </w:r>
      <w:r w:rsidR="000661CF">
        <w:t xml:space="preserve">. </w:t>
      </w:r>
      <w:r w:rsidR="00F073E4" w:rsidRPr="00D33A17">
        <w:t xml:space="preserve">The cost for the comparator </w:t>
      </w:r>
      <w:r w:rsidR="00493934" w:rsidRPr="00D33A17">
        <w:t>wa</w:t>
      </w:r>
      <w:r w:rsidR="00F073E4" w:rsidRPr="00D33A17">
        <w:t>s $0</w:t>
      </w:r>
      <w:r w:rsidRPr="00D33A17">
        <w:t xml:space="preserve"> because i</w:t>
      </w:r>
      <w:r w:rsidR="00F073E4" w:rsidRPr="00D33A17">
        <w:t xml:space="preserve">t </w:t>
      </w:r>
      <w:r w:rsidR="00BF1569" w:rsidRPr="00D33A17">
        <w:t>wa</w:t>
      </w:r>
      <w:r w:rsidR="00F073E4" w:rsidRPr="00D33A17">
        <w:t>s assumed that the cost for SoC is unchanged with bezlotoxumab treatment</w:t>
      </w:r>
      <w:r w:rsidR="00454270" w:rsidRPr="00D33A17">
        <w:t>.</w:t>
      </w:r>
    </w:p>
    <w:p w:rsidR="00F073E4" w:rsidRPr="00D33A17" w:rsidRDefault="00F073E4" w:rsidP="00F073E4">
      <w:pPr>
        <w:pStyle w:val="Heading2"/>
        <w:rPr>
          <w:i w:val="0"/>
        </w:rPr>
      </w:pPr>
      <w:bookmarkStart w:id="26" w:name="_Toc413139284"/>
      <w:bookmarkStart w:id="27" w:name="_Toc492999819"/>
      <w:r w:rsidRPr="00D33A17">
        <w:rPr>
          <w:i w:val="0"/>
        </w:rPr>
        <w:t>Estimated PBS usage &amp; financial implications</w:t>
      </w:r>
      <w:bookmarkEnd w:id="26"/>
      <w:bookmarkEnd w:id="27"/>
    </w:p>
    <w:p w:rsidR="00F7766A" w:rsidRPr="00F7766A" w:rsidRDefault="00F7766A" w:rsidP="002471D4">
      <w:pPr>
        <w:pStyle w:val="ListParagraph"/>
        <w:numPr>
          <w:ilvl w:val="1"/>
          <w:numId w:val="4"/>
        </w:numPr>
        <w:spacing w:before="0" w:after="120"/>
        <w:jc w:val="both"/>
      </w:pPr>
      <w:r w:rsidRPr="00571FD3">
        <w:t xml:space="preserve">This submission </w:t>
      </w:r>
      <w:r w:rsidR="00C11DF3" w:rsidRPr="00571FD3">
        <w:t>was</w:t>
      </w:r>
      <w:r w:rsidRPr="00571FD3">
        <w:t xml:space="preserve"> considered by DUSC</w:t>
      </w:r>
      <w:r w:rsidR="000661CF">
        <w:t xml:space="preserve">. </w:t>
      </w:r>
      <w:r w:rsidRPr="00F7766A">
        <w:t>The submission took an epidemiological approach to estimate the number of CDI patients eligible for bezlotoxumab treatment</w:t>
      </w:r>
      <w:r w:rsidR="000661CF">
        <w:t xml:space="preserve">. </w:t>
      </w:r>
      <w:r w:rsidRPr="00F7766A">
        <w:t>In its estimates, the submission assumed that bezlotoxumab will most likely be used where vancomycin is indicated (generally in severe or recurrent CDI), therefore the number of prescriptions required for bezlotoxumab was based on the number of PBS prescriptions for oral vancomycin (for CDI)</w:t>
      </w:r>
      <w:r w:rsidR="000661CF">
        <w:t xml:space="preserve">. </w:t>
      </w:r>
      <w:r w:rsidRPr="00F7766A">
        <w:t xml:space="preserve">The submission then assumed that the estimated number of patients using vancomycin would form </w:t>
      </w:r>
      <w:r w:rsidRPr="00D41AB0">
        <w:t>90</w:t>
      </w:r>
      <w:r w:rsidRPr="00F7766A">
        <w:t xml:space="preserve">% of the overall eligible population, with another </w:t>
      </w:r>
      <w:r w:rsidRPr="00D41AB0">
        <w:t>10</w:t>
      </w:r>
      <w:r w:rsidRPr="00F7766A">
        <w:t xml:space="preserve">% of the overall usage coming from use alongside metronidazole, maintaining a ratio of </w:t>
      </w:r>
      <w:r w:rsidRPr="00D41AB0">
        <w:t>1</w:t>
      </w:r>
      <w:r w:rsidRPr="00F7766A">
        <w:t>:</w:t>
      </w:r>
      <w:r w:rsidRPr="00D41AB0">
        <w:t>9</w:t>
      </w:r>
      <w:r w:rsidRPr="00F7766A">
        <w:t xml:space="preserve"> metronidazole to vancomycin in each year of the financial estimates</w:t>
      </w:r>
      <w:r w:rsidR="000661CF">
        <w:t xml:space="preserve">. </w:t>
      </w:r>
      <w:r w:rsidRPr="00F7766A">
        <w:rPr>
          <w:iCs/>
        </w:rPr>
        <w:t xml:space="preserve">This was likely an underestimate as the ratio of treatment with oral metronidazole to oral vancomycin based on the MODIFY I and MODIFY II was closer to </w:t>
      </w:r>
      <w:r w:rsidRPr="00D41AB0">
        <w:rPr>
          <w:iCs/>
        </w:rPr>
        <w:t>1</w:t>
      </w:r>
      <w:r w:rsidRPr="00F7766A">
        <w:rPr>
          <w:iCs/>
        </w:rPr>
        <w:t>:</w:t>
      </w:r>
      <w:r w:rsidRPr="00D41AB0">
        <w:rPr>
          <w:iCs/>
        </w:rPr>
        <w:t>1</w:t>
      </w:r>
      <w:r w:rsidR="000661CF">
        <w:rPr>
          <w:iCs/>
        </w:rPr>
        <w:t xml:space="preserve">. </w:t>
      </w:r>
      <w:r w:rsidRPr="00F7766A">
        <w:rPr>
          <w:iCs/>
        </w:rPr>
        <w:t xml:space="preserve">Assuming </w:t>
      </w:r>
      <w:r w:rsidRPr="00D41AB0">
        <w:rPr>
          <w:iCs/>
        </w:rPr>
        <w:t>1</w:t>
      </w:r>
      <w:r w:rsidRPr="00F7766A">
        <w:rPr>
          <w:iCs/>
        </w:rPr>
        <w:t>:</w:t>
      </w:r>
      <w:r w:rsidRPr="00D41AB0">
        <w:rPr>
          <w:iCs/>
        </w:rPr>
        <w:t>1</w:t>
      </w:r>
      <w:r w:rsidRPr="00F7766A">
        <w:rPr>
          <w:iCs/>
        </w:rPr>
        <w:t xml:space="preserve"> metronidazole to vancomycin increased the cost to PBS considerably (see Table 1</w:t>
      </w:r>
      <w:r w:rsidR="00E428AC">
        <w:rPr>
          <w:iCs/>
        </w:rPr>
        <w:t>4</w:t>
      </w:r>
      <w:r w:rsidRPr="00F7766A">
        <w:rPr>
          <w:iCs/>
        </w:rPr>
        <w:t xml:space="preserve"> below). </w:t>
      </w:r>
    </w:p>
    <w:p w:rsidR="00F7766A" w:rsidRPr="00F7766A" w:rsidRDefault="00F7766A" w:rsidP="002471D4">
      <w:pPr>
        <w:pStyle w:val="ListParagraph"/>
        <w:numPr>
          <w:ilvl w:val="1"/>
          <w:numId w:val="4"/>
        </w:numPr>
        <w:spacing w:before="0" w:after="120"/>
        <w:jc w:val="both"/>
        <w:rPr>
          <w:iCs/>
        </w:rPr>
      </w:pPr>
      <w:r w:rsidRPr="00F7766A">
        <w:rPr>
          <w:iCs/>
        </w:rPr>
        <w:t>The submission did not account for administration costs associated with bezlotoxumab in its financial estimates</w:t>
      </w:r>
      <w:r w:rsidR="000661CF">
        <w:rPr>
          <w:iCs/>
        </w:rPr>
        <w:t xml:space="preserve">. </w:t>
      </w:r>
      <w:r w:rsidRPr="00F7766A">
        <w:rPr>
          <w:iCs/>
        </w:rPr>
        <w:t>This cost was included during the evaluation and is presented in Table 1</w:t>
      </w:r>
      <w:r w:rsidR="00E428AC">
        <w:rPr>
          <w:iCs/>
        </w:rPr>
        <w:t>3</w:t>
      </w:r>
      <w:r w:rsidRPr="00F7766A">
        <w:rPr>
          <w:iCs/>
        </w:rPr>
        <w:t xml:space="preserve"> below.</w:t>
      </w:r>
    </w:p>
    <w:p w:rsidR="00F7766A" w:rsidRPr="00936AB8" w:rsidRDefault="00F7766A" w:rsidP="00F7766A">
      <w:pPr>
        <w:pStyle w:val="TableHeading0"/>
        <w:rPr>
          <w:b w:val="0"/>
          <w:bCs/>
          <w:szCs w:val="20"/>
        </w:rPr>
      </w:pPr>
      <w:r w:rsidRPr="00936AB8">
        <w:t>Table 1</w:t>
      </w:r>
      <w:r w:rsidR="00E428AC">
        <w:t>3</w:t>
      </w:r>
      <w:r w:rsidRPr="00936AB8">
        <w:t xml:space="preserve">: </w:t>
      </w:r>
      <w:r w:rsidRPr="00936AB8">
        <w:rPr>
          <w:bCs/>
          <w:szCs w:val="20"/>
        </w:rPr>
        <w:t>Summary of estimated financial impact and change in prescription numbers for listing bezlotoxumab</w:t>
      </w:r>
    </w:p>
    <w:tbl>
      <w:tblPr>
        <w:tblStyle w:val="TableGrid"/>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Summary of estimated financial impact and change in prescription numbers for listing bezlotoxumab"/>
      </w:tblPr>
      <w:tblGrid>
        <w:gridCol w:w="3294"/>
        <w:gridCol w:w="1275"/>
        <w:gridCol w:w="993"/>
        <w:gridCol w:w="992"/>
        <w:gridCol w:w="992"/>
        <w:gridCol w:w="992"/>
        <w:gridCol w:w="993"/>
      </w:tblGrid>
      <w:tr w:rsidR="000B29BF" w:rsidRPr="00936AB8" w:rsidTr="006F0AAB">
        <w:trPr>
          <w:cnfStyle w:val="100000000000" w:firstRow="1" w:lastRow="0" w:firstColumn="0" w:lastColumn="0" w:oddVBand="0" w:evenVBand="0" w:oddHBand="0" w:evenHBand="0" w:firstRowFirstColumn="0" w:firstRowLastColumn="0" w:lastRowFirstColumn="0" w:lastRowLastColumn="0"/>
          <w:tblHeader/>
        </w:trPr>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Year 1</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Year 2</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Year 3</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Year 4</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Year 5</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Year 6</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Projected CDI episodes &gt;18 years</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 xml:space="preserve">Uptake rate of bezlotoxumab </w:t>
            </w: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2B7F56">
              <w:rPr>
                <w:rFonts w:ascii="Arial Narrow" w:hAnsi="Arial Narrow"/>
                <w:sz w:val="20"/>
                <w:szCs w:val="20"/>
              </w:rPr>
              <w:t>20</w:t>
            </w:r>
            <w:r w:rsidRPr="00936AB8">
              <w:rPr>
                <w:rFonts w:ascii="Arial Narrow" w:hAnsi="Arial Narrow"/>
                <w:sz w:val="20"/>
                <w:szCs w:val="20"/>
                <w:lang w:val="en-AU"/>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2B7F56">
              <w:rPr>
                <w:rFonts w:ascii="Arial Narrow" w:hAnsi="Arial Narrow"/>
                <w:sz w:val="20"/>
                <w:szCs w:val="20"/>
              </w:rPr>
              <w:t>30</w:t>
            </w:r>
            <w:r w:rsidRPr="00936AB8">
              <w:rPr>
                <w:rFonts w:ascii="Arial Narrow" w:hAnsi="Arial Narrow"/>
                <w:sz w:val="20"/>
                <w:szCs w:val="20"/>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2B7F56">
              <w:rPr>
                <w:rFonts w:ascii="Arial Narrow" w:hAnsi="Arial Narrow"/>
                <w:sz w:val="20"/>
                <w:szCs w:val="20"/>
              </w:rPr>
              <w:t>40</w:t>
            </w:r>
            <w:r w:rsidRPr="00936AB8">
              <w:rPr>
                <w:rFonts w:ascii="Arial Narrow" w:hAnsi="Arial Narrow"/>
                <w:sz w:val="20"/>
                <w:szCs w:val="20"/>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2B7F56">
              <w:rPr>
                <w:rFonts w:ascii="Arial Narrow" w:hAnsi="Arial Narrow"/>
                <w:sz w:val="20"/>
                <w:szCs w:val="20"/>
              </w:rPr>
              <w:t>50</w:t>
            </w:r>
            <w:r w:rsidRPr="00936AB8">
              <w:rPr>
                <w:rFonts w:ascii="Arial Narrow" w:hAnsi="Arial Narrow"/>
                <w:sz w:val="20"/>
                <w:szCs w:val="20"/>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2B7F56">
              <w:rPr>
                <w:rFonts w:ascii="Arial Narrow" w:hAnsi="Arial Narrow"/>
                <w:sz w:val="20"/>
                <w:szCs w:val="20"/>
              </w:rPr>
              <w:t>50</w:t>
            </w:r>
            <w:r w:rsidRPr="00936AB8">
              <w:rPr>
                <w:rFonts w:ascii="Arial Narrow" w:hAnsi="Arial Narrow"/>
                <w:sz w:val="20"/>
                <w:szCs w:val="20"/>
                <w:lang w:val="en-AU"/>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2B7F56">
              <w:rPr>
                <w:rFonts w:ascii="Arial Narrow" w:hAnsi="Arial Narrow"/>
                <w:sz w:val="20"/>
                <w:szCs w:val="20"/>
              </w:rPr>
              <w:t>50</w:t>
            </w:r>
            <w:r w:rsidRPr="00936AB8">
              <w:rPr>
                <w:rFonts w:ascii="Arial Narrow" w:hAnsi="Arial Narrow"/>
                <w:sz w:val="20"/>
                <w:szCs w:val="20"/>
                <w:lang w:val="en-AU"/>
              </w:rPr>
              <w:t>%</w:t>
            </w:r>
          </w:p>
        </w:tc>
      </w:tr>
      <w:tr w:rsidR="000B29BF" w:rsidRPr="00936AB8" w:rsidTr="000B29BF">
        <w:tc>
          <w:tcPr>
            <w:tcW w:w="3294" w:type="dxa"/>
            <w:shd w:val="clear" w:color="auto" w:fill="auto"/>
          </w:tcPr>
          <w:p w:rsidR="00F7766A" w:rsidRPr="00BF3E74"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Number of episodes which are assumed to be recurrence</w:t>
            </w:r>
            <w:r w:rsidRPr="00936AB8">
              <w:rPr>
                <w:rFonts w:ascii="Arial Narrow" w:hAnsi="Arial Narrow"/>
                <w:sz w:val="20"/>
                <w:szCs w:val="20"/>
                <w:vertAlign w:val="superscript"/>
                <w:lang w:val="en-AU"/>
              </w:rPr>
              <w:t>1</w:t>
            </w:r>
            <w:r>
              <w:rPr>
                <w:rFonts w:ascii="Arial Narrow" w:hAnsi="Arial Narrow"/>
                <w:sz w:val="20"/>
                <w:szCs w:val="20"/>
                <w:vertAlign w:val="superscript"/>
                <w:lang w:val="en-AU"/>
              </w:rPr>
              <w:t xml:space="preserve"> </w:t>
            </w:r>
            <w:r>
              <w:rPr>
                <w:rFonts w:ascii="Arial Narrow" w:hAnsi="Arial Narrow"/>
                <w:sz w:val="20"/>
                <w:szCs w:val="20"/>
                <w:lang w:val="en-AU"/>
              </w:rPr>
              <w:t>without bezlotoxumab listing</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Recurrence in patients treated with bezlotoxumab</w:t>
            </w:r>
            <w:r w:rsidRPr="00936AB8">
              <w:rPr>
                <w:rFonts w:ascii="Arial Narrow" w:hAnsi="Arial Narrow"/>
                <w:sz w:val="20"/>
                <w:szCs w:val="20"/>
                <w:vertAlign w:val="superscript"/>
                <w:lang w:val="en-AU"/>
              </w:rPr>
              <w:t>2</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Recurrence in patients not treated with bezlotoxumab</w:t>
            </w:r>
            <w:r w:rsidRPr="00936AB8">
              <w:rPr>
                <w:rFonts w:ascii="Arial Narrow" w:hAnsi="Arial Narrow"/>
                <w:sz w:val="20"/>
                <w:szCs w:val="20"/>
                <w:vertAlign w:val="superscript"/>
                <w:lang w:val="en-AU"/>
              </w:rPr>
              <w:t>3</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Remaining patients eligible for bezlotoxumab</w:t>
            </w:r>
            <w:r w:rsidRPr="00936AB8">
              <w:rPr>
                <w:rFonts w:ascii="Arial Narrow" w:hAnsi="Arial Narrow"/>
                <w:sz w:val="20"/>
                <w:szCs w:val="20"/>
                <w:vertAlign w:val="superscript"/>
                <w:lang w:val="en-AU"/>
              </w:rPr>
              <w:t xml:space="preserve">4 </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Estimated bezlotoxumab +vancomycin patients</w:t>
            </w:r>
            <w:r w:rsidRPr="00936AB8">
              <w:rPr>
                <w:rFonts w:ascii="Arial Narrow" w:hAnsi="Arial Narrow"/>
                <w:sz w:val="20"/>
                <w:szCs w:val="20"/>
                <w:vertAlign w:val="superscript"/>
                <w:lang w:val="en-AU"/>
              </w:rPr>
              <w:t>5</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Estimated bezlotoxumab + metronidazole patients</w:t>
            </w:r>
            <w:r w:rsidRPr="00936AB8">
              <w:rPr>
                <w:rFonts w:ascii="Arial Narrow" w:hAnsi="Arial Narrow"/>
                <w:sz w:val="20"/>
                <w:szCs w:val="20"/>
                <w:vertAlign w:val="superscript"/>
                <w:lang w:val="en-AU"/>
              </w:rPr>
              <w:t>6</w:t>
            </w:r>
            <w:r w:rsidRPr="00936AB8">
              <w:rPr>
                <w:rFonts w:ascii="Arial Narrow" w:hAnsi="Arial Narrow"/>
                <w:sz w:val="20"/>
                <w:szCs w:val="20"/>
                <w:lang w:val="en-AU"/>
              </w:rPr>
              <w:t xml:space="preserve"> </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Estimated Bezlotoxumab vials used</w:t>
            </w:r>
            <w:r w:rsidRPr="00936AB8">
              <w:rPr>
                <w:rFonts w:ascii="Arial Narrow" w:hAnsi="Arial Narrow"/>
                <w:sz w:val="20"/>
                <w:szCs w:val="20"/>
                <w:vertAlign w:val="superscript"/>
                <w:lang w:val="en-AU"/>
              </w:rPr>
              <w:t>7</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Net PBS/RPBS cost</w:t>
            </w:r>
            <w:r w:rsidRPr="00936AB8">
              <w:rPr>
                <w:rFonts w:ascii="Arial Narrow" w:hAnsi="Arial Narrow"/>
                <w:sz w:val="20"/>
                <w:szCs w:val="20"/>
                <w:vertAlign w:val="superscript"/>
                <w:lang w:val="en-AU"/>
              </w:rPr>
              <w:t>8</w:t>
            </w: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Vancomycin treatments avoided</w:t>
            </w:r>
            <w:r w:rsidRPr="00936AB8">
              <w:rPr>
                <w:rFonts w:ascii="Arial Narrow" w:hAnsi="Arial Narrow"/>
                <w:sz w:val="20"/>
                <w:szCs w:val="20"/>
                <w:vertAlign w:val="superscript"/>
                <w:lang w:val="en-AU"/>
              </w:rPr>
              <w:t>9</w:t>
            </w:r>
          </w:p>
        </w:tc>
        <w:tc>
          <w:tcPr>
            <w:tcW w:w="1275"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2"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c>
          <w:tcPr>
            <w:tcW w:w="993" w:type="dxa"/>
            <w:shd w:val="clear" w:color="auto" w:fill="auto"/>
            <w:vAlign w:val="center"/>
          </w:tcPr>
          <w:p w:rsidR="00F7766A" w:rsidRPr="007605FE" w:rsidRDefault="007605FE" w:rsidP="00F12971">
            <w:pPr>
              <w:spacing w:before="100" w:beforeAutospacing="1" w:after="100" w:afterAutospacing="1"/>
              <w:jc w:val="center"/>
              <w:rPr>
                <w:rFonts w:ascii="Arial Narrow" w:hAnsi="Arial Narrow"/>
                <w:sz w:val="20"/>
                <w:szCs w:val="20"/>
                <w:highlight w:val="black"/>
                <w:lang w:val="en-AU"/>
              </w:rPr>
            </w:pPr>
            <w:r>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Cost of vancomycin avoided</w:t>
            </w:r>
            <w:r w:rsidRPr="00936AB8">
              <w:rPr>
                <w:rFonts w:ascii="Arial Narrow" w:hAnsi="Arial Narrow"/>
                <w:sz w:val="20"/>
                <w:szCs w:val="20"/>
                <w:vertAlign w:val="superscript"/>
                <w:lang w:val="en-AU"/>
              </w:rPr>
              <w:t>10</w:t>
            </w:r>
            <w:r w:rsidRPr="00936AB8">
              <w:rPr>
                <w:rFonts w:ascii="Arial Narrow" w:hAnsi="Arial Narrow"/>
                <w:sz w:val="20"/>
                <w:szCs w:val="20"/>
                <w:lang w:val="en-AU"/>
              </w:rPr>
              <w:t xml:space="preserve"> </w:t>
            </w: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Net change to PBS costs</w:t>
            </w:r>
            <w:r w:rsidRPr="00936AB8">
              <w:rPr>
                <w:rFonts w:ascii="Arial Narrow" w:hAnsi="Arial Narrow"/>
                <w:sz w:val="20"/>
                <w:szCs w:val="20"/>
                <w:vertAlign w:val="superscript"/>
                <w:lang w:val="en-AU"/>
              </w:rPr>
              <w:t>11</w:t>
            </w: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sz w:val="20"/>
                <w:szCs w:val="20"/>
                <w:lang w:val="en-AU"/>
              </w:rPr>
            </w:pPr>
            <w:r w:rsidRPr="00936AB8">
              <w:rPr>
                <w:rFonts w:ascii="Arial Narrow" w:hAnsi="Arial Narrow"/>
                <w:sz w:val="20"/>
                <w:szCs w:val="20"/>
                <w:lang w:val="en-AU"/>
              </w:rPr>
              <w:t>$</w:t>
            </w:r>
            <w:r w:rsidR="007605FE">
              <w:rPr>
                <w:rFonts w:ascii="Arial Narrow" w:hAnsi="Arial Narrow"/>
                <w:noProof/>
                <w:color w:val="000000"/>
                <w:sz w:val="20"/>
                <w:szCs w:val="20"/>
                <w:highlight w:val="black"/>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Net change to MBS costs</w:t>
            </w:r>
            <w:r w:rsidRPr="00936AB8">
              <w:rPr>
                <w:rFonts w:ascii="Arial Narrow" w:hAnsi="Arial Narrow"/>
                <w:sz w:val="20"/>
                <w:szCs w:val="20"/>
                <w:vertAlign w:val="superscript"/>
                <w:lang w:val="en-AU"/>
              </w:rPr>
              <w:t>12</w:t>
            </w: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r>
      <w:tr w:rsidR="000B29BF" w:rsidRPr="00936AB8" w:rsidTr="000B29BF">
        <w:tc>
          <w:tcPr>
            <w:tcW w:w="3294" w:type="dxa"/>
            <w:shd w:val="clear" w:color="auto" w:fill="auto"/>
          </w:tcPr>
          <w:p w:rsidR="00F7766A" w:rsidRPr="00936AB8" w:rsidRDefault="00F7766A" w:rsidP="00F12971">
            <w:pPr>
              <w:spacing w:before="100" w:beforeAutospacing="1" w:after="100" w:afterAutospacing="1"/>
              <w:rPr>
                <w:rFonts w:ascii="Arial Narrow" w:hAnsi="Arial Narrow"/>
                <w:sz w:val="20"/>
                <w:szCs w:val="20"/>
                <w:lang w:val="en-AU"/>
              </w:rPr>
            </w:pPr>
            <w:r w:rsidRPr="00936AB8">
              <w:rPr>
                <w:rFonts w:ascii="Arial Narrow" w:hAnsi="Arial Narrow"/>
                <w:sz w:val="20"/>
                <w:szCs w:val="20"/>
                <w:lang w:val="en-AU"/>
              </w:rPr>
              <w:t>Net change to government budget</w:t>
            </w:r>
          </w:p>
        </w:tc>
        <w:tc>
          <w:tcPr>
            <w:tcW w:w="1275"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2"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c>
          <w:tcPr>
            <w:tcW w:w="993" w:type="dxa"/>
            <w:shd w:val="clear" w:color="auto" w:fill="auto"/>
            <w:vAlign w:val="center"/>
          </w:tcPr>
          <w:p w:rsidR="00F7766A" w:rsidRPr="00936AB8" w:rsidRDefault="00F7766A" w:rsidP="00F12971">
            <w:pPr>
              <w:spacing w:before="100" w:beforeAutospacing="1" w:after="100" w:afterAutospacing="1"/>
              <w:jc w:val="center"/>
              <w:rPr>
                <w:rFonts w:ascii="Arial Narrow" w:hAnsi="Arial Narrow"/>
                <w:i/>
                <w:iCs/>
                <w:sz w:val="20"/>
                <w:szCs w:val="20"/>
                <w:lang w:val="en-AU"/>
              </w:rPr>
            </w:pPr>
            <w:r w:rsidRPr="00936AB8">
              <w:rPr>
                <w:rFonts w:ascii="Arial Narrow" w:hAnsi="Arial Narrow"/>
                <w:i/>
                <w:iCs/>
                <w:sz w:val="20"/>
                <w:szCs w:val="20"/>
                <w:lang w:val="en-AU"/>
              </w:rPr>
              <w:t>$</w:t>
            </w:r>
            <w:r w:rsidR="007605FE">
              <w:rPr>
                <w:rFonts w:ascii="Arial Narrow" w:hAnsi="Arial Narrow"/>
                <w:i/>
                <w:iCs/>
                <w:noProof/>
                <w:color w:val="000000"/>
                <w:sz w:val="20"/>
                <w:szCs w:val="20"/>
                <w:highlight w:val="black"/>
              </w:rPr>
              <w:t>'''''''''''''''''''''''''</w:t>
            </w:r>
            <w:r w:rsidR="000B29BF" w:rsidRPr="000B29BF">
              <w:rPr>
                <w:rFonts w:ascii="Arial Narrow" w:hAnsi="Arial Narrow"/>
                <w:i/>
                <w:iCs/>
                <w:sz w:val="20"/>
                <w:szCs w:val="20"/>
                <w:vertAlign w:val="superscript"/>
                <w:lang w:val="en-AU"/>
              </w:rPr>
              <w:t>#</w:t>
            </w:r>
          </w:p>
        </w:tc>
      </w:tr>
    </w:tbl>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1</w:t>
      </w:r>
      <w:r w:rsidRPr="00936AB8">
        <w:rPr>
          <w:rFonts w:ascii="Arial Narrow" w:hAnsi="Arial Narrow"/>
          <w:sz w:val="18"/>
          <w:szCs w:val="20"/>
          <w:vertAlign w:val="superscript"/>
        </w:rPr>
        <w:tab/>
      </w:r>
      <w:r w:rsidRPr="00936AB8">
        <w:rPr>
          <w:rFonts w:ascii="Arial Narrow" w:hAnsi="Arial Narrow"/>
          <w:sz w:val="18"/>
          <w:szCs w:val="20"/>
        </w:rPr>
        <w:t xml:space="preserve">Assumed to be </w:t>
      </w:r>
      <w:r w:rsidRPr="000306BE">
        <w:rPr>
          <w:rFonts w:ascii="Arial Narrow" w:hAnsi="Arial Narrow"/>
          <w:sz w:val="18"/>
          <w:szCs w:val="20"/>
        </w:rPr>
        <w:t>34.0</w:t>
      </w:r>
      <w:r w:rsidRPr="00936AB8">
        <w:rPr>
          <w:rFonts w:ascii="Arial Narrow" w:hAnsi="Arial Narrow"/>
          <w:sz w:val="18"/>
          <w:szCs w:val="20"/>
        </w:rPr>
        <w:t xml:space="preserve">% of projected CDI episodes </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2</w:t>
      </w:r>
      <w:r w:rsidRPr="00936AB8">
        <w:rPr>
          <w:rFonts w:ascii="Arial Narrow" w:hAnsi="Arial Narrow"/>
          <w:sz w:val="18"/>
          <w:szCs w:val="20"/>
          <w:vertAlign w:val="superscript"/>
        </w:rPr>
        <w:tab/>
      </w:r>
      <w:r w:rsidRPr="00936AB8">
        <w:rPr>
          <w:rFonts w:ascii="Arial Narrow" w:hAnsi="Arial Narrow"/>
          <w:sz w:val="18"/>
          <w:szCs w:val="20"/>
        </w:rPr>
        <w:t xml:space="preserve">Assumed to be </w:t>
      </w:r>
      <w:r w:rsidRPr="000306BE">
        <w:rPr>
          <w:rFonts w:ascii="Arial Narrow" w:hAnsi="Arial Narrow"/>
          <w:sz w:val="18"/>
          <w:szCs w:val="20"/>
        </w:rPr>
        <w:t>22.3</w:t>
      </w:r>
      <w:r w:rsidRPr="00936AB8">
        <w:rPr>
          <w:rFonts w:ascii="Arial Narrow" w:hAnsi="Arial Narrow"/>
          <w:sz w:val="18"/>
          <w:szCs w:val="20"/>
        </w:rPr>
        <w:t>% of patients eligible for bezlotoxumab from previous year multiplied by uptake rate</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3</w:t>
      </w:r>
      <w:r w:rsidRPr="00936AB8">
        <w:rPr>
          <w:rFonts w:ascii="Arial Narrow" w:hAnsi="Arial Narrow"/>
          <w:sz w:val="18"/>
          <w:szCs w:val="20"/>
        </w:rPr>
        <w:t xml:space="preserve"> Assumed to be </w:t>
      </w:r>
      <w:r w:rsidRPr="000306BE">
        <w:rPr>
          <w:rFonts w:ascii="Arial Narrow" w:hAnsi="Arial Narrow"/>
          <w:sz w:val="18"/>
          <w:szCs w:val="20"/>
        </w:rPr>
        <w:t>34.0</w:t>
      </w:r>
      <w:r w:rsidRPr="00936AB8">
        <w:rPr>
          <w:rFonts w:ascii="Arial Narrow" w:hAnsi="Arial Narrow"/>
          <w:sz w:val="18"/>
          <w:szCs w:val="20"/>
        </w:rPr>
        <w:t>% of patients eligible for bezlotoxumab from previous year multiplied by (1- uptake rate)</w:t>
      </w:r>
    </w:p>
    <w:p w:rsidR="00F7766A" w:rsidRPr="00936AB8" w:rsidRDefault="00F7766A" w:rsidP="00F7766A">
      <w:pPr>
        <w:spacing w:before="0" w:after="0"/>
        <w:ind w:left="165" w:hanging="165"/>
        <w:jc w:val="both"/>
        <w:rPr>
          <w:rFonts w:ascii="Arial Narrow" w:hAnsi="Arial Narrow"/>
          <w:sz w:val="18"/>
          <w:szCs w:val="20"/>
        </w:rPr>
      </w:pPr>
      <w:r w:rsidRPr="00936AB8">
        <w:rPr>
          <w:rFonts w:ascii="Arial Narrow" w:hAnsi="Arial Narrow"/>
          <w:sz w:val="18"/>
          <w:szCs w:val="20"/>
          <w:vertAlign w:val="superscript"/>
        </w:rPr>
        <w:t>4</w:t>
      </w:r>
      <w:r w:rsidRPr="00936AB8">
        <w:rPr>
          <w:rFonts w:ascii="Arial Narrow" w:hAnsi="Arial Narrow"/>
          <w:sz w:val="18"/>
          <w:szCs w:val="20"/>
          <w:vertAlign w:val="superscript"/>
        </w:rPr>
        <w:tab/>
      </w:r>
      <w:r w:rsidRPr="00936AB8">
        <w:rPr>
          <w:rFonts w:ascii="Arial Narrow" w:hAnsi="Arial Narrow"/>
          <w:sz w:val="18"/>
          <w:szCs w:val="20"/>
        </w:rPr>
        <w:t>Estimated by total CDI episodes minus the theoretical number of CDI recurrences with no bezlotoxumab listing (</w:t>
      </w:r>
      <w:r w:rsidRPr="000306BE">
        <w:rPr>
          <w:rFonts w:ascii="Arial Narrow" w:hAnsi="Arial Narrow"/>
          <w:sz w:val="18"/>
          <w:szCs w:val="20"/>
        </w:rPr>
        <w:t>34.0</w:t>
      </w:r>
      <w:r w:rsidRPr="00936AB8">
        <w:rPr>
          <w:rFonts w:ascii="Arial Narrow" w:hAnsi="Arial Narrow"/>
          <w:sz w:val="18"/>
          <w:szCs w:val="20"/>
        </w:rPr>
        <w:t xml:space="preserve">% of all CDI episodes in the previous year) with the expected recurrence in patients after bezlotoxumab listing. </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5</w:t>
      </w:r>
      <w:r w:rsidRPr="00936AB8">
        <w:rPr>
          <w:rFonts w:ascii="Arial Narrow" w:hAnsi="Arial Narrow"/>
          <w:sz w:val="18"/>
          <w:szCs w:val="20"/>
          <w:vertAlign w:val="superscript"/>
        </w:rPr>
        <w:tab/>
      </w:r>
      <w:r w:rsidRPr="00936AB8">
        <w:rPr>
          <w:rFonts w:ascii="Arial Narrow" w:hAnsi="Arial Narrow"/>
          <w:sz w:val="18"/>
          <w:szCs w:val="20"/>
        </w:rPr>
        <w:t xml:space="preserve">Estimated by uptake rate multiplied by remaining patients eligible for bezlotoxumab, </w:t>
      </w:r>
    </w:p>
    <w:p w:rsidR="00F7766A" w:rsidRPr="00936AB8" w:rsidRDefault="00F7766A" w:rsidP="00F7766A">
      <w:pPr>
        <w:spacing w:before="0" w:after="0"/>
        <w:ind w:left="165" w:hanging="165"/>
        <w:jc w:val="both"/>
        <w:rPr>
          <w:rFonts w:ascii="Arial Narrow" w:hAnsi="Arial Narrow"/>
          <w:sz w:val="18"/>
          <w:szCs w:val="20"/>
        </w:rPr>
      </w:pPr>
      <w:r w:rsidRPr="00936AB8">
        <w:rPr>
          <w:rFonts w:ascii="Arial Narrow" w:hAnsi="Arial Narrow"/>
          <w:sz w:val="18"/>
          <w:szCs w:val="20"/>
          <w:vertAlign w:val="superscript"/>
        </w:rPr>
        <w:t>6</w:t>
      </w:r>
      <w:r w:rsidRPr="00936AB8">
        <w:rPr>
          <w:rFonts w:ascii="Arial Narrow" w:hAnsi="Arial Narrow"/>
          <w:sz w:val="18"/>
          <w:szCs w:val="20"/>
          <w:vertAlign w:val="superscript"/>
        </w:rPr>
        <w:tab/>
      </w:r>
      <w:r w:rsidRPr="00936AB8">
        <w:rPr>
          <w:rFonts w:ascii="Arial Narrow" w:hAnsi="Arial Narrow"/>
          <w:sz w:val="18"/>
          <w:szCs w:val="20"/>
        </w:rPr>
        <w:t xml:space="preserve">Assume an additional </w:t>
      </w:r>
      <w:r w:rsidRPr="000306BE">
        <w:rPr>
          <w:rFonts w:ascii="Arial Narrow" w:hAnsi="Arial Narrow"/>
          <w:sz w:val="18"/>
          <w:szCs w:val="20"/>
        </w:rPr>
        <w:t>10</w:t>
      </w:r>
      <w:r w:rsidRPr="00936AB8">
        <w:rPr>
          <w:rFonts w:ascii="Arial Narrow" w:hAnsi="Arial Narrow"/>
          <w:sz w:val="18"/>
          <w:szCs w:val="20"/>
        </w:rPr>
        <w:t xml:space="preserve">% of patients will use metronidazole + bezlotoxumab based on vancomycin + bezlotoxumab estimate i.e. </w:t>
      </w:r>
      <w:r w:rsidRPr="000306BE">
        <w:rPr>
          <w:rFonts w:ascii="Arial Narrow" w:hAnsi="Arial Narrow"/>
          <w:sz w:val="18"/>
          <w:szCs w:val="20"/>
        </w:rPr>
        <w:t>10</w:t>
      </w:r>
      <w:r w:rsidRPr="00936AB8">
        <w:rPr>
          <w:rFonts w:ascii="Arial Narrow" w:hAnsi="Arial Narrow"/>
          <w:sz w:val="18"/>
          <w:szCs w:val="20"/>
        </w:rPr>
        <w:t xml:space="preserve">% metronidazole + bezlotoxumab and </w:t>
      </w:r>
      <w:r w:rsidRPr="000306BE">
        <w:rPr>
          <w:rFonts w:ascii="Arial Narrow" w:hAnsi="Arial Narrow"/>
          <w:sz w:val="18"/>
          <w:szCs w:val="20"/>
        </w:rPr>
        <w:t>90</w:t>
      </w:r>
      <w:r w:rsidRPr="00936AB8">
        <w:rPr>
          <w:rFonts w:ascii="Arial Narrow" w:hAnsi="Arial Narrow"/>
          <w:sz w:val="18"/>
          <w:szCs w:val="20"/>
        </w:rPr>
        <w:t xml:space="preserve">% vancomycin + bezlotoxumab </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7</w:t>
      </w:r>
      <w:r w:rsidRPr="00936AB8">
        <w:rPr>
          <w:rFonts w:ascii="Arial Narrow" w:hAnsi="Arial Narrow"/>
          <w:sz w:val="18"/>
          <w:szCs w:val="20"/>
          <w:vertAlign w:val="superscript"/>
        </w:rPr>
        <w:tab/>
      </w:r>
      <w:r w:rsidRPr="00936AB8">
        <w:rPr>
          <w:rFonts w:ascii="Arial Narrow" w:hAnsi="Arial Narrow"/>
          <w:sz w:val="18"/>
          <w:szCs w:val="20"/>
        </w:rPr>
        <w:t xml:space="preserve">Assumed that </w:t>
      </w:r>
      <w:r w:rsidRPr="000306BE">
        <w:rPr>
          <w:rFonts w:ascii="Arial Narrow" w:hAnsi="Arial Narrow"/>
          <w:sz w:val="18"/>
          <w:szCs w:val="20"/>
        </w:rPr>
        <w:t>10</w:t>
      </w:r>
      <w:r w:rsidRPr="00936AB8">
        <w:rPr>
          <w:rFonts w:ascii="Arial Narrow" w:hAnsi="Arial Narrow"/>
          <w:sz w:val="18"/>
          <w:szCs w:val="20"/>
        </w:rPr>
        <w:t>% of patients will require 2 vials</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8</w:t>
      </w:r>
      <w:r w:rsidRPr="00936AB8">
        <w:rPr>
          <w:rFonts w:ascii="Arial Narrow" w:hAnsi="Arial Narrow"/>
          <w:sz w:val="18"/>
          <w:szCs w:val="20"/>
          <w:vertAlign w:val="superscript"/>
        </w:rPr>
        <w:tab/>
      </w:r>
      <w:r w:rsidRPr="00936AB8">
        <w:rPr>
          <w:rFonts w:ascii="Arial Narrow" w:hAnsi="Arial Narrow"/>
          <w:sz w:val="18"/>
          <w:szCs w:val="20"/>
        </w:rPr>
        <w:t>Assume DPMQ $</w:t>
      </w:r>
      <w:r w:rsidR="007605FE">
        <w:rPr>
          <w:rFonts w:ascii="Arial Narrow" w:hAnsi="Arial Narrow"/>
          <w:noProof/>
          <w:color w:val="000000"/>
          <w:sz w:val="18"/>
          <w:szCs w:val="20"/>
          <w:highlight w:val="black"/>
        </w:rPr>
        <w:t>'''''''''''''''''''''</w:t>
      </w:r>
      <w:r w:rsidRPr="00936AB8">
        <w:rPr>
          <w:rFonts w:ascii="Arial Narrow" w:hAnsi="Arial Narrow"/>
          <w:sz w:val="18"/>
          <w:szCs w:val="20"/>
        </w:rPr>
        <w:t xml:space="preserve"> per vial, minus average copayment of $</w:t>
      </w:r>
      <w:r w:rsidRPr="000306BE">
        <w:rPr>
          <w:rFonts w:ascii="Arial Narrow" w:hAnsi="Arial Narrow"/>
          <w:sz w:val="18"/>
          <w:szCs w:val="20"/>
        </w:rPr>
        <w:t>16.49</w:t>
      </w:r>
      <w:r w:rsidRPr="00936AB8">
        <w:rPr>
          <w:rFonts w:ascii="Arial Narrow" w:hAnsi="Arial Narrow"/>
          <w:sz w:val="18"/>
          <w:szCs w:val="20"/>
        </w:rPr>
        <w:t xml:space="preserve"> for PBS and $</w:t>
      </w:r>
      <w:r w:rsidRPr="000306BE">
        <w:rPr>
          <w:rFonts w:ascii="Arial Narrow" w:hAnsi="Arial Narrow"/>
          <w:sz w:val="18"/>
          <w:szCs w:val="20"/>
        </w:rPr>
        <w:t>4.62</w:t>
      </w:r>
      <w:r w:rsidRPr="00936AB8">
        <w:rPr>
          <w:rFonts w:ascii="Arial Narrow" w:hAnsi="Arial Narrow"/>
          <w:sz w:val="18"/>
          <w:szCs w:val="20"/>
        </w:rPr>
        <w:t xml:space="preserve"> for RPBS </w:t>
      </w:r>
    </w:p>
    <w:p w:rsidR="00F7766A" w:rsidRPr="00936AB8" w:rsidRDefault="00F7766A" w:rsidP="00F7766A">
      <w:pPr>
        <w:spacing w:before="0" w:after="0"/>
        <w:ind w:left="165" w:hanging="165"/>
        <w:jc w:val="both"/>
        <w:rPr>
          <w:rFonts w:ascii="Arial Narrow" w:hAnsi="Arial Narrow"/>
          <w:sz w:val="18"/>
          <w:szCs w:val="20"/>
        </w:rPr>
      </w:pPr>
      <w:r w:rsidRPr="00936AB8">
        <w:rPr>
          <w:rFonts w:ascii="Arial Narrow" w:hAnsi="Arial Narrow"/>
          <w:sz w:val="18"/>
          <w:szCs w:val="20"/>
          <w:vertAlign w:val="superscript"/>
        </w:rPr>
        <w:t>9</w:t>
      </w:r>
      <w:r w:rsidRPr="00936AB8">
        <w:rPr>
          <w:rFonts w:ascii="Arial Narrow" w:hAnsi="Arial Narrow"/>
          <w:sz w:val="18"/>
          <w:szCs w:val="20"/>
          <w:vertAlign w:val="superscript"/>
        </w:rPr>
        <w:tab/>
      </w:r>
      <w:r w:rsidRPr="00936AB8">
        <w:rPr>
          <w:rFonts w:ascii="Arial Narrow" w:hAnsi="Arial Narrow"/>
          <w:sz w:val="18"/>
          <w:szCs w:val="20"/>
        </w:rPr>
        <w:t>Due to lower CDI recurrence</w:t>
      </w:r>
      <w:r w:rsidR="000661CF">
        <w:rPr>
          <w:rFonts w:ascii="Arial Narrow" w:hAnsi="Arial Narrow"/>
          <w:sz w:val="18"/>
          <w:szCs w:val="20"/>
        </w:rPr>
        <w:t xml:space="preserve">. </w:t>
      </w:r>
      <w:r w:rsidRPr="00936AB8">
        <w:rPr>
          <w:rFonts w:ascii="Arial Narrow" w:hAnsi="Arial Narrow"/>
          <w:sz w:val="18"/>
          <w:szCs w:val="20"/>
        </w:rPr>
        <w:t>Difference between rate of CDI recurrence in patients treated with bezlotoxumab and not treated with bezlotoxumab (</w:t>
      </w:r>
      <w:r w:rsidRPr="000306BE">
        <w:rPr>
          <w:rFonts w:ascii="Arial Narrow" w:hAnsi="Arial Narrow"/>
          <w:sz w:val="18"/>
          <w:szCs w:val="20"/>
        </w:rPr>
        <w:t>34.0</w:t>
      </w:r>
      <w:r w:rsidRPr="00936AB8">
        <w:rPr>
          <w:rFonts w:ascii="Arial Narrow" w:hAnsi="Arial Narrow"/>
          <w:sz w:val="18"/>
          <w:szCs w:val="20"/>
        </w:rPr>
        <w:t>%-</w:t>
      </w:r>
      <w:r w:rsidRPr="000306BE">
        <w:rPr>
          <w:rFonts w:ascii="Arial Narrow" w:hAnsi="Arial Narrow"/>
          <w:sz w:val="18"/>
          <w:szCs w:val="20"/>
        </w:rPr>
        <w:t>22.3</w:t>
      </w:r>
      <w:r w:rsidRPr="00936AB8">
        <w:rPr>
          <w:rFonts w:ascii="Arial Narrow" w:hAnsi="Arial Narrow"/>
          <w:sz w:val="18"/>
          <w:szCs w:val="20"/>
        </w:rPr>
        <w:t>%) multiplied by the uptake rate of bezlotoxumab and projected CDI episodes &gt; 18 years</w:t>
      </w:r>
      <w:r w:rsidR="000661CF">
        <w:rPr>
          <w:rFonts w:ascii="Arial Narrow" w:hAnsi="Arial Narrow"/>
          <w:sz w:val="18"/>
          <w:szCs w:val="20"/>
        </w:rPr>
        <w:t xml:space="preserve">. </w:t>
      </w:r>
    </w:p>
    <w:p w:rsidR="00F7766A" w:rsidRPr="00936AB8" w:rsidRDefault="00F7766A" w:rsidP="00F7766A">
      <w:pPr>
        <w:spacing w:before="0" w:after="0"/>
        <w:ind w:left="165" w:hanging="165"/>
        <w:jc w:val="both"/>
        <w:rPr>
          <w:rFonts w:ascii="Arial Narrow" w:hAnsi="Arial Narrow"/>
          <w:sz w:val="18"/>
          <w:szCs w:val="20"/>
        </w:rPr>
      </w:pPr>
      <w:r w:rsidRPr="00936AB8">
        <w:rPr>
          <w:rFonts w:ascii="Arial Narrow" w:hAnsi="Arial Narrow"/>
          <w:sz w:val="18"/>
          <w:szCs w:val="20"/>
          <w:vertAlign w:val="superscript"/>
        </w:rPr>
        <w:t>10</w:t>
      </w:r>
      <w:r w:rsidRPr="00936AB8">
        <w:rPr>
          <w:rFonts w:ascii="Arial Narrow" w:hAnsi="Arial Narrow"/>
          <w:sz w:val="18"/>
          <w:szCs w:val="20"/>
          <w:vertAlign w:val="superscript"/>
        </w:rPr>
        <w:tab/>
      </w:r>
      <w:r w:rsidRPr="00936AB8">
        <w:rPr>
          <w:rFonts w:ascii="Arial Narrow" w:hAnsi="Arial Narrow"/>
          <w:sz w:val="18"/>
          <w:szCs w:val="20"/>
        </w:rPr>
        <w:t xml:space="preserve">Assume that </w:t>
      </w:r>
      <w:r w:rsidRPr="000306BE">
        <w:rPr>
          <w:rFonts w:ascii="Arial Narrow" w:hAnsi="Arial Narrow"/>
          <w:sz w:val="18"/>
          <w:szCs w:val="20"/>
        </w:rPr>
        <w:t>65</w:t>
      </w:r>
      <w:r w:rsidRPr="00936AB8">
        <w:rPr>
          <w:rFonts w:ascii="Arial Narrow" w:hAnsi="Arial Narrow"/>
          <w:sz w:val="18"/>
          <w:szCs w:val="20"/>
        </w:rPr>
        <w:t>% of all vancomycin scripts will be 125mg (DPMQ = $</w:t>
      </w:r>
      <w:r w:rsidRPr="000306BE">
        <w:rPr>
          <w:rFonts w:ascii="Arial Narrow" w:hAnsi="Arial Narrow"/>
          <w:sz w:val="18"/>
          <w:szCs w:val="20"/>
        </w:rPr>
        <w:t>260.25</w:t>
      </w:r>
      <w:r w:rsidRPr="00936AB8">
        <w:rPr>
          <w:rFonts w:ascii="Arial Narrow" w:hAnsi="Arial Narrow"/>
          <w:sz w:val="18"/>
          <w:szCs w:val="20"/>
        </w:rPr>
        <w:t xml:space="preserve">) and the remaining </w:t>
      </w:r>
      <w:r w:rsidRPr="000306BE">
        <w:rPr>
          <w:rFonts w:ascii="Arial Narrow" w:hAnsi="Arial Narrow"/>
          <w:sz w:val="18"/>
          <w:szCs w:val="20"/>
        </w:rPr>
        <w:t>35</w:t>
      </w:r>
      <w:r w:rsidRPr="00936AB8">
        <w:rPr>
          <w:rFonts w:ascii="Arial Narrow" w:hAnsi="Arial Narrow"/>
          <w:sz w:val="18"/>
          <w:szCs w:val="20"/>
        </w:rPr>
        <w:t>% will be 250mg (DPMQ = $</w:t>
      </w:r>
      <w:r w:rsidRPr="000306BE">
        <w:rPr>
          <w:rFonts w:ascii="Arial Narrow" w:hAnsi="Arial Narrow"/>
          <w:sz w:val="18"/>
          <w:szCs w:val="20"/>
        </w:rPr>
        <w:t>516.17</w:t>
      </w:r>
      <w:r w:rsidRPr="00936AB8">
        <w:rPr>
          <w:rFonts w:ascii="Arial Narrow" w:hAnsi="Arial Narrow"/>
          <w:sz w:val="18"/>
          <w:szCs w:val="20"/>
        </w:rPr>
        <w:t>) and an average copayment for vancomycin avoided for PBS is $</w:t>
      </w:r>
      <w:r w:rsidRPr="000306BE">
        <w:rPr>
          <w:rFonts w:ascii="Arial Narrow" w:hAnsi="Arial Narrow"/>
          <w:sz w:val="18"/>
          <w:szCs w:val="20"/>
        </w:rPr>
        <w:t>16.12</w:t>
      </w:r>
      <w:r w:rsidRPr="00936AB8">
        <w:rPr>
          <w:rFonts w:ascii="Arial Narrow" w:hAnsi="Arial Narrow"/>
          <w:sz w:val="18"/>
          <w:szCs w:val="20"/>
        </w:rPr>
        <w:t xml:space="preserve"> and RPBS is $</w:t>
      </w:r>
      <w:r w:rsidRPr="000306BE">
        <w:rPr>
          <w:rFonts w:ascii="Arial Narrow" w:hAnsi="Arial Narrow"/>
          <w:sz w:val="18"/>
          <w:szCs w:val="20"/>
        </w:rPr>
        <w:t>4.73</w:t>
      </w:r>
      <w:r w:rsidRPr="00936AB8">
        <w:rPr>
          <w:rFonts w:ascii="Arial Narrow" w:hAnsi="Arial Narrow"/>
          <w:sz w:val="18"/>
          <w:szCs w:val="20"/>
        </w:rPr>
        <w:t xml:space="preserve"> </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11</w:t>
      </w:r>
      <w:r w:rsidRPr="00936AB8">
        <w:rPr>
          <w:rFonts w:ascii="Arial Narrow" w:hAnsi="Arial Narrow"/>
          <w:sz w:val="18"/>
          <w:szCs w:val="20"/>
          <w:vertAlign w:val="superscript"/>
        </w:rPr>
        <w:tab/>
      </w:r>
      <w:r w:rsidRPr="00936AB8">
        <w:rPr>
          <w:rFonts w:ascii="Arial Narrow" w:hAnsi="Arial Narrow"/>
          <w:sz w:val="18"/>
          <w:szCs w:val="20"/>
        </w:rPr>
        <w:t xml:space="preserve">Net cost of bezlotoxumab minus the cost of vancomycin avoided </w:t>
      </w:r>
    </w:p>
    <w:p w:rsidR="00F7766A" w:rsidRPr="00936AB8" w:rsidRDefault="00F7766A" w:rsidP="00F7766A">
      <w:pPr>
        <w:spacing w:before="0" w:after="0"/>
        <w:jc w:val="both"/>
        <w:rPr>
          <w:rFonts w:ascii="Arial Narrow" w:hAnsi="Arial Narrow"/>
          <w:sz w:val="18"/>
          <w:szCs w:val="20"/>
        </w:rPr>
      </w:pPr>
      <w:r w:rsidRPr="00936AB8">
        <w:rPr>
          <w:rFonts w:ascii="Arial Narrow" w:hAnsi="Arial Narrow"/>
          <w:sz w:val="18"/>
          <w:szCs w:val="20"/>
          <w:vertAlign w:val="superscript"/>
        </w:rPr>
        <w:t>12</w:t>
      </w:r>
      <w:r w:rsidRPr="00936AB8">
        <w:rPr>
          <w:rFonts w:ascii="Arial Narrow" w:hAnsi="Arial Narrow"/>
          <w:sz w:val="18"/>
          <w:szCs w:val="20"/>
          <w:vertAlign w:val="superscript"/>
        </w:rPr>
        <w:tab/>
      </w:r>
      <w:r w:rsidRPr="00936AB8">
        <w:rPr>
          <w:rFonts w:ascii="Arial Narrow" w:hAnsi="Arial Narrow"/>
          <w:sz w:val="18"/>
          <w:szCs w:val="20"/>
        </w:rPr>
        <w:t>Estimated bezlotoxumab patients (+vancomycin or +metronidazole) multiplied by MBS item 14245 ($97.95)</w:t>
      </w:r>
    </w:p>
    <w:p w:rsidR="00F7766A" w:rsidRPr="00843436" w:rsidRDefault="00843436" w:rsidP="00930A7F">
      <w:pPr>
        <w:pStyle w:val="TableFooter"/>
        <w:spacing w:after="0"/>
        <w:ind w:firstLine="170"/>
        <w:rPr>
          <w:rFonts w:eastAsiaTheme="minorHAnsi" w:cstheme="minorBidi"/>
          <w:snapToGrid/>
        </w:rPr>
      </w:pPr>
      <w:r w:rsidRPr="00843436">
        <w:rPr>
          <w:rFonts w:eastAsiaTheme="minorHAnsi" w:cstheme="minorBidi"/>
          <w:snapToGrid/>
          <w:vertAlign w:val="superscript"/>
        </w:rPr>
        <w:t>#</w:t>
      </w:r>
      <w:r>
        <w:rPr>
          <w:rFonts w:eastAsiaTheme="minorHAnsi" w:cstheme="minorBidi"/>
          <w:snapToGrid/>
        </w:rPr>
        <w:t xml:space="preserve"> </w:t>
      </w:r>
      <w:r w:rsidRPr="00843436">
        <w:rPr>
          <w:rFonts w:eastAsiaTheme="minorHAnsi" w:cstheme="minorBidi"/>
          <w:snapToGrid/>
        </w:rPr>
        <w:t>indicates values added during evaluation</w:t>
      </w:r>
      <w:r w:rsidR="00F7766A" w:rsidRPr="00936AB8">
        <w:rPr>
          <w:i/>
        </w:rPr>
        <w:t>.</w:t>
      </w:r>
    </w:p>
    <w:p w:rsidR="00F7766A" w:rsidRDefault="00F7766A">
      <w:pPr>
        <w:spacing w:before="0" w:after="0"/>
        <w:jc w:val="both"/>
        <w:rPr>
          <w:rFonts w:ascii="Arial Narrow" w:hAnsi="Arial Narrow"/>
          <w:sz w:val="18"/>
          <w:szCs w:val="20"/>
        </w:rPr>
      </w:pPr>
      <w:r w:rsidRPr="00936AB8">
        <w:rPr>
          <w:rFonts w:ascii="Arial Narrow" w:hAnsi="Arial Narrow"/>
          <w:sz w:val="18"/>
          <w:szCs w:val="20"/>
        </w:rPr>
        <w:t xml:space="preserve">Source: constructed during evaluation using Section 4 estimates.xlsx </w:t>
      </w:r>
    </w:p>
    <w:p w:rsidR="0055687C" w:rsidRPr="00930A7F" w:rsidRDefault="00930A7F" w:rsidP="00930A7F">
      <w:pPr>
        <w:jc w:val="both"/>
        <w:rPr>
          <w:szCs w:val="24"/>
        </w:rPr>
      </w:pPr>
      <w:r w:rsidRPr="00930A7F">
        <w:rPr>
          <w:rFonts w:cs="Arial"/>
          <w:szCs w:val="24"/>
        </w:rPr>
        <w:t>The redacted table shows that a</w:t>
      </w:r>
      <w:r w:rsidRPr="0055687C">
        <w:rPr>
          <w:rFonts w:cs="Arial"/>
          <w:szCs w:val="24"/>
        </w:rPr>
        <w:t xml:space="preserve">t year </w:t>
      </w:r>
      <w:r w:rsidR="00CE23AB">
        <w:rPr>
          <w:rFonts w:cs="Arial"/>
          <w:szCs w:val="24"/>
        </w:rPr>
        <w:t>5</w:t>
      </w:r>
      <w:r w:rsidRPr="00930A7F">
        <w:rPr>
          <w:rFonts w:cs="Arial"/>
          <w:szCs w:val="24"/>
        </w:rPr>
        <w:t xml:space="preserve">, the estimated number of patients was </w:t>
      </w:r>
      <w:r w:rsidRPr="0055687C">
        <w:rPr>
          <w:rFonts w:cs="Arial"/>
          <w:szCs w:val="24"/>
        </w:rPr>
        <w:t>less than 10,000 per year</w:t>
      </w:r>
      <w:r w:rsidRPr="00930A7F">
        <w:rPr>
          <w:rFonts w:cs="Arial"/>
          <w:szCs w:val="24"/>
        </w:rPr>
        <w:t xml:space="preserve"> and the net cost to the PBS would be</w:t>
      </w:r>
      <w:r w:rsidRPr="0055687C">
        <w:t xml:space="preserve"> </w:t>
      </w:r>
      <w:r w:rsidRPr="0055687C">
        <w:rPr>
          <w:rFonts w:cs="Arial"/>
          <w:szCs w:val="24"/>
        </w:rPr>
        <w:t>less than $10 million per year</w:t>
      </w:r>
      <w:r>
        <w:rPr>
          <w:rFonts w:cs="Arial"/>
          <w:szCs w:val="24"/>
        </w:rPr>
        <w:t>.</w:t>
      </w:r>
    </w:p>
    <w:p w:rsidR="00F7766A" w:rsidRPr="00F7766A" w:rsidRDefault="00F7766A" w:rsidP="00900949">
      <w:pPr>
        <w:pStyle w:val="ListParagraph"/>
        <w:numPr>
          <w:ilvl w:val="1"/>
          <w:numId w:val="4"/>
        </w:numPr>
        <w:spacing w:after="120"/>
        <w:jc w:val="both"/>
      </w:pPr>
      <w:r w:rsidRPr="00F7766A">
        <w:rPr>
          <w:iCs/>
        </w:rPr>
        <w:t>The submission’s estimated uptake rates (20%, 30% and 40% in Years 1 to 3 and 50% in Year 4 and onward) were likely underestimates</w:t>
      </w:r>
      <w:r w:rsidR="000661CF">
        <w:rPr>
          <w:iCs/>
        </w:rPr>
        <w:t xml:space="preserve">. </w:t>
      </w:r>
      <w:r w:rsidRPr="00F7766A">
        <w:rPr>
          <w:iCs/>
        </w:rPr>
        <w:t xml:space="preserve">Since bezlotoxumab is a novel drug with good tolerability and easy single dose, there would be little reason for eligible patients not to </w:t>
      </w:r>
      <w:r w:rsidR="000661CF">
        <w:rPr>
          <w:iCs/>
        </w:rPr>
        <w:t xml:space="preserve">trial treatment. </w:t>
      </w:r>
      <w:r w:rsidRPr="00F7766A">
        <w:rPr>
          <w:iCs/>
        </w:rPr>
        <w:t xml:space="preserve">The submission also assumed that only one dose of bezlotoxumab will be given to each patient in a lifetime, this may not be appropriate given the requested restriction does not limit the number of times a patient can receive bezlotoxumab. </w:t>
      </w:r>
    </w:p>
    <w:p w:rsidR="00F7766A" w:rsidRPr="00F7766A" w:rsidRDefault="00F7766A" w:rsidP="002471D4">
      <w:pPr>
        <w:pStyle w:val="ListParagraph"/>
        <w:numPr>
          <w:ilvl w:val="1"/>
          <w:numId w:val="4"/>
        </w:numPr>
        <w:spacing w:before="0" w:after="120"/>
        <w:jc w:val="both"/>
      </w:pPr>
      <w:r w:rsidRPr="00F7766A">
        <w:rPr>
          <w:iCs/>
        </w:rPr>
        <w:t>Results of the sensitivity analyses for the financial estimates are presented in Table</w:t>
      </w:r>
      <w:r w:rsidR="00875B26">
        <w:rPr>
          <w:iCs/>
        </w:rPr>
        <w:t> </w:t>
      </w:r>
      <w:r w:rsidR="00E428AC">
        <w:rPr>
          <w:iCs/>
        </w:rPr>
        <w:t>14</w:t>
      </w:r>
      <w:r w:rsidRPr="00F7766A">
        <w:rPr>
          <w:iCs/>
        </w:rPr>
        <w:t>.</w:t>
      </w:r>
    </w:p>
    <w:p w:rsidR="00F7766A" w:rsidRPr="00284B50" w:rsidRDefault="00F7766A" w:rsidP="00F7766A">
      <w:pPr>
        <w:pStyle w:val="TableHeading0"/>
      </w:pPr>
      <w:bookmarkStart w:id="28" w:name="_Toc492950693"/>
      <w:r w:rsidRPr="00284B50">
        <w:t>Table 1</w:t>
      </w:r>
      <w:r w:rsidR="00E428AC">
        <w:t>4</w:t>
      </w:r>
      <w:r w:rsidRPr="00284B50">
        <w:t>: Sensitivity analyses for the financial estimates</w:t>
      </w:r>
      <w:bookmarkEnd w:id="28"/>
      <w:r w:rsidR="000661CF">
        <w:t xml:space="preserve"> </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Caption w:val="Table 14: Sensitivity analyses for the financial estimates "/>
      </w:tblPr>
      <w:tblGrid>
        <w:gridCol w:w="2736"/>
        <w:gridCol w:w="1057"/>
        <w:gridCol w:w="1059"/>
        <w:gridCol w:w="1057"/>
        <w:gridCol w:w="1059"/>
        <w:gridCol w:w="1057"/>
        <w:gridCol w:w="1057"/>
      </w:tblGrid>
      <w:tr w:rsidR="00F7766A" w:rsidRPr="00936AB8" w:rsidTr="006F0AAB">
        <w:trPr>
          <w:cnfStyle w:val="100000000000" w:firstRow="1" w:lastRow="0" w:firstColumn="0" w:lastColumn="0" w:oddVBand="0" w:evenVBand="0" w:oddHBand="0" w:evenHBand="0" w:firstRowFirstColumn="0" w:firstRowLastColumn="0" w:lastRowFirstColumn="0" w:lastRowLastColumn="0"/>
          <w:tblHeader/>
        </w:trPr>
        <w:tc>
          <w:tcPr>
            <w:tcW w:w="1506" w:type="pct"/>
            <w:shd w:val="clear" w:color="auto" w:fill="auto"/>
          </w:tcPr>
          <w:p w:rsidR="00F7766A" w:rsidRPr="000661CF" w:rsidRDefault="00F7766A" w:rsidP="00F12971">
            <w:pPr>
              <w:keepNext/>
              <w:spacing w:before="0"/>
              <w:rPr>
                <w:rFonts w:ascii="Arial Narrow" w:hAnsi="Arial Narrow"/>
                <w:bCs/>
                <w:sz w:val="20"/>
                <w:szCs w:val="20"/>
                <w:lang w:val="en-AU"/>
              </w:rPr>
            </w:pPr>
          </w:p>
        </w:tc>
        <w:tc>
          <w:tcPr>
            <w:tcW w:w="582" w:type="pct"/>
            <w:shd w:val="clear" w:color="auto" w:fill="auto"/>
            <w:vAlign w:val="center"/>
          </w:tcPr>
          <w:p w:rsidR="00F7766A" w:rsidRPr="0089544A" w:rsidRDefault="00F7766A" w:rsidP="00F12971">
            <w:pPr>
              <w:keepNext/>
              <w:spacing w:before="0"/>
              <w:jc w:val="center"/>
              <w:rPr>
                <w:rFonts w:ascii="Arial Narrow" w:hAnsi="Arial Narrow"/>
                <w:bCs/>
                <w:sz w:val="20"/>
                <w:szCs w:val="20"/>
                <w:lang w:val="en-AU"/>
              </w:rPr>
            </w:pPr>
            <w:r w:rsidRPr="0089544A">
              <w:rPr>
                <w:rFonts w:ascii="Arial Narrow" w:hAnsi="Arial Narrow"/>
                <w:bCs/>
                <w:sz w:val="20"/>
                <w:szCs w:val="20"/>
                <w:lang w:val="en-AU"/>
              </w:rPr>
              <w:t>Year 1</w:t>
            </w:r>
          </w:p>
        </w:tc>
        <w:tc>
          <w:tcPr>
            <w:tcW w:w="583" w:type="pct"/>
            <w:shd w:val="clear" w:color="auto" w:fill="auto"/>
            <w:vAlign w:val="center"/>
          </w:tcPr>
          <w:p w:rsidR="00F7766A" w:rsidRPr="001339EB" w:rsidRDefault="00F7766A" w:rsidP="00F12971">
            <w:pPr>
              <w:keepNext/>
              <w:spacing w:before="0"/>
              <w:jc w:val="center"/>
              <w:rPr>
                <w:rFonts w:ascii="Arial Narrow" w:hAnsi="Arial Narrow"/>
                <w:bCs/>
                <w:sz w:val="20"/>
                <w:szCs w:val="20"/>
                <w:lang w:val="en-AU"/>
              </w:rPr>
            </w:pPr>
            <w:r w:rsidRPr="001339EB">
              <w:rPr>
                <w:rFonts w:ascii="Arial Narrow" w:hAnsi="Arial Narrow"/>
                <w:bCs/>
                <w:sz w:val="20"/>
                <w:szCs w:val="20"/>
                <w:lang w:val="en-AU"/>
              </w:rPr>
              <w:t>Year 2</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sz w:val="20"/>
                <w:szCs w:val="20"/>
                <w:lang w:val="en-AU"/>
              </w:rPr>
            </w:pPr>
            <w:r w:rsidRPr="001339EB">
              <w:rPr>
                <w:rFonts w:ascii="Arial Narrow" w:hAnsi="Arial Narrow"/>
                <w:bCs/>
                <w:sz w:val="20"/>
                <w:szCs w:val="20"/>
                <w:lang w:val="en-AU"/>
              </w:rPr>
              <w:t>Year 3</w:t>
            </w:r>
          </w:p>
        </w:tc>
        <w:tc>
          <w:tcPr>
            <w:tcW w:w="583" w:type="pct"/>
            <w:shd w:val="clear" w:color="auto" w:fill="auto"/>
            <w:vAlign w:val="center"/>
          </w:tcPr>
          <w:p w:rsidR="00F7766A" w:rsidRPr="001339EB" w:rsidRDefault="00F7766A" w:rsidP="00F12971">
            <w:pPr>
              <w:keepNext/>
              <w:spacing w:before="0"/>
              <w:jc w:val="center"/>
              <w:rPr>
                <w:rFonts w:ascii="Arial Narrow" w:hAnsi="Arial Narrow"/>
                <w:bCs/>
                <w:sz w:val="20"/>
                <w:szCs w:val="20"/>
                <w:lang w:val="en-AU"/>
              </w:rPr>
            </w:pPr>
            <w:r w:rsidRPr="001339EB">
              <w:rPr>
                <w:rFonts w:ascii="Arial Narrow" w:hAnsi="Arial Narrow"/>
                <w:bCs/>
                <w:sz w:val="20"/>
                <w:szCs w:val="20"/>
                <w:lang w:val="en-AU"/>
              </w:rPr>
              <w:t>Year 4</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sz w:val="20"/>
                <w:szCs w:val="20"/>
                <w:lang w:val="en-AU"/>
              </w:rPr>
            </w:pPr>
            <w:r w:rsidRPr="001339EB">
              <w:rPr>
                <w:rFonts w:ascii="Arial Narrow" w:hAnsi="Arial Narrow"/>
                <w:bCs/>
                <w:sz w:val="20"/>
                <w:szCs w:val="20"/>
                <w:lang w:val="en-AU"/>
              </w:rPr>
              <w:t>Year 5</w:t>
            </w:r>
          </w:p>
        </w:tc>
        <w:tc>
          <w:tcPr>
            <w:tcW w:w="583" w:type="pct"/>
            <w:shd w:val="clear" w:color="auto" w:fill="auto"/>
            <w:vAlign w:val="center"/>
          </w:tcPr>
          <w:p w:rsidR="00F7766A" w:rsidRPr="001339EB" w:rsidRDefault="00F7766A" w:rsidP="00F12971">
            <w:pPr>
              <w:keepNext/>
              <w:spacing w:before="0"/>
              <w:jc w:val="center"/>
              <w:rPr>
                <w:rFonts w:ascii="Arial Narrow" w:hAnsi="Arial Narrow"/>
                <w:bCs/>
                <w:sz w:val="20"/>
                <w:szCs w:val="20"/>
                <w:lang w:val="en-AU"/>
              </w:rPr>
            </w:pPr>
            <w:r w:rsidRPr="001339EB">
              <w:rPr>
                <w:rFonts w:ascii="Arial Narrow" w:hAnsi="Arial Narrow"/>
                <w:bCs/>
                <w:sz w:val="20"/>
                <w:szCs w:val="20"/>
                <w:lang w:val="en-AU"/>
              </w:rPr>
              <w:t>Year 6</w:t>
            </w:r>
          </w:p>
        </w:tc>
      </w:tr>
      <w:tr w:rsidR="00F7766A" w:rsidRPr="00936AB8" w:rsidTr="00900949">
        <w:tc>
          <w:tcPr>
            <w:tcW w:w="1506" w:type="pct"/>
            <w:shd w:val="clear" w:color="auto" w:fill="auto"/>
          </w:tcPr>
          <w:p w:rsidR="00F7766A" w:rsidRPr="000661CF" w:rsidRDefault="00F7766A" w:rsidP="00F12971">
            <w:pPr>
              <w:keepNext/>
              <w:spacing w:before="0"/>
              <w:rPr>
                <w:rFonts w:ascii="Arial Narrow" w:hAnsi="Arial Narrow"/>
                <w:bCs/>
                <w:sz w:val="20"/>
                <w:szCs w:val="20"/>
                <w:lang w:val="en-AU"/>
              </w:rPr>
            </w:pPr>
            <w:r w:rsidRPr="000661CF">
              <w:rPr>
                <w:rFonts w:ascii="Arial Narrow" w:hAnsi="Arial Narrow"/>
                <w:bCs/>
                <w:sz w:val="20"/>
                <w:szCs w:val="20"/>
                <w:lang w:val="en-AU"/>
              </w:rPr>
              <w:t xml:space="preserve">Base case </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r w:rsidR="00F7766A" w:rsidRPr="00936AB8" w:rsidTr="00900949">
        <w:tc>
          <w:tcPr>
            <w:tcW w:w="1506" w:type="pct"/>
            <w:shd w:val="clear" w:color="auto" w:fill="auto"/>
          </w:tcPr>
          <w:p w:rsidR="00F7766A" w:rsidRPr="000661CF" w:rsidRDefault="00F7766A" w:rsidP="00F12971">
            <w:pPr>
              <w:keepNext/>
              <w:spacing w:before="0"/>
              <w:rPr>
                <w:rFonts w:ascii="Arial Narrow" w:hAnsi="Arial Narrow"/>
                <w:bCs/>
                <w:sz w:val="20"/>
                <w:szCs w:val="20"/>
                <w:lang w:val="en-AU"/>
              </w:rPr>
            </w:pPr>
            <w:r w:rsidRPr="000661CF">
              <w:rPr>
                <w:rFonts w:ascii="Arial Narrow" w:hAnsi="Arial Narrow"/>
                <w:bCs/>
                <w:sz w:val="20"/>
                <w:szCs w:val="20"/>
                <w:lang w:val="en-AU"/>
              </w:rPr>
              <w:t>10% increase in CDI patients</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r w:rsidR="00F7766A" w:rsidRPr="00936AB8" w:rsidTr="00900949">
        <w:tc>
          <w:tcPr>
            <w:tcW w:w="1506" w:type="pct"/>
            <w:shd w:val="clear" w:color="auto" w:fill="auto"/>
          </w:tcPr>
          <w:p w:rsidR="00F7766A" w:rsidRPr="000661CF" w:rsidRDefault="00F7766A" w:rsidP="00F12971">
            <w:pPr>
              <w:keepNext/>
              <w:spacing w:before="0"/>
              <w:rPr>
                <w:rFonts w:ascii="Arial Narrow" w:hAnsi="Arial Narrow"/>
                <w:bCs/>
                <w:sz w:val="20"/>
                <w:szCs w:val="20"/>
                <w:lang w:val="en-AU"/>
              </w:rPr>
            </w:pPr>
            <w:r w:rsidRPr="000661CF">
              <w:rPr>
                <w:rFonts w:ascii="Arial Narrow" w:hAnsi="Arial Narrow"/>
                <w:bCs/>
                <w:sz w:val="20"/>
                <w:szCs w:val="20"/>
                <w:lang w:val="en-AU"/>
              </w:rPr>
              <w:t>5% decrease in annual uptake</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r w:rsidR="00F7766A" w:rsidRPr="00936AB8" w:rsidTr="00900949">
        <w:tc>
          <w:tcPr>
            <w:tcW w:w="1506" w:type="pct"/>
            <w:shd w:val="clear" w:color="auto" w:fill="auto"/>
          </w:tcPr>
          <w:p w:rsidR="00F7766A" w:rsidRPr="001339EB" w:rsidRDefault="00F7766A" w:rsidP="00F12971">
            <w:pPr>
              <w:keepNext/>
              <w:spacing w:before="0"/>
              <w:rPr>
                <w:rFonts w:ascii="Arial Narrow" w:hAnsi="Arial Narrow"/>
                <w:bCs/>
                <w:iCs/>
                <w:sz w:val="20"/>
                <w:szCs w:val="20"/>
                <w:lang w:val="en-AU"/>
              </w:rPr>
            </w:pPr>
            <w:r w:rsidRPr="001339EB">
              <w:rPr>
                <w:rFonts w:ascii="Arial Narrow" w:hAnsi="Arial Narrow"/>
                <w:bCs/>
                <w:iCs/>
                <w:sz w:val="20"/>
                <w:szCs w:val="20"/>
                <w:lang w:val="en-AU"/>
              </w:rPr>
              <w:t>20% increase in annual uptake</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r w:rsidR="00F7766A" w:rsidRPr="00936AB8" w:rsidTr="00900949">
        <w:tc>
          <w:tcPr>
            <w:tcW w:w="1506" w:type="pct"/>
            <w:shd w:val="clear" w:color="auto" w:fill="auto"/>
          </w:tcPr>
          <w:p w:rsidR="00F7766A" w:rsidRPr="001339EB" w:rsidRDefault="00F7766A" w:rsidP="00F12971">
            <w:pPr>
              <w:keepNext/>
              <w:spacing w:before="0"/>
              <w:rPr>
                <w:rFonts w:ascii="Arial Narrow" w:hAnsi="Arial Narrow"/>
                <w:bCs/>
                <w:iCs/>
                <w:sz w:val="20"/>
                <w:szCs w:val="20"/>
                <w:vertAlign w:val="superscript"/>
                <w:lang w:val="en-AU"/>
              </w:rPr>
            </w:pPr>
            <w:r w:rsidRPr="001339EB">
              <w:rPr>
                <w:rFonts w:ascii="Arial Narrow" w:hAnsi="Arial Narrow"/>
                <w:bCs/>
                <w:iCs/>
                <w:sz w:val="20"/>
                <w:szCs w:val="20"/>
                <w:lang w:val="en-AU"/>
              </w:rPr>
              <w:t>1:1 metronidazole: vancomycin (base case 1:9)</w:t>
            </w:r>
            <w:r w:rsidRPr="001339EB">
              <w:rPr>
                <w:rFonts w:ascii="Arial Narrow" w:hAnsi="Arial Narrow"/>
                <w:bCs/>
                <w:iCs/>
                <w:sz w:val="20"/>
                <w:szCs w:val="20"/>
                <w:vertAlign w:val="superscript"/>
                <w:lang w:val="en-AU"/>
              </w:rPr>
              <w:t>1</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r w:rsidR="00F7766A" w:rsidRPr="00936AB8" w:rsidTr="00900949">
        <w:tc>
          <w:tcPr>
            <w:tcW w:w="1506" w:type="pct"/>
            <w:shd w:val="clear" w:color="auto" w:fill="auto"/>
          </w:tcPr>
          <w:p w:rsidR="00F7766A" w:rsidRPr="001339EB" w:rsidRDefault="00F7766A" w:rsidP="00F12971">
            <w:pPr>
              <w:keepNext/>
              <w:spacing w:before="0"/>
              <w:rPr>
                <w:rFonts w:ascii="Arial Narrow" w:hAnsi="Arial Narrow"/>
                <w:bCs/>
                <w:iCs/>
                <w:sz w:val="20"/>
                <w:szCs w:val="20"/>
                <w:vertAlign w:val="superscript"/>
                <w:lang w:val="en-AU"/>
              </w:rPr>
            </w:pPr>
            <w:r w:rsidRPr="001339EB">
              <w:rPr>
                <w:rFonts w:ascii="Arial Narrow" w:hAnsi="Arial Narrow"/>
                <w:bCs/>
                <w:iCs/>
                <w:sz w:val="20"/>
                <w:szCs w:val="20"/>
                <w:lang w:val="en-AU"/>
              </w:rPr>
              <w:t>bezlotoxumab given at each CDI episode (base case one dose per lifetime)</w:t>
            </w:r>
            <w:r w:rsidRPr="001339EB">
              <w:rPr>
                <w:rFonts w:ascii="Arial Narrow" w:hAnsi="Arial Narrow"/>
                <w:bCs/>
                <w:iCs/>
                <w:sz w:val="20"/>
                <w:szCs w:val="20"/>
                <w:vertAlign w:val="superscript"/>
                <w:lang w:val="en-AU"/>
              </w:rPr>
              <w:t>2</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r w:rsidR="00F7766A" w:rsidRPr="00936AB8" w:rsidTr="00900949">
        <w:tc>
          <w:tcPr>
            <w:tcW w:w="1506" w:type="pct"/>
            <w:shd w:val="clear" w:color="auto" w:fill="auto"/>
          </w:tcPr>
          <w:p w:rsidR="00F7766A" w:rsidRPr="001339EB" w:rsidRDefault="00F7766A" w:rsidP="00F12971">
            <w:pPr>
              <w:keepNext/>
              <w:spacing w:before="0"/>
              <w:rPr>
                <w:rFonts w:ascii="Arial Narrow" w:hAnsi="Arial Narrow"/>
                <w:bCs/>
                <w:iCs/>
                <w:sz w:val="20"/>
                <w:szCs w:val="20"/>
                <w:lang w:val="en-AU"/>
              </w:rPr>
            </w:pPr>
            <w:r w:rsidRPr="001339EB">
              <w:rPr>
                <w:rFonts w:ascii="Arial Narrow" w:hAnsi="Arial Narrow"/>
                <w:bCs/>
                <w:iCs/>
                <w:sz w:val="20"/>
                <w:szCs w:val="20"/>
                <w:lang w:val="en-AU"/>
              </w:rPr>
              <w:t>Recurrence rate as for whole trial population (base case: outpatients only)</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F12971">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2"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c>
          <w:tcPr>
            <w:tcW w:w="583" w:type="pct"/>
            <w:shd w:val="clear" w:color="auto" w:fill="auto"/>
            <w:vAlign w:val="center"/>
          </w:tcPr>
          <w:p w:rsidR="00F7766A" w:rsidRPr="001339EB" w:rsidRDefault="00F7766A" w:rsidP="000661CF">
            <w:pPr>
              <w:keepNext/>
              <w:spacing w:before="0"/>
              <w:jc w:val="center"/>
              <w:rPr>
                <w:rFonts w:ascii="Arial Narrow" w:hAnsi="Arial Narrow"/>
                <w:bCs/>
                <w:iCs/>
                <w:sz w:val="20"/>
                <w:szCs w:val="20"/>
                <w:lang w:val="en-AU"/>
              </w:rPr>
            </w:pPr>
            <w:r w:rsidRPr="001339EB">
              <w:rPr>
                <w:rFonts w:ascii="Arial Narrow" w:hAnsi="Arial Narrow"/>
                <w:bCs/>
                <w:iCs/>
                <w:sz w:val="20"/>
                <w:szCs w:val="20"/>
                <w:lang w:val="en-AU"/>
              </w:rPr>
              <w:t>$</w:t>
            </w:r>
            <w:r w:rsidR="007605FE">
              <w:rPr>
                <w:rFonts w:ascii="Arial Narrow" w:hAnsi="Arial Narrow"/>
                <w:bCs/>
                <w:iCs/>
                <w:noProof/>
                <w:color w:val="000000"/>
                <w:sz w:val="20"/>
                <w:szCs w:val="20"/>
                <w:highlight w:val="black"/>
              </w:rPr>
              <w:t>''''''''''''''''''''''''''</w:t>
            </w:r>
          </w:p>
        </w:tc>
      </w:tr>
    </w:tbl>
    <w:p w:rsidR="00F7766A" w:rsidRPr="008F126C" w:rsidRDefault="00F7766A" w:rsidP="00F7766A">
      <w:pPr>
        <w:pStyle w:val="oldTablefooter"/>
        <w:rPr>
          <w:rFonts w:ascii="Arial Narrow" w:hAnsi="Arial Narrow"/>
        </w:rPr>
      </w:pPr>
      <w:bookmarkStart w:id="29" w:name="_Toc492950694"/>
      <w:r w:rsidRPr="008F126C">
        <w:rPr>
          <w:rFonts w:ascii="Arial Narrow" w:hAnsi="Arial Narrow"/>
        </w:rPr>
        <w:t>1</w:t>
      </w:r>
      <w:r w:rsidRPr="008F126C">
        <w:rPr>
          <w:rFonts w:ascii="Arial Narrow" w:hAnsi="Arial Narrow"/>
        </w:rPr>
        <w:tab/>
        <w:t>Estimated by changing proportion of patient add-on to metronidazole from 10% to 50% (i.e. ratio of metronidazole + bezlotoxumab to vancomycin + bezlotoxumab is 1:1)</w:t>
      </w:r>
      <w:bookmarkEnd w:id="29"/>
    </w:p>
    <w:p w:rsidR="00F7766A" w:rsidRPr="008F126C" w:rsidRDefault="00F7766A" w:rsidP="00F7766A">
      <w:pPr>
        <w:pStyle w:val="oldTablefooter"/>
        <w:rPr>
          <w:rFonts w:ascii="Arial Narrow" w:hAnsi="Arial Narrow"/>
        </w:rPr>
      </w:pPr>
      <w:bookmarkStart w:id="30" w:name="_Toc492950695"/>
      <w:r w:rsidRPr="008F126C">
        <w:rPr>
          <w:rFonts w:ascii="Arial Narrow" w:hAnsi="Arial Narrow"/>
        </w:rPr>
        <w:t>2</w:t>
      </w:r>
      <w:r w:rsidRPr="008F126C">
        <w:rPr>
          <w:rFonts w:ascii="Arial Narrow" w:hAnsi="Arial Narrow"/>
        </w:rPr>
        <w:tab/>
        <w:t>Estimated by adding the estimated number of patients treated with bezlotoxumab who experienced CDI recurrence to the total number of patients being treated each year</w:t>
      </w:r>
      <w:bookmarkEnd w:id="30"/>
    </w:p>
    <w:p w:rsidR="0068187B" w:rsidRPr="008F126C" w:rsidRDefault="00F7766A" w:rsidP="00F7766A">
      <w:pPr>
        <w:pStyle w:val="oldTablefooter"/>
        <w:rPr>
          <w:sz w:val="24"/>
          <w:szCs w:val="24"/>
        </w:rPr>
      </w:pPr>
      <w:bookmarkStart w:id="31" w:name="_Toc492950697"/>
      <w:r w:rsidRPr="008F126C">
        <w:rPr>
          <w:rFonts w:ascii="Arial Narrow" w:hAnsi="Arial Narrow"/>
        </w:rPr>
        <w:t>Source: constructed during evaluation using Section 4 estimates.xlsx</w:t>
      </w:r>
      <w:bookmarkEnd w:id="31"/>
    </w:p>
    <w:p w:rsidR="0068187B" w:rsidRPr="008F126C" w:rsidRDefault="0068187B" w:rsidP="008F126C">
      <w:pPr>
        <w:pStyle w:val="oldTablefooter"/>
        <w:spacing w:before="120" w:after="120"/>
        <w:rPr>
          <w:sz w:val="24"/>
          <w:szCs w:val="24"/>
        </w:rPr>
      </w:pPr>
      <w:r w:rsidRPr="008F126C">
        <w:rPr>
          <w:sz w:val="24"/>
          <w:szCs w:val="24"/>
        </w:rPr>
        <w:t xml:space="preserve">The redacted table shows that at year </w:t>
      </w:r>
      <w:r w:rsidR="00CE23AB">
        <w:rPr>
          <w:sz w:val="24"/>
          <w:szCs w:val="24"/>
        </w:rPr>
        <w:t>5</w:t>
      </w:r>
      <w:r w:rsidRPr="008F126C">
        <w:rPr>
          <w:sz w:val="24"/>
          <w:szCs w:val="24"/>
        </w:rPr>
        <w:t xml:space="preserve">, </w:t>
      </w:r>
      <w:r>
        <w:rPr>
          <w:sz w:val="24"/>
          <w:szCs w:val="24"/>
        </w:rPr>
        <w:t xml:space="preserve">financial estimates were in the range of </w:t>
      </w:r>
      <w:r w:rsidRPr="0068187B">
        <w:rPr>
          <w:sz w:val="24"/>
          <w:szCs w:val="24"/>
        </w:rPr>
        <w:t>less than $10 million per year</w:t>
      </w:r>
      <w:r w:rsidRPr="008F126C">
        <w:rPr>
          <w:sz w:val="24"/>
          <w:szCs w:val="24"/>
        </w:rPr>
        <w:t xml:space="preserve"> and </w:t>
      </w:r>
      <w:r w:rsidRPr="0068187B">
        <w:rPr>
          <w:sz w:val="24"/>
          <w:szCs w:val="24"/>
        </w:rPr>
        <w:t>$10 – $20 million per year</w:t>
      </w:r>
      <w:r>
        <w:rPr>
          <w:sz w:val="24"/>
          <w:szCs w:val="24"/>
        </w:rPr>
        <w:t>.</w:t>
      </w:r>
    </w:p>
    <w:p w:rsidR="003017A5" w:rsidRPr="001B381A" w:rsidRDefault="003017A5" w:rsidP="00900949">
      <w:pPr>
        <w:pStyle w:val="ListParagraph"/>
        <w:numPr>
          <w:ilvl w:val="1"/>
          <w:numId w:val="4"/>
        </w:numPr>
        <w:spacing w:after="120"/>
        <w:jc w:val="both"/>
      </w:pPr>
      <w:r>
        <w:rPr>
          <w:iCs/>
        </w:rPr>
        <w:t>The PBAC noted DUSC</w:t>
      </w:r>
      <w:r w:rsidR="00875B26">
        <w:rPr>
          <w:iCs/>
        </w:rPr>
        <w:t>’</w:t>
      </w:r>
      <w:r>
        <w:rPr>
          <w:iCs/>
        </w:rPr>
        <w:t>s</w:t>
      </w:r>
      <w:r w:rsidR="001B381A">
        <w:rPr>
          <w:iCs/>
        </w:rPr>
        <w:t xml:space="preserve"> advi</w:t>
      </w:r>
      <w:r w:rsidR="00875B26">
        <w:rPr>
          <w:iCs/>
        </w:rPr>
        <w:t>c</w:t>
      </w:r>
      <w:r w:rsidR="001B381A">
        <w:rPr>
          <w:iCs/>
        </w:rPr>
        <w:t>e that</w:t>
      </w:r>
      <w:r w:rsidR="00482C62">
        <w:rPr>
          <w:iCs/>
        </w:rPr>
        <w:t xml:space="preserve"> the estimates presented in the submission were likely to be underestimated</w:t>
      </w:r>
      <w:r w:rsidR="00B037BD">
        <w:rPr>
          <w:iCs/>
        </w:rPr>
        <w:t xml:space="preserve"> because</w:t>
      </w:r>
      <w:r w:rsidR="001B381A">
        <w:rPr>
          <w:iCs/>
        </w:rPr>
        <w:t>:</w:t>
      </w:r>
    </w:p>
    <w:p w:rsidR="001B381A" w:rsidRDefault="001B381A" w:rsidP="00210A22">
      <w:pPr>
        <w:pStyle w:val="ListParagraph"/>
        <w:numPr>
          <w:ilvl w:val="0"/>
          <w:numId w:val="16"/>
        </w:numPr>
        <w:spacing w:before="0" w:after="120"/>
        <w:jc w:val="both"/>
      </w:pPr>
      <w:r>
        <w:t>The eligible populat</w:t>
      </w:r>
      <w:r w:rsidR="0059282F">
        <w:t>ion was likely an underestimate.</w:t>
      </w:r>
    </w:p>
    <w:p w:rsidR="001B381A" w:rsidRDefault="001B381A" w:rsidP="00210A22">
      <w:pPr>
        <w:pStyle w:val="ListParagraph"/>
        <w:numPr>
          <w:ilvl w:val="0"/>
          <w:numId w:val="16"/>
        </w:numPr>
        <w:spacing w:before="0" w:after="120"/>
        <w:jc w:val="both"/>
      </w:pPr>
      <w:r>
        <w:t xml:space="preserve">The proposed </w:t>
      </w:r>
      <w:r w:rsidR="00482C62">
        <w:t>place in therapy is for prevention, but that there was a risk that bezlotoxumab might be used as a treatment where there is unkn</w:t>
      </w:r>
      <w:r w:rsidR="0059282F">
        <w:t>own efficacy.</w:t>
      </w:r>
    </w:p>
    <w:p w:rsidR="00482C62" w:rsidRDefault="00B037BD" w:rsidP="00210A22">
      <w:pPr>
        <w:pStyle w:val="ListParagraph"/>
        <w:numPr>
          <w:ilvl w:val="0"/>
          <w:numId w:val="16"/>
        </w:numPr>
        <w:spacing w:before="0" w:after="120"/>
        <w:jc w:val="both"/>
      </w:pPr>
      <w:r>
        <w:t>D</w:t>
      </w:r>
      <w:r w:rsidR="00482C62">
        <w:t>espite the increased rate applied in the PSCR, the uptake rates remain underestimated.</w:t>
      </w:r>
    </w:p>
    <w:p w:rsidR="0059282F" w:rsidRDefault="0059282F" w:rsidP="000B1B4F">
      <w:pPr>
        <w:pStyle w:val="ListParagraph"/>
        <w:numPr>
          <w:ilvl w:val="1"/>
          <w:numId w:val="4"/>
        </w:numPr>
        <w:spacing w:before="0" w:after="120"/>
        <w:jc w:val="both"/>
      </w:pPr>
      <w:r>
        <w:t>The PBAC further note</w:t>
      </w:r>
      <w:r w:rsidR="00B037BD">
        <w:t>d</w:t>
      </w:r>
      <w:r>
        <w:t xml:space="preserve"> </w:t>
      </w:r>
      <w:r w:rsidR="00B037BD">
        <w:t xml:space="preserve">further advice from </w:t>
      </w:r>
      <w:r>
        <w:t>DUSC that:</w:t>
      </w:r>
    </w:p>
    <w:p w:rsidR="0059282F" w:rsidRDefault="00B037BD" w:rsidP="00210A22">
      <w:pPr>
        <w:pStyle w:val="ListParagraph"/>
        <w:numPr>
          <w:ilvl w:val="0"/>
          <w:numId w:val="17"/>
        </w:numPr>
        <w:spacing w:before="0" w:after="120"/>
        <w:jc w:val="both"/>
      </w:pPr>
      <w:r>
        <w:t>t</w:t>
      </w:r>
      <w:r w:rsidR="0059282F">
        <w:t>he listing of bezlotoxumab could change clinical practice and antibiotic prescribing patterns;</w:t>
      </w:r>
    </w:p>
    <w:p w:rsidR="0059282F" w:rsidRDefault="00B037BD" w:rsidP="00210A22">
      <w:pPr>
        <w:pStyle w:val="ListParagraph"/>
        <w:numPr>
          <w:ilvl w:val="0"/>
          <w:numId w:val="17"/>
        </w:numPr>
        <w:spacing w:before="0" w:after="120"/>
        <w:jc w:val="both"/>
      </w:pPr>
      <w:r>
        <w:t>i</w:t>
      </w:r>
      <w:r w:rsidR="0059282F">
        <w:t>n aged care facilities, there is risk of antibiotic resistance and concurrent use of other biologics, with unknown implications;</w:t>
      </w:r>
    </w:p>
    <w:p w:rsidR="0059282F" w:rsidRDefault="0059282F" w:rsidP="00210A22">
      <w:pPr>
        <w:pStyle w:val="ListParagraph"/>
        <w:numPr>
          <w:ilvl w:val="0"/>
          <w:numId w:val="17"/>
        </w:numPr>
        <w:spacing w:before="0" w:after="120"/>
        <w:jc w:val="both"/>
      </w:pPr>
      <w:r>
        <w:t>faecal microbiota transplant is an alternative procedure for prevention of CDI recurrence and has an observed high cure rate;</w:t>
      </w:r>
    </w:p>
    <w:p w:rsidR="0059282F" w:rsidRDefault="00B037BD" w:rsidP="00210A22">
      <w:pPr>
        <w:pStyle w:val="ListParagraph"/>
        <w:numPr>
          <w:ilvl w:val="0"/>
          <w:numId w:val="17"/>
        </w:numPr>
        <w:spacing w:before="0" w:after="120"/>
        <w:jc w:val="both"/>
      </w:pPr>
      <w:r>
        <w:t>i</w:t>
      </w:r>
      <w:r w:rsidR="0059282F">
        <w:t xml:space="preserve">t is difficult to predict the impact of future outbreaks of CDI and that </w:t>
      </w:r>
      <w:r w:rsidR="00210A22">
        <w:t>is an area of uncertainty in the financial estimates.</w:t>
      </w:r>
    </w:p>
    <w:p w:rsidR="00200B45" w:rsidRPr="00200B45" w:rsidRDefault="00200B45" w:rsidP="000B1B4F">
      <w:pPr>
        <w:pStyle w:val="ListParagraph"/>
        <w:numPr>
          <w:ilvl w:val="1"/>
          <w:numId w:val="4"/>
        </w:numPr>
        <w:spacing w:before="0" w:after="120"/>
        <w:jc w:val="both"/>
      </w:pPr>
      <w:r w:rsidRPr="00F7766A">
        <w:rPr>
          <w:iCs/>
        </w:rPr>
        <w:t xml:space="preserve">Overall, the </w:t>
      </w:r>
      <w:r w:rsidR="00B037BD">
        <w:rPr>
          <w:iCs/>
        </w:rPr>
        <w:t xml:space="preserve">PBAC considered that </w:t>
      </w:r>
      <w:r w:rsidRPr="00F7766A">
        <w:rPr>
          <w:iCs/>
        </w:rPr>
        <w:t>submission’s financial estimates were likely to be underestimated.</w:t>
      </w:r>
    </w:p>
    <w:p w:rsidR="009747D6" w:rsidRPr="009747D6" w:rsidRDefault="009747D6" w:rsidP="009747D6">
      <w:pPr>
        <w:pStyle w:val="Heading2"/>
        <w:rPr>
          <w:i w:val="0"/>
        </w:rPr>
      </w:pPr>
      <w:r w:rsidRPr="009747D6">
        <w:rPr>
          <w:i w:val="0"/>
        </w:rPr>
        <w:t>Financial Management – Risk Sharing Arrangements</w:t>
      </w:r>
    </w:p>
    <w:p w:rsidR="009747D6" w:rsidRDefault="009747D6" w:rsidP="009747D6">
      <w:pPr>
        <w:pStyle w:val="ListParagraph"/>
        <w:numPr>
          <w:ilvl w:val="1"/>
          <w:numId w:val="4"/>
        </w:numPr>
        <w:spacing w:before="0" w:after="120"/>
        <w:jc w:val="both"/>
      </w:pPr>
      <w:r w:rsidRPr="009747D6">
        <w:t xml:space="preserve">The sponsor </w:t>
      </w:r>
      <w:r w:rsidR="00B037BD">
        <w:t>indicated a</w:t>
      </w:r>
      <w:r w:rsidRPr="009747D6">
        <w:t xml:space="preserve"> willing</w:t>
      </w:r>
      <w:r w:rsidR="00B037BD">
        <w:t>ness</w:t>
      </w:r>
      <w:r w:rsidRPr="009747D6">
        <w:t xml:space="preserve"> to enter a risk sharing arrangement with a cap/rebate structure to address uncertainty in utilisation.</w:t>
      </w:r>
      <w:r w:rsidR="00B037BD">
        <w:t xml:space="preserve"> The PBAC considered that given the uncertainties in utilisation and high likelihood of repeat dosing for subsequent recurrence or new infection, a risk sharing arrangement would be required.</w:t>
      </w:r>
    </w:p>
    <w:p w:rsidR="0007277C" w:rsidRDefault="00C608C4" w:rsidP="001339EB">
      <w:pPr>
        <w:pStyle w:val="ListParagraph"/>
        <w:jc w:val="both"/>
      </w:pPr>
      <w:r w:rsidRPr="006C3DFF">
        <w:rPr>
          <w:i/>
        </w:rPr>
        <w:t>For more detail on PBAC’s view, see section 7 PBAC outcome.</w:t>
      </w:r>
    </w:p>
    <w:p w:rsidR="00C8186F" w:rsidRPr="00CB1125" w:rsidRDefault="00C8186F" w:rsidP="00CB1125">
      <w:pPr>
        <w:pStyle w:val="Heading1"/>
        <w:numPr>
          <w:ilvl w:val="0"/>
          <w:numId w:val="4"/>
        </w:numPr>
        <w:ind w:left="432" w:hanging="432"/>
        <w:jc w:val="both"/>
      </w:pPr>
      <w:r w:rsidRPr="00CB1125">
        <w:t>PBAC Outcome</w:t>
      </w:r>
    </w:p>
    <w:p w:rsidR="00914058" w:rsidRPr="00351664" w:rsidRDefault="00914058" w:rsidP="002471D4">
      <w:pPr>
        <w:widowControl w:val="0"/>
        <w:numPr>
          <w:ilvl w:val="1"/>
          <w:numId w:val="4"/>
        </w:numPr>
        <w:spacing w:before="0" w:after="120"/>
        <w:jc w:val="both"/>
        <w:rPr>
          <w:rFonts w:cs="Arial"/>
          <w:bCs/>
          <w:snapToGrid w:val="0"/>
          <w:lang w:val="en-GB"/>
        </w:rPr>
      </w:pPr>
      <w:r w:rsidRPr="00914058">
        <w:rPr>
          <w:rFonts w:cs="Arial"/>
          <w:bCs/>
          <w:snapToGrid w:val="0"/>
          <w:lang w:val="en-GB"/>
        </w:rPr>
        <w:t>The</w:t>
      </w:r>
      <w:r>
        <w:rPr>
          <w:rFonts w:cs="Arial"/>
          <w:bCs/>
          <w:snapToGrid w:val="0"/>
          <w:lang w:val="en-GB"/>
        </w:rPr>
        <w:t xml:space="preserve"> PBAC did not recommend the listing of bezlotoxumab on the PBS </w:t>
      </w:r>
      <w:r w:rsidRPr="00D33A17">
        <w:t xml:space="preserve">for </w:t>
      </w:r>
      <w:r>
        <w:t>the</w:t>
      </w:r>
      <w:r w:rsidRPr="00D33A17">
        <w:t xml:space="preserve"> prevention of </w:t>
      </w:r>
      <w:r w:rsidRPr="007D1282">
        <w:rPr>
          <w:i/>
        </w:rPr>
        <w:t>Clostridium difficile</w:t>
      </w:r>
      <w:r w:rsidRPr="00D33A17">
        <w:t xml:space="preserve"> infection (CDI) recurrence in patients recei</w:t>
      </w:r>
      <w:r>
        <w:t xml:space="preserve">ving antibiotic therapy for CDI on the basis of </w:t>
      </w:r>
      <w:r w:rsidR="00623AE5">
        <w:t>its modest effectiveness</w:t>
      </w:r>
      <w:r w:rsidR="00443C70">
        <w:t xml:space="preserve"> and uncertain </w:t>
      </w:r>
      <w:r w:rsidR="007738A3">
        <w:t>incremental cost-effectiveness ratio</w:t>
      </w:r>
      <w:r w:rsidR="00443C70">
        <w:t xml:space="preserve"> </w:t>
      </w:r>
      <w:r w:rsidR="007738A3">
        <w:t>(</w:t>
      </w:r>
      <w:r w:rsidR="00443C70">
        <w:t>ICER</w:t>
      </w:r>
      <w:r w:rsidR="007738A3">
        <w:t>)</w:t>
      </w:r>
      <w:r w:rsidR="00443C70">
        <w:t>.</w:t>
      </w:r>
      <w:r w:rsidR="00623AE5">
        <w:t xml:space="preserve"> </w:t>
      </w:r>
    </w:p>
    <w:p w:rsidR="000D0F74" w:rsidRDefault="000D0F74" w:rsidP="00351664">
      <w:pPr>
        <w:widowControl w:val="0"/>
        <w:numPr>
          <w:ilvl w:val="1"/>
          <w:numId w:val="4"/>
        </w:numPr>
        <w:spacing w:before="0" w:after="120"/>
        <w:jc w:val="both"/>
        <w:rPr>
          <w:rFonts w:cs="Arial"/>
          <w:bCs/>
          <w:snapToGrid w:val="0"/>
          <w:lang w:val="en-GB"/>
        </w:rPr>
      </w:pPr>
      <w:r>
        <w:rPr>
          <w:rFonts w:cs="Arial"/>
          <w:bCs/>
          <w:snapToGrid w:val="0"/>
          <w:lang w:val="en-GB"/>
        </w:rPr>
        <w:t>The PBAC considered that the proposed restriction did not adequately define bezlotoxumab</w:t>
      </w:r>
      <w:r w:rsidR="007F685B">
        <w:rPr>
          <w:rFonts w:cs="Arial"/>
          <w:bCs/>
          <w:snapToGrid w:val="0"/>
          <w:lang w:val="en-GB"/>
        </w:rPr>
        <w:t>’</w:t>
      </w:r>
      <w:r>
        <w:rPr>
          <w:rFonts w:cs="Arial"/>
          <w:bCs/>
          <w:snapToGrid w:val="0"/>
          <w:lang w:val="en-GB"/>
        </w:rPr>
        <w:t>s place in therapy. The PBAC considered it was probable</w:t>
      </w:r>
      <w:r w:rsidR="0089544A">
        <w:rPr>
          <w:rFonts w:cs="Arial"/>
          <w:bCs/>
          <w:snapToGrid w:val="0"/>
          <w:lang w:val="en-GB"/>
        </w:rPr>
        <w:t>, and likely appropriate,</w:t>
      </w:r>
      <w:r>
        <w:rPr>
          <w:rFonts w:cs="Arial"/>
          <w:bCs/>
          <w:snapToGrid w:val="0"/>
          <w:lang w:val="en-GB"/>
        </w:rPr>
        <w:t xml:space="preserve"> that bezlotoxumab would be used </w:t>
      </w:r>
      <w:r w:rsidR="0089544A">
        <w:rPr>
          <w:rFonts w:cs="Arial"/>
          <w:bCs/>
          <w:snapToGrid w:val="0"/>
          <w:lang w:val="en-GB"/>
        </w:rPr>
        <w:t>more than once</w:t>
      </w:r>
      <w:r>
        <w:rPr>
          <w:rFonts w:cs="Arial"/>
          <w:bCs/>
          <w:snapToGrid w:val="0"/>
          <w:lang w:val="en-GB"/>
        </w:rPr>
        <w:t xml:space="preserve"> </w:t>
      </w:r>
      <w:r w:rsidR="00B037BD">
        <w:rPr>
          <w:rFonts w:cs="Arial"/>
          <w:bCs/>
          <w:snapToGrid w:val="0"/>
          <w:lang w:val="en-GB"/>
        </w:rPr>
        <w:t xml:space="preserve">within a patient’s lifetime </w:t>
      </w:r>
      <w:r>
        <w:rPr>
          <w:rFonts w:cs="Arial"/>
          <w:bCs/>
          <w:snapToGrid w:val="0"/>
          <w:lang w:val="en-GB"/>
        </w:rPr>
        <w:t xml:space="preserve">for </w:t>
      </w:r>
      <w:r w:rsidR="0089544A">
        <w:rPr>
          <w:rFonts w:cs="Arial"/>
          <w:bCs/>
          <w:snapToGrid w:val="0"/>
          <w:lang w:val="en-GB"/>
        </w:rPr>
        <w:t xml:space="preserve">a new </w:t>
      </w:r>
      <w:r>
        <w:rPr>
          <w:rFonts w:cs="Arial"/>
          <w:bCs/>
          <w:snapToGrid w:val="0"/>
          <w:lang w:val="en-GB"/>
        </w:rPr>
        <w:t>infection</w:t>
      </w:r>
      <w:r w:rsidR="00B037BD">
        <w:rPr>
          <w:rFonts w:cs="Arial"/>
          <w:bCs/>
          <w:snapToGrid w:val="0"/>
          <w:lang w:val="en-GB"/>
        </w:rPr>
        <w:t xml:space="preserve"> or recurrence</w:t>
      </w:r>
      <w:r>
        <w:rPr>
          <w:rFonts w:cs="Arial"/>
          <w:bCs/>
          <w:snapToGrid w:val="0"/>
          <w:lang w:val="en-GB"/>
        </w:rPr>
        <w:t xml:space="preserve">, despite </w:t>
      </w:r>
      <w:r w:rsidR="00B037BD">
        <w:rPr>
          <w:rFonts w:cs="Arial"/>
          <w:bCs/>
          <w:snapToGrid w:val="0"/>
          <w:lang w:val="en-GB"/>
        </w:rPr>
        <w:t>an indication in the restriction to</w:t>
      </w:r>
      <w:r>
        <w:rPr>
          <w:rFonts w:cs="Arial"/>
          <w:bCs/>
          <w:snapToGrid w:val="0"/>
          <w:lang w:val="en-GB"/>
        </w:rPr>
        <w:t xml:space="preserve"> limit use to once per</w:t>
      </w:r>
      <w:r w:rsidR="00BC4BA9">
        <w:rPr>
          <w:rFonts w:cs="Arial"/>
          <w:bCs/>
          <w:snapToGrid w:val="0"/>
          <w:lang w:val="en-GB"/>
        </w:rPr>
        <w:t xml:space="preserve"> patient</w:t>
      </w:r>
      <w:r>
        <w:rPr>
          <w:rFonts w:cs="Arial"/>
          <w:bCs/>
          <w:snapToGrid w:val="0"/>
          <w:lang w:val="en-GB"/>
        </w:rPr>
        <w:t xml:space="preserve"> lifetime.</w:t>
      </w:r>
    </w:p>
    <w:p w:rsidR="007F685B" w:rsidRPr="0042248A" w:rsidRDefault="007F685B" w:rsidP="00351664">
      <w:pPr>
        <w:widowControl w:val="0"/>
        <w:numPr>
          <w:ilvl w:val="1"/>
          <w:numId w:val="4"/>
        </w:numPr>
        <w:spacing w:before="0" w:after="120"/>
        <w:jc w:val="both"/>
        <w:rPr>
          <w:rFonts w:cs="Arial"/>
          <w:bCs/>
          <w:snapToGrid w:val="0"/>
          <w:lang w:val="en-GB"/>
        </w:rPr>
      </w:pPr>
      <w:r>
        <w:rPr>
          <w:rFonts w:cs="Arial"/>
          <w:bCs/>
          <w:snapToGrid w:val="0"/>
          <w:lang w:val="en-GB"/>
        </w:rPr>
        <w:t xml:space="preserve">The PBAC </w:t>
      </w:r>
      <w:r w:rsidR="00B037BD">
        <w:rPr>
          <w:rFonts w:cs="Arial"/>
          <w:bCs/>
          <w:snapToGrid w:val="0"/>
          <w:lang w:val="en-GB"/>
        </w:rPr>
        <w:t xml:space="preserve">noted that the efficacy of bezlotoxumab was </w:t>
      </w:r>
      <w:r w:rsidR="00217619">
        <w:rPr>
          <w:rFonts w:cs="Arial"/>
          <w:bCs/>
          <w:snapToGrid w:val="0"/>
          <w:lang w:val="en-GB"/>
        </w:rPr>
        <w:t xml:space="preserve">numerically </w:t>
      </w:r>
      <w:r w:rsidR="00597F17">
        <w:rPr>
          <w:rFonts w:cs="Arial"/>
          <w:bCs/>
          <w:snapToGrid w:val="0"/>
          <w:lang w:val="en-GB"/>
        </w:rPr>
        <w:t xml:space="preserve">marginally </w:t>
      </w:r>
      <w:r w:rsidR="00B037BD">
        <w:rPr>
          <w:rFonts w:cs="Arial"/>
          <w:bCs/>
          <w:snapToGrid w:val="0"/>
          <w:lang w:val="en-GB"/>
        </w:rPr>
        <w:t>higher in the ‘high risk’ group of patients</w:t>
      </w:r>
      <w:r>
        <w:rPr>
          <w:szCs w:val="24"/>
        </w:rPr>
        <w:t xml:space="preserve">, but </w:t>
      </w:r>
      <w:r w:rsidR="00217619">
        <w:rPr>
          <w:szCs w:val="24"/>
        </w:rPr>
        <w:t xml:space="preserve">noted the considerable overlap in confidence intervals across patient subgroups. It </w:t>
      </w:r>
      <w:r>
        <w:rPr>
          <w:szCs w:val="24"/>
        </w:rPr>
        <w:t xml:space="preserve">considered that </w:t>
      </w:r>
      <w:r w:rsidR="00B037BD">
        <w:rPr>
          <w:szCs w:val="24"/>
        </w:rPr>
        <w:t>it may be more appropriate for the</w:t>
      </w:r>
      <w:r w:rsidR="009954FE">
        <w:rPr>
          <w:szCs w:val="24"/>
        </w:rPr>
        <w:t xml:space="preserve"> determination of</w:t>
      </w:r>
      <w:r w:rsidR="00B037BD">
        <w:rPr>
          <w:szCs w:val="24"/>
        </w:rPr>
        <w:t xml:space="preserve"> patients at</w:t>
      </w:r>
      <w:r>
        <w:rPr>
          <w:szCs w:val="24"/>
        </w:rPr>
        <w:t xml:space="preserve"> high risk </w:t>
      </w:r>
      <w:r w:rsidR="00B037BD">
        <w:rPr>
          <w:szCs w:val="24"/>
        </w:rPr>
        <w:t xml:space="preserve">to be </w:t>
      </w:r>
      <w:r>
        <w:rPr>
          <w:szCs w:val="24"/>
        </w:rPr>
        <w:t>a clinical practice decision</w:t>
      </w:r>
      <w:r w:rsidR="00430C40">
        <w:rPr>
          <w:szCs w:val="24"/>
        </w:rPr>
        <w:t>,</w:t>
      </w:r>
      <w:r>
        <w:rPr>
          <w:szCs w:val="24"/>
        </w:rPr>
        <w:t xml:space="preserve"> </w:t>
      </w:r>
      <w:r w:rsidR="00B037BD">
        <w:rPr>
          <w:szCs w:val="24"/>
        </w:rPr>
        <w:t>rather than as specific criteria in the restriction</w:t>
      </w:r>
      <w:r>
        <w:rPr>
          <w:szCs w:val="24"/>
        </w:rPr>
        <w:t>.</w:t>
      </w:r>
      <w:r w:rsidR="00B037BD">
        <w:rPr>
          <w:szCs w:val="24"/>
        </w:rPr>
        <w:t xml:space="preserve"> However, the PBAC advised that as bezlotoxumab conferred passive immunity to toxin B, the restriction should require patients to be confirmed toxin B positive.</w:t>
      </w:r>
      <w:r>
        <w:rPr>
          <w:szCs w:val="24"/>
        </w:rPr>
        <w:t xml:space="preserve"> </w:t>
      </w:r>
    </w:p>
    <w:p w:rsidR="00DE34F1" w:rsidRPr="00347BD7" w:rsidRDefault="0042248A" w:rsidP="00DE34F1">
      <w:pPr>
        <w:widowControl w:val="0"/>
        <w:numPr>
          <w:ilvl w:val="1"/>
          <w:numId w:val="4"/>
        </w:numPr>
        <w:spacing w:before="0" w:after="120"/>
        <w:jc w:val="both"/>
        <w:rPr>
          <w:rFonts w:cs="Arial"/>
          <w:bCs/>
          <w:snapToGrid w:val="0"/>
          <w:lang w:val="en-GB"/>
        </w:rPr>
      </w:pPr>
      <w:r>
        <w:t>The PBAC considered that the nominated comparator</w:t>
      </w:r>
      <w:r w:rsidR="004E4DB6">
        <w:t>, of placebo or standard of care antibiotics,</w:t>
      </w:r>
      <w:r>
        <w:t xml:space="preserve"> was appropriate.</w:t>
      </w:r>
      <w:r w:rsidR="00DE34F1" w:rsidRPr="00DE34F1">
        <w:t xml:space="preserve"> </w:t>
      </w:r>
      <w:r w:rsidR="00DE34F1">
        <w:t>However, the PBAC did not agree with the submission that the outpatients’ subgroup, was</w:t>
      </w:r>
      <w:r w:rsidR="00DE34F1" w:rsidRPr="000B5B8F">
        <w:t xml:space="preserve"> representative of the PBS population</w:t>
      </w:r>
      <w:r w:rsidR="00DE34F1">
        <w:t>, and considered that future analyses should be based on the total population.</w:t>
      </w:r>
    </w:p>
    <w:p w:rsidR="00D01802" w:rsidRPr="00185C74" w:rsidRDefault="00D01802" w:rsidP="00351664">
      <w:pPr>
        <w:widowControl w:val="0"/>
        <w:numPr>
          <w:ilvl w:val="1"/>
          <w:numId w:val="4"/>
        </w:numPr>
        <w:spacing w:before="0" w:after="120"/>
        <w:jc w:val="both"/>
        <w:rPr>
          <w:rFonts w:cs="Arial"/>
          <w:bCs/>
          <w:snapToGrid w:val="0"/>
          <w:lang w:val="en-GB"/>
        </w:rPr>
      </w:pPr>
      <w:r>
        <w:t xml:space="preserve">The PBAC considered </w:t>
      </w:r>
      <w:r w:rsidR="00DE34F1">
        <w:t xml:space="preserve">that the claim of superior efficacy over standard of care was supported by the data. However, </w:t>
      </w:r>
      <w:r>
        <w:t xml:space="preserve">the </w:t>
      </w:r>
      <w:r w:rsidR="00DE34F1">
        <w:t xml:space="preserve">PBAC considered that </w:t>
      </w:r>
      <w:r>
        <w:t xml:space="preserve">whilst the </w:t>
      </w:r>
      <w:r w:rsidR="00DE34F1">
        <w:t xml:space="preserve">observed efficacy was </w:t>
      </w:r>
      <w:r w:rsidR="00597F17">
        <w:t>marginally better</w:t>
      </w:r>
      <w:r w:rsidR="00DE34F1">
        <w:t xml:space="preserve"> in</w:t>
      </w:r>
      <w:r>
        <w:t xml:space="preserve"> the high risk </w:t>
      </w:r>
      <w:r w:rsidR="00DE34F1">
        <w:t>sub-</w:t>
      </w:r>
      <w:r>
        <w:t>group</w:t>
      </w:r>
      <w:r w:rsidR="00B72625">
        <w:t>,</w:t>
      </w:r>
      <w:r w:rsidR="00367650">
        <w:t xml:space="preserve"> the overall benefit remained modest</w:t>
      </w:r>
      <w:r w:rsidR="00DE34F1">
        <w:t>, and the clinical significance of such a benefit was unclear</w:t>
      </w:r>
      <w:r w:rsidR="00367650">
        <w:t>.</w:t>
      </w:r>
    </w:p>
    <w:p w:rsidR="00347BD7" w:rsidRPr="00347BD7" w:rsidRDefault="00347BD7" w:rsidP="001339EB">
      <w:pPr>
        <w:pStyle w:val="ListParagraph"/>
        <w:numPr>
          <w:ilvl w:val="1"/>
          <w:numId w:val="4"/>
        </w:numPr>
        <w:spacing w:before="0" w:after="120"/>
        <w:ind w:left="709" w:hanging="709"/>
        <w:jc w:val="both"/>
        <w:rPr>
          <w:rFonts w:cs="Arial"/>
          <w:snapToGrid w:val="0"/>
          <w:szCs w:val="20"/>
        </w:rPr>
      </w:pPr>
      <w:r w:rsidRPr="004F6BAE">
        <w:rPr>
          <w:rFonts w:cs="Arial"/>
          <w:snapToGrid w:val="0"/>
          <w:szCs w:val="20"/>
        </w:rPr>
        <w:t xml:space="preserve">The PBAC considered that the claim of non-inferior comparative safety was </w:t>
      </w:r>
      <w:r>
        <w:rPr>
          <w:rFonts w:cs="Arial"/>
          <w:snapToGrid w:val="0"/>
          <w:szCs w:val="20"/>
        </w:rPr>
        <w:t xml:space="preserve">not supported by the data when compared to oral antibiotics alone </w:t>
      </w:r>
      <w:r w:rsidR="00DE34F1">
        <w:rPr>
          <w:rFonts w:cs="Arial"/>
          <w:snapToGrid w:val="0"/>
          <w:szCs w:val="20"/>
        </w:rPr>
        <w:t xml:space="preserve"> because in clinical practice patients not receiving bezlotoxumab will not have an infusion and will therefore not be exposed to the risk of an infusion reaction</w:t>
      </w:r>
      <w:r w:rsidRPr="004F6BAE">
        <w:rPr>
          <w:rFonts w:cs="Arial"/>
          <w:snapToGrid w:val="0"/>
          <w:szCs w:val="20"/>
        </w:rPr>
        <w:t>.</w:t>
      </w:r>
      <w:r w:rsidR="00DE34F1">
        <w:rPr>
          <w:rFonts w:cs="Arial"/>
          <w:snapToGrid w:val="0"/>
          <w:szCs w:val="20"/>
        </w:rPr>
        <w:t xml:space="preserve"> The PBAC considered that the total proportion of infusion reactions for bezlotoxumab, rather than the difference compared to placebo, was the more reasonable estimate of the adverse event rate.</w:t>
      </w:r>
    </w:p>
    <w:p w:rsidR="000B5B8F" w:rsidRPr="00FB7EA5" w:rsidRDefault="00071811" w:rsidP="00FB7EA5">
      <w:pPr>
        <w:widowControl w:val="0"/>
        <w:numPr>
          <w:ilvl w:val="1"/>
          <w:numId w:val="4"/>
        </w:numPr>
        <w:spacing w:before="0" w:after="120"/>
        <w:jc w:val="both"/>
        <w:rPr>
          <w:rFonts w:cs="Arial"/>
          <w:bCs/>
          <w:snapToGrid w:val="0"/>
          <w:lang w:val="en-GB"/>
        </w:rPr>
      </w:pPr>
      <w:r w:rsidRPr="00FB7EA5">
        <w:rPr>
          <w:rFonts w:cs="Arial"/>
          <w:bCs/>
          <w:snapToGrid w:val="0"/>
          <w:lang w:val="en-GB"/>
        </w:rPr>
        <w:t xml:space="preserve">The PBAC </w:t>
      </w:r>
      <w:r w:rsidR="00DE34F1" w:rsidRPr="00FB7EA5">
        <w:rPr>
          <w:rFonts w:cs="Arial"/>
          <w:bCs/>
          <w:snapToGrid w:val="0"/>
          <w:lang w:val="en-GB"/>
        </w:rPr>
        <w:t>not</w:t>
      </w:r>
      <w:r w:rsidR="005D65BB" w:rsidRPr="00FB7EA5">
        <w:rPr>
          <w:rFonts w:cs="Arial"/>
          <w:bCs/>
          <w:snapToGrid w:val="0"/>
          <w:lang w:val="en-GB"/>
        </w:rPr>
        <w:t>ed</w:t>
      </w:r>
      <w:r w:rsidR="00DE34F1" w:rsidRPr="00FB7EA5">
        <w:rPr>
          <w:rFonts w:cs="Arial"/>
          <w:bCs/>
          <w:snapToGrid w:val="0"/>
          <w:lang w:val="en-GB"/>
        </w:rPr>
        <w:t xml:space="preserve"> that there was no evidence of significant difference in mortality in the trials presented. </w:t>
      </w:r>
      <w:r w:rsidR="005D65BB" w:rsidRPr="00FB7EA5">
        <w:rPr>
          <w:rFonts w:cs="Arial"/>
          <w:bCs/>
          <w:snapToGrid w:val="0"/>
          <w:lang w:val="en-GB"/>
        </w:rPr>
        <w:t>T</w:t>
      </w:r>
      <w:r w:rsidR="00DE34F1" w:rsidRPr="00FB7EA5">
        <w:rPr>
          <w:rFonts w:cs="Arial"/>
          <w:bCs/>
          <w:snapToGrid w:val="0"/>
          <w:lang w:val="en-GB"/>
        </w:rPr>
        <w:t xml:space="preserve">he PBAC considered that the mortality </w:t>
      </w:r>
      <w:r w:rsidR="005D65BB" w:rsidRPr="00FB7EA5">
        <w:rPr>
          <w:rFonts w:cs="Arial"/>
          <w:bCs/>
          <w:snapToGrid w:val="0"/>
          <w:lang w:val="en-GB"/>
        </w:rPr>
        <w:t xml:space="preserve">rates and </w:t>
      </w:r>
      <w:r w:rsidR="002A0441" w:rsidRPr="00FB7EA5">
        <w:rPr>
          <w:rFonts w:cs="Arial"/>
          <w:bCs/>
          <w:snapToGrid w:val="0"/>
          <w:lang w:val="en-GB"/>
        </w:rPr>
        <w:t xml:space="preserve">hence </w:t>
      </w:r>
      <w:r w:rsidR="005D65BB" w:rsidRPr="00FB7EA5">
        <w:rPr>
          <w:rFonts w:cs="Arial"/>
          <w:bCs/>
          <w:snapToGrid w:val="0"/>
          <w:lang w:val="en-GB"/>
        </w:rPr>
        <w:t xml:space="preserve">the mortality </w:t>
      </w:r>
      <w:r w:rsidR="00DE34F1" w:rsidRPr="00FB7EA5">
        <w:rPr>
          <w:rFonts w:cs="Arial"/>
          <w:bCs/>
          <w:snapToGrid w:val="0"/>
          <w:lang w:val="en-GB"/>
        </w:rPr>
        <w:t>benefit for bezlotoxumab was considerably overestimated</w:t>
      </w:r>
      <w:r w:rsidR="005D65BB" w:rsidRPr="005C173B">
        <w:rPr>
          <w:rFonts w:cs="Arial"/>
          <w:bCs/>
          <w:snapToGrid w:val="0"/>
          <w:lang w:val="en-GB"/>
        </w:rPr>
        <w:t xml:space="preserve"> in the economic model</w:t>
      </w:r>
      <w:r w:rsidR="00DE34F1" w:rsidRPr="005C173B">
        <w:rPr>
          <w:rFonts w:cs="Arial"/>
          <w:bCs/>
          <w:snapToGrid w:val="0"/>
          <w:lang w:val="en-GB"/>
        </w:rPr>
        <w:t xml:space="preserve">. The PBAC noted that the mortality estimates were </w:t>
      </w:r>
      <w:r w:rsidR="00657683" w:rsidRPr="00FB7EA5">
        <w:rPr>
          <w:rFonts w:cs="Arial"/>
          <w:bCs/>
          <w:snapToGrid w:val="0"/>
          <w:lang w:val="en-GB"/>
        </w:rPr>
        <w:t>predicated on the assumption that the mortality rate</w:t>
      </w:r>
      <w:r w:rsidR="00DE34F1" w:rsidRPr="00FB7EA5">
        <w:rPr>
          <w:rFonts w:cs="Arial"/>
          <w:bCs/>
          <w:snapToGrid w:val="0"/>
          <w:lang w:val="en-GB"/>
        </w:rPr>
        <w:t xml:space="preserve"> </w:t>
      </w:r>
      <w:r w:rsidR="00657683" w:rsidRPr="00FB7EA5">
        <w:rPr>
          <w:rFonts w:cs="Arial"/>
          <w:bCs/>
          <w:snapToGrid w:val="0"/>
          <w:lang w:val="en-GB"/>
        </w:rPr>
        <w:t xml:space="preserve">in the USA and EU, was </w:t>
      </w:r>
      <w:r w:rsidR="00B72625" w:rsidRPr="00FB7EA5">
        <w:rPr>
          <w:rFonts w:cs="Arial"/>
          <w:bCs/>
          <w:snapToGrid w:val="0"/>
          <w:lang w:val="en-GB"/>
        </w:rPr>
        <w:t>comparable to</w:t>
      </w:r>
      <w:r w:rsidR="00657683" w:rsidRPr="00FB7EA5">
        <w:rPr>
          <w:rFonts w:cs="Arial"/>
          <w:bCs/>
          <w:snapToGrid w:val="0"/>
          <w:lang w:val="en-GB"/>
        </w:rPr>
        <w:t xml:space="preserve"> Australia</w:t>
      </w:r>
      <w:r w:rsidR="005D65BB" w:rsidRPr="00FB7EA5">
        <w:rPr>
          <w:rFonts w:cs="Arial"/>
          <w:bCs/>
          <w:snapToGrid w:val="0"/>
          <w:lang w:val="en-GB"/>
        </w:rPr>
        <w:t>, and that this assumption was not supported by published data or the views expressed by the clinician in the sponsor hearing</w:t>
      </w:r>
      <w:r w:rsidR="00657683" w:rsidRPr="00FB7EA5">
        <w:rPr>
          <w:rFonts w:cs="Arial"/>
          <w:bCs/>
          <w:snapToGrid w:val="0"/>
          <w:lang w:val="en-GB"/>
        </w:rPr>
        <w:t xml:space="preserve">. </w:t>
      </w:r>
      <w:r w:rsidR="002A0441" w:rsidRPr="00FB7EA5">
        <w:rPr>
          <w:rFonts w:cs="Arial"/>
          <w:bCs/>
          <w:snapToGrid w:val="0"/>
          <w:lang w:val="en-GB"/>
        </w:rPr>
        <w:t>However, t</w:t>
      </w:r>
      <w:r w:rsidR="00657683" w:rsidRPr="00FB7EA5">
        <w:rPr>
          <w:rFonts w:cs="Arial"/>
          <w:bCs/>
          <w:snapToGrid w:val="0"/>
          <w:lang w:val="en-GB"/>
        </w:rPr>
        <w:t xml:space="preserve">he PBAC </w:t>
      </w:r>
      <w:r w:rsidR="005D65BB" w:rsidRPr="00FB7EA5">
        <w:rPr>
          <w:iCs/>
        </w:rPr>
        <w:t xml:space="preserve">considered </w:t>
      </w:r>
      <w:r w:rsidR="000D4E83" w:rsidRPr="00FB7EA5">
        <w:rPr>
          <w:iCs/>
        </w:rPr>
        <w:t xml:space="preserve">that </w:t>
      </w:r>
      <w:r w:rsidR="005D65BB" w:rsidRPr="00FB7EA5">
        <w:rPr>
          <w:iCs/>
        </w:rPr>
        <w:t>there were considerable benefits to preventing recurrence in terms of quality of life and other health-system benefits, which</w:t>
      </w:r>
      <w:r w:rsidR="00050501" w:rsidRPr="00FB7EA5">
        <w:rPr>
          <w:iCs/>
        </w:rPr>
        <w:t xml:space="preserve"> had</w:t>
      </w:r>
      <w:r w:rsidR="005D65BB" w:rsidRPr="00FB7EA5">
        <w:rPr>
          <w:iCs/>
        </w:rPr>
        <w:t xml:space="preserve"> not been </w:t>
      </w:r>
      <w:r w:rsidR="002A0441" w:rsidRPr="00FB7EA5">
        <w:rPr>
          <w:iCs/>
        </w:rPr>
        <w:t>modelled</w:t>
      </w:r>
      <w:r w:rsidR="000D4E83" w:rsidRPr="00FB7EA5">
        <w:rPr>
          <w:iCs/>
        </w:rPr>
        <w:t>.</w:t>
      </w:r>
    </w:p>
    <w:p w:rsidR="005D65BB" w:rsidRPr="003017A5" w:rsidRDefault="005D65BB" w:rsidP="00CD7B7A">
      <w:pPr>
        <w:widowControl w:val="0"/>
        <w:numPr>
          <w:ilvl w:val="1"/>
          <w:numId w:val="4"/>
        </w:numPr>
        <w:spacing w:before="0" w:after="120"/>
        <w:jc w:val="both"/>
        <w:rPr>
          <w:rFonts w:cs="Arial"/>
          <w:bCs/>
          <w:snapToGrid w:val="0"/>
          <w:lang w:val="en-GB"/>
        </w:rPr>
      </w:pPr>
      <w:r>
        <w:rPr>
          <w:rFonts w:cs="Arial"/>
          <w:bCs/>
          <w:snapToGrid w:val="0"/>
          <w:lang w:val="en-GB"/>
        </w:rPr>
        <w:t>The PBAC did not agree with the sponsor’s claim that repeat use for subsequent infection or recurrence would have the same incremental cost-effectiveness as single use, because this would rely on repeat use occurring more than 10 years</w:t>
      </w:r>
      <w:r w:rsidR="00050501">
        <w:rPr>
          <w:rFonts w:cs="Arial"/>
          <w:bCs/>
          <w:snapToGrid w:val="0"/>
          <w:lang w:val="en-GB"/>
        </w:rPr>
        <w:t xml:space="preserve"> (the model time horizon)</w:t>
      </w:r>
      <w:r>
        <w:rPr>
          <w:rFonts w:cs="Arial"/>
          <w:bCs/>
          <w:snapToGrid w:val="0"/>
          <w:lang w:val="en-GB"/>
        </w:rPr>
        <w:t xml:space="preserve"> after the initial dose, which was implausible. The PBAC considered that any future submission should address this appropriately.</w:t>
      </w:r>
    </w:p>
    <w:p w:rsidR="00D92457" w:rsidRPr="00185C74" w:rsidRDefault="00D92457" w:rsidP="00CD7B7A">
      <w:pPr>
        <w:widowControl w:val="0"/>
        <w:numPr>
          <w:ilvl w:val="1"/>
          <w:numId w:val="4"/>
        </w:numPr>
        <w:spacing w:before="0" w:after="120"/>
        <w:jc w:val="both"/>
        <w:rPr>
          <w:rFonts w:cs="Arial"/>
          <w:bCs/>
          <w:snapToGrid w:val="0"/>
          <w:lang w:val="en-GB"/>
        </w:rPr>
      </w:pPr>
      <w:r>
        <w:rPr>
          <w:rFonts w:cs="Arial"/>
          <w:bCs/>
          <w:snapToGrid w:val="0"/>
          <w:lang w:val="en-GB"/>
        </w:rPr>
        <w:t>The PBAC reflected that the submission</w:t>
      </w:r>
      <w:r w:rsidR="005C173B">
        <w:rPr>
          <w:rFonts w:cs="Arial"/>
          <w:bCs/>
          <w:snapToGrid w:val="0"/>
          <w:lang w:val="en-GB"/>
        </w:rPr>
        <w:t>’</w:t>
      </w:r>
      <w:r>
        <w:rPr>
          <w:rFonts w:cs="Arial"/>
          <w:bCs/>
          <w:snapToGrid w:val="0"/>
          <w:lang w:val="en-GB"/>
        </w:rPr>
        <w:t xml:space="preserve">s model was </w:t>
      </w:r>
      <w:r w:rsidR="005D65BB">
        <w:rPr>
          <w:rFonts w:cs="Arial"/>
          <w:bCs/>
          <w:snapToGrid w:val="0"/>
          <w:lang w:val="en-GB"/>
        </w:rPr>
        <w:t xml:space="preserve">unnecessarily </w:t>
      </w:r>
      <w:r>
        <w:rPr>
          <w:rFonts w:cs="Arial"/>
          <w:bCs/>
          <w:snapToGrid w:val="0"/>
          <w:lang w:val="en-GB"/>
        </w:rPr>
        <w:t xml:space="preserve">complicated, and any resubmission should </w:t>
      </w:r>
      <w:r w:rsidR="00DE34F1">
        <w:rPr>
          <w:rFonts w:cs="Arial"/>
          <w:bCs/>
          <w:snapToGrid w:val="0"/>
          <w:lang w:val="en-GB"/>
        </w:rPr>
        <w:t>take a more</w:t>
      </w:r>
      <w:r>
        <w:rPr>
          <w:rFonts w:cs="Arial"/>
          <w:bCs/>
          <w:snapToGrid w:val="0"/>
          <w:lang w:val="en-GB"/>
        </w:rPr>
        <w:t xml:space="preserve"> simplif</w:t>
      </w:r>
      <w:r w:rsidR="00DE34F1">
        <w:rPr>
          <w:rFonts w:cs="Arial"/>
          <w:bCs/>
          <w:snapToGrid w:val="0"/>
          <w:lang w:val="en-GB"/>
        </w:rPr>
        <w:t>ied approach</w:t>
      </w:r>
      <w:r w:rsidR="0089544A">
        <w:rPr>
          <w:rFonts w:cs="Arial"/>
          <w:bCs/>
          <w:snapToGrid w:val="0"/>
          <w:lang w:val="en-GB"/>
        </w:rPr>
        <w:t xml:space="preserve"> for modelling any mortality benefit, and should also take into account other benefits</w:t>
      </w:r>
      <w:r w:rsidR="00DE34F1">
        <w:rPr>
          <w:rFonts w:cs="Arial"/>
          <w:bCs/>
          <w:snapToGrid w:val="0"/>
          <w:lang w:val="en-GB"/>
        </w:rPr>
        <w:t xml:space="preserve">. </w:t>
      </w:r>
      <w:r w:rsidR="005D65BB">
        <w:rPr>
          <w:rFonts w:cs="Arial"/>
          <w:bCs/>
          <w:snapToGrid w:val="0"/>
          <w:lang w:val="en-GB"/>
        </w:rPr>
        <w:t>The PBAC advised that any future resubmission should be in the form of a major submission.</w:t>
      </w:r>
    </w:p>
    <w:p w:rsidR="00391FF8" w:rsidRDefault="00391FF8" w:rsidP="00391FF8">
      <w:pPr>
        <w:widowControl w:val="0"/>
        <w:numPr>
          <w:ilvl w:val="1"/>
          <w:numId w:val="4"/>
        </w:numPr>
        <w:spacing w:before="0" w:after="120"/>
        <w:jc w:val="both"/>
        <w:rPr>
          <w:rFonts w:cs="Arial"/>
          <w:bCs/>
          <w:snapToGrid w:val="0"/>
          <w:lang w:val="en-GB"/>
        </w:rPr>
      </w:pPr>
      <w:r w:rsidRPr="00AA6331">
        <w:rPr>
          <w:rFonts w:cs="Arial"/>
          <w:bCs/>
          <w:snapToGrid w:val="0"/>
          <w:lang w:val="en-GB"/>
        </w:rPr>
        <w:t>The PBAC noted that this submission is eligible for an Independent Review.</w:t>
      </w:r>
    </w:p>
    <w:p w:rsidR="00C8186F" w:rsidRPr="004A52C6" w:rsidRDefault="00C8186F" w:rsidP="00C8186F">
      <w:pPr>
        <w:spacing w:before="240"/>
        <w:jc w:val="both"/>
        <w:rPr>
          <w:rFonts w:cs="Arial"/>
          <w:b/>
          <w:bCs/>
          <w:snapToGrid w:val="0"/>
          <w:lang w:val="en-GB"/>
        </w:rPr>
      </w:pPr>
      <w:r w:rsidRPr="004A52C6">
        <w:rPr>
          <w:rFonts w:cs="Arial"/>
          <w:b/>
          <w:bCs/>
          <w:snapToGrid w:val="0"/>
          <w:lang w:val="en-GB"/>
        </w:rPr>
        <w:t>Outcome:</w:t>
      </w:r>
    </w:p>
    <w:p w:rsidR="00C8186F" w:rsidRDefault="00BC4377" w:rsidP="00C8186F">
      <w:pPr>
        <w:jc w:val="both"/>
        <w:rPr>
          <w:rFonts w:cs="Arial"/>
          <w:bCs/>
          <w:snapToGrid w:val="0"/>
          <w:lang w:val="en-GB"/>
        </w:rPr>
      </w:pPr>
      <w:r>
        <w:rPr>
          <w:rFonts w:cs="Arial"/>
          <w:bCs/>
          <w:snapToGrid w:val="0"/>
          <w:lang w:val="en-GB"/>
        </w:rPr>
        <w:t>Rejected</w:t>
      </w:r>
    </w:p>
    <w:p w:rsidR="00AC1D2D" w:rsidRPr="00485DD3" w:rsidRDefault="00AC1D2D" w:rsidP="00AC1D2D">
      <w:pPr>
        <w:pStyle w:val="Heading1"/>
        <w:numPr>
          <w:ilvl w:val="0"/>
          <w:numId w:val="4"/>
        </w:numPr>
        <w:ind w:left="432" w:hanging="432"/>
        <w:jc w:val="both"/>
        <w:rPr>
          <w:b w:val="0"/>
        </w:rPr>
      </w:pPr>
      <w:r w:rsidRPr="00485DD3">
        <w:t>Context for Decision</w:t>
      </w:r>
    </w:p>
    <w:p w:rsidR="00AC1D2D" w:rsidRPr="00670C34" w:rsidRDefault="00AC1D2D" w:rsidP="00752AFB">
      <w:pPr>
        <w:spacing w:after="0"/>
        <w:jc w:val="both"/>
        <w:rPr>
          <w:rFonts w:cs="Arial"/>
          <w:szCs w:val="24"/>
        </w:rPr>
      </w:pPr>
      <w:r w:rsidRPr="00670C34">
        <w:rPr>
          <w:rFonts w:cs="Arial"/>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C1D2D" w:rsidRPr="00485DD3" w:rsidRDefault="00AC1D2D" w:rsidP="00AC1D2D">
      <w:pPr>
        <w:pStyle w:val="Heading1"/>
        <w:numPr>
          <w:ilvl w:val="0"/>
          <w:numId w:val="4"/>
        </w:numPr>
        <w:ind w:left="432" w:hanging="432"/>
        <w:jc w:val="both"/>
        <w:rPr>
          <w:b w:val="0"/>
        </w:rPr>
      </w:pPr>
      <w:r w:rsidRPr="00485DD3">
        <w:t>Sponsor’s Comment</w:t>
      </w:r>
    </w:p>
    <w:p w:rsidR="00752AFB" w:rsidRPr="004A52C6" w:rsidRDefault="00752AFB" w:rsidP="00752AFB">
      <w:pPr>
        <w:jc w:val="both"/>
        <w:rPr>
          <w:rFonts w:cs="Arial"/>
          <w:bCs/>
          <w:snapToGrid w:val="0"/>
          <w:lang w:val="en-GB"/>
        </w:rPr>
      </w:pPr>
      <w:r w:rsidRPr="00752AFB">
        <w:rPr>
          <w:rFonts w:cs="Arial"/>
          <w:bCs/>
          <w:szCs w:val="24"/>
          <w:lang w:val="en-GB"/>
        </w:rPr>
        <w:t>MSD is disappointed that access to Bezlotoxumab was not achieved for patients with recurrent C.Difficile infection in Australia.  MSD will continue to work with the Department to make this therapy available as soon as possible.</w:t>
      </w:r>
    </w:p>
    <w:p w:rsidR="00AC1D2D" w:rsidRPr="004A52C6" w:rsidRDefault="00AC1D2D" w:rsidP="00C8186F">
      <w:pPr>
        <w:jc w:val="both"/>
        <w:rPr>
          <w:rFonts w:cs="Arial"/>
          <w:bCs/>
          <w:snapToGrid w:val="0"/>
          <w:lang w:val="en-GB"/>
        </w:rPr>
      </w:pPr>
    </w:p>
    <w:sectPr w:rsidR="00AC1D2D" w:rsidRPr="004A52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96012" w15:done="0"/>
  <w15:commentEx w15:paraId="33B009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96012" w16cid:durableId="1DD373B8"/>
  <w16cid:commentId w16cid:paraId="33B00980" w16cid:durableId="1DD370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FE" w:rsidRDefault="007605FE" w:rsidP="00BA3306">
      <w:pPr>
        <w:spacing w:before="0" w:after="0"/>
      </w:pPr>
      <w:r>
        <w:separator/>
      </w:r>
    </w:p>
  </w:endnote>
  <w:endnote w:type="continuationSeparator" w:id="0">
    <w:p w:rsidR="007605FE" w:rsidRDefault="007605FE" w:rsidP="00BA33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TNEJMQuadraat">
    <w:altName w:val="MS Mincho"/>
    <w:panose1 w:val="00000000000000000000"/>
    <w:charset w:val="80"/>
    <w:family w:val="roman"/>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FE" w:rsidRDefault="00760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951220"/>
      <w:docPartObj>
        <w:docPartGallery w:val="Page Numbers (Bottom of Page)"/>
        <w:docPartUnique/>
      </w:docPartObj>
    </w:sdtPr>
    <w:sdtEndPr>
      <w:rPr>
        <w:noProof/>
      </w:rPr>
    </w:sdtEndPr>
    <w:sdtContent>
      <w:p w:rsidR="006F0AAB" w:rsidRDefault="006F0AAB">
        <w:pPr>
          <w:pStyle w:val="Footer"/>
          <w:jc w:val="center"/>
        </w:pPr>
        <w:r>
          <w:fldChar w:fldCharType="begin"/>
        </w:r>
        <w:r>
          <w:instrText xml:space="preserve"> PAGE   \* MERGEFORMAT </w:instrText>
        </w:r>
        <w:r>
          <w:fldChar w:fldCharType="separate"/>
        </w:r>
        <w:r w:rsidR="007605FE">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FE" w:rsidRDefault="00760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FE" w:rsidRDefault="007605FE" w:rsidP="00BA3306">
      <w:pPr>
        <w:spacing w:before="0" w:after="0"/>
      </w:pPr>
      <w:r>
        <w:separator/>
      </w:r>
    </w:p>
  </w:footnote>
  <w:footnote w:type="continuationSeparator" w:id="0">
    <w:p w:rsidR="007605FE" w:rsidRDefault="007605FE" w:rsidP="00BA3306">
      <w:pPr>
        <w:spacing w:before="0" w:after="0"/>
      </w:pPr>
      <w:r>
        <w:continuationSeparator/>
      </w:r>
    </w:p>
  </w:footnote>
  <w:footnote w:id="1">
    <w:p w:rsidR="006F0AAB" w:rsidRDefault="006F0AAB">
      <w:pPr>
        <w:pStyle w:val="FootnoteText"/>
      </w:pPr>
      <w:r>
        <w:rPr>
          <w:rStyle w:val="FootnoteReference"/>
        </w:rPr>
        <w:footnoteRef/>
      </w:r>
      <w:r>
        <w:t xml:space="preserve"> Mitchell BG, Gardner A. Mortality and </w:t>
      </w:r>
      <w:r>
        <w:rPr>
          <w:i/>
          <w:iCs/>
        </w:rPr>
        <w:t>Clostridium difficile infection: a review</w:t>
      </w:r>
      <w:r>
        <w:t xml:space="preserve">. Antimicrobial Resistance and Infection Control 2012 1:20. Available from </w:t>
      </w:r>
      <w:hyperlink r:id="rId1" w:history="1">
        <w:r w:rsidR="005948F5">
          <w:rPr>
            <w:rStyle w:val="Hyperlink"/>
          </w:rPr>
          <w:t>Antimicrobial Resistance and Infection Control website</w:t>
        </w:r>
      </w:hyperlink>
      <w:r>
        <w:t xml:space="preserve"> accessed 3/8/17</w:t>
      </w:r>
    </w:p>
  </w:footnote>
  <w:footnote w:id="2">
    <w:p w:rsidR="006F0AAB" w:rsidRDefault="006F0AAB" w:rsidP="00C44E42">
      <w:pPr>
        <w:pStyle w:val="FootnoteText"/>
      </w:pPr>
      <w:r>
        <w:rPr>
          <w:rStyle w:val="FootnoteReference"/>
        </w:rPr>
        <w:footnoteRef/>
      </w:r>
      <w:r>
        <w:t xml:space="preserve"> Foster NF, Collins DA, Ditchburn SL, Duncan CN, van Schalkwyk JW, Golledge CL, Keed AB, Riley TV. </w:t>
      </w:r>
      <w:r w:rsidRPr="0080063D">
        <w:t>Epidemiology of Clostridium difficile infection in two tertiary-care hospitals in Perth, Western Australia: a cross-sectional study.</w:t>
      </w:r>
      <w:r>
        <w:t xml:space="preserve"> </w:t>
      </w:r>
      <w:r w:rsidRPr="0080063D">
        <w:t>New Microbes New Infect. 2014 May;2(3):64-71. doi: 10.1002/nmi2.43. Epub 2014 Apr 1.</w:t>
      </w:r>
    </w:p>
  </w:footnote>
  <w:footnote w:id="3">
    <w:p w:rsidR="006F0AAB" w:rsidRDefault="006F0AAB" w:rsidP="00C44E42">
      <w:pPr>
        <w:pStyle w:val="FootnoteText"/>
      </w:pPr>
      <w:r>
        <w:rPr>
          <w:rStyle w:val="FootnoteReference"/>
        </w:rPr>
        <w:footnoteRef/>
      </w:r>
      <w:r>
        <w:t xml:space="preserve"> Department of Health, </w:t>
      </w:r>
      <w:r w:rsidRPr="002C26C9">
        <w:t>Surveillance snapshot of Clostridium difficile infection in hospitals across Queensland detects binary toxin producing ribotype UK 244</w:t>
      </w:r>
      <w:r>
        <w:t xml:space="preserve">, 24 December 2014. Available from </w:t>
      </w:r>
      <w:hyperlink r:id="rId2" w:history="1">
        <w:r w:rsidR="005948F5">
          <w:rPr>
            <w:rStyle w:val="Hyperlink"/>
          </w:rPr>
          <w:t>Department of Health website</w:t>
        </w:r>
      </w:hyperlink>
      <w:r>
        <w:t xml:space="preserve"> accessed 16/8/17</w:t>
      </w:r>
    </w:p>
  </w:footnote>
  <w:footnote w:id="4">
    <w:p w:rsidR="006F0AAB" w:rsidRDefault="006F0AAB">
      <w:pPr>
        <w:pStyle w:val="FootnoteText"/>
      </w:pPr>
      <w:r>
        <w:rPr>
          <w:rStyle w:val="FootnoteReference"/>
        </w:rPr>
        <w:footnoteRef/>
      </w:r>
      <w:r>
        <w:t xml:space="preserve"> </w:t>
      </w:r>
      <w:r w:rsidRPr="00757EF8">
        <w:t>Vernaya M, McAdam J, Hampton MD. Effectiveness of probiotics in reducing the incidence of Clostridium difficile-associated diarrhea in elderly patients: a systematic review. JBI Database System Rev Implement Rep 2017;15:140-164</w:t>
      </w:r>
      <w:r>
        <w:t>.</w:t>
      </w:r>
    </w:p>
  </w:footnote>
  <w:footnote w:id="5">
    <w:p w:rsidR="006F0AAB" w:rsidRDefault="006F0AAB" w:rsidP="005D1A1E">
      <w:pPr>
        <w:pStyle w:val="FootnoteText"/>
      </w:pPr>
      <w:r>
        <w:rPr>
          <w:rStyle w:val="FootnoteReference"/>
        </w:rPr>
        <w:footnoteRef/>
      </w:r>
      <w:r>
        <w:t xml:space="preserve"> Department of Health, </w:t>
      </w:r>
      <w:r w:rsidRPr="002C26C9">
        <w:t>Surveillance snapshot of Clostridium difficile infection in hospitals across Queensland detects binary toxin producing ribotype UK 244</w:t>
      </w:r>
      <w:r>
        <w:t xml:space="preserve">, 24 December 2014. Available from </w:t>
      </w:r>
      <w:hyperlink r:id="rId3" w:history="1">
        <w:r w:rsidR="005948F5">
          <w:rPr>
            <w:rStyle w:val="Hyperlink"/>
          </w:rPr>
          <w:t>Department of Health website</w:t>
        </w:r>
      </w:hyperlink>
      <w:r>
        <w:t xml:space="preserve"> accessed 16/8/17</w:t>
      </w:r>
    </w:p>
  </w:footnote>
  <w:footnote w:id="6">
    <w:p w:rsidR="006F0AAB" w:rsidRPr="00111E00" w:rsidRDefault="006F0AAB">
      <w:pPr>
        <w:pStyle w:val="FootnoteText"/>
      </w:pPr>
      <w:r>
        <w:rPr>
          <w:rStyle w:val="FootnoteReference"/>
        </w:rPr>
        <w:footnoteRef/>
      </w:r>
      <w:r>
        <w:t xml:space="preserve"> Wilcox </w:t>
      </w:r>
      <w:r>
        <w:rPr>
          <w:i/>
        </w:rPr>
        <w:t xml:space="preserve">et al. </w:t>
      </w:r>
      <w:r>
        <w:t>2017 “Impact of recurrent Clostridium difficile infection: hospitalization and patient quality of life” J  Antimicrob Chemother. 72 (9): 2647-56.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FE" w:rsidRDefault="00760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AB" w:rsidRPr="00F84F56" w:rsidRDefault="006F0AAB" w:rsidP="00F84F56">
    <w:pPr>
      <w:pStyle w:val="Header"/>
      <w:tabs>
        <w:tab w:val="left" w:pos="1725"/>
        <w:tab w:val="left" w:pos="7725"/>
      </w:tabs>
      <w:jc w:val="center"/>
      <w:rPr>
        <w:i/>
      </w:rPr>
    </w:pPr>
    <w:r>
      <w:rPr>
        <w:i/>
      </w:rPr>
      <w:t>Public Summary Document</w:t>
    </w:r>
    <w:r w:rsidRPr="00F84F56">
      <w:rPr>
        <w:i/>
      </w:rPr>
      <w:t xml:space="preserve"> – November 2017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FE" w:rsidRDefault="00760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3FC4D1A"/>
    <w:multiLevelType w:val="hybridMultilevel"/>
    <w:tmpl w:val="473E933A"/>
    <w:lvl w:ilvl="0" w:tplc="A502E67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650854"/>
    <w:multiLevelType w:val="hybridMultilevel"/>
    <w:tmpl w:val="3C32D1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8B3047"/>
    <w:multiLevelType w:val="hybridMultilevel"/>
    <w:tmpl w:val="8E28FA5E"/>
    <w:lvl w:ilvl="0" w:tplc="A976BEF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A85A24"/>
    <w:multiLevelType w:val="hybridMultilevel"/>
    <w:tmpl w:val="2D22FD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29835F9"/>
    <w:multiLevelType w:val="hybridMultilevel"/>
    <w:tmpl w:val="9732F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2F229EF"/>
    <w:multiLevelType w:val="hybridMultilevel"/>
    <w:tmpl w:val="CF2438C4"/>
    <w:lvl w:ilvl="0" w:tplc="0C090001">
      <w:start w:val="1"/>
      <w:numFmt w:val="bullet"/>
      <w:lvlText w:val=""/>
      <w:lvlJc w:val="left"/>
      <w:pPr>
        <w:ind w:left="826" w:hanging="360"/>
      </w:pPr>
      <w:rPr>
        <w:rFonts w:ascii="Symbol" w:hAnsi="Symbol" w:hint="default"/>
      </w:rPr>
    </w:lvl>
    <w:lvl w:ilvl="1" w:tplc="0C090003">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6">
    <w:nsid w:val="6AC54646"/>
    <w:multiLevelType w:val="multilevel"/>
    <w:tmpl w:val="52CA81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84D033C"/>
    <w:multiLevelType w:val="multilevel"/>
    <w:tmpl w:val="F7066BD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17"/>
  </w:num>
  <w:num w:numId="5">
    <w:abstractNumId w:val="5"/>
  </w:num>
  <w:num w:numId="6">
    <w:abstractNumId w:val="13"/>
  </w:num>
  <w:num w:numId="7">
    <w:abstractNumId w:val="7"/>
  </w:num>
  <w:num w:numId="8">
    <w:abstractNumId w:val="11"/>
  </w:num>
  <w:num w:numId="9">
    <w:abstractNumId w:val="15"/>
  </w:num>
  <w:num w:numId="10">
    <w:abstractNumId w:val="10"/>
  </w:num>
  <w:num w:numId="11">
    <w:abstractNumId w:val="2"/>
  </w:num>
  <w:num w:numId="12">
    <w:abstractNumId w:val="0"/>
  </w:num>
  <w:num w:numId="13">
    <w:abstractNumId w:val="3"/>
  </w:num>
  <w:num w:numId="14">
    <w:abstractNumId w:val="6"/>
  </w:num>
  <w:num w:numId="15">
    <w:abstractNumId w:val="12"/>
  </w:num>
  <w:num w:numId="16">
    <w:abstractNumId w:val="14"/>
  </w:num>
  <w:num w:numId="17">
    <w:abstractNumId w:val="9"/>
  </w:num>
  <w:num w:numId="18">
    <w:abstractNumId w:val="1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 Snelling">
    <w15:presenceInfo w15:providerId="Windows Live" w15:userId="750d575ef53cd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29"/>
    <w:rsid w:val="0000091F"/>
    <w:rsid w:val="00000FC7"/>
    <w:rsid w:val="00001AB4"/>
    <w:rsid w:val="00002525"/>
    <w:rsid w:val="000032F5"/>
    <w:rsid w:val="000044EF"/>
    <w:rsid w:val="000051ED"/>
    <w:rsid w:val="000066F2"/>
    <w:rsid w:val="00007122"/>
    <w:rsid w:val="00007420"/>
    <w:rsid w:val="0001066F"/>
    <w:rsid w:val="0001182F"/>
    <w:rsid w:val="00012F24"/>
    <w:rsid w:val="00013222"/>
    <w:rsid w:val="0001543C"/>
    <w:rsid w:val="000157F0"/>
    <w:rsid w:val="00015C67"/>
    <w:rsid w:val="00016C1F"/>
    <w:rsid w:val="00016C2B"/>
    <w:rsid w:val="000176EC"/>
    <w:rsid w:val="00017D32"/>
    <w:rsid w:val="0002095B"/>
    <w:rsid w:val="00022B21"/>
    <w:rsid w:val="00022E6F"/>
    <w:rsid w:val="0002320A"/>
    <w:rsid w:val="00026125"/>
    <w:rsid w:val="000274EB"/>
    <w:rsid w:val="000306BE"/>
    <w:rsid w:val="00031700"/>
    <w:rsid w:val="00032122"/>
    <w:rsid w:val="000327FC"/>
    <w:rsid w:val="00032A66"/>
    <w:rsid w:val="000333C2"/>
    <w:rsid w:val="00034404"/>
    <w:rsid w:val="00035B11"/>
    <w:rsid w:val="00035B4D"/>
    <w:rsid w:val="00036049"/>
    <w:rsid w:val="000362B8"/>
    <w:rsid w:val="00036FB3"/>
    <w:rsid w:val="0003770B"/>
    <w:rsid w:val="00040904"/>
    <w:rsid w:val="00040D2F"/>
    <w:rsid w:val="00041B93"/>
    <w:rsid w:val="00041BAA"/>
    <w:rsid w:val="00041D93"/>
    <w:rsid w:val="0004588B"/>
    <w:rsid w:val="00045EAC"/>
    <w:rsid w:val="000461CF"/>
    <w:rsid w:val="00046588"/>
    <w:rsid w:val="00047B6B"/>
    <w:rsid w:val="00047BDD"/>
    <w:rsid w:val="00047F32"/>
    <w:rsid w:val="00050501"/>
    <w:rsid w:val="0005123F"/>
    <w:rsid w:val="00052FF3"/>
    <w:rsid w:val="00053799"/>
    <w:rsid w:val="00053E5B"/>
    <w:rsid w:val="0005540A"/>
    <w:rsid w:val="000554F1"/>
    <w:rsid w:val="00056334"/>
    <w:rsid w:val="00057DDF"/>
    <w:rsid w:val="00057F71"/>
    <w:rsid w:val="000603CA"/>
    <w:rsid w:val="00060C33"/>
    <w:rsid w:val="00060E7F"/>
    <w:rsid w:val="00061256"/>
    <w:rsid w:val="000613DA"/>
    <w:rsid w:val="00061992"/>
    <w:rsid w:val="00061A0A"/>
    <w:rsid w:val="00062067"/>
    <w:rsid w:val="00062B7E"/>
    <w:rsid w:val="0006303E"/>
    <w:rsid w:val="000644ED"/>
    <w:rsid w:val="000645BC"/>
    <w:rsid w:val="00065B0F"/>
    <w:rsid w:val="00065C62"/>
    <w:rsid w:val="00065CDE"/>
    <w:rsid w:val="00065F4A"/>
    <w:rsid w:val="000661CF"/>
    <w:rsid w:val="00067289"/>
    <w:rsid w:val="000675F8"/>
    <w:rsid w:val="00070F45"/>
    <w:rsid w:val="00071811"/>
    <w:rsid w:val="000725B2"/>
    <w:rsid w:val="0007277C"/>
    <w:rsid w:val="00074C58"/>
    <w:rsid w:val="00074CEE"/>
    <w:rsid w:val="00075E3A"/>
    <w:rsid w:val="00080C88"/>
    <w:rsid w:val="00080FF3"/>
    <w:rsid w:val="0008107F"/>
    <w:rsid w:val="00081D55"/>
    <w:rsid w:val="00082A75"/>
    <w:rsid w:val="00083304"/>
    <w:rsid w:val="00083C05"/>
    <w:rsid w:val="00083E58"/>
    <w:rsid w:val="000846BD"/>
    <w:rsid w:val="000847FE"/>
    <w:rsid w:val="00084CC4"/>
    <w:rsid w:val="000851C5"/>
    <w:rsid w:val="000855D4"/>
    <w:rsid w:val="00085891"/>
    <w:rsid w:val="00085F25"/>
    <w:rsid w:val="00086133"/>
    <w:rsid w:val="00090110"/>
    <w:rsid w:val="0009050F"/>
    <w:rsid w:val="00090E74"/>
    <w:rsid w:val="00091A14"/>
    <w:rsid w:val="000920AF"/>
    <w:rsid w:val="000924BA"/>
    <w:rsid w:val="000941D2"/>
    <w:rsid w:val="0009725A"/>
    <w:rsid w:val="0009764D"/>
    <w:rsid w:val="000A163F"/>
    <w:rsid w:val="000A1CA8"/>
    <w:rsid w:val="000A2430"/>
    <w:rsid w:val="000A2555"/>
    <w:rsid w:val="000A2694"/>
    <w:rsid w:val="000A28F8"/>
    <w:rsid w:val="000A2A94"/>
    <w:rsid w:val="000A2EF1"/>
    <w:rsid w:val="000A3874"/>
    <w:rsid w:val="000A6C6A"/>
    <w:rsid w:val="000A6FBD"/>
    <w:rsid w:val="000B1B4F"/>
    <w:rsid w:val="000B287E"/>
    <w:rsid w:val="000B29BF"/>
    <w:rsid w:val="000B2B6D"/>
    <w:rsid w:val="000B32BF"/>
    <w:rsid w:val="000B36CE"/>
    <w:rsid w:val="000B3C38"/>
    <w:rsid w:val="000B56CD"/>
    <w:rsid w:val="000B58EE"/>
    <w:rsid w:val="000B5B8F"/>
    <w:rsid w:val="000B5F35"/>
    <w:rsid w:val="000B601E"/>
    <w:rsid w:val="000B677F"/>
    <w:rsid w:val="000B6B69"/>
    <w:rsid w:val="000C0142"/>
    <w:rsid w:val="000C07A7"/>
    <w:rsid w:val="000C0FE4"/>
    <w:rsid w:val="000C14BE"/>
    <w:rsid w:val="000C1DFA"/>
    <w:rsid w:val="000C297F"/>
    <w:rsid w:val="000C2DF4"/>
    <w:rsid w:val="000C3684"/>
    <w:rsid w:val="000C616B"/>
    <w:rsid w:val="000C6508"/>
    <w:rsid w:val="000C6A40"/>
    <w:rsid w:val="000C6A75"/>
    <w:rsid w:val="000C6AFF"/>
    <w:rsid w:val="000D0023"/>
    <w:rsid w:val="000D0343"/>
    <w:rsid w:val="000D0F74"/>
    <w:rsid w:val="000D1463"/>
    <w:rsid w:val="000D172D"/>
    <w:rsid w:val="000D1C6D"/>
    <w:rsid w:val="000D1C9C"/>
    <w:rsid w:val="000D2516"/>
    <w:rsid w:val="000D29B0"/>
    <w:rsid w:val="000D2CEB"/>
    <w:rsid w:val="000D2E92"/>
    <w:rsid w:val="000D3022"/>
    <w:rsid w:val="000D38B5"/>
    <w:rsid w:val="000D4AC2"/>
    <w:rsid w:val="000D4E83"/>
    <w:rsid w:val="000D6658"/>
    <w:rsid w:val="000D6A23"/>
    <w:rsid w:val="000D781E"/>
    <w:rsid w:val="000D7DBE"/>
    <w:rsid w:val="000E378F"/>
    <w:rsid w:val="000E393A"/>
    <w:rsid w:val="000E3F77"/>
    <w:rsid w:val="000E4C9F"/>
    <w:rsid w:val="000E5262"/>
    <w:rsid w:val="000E709A"/>
    <w:rsid w:val="000E7552"/>
    <w:rsid w:val="000E766D"/>
    <w:rsid w:val="000F04A3"/>
    <w:rsid w:val="000F0EDB"/>
    <w:rsid w:val="000F14C1"/>
    <w:rsid w:val="000F150A"/>
    <w:rsid w:val="000F17FC"/>
    <w:rsid w:val="000F1BA0"/>
    <w:rsid w:val="000F2534"/>
    <w:rsid w:val="000F3652"/>
    <w:rsid w:val="000F3C82"/>
    <w:rsid w:val="000F4501"/>
    <w:rsid w:val="000F473F"/>
    <w:rsid w:val="000F6B04"/>
    <w:rsid w:val="001016F1"/>
    <w:rsid w:val="0010230F"/>
    <w:rsid w:val="00110751"/>
    <w:rsid w:val="00110CF4"/>
    <w:rsid w:val="00111124"/>
    <w:rsid w:val="00111352"/>
    <w:rsid w:val="00111E00"/>
    <w:rsid w:val="001121C7"/>
    <w:rsid w:val="00112E20"/>
    <w:rsid w:val="00113B39"/>
    <w:rsid w:val="0011452B"/>
    <w:rsid w:val="00115421"/>
    <w:rsid w:val="00115A83"/>
    <w:rsid w:val="00116966"/>
    <w:rsid w:val="00117BDF"/>
    <w:rsid w:val="00117C5C"/>
    <w:rsid w:val="001216F8"/>
    <w:rsid w:val="0012283C"/>
    <w:rsid w:val="00124235"/>
    <w:rsid w:val="00125B05"/>
    <w:rsid w:val="00126252"/>
    <w:rsid w:val="0012701F"/>
    <w:rsid w:val="001279AE"/>
    <w:rsid w:val="0013092C"/>
    <w:rsid w:val="001317DC"/>
    <w:rsid w:val="00132806"/>
    <w:rsid w:val="00133251"/>
    <w:rsid w:val="001339EB"/>
    <w:rsid w:val="00136E76"/>
    <w:rsid w:val="001401DE"/>
    <w:rsid w:val="001405BF"/>
    <w:rsid w:val="00140BE7"/>
    <w:rsid w:val="0014128E"/>
    <w:rsid w:val="00141C7A"/>
    <w:rsid w:val="0014236C"/>
    <w:rsid w:val="00142890"/>
    <w:rsid w:val="00144629"/>
    <w:rsid w:val="00144E59"/>
    <w:rsid w:val="00144F2F"/>
    <w:rsid w:val="00145896"/>
    <w:rsid w:val="001468C6"/>
    <w:rsid w:val="00146C47"/>
    <w:rsid w:val="00147098"/>
    <w:rsid w:val="0015021A"/>
    <w:rsid w:val="00150E1A"/>
    <w:rsid w:val="001518FC"/>
    <w:rsid w:val="00153441"/>
    <w:rsid w:val="00154AE6"/>
    <w:rsid w:val="00154B7A"/>
    <w:rsid w:val="00155DD9"/>
    <w:rsid w:val="00155E45"/>
    <w:rsid w:val="0016021D"/>
    <w:rsid w:val="00160DFA"/>
    <w:rsid w:val="001617CF"/>
    <w:rsid w:val="0016249A"/>
    <w:rsid w:val="00162D17"/>
    <w:rsid w:val="00163F00"/>
    <w:rsid w:val="0016498D"/>
    <w:rsid w:val="00165A49"/>
    <w:rsid w:val="001663E1"/>
    <w:rsid w:val="0016697A"/>
    <w:rsid w:val="001673B0"/>
    <w:rsid w:val="00167D55"/>
    <w:rsid w:val="00170C2F"/>
    <w:rsid w:val="00170D1A"/>
    <w:rsid w:val="00171AFD"/>
    <w:rsid w:val="00171F6E"/>
    <w:rsid w:val="001722AD"/>
    <w:rsid w:val="00173577"/>
    <w:rsid w:val="0017364E"/>
    <w:rsid w:val="001745C9"/>
    <w:rsid w:val="00174CB8"/>
    <w:rsid w:val="0017638E"/>
    <w:rsid w:val="00176A7A"/>
    <w:rsid w:val="00176AA5"/>
    <w:rsid w:val="0017720E"/>
    <w:rsid w:val="00177816"/>
    <w:rsid w:val="00177893"/>
    <w:rsid w:val="00177AA9"/>
    <w:rsid w:val="00177E7C"/>
    <w:rsid w:val="00177FF9"/>
    <w:rsid w:val="0018042F"/>
    <w:rsid w:val="00181B3A"/>
    <w:rsid w:val="00182EEB"/>
    <w:rsid w:val="001839D7"/>
    <w:rsid w:val="00184221"/>
    <w:rsid w:val="00185612"/>
    <w:rsid w:val="00185B84"/>
    <w:rsid w:val="00185C74"/>
    <w:rsid w:val="00186307"/>
    <w:rsid w:val="0018672E"/>
    <w:rsid w:val="00186EBC"/>
    <w:rsid w:val="00187BEA"/>
    <w:rsid w:val="001905F2"/>
    <w:rsid w:val="001909CB"/>
    <w:rsid w:val="00190F9A"/>
    <w:rsid w:val="00192E72"/>
    <w:rsid w:val="00192FE6"/>
    <w:rsid w:val="001945B8"/>
    <w:rsid w:val="00194BD7"/>
    <w:rsid w:val="00195DA4"/>
    <w:rsid w:val="00196B72"/>
    <w:rsid w:val="00196E83"/>
    <w:rsid w:val="001975A0"/>
    <w:rsid w:val="001A0142"/>
    <w:rsid w:val="001A02B2"/>
    <w:rsid w:val="001A3B0E"/>
    <w:rsid w:val="001A6A7D"/>
    <w:rsid w:val="001A77F0"/>
    <w:rsid w:val="001A7B85"/>
    <w:rsid w:val="001B00CE"/>
    <w:rsid w:val="001B0672"/>
    <w:rsid w:val="001B0B54"/>
    <w:rsid w:val="001B2BAC"/>
    <w:rsid w:val="001B3554"/>
    <w:rsid w:val="001B381A"/>
    <w:rsid w:val="001B4A77"/>
    <w:rsid w:val="001B6314"/>
    <w:rsid w:val="001B6389"/>
    <w:rsid w:val="001B6802"/>
    <w:rsid w:val="001B7EF9"/>
    <w:rsid w:val="001C04CC"/>
    <w:rsid w:val="001C051E"/>
    <w:rsid w:val="001C105C"/>
    <w:rsid w:val="001C2221"/>
    <w:rsid w:val="001C2864"/>
    <w:rsid w:val="001C318F"/>
    <w:rsid w:val="001C47F4"/>
    <w:rsid w:val="001C4DA4"/>
    <w:rsid w:val="001C53D8"/>
    <w:rsid w:val="001C7083"/>
    <w:rsid w:val="001D0CBE"/>
    <w:rsid w:val="001D0E64"/>
    <w:rsid w:val="001D15D8"/>
    <w:rsid w:val="001D32B0"/>
    <w:rsid w:val="001D4CAE"/>
    <w:rsid w:val="001D4F59"/>
    <w:rsid w:val="001D4FA5"/>
    <w:rsid w:val="001D5DE3"/>
    <w:rsid w:val="001D727C"/>
    <w:rsid w:val="001D765F"/>
    <w:rsid w:val="001E112D"/>
    <w:rsid w:val="001E19EB"/>
    <w:rsid w:val="001E2485"/>
    <w:rsid w:val="001E251C"/>
    <w:rsid w:val="001E3533"/>
    <w:rsid w:val="001E4361"/>
    <w:rsid w:val="001E4E81"/>
    <w:rsid w:val="001E5918"/>
    <w:rsid w:val="001E594D"/>
    <w:rsid w:val="001E605A"/>
    <w:rsid w:val="001E6185"/>
    <w:rsid w:val="001E65AE"/>
    <w:rsid w:val="001E72D9"/>
    <w:rsid w:val="001F005E"/>
    <w:rsid w:val="001F073C"/>
    <w:rsid w:val="001F0B16"/>
    <w:rsid w:val="001F0FCC"/>
    <w:rsid w:val="001F13B4"/>
    <w:rsid w:val="001F2912"/>
    <w:rsid w:val="001F3387"/>
    <w:rsid w:val="001F3549"/>
    <w:rsid w:val="001F3613"/>
    <w:rsid w:val="001F3CEB"/>
    <w:rsid w:val="001F5082"/>
    <w:rsid w:val="001F54DE"/>
    <w:rsid w:val="001F5C50"/>
    <w:rsid w:val="001F6507"/>
    <w:rsid w:val="001F6F42"/>
    <w:rsid w:val="001F6F7B"/>
    <w:rsid w:val="001F70F9"/>
    <w:rsid w:val="001F7EEB"/>
    <w:rsid w:val="002001C6"/>
    <w:rsid w:val="00200296"/>
    <w:rsid w:val="00200B45"/>
    <w:rsid w:val="00200C06"/>
    <w:rsid w:val="00201ADB"/>
    <w:rsid w:val="00201D45"/>
    <w:rsid w:val="00203C89"/>
    <w:rsid w:val="00204336"/>
    <w:rsid w:val="00204DF0"/>
    <w:rsid w:val="00204EF5"/>
    <w:rsid w:val="002058E5"/>
    <w:rsid w:val="00207025"/>
    <w:rsid w:val="00207541"/>
    <w:rsid w:val="002078A7"/>
    <w:rsid w:val="00207B62"/>
    <w:rsid w:val="00210A22"/>
    <w:rsid w:val="00210D7A"/>
    <w:rsid w:val="00210FAA"/>
    <w:rsid w:val="00211D10"/>
    <w:rsid w:val="00212674"/>
    <w:rsid w:val="0021391E"/>
    <w:rsid w:val="00213B62"/>
    <w:rsid w:val="00215657"/>
    <w:rsid w:val="00216577"/>
    <w:rsid w:val="00216BF3"/>
    <w:rsid w:val="00217619"/>
    <w:rsid w:val="00217A5C"/>
    <w:rsid w:val="00217D58"/>
    <w:rsid w:val="00220A1A"/>
    <w:rsid w:val="00221A94"/>
    <w:rsid w:val="0022208B"/>
    <w:rsid w:val="00222167"/>
    <w:rsid w:val="002234A6"/>
    <w:rsid w:val="00223DFF"/>
    <w:rsid w:val="002245FF"/>
    <w:rsid w:val="002256F5"/>
    <w:rsid w:val="00225E8B"/>
    <w:rsid w:val="002276FB"/>
    <w:rsid w:val="00231081"/>
    <w:rsid w:val="002313B2"/>
    <w:rsid w:val="0023273E"/>
    <w:rsid w:val="00232A82"/>
    <w:rsid w:val="00232E95"/>
    <w:rsid w:val="00234E4A"/>
    <w:rsid w:val="002351DA"/>
    <w:rsid w:val="002404B2"/>
    <w:rsid w:val="00240524"/>
    <w:rsid w:val="002414DB"/>
    <w:rsid w:val="00241747"/>
    <w:rsid w:val="00241F1A"/>
    <w:rsid w:val="002420B1"/>
    <w:rsid w:val="002425EA"/>
    <w:rsid w:val="00242811"/>
    <w:rsid w:val="00242EA0"/>
    <w:rsid w:val="00243685"/>
    <w:rsid w:val="00244219"/>
    <w:rsid w:val="00245E89"/>
    <w:rsid w:val="00246352"/>
    <w:rsid w:val="00246726"/>
    <w:rsid w:val="002471D4"/>
    <w:rsid w:val="00247484"/>
    <w:rsid w:val="00250DC9"/>
    <w:rsid w:val="00251254"/>
    <w:rsid w:val="00251F36"/>
    <w:rsid w:val="002520E9"/>
    <w:rsid w:val="002528BD"/>
    <w:rsid w:val="00253389"/>
    <w:rsid w:val="002538A0"/>
    <w:rsid w:val="00253D38"/>
    <w:rsid w:val="0025613F"/>
    <w:rsid w:val="00256F40"/>
    <w:rsid w:val="00260BE5"/>
    <w:rsid w:val="00260D31"/>
    <w:rsid w:val="00261DC6"/>
    <w:rsid w:val="00262322"/>
    <w:rsid w:val="002626EF"/>
    <w:rsid w:val="0026274B"/>
    <w:rsid w:val="002634DA"/>
    <w:rsid w:val="00263949"/>
    <w:rsid w:val="00263C30"/>
    <w:rsid w:val="002643BE"/>
    <w:rsid w:val="00264623"/>
    <w:rsid w:val="00264D65"/>
    <w:rsid w:val="00266DC4"/>
    <w:rsid w:val="002703AD"/>
    <w:rsid w:val="00270AD2"/>
    <w:rsid w:val="00271641"/>
    <w:rsid w:val="002720D9"/>
    <w:rsid w:val="00272A1D"/>
    <w:rsid w:val="00273C92"/>
    <w:rsid w:val="0027433B"/>
    <w:rsid w:val="00276A6E"/>
    <w:rsid w:val="0028012C"/>
    <w:rsid w:val="00280606"/>
    <w:rsid w:val="00280A97"/>
    <w:rsid w:val="00280B5B"/>
    <w:rsid w:val="0028254B"/>
    <w:rsid w:val="00282D1F"/>
    <w:rsid w:val="002836DF"/>
    <w:rsid w:val="00283806"/>
    <w:rsid w:val="00283E00"/>
    <w:rsid w:val="00284B50"/>
    <w:rsid w:val="00285553"/>
    <w:rsid w:val="00285FB7"/>
    <w:rsid w:val="0028744B"/>
    <w:rsid w:val="00287F0A"/>
    <w:rsid w:val="002928F4"/>
    <w:rsid w:val="00292CBD"/>
    <w:rsid w:val="0029325E"/>
    <w:rsid w:val="002949ED"/>
    <w:rsid w:val="00294A95"/>
    <w:rsid w:val="00294E71"/>
    <w:rsid w:val="002A0441"/>
    <w:rsid w:val="002A1B03"/>
    <w:rsid w:val="002A204C"/>
    <w:rsid w:val="002A3E1F"/>
    <w:rsid w:val="002A4503"/>
    <w:rsid w:val="002A4BAF"/>
    <w:rsid w:val="002B027B"/>
    <w:rsid w:val="002B048B"/>
    <w:rsid w:val="002B09FA"/>
    <w:rsid w:val="002B0F71"/>
    <w:rsid w:val="002B2DE0"/>
    <w:rsid w:val="002B33DC"/>
    <w:rsid w:val="002B43F1"/>
    <w:rsid w:val="002B479E"/>
    <w:rsid w:val="002B4941"/>
    <w:rsid w:val="002B5271"/>
    <w:rsid w:val="002B5D74"/>
    <w:rsid w:val="002B6893"/>
    <w:rsid w:val="002B6E04"/>
    <w:rsid w:val="002B7ADB"/>
    <w:rsid w:val="002B7F56"/>
    <w:rsid w:val="002B7FCB"/>
    <w:rsid w:val="002C000E"/>
    <w:rsid w:val="002C1C22"/>
    <w:rsid w:val="002C1D2F"/>
    <w:rsid w:val="002C26C9"/>
    <w:rsid w:val="002C56F3"/>
    <w:rsid w:val="002C5B65"/>
    <w:rsid w:val="002C6677"/>
    <w:rsid w:val="002C681C"/>
    <w:rsid w:val="002C7A90"/>
    <w:rsid w:val="002D049C"/>
    <w:rsid w:val="002D07D5"/>
    <w:rsid w:val="002D0936"/>
    <w:rsid w:val="002D0C74"/>
    <w:rsid w:val="002D2FCA"/>
    <w:rsid w:val="002D311D"/>
    <w:rsid w:val="002D34C2"/>
    <w:rsid w:val="002D41A9"/>
    <w:rsid w:val="002D6433"/>
    <w:rsid w:val="002D6A64"/>
    <w:rsid w:val="002D7823"/>
    <w:rsid w:val="002E0189"/>
    <w:rsid w:val="002E03E8"/>
    <w:rsid w:val="002E0CBF"/>
    <w:rsid w:val="002E2C65"/>
    <w:rsid w:val="002E2E4E"/>
    <w:rsid w:val="002E42FD"/>
    <w:rsid w:val="002E4753"/>
    <w:rsid w:val="002E495B"/>
    <w:rsid w:val="002E4C2D"/>
    <w:rsid w:val="002E5DEA"/>
    <w:rsid w:val="002E6788"/>
    <w:rsid w:val="002E6A89"/>
    <w:rsid w:val="002E724A"/>
    <w:rsid w:val="002E72AF"/>
    <w:rsid w:val="002F0441"/>
    <w:rsid w:val="002F0636"/>
    <w:rsid w:val="002F0CB5"/>
    <w:rsid w:val="002F0CC4"/>
    <w:rsid w:val="002F311E"/>
    <w:rsid w:val="002F40AC"/>
    <w:rsid w:val="002F576B"/>
    <w:rsid w:val="002F6157"/>
    <w:rsid w:val="002F64E0"/>
    <w:rsid w:val="002F71B8"/>
    <w:rsid w:val="0030057F"/>
    <w:rsid w:val="003015AC"/>
    <w:rsid w:val="003017A5"/>
    <w:rsid w:val="00301EA1"/>
    <w:rsid w:val="00302FCC"/>
    <w:rsid w:val="003047D7"/>
    <w:rsid w:val="00304E45"/>
    <w:rsid w:val="00304F95"/>
    <w:rsid w:val="00305C05"/>
    <w:rsid w:val="00306066"/>
    <w:rsid w:val="003062AE"/>
    <w:rsid w:val="00306683"/>
    <w:rsid w:val="003113B7"/>
    <w:rsid w:val="003118EB"/>
    <w:rsid w:val="00311BE7"/>
    <w:rsid w:val="0031290F"/>
    <w:rsid w:val="00315514"/>
    <w:rsid w:val="00316869"/>
    <w:rsid w:val="00317728"/>
    <w:rsid w:val="00320163"/>
    <w:rsid w:val="00320AC5"/>
    <w:rsid w:val="00321268"/>
    <w:rsid w:val="00324635"/>
    <w:rsid w:val="00325317"/>
    <w:rsid w:val="003265F2"/>
    <w:rsid w:val="00327124"/>
    <w:rsid w:val="00332417"/>
    <w:rsid w:val="003337AC"/>
    <w:rsid w:val="00333DA1"/>
    <w:rsid w:val="00334ACF"/>
    <w:rsid w:val="003352C5"/>
    <w:rsid w:val="003404F6"/>
    <w:rsid w:val="00341A14"/>
    <w:rsid w:val="00341CB5"/>
    <w:rsid w:val="003429B8"/>
    <w:rsid w:val="00342FBD"/>
    <w:rsid w:val="0034407E"/>
    <w:rsid w:val="00344A6F"/>
    <w:rsid w:val="00345849"/>
    <w:rsid w:val="00346504"/>
    <w:rsid w:val="003465ED"/>
    <w:rsid w:val="0034798A"/>
    <w:rsid w:val="00347BD7"/>
    <w:rsid w:val="00350362"/>
    <w:rsid w:val="0035085A"/>
    <w:rsid w:val="00350D8B"/>
    <w:rsid w:val="003511DF"/>
    <w:rsid w:val="00351381"/>
    <w:rsid w:val="0035145C"/>
    <w:rsid w:val="00351664"/>
    <w:rsid w:val="003518B5"/>
    <w:rsid w:val="003530A6"/>
    <w:rsid w:val="00353627"/>
    <w:rsid w:val="003536D5"/>
    <w:rsid w:val="00355F72"/>
    <w:rsid w:val="00356D8F"/>
    <w:rsid w:val="00357572"/>
    <w:rsid w:val="00357657"/>
    <w:rsid w:val="003578A8"/>
    <w:rsid w:val="003604DB"/>
    <w:rsid w:val="0036267E"/>
    <w:rsid w:val="00362A9F"/>
    <w:rsid w:val="003632BC"/>
    <w:rsid w:val="003639A6"/>
    <w:rsid w:val="00364941"/>
    <w:rsid w:val="00365010"/>
    <w:rsid w:val="0036679C"/>
    <w:rsid w:val="00366FF1"/>
    <w:rsid w:val="003670E8"/>
    <w:rsid w:val="00367650"/>
    <w:rsid w:val="003679AE"/>
    <w:rsid w:val="00367D82"/>
    <w:rsid w:val="00370178"/>
    <w:rsid w:val="00370A93"/>
    <w:rsid w:val="003721D3"/>
    <w:rsid w:val="00373513"/>
    <w:rsid w:val="00373796"/>
    <w:rsid w:val="00373A9B"/>
    <w:rsid w:val="00374B90"/>
    <w:rsid w:val="00374F1B"/>
    <w:rsid w:val="003758F1"/>
    <w:rsid w:val="003762F6"/>
    <w:rsid w:val="0037637A"/>
    <w:rsid w:val="00376668"/>
    <w:rsid w:val="00380CD7"/>
    <w:rsid w:val="00382126"/>
    <w:rsid w:val="0038281C"/>
    <w:rsid w:val="00382A78"/>
    <w:rsid w:val="0038413A"/>
    <w:rsid w:val="00384D54"/>
    <w:rsid w:val="003851FE"/>
    <w:rsid w:val="00385A64"/>
    <w:rsid w:val="00385F2A"/>
    <w:rsid w:val="00385F34"/>
    <w:rsid w:val="00386419"/>
    <w:rsid w:val="003866B2"/>
    <w:rsid w:val="00386D1A"/>
    <w:rsid w:val="00386E1D"/>
    <w:rsid w:val="00390D58"/>
    <w:rsid w:val="003917E4"/>
    <w:rsid w:val="00391FF8"/>
    <w:rsid w:val="00393E5D"/>
    <w:rsid w:val="00394DC0"/>
    <w:rsid w:val="00397170"/>
    <w:rsid w:val="00397E53"/>
    <w:rsid w:val="003A08CA"/>
    <w:rsid w:val="003A0BE8"/>
    <w:rsid w:val="003A0C68"/>
    <w:rsid w:val="003A19F6"/>
    <w:rsid w:val="003A1A28"/>
    <w:rsid w:val="003A1B48"/>
    <w:rsid w:val="003A1C98"/>
    <w:rsid w:val="003A2573"/>
    <w:rsid w:val="003A3433"/>
    <w:rsid w:val="003A3B64"/>
    <w:rsid w:val="003A4A2E"/>
    <w:rsid w:val="003A537E"/>
    <w:rsid w:val="003A5CAE"/>
    <w:rsid w:val="003A63EB"/>
    <w:rsid w:val="003A660F"/>
    <w:rsid w:val="003A6773"/>
    <w:rsid w:val="003A6BBF"/>
    <w:rsid w:val="003B0914"/>
    <w:rsid w:val="003B095E"/>
    <w:rsid w:val="003B1069"/>
    <w:rsid w:val="003B30F0"/>
    <w:rsid w:val="003B387E"/>
    <w:rsid w:val="003B4379"/>
    <w:rsid w:val="003B454E"/>
    <w:rsid w:val="003B4DB5"/>
    <w:rsid w:val="003B4F75"/>
    <w:rsid w:val="003B56CC"/>
    <w:rsid w:val="003B653B"/>
    <w:rsid w:val="003B6A81"/>
    <w:rsid w:val="003B76E7"/>
    <w:rsid w:val="003B7D8E"/>
    <w:rsid w:val="003C0BF9"/>
    <w:rsid w:val="003C0EAF"/>
    <w:rsid w:val="003C1146"/>
    <w:rsid w:val="003C1A9F"/>
    <w:rsid w:val="003C219F"/>
    <w:rsid w:val="003C401A"/>
    <w:rsid w:val="003C4223"/>
    <w:rsid w:val="003C5F28"/>
    <w:rsid w:val="003C6E20"/>
    <w:rsid w:val="003C7FC7"/>
    <w:rsid w:val="003D11A9"/>
    <w:rsid w:val="003D153C"/>
    <w:rsid w:val="003D1A5F"/>
    <w:rsid w:val="003D1D1B"/>
    <w:rsid w:val="003D2A37"/>
    <w:rsid w:val="003D4D1F"/>
    <w:rsid w:val="003D5198"/>
    <w:rsid w:val="003D5EF9"/>
    <w:rsid w:val="003D69EF"/>
    <w:rsid w:val="003D727F"/>
    <w:rsid w:val="003D72E1"/>
    <w:rsid w:val="003D7F8C"/>
    <w:rsid w:val="003E0EDB"/>
    <w:rsid w:val="003E2D03"/>
    <w:rsid w:val="003E2D94"/>
    <w:rsid w:val="003E582E"/>
    <w:rsid w:val="003E61E3"/>
    <w:rsid w:val="003E6475"/>
    <w:rsid w:val="003E6BBD"/>
    <w:rsid w:val="003E7F69"/>
    <w:rsid w:val="003F0784"/>
    <w:rsid w:val="003F105A"/>
    <w:rsid w:val="003F283D"/>
    <w:rsid w:val="003F2D26"/>
    <w:rsid w:val="003F3AB3"/>
    <w:rsid w:val="003F46D9"/>
    <w:rsid w:val="003F49E0"/>
    <w:rsid w:val="003F6199"/>
    <w:rsid w:val="0040140C"/>
    <w:rsid w:val="00402D42"/>
    <w:rsid w:val="004033BF"/>
    <w:rsid w:val="00403B5E"/>
    <w:rsid w:val="00404ED1"/>
    <w:rsid w:val="0040607A"/>
    <w:rsid w:val="00407752"/>
    <w:rsid w:val="00411B05"/>
    <w:rsid w:val="004120FD"/>
    <w:rsid w:val="00413010"/>
    <w:rsid w:val="004131F3"/>
    <w:rsid w:val="004133CC"/>
    <w:rsid w:val="00413690"/>
    <w:rsid w:val="00414CA7"/>
    <w:rsid w:val="0041590F"/>
    <w:rsid w:val="00416BA0"/>
    <w:rsid w:val="00417206"/>
    <w:rsid w:val="00417555"/>
    <w:rsid w:val="00417625"/>
    <w:rsid w:val="004177DF"/>
    <w:rsid w:val="00421450"/>
    <w:rsid w:val="00421749"/>
    <w:rsid w:val="0042193F"/>
    <w:rsid w:val="004219B5"/>
    <w:rsid w:val="0042248A"/>
    <w:rsid w:val="004226E6"/>
    <w:rsid w:val="00422796"/>
    <w:rsid w:val="00422822"/>
    <w:rsid w:val="00423476"/>
    <w:rsid w:val="00424C2C"/>
    <w:rsid w:val="00427E55"/>
    <w:rsid w:val="0043053F"/>
    <w:rsid w:val="00430C40"/>
    <w:rsid w:val="004316B8"/>
    <w:rsid w:val="00434B66"/>
    <w:rsid w:val="004353EE"/>
    <w:rsid w:val="00435804"/>
    <w:rsid w:val="00436D21"/>
    <w:rsid w:val="00436DF7"/>
    <w:rsid w:val="00437546"/>
    <w:rsid w:val="00437BB5"/>
    <w:rsid w:val="00443A97"/>
    <w:rsid w:val="00443C70"/>
    <w:rsid w:val="004454F5"/>
    <w:rsid w:val="00447040"/>
    <w:rsid w:val="00450ABC"/>
    <w:rsid w:val="00451825"/>
    <w:rsid w:val="00451BA2"/>
    <w:rsid w:val="00452248"/>
    <w:rsid w:val="004535E2"/>
    <w:rsid w:val="00453BAE"/>
    <w:rsid w:val="00453D59"/>
    <w:rsid w:val="00454270"/>
    <w:rsid w:val="00454493"/>
    <w:rsid w:val="00455EAE"/>
    <w:rsid w:val="00455EFF"/>
    <w:rsid w:val="00457130"/>
    <w:rsid w:val="00457299"/>
    <w:rsid w:val="004605D6"/>
    <w:rsid w:val="004619BB"/>
    <w:rsid w:val="004620FB"/>
    <w:rsid w:val="00463D37"/>
    <w:rsid w:val="00464230"/>
    <w:rsid w:val="004651C8"/>
    <w:rsid w:val="00465D3F"/>
    <w:rsid w:val="0046621E"/>
    <w:rsid w:val="004663BA"/>
    <w:rsid w:val="00466E8B"/>
    <w:rsid w:val="004715D4"/>
    <w:rsid w:val="00471D7A"/>
    <w:rsid w:val="00472D4D"/>
    <w:rsid w:val="00472ED7"/>
    <w:rsid w:val="00473EDF"/>
    <w:rsid w:val="0047436D"/>
    <w:rsid w:val="004760EC"/>
    <w:rsid w:val="00476BC0"/>
    <w:rsid w:val="00476D5A"/>
    <w:rsid w:val="0048020F"/>
    <w:rsid w:val="00481924"/>
    <w:rsid w:val="004827F3"/>
    <w:rsid w:val="00482BC8"/>
    <w:rsid w:val="00482C62"/>
    <w:rsid w:val="00483707"/>
    <w:rsid w:val="004844AB"/>
    <w:rsid w:val="00487513"/>
    <w:rsid w:val="00487965"/>
    <w:rsid w:val="00487EA3"/>
    <w:rsid w:val="004919DD"/>
    <w:rsid w:val="00493934"/>
    <w:rsid w:val="0049455B"/>
    <w:rsid w:val="004948A3"/>
    <w:rsid w:val="00494BB6"/>
    <w:rsid w:val="00494F7C"/>
    <w:rsid w:val="004953A4"/>
    <w:rsid w:val="00495EE7"/>
    <w:rsid w:val="00495FF5"/>
    <w:rsid w:val="00497212"/>
    <w:rsid w:val="004A124F"/>
    <w:rsid w:val="004A1256"/>
    <w:rsid w:val="004A1885"/>
    <w:rsid w:val="004A2402"/>
    <w:rsid w:val="004A2DF5"/>
    <w:rsid w:val="004A382B"/>
    <w:rsid w:val="004A3BCA"/>
    <w:rsid w:val="004A3D93"/>
    <w:rsid w:val="004A3F37"/>
    <w:rsid w:val="004A4EF3"/>
    <w:rsid w:val="004A52C6"/>
    <w:rsid w:val="004A5616"/>
    <w:rsid w:val="004A67AD"/>
    <w:rsid w:val="004A6FBD"/>
    <w:rsid w:val="004B0266"/>
    <w:rsid w:val="004B0653"/>
    <w:rsid w:val="004B2316"/>
    <w:rsid w:val="004B3B81"/>
    <w:rsid w:val="004B3C00"/>
    <w:rsid w:val="004B5A41"/>
    <w:rsid w:val="004B5B50"/>
    <w:rsid w:val="004B6521"/>
    <w:rsid w:val="004B6881"/>
    <w:rsid w:val="004C00DC"/>
    <w:rsid w:val="004C17DA"/>
    <w:rsid w:val="004C1843"/>
    <w:rsid w:val="004C37FE"/>
    <w:rsid w:val="004C4B30"/>
    <w:rsid w:val="004C4CBB"/>
    <w:rsid w:val="004C6986"/>
    <w:rsid w:val="004D0120"/>
    <w:rsid w:val="004D1006"/>
    <w:rsid w:val="004D260F"/>
    <w:rsid w:val="004D2BE3"/>
    <w:rsid w:val="004D45DF"/>
    <w:rsid w:val="004D5395"/>
    <w:rsid w:val="004D78A8"/>
    <w:rsid w:val="004E0C0B"/>
    <w:rsid w:val="004E2125"/>
    <w:rsid w:val="004E4DB6"/>
    <w:rsid w:val="004E5F92"/>
    <w:rsid w:val="004E6778"/>
    <w:rsid w:val="004E7BD2"/>
    <w:rsid w:val="004E7EF7"/>
    <w:rsid w:val="004F1CF9"/>
    <w:rsid w:val="004F2D73"/>
    <w:rsid w:val="004F305C"/>
    <w:rsid w:val="004F3688"/>
    <w:rsid w:val="004F3AAE"/>
    <w:rsid w:val="004F422A"/>
    <w:rsid w:val="004F4415"/>
    <w:rsid w:val="004F4918"/>
    <w:rsid w:val="004F4BDE"/>
    <w:rsid w:val="004F5E2A"/>
    <w:rsid w:val="004F5ECE"/>
    <w:rsid w:val="004F6163"/>
    <w:rsid w:val="004F6727"/>
    <w:rsid w:val="004F6BAE"/>
    <w:rsid w:val="004F7B62"/>
    <w:rsid w:val="004F7CAC"/>
    <w:rsid w:val="00501E98"/>
    <w:rsid w:val="00502D35"/>
    <w:rsid w:val="00504653"/>
    <w:rsid w:val="00504A0D"/>
    <w:rsid w:val="0050686D"/>
    <w:rsid w:val="005072FF"/>
    <w:rsid w:val="005074B8"/>
    <w:rsid w:val="00507713"/>
    <w:rsid w:val="00511320"/>
    <w:rsid w:val="00511C52"/>
    <w:rsid w:val="00512523"/>
    <w:rsid w:val="00512743"/>
    <w:rsid w:val="00512ACE"/>
    <w:rsid w:val="00512E4D"/>
    <w:rsid w:val="005143F9"/>
    <w:rsid w:val="00514A6A"/>
    <w:rsid w:val="00514AFE"/>
    <w:rsid w:val="00514F3D"/>
    <w:rsid w:val="00516566"/>
    <w:rsid w:val="005178F9"/>
    <w:rsid w:val="00520FF0"/>
    <w:rsid w:val="00521060"/>
    <w:rsid w:val="005212CA"/>
    <w:rsid w:val="0052147C"/>
    <w:rsid w:val="0052180D"/>
    <w:rsid w:val="005218C3"/>
    <w:rsid w:val="00521EDC"/>
    <w:rsid w:val="005223EC"/>
    <w:rsid w:val="00522C23"/>
    <w:rsid w:val="00522F7F"/>
    <w:rsid w:val="00524E24"/>
    <w:rsid w:val="005261B9"/>
    <w:rsid w:val="0052637F"/>
    <w:rsid w:val="00526C2C"/>
    <w:rsid w:val="00527032"/>
    <w:rsid w:val="00527F3F"/>
    <w:rsid w:val="0053020B"/>
    <w:rsid w:val="00530E06"/>
    <w:rsid w:val="005314C9"/>
    <w:rsid w:val="00531C11"/>
    <w:rsid w:val="005342A0"/>
    <w:rsid w:val="00535929"/>
    <w:rsid w:val="00535C74"/>
    <w:rsid w:val="005361AB"/>
    <w:rsid w:val="0053665D"/>
    <w:rsid w:val="00536C68"/>
    <w:rsid w:val="00536F11"/>
    <w:rsid w:val="00537A0E"/>
    <w:rsid w:val="00537EA9"/>
    <w:rsid w:val="005400D2"/>
    <w:rsid w:val="0054024B"/>
    <w:rsid w:val="0054090C"/>
    <w:rsid w:val="00540B74"/>
    <w:rsid w:val="00540E37"/>
    <w:rsid w:val="005413DF"/>
    <w:rsid w:val="00541573"/>
    <w:rsid w:val="00541714"/>
    <w:rsid w:val="0054195B"/>
    <w:rsid w:val="00541AD6"/>
    <w:rsid w:val="00541D43"/>
    <w:rsid w:val="00542068"/>
    <w:rsid w:val="00542666"/>
    <w:rsid w:val="00543AF9"/>
    <w:rsid w:val="005443A7"/>
    <w:rsid w:val="00545873"/>
    <w:rsid w:val="005469C4"/>
    <w:rsid w:val="00546D83"/>
    <w:rsid w:val="0055020E"/>
    <w:rsid w:val="0055054C"/>
    <w:rsid w:val="00550915"/>
    <w:rsid w:val="00551CB5"/>
    <w:rsid w:val="00552549"/>
    <w:rsid w:val="00552FBF"/>
    <w:rsid w:val="00553983"/>
    <w:rsid w:val="0055429B"/>
    <w:rsid w:val="005544ED"/>
    <w:rsid w:val="00554D4A"/>
    <w:rsid w:val="0055532F"/>
    <w:rsid w:val="005556E6"/>
    <w:rsid w:val="005558A9"/>
    <w:rsid w:val="00556580"/>
    <w:rsid w:val="0055687C"/>
    <w:rsid w:val="00556B7A"/>
    <w:rsid w:val="00556E93"/>
    <w:rsid w:val="00561A5C"/>
    <w:rsid w:val="00561D24"/>
    <w:rsid w:val="00562A1D"/>
    <w:rsid w:val="00564912"/>
    <w:rsid w:val="005652B4"/>
    <w:rsid w:val="0056542F"/>
    <w:rsid w:val="00565ACF"/>
    <w:rsid w:val="005668A5"/>
    <w:rsid w:val="00570ACF"/>
    <w:rsid w:val="00570AE3"/>
    <w:rsid w:val="00571205"/>
    <w:rsid w:val="00571915"/>
    <w:rsid w:val="00571FD3"/>
    <w:rsid w:val="00572CD7"/>
    <w:rsid w:val="005730E0"/>
    <w:rsid w:val="00573284"/>
    <w:rsid w:val="00573A90"/>
    <w:rsid w:val="00573DD6"/>
    <w:rsid w:val="00574A5B"/>
    <w:rsid w:val="00575A6F"/>
    <w:rsid w:val="0057637C"/>
    <w:rsid w:val="005764D6"/>
    <w:rsid w:val="005768A6"/>
    <w:rsid w:val="00576ADE"/>
    <w:rsid w:val="00577AF7"/>
    <w:rsid w:val="00577CFD"/>
    <w:rsid w:val="00577DEF"/>
    <w:rsid w:val="005800A5"/>
    <w:rsid w:val="005815B4"/>
    <w:rsid w:val="0058170F"/>
    <w:rsid w:val="00581A13"/>
    <w:rsid w:val="00582804"/>
    <w:rsid w:val="00583365"/>
    <w:rsid w:val="005835E4"/>
    <w:rsid w:val="005837B3"/>
    <w:rsid w:val="00584121"/>
    <w:rsid w:val="00587023"/>
    <w:rsid w:val="00587762"/>
    <w:rsid w:val="00587CF4"/>
    <w:rsid w:val="00590D6D"/>
    <w:rsid w:val="005915E0"/>
    <w:rsid w:val="005924A7"/>
    <w:rsid w:val="0059275A"/>
    <w:rsid w:val="0059282F"/>
    <w:rsid w:val="0059300E"/>
    <w:rsid w:val="005931CA"/>
    <w:rsid w:val="00593606"/>
    <w:rsid w:val="005948F5"/>
    <w:rsid w:val="005948F6"/>
    <w:rsid w:val="00594AF1"/>
    <w:rsid w:val="005962E7"/>
    <w:rsid w:val="005970A8"/>
    <w:rsid w:val="00597972"/>
    <w:rsid w:val="00597F17"/>
    <w:rsid w:val="005A0976"/>
    <w:rsid w:val="005A170A"/>
    <w:rsid w:val="005A1BF3"/>
    <w:rsid w:val="005A40DF"/>
    <w:rsid w:val="005A4667"/>
    <w:rsid w:val="005A587A"/>
    <w:rsid w:val="005A635F"/>
    <w:rsid w:val="005A7509"/>
    <w:rsid w:val="005A78CB"/>
    <w:rsid w:val="005A7F8D"/>
    <w:rsid w:val="005B0841"/>
    <w:rsid w:val="005B1405"/>
    <w:rsid w:val="005B1D19"/>
    <w:rsid w:val="005B20BF"/>
    <w:rsid w:val="005B3ECE"/>
    <w:rsid w:val="005B40FD"/>
    <w:rsid w:val="005B4B48"/>
    <w:rsid w:val="005B4DBC"/>
    <w:rsid w:val="005B605A"/>
    <w:rsid w:val="005B6603"/>
    <w:rsid w:val="005B79D5"/>
    <w:rsid w:val="005C173B"/>
    <w:rsid w:val="005C2176"/>
    <w:rsid w:val="005C2229"/>
    <w:rsid w:val="005C3636"/>
    <w:rsid w:val="005C3A4A"/>
    <w:rsid w:val="005C3BD2"/>
    <w:rsid w:val="005C3CDE"/>
    <w:rsid w:val="005C421D"/>
    <w:rsid w:val="005C6285"/>
    <w:rsid w:val="005C7B81"/>
    <w:rsid w:val="005D0E37"/>
    <w:rsid w:val="005D161C"/>
    <w:rsid w:val="005D1A1E"/>
    <w:rsid w:val="005D22DF"/>
    <w:rsid w:val="005D2DE4"/>
    <w:rsid w:val="005D3FAA"/>
    <w:rsid w:val="005D47AE"/>
    <w:rsid w:val="005D4B4E"/>
    <w:rsid w:val="005D4B74"/>
    <w:rsid w:val="005D5470"/>
    <w:rsid w:val="005D5BA1"/>
    <w:rsid w:val="005D5C36"/>
    <w:rsid w:val="005D622E"/>
    <w:rsid w:val="005D65BB"/>
    <w:rsid w:val="005D68F2"/>
    <w:rsid w:val="005D6CCD"/>
    <w:rsid w:val="005E0C09"/>
    <w:rsid w:val="005E1486"/>
    <w:rsid w:val="005E3510"/>
    <w:rsid w:val="005E389F"/>
    <w:rsid w:val="005E3E63"/>
    <w:rsid w:val="005E4634"/>
    <w:rsid w:val="005E4718"/>
    <w:rsid w:val="005E49B2"/>
    <w:rsid w:val="005E7F79"/>
    <w:rsid w:val="005F0AE8"/>
    <w:rsid w:val="005F1FE0"/>
    <w:rsid w:val="005F2A6B"/>
    <w:rsid w:val="005F33EF"/>
    <w:rsid w:val="005F40C1"/>
    <w:rsid w:val="005F55EB"/>
    <w:rsid w:val="005F5805"/>
    <w:rsid w:val="005F68A9"/>
    <w:rsid w:val="005F70A4"/>
    <w:rsid w:val="005F7529"/>
    <w:rsid w:val="006014FB"/>
    <w:rsid w:val="006022EB"/>
    <w:rsid w:val="006024D3"/>
    <w:rsid w:val="006036B0"/>
    <w:rsid w:val="00604104"/>
    <w:rsid w:val="0060536E"/>
    <w:rsid w:val="006058FE"/>
    <w:rsid w:val="00605EFC"/>
    <w:rsid w:val="00606BDE"/>
    <w:rsid w:val="00606EF9"/>
    <w:rsid w:val="0060706A"/>
    <w:rsid w:val="006070C4"/>
    <w:rsid w:val="006075D4"/>
    <w:rsid w:val="00607758"/>
    <w:rsid w:val="00607C75"/>
    <w:rsid w:val="0061015E"/>
    <w:rsid w:val="00610306"/>
    <w:rsid w:val="00610D5E"/>
    <w:rsid w:val="006110E8"/>
    <w:rsid w:val="006129DB"/>
    <w:rsid w:val="00613467"/>
    <w:rsid w:val="00613A1F"/>
    <w:rsid w:val="00613C05"/>
    <w:rsid w:val="00616E2A"/>
    <w:rsid w:val="00616E99"/>
    <w:rsid w:val="006171F0"/>
    <w:rsid w:val="00617EB5"/>
    <w:rsid w:val="00620422"/>
    <w:rsid w:val="00623AE5"/>
    <w:rsid w:val="00624315"/>
    <w:rsid w:val="00624947"/>
    <w:rsid w:val="00624B1C"/>
    <w:rsid w:val="00625314"/>
    <w:rsid w:val="0062545B"/>
    <w:rsid w:val="0062552A"/>
    <w:rsid w:val="00626422"/>
    <w:rsid w:val="00627B1C"/>
    <w:rsid w:val="00627F6C"/>
    <w:rsid w:val="006309F8"/>
    <w:rsid w:val="006332BE"/>
    <w:rsid w:val="00634016"/>
    <w:rsid w:val="006348B6"/>
    <w:rsid w:val="00634F44"/>
    <w:rsid w:val="00635256"/>
    <w:rsid w:val="00635B2C"/>
    <w:rsid w:val="006360D4"/>
    <w:rsid w:val="00636A78"/>
    <w:rsid w:val="00636E55"/>
    <w:rsid w:val="00636EDC"/>
    <w:rsid w:val="006408C3"/>
    <w:rsid w:val="006423C0"/>
    <w:rsid w:val="006424AF"/>
    <w:rsid w:val="006429A9"/>
    <w:rsid w:val="006429F7"/>
    <w:rsid w:val="00642D36"/>
    <w:rsid w:val="00643296"/>
    <w:rsid w:val="006445C0"/>
    <w:rsid w:val="0064504A"/>
    <w:rsid w:val="0064620D"/>
    <w:rsid w:val="006504CD"/>
    <w:rsid w:val="00651941"/>
    <w:rsid w:val="00653527"/>
    <w:rsid w:val="00653918"/>
    <w:rsid w:val="0065505D"/>
    <w:rsid w:val="0065552F"/>
    <w:rsid w:val="00655F1A"/>
    <w:rsid w:val="006563A1"/>
    <w:rsid w:val="006565C9"/>
    <w:rsid w:val="00657683"/>
    <w:rsid w:val="00657754"/>
    <w:rsid w:val="00657D0F"/>
    <w:rsid w:val="00661286"/>
    <w:rsid w:val="00661394"/>
    <w:rsid w:val="00661F7F"/>
    <w:rsid w:val="00662DFF"/>
    <w:rsid w:val="00663225"/>
    <w:rsid w:val="00664322"/>
    <w:rsid w:val="00664356"/>
    <w:rsid w:val="00664E08"/>
    <w:rsid w:val="00665938"/>
    <w:rsid w:val="006660EF"/>
    <w:rsid w:val="0066617E"/>
    <w:rsid w:val="006665E6"/>
    <w:rsid w:val="006669F7"/>
    <w:rsid w:val="00666F3B"/>
    <w:rsid w:val="00670C34"/>
    <w:rsid w:val="00671723"/>
    <w:rsid w:val="00672120"/>
    <w:rsid w:val="00674B9C"/>
    <w:rsid w:val="006775A3"/>
    <w:rsid w:val="006803DA"/>
    <w:rsid w:val="006807DE"/>
    <w:rsid w:val="0068187B"/>
    <w:rsid w:val="00681A35"/>
    <w:rsid w:val="00682DBF"/>
    <w:rsid w:val="00682E96"/>
    <w:rsid w:val="00684D55"/>
    <w:rsid w:val="00685333"/>
    <w:rsid w:val="0068613D"/>
    <w:rsid w:val="00690727"/>
    <w:rsid w:val="00691913"/>
    <w:rsid w:val="00692130"/>
    <w:rsid w:val="00692FB3"/>
    <w:rsid w:val="00695B42"/>
    <w:rsid w:val="00696D8E"/>
    <w:rsid w:val="006973B8"/>
    <w:rsid w:val="006A138B"/>
    <w:rsid w:val="006A2E11"/>
    <w:rsid w:val="006A5191"/>
    <w:rsid w:val="006A71F9"/>
    <w:rsid w:val="006A7BE6"/>
    <w:rsid w:val="006B140A"/>
    <w:rsid w:val="006B170D"/>
    <w:rsid w:val="006B2B03"/>
    <w:rsid w:val="006B3C69"/>
    <w:rsid w:val="006B5977"/>
    <w:rsid w:val="006C0C51"/>
    <w:rsid w:val="006C27E5"/>
    <w:rsid w:val="006C3DFF"/>
    <w:rsid w:val="006C40F0"/>
    <w:rsid w:val="006C42C7"/>
    <w:rsid w:val="006C4906"/>
    <w:rsid w:val="006C49CE"/>
    <w:rsid w:val="006C4AD7"/>
    <w:rsid w:val="006C4BE6"/>
    <w:rsid w:val="006C4E2D"/>
    <w:rsid w:val="006C520A"/>
    <w:rsid w:val="006C5F06"/>
    <w:rsid w:val="006C662D"/>
    <w:rsid w:val="006C6EF1"/>
    <w:rsid w:val="006C72C6"/>
    <w:rsid w:val="006C789B"/>
    <w:rsid w:val="006D0209"/>
    <w:rsid w:val="006D3271"/>
    <w:rsid w:val="006D33F4"/>
    <w:rsid w:val="006D4C81"/>
    <w:rsid w:val="006D7B1D"/>
    <w:rsid w:val="006E043C"/>
    <w:rsid w:val="006E0DF5"/>
    <w:rsid w:val="006E115A"/>
    <w:rsid w:val="006E1DB9"/>
    <w:rsid w:val="006E28CD"/>
    <w:rsid w:val="006E2E2A"/>
    <w:rsid w:val="006E3C9F"/>
    <w:rsid w:val="006E3D84"/>
    <w:rsid w:val="006E53B0"/>
    <w:rsid w:val="006E54C3"/>
    <w:rsid w:val="006E6D95"/>
    <w:rsid w:val="006E7302"/>
    <w:rsid w:val="006E7AD0"/>
    <w:rsid w:val="006F0400"/>
    <w:rsid w:val="006F0642"/>
    <w:rsid w:val="006F0AAB"/>
    <w:rsid w:val="006F1324"/>
    <w:rsid w:val="006F161E"/>
    <w:rsid w:val="006F170C"/>
    <w:rsid w:val="006F21CC"/>
    <w:rsid w:val="006F2244"/>
    <w:rsid w:val="006F272D"/>
    <w:rsid w:val="006F392F"/>
    <w:rsid w:val="006F4D96"/>
    <w:rsid w:val="006F4E9F"/>
    <w:rsid w:val="006F5BAB"/>
    <w:rsid w:val="006F5E44"/>
    <w:rsid w:val="006F6ADF"/>
    <w:rsid w:val="00700263"/>
    <w:rsid w:val="00700A72"/>
    <w:rsid w:val="00703560"/>
    <w:rsid w:val="007046AB"/>
    <w:rsid w:val="007051D5"/>
    <w:rsid w:val="00705B4A"/>
    <w:rsid w:val="00705CD0"/>
    <w:rsid w:val="00707082"/>
    <w:rsid w:val="007077E9"/>
    <w:rsid w:val="00711916"/>
    <w:rsid w:val="00711E86"/>
    <w:rsid w:val="00712C73"/>
    <w:rsid w:val="0071323B"/>
    <w:rsid w:val="00714743"/>
    <w:rsid w:val="00714B53"/>
    <w:rsid w:val="007153BC"/>
    <w:rsid w:val="00715702"/>
    <w:rsid w:val="00715A8E"/>
    <w:rsid w:val="0071616F"/>
    <w:rsid w:val="00716A11"/>
    <w:rsid w:val="00720171"/>
    <w:rsid w:val="00720910"/>
    <w:rsid w:val="00722E35"/>
    <w:rsid w:val="00723AB1"/>
    <w:rsid w:val="00723E1E"/>
    <w:rsid w:val="007240FC"/>
    <w:rsid w:val="007247ED"/>
    <w:rsid w:val="0072589E"/>
    <w:rsid w:val="00725B02"/>
    <w:rsid w:val="00725C38"/>
    <w:rsid w:val="007261D7"/>
    <w:rsid w:val="007307FF"/>
    <w:rsid w:val="007308B1"/>
    <w:rsid w:val="00730F9C"/>
    <w:rsid w:val="007324E8"/>
    <w:rsid w:val="00732BEF"/>
    <w:rsid w:val="00732F4E"/>
    <w:rsid w:val="00735E35"/>
    <w:rsid w:val="00736675"/>
    <w:rsid w:val="00737DC2"/>
    <w:rsid w:val="00737FF2"/>
    <w:rsid w:val="007400C8"/>
    <w:rsid w:val="00740120"/>
    <w:rsid w:val="00740EC8"/>
    <w:rsid w:val="00743EC8"/>
    <w:rsid w:val="00744E73"/>
    <w:rsid w:val="00745348"/>
    <w:rsid w:val="007467C0"/>
    <w:rsid w:val="00746E2B"/>
    <w:rsid w:val="00747333"/>
    <w:rsid w:val="007508F6"/>
    <w:rsid w:val="007509A6"/>
    <w:rsid w:val="00750B5A"/>
    <w:rsid w:val="00750E68"/>
    <w:rsid w:val="0075175C"/>
    <w:rsid w:val="00751984"/>
    <w:rsid w:val="00752AFB"/>
    <w:rsid w:val="007552E4"/>
    <w:rsid w:val="007564C3"/>
    <w:rsid w:val="00756995"/>
    <w:rsid w:val="00756BDB"/>
    <w:rsid w:val="00757EF8"/>
    <w:rsid w:val="007605FE"/>
    <w:rsid w:val="00760D7F"/>
    <w:rsid w:val="00761C72"/>
    <w:rsid w:val="00762DF8"/>
    <w:rsid w:val="00762DF9"/>
    <w:rsid w:val="007633B0"/>
    <w:rsid w:val="0076393C"/>
    <w:rsid w:val="00764980"/>
    <w:rsid w:val="00764C8E"/>
    <w:rsid w:val="00764D44"/>
    <w:rsid w:val="00765809"/>
    <w:rsid w:val="0077005A"/>
    <w:rsid w:val="007706C5"/>
    <w:rsid w:val="00770851"/>
    <w:rsid w:val="00770B84"/>
    <w:rsid w:val="007715D2"/>
    <w:rsid w:val="00772501"/>
    <w:rsid w:val="00772C70"/>
    <w:rsid w:val="007738A3"/>
    <w:rsid w:val="00775BDA"/>
    <w:rsid w:val="007818FA"/>
    <w:rsid w:val="0078227B"/>
    <w:rsid w:val="00782E6B"/>
    <w:rsid w:val="00782F59"/>
    <w:rsid w:val="0078357B"/>
    <w:rsid w:val="00784429"/>
    <w:rsid w:val="007847FA"/>
    <w:rsid w:val="00784844"/>
    <w:rsid w:val="007856F4"/>
    <w:rsid w:val="00785D1B"/>
    <w:rsid w:val="007871F1"/>
    <w:rsid w:val="00787A24"/>
    <w:rsid w:val="00790047"/>
    <w:rsid w:val="00790280"/>
    <w:rsid w:val="00790789"/>
    <w:rsid w:val="00790910"/>
    <w:rsid w:val="00791DD1"/>
    <w:rsid w:val="00791DE1"/>
    <w:rsid w:val="00792620"/>
    <w:rsid w:val="00792B4C"/>
    <w:rsid w:val="00797190"/>
    <w:rsid w:val="007A02FF"/>
    <w:rsid w:val="007A0422"/>
    <w:rsid w:val="007A0919"/>
    <w:rsid w:val="007A1A22"/>
    <w:rsid w:val="007A1F79"/>
    <w:rsid w:val="007A277B"/>
    <w:rsid w:val="007A28D5"/>
    <w:rsid w:val="007A3A8C"/>
    <w:rsid w:val="007A4204"/>
    <w:rsid w:val="007A446E"/>
    <w:rsid w:val="007A589C"/>
    <w:rsid w:val="007A5D00"/>
    <w:rsid w:val="007A6B5B"/>
    <w:rsid w:val="007A77D4"/>
    <w:rsid w:val="007A7F2A"/>
    <w:rsid w:val="007B02CC"/>
    <w:rsid w:val="007B0CF8"/>
    <w:rsid w:val="007B0E0C"/>
    <w:rsid w:val="007B1698"/>
    <w:rsid w:val="007B24DF"/>
    <w:rsid w:val="007B484F"/>
    <w:rsid w:val="007B6060"/>
    <w:rsid w:val="007B64E3"/>
    <w:rsid w:val="007B7F4C"/>
    <w:rsid w:val="007C0980"/>
    <w:rsid w:val="007C0A46"/>
    <w:rsid w:val="007C1276"/>
    <w:rsid w:val="007C26E5"/>
    <w:rsid w:val="007C2982"/>
    <w:rsid w:val="007C2A87"/>
    <w:rsid w:val="007C42AA"/>
    <w:rsid w:val="007C4CA2"/>
    <w:rsid w:val="007C6868"/>
    <w:rsid w:val="007C6E0A"/>
    <w:rsid w:val="007C720A"/>
    <w:rsid w:val="007C75BA"/>
    <w:rsid w:val="007D0F76"/>
    <w:rsid w:val="007D1092"/>
    <w:rsid w:val="007D10F0"/>
    <w:rsid w:val="007D1282"/>
    <w:rsid w:val="007D18A7"/>
    <w:rsid w:val="007D2011"/>
    <w:rsid w:val="007D24E2"/>
    <w:rsid w:val="007D2621"/>
    <w:rsid w:val="007D3272"/>
    <w:rsid w:val="007D41E0"/>
    <w:rsid w:val="007D4264"/>
    <w:rsid w:val="007D7146"/>
    <w:rsid w:val="007D73CA"/>
    <w:rsid w:val="007E1492"/>
    <w:rsid w:val="007E3562"/>
    <w:rsid w:val="007E48BC"/>
    <w:rsid w:val="007E4CFD"/>
    <w:rsid w:val="007E5AB0"/>
    <w:rsid w:val="007E5ADA"/>
    <w:rsid w:val="007E6050"/>
    <w:rsid w:val="007E74B0"/>
    <w:rsid w:val="007F0119"/>
    <w:rsid w:val="007F019C"/>
    <w:rsid w:val="007F0795"/>
    <w:rsid w:val="007F08CA"/>
    <w:rsid w:val="007F1003"/>
    <w:rsid w:val="007F12C5"/>
    <w:rsid w:val="007F1765"/>
    <w:rsid w:val="007F279C"/>
    <w:rsid w:val="007F2CAA"/>
    <w:rsid w:val="007F33C7"/>
    <w:rsid w:val="007F3B6E"/>
    <w:rsid w:val="007F685B"/>
    <w:rsid w:val="007F6A05"/>
    <w:rsid w:val="007F6B44"/>
    <w:rsid w:val="0080063D"/>
    <w:rsid w:val="0080080E"/>
    <w:rsid w:val="00800AAC"/>
    <w:rsid w:val="00802468"/>
    <w:rsid w:val="00802FA3"/>
    <w:rsid w:val="00803C4B"/>
    <w:rsid w:val="00804771"/>
    <w:rsid w:val="0080485D"/>
    <w:rsid w:val="008058E8"/>
    <w:rsid w:val="00805CF8"/>
    <w:rsid w:val="00806434"/>
    <w:rsid w:val="0080702B"/>
    <w:rsid w:val="00807131"/>
    <w:rsid w:val="00807D58"/>
    <w:rsid w:val="00811D65"/>
    <w:rsid w:val="00812A60"/>
    <w:rsid w:val="00813288"/>
    <w:rsid w:val="00814C7E"/>
    <w:rsid w:val="008157E7"/>
    <w:rsid w:val="00816F83"/>
    <w:rsid w:val="008178F9"/>
    <w:rsid w:val="00820548"/>
    <w:rsid w:val="00821A29"/>
    <w:rsid w:val="00822946"/>
    <w:rsid w:val="00823233"/>
    <w:rsid w:val="00823D3F"/>
    <w:rsid w:val="00824426"/>
    <w:rsid w:val="008259FB"/>
    <w:rsid w:val="00825B25"/>
    <w:rsid w:val="008266F5"/>
    <w:rsid w:val="008277D2"/>
    <w:rsid w:val="008277F4"/>
    <w:rsid w:val="00830E52"/>
    <w:rsid w:val="00831D18"/>
    <w:rsid w:val="008324E3"/>
    <w:rsid w:val="00832E04"/>
    <w:rsid w:val="00833917"/>
    <w:rsid w:val="0083419F"/>
    <w:rsid w:val="00834298"/>
    <w:rsid w:val="00834B88"/>
    <w:rsid w:val="00834DD9"/>
    <w:rsid w:val="0083506D"/>
    <w:rsid w:val="008354C9"/>
    <w:rsid w:val="00835C73"/>
    <w:rsid w:val="00836536"/>
    <w:rsid w:val="00836D06"/>
    <w:rsid w:val="00836E8D"/>
    <w:rsid w:val="00837175"/>
    <w:rsid w:val="00840E29"/>
    <w:rsid w:val="008415CA"/>
    <w:rsid w:val="00843436"/>
    <w:rsid w:val="00843BC5"/>
    <w:rsid w:val="0084470A"/>
    <w:rsid w:val="00844895"/>
    <w:rsid w:val="00845946"/>
    <w:rsid w:val="00845B79"/>
    <w:rsid w:val="008476A0"/>
    <w:rsid w:val="00852467"/>
    <w:rsid w:val="008525C0"/>
    <w:rsid w:val="00852F38"/>
    <w:rsid w:val="00853A4A"/>
    <w:rsid w:val="0085432D"/>
    <w:rsid w:val="00854C36"/>
    <w:rsid w:val="008550D5"/>
    <w:rsid w:val="008553E6"/>
    <w:rsid w:val="00855A42"/>
    <w:rsid w:val="00856B3F"/>
    <w:rsid w:val="00856C34"/>
    <w:rsid w:val="00860712"/>
    <w:rsid w:val="008607EB"/>
    <w:rsid w:val="0086175C"/>
    <w:rsid w:val="008617AD"/>
    <w:rsid w:val="0086375E"/>
    <w:rsid w:val="00864BCC"/>
    <w:rsid w:val="00865DC1"/>
    <w:rsid w:val="008660F5"/>
    <w:rsid w:val="00866258"/>
    <w:rsid w:val="0086721E"/>
    <w:rsid w:val="00870089"/>
    <w:rsid w:val="00870A98"/>
    <w:rsid w:val="008713A8"/>
    <w:rsid w:val="00871BA2"/>
    <w:rsid w:val="00872BE9"/>
    <w:rsid w:val="00872EBB"/>
    <w:rsid w:val="00873A3D"/>
    <w:rsid w:val="00875085"/>
    <w:rsid w:val="008750F9"/>
    <w:rsid w:val="00875341"/>
    <w:rsid w:val="0087536F"/>
    <w:rsid w:val="00875B26"/>
    <w:rsid w:val="00875DC5"/>
    <w:rsid w:val="008767A5"/>
    <w:rsid w:val="00880A40"/>
    <w:rsid w:val="0088207A"/>
    <w:rsid w:val="0088318F"/>
    <w:rsid w:val="00883933"/>
    <w:rsid w:val="0088436A"/>
    <w:rsid w:val="00884B90"/>
    <w:rsid w:val="008864AE"/>
    <w:rsid w:val="008864B6"/>
    <w:rsid w:val="008869F4"/>
    <w:rsid w:val="00890523"/>
    <w:rsid w:val="008906C1"/>
    <w:rsid w:val="0089174C"/>
    <w:rsid w:val="00891D33"/>
    <w:rsid w:val="00891D4B"/>
    <w:rsid w:val="008921D8"/>
    <w:rsid w:val="008923AE"/>
    <w:rsid w:val="00892A55"/>
    <w:rsid w:val="00892F34"/>
    <w:rsid w:val="00893EEF"/>
    <w:rsid w:val="00894318"/>
    <w:rsid w:val="00894880"/>
    <w:rsid w:val="00894B9A"/>
    <w:rsid w:val="0089544A"/>
    <w:rsid w:val="008954BB"/>
    <w:rsid w:val="00895F98"/>
    <w:rsid w:val="0089621C"/>
    <w:rsid w:val="00897971"/>
    <w:rsid w:val="008A0D9E"/>
    <w:rsid w:val="008A2D2C"/>
    <w:rsid w:val="008A3266"/>
    <w:rsid w:val="008A3C58"/>
    <w:rsid w:val="008A4597"/>
    <w:rsid w:val="008A4880"/>
    <w:rsid w:val="008A4A75"/>
    <w:rsid w:val="008A52B1"/>
    <w:rsid w:val="008A6201"/>
    <w:rsid w:val="008A69F3"/>
    <w:rsid w:val="008B0D10"/>
    <w:rsid w:val="008B2328"/>
    <w:rsid w:val="008B2BB2"/>
    <w:rsid w:val="008B312A"/>
    <w:rsid w:val="008B4257"/>
    <w:rsid w:val="008B426D"/>
    <w:rsid w:val="008B545A"/>
    <w:rsid w:val="008B5AFB"/>
    <w:rsid w:val="008B5B32"/>
    <w:rsid w:val="008B642A"/>
    <w:rsid w:val="008B6461"/>
    <w:rsid w:val="008B7105"/>
    <w:rsid w:val="008C0715"/>
    <w:rsid w:val="008C142E"/>
    <w:rsid w:val="008C1E59"/>
    <w:rsid w:val="008C430D"/>
    <w:rsid w:val="008C5647"/>
    <w:rsid w:val="008C5891"/>
    <w:rsid w:val="008C60F0"/>
    <w:rsid w:val="008C66D6"/>
    <w:rsid w:val="008C6B95"/>
    <w:rsid w:val="008C6FA6"/>
    <w:rsid w:val="008C7164"/>
    <w:rsid w:val="008C7F51"/>
    <w:rsid w:val="008D423C"/>
    <w:rsid w:val="008D4ADB"/>
    <w:rsid w:val="008D601A"/>
    <w:rsid w:val="008D688E"/>
    <w:rsid w:val="008D78FF"/>
    <w:rsid w:val="008E0983"/>
    <w:rsid w:val="008E0F60"/>
    <w:rsid w:val="008E1D3F"/>
    <w:rsid w:val="008E1F86"/>
    <w:rsid w:val="008E440E"/>
    <w:rsid w:val="008E4C40"/>
    <w:rsid w:val="008E62C9"/>
    <w:rsid w:val="008E751C"/>
    <w:rsid w:val="008F126C"/>
    <w:rsid w:val="008F2772"/>
    <w:rsid w:val="008F29BE"/>
    <w:rsid w:val="008F35A0"/>
    <w:rsid w:val="008F3CCA"/>
    <w:rsid w:val="008F451E"/>
    <w:rsid w:val="008F5414"/>
    <w:rsid w:val="008F5761"/>
    <w:rsid w:val="008F75BA"/>
    <w:rsid w:val="008F76B8"/>
    <w:rsid w:val="008F78A8"/>
    <w:rsid w:val="009007BD"/>
    <w:rsid w:val="00900949"/>
    <w:rsid w:val="00902290"/>
    <w:rsid w:val="00902837"/>
    <w:rsid w:val="00902928"/>
    <w:rsid w:val="00902C89"/>
    <w:rsid w:val="00902E72"/>
    <w:rsid w:val="00904D84"/>
    <w:rsid w:val="0090693F"/>
    <w:rsid w:val="00906A5A"/>
    <w:rsid w:val="00907ED7"/>
    <w:rsid w:val="00910206"/>
    <w:rsid w:val="009105A9"/>
    <w:rsid w:val="00911D12"/>
    <w:rsid w:val="00911D33"/>
    <w:rsid w:val="00911F2A"/>
    <w:rsid w:val="00914058"/>
    <w:rsid w:val="00914DA7"/>
    <w:rsid w:val="00914E81"/>
    <w:rsid w:val="00914EF5"/>
    <w:rsid w:val="00915175"/>
    <w:rsid w:val="009158F0"/>
    <w:rsid w:val="00915F63"/>
    <w:rsid w:val="009160CB"/>
    <w:rsid w:val="009171AF"/>
    <w:rsid w:val="009177E9"/>
    <w:rsid w:val="0092039A"/>
    <w:rsid w:val="00920AC4"/>
    <w:rsid w:val="00920AFB"/>
    <w:rsid w:val="00922098"/>
    <w:rsid w:val="00922CE2"/>
    <w:rsid w:val="009241FB"/>
    <w:rsid w:val="009246EF"/>
    <w:rsid w:val="0092546C"/>
    <w:rsid w:val="00925D86"/>
    <w:rsid w:val="0092606A"/>
    <w:rsid w:val="009275E8"/>
    <w:rsid w:val="0092780E"/>
    <w:rsid w:val="00930A7F"/>
    <w:rsid w:val="009327F7"/>
    <w:rsid w:val="009331CF"/>
    <w:rsid w:val="009334AC"/>
    <w:rsid w:val="00933C1E"/>
    <w:rsid w:val="0093429B"/>
    <w:rsid w:val="00934A0D"/>
    <w:rsid w:val="009358EC"/>
    <w:rsid w:val="00935EDE"/>
    <w:rsid w:val="00936100"/>
    <w:rsid w:val="00936AB8"/>
    <w:rsid w:val="009375B5"/>
    <w:rsid w:val="00937774"/>
    <w:rsid w:val="009413EF"/>
    <w:rsid w:val="00942010"/>
    <w:rsid w:val="00942461"/>
    <w:rsid w:val="0094320A"/>
    <w:rsid w:val="009433B1"/>
    <w:rsid w:val="0094358C"/>
    <w:rsid w:val="00945811"/>
    <w:rsid w:val="00945D2A"/>
    <w:rsid w:val="00946307"/>
    <w:rsid w:val="009469BA"/>
    <w:rsid w:val="0094717F"/>
    <w:rsid w:val="00947A01"/>
    <w:rsid w:val="00950B95"/>
    <w:rsid w:val="0095170D"/>
    <w:rsid w:val="00952072"/>
    <w:rsid w:val="0095250F"/>
    <w:rsid w:val="0095267B"/>
    <w:rsid w:val="0095307F"/>
    <w:rsid w:val="0095376D"/>
    <w:rsid w:val="00955526"/>
    <w:rsid w:val="009555E0"/>
    <w:rsid w:val="00957C16"/>
    <w:rsid w:val="00960EA9"/>
    <w:rsid w:val="00962092"/>
    <w:rsid w:val="009629F1"/>
    <w:rsid w:val="00962BCB"/>
    <w:rsid w:val="00963175"/>
    <w:rsid w:val="00964A08"/>
    <w:rsid w:val="009659B4"/>
    <w:rsid w:val="0096607B"/>
    <w:rsid w:val="00966148"/>
    <w:rsid w:val="009663B1"/>
    <w:rsid w:val="00966C09"/>
    <w:rsid w:val="009707A6"/>
    <w:rsid w:val="00970A16"/>
    <w:rsid w:val="00970AFE"/>
    <w:rsid w:val="009723D6"/>
    <w:rsid w:val="0097375A"/>
    <w:rsid w:val="009745EC"/>
    <w:rsid w:val="009747D6"/>
    <w:rsid w:val="00975D52"/>
    <w:rsid w:val="009765A3"/>
    <w:rsid w:val="00976A78"/>
    <w:rsid w:val="00977C9E"/>
    <w:rsid w:val="009813A5"/>
    <w:rsid w:val="00981B3F"/>
    <w:rsid w:val="00981C26"/>
    <w:rsid w:val="00981D8A"/>
    <w:rsid w:val="00981EB9"/>
    <w:rsid w:val="009843A8"/>
    <w:rsid w:val="00984441"/>
    <w:rsid w:val="009844CF"/>
    <w:rsid w:val="00984DD8"/>
    <w:rsid w:val="00986699"/>
    <w:rsid w:val="0098742C"/>
    <w:rsid w:val="00990830"/>
    <w:rsid w:val="0099085F"/>
    <w:rsid w:val="0099103A"/>
    <w:rsid w:val="00991B91"/>
    <w:rsid w:val="00991D8E"/>
    <w:rsid w:val="0099258F"/>
    <w:rsid w:val="009925DB"/>
    <w:rsid w:val="009928B9"/>
    <w:rsid w:val="00993AD6"/>
    <w:rsid w:val="00993CC9"/>
    <w:rsid w:val="009954FE"/>
    <w:rsid w:val="009957C6"/>
    <w:rsid w:val="009959E8"/>
    <w:rsid w:val="00996C7E"/>
    <w:rsid w:val="009A115E"/>
    <w:rsid w:val="009A1510"/>
    <w:rsid w:val="009A19E2"/>
    <w:rsid w:val="009A32CB"/>
    <w:rsid w:val="009A39AF"/>
    <w:rsid w:val="009A55D4"/>
    <w:rsid w:val="009A60FC"/>
    <w:rsid w:val="009A6F74"/>
    <w:rsid w:val="009A7E72"/>
    <w:rsid w:val="009B0107"/>
    <w:rsid w:val="009B14C8"/>
    <w:rsid w:val="009B1780"/>
    <w:rsid w:val="009B1FB8"/>
    <w:rsid w:val="009B21D5"/>
    <w:rsid w:val="009B2650"/>
    <w:rsid w:val="009B3277"/>
    <w:rsid w:val="009B376D"/>
    <w:rsid w:val="009B438E"/>
    <w:rsid w:val="009B48DE"/>
    <w:rsid w:val="009B6307"/>
    <w:rsid w:val="009B6971"/>
    <w:rsid w:val="009B7EAC"/>
    <w:rsid w:val="009C13D6"/>
    <w:rsid w:val="009C2391"/>
    <w:rsid w:val="009C24CC"/>
    <w:rsid w:val="009C38AF"/>
    <w:rsid w:val="009C3DDF"/>
    <w:rsid w:val="009C4BE1"/>
    <w:rsid w:val="009C4F4B"/>
    <w:rsid w:val="009C52B3"/>
    <w:rsid w:val="009C534C"/>
    <w:rsid w:val="009C68C5"/>
    <w:rsid w:val="009C7134"/>
    <w:rsid w:val="009C729F"/>
    <w:rsid w:val="009D00FF"/>
    <w:rsid w:val="009D24B0"/>
    <w:rsid w:val="009D24C9"/>
    <w:rsid w:val="009D24CA"/>
    <w:rsid w:val="009D2AE3"/>
    <w:rsid w:val="009D3422"/>
    <w:rsid w:val="009D3628"/>
    <w:rsid w:val="009D4555"/>
    <w:rsid w:val="009D4C2A"/>
    <w:rsid w:val="009D6914"/>
    <w:rsid w:val="009D7BCF"/>
    <w:rsid w:val="009E0710"/>
    <w:rsid w:val="009E1642"/>
    <w:rsid w:val="009E1C22"/>
    <w:rsid w:val="009E1EE0"/>
    <w:rsid w:val="009E2481"/>
    <w:rsid w:val="009E29B8"/>
    <w:rsid w:val="009E4907"/>
    <w:rsid w:val="009E556B"/>
    <w:rsid w:val="009E6F99"/>
    <w:rsid w:val="009E6FA8"/>
    <w:rsid w:val="009E7966"/>
    <w:rsid w:val="009F0D8B"/>
    <w:rsid w:val="009F0FCD"/>
    <w:rsid w:val="009F166E"/>
    <w:rsid w:val="009F2BA8"/>
    <w:rsid w:val="009F2E22"/>
    <w:rsid w:val="009F3631"/>
    <w:rsid w:val="009F3790"/>
    <w:rsid w:val="009F38AD"/>
    <w:rsid w:val="009F4332"/>
    <w:rsid w:val="009F4EA8"/>
    <w:rsid w:val="009F7B6E"/>
    <w:rsid w:val="009F7CEB"/>
    <w:rsid w:val="00A00509"/>
    <w:rsid w:val="00A033F8"/>
    <w:rsid w:val="00A040FD"/>
    <w:rsid w:val="00A0426A"/>
    <w:rsid w:val="00A04C0D"/>
    <w:rsid w:val="00A04F90"/>
    <w:rsid w:val="00A070BC"/>
    <w:rsid w:val="00A07A7F"/>
    <w:rsid w:val="00A10721"/>
    <w:rsid w:val="00A112E5"/>
    <w:rsid w:val="00A114CD"/>
    <w:rsid w:val="00A11754"/>
    <w:rsid w:val="00A12623"/>
    <w:rsid w:val="00A12983"/>
    <w:rsid w:val="00A139EE"/>
    <w:rsid w:val="00A160E0"/>
    <w:rsid w:val="00A20B1A"/>
    <w:rsid w:val="00A21B93"/>
    <w:rsid w:val="00A22707"/>
    <w:rsid w:val="00A22A39"/>
    <w:rsid w:val="00A22B62"/>
    <w:rsid w:val="00A25A47"/>
    <w:rsid w:val="00A265E5"/>
    <w:rsid w:val="00A26B82"/>
    <w:rsid w:val="00A276BF"/>
    <w:rsid w:val="00A27E36"/>
    <w:rsid w:val="00A31E77"/>
    <w:rsid w:val="00A32AF5"/>
    <w:rsid w:val="00A333F4"/>
    <w:rsid w:val="00A334BA"/>
    <w:rsid w:val="00A33CAD"/>
    <w:rsid w:val="00A33D18"/>
    <w:rsid w:val="00A34EC8"/>
    <w:rsid w:val="00A35F1D"/>
    <w:rsid w:val="00A36C6A"/>
    <w:rsid w:val="00A37B4C"/>
    <w:rsid w:val="00A4036A"/>
    <w:rsid w:val="00A41E5D"/>
    <w:rsid w:val="00A42611"/>
    <w:rsid w:val="00A4349D"/>
    <w:rsid w:val="00A4507E"/>
    <w:rsid w:val="00A46526"/>
    <w:rsid w:val="00A4663A"/>
    <w:rsid w:val="00A5146C"/>
    <w:rsid w:val="00A534A3"/>
    <w:rsid w:val="00A535FB"/>
    <w:rsid w:val="00A54262"/>
    <w:rsid w:val="00A5439C"/>
    <w:rsid w:val="00A5484E"/>
    <w:rsid w:val="00A5512C"/>
    <w:rsid w:val="00A55D86"/>
    <w:rsid w:val="00A5680F"/>
    <w:rsid w:val="00A57618"/>
    <w:rsid w:val="00A57AC1"/>
    <w:rsid w:val="00A57D8C"/>
    <w:rsid w:val="00A60BD1"/>
    <w:rsid w:val="00A611EF"/>
    <w:rsid w:val="00A6147E"/>
    <w:rsid w:val="00A619AE"/>
    <w:rsid w:val="00A61A7C"/>
    <w:rsid w:val="00A62021"/>
    <w:rsid w:val="00A62A1C"/>
    <w:rsid w:val="00A6374D"/>
    <w:rsid w:val="00A64D6B"/>
    <w:rsid w:val="00A64E4E"/>
    <w:rsid w:val="00A65D38"/>
    <w:rsid w:val="00A7063D"/>
    <w:rsid w:val="00A71708"/>
    <w:rsid w:val="00A71B70"/>
    <w:rsid w:val="00A72E37"/>
    <w:rsid w:val="00A730D4"/>
    <w:rsid w:val="00A73148"/>
    <w:rsid w:val="00A73E69"/>
    <w:rsid w:val="00A754F2"/>
    <w:rsid w:val="00A7585D"/>
    <w:rsid w:val="00A7619E"/>
    <w:rsid w:val="00A777FC"/>
    <w:rsid w:val="00A809E5"/>
    <w:rsid w:val="00A80E56"/>
    <w:rsid w:val="00A81F82"/>
    <w:rsid w:val="00A82492"/>
    <w:rsid w:val="00A838AA"/>
    <w:rsid w:val="00A83A6F"/>
    <w:rsid w:val="00A83E1A"/>
    <w:rsid w:val="00A841B0"/>
    <w:rsid w:val="00A84A23"/>
    <w:rsid w:val="00A85A2B"/>
    <w:rsid w:val="00A87243"/>
    <w:rsid w:val="00A90484"/>
    <w:rsid w:val="00A90C3B"/>
    <w:rsid w:val="00A90CA9"/>
    <w:rsid w:val="00A91737"/>
    <w:rsid w:val="00A93543"/>
    <w:rsid w:val="00A94EFC"/>
    <w:rsid w:val="00A96D33"/>
    <w:rsid w:val="00A9781B"/>
    <w:rsid w:val="00A97F07"/>
    <w:rsid w:val="00A97FB9"/>
    <w:rsid w:val="00AA11B6"/>
    <w:rsid w:val="00AA1681"/>
    <w:rsid w:val="00AA2458"/>
    <w:rsid w:val="00AA2B19"/>
    <w:rsid w:val="00AA2FA1"/>
    <w:rsid w:val="00AA39C2"/>
    <w:rsid w:val="00AA51C1"/>
    <w:rsid w:val="00AA5420"/>
    <w:rsid w:val="00AA5E97"/>
    <w:rsid w:val="00AA6156"/>
    <w:rsid w:val="00AA6331"/>
    <w:rsid w:val="00AA73AC"/>
    <w:rsid w:val="00AA7B77"/>
    <w:rsid w:val="00AB187A"/>
    <w:rsid w:val="00AB2C3D"/>
    <w:rsid w:val="00AB2EF2"/>
    <w:rsid w:val="00AB2F6C"/>
    <w:rsid w:val="00AB32A2"/>
    <w:rsid w:val="00AB35EA"/>
    <w:rsid w:val="00AB4542"/>
    <w:rsid w:val="00AB514A"/>
    <w:rsid w:val="00AB6EEE"/>
    <w:rsid w:val="00AC020A"/>
    <w:rsid w:val="00AC1D2D"/>
    <w:rsid w:val="00AC227B"/>
    <w:rsid w:val="00AC27B1"/>
    <w:rsid w:val="00AC36C4"/>
    <w:rsid w:val="00AC50E3"/>
    <w:rsid w:val="00AC6FCD"/>
    <w:rsid w:val="00AD09E4"/>
    <w:rsid w:val="00AD1460"/>
    <w:rsid w:val="00AD2D76"/>
    <w:rsid w:val="00AD4259"/>
    <w:rsid w:val="00AD473F"/>
    <w:rsid w:val="00AD4786"/>
    <w:rsid w:val="00AD51C9"/>
    <w:rsid w:val="00AD5DBF"/>
    <w:rsid w:val="00AD6DB5"/>
    <w:rsid w:val="00AE024B"/>
    <w:rsid w:val="00AE0329"/>
    <w:rsid w:val="00AE1878"/>
    <w:rsid w:val="00AE1ED6"/>
    <w:rsid w:val="00AE2A68"/>
    <w:rsid w:val="00AE2FB3"/>
    <w:rsid w:val="00AE3309"/>
    <w:rsid w:val="00AE3556"/>
    <w:rsid w:val="00AE411E"/>
    <w:rsid w:val="00AE513E"/>
    <w:rsid w:val="00AE5A91"/>
    <w:rsid w:val="00AE7AA8"/>
    <w:rsid w:val="00AF0DF9"/>
    <w:rsid w:val="00AF0FCF"/>
    <w:rsid w:val="00AF1431"/>
    <w:rsid w:val="00AF1C79"/>
    <w:rsid w:val="00AF27D5"/>
    <w:rsid w:val="00AF48C4"/>
    <w:rsid w:val="00AF4BE4"/>
    <w:rsid w:val="00AF5CAE"/>
    <w:rsid w:val="00AF5E2F"/>
    <w:rsid w:val="00B00298"/>
    <w:rsid w:val="00B013B0"/>
    <w:rsid w:val="00B01939"/>
    <w:rsid w:val="00B0203D"/>
    <w:rsid w:val="00B021DA"/>
    <w:rsid w:val="00B0279A"/>
    <w:rsid w:val="00B037BD"/>
    <w:rsid w:val="00B050C7"/>
    <w:rsid w:val="00B05106"/>
    <w:rsid w:val="00B0542B"/>
    <w:rsid w:val="00B05A6C"/>
    <w:rsid w:val="00B05C05"/>
    <w:rsid w:val="00B06D38"/>
    <w:rsid w:val="00B07A5E"/>
    <w:rsid w:val="00B07A6D"/>
    <w:rsid w:val="00B106F3"/>
    <w:rsid w:val="00B11070"/>
    <w:rsid w:val="00B11EA0"/>
    <w:rsid w:val="00B14C7B"/>
    <w:rsid w:val="00B1714E"/>
    <w:rsid w:val="00B174E8"/>
    <w:rsid w:val="00B176DB"/>
    <w:rsid w:val="00B17C50"/>
    <w:rsid w:val="00B17F68"/>
    <w:rsid w:val="00B17FDB"/>
    <w:rsid w:val="00B203B2"/>
    <w:rsid w:val="00B2048F"/>
    <w:rsid w:val="00B21BB1"/>
    <w:rsid w:val="00B221A2"/>
    <w:rsid w:val="00B225FB"/>
    <w:rsid w:val="00B235E0"/>
    <w:rsid w:val="00B24C7F"/>
    <w:rsid w:val="00B25D68"/>
    <w:rsid w:val="00B26FF2"/>
    <w:rsid w:val="00B2777B"/>
    <w:rsid w:val="00B27BAB"/>
    <w:rsid w:val="00B27DC4"/>
    <w:rsid w:val="00B32132"/>
    <w:rsid w:val="00B32E92"/>
    <w:rsid w:val="00B34D3E"/>
    <w:rsid w:val="00B35CD0"/>
    <w:rsid w:val="00B35EDC"/>
    <w:rsid w:val="00B35FA4"/>
    <w:rsid w:val="00B37AC2"/>
    <w:rsid w:val="00B37B2A"/>
    <w:rsid w:val="00B37BDF"/>
    <w:rsid w:val="00B37CA6"/>
    <w:rsid w:val="00B40EFF"/>
    <w:rsid w:val="00B41BF7"/>
    <w:rsid w:val="00B41F15"/>
    <w:rsid w:val="00B42A69"/>
    <w:rsid w:val="00B42D38"/>
    <w:rsid w:val="00B440AB"/>
    <w:rsid w:val="00B4435B"/>
    <w:rsid w:val="00B44608"/>
    <w:rsid w:val="00B44BA8"/>
    <w:rsid w:val="00B46E68"/>
    <w:rsid w:val="00B47315"/>
    <w:rsid w:val="00B4783A"/>
    <w:rsid w:val="00B5319F"/>
    <w:rsid w:val="00B539FB"/>
    <w:rsid w:val="00B5484E"/>
    <w:rsid w:val="00B55361"/>
    <w:rsid w:val="00B55A17"/>
    <w:rsid w:val="00B55BCE"/>
    <w:rsid w:val="00B60993"/>
    <w:rsid w:val="00B60CAA"/>
    <w:rsid w:val="00B612F6"/>
    <w:rsid w:val="00B61494"/>
    <w:rsid w:val="00B618D5"/>
    <w:rsid w:val="00B62119"/>
    <w:rsid w:val="00B630A1"/>
    <w:rsid w:val="00B6367E"/>
    <w:rsid w:val="00B63B06"/>
    <w:rsid w:val="00B63F33"/>
    <w:rsid w:val="00B6418A"/>
    <w:rsid w:val="00B646AA"/>
    <w:rsid w:val="00B653A4"/>
    <w:rsid w:val="00B66125"/>
    <w:rsid w:val="00B66C37"/>
    <w:rsid w:val="00B67119"/>
    <w:rsid w:val="00B67F48"/>
    <w:rsid w:val="00B7045B"/>
    <w:rsid w:val="00B71646"/>
    <w:rsid w:val="00B71675"/>
    <w:rsid w:val="00B71B62"/>
    <w:rsid w:val="00B72552"/>
    <w:rsid w:val="00B72625"/>
    <w:rsid w:val="00B74EBD"/>
    <w:rsid w:val="00B75BC0"/>
    <w:rsid w:val="00B7646D"/>
    <w:rsid w:val="00B7796D"/>
    <w:rsid w:val="00B77D76"/>
    <w:rsid w:val="00B8059F"/>
    <w:rsid w:val="00B80778"/>
    <w:rsid w:val="00B80B83"/>
    <w:rsid w:val="00B81A5A"/>
    <w:rsid w:val="00B84E1A"/>
    <w:rsid w:val="00B85719"/>
    <w:rsid w:val="00B863A0"/>
    <w:rsid w:val="00B86EDC"/>
    <w:rsid w:val="00B87581"/>
    <w:rsid w:val="00B87C8B"/>
    <w:rsid w:val="00B90013"/>
    <w:rsid w:val="00B90320"/>
    <w:rsid w:val="00B90FBF"/>
    <w:rsid w:val="00B914D0"/>
    <w:rsid w:val="00B915D3"/>
    <w:rsid w:val="00B94DC2"/>
    <w:rsid w:val="00B95969"/>
    <w:rsid w:val="00B969B3"/>
    <w:rsid w:val="00B9725B"/>
    <w:rsid w:val="00B977A4"/>
    <w:rsid w:val="00B9783F"/>
    <w:rsid w:val="00B97D21"/>
    <w:rsid w:val="00BA01AB"/>
    <w:rsid w:val="00BA0657"/>
    <w:rsid w:val="00BA3306"/>
    <w:rsid w:val="00BA3604"/>
    <w:rsid w:val="00BA4554"/>
    <w:rsid w:val="00BA5521"/>
    <w:rsid w:val="00BA73EE"/>
    <w:rsid w:val="00BA7A86"/>
    <w:rsid w:val="00BA7BED"/>
    <w:rsid w:val="00BB04C1"/>
    <w:rsid w:val="00BB0985"/>
    <w:rsid w:val="00BB09AB"/>
    <w:rsid w:val="00BB16F1"/>
    <w:rsid w:val="00BB2AB3"/>
    <w:rsid w:val="00BB4038"/>
    <w:rsid w:val="00BB466C"/>
    <w:rsid w:val="00BB5424"/>
    <w:rsid w:val="00BB5B74"/>
    <w:rsid w:val="00BB6AE3"/>
    <w:rsid w:val="00BB7172"/>
    <w:rsid w:val="00BB7222"/>
    <w:rsid w:val="00BB7271"/>
    <w:rsid w:val="00BB79C7"/>
    <w:rsid w:val="00BB7C2F"/>
    <w:rsid w:val="00BC04C7"/>
    <w:rsid w:val="00BC0646"/>
    <w:rsid w:val="00BC206D"/>
    <w:rsid w:val="00BC2407"/>
    <w:rsid w:val="00BC335B"/>
    <w:rsid w:val="00BC3A75"/>
    <w:rsid w:val="00BC3B00"/>
    <w:rsid w:val="00BC4377"/>
    <w:rsid w:val="00BC4414"/>
    <w:rsid w:val="00BC47D7"/>
    <w:rsid w:val="00BC489F"/>
    <w:rsid w:val="00BC4BA9"/>
    <w:rsid w:val="00BC4BE0"/>
    <w:rsid w:val="00BC4C80"/>
    <w:rsid w:val="00BC4EAF"/>
    <w:rsid w:val="00BC4F18"/>
    <w:rsid w:val="00BC5166"/>
    <w:rsid w:val="00BC5ACD"/>
    <w:rsid w:val="00BC5B5B"/>
    <w:rsid w:val="00BC5C09"/>
    <w:rsid w:val="00BC65C0"/>
    <w:rsid w:val="00BC6904"/>
    <w:rsid w:val="00BC7C3F"/>
    <w:rsid w:val="00BC7FCB"/>
    <w:rsid w:val="00BD03EC"/>
    <w:rsid w:val="00BD14F4"/>
    <w:rsid w:val="00BD2462"/>
    <w:rsid w:val="00BD28BD"/>
    <w:rsid w:val="00BD31EB"/>
    <w:rsid w:val="00BD4D8C"/>
    <w:rsid w:val="00BE018E"/>
    <w:rsid w:val="00BE03E9"/>
    <w:rsid w:val="00BE0FA3"/>
    <w:rsid w:val="00BE1BFA"/>
    <w:rsid w:val="00BE2D21"/>
    <w:rsid w:val="00BE3CAA"/>
    <w:rsid w:val="00BE3E5F"/>
    <w:rsid w:val="00BE41C9"/>
    <w:rsid w:val="00BE506C"/>
    <w:rsid w:val="00BE5309"/>
    <w:rsid w:val="00BE583A"/>
    <w:rsid w:val="00BE626D"/>
    <w:rsid w:val="00BF105B"/>
    <w:rsid w:val="00BF1569"/>
    <w:rsid w:val="00BF2625"/>
    <w:rsid w:val="00BF3E74"/>
    <w:rsid w:val="00BF4315"/>
    <w:rsid w:val="00BF5645"/>
    <w:rsid w:val="00BF5C6D"/>
    <w:rsid w:val="00BF79A3"/>
    <w:rsid w:val="00BF7DB3"/>
    <w:rsid w:val="00C003B1"/>
    <w:rsid w:val="00C00A1F"/>
    <w:rsid w:val="00C018F5"/>
    <w:rsid w:val="00C03F6D"/>
    <w:rsid w:val="00C04473"/>
    <w:rsid w:val="00C04B7A"/>
    <w:rsid w:val="00C06418"/>
    <w:rsid w:val="00C07417"/>
    <w:rsid w:val="00C07B01"/>
    <w:rsid w:val="00C07BBA"/>
    <w:rsid w:val="00C104C2"/>
    <w:rsid w:val="00C10BCA"/>
    <w:rsid w:val="00C10D41"/>
    <w:rsid w:val="00C11033"/>
    <w:rsid w:val="00C11DF3"/>
    <w:rsid w:val="00C133E3"/>
    <w:rsid w:val="00C13C53"/>
    <w:rsid w:val="00C152B2"/>
    <w:rsid w:val="00C15C22"/>
    <w:rsid w:val="00C1619D"/>
    <w:rsid w:val="00C17059"/>
    <w:rsid w:val="00C21B22"/>
    <w:rsid w:val="00C22BF4"/>
    <w:rsid w:val="00C238C0"/>
    <w:rsid w:val="00C23FEA"/>
    <w:rsid w:val="00C254B0"/>
    <w:rsid w:val="00C25775"/>
    <w:rsid w:val="00C26234"/>
    <w:rsid w:val="00C274E4"/>
    <w:rsid w:val="00C310AB"/>
    <w:rsid w:val="00C315C1"/>
    <w:rsid w:val="00C317F3"/>
    <w:rsid w:val="00C31EAB"/>
    <w:rsid w:val="00C32F7C"/>
    <w:rsid w:val="00C3330D"/>
    <w:rsid w:val="00C35D6D"/>
    <w:rsid w:val="00C35ECA"/>
    <w:rsid w:val="00C362EA"/>
    <w:rsid w:val="00C36908"/>
    <w:rsid w:val="00C40013"/>
    <w:rsid w:val="00C40A34"/>
    <w:rsid w:val="00C40DCE"/>
    <w:rsid w:val="00C41839"/>
    <w:rsid w:val="00C42477"/>
    <w:rsid w:val="00C43408"/>
    <w:rsid w:val="00C4393C"/>
    <w:rsid w:val="00C44C37"/>
    <w:rsid w:val="00C44E42"/>
    <w:rsid w:val="00C46AE5"/>
    <w:rsid w:val="00C47593"/>
    <w:rsid w:val="00C47654"/>
    <w:rsid w:val="00C50E3E"/>
    <w:rsid w:val="00C52ACF"/>
    <w:rsid w:val="00C54AB0"/>
    <w:rsid w:val="00C55188"/>
    <w:rsid w:val="00C56D02"/>
    <w:rsid w:val="00C57628"/>
    <w:rsid w:val="00C57950"/>
    <w:rsid w:val="00C57E4D"/>
    <w:rsid w:val="00C608C4"/>
    <w:rsid w:val="00C626E2"/>
    <w:rsid w:val="00C628C8"/>
    <w:rsid w:val="00C62C2E"/>
    <w:rsid w:val="00C636F5"/>
    <w:rsid w:val="00C65C96"/>
    <w:rsid w:val="00C67712"/>
    <w:rsid w:val="00C71B85"/>
    <w:rsid w:val="00C7462A"/>
    <w:rsid w:val="00C7519E"/>
    <w:rsid w:val="00C75615"/>
    <w:rsid w:val="00C75C9B"/>
    <w:rsid w:val="00C76C6A"/>
    <w:rsid w:val="00C80060"/>
    <w:rsid w:val="00C8186F"/>
    <w:rsid w:val="00C81A12"/>
    <w:rsid w:val="00C82A2E"/>
    <w:rsid w:val="00C846BE"/>
    <w:rsid w:val="00C8672F"/>
    <w:rsid w:val="00C86DB0"/>
    <w:rsid w:val="00C902B6"/>
    <w:rsid w:val="00C92587"/>
    <w:rsid w:val="00C93E88"/>
    <w:rsid w:val="00C943AD"/>
    <w:rsid w:val="00C94B22"/>
    <w:rsid w:val="00C9517C"/>
    <w:rsid w:val="00C955E2"/>
    <w:rsid w:val="00C95F5F"/>
    <w:rsid w:val="00C963DE"/>
    <w:rsid w:val="00C96ED6"/>
    <w:rsid w:val="00C970CD"/>
    <w:rsid w:val="00C97258"/>
    <w:rsid w:val="00CA0C26"/>
    <w:rsid w:val="00CA0CA1"/>
    <w:rsid w:val="00CA1648"/>
    <w:rsid w:val="00CA166E"/>
    <w:rsid w:val="00CA252C"/>
    <w:rsid w:val="00CA3C6D"/>
    <w:rsid w:val="00CA4A75"/>
    <w:rsid w:val="00CA5D78"/>
    <w:rsid w:val="00CA6738"/>
    <w:rsid w:val="00CA6B30"/>
    <w:rsid w:val="00CB0212"/>
    <w:rsid w:val="00CB07A8"/>
    <w:rsid w:val="00CB1125"/>
    <w:rsid w:val="00CB14A1"/>
    <w:rsid w:val="00CB1657"/>
    <w:rsid w:val="00CB280F"/>
    <w:rsid w:val="00CB2E6F"/>
    <w:rsid w:val="00CB3390"/>
    <w:rsid w:val="00CB4850"/>
    <w:rsid w:val="00CB4EF6"/>
    <w:rsid w:val="00CB5389"/>
    <w:rsid w:val="00CB6F29"/>
    <w:rsid w:val="00CB70C8"/>
    <w:rsid w:val="00CB798B"/>
    <w:rsid w:val="00CC024D"/>
    <w:rsid w:val="00CC10E1"/>
    <w:rsid w:val="00CC1BAB"/>
    <w:rsid w:val="00CC2F46"/>
    <w:rsid w:val="00CC40D6"/>
    <w:rsid w:val="00CC5C40"/>
    <w:rsid w:val="00CC73AB"/>
    <w:rsid w:val="00CD0537"/>
    <w:rsid w:val="00CD07DF"/>
    <w:rsid w:val="00CD12E3"/>
    <w:rsid w:val="00CD1587"/>
    <w:rsid w:val="00CD2D20"/>
    <w:rsid w:val="00CD3553"/>
    <w:rsid w:val="00CD39CF"/>
    <w:rsid w:val="00CD5AC6"/>
    <w:rsid w:val="00CD5F4A"/>
    <w:rsid w:val="00CD6327"/>
    <w:rsid w:val="00CD7905"/>
    <w:rsid w:val="00CD7B7A"/>
    <w:rsid w:val="00CE048B"/>
    <w:rsid w:val="00CE0B10"/>
    <w:rsid w:val="00CE19DD"/>
    <w:rsid w:val="00CE23AB"/>
    <w:rsid w:val="00CE28C2"/>
    <w:rsid w:val="00CE2A76"/>
    <w:rsid w:val="00CE2B78"/>
    <w:rsid w:val="00CE378E"/>
    <w:rsid w:val="00CE74A3"/>
    <w:rsid w:val="00CF0595"/>
    <w:rsid w:val="00CF10FD"/>
    <w:rsid w:val="00CF2303"/>
    <w:rsid w:val="00CF2A5B"/>
    <w:rsid w:val="00CF32C6"/>
    <w:rsid w:val="00CF3784"/>
    <w:rsid w:val="00CF431B"/>
    <w:rsid w:val="00CF4B07"/>
    <w:rsid w:val="00CF5AB6"/>
    <w:rsid w:val="00CF61FF"/>
    <w:rsid w:val="00CF70E7"/>
    <w:rsid w:val="00CF73A2"/>
    <w:rsid w:val="00CF76CB"/>
    <w:rsid w:val="00D013F3"/>
    <w:rsid w:val="00D01802"/>
    <w:rsid w:val="00D02AF7"/>
    <w:rsid w:val="00D034DD"/>
    <w:rsid w:val="00D03960"/>
    <w:rsid w:val="00D03D0C"/>
    <w:rsid w:val="00D04550"/>
    <w:rsid w:val="00D045A8"/>
    <w:rsid w:val="00D04952"/>
    <w:rsid w:val="00D059B5"/>
    <w:rsid w:val="00D060CE"/>
    <w:rsid w:val="00D06A16"/>
    <w:rsid w:val="00D06BA7"/>
    <w:rsid w:val="00D1078F"/>
    <w:rsid w:val="00D10E60"/>
    <w:rsid w:val="00D114A9"/>
    <w:rsid w:val="00D12CD2"/>
    <w:rsid w:val="00D13771"/>
    <w:rsid w:val="00D142B4"/>
    <w:rsid w:val="00D14D23"/>
    <w:rsid w:val="00D15D8B"/>
    <w:rsid w:val="00D1637F"/>
    <w:rsid w:val="00D16598"/>
    <w:rsid w:val="00D16E37"/>
    <w:rsid w:val="00D16E7A"/>
    <w:rsid w:val="00D17739"/>
    <w:rsid w:val="00D17984"/>
    <w:rsid w:val="00D20611"/>
    <w:rsid w:val="00D22365"/>
    <w:rsid w:val="00D24C99"/>
    <w:rsid w:val="00D24DAD"/>
    <w:rsid w:val="00D25916"/>
    <w:rsid w:val="00D30EF1"/>
    <w:rsid w:val="00D311CF"/>
    <w:rsid w:val="00D31B46"/>
    <w:rsid w:val="00D329E6"/>
    <w:rsid w:val="00D33321"/>
    <w:rsid w:val="00D33A17"/>
    <w:rsid w:val="00D34C82"/>
    <w:rsid w:val="00D35A5B"/>
    <w:rsid w:val="00D36BA8"/>
    <w:rsid w:val="00D37879"/>
    <w:rsid w:val="00D37972"/>
    <w:rsid w:val="00D402AC"/>
    <w:rsid w:val="00D40896"/>
    <w:rsid w:val="00D40C76"/>
    <w:rsid w:val="00D41534"/>
    <w:rsid w:val="00D41AB0"/>
    <w:rsid w:val="00D426C5"/>
    <w:rsid w:val="00D42EC4"/>
    <w:rsid w:val="00D435EB"/>
    <w:rsid w:val="00D43DA6"/>
    <w:rsid w:val="00D44231"/>
    <w:rsid w:val="00D44BE3"/>
    <w:rsid w:val="00D451FC"/>
    <w:rsid w:val="00D45356"/>
    <w:rsid w:val="00D45FBE"/>
    <w:rsid w:val="00D46A9A"/>
    <w:rsid w:val="00D4742A"/>
    <w:rsid w:val="00D502D0"/>
    <w:rsid w:val="00D50D56"/>
    <w:rsid w:val="00D520AD"/>
    <w:rsid w:val="00D52BA8"/>
    <w:rsid w:val="00D557EF"/>
    <w:rsid w:val="00D565B6"/>
    <w:rsid w:val="00D56611"/>
    <w:rsid w:val="00D60353"/>
    <w:rsid w:val="00D6162D"/>
    <w:rsid w:val="00D622FA"/>
    <w:rsid w:val="00D63261"/>
    <w:rsid w:val="00D6365E"/>
    <w:rsid w:val="00D63C48"/>
    <w:rsid w:val="00D63E92"/>
    <w:rsid w:val="00D64289"/>
    <w:rsid w:val="00D65A9D"/>
    <w:rsid w:val="00D6667B"/>
    <w:rsid w:val="00D67568"/>
    <w:rsid w:val="00D677C1"/>
    <w:rsid w:val="00D7083E"/>
    <w:rsid w:val="00D71299"/>
    <w:rsid w:val="00D71400"/>
    <w:rsid w:val="00D71945"/>
    <w:rsid w:val="00D72C23"/>
    <w:rsid w:val="00D77D23"/>
    <w:rsid w:val="00D8045A"/>
    <w:rsid w:val="00D80CBE"/>
    <w:rsid w:val="00D82602"/>
    <w:rsid w:val="00D83FE5"/>
    <w:rsid w:val="00D8435D"/>
    <w:rsid w:val="00D8526B"/>
    <w:rsid w:val="00D86A2A"/>
    <w:rsid w:val="00D87E2A"/>
    <w:rsid w:val="00D9173A"/>
    <w:rsid w:val="00D91D1A"/>
    <w:rsid w:val="00D91E9A"/>
    <w:rsid w:val="00D92457"/>
    <w:rsid w:val="00D94CA5"/>
    <w:rsid w:val="00D94D5C"/>
    <w:rsid w:val="00D95394"/>
    <w:rsid w:val="00D9545A"/>
    <w:rsid w:val="00D96A5C"/>
    <w:rsid w:val="00D970E7"/>
    <w:rsid w:val="00DA032B"/>
    <w:rsid w:val="00DA0456"/>
    <w:rsid w:val="00DA202F"/>
    <w:rsid w:val="00DA21A8"/>
    <w:rsid w:val="00DA329B"/>
    <w:rsid w:val="00DA452D"/>
    <w:rsid w:val="00DA559C"/>
    <w:rsid w:val="00DA55BB"/>
    <w:rsid w:val="00DA5D95"/>
    <w:rsid w:val="00DA625E"/>
    <w:rsid w:val="00DA6389"/>
    <w:rsid w:val="00DA73EE"/>
    <w:rsid w:val="00DA7BB3"/>
    <w:rsid w:val="00DB05AB"/>
    <w:rsid w:val="00DB1635"/>
    <w:rsid w:val="00DB1CC7"/>
    <w:rsid w:val="00DB2CF8"/>
    <w:rsid w:val="00DB312A"/>
    <w:rsid w:val="00DB3831"/>
    <w:rsid w:val="00DB3853"/>
    <w:rsid w:val="00DB3AE2"/>
    <w:rsid w:val="00DB4ABD"/>
    <w:rsid w:val="00DB58AD"/>
    <w:rsid w:val="00DB77EE"/>
    <w:rsid w:val="00DC077C"/>
    <w:rsid w:val="00DC0F64"/>
    <w:rsid w:val="00DC1743"/>
    <w:rsid w:val="00DC1F73"/>
    <w:rsid w:val="00DC211E"/>
    <w:rsid w:val="00DC34D0"/>
    <w:rsid w:val="00DC4451"/>
    <w:rsid w:val="00DC481B"/>
    <w:rsid w:val="00DC4CC9"/>
    <w:rsid w:val="00DC5841"/>
    <w:rsid w:val="00DC5BFC"/>
    <w:rsid w:val="00DC6058"/>
    <w:rsid w:val="00DC6543"/>
    <w:rsid w:val="00DC733A"/>
    <w:rsid w:val="00DC7746"/>
    <w:rsid w:val="00DD2076"/>
    <w:rsid w:val="00DD2AC6"/>
    <w:rsid w:val="00DD3049"/>
    <w:rsid w:val="00DD3D5C"/>
    <w:rsid w:val="00DD4203"/>
    <w:rsid w:val="00DD4A7C"/>
    <w:rsid w:val="00DD5EB4"/>
    <w:rsid w:val="00DD7E1E"/>
    <w:rsid w:val="00DE1109"/>
    <w:rsid w:val="00DE1BD8"/>
    <w:rsid w:val="00DE2AC5"/>
    <w:rsid w:val="00DE2C7A"/>
    <w:rsid w:val="00DE30D1"/>
    <w:rsid w:val="00DE30E2"/>
    <w:rsid w:val="00DE34F1"/>
    <w:rsid w:val="00DE3A9A"/>
    <w:rsid w:val="00DE4027"/>
    <w:rsid w:val="00DE4B2A"/>
    <w:rsid w:val="00DE540F"/>
    <w:rsid w:val="00DE6229"/>
    <w:rsid w:val="00DE6421"/>
    <w:rsid w:val="00DE6653"/>
    <w:rsid w:val="00DE673F"/>
    <w:rsid w:val="00DE7A1A"/>
    <w:rsid w:val="00DF0013"/>
    <w:rsid w:val="00DF14C6"/>
    <w:rsid w:val="00DF16C0"/>
    <w:rsid w:val="00DF3947"/>
    <w:rsid w:val="00DF396A"/>
    <w:rsid w:val="00DF398F"/>
    <w:rsid w:val="00DF459B"/>
    <w:rsid w:val="00DF4710"/>
    <w:rsid w:val="00DF4FFA"/>
    <w:rsid w:val="00DF548B"/>
    <w:rsid w:val="00DF5E9E"/>
    <w:rsid w:val="00DF79B0"/>
    <w:rsid w:val="00E0027D"/>
    <w:rsid w:val="00E0237E"/>
    <w:rsid w:val="00E0301F"/>
    <w:rsid w:val="00E03E7F"/>
    <w:rsid w:val="00E047C8"/>
    <w:rsid w:val="00E051EB"/>
    <w:rsid w:val="00E05FBC"/>
    <w:rsid w:val="00E066D4"/>
    <w:rsid w:val="00E06F9F"/>
    <w:rsid w:val="00E10B7D"/>
    <w:rsid w:val="00E10BD5"/>
    <w:rsid w:val="00E13AE6"/>
    <w:rsid w:val="00E16417"/>
    <w:rsid w:val="00E16C1E"/>
    <w:rsid w:val="00E2125C"/>
    <w:rsid w:val="00E2187A"/>
    <w:rsid w:val="00E22795"/>
    <w:rsid w:val="00E227EA"/>
    <w:rsid w:val="00E22EEF"/>
    <w:rsid w:val="00E23660"/>
    <w:rsid w:val="00E24A57"/>
    <w:rsid w:val="00E24D3F"/>
    <w:rsid w:val="00E25F3C"/>
    <w:rsid w:val="00E2761D"/>
    <w:rsid w:val="00E302CA"/>
    <w:rsid w:val="00E30B1E"/>
    <w:rsid w:val="00E31A1E"/>
    <w:rsid w:val="00E327CC"/>
    <w:rsid w:val="00E32AFE"/>
    <w:rsid w:val="00E32E15"/>
    <w:rsid w:val="00E33BAE"/>
    <w:rsid w:val="00E34484"/>
    <w:rsid w:val="00E351CF"/>
    <w:rsid w:val="00E35A87"/>
    <w:rsid w:val="00E35B1B"/>
    <w:rsid w:val="00E36E27"/>
    <w:rsid w:val="00E37424"/>
    <w:rsid w:val="00E400B8"/>
    <w:rsid w:val="00E4041E"/>
    <w:rsid w:val="00E42331"/>
    <w:rsid w:val="00E4274E"/>
    <w:rsid w:val="00E428AC"/>
    <w:rsid w:val="00E42FAE"/>
    <w:rsid w:val="00E43CA8"/>
    <w:rsid w:val="00E443D8"/>
    <w:rsid w:val="00E44E4E"/>
    <w:rsid w:val="00E45180"/>
    <w:rsid w:val="00E45305"/>
    <w:rsid w:val="00E45972"/>
    <w:rsid w:val="00E45B85"/>
    <w:rsid w:val="00E4634C"/>
    <w:rsid w:val="00E46AC9"/>
    <w:rsid w:val="00E47539"/>
    <w:rsid w:val="00E5107E"/>
    <w:rsid w:val="00E518FE"/>
    <w:rsid w:val="00E528C9"/>
    <w:rsid w:val="00E53DB6"/>
    <w:rsid w:val="00E54FB3"/>
    <w:rsid w:val="00E55904"/>
    <w:rsid w:val="00E55E72"/>
    <w:rsid w:val="00E5782A"/>
    <w:rsid w:val="00E57E09"/>
    <w:rsid w:val="00E60F7C"/>
    <w:rsid w:val="00E61C7E"/>
    <w:rsid w:val="00E61D9D"/>
    <w:rsid w:val="00E6322E"/>
    <w:rsid w:val="00E633EE"/>
    <w:rsid w:val="00E635EE"/>
    <w:rsid w:val="00E657CC"/>
    <w:rsid w:val="00E65DD2"/>
    <w:rsid w:val="00E66614"/>
    <w:rsid w:val="00E73E5B"/>
    <w:rsid w:val="00E758D6"/>
    <w:rsid w:val="00E7622E"/>
    <w:rsid w:val="00E76A6D"/>
    <w:rsid w:val="00E7722E"/>
    <w:rsid w:val="00E7734C"/>
    <w:rsid w:val="00E773DF"/>
    <w:rsid w:val="00E777D2"/>
    <w:rsid w:val="00E77936"/>
    <w:rsid w:val="00E80064"/>
    <w:rsid w:val="00E80F9C"/>
    <w:rsid w:val="00E8269B"/>
    <w:rsid w:val="00E82C29"/>
    <w:rsid w:val="00E83712"/>
    <w:rsid w:val="00E86C8B"/>
    <w:rsid w:val="00E86E42"/>
    <w:rsid w:val="00E90436"/>
    <w:rsid w:val="00E9125B"/>
    <w:rsid w:val="00E930FA"/>
    <w:rsid w:val="00E9562B"/>
    <w:rsid w:val="00E95DE4"/>
    <w:rsid w:val="00E970C6"/>
    <w:rsid w:val="00EA1861"/>
    <w:rsid w:val="00EA1B29"/>
    <w:rsid w:val="00EA207F"/>
    <w:rsid w:val="00EA2A78"/>
    <w:rsid w:val="00EA2D72"/>
    <w:rsid w:val="00EA3B94"/>
    <w:rsid w:val="00EA3E69"/>
    <w:rsid w:val="00EA3F98"/>
    <w:rsid w:val="00EA4D04"/>
    <w:rsid w:val="00EA650B"/>
    <w:rsid w:val="00EA66E6"/>
    <w:rsid w:val="00EA76BD"/>
    <w:rsid w:val="00EA7A7F"/>
    <w:rsid w:val="00EA7BA9"/>
    <w:rsid w:val="00EA7F22"/>
    <w:rsid w:val="00EB018C"/>
    <w:rsid w:val="00EB1428"/>
    <w:rsid w:val="00EB3ED5"/>
    <w:rsid w:val="00EB3F3E"/>
    <w:rsid w:val="00EB426B"/>
    <w:rsid w:val="00EB4920"/>
    <w:rsid w:val="00EB49DD"/>
    <w:rsid w:val="00EB5E2D"/>
    <w:rsid w:val="00EB5E6D"/>
    <w:rsid w:val="00EB7DE6"/>
    <w:rsid w:val="00EC1865"/>
    <w:rsid w:val="00EC2078"/>
    <w:rsid w:val="00EC2993"/>
    <w:rsid w:val="00EC4D10"/>
    <w:rsid w:val="00EC59CC"/>
    <w:rsid w:val="00EC6271"/>
    <w:rsid w:val="00EC79AA"/>
    <w:rsid w:val="00ED0709"/>
    <w:rsid w:val="00ED0C39"/>
    <w:rsid w:val="00ED0FD9"/>
    <w:rsid w:val="00ED4021"/>
    <w:rsid w:val="00ED40EE"/>
    <w:rsid w:val="00ED49C3"/>
    <w:rsid w:val="00ED4F8B"/>
    <w:rsid w:val="00ED4FCE"/>
    <w:rsid w:val="00ED5903"/>
    <w:rsid w:val="00ED65E1"/>
    <w:rsid w:val="00ED74CE"/>
    <w:rsid w:val="00EE2049"/>
    <w:rsid w:val="00EE2810"/>
    <w:rsid w:val="00EE2B0F"/>
    <w:rsid w:val="00EE3159"/>
    <w:rsid w:val="00EE3423"/>
    <w:rsid w:val="00EE5C23"/>
    <w:rsid w:val="00EE7BFD"/>
    <w:rsid w:val="00EF0550"/>
    <w:rsid w:val="00EF0922"/>
    <w:rsid w:val="00EF0C24"/>
    <w:rsid w:val="00EF0CF3"/>
    <w:rsid w:val="00EF15C9"/>
    <w:rsid w:val="00EF1B2F"/>
    <w:rsid w:val="00EF25C8"/>
    <w:rsid w:val="00EF2602"/>
    <w:rsid w:val="00EF3278"/>
    <w:rsid w:val="00EF4DC6"/>
    <w:rsid w:val="00EF4FE6"/>
    <w:rsid w:val="00EF53EE"/>
    <w:rsid w:val="00EF5468"/>
    <w:rsid w:val="00EF5A6F"/>
    <w:rsid w:val="00EF755E"/>
    <w:rsid w:val="00F00DED"/>
    <w:rsid w:val="00F00E1C"/>
    <w:rsid w:val="00F0439A"/>
    <w:rsid w:val="00F049EC"/>
    <w:rsid w:val="00F04DE6"/>
    <w:rsid w:val="00F05401"/>
    <w:rsid w:val="00F05D98"/>
    <w:rsid w:val="00F05E8B"/>
    <w:rsid w:val="00F073E4"/>
    <w:rsid w:val="00F11D0E"/>
    <w:rsid w:val="00F120A3"/>
    <w:rsid w:val="00F126F6"/>
    <w:rsid w:val="00F12971"/>
    <w:rsid w:val="00F13EC5"/>
    <w:rsid w:val="00F13F25"/>
    <w:rsid w:val="00F14F9B"/>
    <w:rsid w:val="00F151A9"/>
    <w:rsid w:val="00F173E8"/>
    <w:rsid w:val="00F17D31"/>
    <w:rsid w:val="00F20027"/>
    <w:rsid w:val="00F209AE"/>
    <w:rsid w:val="00F212BB"/>
    <w:rsid w:val="00F24179"/>
    <w:rsid w:val="00F2442C"/>
    <w:rsid w:val="00F24B1E"/>
    <w:rsid w:val="00F252E1"/>
    <w:rsid w:val="00F26B4B"/>
    <w:rsid w:val="00F2706C"/>
    <w:rsid w:val="00F278AD"/>
    <w:rsid w:val="00F27C2D"/>
    <w:rsid w:val="00F307DA"/>
    <w:rsid w:val="00F3094A"/>
    <w:rsid w:val="00F31148"/>
    <w:rsid w:val="00F31154"/>
    <w:rsid w:val="00F31407"/>
    <w:rsid w:val="00F32D23"/>
    <w:rsid w:val="00F337F5"/>
    <w:rsid w:val="00F356B8"/>
    <w:rsid w:val="00F3745A"/>
    <w:rsid w:val="00F3762F"/>
    <w:rsid w:val="00F37D53"/>
    <w:rsid w:val="00F40EA0"/>
    <w:rsid w:val="00F41012"/>
    <w:rsid w:val="00F4198A"/>
    <w:rsid w:val="00F419C5"/>
    <w:rsid w:val="00F4259E"/>
    <w:rsid w:val="00F4481E"/>
    <w:rsid w:val="00F44EFB"/>
    <w:rsid w:val="00F4761B"/>
    <w:rsid w:val="00F478C1"/>
    <w:rsid w:val="00F47B2F"/>
    <w:rsid w:val="00F47D8E"/>
    <w:rsid w:val="00F5010F"/>
    <w:rsid w:val="00F50973"/>
    <w:rsid w:val="00F51022"/>
    <w:rsid w:val="00F52144"/>
    <w:rsid w:val="00F526B8"/>
    <w:rsid w:val="00F52DA0"/>
    <w:rsid w:val="00F53011"/>
    <w:rsid w:val="00F54207"/>
    <w:rsid w:val="00F5439F"/>
    <w:rsid w:val="00F54596"/>
    <w:rsid w:val="00F54A71"/>
    <w:rsid w:val="00F56233"/>
    <w:rsid w:val="00F56314"/>
    <w:rsid w:val="00F56461"/>
    <w:rsid w:val="00F57DA2"/>
    <w:rsid w:val="00F61FF8"/>
    <w:rsid w:val="00F63547"/>
    <w:rsid w:val="00F63E07"/>
    <w:rsid w:val="00F6408A"/>
    <w:rsid w:val="00F64AAE"/>
    <w:rsid w:val="00F676BC"/>
    <w:rsid w:val="00F70E48"/>
    <w:rsid w:val="00F719D6"/>
    <w:rsid w:val="00F72B42"/>
    <w:rsid w:val="00F72C24"/>
    <w:rsid w:val="00F733F3"/>
    <w:rsid w:val="00F73A39"/>
    <w:rsid w:val="00F74220"/>
    <w:rsid w:val="00F74271"/>
    <w:rsid w:val="00F7430E"/>
    <w:rsid w:val="00F74366"/>
    <w:rsid w:val="00F75D3A"/>
    <w:rsid w:val="00F7663D"/>
    <w:rsid w:val="00F773AF"/>
    <w:rsid w:val="00F7766A"/>
    <w:rsid w:val="00F80139"/>
    <w:rsid w:val="00F80730"/>
    <w:rsid w:val="00F83598"/>
    <w:rsid w:val="00F838D4"/>
    <w:rsid w:val="00F83FB3"/>
    <w:rsid w:val="00F84996"/>
    <w:rsid w:val="00F84F56"/>
    <w:rsid w:val="00F8506E"/>
    <w:rsid w:val="00F8524C"/>
    <w:rsid w:val="00F85C7A"/>
    <w:rsid w:val="00F864DA"/>
    <w:rsid w:val="00F87618"/>
    <w:rsid w:val="00F87C31"/>
    <w:rsid w:val="00F91FEA"/>
    <w:rsid w:val="00F9212E"/>
    <w:rsid w:val="00F92B70"/>
    <w:rsid w:val="00F940FE"/>
    <w:rsid w:val="00F951DA"/>
    <w:rsid w:val="00F95E9C"/>
    <w:rsid w:val="00F9643C"/>
    <w:rsid w:val="00F96797"/>
    <w:rsid w:val="00F969B4"/>
    <w:rsid w:val="00F9783F"/>
    <w:rsid w:val="00F97BBC"/>
    <w:rsid w:val="00FA0329"/>
    <w:rsid w:val="00FA2BFF"/>
    <w:rsid w:val="00FA31C3"/>
    <w:rsid w:val="00FA3C0B"/>
    <w:rsid w:val="00FA43ED"/>
    <w:rsid w:val="00FB055F"/>
    <w:rsid w:val="00FB15C2"/>
    <w:rsid w:val="00FB1E81"/>
    <w:rsid w:val="00FB2B6B"/>
    <w:rsid w:val="00FB3174"/>
    <w:rsid w:val="00FB366A"/>
    <w:rsid w:val="00FB4DA8"/>
    <w:rsid w:val="00FB5370"/>
    <w:rsid w:val="00FB57DB"/>
    <w:rsid w:val="00FB6238"/>
    <w:rsid w:val="00FB7C99"/>
    <w:rsid w:val="00FB7EA5"/>
    <w:rsid w:val="00FB7EE3"/>
    <w:rsid w:val="00FC06E3"/>
    <w:rsid w:val="00FC1BAD"/>
    <w:rsid w:val="00FC1E6F"/>
    <w:rsid w:val="00FC22AB"/>
    <w:rsid w:val="00FC2516"/>
    <w:rsid w:val="00FC2FE6"/>
    <w:rsid w:val="00FC379E"/>
    <w:rsid w:val="00FC4112"/>
    <w:rsid w:val="00FC49D8"/>
    <w:rsid w:val="00FC4ACE"/>
    <w:rsid w:val="00FC594B"/>
    <w:rsid w:val="00FC5A6B"/>
    <w:rsid w:val="00FC66E1"/>
    <w:rsid w:val="00FC68C1"/>
    <w:rsid w:val="00FC6A62"/>
    <w:rsid w:val="00FC7101"/>
    <w:rsid w:val="00FC71E9"/>
    <w:rsid w:val="00FC7C49"/>
    <w:rsid w:val="00FD0230"/>
    <w:rsid w:val="00FD0ABA"/>
    <w:rsid w:val="00FD0DA5"/>
    <w:rsid w:val="00FD1E7E"/>
    <w:rsid w:val="00FD2013"/>
    <w:rsid w:val="00FD4115"/>
    <w:rsid w:val="00FD5312"/>
    <w:rsid w:val="00FD73D3"/>
    <w:rsid w:val="00FD7841"/>
    <w:rsid w:val="00FD7D46"/>
    <w:rsid w:val="00FE1F89"/>
    <w:rsid w:val="00FE2431"/>
    <w:rsid w:val="00FE27FD"/>
    <w:rsid w:val="00FE42E1"/>
    <w:rsid w:val="00FE4657"/>
    <w:rsid w:val="00FE4BA1"/>
    <w:rsid w:val="00FE4C58"/>
    <w:rsid w:val="00FE62A3"/>
    <w:rsid w:val="00FE6746"/>
    <w:rsid w:val="00FE77E7"/>
    <w:rsid w:val="00FE7CA2"/>
    <w:rsid w:val="00FF021B"/>
    <w:rsid w:val="00FF0993"/>
    <w:rsid w:val="00FF2550"/>
    <w:rsid w:val="00FF286D"/>
    <w:rsid w:val="00FF2B2D"/>
    <w:rsid w:val="00FF2B39"/>
    <w:rsid w:val="00FF45E4"/>
    <w:rsid w:val="00FF519E"/>
    <w:rsid w:val="00FF56BC"/>
    <w:rsid w:val="00FF5DAE"/>
    <w:rsid w:val="00FF5DBB"/>
    <w:rsid w:val="00FF610D"/>
    <w:rsid w:val="00FF6159"/>
    <w:rsid w:val="00FF6FB0"/>
    <w:rsid w:val="00FF7550"/>
    <w:rsid w:val="00FF79DC"/>
    <w:rsid w:val="00FF7C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page number" w:uiPriority="0"/>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Classic 2" w:uiPriority="0"/>
    <w:lsdException w:name="Balloon Text" w:uiPriority="9"/>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9C"/>
    <w:pPr>
      <w:spacing w:before="120" w:line="240" w:lineRule="auto"/>
    </w:pPr>
    <w:rPr>
      <w:sz w:val="24"/>
    </w:rPr>
  </w:style>
  <w:style w:type="paragraph" w:styleId="Heading1">
    <w:name w:val="heading 1"/>
    <w:basedOn w:val="Normal"/>
    <w:next w:val="Normal"/>
    <w:link w:val="Heading1Char"/>
    <w:uiPriority w:val="1"/>
    <w:qFormat/>
    <w:rsid w:val="00E4041E"/>
    <w:pPr>
      <w:keepNext/>
      <w:keepLines/>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numbering" w:customStyle="1" w:styleId="Lists">
    <w:name w:val="Lists"/>
    <w:uiPriority w:val="99"/>
    <w:rsid w:val="0001182F"/>
    <w:pPr>
      <w:numPr>
        <w:numId w:val="7"/>
      </w:numPr>
    </w:pPr>
  </w:style>
  <w:style w:type="paragraph" w:customStyle="1" w:styleId="Source">
    <w:name w:val="Source"/>
    <w:basedOn w:val="Normal"/>
    <w:uiPriority w:val="35"/>
    <w:qFormat/>
    <w:rsid w:val="004948A3"/>
    <w:pPr>
      <w:keepLines/>
      <w:tabs>
        <w:tab w:val="left" w:pos="284"/>
      </w:tabs>
      <w:spacing w:before="60" w:after="360" w:line="360" w:lineRule="auto"/>
      <w:contextualSpacing/>
    </w:pPr>
    <w:rPr>
      <w:rFonts w:ascii="Arial" w:hAnsi="Arial"/>
      <w:sz w:val="18"/>
      <w:szCs w:val="20"/>
    </w:rPr>
  </w:style>
  <w:style w:type="table" w:customStyle="1" w:styleId="ExecSummTable">
    <w:name w:val="Exec Summ Table"/>
    <w:basedOn w:val="TableNormal"/>
    <w:uiPriority w:val="99"/>
    <w:rsid w:val="00B174E8"/>
    <w:pPr>
      <w:spacing w:after="0" w:line="240" w:lineRule="auto"/>
      <w:ind w:left="57" w:right="57"/>
    </w:pPr>
    <w:rPr>
      <w:rFonts w:ascii="Arial" w:hAnsi="Arial"/>
      <w:sz w:val="18"/>
      <w:szCs w:val="20"/>
      <w:lang w:eastAsia="en-AU" w:bidi="th-TH"/>
    </w:rPr>
    <w:tblPr>
      <w:tblBorders>
        <w:top w:val="single" w:sz="12" w:space="0" w:color="4472C4" w:themeColor="accent5"/>
        <w:bottom w:val="single" w:sz="12" w:space="0" w:color="4472C4" w:themeColor="accent5"/>
        <w:insideH w:val="single" w:sz="4" w:space="0" w:color="4472C4" w:themeColor="accent5"/>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
    <w:name w:val="MSD Australia"/>
    <w:basedOn w:val="TableGrid"/>
    <w:uiPriority w:val="99"/>
    <w:rsid w:val="00C50E3E"/>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character" w:styleId="PlaceholderText">
    <w:name w:val="Placeholder Text"/>
    <w:basedOn w:val="DefaultParagraphFont"/>
    <w:uiPriority w:val="99"/>
    <w:semiHidden/>
    <w:rsid w:val="000032F5"/>
    <w:rPr>
      <w:color w:val="808080"/>
    </w:rPr>
  </w:style>
  <w:style w:type="table" w:customStyle="1" w:styleId="Summarybox6">
    <w:name w:val="Summary box6"/>
    <w:basedOn w:val="TableNormal"/>
    <w:next w:val="TableGrid"/>
    <w:uiPriority w:val="59"/>
    <w:rsid w:val="0000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0032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0032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ocumentMap">
    <w:name w:val="Document Map"/>
    <w:basedOn w:val="Normal"/>
    <w:link w:val="DocumentMapChar"/>
    <w:uiPriority w:val="99"/>
    <w:semiHidden/>
    <w:unhideWhenUsed/>
    <w:rsid w:val="000032F5"/>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32F5"/>
    <w:rPr>
      <w:rFonts w:ascii="Tahoma" w:hAnsi="Tahoma" w:cs="Tahoma"/>
      <w:sz w:val="16"/>
      <w:szCs w:val="16"/>
    </w:rPr>
  </w:style>
  <w:style w:type="table" w:styleId="TableClassic2">
    <w:name w:val="Table Classic 2"/>
    <w:basedOn w:val="TableNormal"/>
    <w:rsid w:val="002C000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basedOn w:val="DefaultParagraphFont"/>
    <w:rsid w:val="00861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caption" w:uiPriority="35" w:qFormat="1"/>
    <w:lsdException w:name="annotation reference" w:qFormat="1"/>
    <w:lsdException w:name="page number" w:uiPriority="0"/>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Table Classic 2" w:uiPriority="0"/>
    <w:lsdException w:name="Balloon Text" w:uiPriority="9"/>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9C"/>
    <w:pPr>
      <w:spacing w:before="120" w:line="240" w:lineRule="auto"/>
    </w:pPr>
    <w:rPr>
      <w:sz w:val="24"/>
    </w:rPr>
  </w:style>
  <w:style w:type="paragraph" w:styleId="Heading1">
    <w:name w:val="heading 1"/>
    <w:basedOn w:val="Normal"/>
    <w:next w:val="Normal"/>
    <w:link w:val="Heading1Char"/>
    <w:uiPriority w:val="1"/>
    <w:qFormat/>
    <w:rsid w:val="00E4041E"/>
    <w:pPr>
      <w:keepNext/>
      <w:keepLines/>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1"/>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1"/>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72"/>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35"/>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iPriority w:val="99"/>
    <w:unhideWhenUsed/>
    <w:rsid w:val="00BA3306"/>
    <w:pPr>
      <w:spacing w:before="0" w:after="0"/>
    </w:pPr>
    <w:rPr>
      <w:sz w:val="18"/>
      <w:szCs w:val="20"/>
    </w:rPr>
  </w:style>
  <w:style w:type="character" w:customStyle="1" w:styleId="FootnoteTextChar">
    <w:name w:val="Footnote Text Char"/>
    <w:basedOn w:val="DefaultParagraphFont"/>
    <w:link w:val="FootnoteText"/>
    <w:uiPriority w:val="99"/>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35"/>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uiPriority w:val="2"/>
    <w:qFormat/>
    <w:rsid w:val="00C317F3"/>
    <w:pPr>
      <w:spacing w:before="0" w:after="0"/>
    </w:pPr>
    <w:rPr>
      <w:rFonts w:ascii="Arial Narrow" w:eastAsia="Times New Roman" w:hAnsi="Arial Narrow" w:cs="Times New Roman"/>
      <w:sz w:val="20"/>
      <w:szCs w:val="20"/>
    </w:rPr>
  </w:style>
  <w:style w:type="character" w:customStyle="1" w:styleId="TabletextChar">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4"/>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72"/>
    <w:locked/>
    <w:rsid w:val="0095170D"/>
    <w:rPr>
      <w:sz w:val="24"/>
    </w:rPr>
  </w:style>
  <w:style w:type="numbering" w:customStyle="1" w:styleId="Headings">
    <w:name w:val="Headings"/>
    <w:uiPriority w:val="99"/>
    <w:rsid w:val="00C317F3"/>
    <w:pPr>
      <w:numPr>
        <w:numId w:val="5"/>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6"/>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numbering" w:customStyle="1" w:styleId="Lists">
    <w:name w:val="Lists"/>
    <w:uiPriority w:val="99"/>
    <w:rsid w:val="0001182F"/>
    <w:pPr>
      <w:numPr>
        <w:numId w:val="7"/>
      </w:numPr>
    </w:pPr>
  </w:style>
  <w:style w:type="paragraph" w:customStyle="1" w:styleId="Source">
    <w:name w:val="Source"/>
    <w:basedOn w:val="Normal"/>
    <w:uiPriority w:val="35"/>
    <w:qFormat/>
    <w:rsid w:val="004948A3"/>
    <w:pPr>
      <w:keepLines/>
      <w:tabs>
        <w:tab w:val="left" w:pos="284"/>
      </w:tabs>
      <w:spacing w:before="60" w:after="360" w:line="360" w:lineRule="auto"/>
      <w:contextualSpacing/>
    </w:pPr>
    <w:rPr>
      <w:rFonts w:ascii="Arial" w:hAnsi="Arial"/>
      <w:sz w:val="18"/>
      <w:szCs w:val="20"/>
    </w:rPr>
  </w:style>
  <w:style w:type="table" w:customStyle="1" w:styleId="ExecSummTable">
    <w:name w:val="Exec Summ Table"/>
    <w:basedOn w:val="TableNormal"/>
    <w:uiPriority w:val="99"/>
    <w:rsid w:val="00B174E8"/>
    <w:pPr>
      <w:spacing w:after="0" w:line="240" w:lineRule="auto"/>
      <w:ind w:left="57" w:right="57"/>
    </w:pPr>
    <w:rPr>
      <w:rFonts w:ascii="Arial" w:hAnsi="Arial"/>
      <w:sz w:val="18"/>
      <w:szCs w:val="20"/>
      <w:lang w:eastAsia="en-AU" w:bidi="th-TH"/>
    </w:rPr>
    <w:tblPr>
      <w:tblBorders>
        <w:top w:val="single" w:sz="12" w:space="0" w:color="4472C4" w:themeColor="accent5"/>
        <w:bottom w:val="single" w:sz="12" w:space="0" w:color="4472C4" w:themeColor="accent5"/>
        <w:insideH w:val="single" w:sz="4" w:space="0" w:color="4472C4" w:themeColor="accent5"/>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
    <w:name w:val="MSD Australia"/>
    <w:basedOn w:val="TableGrid"/>
    <w:uiPriority w:val="99"/>
    <w:rsid w:val="00C50E3E"/>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character" w:styleId="PlaceholderText">
    <w:name w:val="Placeholder Text"/>
    <w:basedOn w:val="DefaultParagraphFont"/>
    <w:uiPriority w:val="99"/>
    <w:semiHidden/>
    <w:rsid w:val="000032F5"/>
    <w:rPr>
      <w:color w:val="808080"/>
    </w:rPr>
  </w:style>
  <w:style w:type="table" w:customStyle="1" w:styleId="Summarybox6">
    <w:name w:val="Summary box6"/>
    <w:basedOn w:val="TableNormal"/>
    <w:next w:val="TableGrid"/>
    <w:uiPriority w:val="59"/>
    <w:rsid w:val="00003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0032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2">
    <w:name w:val="Table Grid Light2"/>
    <w:basedOn w:val="TableNormal"/>
    <w:uiPriority w:val="40"/>
    <w:rsid w:val="000032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ocumentMap">
    <w:name w:val="Document Map"/>
    <w:basedOn w:val="Normal"/>
    <w:link w:val="DocumentMapChar"/>
    <w:uiPriority w:val="99"/>
    <w:semiHidden/>
    <w:unhideWhenUsed/>
    <w:rsid w:val="000032F5"/>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32F5"/>
    <w:rPr>
      <w:rFonts w:ascii="Tahoma" w:hAnsi="Tahoma" w:cs="Tahoma"/>
      <w:sz w:val="16"/>
      <w:szCs w:val="16"/>
    </w:rPr>
  </w:style>
  <w:style w:type="table" w:styleId="TableClassic2">
    <w:name w:val="Table Classic 2"/>
    <w:basedOn w:val="TableNormal"/>
    <w:rsid w:val="002C000E"/>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basedOn w:val="DefaultParagraphFont"/>
    <w:rsid w:val="0086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225146793">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814294622">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17993371">
      <w:bodyDiv w:val="1"/>
      <w:marLeft w:val="0"/>
      <w:marRight w:val="0"/>
      <w:marTop w:val="0"/>
      <w:marBottom w:val="0"/>
      <w:divBdr>
        <w:top w:val="none" w:sz="0" w:space="0" w:color="auto"/>
        <w:left w:val="none" w:sz="0" w:space="0" w:color="auto"/>
        <w:bottom w:val="none" w:sz="0" w:space="0" w:color="auto"/>
        <w:right w:val="none" w:sz="0" w:space="0" w:color="auto"/>
      </w:divBdr>
    </w:div>
    <w:div w:id="1171287510">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938713181">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internet/main/publishing.nsf/content/cda-cdi3804b.htm" TargetMode="External"/><Relationship Id="rId2" Type="http://schemas.openxmlformats.org/officeDocument/2006/relationships/hyperlink" Target="http://www.health.gov.au/internet/main/publishing.nsf/content/cda-cdi3804b.htm" TargetMode="External"/><Relationship Id="rId1" Type="http://schemas.openxmlformats.org/officeDocument/2006/relationships/hyperlink" Target="https://aricjournal.biomedcentral.com/articles/10.1186/2047-2994-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0A2FF-6A14-4A6F-A4BF-03192ACE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10290</Words>
  <Characters>58656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2018-02-19T05:20:00Z</dcterms:created>
  <dcterms:modified xsi:type="dcterms:W3CDTF">2018-02-19T05:20:00Z</dcterms:modified>
</cp:coreProperties>
</file>