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BB" w:rsidRPr="00FE4251" w:rsidRDefault="00DF32B4" w:rsidP="00AE7369">
      <w:pPr>
        <w:ind w:left="992" w:hanging="992"/>
        <w:outlineLvl w:val="0"/>
        <w:rPr>
          <w:b/>
          <w:sz w:val="36"/>
          <w:szCs w:val="36"/>
        </w:rPr>
      </w:pPr>
      <w:r w:rsidRPr="00FE4251">
        <w:rPr>
          <w:b/>
          <w:sz w:val="36"/>
          <w:szCs w:val="36"/>
        </w:rPr>
        <w:t>5.04</w:t>
      </w:r>
      <w:r w:rsidR="001103C2" w:rsidRPr="00FE4251">
        <w:rPr>
          <w:b/>
          <w:sz w:val="36"/>
          <w:szCs w:val="36"/>
        </w:rPr>
        <w:tab/>
      </w:r>
      <w:r w:rsidR="000F1917" w:rsidRPr="00FE4251">
        <w:rPr>
          <w:b/>
          <w:sz w:val="36"/>
          <w:szCs w:val="36"/>
        </w:rPr>
        <w:t>BUDESONIDE</w:t>
      </w:r>
      <w:proofErr w:type="gramStart"/>
      <w:r w:rsidR="001103C2" w:rsidRPr="00FE4251">
        <w:rPr>
          <w:b/>
          <w:sz w:val="36"/>
          <w:szCs w:val="36"/>
        </w:rPr>
        <w:t>,</w:t>
      </w:r>
      <w:proofErr w:type="gramEnd"/>
      <w:r w:rsidR="001103C2" w:rsidRPr="00FE4251">
        <w:rPr>
          <w:b/>
          <w:sz w:val="36"/>
          <w:szCs w:val="36"/>
        </w:rPr>
        <w:br/>
      </w:r>
      <w:r w:rsidR="00F01E3E">
        <w:rPr>
          <w:b/>
          <w:sz w:val="36"/>
          <w:szCs w:val="36"/>
        </w:rPr>
        <w:t>C</w:t>
      </w:r>
      <w:r w:rsidR="000F1917" w:rsidRPr="00FE4251">
        <w:rPr>
          <w:b/>
          <w:sz w:val="36"/>
          <w:szCs w:val="36"/>
        </w:rPr>
        <w:t>apsule</w:t>
      </w:r>
      <w:r w:rsidR="000C1FCE" w:rsidRPr="00FE4251">
        <w:rPr>
          <w:b/>
          <w:sz w:val="36"/>
          <w:szCs w:val="36"/>
        </w:rPr>
        <w:t xml:space="preserve"> (modified release)</w:t>
      </w:r>
      <w:r w:rsidR="001103C2" w:rsidRPr="00FE4251">
        <w:rPr>
          <w:b/>
          <w:sz w:val="36"/>
          <w:szCs w:val="36"/>
        </w:rPr>
        <w:t xml:space="preserve"> </w:t>
      </w:r>
      <w:r w:rsidR="000F1917" w:rsidRPr="00FE4251">
        <w:rPr>
          <w:b/>
          <w:sz w:val="36"/>
          <w:szCs w:val="36"/>
        </w:rPr>
        <w:t>3</w:t>
      </w:r>
      <w:r w:rsidR="000C1FCE" w:rsidRPr="00FE4251">
        <w:rPr>
          <w:b/>
          <w:sz w:val="36"/>
          <w:szCs w:val="36"/>
        </w:rPr>
        <w:t xml:space="preserve"> </w:t>
      </w:r>
      <w:r w:rsidR="000F1917" w:rsidRPr="00FE4251">
        <w:rPr>
          <w:b/>
          <w:sz w:val="36"/>
          <w:szCs w:val="36"/>
        </w:rPr>
        <w:t>mg</w:t>
      </w:r>
      <w:r w:rsidR="001103C2" w:rsidRPr="00FE4251">
        <w:rPr>
          <w:b/>
          <w:sz w:val="36"/>
          <w:szCs w:val="36"/>
        </w:rPr>
        <w:t xml:space="preserve">, </w:t>
      </w:r>
      <w:r w:rsidR="001103C2" w:rsidRPr="00FE4251">
        <w:rPr>
          <w:b/>
          <w:sz w:val="36"/>
          <w:szCs w:val="36"/>
        </w:rPr>
        <w:br/>
      </w:r>
      <w:proofErr w:type="spellStart"/>
      <w:r w:rsidR="000F1917" w:rsidRPr="00FE4251">
        <w:rPr>
          <w:b/>
          <w:sz w:val="36"/>
          <w:szCs w:val="36"/>
        </w:rPr>
        <w:t>Entocort</w:t>
      </w:r>
      <w:proofErr w:type="spellEnd"/>
      <w:r w:rsidR="001103C2" w:rsidRPr="00FE4251">
        <w:rPr>
          <w:b/>
          <w:sz w:val="36"/>
          <w:szCs w:val="36"/>
        </w:rPr>
        <w:t xml:space="preserve">®, </w:t>
      </w:r>
      <w:r w:rsidR="000F1917" w:rsidRPr="00FE4251">
        <w:rPr>
          <w:b/>
          <w:sz w:val="36"/>
          <w:szCs w:val="36"/>
        </w:rPr>
        <w:t>Emerge Health</w:t>
      </w:r>
      <w:bookmarkStart w:id="0" w:name="_GoBack"/>
      <w:bookmarkEnd w:id="0"/>
    </w:p>
    <w:p w:rsidR="001103C2" w:rsidRPr="00FE4251" w:rsidRDefault="001103C2" w:rsidP="001103C2">
      <w:pPr>
        <w:pStyle w:val="Heading1"/>
        <w:ind w:left="709" w:hanging="709"/>
      </w:pPr>
      <w:bookmarkStart w:id="1" w:name="_Toc413139271"/>
      <w:bookmarkStart w:id="2" w:name="_Toc491952245"/>
      <w:bookmarkStart w:id="3" w:name="_Toc491952721"/>
      <w:r w:rsidRPr="00FE4251">
        <w:t>Purpose of application</w:t>
      </w:r>
      <w:bookmarkEnd w:id="1"/>
      <w:bookmarkEnd w:id="2"/>
      <w:bookmarkEnd w:id="3"/>
    </w:p>
    <w:p w:rsidR="001103C2" w:rsidRPr="00FE4251" w:rsidRDefault="001103C2" w:rsidP="001D7BAE">
      <w:pPr>
        <w:pStyle w:val="ListParagraph"/>
        <w:numPr>
          <w:ilvl w:val="1"/>
          <w:numId w:val="4"/>
        </w:numPr>
        <w:spacing w:before="0" w:after="120"/>
        <w:jc w:val="both"/>
      </w:pPr>
      <w:r w:rsidRPr="00FE4251">
        <w:t xml:space="preserve">Authority Required (streamlined) listing for budesonide controlled </w:t>
      </w:r>
      <w:proofErr w:type="spellStart"/>
      <w:r w:rsidRPr="00FE4251">
        <w:t>ileal</w:t>
      </w:r>
      <w:proofErr w:type="spellEnd"/>
      <w:r w:rsidRPr="00FE4251">
        <w:t xml:space="preserve"> release </w:t>
      </w:r>
      <w:r w:rsidR="00883350" w:rsidRPr="00FE4251">
        <w:t>ca</w:t>
      </w:r>
      <w:r w:rsidR="008550DC" w:rsidRPr="00FE4251">
        <w:t xml:space="preserve">psules </w:t>
      </w:r>
      <w:r w:rsidRPr="00FE4251">
        <w:t>(</w:t>
      </w:r>
      <w:r w:rsidR="00C21E75" w:rsidRPr="00FE4251">
        <w:t>budesonide from herein</w:t>
      </w:r>
      <w:r w:rsidRPr="00FE4251">
        <w:t xml:space="preserve">) for treatment of mild to moderate Crohn’s disease </w:t>
      </w:r>
      <w:r w:rsidR="00406EDA" w:rsidRPr="00FE4251">
        <w:t xml:space="preserve">(CD) </w:t>
      </w:r>
      <w:r w:rsidRPr="00FE4251">
        <w:t>affecting the ileum and/or the ascending colon.</w:t>
      </w:r>
      <w:r w:rsidRPr="00FE4251">
        <w:rPr>
          <w:color w:val="4472C4" w:themeColor="accent5"/>
        </w:rPr>
        <w:t xml:space="preserve"> </w:t>
      </w:r>
      <w:r w:rsidRPr="00FE4251">
        <w:t xml:space="preserve"> This is the first submission by Emerge Health for budesonide in this indication.</w:t>
      </w:r>
    </w:p>
    <w:p w:rsidR="001103C2" w:rsidRPr="00FE4251" w:rsidRDefault="001103C2" w:rsidP="001D7BAE">
      <w:pPr>
        <w:pStyle w:val="ListParagraph"/>
        <w:numPr>
          <w:ilvl w:val="1"/>
          <w:numId w:val="4"/>
        </w:numPr>
        <w:spacing w:before="0" w:after="120"/>
        <w:jc w:val="both"/>
      </w:pPr>
      <w:r w:rsidRPr="00FE4251">
        <w:t xml:space="preserve">The requested basis for listing was a cost-utility analysis for </w:t>
      </w:r>
      <w:r w:rsidR="004C7B75" w:rsidRPr="00FE4251">
        <w:t>budesonide</w:t>
      </w:r>
      <w:r w:rsidRPr="00FE4251">
        <w:t xml:space="preserve"> compared with </w:t>
      </w:r>
      <w:proofErr w:type="spellStart"/>
      <w:r w:rsidRPr="00FE4251">
        <w:t>mesalazine</w:t>
      </w:r>
      <w:proofErr w:type="spellEnd"/>
      <w:r w:rsidRPr="00FE4251">
        <w:t>.</w:t>
      </w:r>
    </w:p>
    <w:p w:rsidR="001103C2" w:rsidRPr="00FE4251" w:rsidRDefault="001103C2" w:rsidP="001103C2">
      <w:pPr>
        <w:spacing w:before="0" w:after="60"/>
        <w:jc w:val="both"/>
        <w:rPr>
          <w:b/>
        </w:rPr>
      </w:pPr>
      <w:r w:rsidRPr="00FE4251">
        <w:rPr>
          <w:rFonts w:ascii="Arial Narrow" w:hAnsi="Arial Narrow"/>
          <w:b/>
          <w:sz w:val="20"/>
          <w:szCs w:val="20"/>
        </w:rPr>
        <w:t>Table 1: Key components of the clinical issue addressed by the submission</w:t>
      </w:r>
      <w:r w:rsidRPr="00FE4251">
        <w:rPr>
          <w:b/>
        </w:rPr>
        <w:t xml:space="preserve"> </w:t>
      </w:r>
    </w:p>
    <w:tbl>
      <w:tblPr>
        <w:tblStyle w:val="TableGridbeth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
      </w:tblPr>
      <w:tblGrid>
        <w:gridCol w:w="1271"/>
        <w:gridCol w:w="7745"/>
      </w:tblGrid>
      <w:tr w:rsidR="001103C2" w:rsidRPr="00FE4251" w:rsidTr="00A04710">
        <w:trPr>
          <w:cnfStyle w:val="100000000000" w:firstRow="1" w:lastRow="0" w:firstColumn="0" w:lastColumn="0" w:oddVBand="0" w:evenVBand="0" w:oddHBand="0" w:evenHBand="0" w:firstRowFirstColumn="0" w:firstRowLastColumn="0" w:lastRowFirstColumn="0" w:lastRowLastColumn="0"/>
          <w:cantSplit/>
          <w:tblHeader/>
        </w:trPr>
        <w:tc>
          <w:tcPr>
            <w:tcW w:w="1271" w:type="dxa"/>
            <w:shd w:val="clear" w:color="auto" w:fill="auto"/>
          </w:tcPr>
          <w:p w:rsidR="001103C2" w:rsidRPr="00FE4251" w:rsidRDefault="001103C2" w:rsidP="00DA6A6B">
            <w:pPr>
              <w:keepNext/>
              <w:spacing w:before="40" w:after="40"/>
              <w:rPr>
                <w:rFonts w:ascii="Arial Narrow" w:hAnsi="Arial Narrow"/>
                <w:sz w:val="20"/>
                <w:szCs w:val="20"/>
                <w:lang w:val="en-AU"/>
              </w:rPr>
            </w:pPr>
            <w:r w:rsidRPr="00FE4251">
              <w:rPr>
                <w:rFonts w:ascii="Arial Narrow" w:hAnsi="Arial Narrow"/>
                <w:sz w:val="20"/>
                <w:lang w:val="en-AU"/>
              </w:rPr>
              <w:t>Component</w:t>
            </w:r>
          </w:p>
        </w:tc>
        <w:tc>
          <w:tcPr>
            <w:tcW w:w="7745" w:type="dxa"/>
            <w:shd w:val="clear" w:color="auto" w:fill="auto"/>
          </w:tcPr>
          <w:p w:rsidR="001103C2" w:rsidRPr="00FE4251" w:rsidRDefault="001103C2" w:rsidP="00DA6A6B">
            <w:pPr>
              <w:keepNext/>
              <w:spacing w:before="40" w:after="40"/>
              <w:rPr>
                <w:rFonts w:ascii="Arial Narrow" w:hAnsi="Arial Narrow"/>
                <w:sz w:val="20"/>
                <w:lang w:val="en-AU"/>
              </w:rPr>
            </w:pPr>
            <w:r w:rsidRPr="00FE4251">
              <w:rPr>
                <w:rFonts w:ascii="Arial Narrow" w:hAnsi="Arial Narrow"/>
                <w:sz w:val="20"/>
                <w:lang w:val="en-AU"/>
              </w:rPr>
              <w:t>Description</w:t>
            </w:r>
          </w:p>
        </w:tc>
      </w:tr>
      <w:tr w:rsidR="001103C2" w:rsidRPr="00FE4251" w:rsidTr="00A04710">
        <w:trPr>
          <w:cantSplit/>
        </w:trPr>
        <w:tc>
          <w:tcPr>
            <w:tcW w:w="1271" w:type="dxa"/>
            <w:shd w:val="clear" w:color="auto" w:fill="auto"/>
          </w:tcPr>
          <w:p w:rsidR="001103C2" w:rsidRPr="00FE4251" w:rsidRDefault="001103C2" w:rsidP="00DA6A6B">
            <w:pPr>
              <w:keepNext/>
              <w:spacing w:before="40" w:after="40"/>
              <w:rPr>
                <w:rFonts w:ascii="Arial Narrow" w:hAnsi="Arial Narrow"/>
                <w:sz w:val="20"/>
                <w:lang w:val="en-AU"/>
              </w:rPr>
            </w:pPr>
            <w:r w:rsidRPr="00FE4251">
              <w:rPr>
                <w:rFonts w:ascii="Arial Narrow" w:hAnsi="Arial Narrow"/>
                <w:sz w:val="20"/>
                <w:lang w:val="en-AU"/>
              </w:rPr>
              <w:t>Population</w:t>
            </w:r>
          </w:p>
        </w:tc>
        <w:tc>
          <w:tcPr>
            <w:tcW w:w="7745" w:type="dxa"/>
            <w:shd w:val="clear" w:color="auto" w:fill="auto"/>
          </w:tcPr>
          <w:p w:rsidR="001103C2" w:rsidRPr="00FE4251" w:rsidRDefault="001103C2" w:rsidP="00DA6A6B">
            <w:pPr>
              <w:keepNext/>
              <w:spacing w:before="40" w:after="40"/>
              <w:rPr>
                <w:rFonts w:ascii="Arial Narrow" w:hAnsi="Arial Narrow"/>
                <w:sz w:val="20"/>
                <w:lang w:val="en-AU"/>
              </w:rPr>
            </w:pPr>
            <w:r w:rsidRPr="00FE4251">
              <w:rPr>
                <w:rFonts w:ascii="Arial Narrow" w:hAnsi="Arial Narrow"/>
                <w:sz w:val="20"/>
                <w:lang w:val="en-AU"/>
              </w:rPr>
              <w:t>Adult patients with mild to moderate CD affecting the ileum and/or the ascending colon</w:t>
            </w:r>
          </w:p>
        </w:tc>
      </w:tr>
      <w:tr w:rsidR="001103C2" w:rsidRPr="00FE4251" w:rsidTr="00A04710">
        <w:trPr>
          <w:cantSplit/>
        </w:trPr>
        <w:tc>
          <w:tcPr>
            <w:tcW w:w="1271" w:type="dxa"/>
            <w:shd w:val="clear" w:color="auto" w:fill="auto"/>
          </w:tcPr>
          <w:p w:rsidR="001103C2" w:rsidRPr="00FE4251" w:rsidRDefault="001103C2" w:rsidP="00DA6A6B">
            <w:pPr>
              <w:keepNext/>
              <w:spacing w:before="40" w:after="40"/>
              <w:rPr>
                <w:rFonts w:ascii="Arial Narrow" w:hAnsi="Arial Narrow"/>
                <w:sz w:val="20"/>
                <w:lang w:val="en-AU"/>
              </w:rPr>
            </w:pPr>
            <w:r w:rsidRPr="00FE4251">
              <w:rPr>
                <w:rFonts w:ascii="Arial Narrow" w:hAnsi="Arial Narrow"/>
                <w:sz w:val="20"/>
                <w:lang w:val="en-AU"/>
              </w:rPr>
              <w:t>Intervention</w:t>
            </w:r>
          </w:p>
        </w:tc>
        <w:tc>
          <w:tcPr>
            <w:tcW w:w="7745" w:type="dxa"/>
            <w:shd w:val="clear" w:color="auto" w:fill="auto"/>
          </w:tcPr>
          <w:p w:rsidR="001103C2" w:rsidRPr="00FE4251" w:rsidRDefault="004C7B75" w:rsidP="00DA6A6B">
            <w:pPr>
              <w:keepNext/>
              <w:spacing w:before="40" w:after="40"/>
              <w:rPr>
                <w:rFonts w:ascii="Arial Narrow" w:hAnsi="Arial Narrow"/>
                <w:sz w:val="20"/>
                <w:lang w:val="en-AU"/>
              </w:rPr>
            </w:pPr>
            <w:r w:rsidRPr="00FE4251">
              <w:rPr>
                <w:rFonts w:ascii="Arial Narrow" w:hAnsi="Arial Narrow"/>
                <w:sz w:val="20"/>
                <w:lang w:val="en-AU"/>
              </w:rPr>
              <w:t>Budesonide</w:t>
            </w:r>
            <w:r w:rsidR="001103C2" w:rsidRPr="00FE4251">
              <w:rPr>
                <w:rFonts w:ascii="Arial Narrow" w:hAnsi="Arial Narrow"/>
                <w:sz w:val="20"/>
                <w:lang w:val="en-AU"/>
              </w:rPr>
              <w:t xml:space="preserve"> (9 mg/day orally for 12 weeks, inclusive of 2-4 week dose tapering period)</w:t>
            </w:r>
          </w:p>
        </w:tc>
      </w:tr>
      <w:tr w:rsidR="001103C2" w:rsidRPr="00FE4251" w:rsidTr="00A04710">
        <w:trPr>
          <w:cantSplit/>
        </w:trPr>
        <w:tc>
          <w:tcPr>
            <w:tcW w:w="1271" w:type="dxa"/>
            <w:shd w:val="clear" w:color="auto" w:fill="auto"/>
          </w:tcPr>
          <w:p w:rsidR="001103C2" w:rsidRPr="00FE4251" w:rsidRDefault="001103C2" w:rsidP="00DA6A6B">
            <w:pPr>
              <w:keepNext/>
              <w:spacing w:before="40" w:after="40"/>
              <w:rPr>
                <w:rFonts w:ascii="Arial Narrow" w:hAnsi="Arial Narrow"/>
                <w:sz w:val="20"/>
                <w:lang w:val="en-AU"/>
              </w:rPr>
            </w:pPr>
            <w:r w:rsidRPr="00FE4251">
              <w:rPr>
                <w:rFonts w:ascii="Arial Narrow" w:hAnsi="Arial Narrow"/>
                <w:sz w:val="20"/>
                <w:lang w:val="en-AU"/>
              </w:rPr>
              <w:t>Comparator</w:t>
            </w:r>
          </w:p>
        </w:tc>
        <w:tc>
          <w:tcPr>
            <w:tcW w:w="7745" w:type="dxa"/>
            <w:shd w:val="clear" w:color="auto" w:fill="auto"/>
          </w:tcPr>
          <w:p w:rsidR="001103C2" w:rsidRPr="00FE4251" w:rsidRDefault="001103C2" w:rsidP="00570733">
            <w:pPr>
              <w:keepNext/>
              <w:spacing w:before="40" w:after="40"/>
              <w:rPr>
                <w:rFonts w:ascii="Arial Narrow" w:hAnsi="Arial Narrow"/>
                <w:sz w:val="20"/>
                <w:lang w:val="en-AU"/>
              </w:rPr>
            </w:pPr>
            <w:proofErr w:type="spellStart"/>
            <w:r w:rsidRPr="00FE4251">
              <w:rPr>
                <w:rFonts w:ascii="Arial Narrow" w:hAnsi="Arial Narrow"/>
                <w:sz w:val="20"/>
                <w:lang w:val="en-AU"/>
              </w:rPr>
              <w:t>Mesalazine</w:t>
            </w:r>
            <w:proofErr w:type="spellEnd"/>
            <w:r w:rsidRPr="00FE4251">
              <w:rPr>
                <w:rFonts w:ascii="Arial Narrow" w:hAnsi="Arial Narrow"/>
                <w:sz w:val="20"/>
                <w:lang w:val="en-AU"/>
              </w:rPr>
              <w:t xml:space="preserve"> high dose 4 g/day orally</w:t>
            </w:r>
          </w:p>
        </w:tc>
      </w:tr>
      <w:tr w:rsidR="001103C2" w:rsidRPr="00FE4251" w:rsidTr="00A04710">
        <w:trPr>
          <w:cantSplit/>
        </w:trPr>
        <w:tc>
          <w:tcPr>
            <w:tcW w:w="1271" w:type="dxa"/>
            <w:shd w:val="clear" w:color="auto" w:fill="auto"/>
          </w:tcPr>
          <w:p w:rsidR="001103C2" w:rsidRPr="00FE4251" w:rsidRDefault="001103C2" w:rsidP="00DA6A6B">
            <w:pPr>
              <w:keepNext/>
              <w:spacing w:before="40" w:after="40"/>
              <w:rPr>
                <w:rFonts w:ascii="Arial Narrow" w:hAnsi="Arial Narrow"/>
                <w:sz w:val="20"/>
                <w:lang w:val="en-AU"/>
              </w:rPr>
            </w:pPr>
            <w:r w:rsidRPr="00FE4251">
              <w:rPr>
                <w:rFonts w:ascii="Arial Narrow" w:hAnsi="Arial Narrow"/>
                <w:sz w:val="20"/>
                <w:lang w:val="en-AU"/>
              </w:rPr>
              <w:t>Outcomes</w:t>
            </w:r>
          </w:p>
        </w:tc>
        <w:tc>
          <w:tcPr>
            <w:tcW w:w="7745" w:type="dxa"/>
            <w:shd w:val="clear" w:color="auto" w:fill="auto"/>
          </w:tcPr>
          <w:p w:rsidR="001103C2" w:rsidRPr="00FE4251" w:rsidRDefault="001103C2" w:rsidP="00DA6A6B">
            <w:pPr>
              <w:keepNext/>
              <w:spacing w:before="40" w:after="40"/>
              <w:rPr>
                <w:rFonts w:ascii="Arial Narrow" w:hAnsi="Arial Narrow"/>
                <w:sz w:val="20"/>
                <w:lang w:val="en-AU"/>
              </w:rPr>
            </w:pPr>
            <w:r w:rsidRPr="00FE4251">
              <w:rPr>
                <w:rFonts w:ascii="Arial Narrow" w:hAnsi="Arial Narrow"/>
                <w:sz w:val="20"/>
                <w:lang w:val="en-AU"/>
              </w:rPr>
              <w:t xml:space="preserve">Remission (CDAI </w:t>
            </w:r>
            <w:r w:rsidRPr="00FE4251">
              <w:rPr>
                <w:rFonts w:ascii="Arial Narrow" w:hAnsi="Arial Narrow"/>
                <w:sz w:val="20"/>
                <w:u w:val="single"/>
                <w:lang w:val="en-AU"/>
              </w:rPr>
              <w:t>&lt;</w:t>
            </w:r>
            <w:r w:rsidRPr="00FE4251">
              <w:rPr>
                <w:rFonts w:ascii="Arial Narrow" w:hAnsi="Arial Narrow"/>
                <w:sz w:val="20"/>
                <w:lang w:val="en-AU"/>
              </w:rPr>
              <w:t xml:space="preserve"> 150) and adverse events</w:t>
            </w:r>
          </w:p>
        </w:tc>
      </w:tr>
      <w:tr w:rsidR="001103C2" w:rsidRPr="00FE4251" w:rsidTr="00A04710">
        <w:trPr>
          <w:cantSplit/>
        </w:trPr>
        <w:tc>
          <w:tcPr>
            <w:tcW w:w="1271" w:type="dxa"/>
            <w:shd w:val="clear" w:color="auto" w:fill="auto"/>
          </w:tcPr>
          <w:p w:rsidR="001103C2" w:rsidRPr="00FE4251" w:rsidRDefault="001103C2" w:rsidP="00DA6A6B">
            <w:pPr>
              <w:keepNext/>
              <w:spacing w:before="40" w:after="40"/>
              <w:rPr>
                <w:rFonts w:ascii="Arial Narrow" w:hAnsi="Arial Narrow"/>
                <w:sz w:val="20"/>
                <w:lang w:val="en-AU"/>
              </w:rPr>
            </w:pPr>
            <w:r w:rsidRPr="00FE4251">
              <w:rPr>
                <w:rFonts w:ascii="Arial Narrow" w:hAnsi="Arial Narrow"/>
                <w:sz w:val="20"/>
                <w:lang w:val="en-AU"/>
              </w:rPr>
              <w:t>Clinical claim</w:t>
            </w:r>
          </w:p>
        </w:tc>
        <w:tc>
          <w:tcPr>
            <w:tcW w:w="7745" w:type="dxa"/>
            <w:shd w:val="clear" w:color="auto" w:fill="auto"/>
          </w:tcPr>
          <w:p w:rsidR="001103C2" w:rsidRPr="00FE4251" w:rsidRDefault="001103C2" w:rsidP="0030662C">
            <w:pPr>
              <w:keepNext/>
              <w:spacing w:before="40" w:after="40"/>
              <w:rPr>
                <w:rFonts w:ascii="Arial Narrow" w:hAnsi="Arial Narrow"/>
                <w:sz w:val="20"/>
                <w:lang w:val="en-AU"/>
              </w:rPr>
            </w:pPr>
            <w:r w:rsidRPr="00FE4251">
              <w:rPr>
                <w:rFonts w:ascii="Arial Narrow" w:hAnsi="Arial Narrow"/>
                <w:sz w:val="20"/>
                <w:lang w:val="en-AU"/>
              </w:rPr>
              <w:t>In patients with mild to moderate C</w:t>
            </w:r>
            <w:r w:rsidR="00EF1E30" w:rsidRPr="00FE4251">
              <w:rPr>
                <w:rFonts w:ascii="Arial Narrow" w:hAnsi="Arial Narrow"/>
                <w:sz w:val="20"/>
                <w:lang w:val="en-AU"/>
              </w:rPr>
              <w:t>D</w:t>
            </w:r>
            <w:r w:rsidRPr="00FE4251">
              <w:rPr>
                <w:rFonts w:ascii="Arial Narrow" w:hAnsi="Arial Narrow"/>
                <w:sz w:val="20"/>
                <w:lang w:val="en-AU"/>
              </w:rPr>
              <w:t xml:space="preserve">, </w:t>
            </w:r>
            <w:r w:rsidR="004C7B75" w:rsidRPr="00FE4251">
              <w:rPr>
                <w:rFonts w:ascii="Arial Narrow" w:hAnsi="Arial Narrow"/>
                <w:sz w:val="20"/>
                <w:lang w:val="en-AU"/>
              </w:rPr>
              <w:t>budesonide</w:t>
            </w:r>
            <w:r w:rsidRPr="00FE4251">
              <w:rPr>
                <w:rFonts w:ascii="Arial Narrow" w:hAnsi="Arial Narrow"/>
                <w:sz w:val="20"/>
                <w:lang w:val="en-AU"/>
              </w:rPr>
              <w:t xml:space="preserve"> is more effective than </w:t>
            </w:r>
            <w:proofErr w:type="spellStart"/>
            <w:r w:rsidRPr="00FE4251">
              <w:rPr>
                <w:rFonts w:ascii="Arial Narrow" w:hAnsi="Arial Narrow"/>
                <w:sz w:val="20"/>
                <w:lang w:val="en-AU"/>
              </w:rPr>
              <w:t>mesalazine</w:t>
            </w:r>
            <w:proofErr w:type="spellEnd"/>
            <w:r w:rsidRPr="00FE4251">
              <w:rPr>
                <w:rFonts w:ascii="Arial Narrow" w:hAnsi="Arial Narrow"/>
                <w:sz w:val="20"/>
                <w:lang w:val="en-AU"/>
              </w:rPr>
              <w:t xml:space="preserve"> at inducing remission, </w:t>
            </w:r>
            <w:r w:rsidR="0030662C" w:rsidRPr="00FE4251">
              <w:rPr>
                <w:rFonts w:ascii="Arial Narrow" w:hAnsi="Arial Narrow"/>
                <w:sz w:val="20"/>
                <w:lang w:val="en-AU"/>
              </w:rPr>
              <w:t>with less</w:t>
            </w:r>
            <w:r w:rsidRPr="00FE4251">
              <w:rPr>
                <w:rFonts w:ascii="Arial Narrow" w:hAnsi="Arial Narrow"/>
                <w:sz w:val="20"/>
                <w:lang w:val="en-AU"/>
              </w:rPr>
              <w:t xml:space="preserve"> adverse events</w:t>
            </w:r>
          </w:p>
        </w:tc>
      </w:tr>
    </w:tbl>
    <w:p w:rsidR="00570733" w:rsidRPr="00FE4251" w:rsidRDefault="00570733" w:rsidP="001103C2">
      <w:pPr>
        <w:widowControl w:val="0"/>
        <w:spacing w:before="0" w:after="120"/>
        <w:contextualSpacing/>
        <w:jc w:val="both"/>
        <w:rPr>
          <w:rFonts w:ascii="Arial Narrow" w:eastAsia="Times New Roman" w:hAnsi="Arial Narrow" w:cs="Arial"/>
          <w:snapToGrid w:val="0"/>
          <w:sz w:val="18"/>
          <w:szCs w:val="20"/>
        </w:rPr>
      </w:pPr>
      <w:r w:rsidRPr="00FE4251">
        <w:rPr>
          <w:rFonts w:ascii="Arial Narrow" w:eastAsia="Times New Roman" w:hAnsi="Arial Narrow" w:cs="Arial"/>
          <w:snapToGrid w:val="0"/>
          <w:sz w:val="18"/>
          <w:szCs w:val="20"/>
        </w:rPr>
        <w:t>Abbreviations: CD=Crohn’s disease; CDAI=Crohn's Disease Activity Index</w:t>
      </w:r>
    </w:p>
    <w:p w:rsidR="001103C2" w:rsidRPr="00FE4251" w:rsidRDefault="001103C2" w:rsidP="001103C2">
      <w:pPr>
        <w:widowControl w:val="0"/>
        <w:spacing w:before="0" w:after="120"/>
        <w:contextualSpacing/>
        <w:jc w:val="both"/>
        <w:rPr>
          <w:rFonts w:ascii="Arial Narrow" w:eastAsia="Times New Roman" w:hAnsi="Arial Narrow" w:cs="Arial"/>
          <w:snapToGrid w:val="0"/>
          <w:sz w:val="18"/>
          <w:szCs w:val="20"/>
        </w:rPr>
      </w:pPr>
      <w:r w:rsidRPr="00FE4251">
        <w:rPr>
          <w:rFonts w:ascii="Arial Narrow" w:eastAsia="Times New Roman" w:hAnsi="Arial Narrow" w:cs="Arial"/>
          <w:snapToGrid w:val="0"/>
          <w:sz w:val="18"/>
          <w:szCs w:val="20"/>
        </w:rPr>
        <w:t>Source: Table 10, p3</w:t>
      </w:r>
      <w:r w:rsidR="00570733" w:rsidRPr="00FE4251">
        <w:rPr>
          <w:rFonts w:ascii="Arial Narrow" w:eastAsia="Times New Roman" w:hAnsi="Arial Narrow" w:cs="Arial"/>
          <w:snapToGrid w:val="0"/>
          <w:sz w:val="18"/>
          <w:szCs w:val="20"/>
        </w:rPr>
        <w:t xml:space="preserve"> </w:t>
      </w:r>
      <w:r w:rsidRPr="00FE4251">
        <w:rPr>
          <w:rFonts w:ascii="Arial Narrow" w:eastAsia="Times New Roman" w:hAnsi="Arial Narrow" w:cs="Arial"/>
          <w:snapToGrid w:val="0"/>
          <w:sz w:val="18"/>
          <w:szCs w:val="20"/>
        </w:rPr>
        <w:t>of the submission</w:t>
      </w:r>
    </w:p>
    <w:p w:rsidR="001103C2" w:rsidRPr="00FE4251" w:rsidRDefault="001103C2" w:rsidP="001103C2">
      <w:pPr>
        <w:spacing w:before="0" w:after="120"/>
        <w:jc w:val="both"/>
      </w:pPr>
    </w:p>
    <w:p w:rsidR="001103C2" w:rsidRPr="00FE4251" w:rsidRDefault="001103C2" w:rsidP="001103C2">
      <w:pPr>
        <w:pStyle w:val="Heading1"/>
        <w:ind w:left="709" w:hanging="709"/>
      </w:pPr>
      <w:bookmarkStart w:id="4" w:name="_Toc413139272"/>
      <w:bookmarkStart w:id="5" w:name="_Toc491952246"/>
      <w:bookmarkStart w:id="6" w:name="_Toc491952722"/>
      <w:r w:rsidRPr="00FE4251">
        <w:t>Requested listing</w:t>
      </w:r>
      <w:bookmarkEnd w:id="4"/>
      <w:bookmarkEnd w:id="5"/>
      <w:bookmarkEnd w:id="6"/>
      <w:r w:rsidRPr="00FE4251">
        <w:t xml:space="preserve"> </w:t>
      </w:r>
    </w:p>
    <w:p w:rsidR="007D6C86" w:rsidRPr="00FE4251" w:rsidRDefault="00F4337D" w:rsidP="005A052D">
      <w:pPr>
        <w:pStyle w:val="ListParagraph"/>
        <w:numPr>
          <w:ilvl w:val="1"/>
          <w:numId w:val="1"/>
        </w:numPr>
        <w:spacing w:before="0" w:after="120"/>
        <w:ind w:left="567" w:hanging="578"/>
        <w:jc w:val="both"/>
      </w:pPr>
      <w:r w:rsidRPr="00FE4251">
        <w:t>The requested restriction is provided below. Suggestions and additions proposed by the Secretariat to the requested listing are added in italics and suggested deletions are crossed out with strikethrough.</w:t>
      </w:r>
    </w:p>
    <w:tbl>
      <w:tblPr>
        <w:tblW w:w="9090" w:type="dxa"/>
        <w:tblLayout w:type="fixed"/>
        <w:tblLook w:val="0000" w:firstRow="0" w:lastRow="0" w:firstColumn="0" w:lastColumn="0" w:noHBand="0" w:noVBand="0"/>
      </w:tblPr>
      <w:tblGrid>
        <w:gridCol w:w="3227"/>
        <w:gridCol w:w="60"/>
        <w:gridCol w:w="790"/>
        <w:gridCol w:w="742"/>
        <w:gridCol w:w="1385"/>
        <w:gridCol w:w="1308"/>
        <w:gridCol w:w="1578"/>
      </w:tblGrid>
      <w:tr w:rsidR="002974AB" w:rsidRPr="00FE4251" w:rsidTr="002974AB">
        <w:trPr>
          <w:cantSplit/>
          <w:trHeight w:val="712"/>
        </w:trPr>
        <w:tc>
          <w:tcPr>
            <w:tcW w:w="3227" w:type="dxa"/>
            <w:tcBorders>
              <w:bottom w:val="single" w:sz="4" w:space="0" w:color="auto"/>
            </w:tcBorders>
          </w:tcPr>
          <w:p w:rsidR="00C97317" w:rsidRPr="00FE4251" w:rsidRDefault="00C97317" w:rsidP="009F1944">
            <w:pPr>
              <w:keepNext/>
              <w:spacing w:before="0" w:after="0"/>
              <w:ind w:left="-108"/>
              <w:jc w:val="both"/>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Name, Restriction</w:t>
            </w:r>
          </w:p>
          <w:p w:rsidR="00C97317" w:rsidRPr="00FE4251" w:rsidRDefault="00C97317" w:rsidP="009F1944">
            <w:pPr>
              <w:keepNext/>
              <w:spacing w:before="0" w:after="0"/>
              <w:ind w:left="-108"/>
              <w:jc w:val="both"/>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Manner of administration and form</w:t>
            </w:r>
          </w:p>
          <w:p w:rsidR="00C97317" w:rsidRPr="00FE4251" w:rsidRDefault="00C97317" w:rsidP="009F1944">
            <w:pPr>
              <w:keepNext/>
              <w:spacing w:before="0" w:after="0"/>
              <w:jc w:val="both"/>
              <w:rPr>
                <w:rFonts w:ascii="Arial Narrow" w:eastAsia="Times New Roman" w:hAnsi="Arial Narrow" w:cs="Arial"/>
                <w:sz w:val="20"/>
                <w:szCs w:val="20"/>
                <w:lang w:eastAsia="en-AU"/>
              </w:rPr>
            </w:pPr>
          </w:p>
        </w:tc>
        <w:tc>
          <w:tcPr>
            <w:tcW w:w="850" w:type="dxa"/>
            <w:gridSpan w:val="2"/>
            <w:tcBorders>
              <w:bottom w:val="single" w:sz="4" w:space="0" w:color="auto"/>
            </w:tcBorders>
          </w:tcPr>
          <w:p w:rsidR="00C97317" w:rsidRPr="00FE4251" w:rsidRDefault="00C97317" w:rsidP="009F1944">
            <w:pPr>
              <w:keepNext/>
              <w:spacing w:before="0" w:after="0"/>
              <w:ind w:left="-108"/>
              <w:jc w:val="both"/>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Max.</w:t>
            </w:r>
          </w:p>
          <w:p w:rsidR="00C97317" w:rsidRPr="00FE4251" w:rsidRDefault="00C97317" w:rsidP="009F1944">
            <w:pPr>
              <w:keepNext/>
              <w:spacing w:before="0" w:after="0"/>
              <w:ind w:left="-108"/>
              <w:jc w:val="both"/>
              <w:rPr>
                <w:rFonts w:ascii="Arial Narrow" w:eastAsia="Times New Roman" w:hAnsi="Arial Narrow" w:cs="Arial"/>
                <w:sz w:val="20"/>
                <w:szCs w:val="20"/>
                <w:lang w:eastAsia="en-AU"/>
              </w:rPr>
            </w:pPr>
            <w:proofErr w:type="spellStart"/>
            <w:r w:rsidRPr="00FE4251">
              <w:rPr>
                <w:rFonts w:ascii="Arial Narrow" w:eastAsia="Times New Roman" w:hAnsi="Arial Narrow" w:cs="Arial"/>
                <w:sz w:val="20"/>
                <w:szCs w:val="20"/>
                <w:lang w:eastAsia="en-AU"/>
              </w:rPr>
              <w:t>Qty</w:t>
            </w:r>
            <w:proofErr w:type="spellEnd"/>
          </w:p>
        </w:tc>
        <w:tc>
          <w:tcPr>
            <w:tcW w:w="742" w:type="dxa"/>
            <w:tcBorders>
              <w:bottom w:val="single" w:sz="4" w:space="0" w:color="auto"/>
            </w:tcBorders>
          </w:tcPr>
          <w:p w:rsidR="00C97317" w:rsidRPr="00FE4251" w:rsidRDefault="00C97317" w:rsidP="00F25DC9">
            <w:pPr>
              <w:keepNext/>
              <w:spacing w:before="0" w:after="0"/>
              <w:ind w:left="-108"/>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 xml:space="preserve">№. of </w:t>
            </w:r>
            <w:proofErr w:type="spellStart"/>
            <w:r w:rsidRPr="00FE4251">
              <w:rPr>
                <w:rFonts w:ascii="Arial Narrow" w:eastAsia="Times New Roman" w:hAnsi="Arial Narrow" w:cs="Arial"/>
                <w:sz w:val="20"/>
                <w:szCs w:val="20"/>
                <w:lang w:eastAsia="en-AU"/>
              </w:rPr>
              <w:t>Rpts</w:t>
            </w:r>
            <w:proofErr w:type="spellEnd"/>
          </w:p>
        </w:tc>
        <w:tc>
          <w:tcPr>
            <w:tcW w:w="1385" w:type="dxa"/>
            <w:tcBorders>
              <w:bottom w:val="single" w:sz="4" w:space="0" w:color="auto"/>
            </w:tcBorders>
          </w:tcPr>
          <w:p w:rsidR="00C97317" w:rsidRPr="00FE4251" w:rsidRDefault="00C97317" w:rsidP="00F25DC9">
            <w:pPr>
              <w:keepNext/>
              <w:spacing w:before="0" w:after="0"/>
              <w:ind w:left="-108"/>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 xml:space="preserve">Dispensed Price for Max. </w:t>
            </w:r>
            <w:proofErr w:type="spellStart"/>
            <w:r w:rsidRPr="00FE4251">
              <w:rPr>
                <w:rFonts w:ascii="Arial Narrow" w:eastAsia="Times New Roman" w:hAnsi="Arial Narrow" w:cs="Arial"/>
                <w:sz w:val="20"/>
                <w:szCs w:val="20"/>
                <w:lang w:eastAsia="en-AU"/>
              </w:rPr>
              <w:t>Qty</w:t>
            </w:r>
            <w:proofErr w:type="spellEnd"/>
          </w:p>
        </w:tc>
        <w:tc>
          <w:tcPr>
            <w:tcW w:w="2886" w:type="dxa"/>
            <w:gridSpan w:val="2"/>
            <w:tcBorders>
              <w:bottom w:val="single" w:sz="4" w:space="0" w:color="auto"/>
            </w:tcBorders>
          </w:tcPr>
          <w:p w:rsidR="00C97317" w:rsidRPr="00FE4251" w:rsidRDefault="00C97317" w:rsidP="009F1944">
            <w:pPr>
              <w:keepNext/>
              <w:spacing w:before="0" w:after="0"/>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Proprietary Name and Manufacturer</w:t>
            </w:r>
          </w:p>
        </w:tc>
      </w:tr>
      <w:tr w:rsidR="002974AB" w:rsidRPr="00FE4251" w:rsidTr="002974AB">
        <w:trPr>
          <w:cantSplit/>
          <w:trHeight w:val="940"/>
        </w:trPr>
        <w:tc>
          <w:tcPr>
            <w:tcW w:w="3227" w:type="dxa"/>
          </w:tcPr>
          <w:p w:rsidR="00993813" w:rsidRPr="00FE4251" w:rsidRDefault="00993813" w:rsidP="009F1944">
            <w:pPr>
              <w:keepNext/>
              <w:spacing w:before="0" w:after="0"/>
              <w:ind w:left="-108"/>
              <w:jc w:val="both"/>
              <w:rPr>
                <w:rFonts w:ascii="Arial Narrow" w:eastAsia="Times New Roman" w:hAnsi="Arial Narrow" w:cs="Arial"/>
                <w:b/>
                <w:smallCaps/>
                <w:sz w:val="20"/>
                <w:szCs w:val="20"/>
                <w:lang w:eastAsia="en-AU"/>
              </w:rPr>
            </w:pPr>
            <w:r w:rsidRPr="00FE4251">
              <w:rPr>
                <w:rFonts w:ascii="Arial Narrow" w:eastAsia="Times New Roman" w:hAnsi="Arial Narrow" w:cs="Arial"/>
                <w:b/>
                <w:smallCaps/>
                <w:sz w:val="20"/>
                <w:szCs w:val="20"/>
                <w:lang w:eastAsia="en-AU"/>
              </w:rPr>
              <w:t>BUDESONIDE</w:t>
            </w:r>
          </w:p>
          <w:p w:rsidR="00993813" w:rsidRPr="00FE4251" w:rsidRDefault="00993813" w:rsidP="009F1944">
            <w:pPr>
              <w:keepNext/>
              <w:spacing w:before="0" w:after="0"/>
              <w:ind w:left="-108"/>
              <w:jc w:val="both"/>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 xml:space="preserve">Controlled </w:t>
            </w:r>
            <w:proofErr w:type="spellStart"/>
            <w:r w:rsidRPr="00FE4251">
              <w:rPr>
                <w:rFonts w:ascii="Arial Narrow" w:eastAsia="Times New Roman" w:hAnsi="Arial Narrow" w:cs="Arial"/>
                <w:sz w:val="20"/>
                <w:szCs w:val="20"/>
                <w:lang w:eastAsia="en-AU"/>
              </w:rPr>
              <w:t>ileal</w:t>
            </w:r>
            <w:proofErr w:type="spellEnd"/>
            <w:r w:rsidRPr="00FE4251">
              <w:rPr>
                <w:rFonts w:ascii="Arial Narrow" w:eastAsia="Times New Roman" w:hAnsi="Arial Narrow" w:cs="Arial"/>
                <w:sz w:val="20"/>
                <w:szCs w:val="20"/>
                <w:lang w:eastAsia="en-AU"/>
              </w:rPr>
              <w:t xml:space="preserve"> release capsules, 3 mg</w:t>
            </w:r>
          </w:p>
        </w:tc>
        <w:tc>
          <w:tcPr>
            <w:tcW w:w="850" w:type="dxa"/>
            <w:gridSpan w:val="2"/>
          </w:tcPr>
          <w:p w:rsidR="00993813" w:rsidRPr="00FE4251" w:rsidRDefault="00993813" w:rsidP="009F1944">
            <w:pPr>
              <w:keepNext/>
              <w:spacing w:before="0" w:after="0"/>
              <w:ind w:left="-108"/>
              <w:jc w:val="both"/>
              <w:rPr>
                <w:rFonts w:ascii="Arial Narrow" w:eastAsia="Times New Roman" w:hAnsi="Arial Narrow" w:cs="Arial"/>
                <w:sz w:val="20"/>
                <w:szCs w:val="20"/>
                <w:lang w:eastAsia="en-AU"/>
              </w:rPr>
            </w:pPr>
          </w:p>
          <w:p w:rsidR="00993813" w:rsidRPr="00FE4251" w:rsidRDefault="00993813" w:rsidP="009F1944">
            <w:pPr>
              <w:keepNext/>
              <w:spacing w:before="0" w:after="0"/>
              <w:ind w:left="-108"/>
              <w:jc w:val="both"/>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90</w:t>
            </w:r>
          </w:p>
        </w:tc>
        <w:tc>
          <w:tcPr>
            <w:tcW w:w="742" w:type="dxa"/>
          </w:tcPr>
          <w:p w:rsidR="00993813" w:rsidRPr="00FE4251" w:rsidRDefault="00993813" w:rsidP="009F1944">
            <w:pPr>
              <w:keepNext/>
              <w:spacing w:before="0" w:after="0"/>
              <w:ind w:left="-108"/>
              <w:jc w:val="both"/>
              <w:rPr>
                <w:rFonts w:ascii="Arial Narrow" w:eastAsia="Times New Roman" w:hAnsi="Arial Narrow" w:cs="Arial"/>
                <w:sz w:val="20"/>
                <w:szCs w:val="20"/>
                <w:lang w:eastAsia="en-AU"/>
              </w:rPr>
            </w:pPr>
          </w:p>
          <w:p w:rsidR="00993813" w:rsidRPr="00FE4251" w:rsidRDefault="00993813" w:rsidP="009F1944">
            <w:pPr>
              <w:keepNext/>
              <w:spacing w:before="0" w:after="0"/>
              <w:ind w:left="-108"/>
              <w:jc w:val="both"/>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2</w:t>
            </w:r>
          </w:p>
        </w:tc>
        <w:tc>
          <w:tcPr>
            <w:tcW w:w="1385" w:type="dxa"/>
          </w:tcPr>
          <w:p w:rsidR="00993813" w:rsidRPr="00FE4251" w:rsidRDefault="00993813" w:rsidP="009F1944">
            <w:pPr>
              <w:keepNext/>
              <w:spacing w:before="0" w:after="0"/>
              <w:ind w:left="-108"/>
              <w:rPr>
                <w:rFonts w:ascii="Arial Narrow" w:eastAsia="Times New Roman" w:hAnsi="Arial Narrow" w:cs="Arial"/>
                <w:sz w:val="20"/>
                <w:szCs w:val="20"/>
                <w:lang w:eastAsia="en-AU"/>
              </w:rPr>
            </w:pPr>
          </w:p>
          <w:p w:rsidR="00993813" w:rsidRPr="00FE4251" w:rsidRDefault="00993813" w:rsidP="009F1944">
            <w:pPr>
              <w:keepNext/>
              <w:spacing w:before="0" w:after="0"/>
              <w:ind w:left="-108"/>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w:t>
            </w:r>
            <w:r w:rsidR="00F01E3E">
              <w:rPr>
                <w:rFonts w:ascii="Arial Narrow" w:eastAsia="Times New Roman" w:hAnsi="Arial Narrow" w:cs="Arial"/>
                <w:noProof/>
                <w:color w:val="000000"/>
                <w:sz w:val="20"/>
                <w:szCs w:val="20"/>
                <w:highlight w:val="black"/>
                <w:lang w:eastAsia="en-AU"/>
              </w:rPr>
              <w:t>''''''''''''''''</w:t>
            </w:r>
          </w:p>
        </w:tc>
        <w:tc>
          <w:tcPr>
            <w:tcW w:w="1308" w:type="dxa"/>
          </w:tcPr>
          <w:p w:rsidR="00993813" w:rsidRPr="00FE4251" w:rsidRDefault="00993813" w:rsidP="009F1944">
            <w:pPr>
              <w:keepNext/>
              <w:spacing w:before="0" w:after="0"/>
              <w:rPr>
                <w:rFonts w:ascii="Arial Narrow" w:eastAsia="Times New Roman" w:hAnsi="Arial Narrow" w:cs="Arial"/>
                <w:b/>
                <w:sz w:val="20"/>
                <w:szCs w:val="20"/>
                <w:lang w:eastAsia="en-AU"/>
              </w:rPr>
            </w:pPr>
            <w:r w:rsidRPr="00FE4251">
              <w:rPr>
                <w:rFonts w:ascii="Arial Narrow" w:eastAsia="Times New Roman" w:hAnsi="Arial Narrow" w:cs="Arial"/>
                <w:b/>
                <w:sz w:val="20"/>
                <w:szCs w:val="20"/>
                <w:lang w:eastAsia="en-AU"/>
              </w:rPr>
              <w:t>ENTOCORT</w:t>
            </w:r>
            <w:r w:rsidRPr="00FE4251">
              <w:rPr>
                <w:rFonts w:ascii="Arial Narrow" w:eastAsia="Times New Roman" w:hAnsi="Arial Narrow" w:cs="Arial"/>
                <w:b/>
                <w:sz w:val="20"/>
                <w:szCs w:val="20"/>
                <w:vertAlign w:val="superscript"/>
                <w:lang w:eastAsia="en-AU"/>
              </w:rPr>
              <w:t>®</w:t>
            </w:r>
          </w:p>
        </w:tc>
        <w:tc>
          <w:tcPr>
            <w:tcW w:w="1578" w:type="dxa"/>
          </w:tcPr>
          <w:p w:rsidR="00993813" w:rsidRPr="00FE4251" w:rsidRDefault="00993813" w:rsidP="009F1944">
            <w:pPr>
              <w:keepNext/>
              <w:spacing w:before="0" w:after="0"/>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Emerge Health</w:t>
            </w:r>
          </w:p>
        </w:tc>
      </w:tr>
      <w:tr w:rsidR="00F4337D" w:rsidRPr="00FE4251" w:rsidTr="009F1944">
        <w:trPr>
          <w:cantSplit/>
          <w:trHeight w:val="371"/>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sz w:val="20"/>
                <w:szCs w:val="20"/>
                <w:lang w:eastAsia="en-AU"/>
              </w:rPr>
            </w:pPr>
            <w:r w:rsidRPr="00FE4251">
              <w:rPr>
                <w:rFonts w:ascii="Arial Narrow" w:eastAsia="Times New Roman" w:hAnsi="Arial Narrow" w:cs="Arial"/>
                <w:b/>
                <w:sz w:val="20"/>
                <w:szCs w:val="20"/>
                <w:lang w:eastAsia="en-AU"/>
              </w:rPr>
              <w:t>Category/Program</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Section 85 (general schedule)</w:t>
            </w:r>
          </w:p>
        </w:tc>
      </w:tr>
      <w:tr w:rsidR="00F4337D" w:rsidRPr="00FE4251" w:rsidTr="009F1944">
        <w:trPr>
          <w:cantSplit/>
          <w:trHeight w:val="371"/>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sz w:val="20"/>
                <w:szCs w:val="20"/>
                <w:lang w:eastAsia="en-AU"/>
              </w:rPr>
            </w:pPr>
            <w:r w:rsidRPr="00FE4251">
              <w:rPr>
                <w:rFonts w:ascii="Arial Narrow" w:eastAsia="Times New Roman" w:hAnsi="Arial Narrow" w:cs="Arial"/>
                <w:b/>
                <w:sz w:val="20"/>
                <w:szCs w:val="20"/>
                <w:lang w:eastAsia="en-AU"/>
              </w:rPr>
              <w:t>Prescriber type:</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AE7D22" w:rsidP="009F1944">
            <w:pPr>
              <w:spacing w:before="0" w:after="0"/>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FE4251">
              <w:rPr>
                <w:rFonts w:ascii="Arial Narrow" w:eastAsia="Times New Roman" w:hAnsi="Arial Narrow" w:cs="Arial"/>
                <w:sz w:val="20"/>
                <w:szCs w:val="20"/>
                <w:lang w:eastAsia="en-AU"/>
              </w:rPr>
              <w:instrText xml:space="preserve"> FORMCHECKBOX </w:instrText>
            </w:r>
            <w:r w:rsidR="00F01E3E">
              <w:rPr>
                <w:rFonts w:ascii="Arial Narrow" w:eastAsia="Times New Roman" w:hAnsi="Arial Narrow" w:cs="Arial"/>
                <w:sz w:val="20"/>
                <w:szCs w:val="20"/>
                <w:lang w:eastAsia="en-AU"/>
              </w:rPr>
            </w:r>
            <w:r w:rsidR="00F01E3E">
              <w:rPr>
                <w:rFonts w:ascii="Arial Narrow" w:eastAsia="Times New Roman" w:hAnsi="Arial Narrow" w:cs="Arial"/>
                <w:sz w:val="20"/>
                <w:szCs w:val="20"/>
                <w:lang w:eastAsia="en-AU"/>
              </w:rPr>
              <w:fldChar w:fldCharType="separate"/>
            </w:r>
            <w:r w:rsidRPr="00FE4251">
              <w:rPr>
                <w:rFonts w:ascii="Arial Narrow" w:eastAsia="Times New Roman" w:hAnsi="Arial Narrow" w:cs="Arial"/>
                <w:sz w:val="20"/>
                <w:szCs w:val="20"/>
                <w:lang w:eastAsia="en-AU"/>
              </w:rPr>
              <w:fldChar w:fldCharType="end"/>
            </w:r>
            <w:r w:rsidR="00F4337D" w:rsidRPr="00FE4251">
              <w:rPr>
                <w:rFonts w:ascii="Arial Narrow" w:eastAsia="Times New Roman" w:hAnsi="Arial Narrow" w:cs="Arial"/>
                <w:sz w:val="20"/>
                <w:szCs w:val="20"/>
                <w:lang w:eastAsia="en-AU"/>
              </w:rPr>
              <w:t xml:space="preserve">Dental  </w:t>
            </w:r>
            <w:r w:rsidR="00F4337D" w:rsidRPr="00FE4251">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00F4337D" w:rsidRPr="00FE4251">
              <w:rPr>
                <w:rFonts w:ascii="Arial Narrow" w:eastAsia="Times New Roman" w:hAnsi="Arial Narrow" w:cs="Arial"/>
                <w:sz w:val="20"/>
                <w:szCs w:val="20"/>
                <w:lang w:eastAsia="en-AU"/>
              </w:rPr>
              <w:instrText xml:space="preserve"> FORMCHECKBOX </w:instrText>
            </w:r>
            <w:r w:rsidR="00F01E3E">
              <w:rPr>
                <w:rFonts w:ascii="Arial Narrow" w:eastAsia="Times New Roman" w:hAnsi="Arial Narrow" w:cs="Arial"/>
                <w:sz w:val="20"/>
                <w:szCs w:val="20"/>
                <w:lang w:eastAsia="en-AU"/>
              </w:rPr>
            </w:r>
            <w:r w:rsidR="00F01E3E">
              <w:rPr>
                <w:rFonts w:ascii="Arial Narrow" w:eastAsia="Times New Roman" w:hAnsi="Arial Narrow" w:cs="Arial"/>
                <w:sz w:val="20"/>
                <w:szCs w:val="20"/>
                <w:lang w:eastAsia="en-AU"/>
              </w:rPr>
              <w:fldChar w:fldCharType="separate"/>
            </w:r>
            <w:r w:rsidR="00F4337D" w:rsidRPr="00FE4251">
              <w:rPr>
                <w:rFonts w:ascii="Arial Narrow" w:eastAsia="Times New Roman" w:hAnsi="Arial Narrow" w:cs="Arial"/>
                <w:sz w:val="20"/>
                <w:szCs w:val="20"/>
                <w:lang w:eastAsia="en-AU"/>
              </w:rPr>
              <w:fldChar w:fldCharType="end"/>
            </w:r>
            <w:r w:rsidR="00F4337D" w:rsidRPr="00FE4251">
              <w:rPr>
                <w:rFonts w:ascii="Arial Narrow" w:eastAsia="Times New Roman" w:hAnsi="Arial Narrow" w:cs="Arial"/>
                <w:sz w:val="20"/>
                <w:szCs w:val="20"/>
                <w:lang w:eastAsia="en-AU"/>
              </w:rPr>
              <w:t xml:space="preserve">Medical Practitioners  </w:t>
            </w:r>
            <w:r w:rsidR="00F4337D" w:rsidRPr="00FE4251">
              <w:rPr>
                <w:rFonts w:ascii="Arial Narrow" w:eastAsia="Times New Roman" w:hAnsi="Arial Narrow" w:cs="Arial"/>
                <w:i/>
                <w:sz w:val="20"/>
                <w:szCs w:val="20"/>
                <w:lang w:eastAsia="en-AU"/>
              </w:rPr>
              <w:fldChar w:fldCharType="begin">
                <w:ffData>
                  <w:name w:val="Check3"/>
                  <w:enabled/>
                  <w:calcOnExit w:val="0"/>
                  <w:checkBox>
                    <w:sizeAuto/>
                    <w:default w:val="1"/>
                  </w:checkBox>
                </w:ffData>
              </w:fldChar>
            </w:r>
            <w:bookmarkStart w:id="7" w:name="Check3"/>
            <w:r w:rsidR="00F4337D" w:rsidRPr="00FE4251">
              <w:rPr>
                <w:rFonts w:ascii="Arial Narrow" w:eastAsia="Times New Roman" w:hAnsi="Arial Narrow" w:cs="Arial"/>
                <w:i/>
                <w:sz w:val="20"/>
                <w:szCs w:val="20"/>
                <w:lang w:eastAsia="en-AU"/>
              </w:rPr>
              <w:instrText xml:space="preserve"> FORMCHECKBOX </w:instrText>
            </w:r>
            <w:r w:rsidR="00F01E3E">
              <w:rPr>
                <w:rFonts w:ascii="Arial Narrow" w:eastAsia="Times New Roman" w:hAnsi="Arial Narrow" w:cs="Arial"/>
                <w:i/>
                <w:sz w:val="20"/>
                <w:szCs w:val="20"/>
                <w:lang w:eastAsia="en-AU"/>
              </w:rPr>
            </w:r>
            <w:r w:rsidR="00F01E3E">
              <w:rPr>
                <w:rFonts w:ascii="Arial Narrow" w:eastAsia="Times New Roman" w:hAnsi="Arial Narrow" w:cs="Arial"/>
                <w:i/>
                <w:sz w:val="20"/>
                <w:szCs w:val="20"/>
                <w:lang w:eastAsia="en-AU"/>
              </w:rPr>
              <w:fldChar w:fldCharType="separate"/>
            </w:r>
            <w:r w:rsidR="00F4337D" w:rsidRPr="00FE4251">
              <w:rPr>
                <w:rFonts w:ascii="Arial Narrow" w:eastAsia="Times New Roman" w:hAnsi="Arial Narrow" w:cs="Arial"/>
                <w:i/>
                <w:sz w:val="20"/>
                <w:szCs w:val="20"/>
                <w:lang w:eastAsia="en-AU"/>
              </w:rPr>
              <w:fldChar w:fldCharType="end"/>
            </w:r>
            <w:bookmarkEnd w:id="7"/>
            <w:r w:rsidR="00F4337D" w:rsidRPr="00FE4251">
              <w:rPr>
                <w:rFonts w:ascii="Arial Narrow" w:eastAsia="Times New Roman" w:hAnsi="Arial Narrow" w:cs="Arial"/>
                <w:i/>
                <w:sz w:val="20"/>
                <w:szCs w:val="20"/>
                <w:lang w:eastAsia="en-AU"/>
              </w:rPr>
              <w:t>Nurse practitioners</w:t>
            </w:r>
            <w:r w:rsidR="00F4337D" w:rsidRPr="00FE4251">
              <w:rPr>
                <w:rFonts w:ascii="Arial Narrow" w:eastAsia="Times New Roman" w:hAnsi="Arial Narrow" w:cs="Arial"/>
                <w:sz w:val="20"/>
                <w:szCs w:val="20"/>
                <w:lang w:eastAsia="en-AU"/>
              </w:rPr>
              <w:t xml:space="preserve">  </w:t>
            </w:r>
            <w:r w:rsidR="00F4337D" w:rsidRPr="00FE4251">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00F4337D" w:rsidRPr="00FE4251">
              <w:rPr>
                <w:rFonts w:ascii="Arial Narrow" w:eastAsia="Times New Roman" w:hAnsi="Arial Narrow" w:cs="Arial"/>
                <w:sz w:val="20"/>
                <w:szCs w:val="20"/>
                <w:lang w:eastAsia="en-AU"/>
              </w:rPr>
              <w:instrText xml:space="preserve"> FORMCHECKBOX </w:instrText>
            </w:r>
            <w:r w:rsidR="00F01E3E">
              <w:rPr>
                <w:rFonts w:ascii="Arial Narrow" w:eastAsia="Times New Roman" w:hAnsi="Arial Narrow" w:cs="Arial"/>
                <w:sz w:val="20"/>
                <w:szCs w:val="20"/>
                <w:lang w:eastAsia="en-AU"/>
              </w:rPr>
            </w:r>
            <w:r w:rsidR="00F01E3E">
              <w:rPr>
                <w:rFonts w:ascii="Arial Narrow" w:eastAsia="Times New Roman" w:hAnsi="Arial Narrow" w:cs="Arial"/>
                <w:sz w:val="20"/>
                <w:szCs w:val="20"/>
                <w:lang w:eastAsia="en-AU"/>
              </w:rPr>
              <w:fldChar w:fldCharType="separate"/>
            </w:r>
            <w:r w:rsidR="00F4337D" w:rsidRPr="00FE4251">
              <w:rPr>
                <w:rFonts w:ascii="Arial Narrow" w:eastAsia="Times New Roman" w:hAnsi="Arial Narrow" w:cs="Arial"/>
                <w:sz w:val="20"/>
                <w:szCs w:val="20"/>
                <w:lang w:eastAsia="en-AU"/>
              </w:rPr>
              <w:fldChar w:fldCharType="end"/>
            </w:r>
            <w:r w:rsidR="00F4337D" w:rsidRPr="00FE4251">
              <w:rPr>
                <w:rFonts w:ascii="Arial Narrow" w:eastAsia="Times New Roman" w:hAnsi="Arial Narrow" w:cs="Arial"/>
                <w:sz w:val="20"/>
                <w:szCs w:val="20"/>
                <w:lang w:eastAsia="en-AU"/>
              </w:rPr>
              <w:t>Optometrists</w:t>
            </w:r>
          </w:p>
          <w:p w:rsidR="00F4337D" w:rsidRPr="00FE4251" w:rsidRDefault="00F4337D" w:rsidP="009F1944">
            <w:pPr>
              <w:spacing w:before="0" w:after="0"/>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fldChar w:fldCharType="begin">
                <w:ffData>
                  <w:name w:val="Check5"/>
                  <w:enabled/>
                  <w:calcOnExit w:val="0"/>
                  <w:checkBox>
                    <w:sizeAuto/>
                    <w:default w:val="0"/>
                  </w:checkBox>
                </w:ffData>
              </w:fldChar>
            </w:r>
            <w:r w:rsidRPr="00FE4251">
              <w:rPr>
                <w:rFonts w:ascii="Arial Narrow" w:eastAsia="Times New Roman" w:hAnsi="Arial Narrow" w:cs="Arial"/>
                <w:sz w:val="20"/>
                <w:szCs w:val="20"/>
                <w:lang w:eastAsia="en-AU"/>
              </w:rPr>
              <w:instrText xml:space="preserve"> FORMCHECKBOX </w:instrText>
            </w:r>
            <w:r w:rsidR="00F01E3E">
              <w:rPr>
                <w:rFonts w:ascii="Arial Narrow" w:eastAsia="Times New Roman" w:hAnsi="Arial Narrow" w:cs="Arial"/>
                <w:sz w:val="20"/>
                <w:szCs w:val="20"/>
                <w:lang w:eastAsia="en-AU"/>
              </w:rPr>
            </w:r>
            <w:r w:rsidR="00F01E3E">
              <w:rPr>
                <w:rFonts w:ascii="Arial Narrow" w:eastAsia="Times New Roman" w:hAnsi="Arial Narrow" w:cs="Arial"/>
                <w:sz w:val="20"/>
                <w:szCs w:val="20"/>
                <w:lang w:eastAsia="en-AU"/>
              </w:rPr>
              <w:fldChar w:fldCharType="separate"/>
            </w:r>
            <w:r w:rsidRPr="00FE4251">
              <w:rPr>
                <w:rFonts w:ascii="Arial Narrow" w:eastAsia="Times New Roman" w:hAnsi="Arial Narrow" w:cs="Arial"/>
                <w:sz w:val="20"/>
                <w:szCs w:val="20"/>
                <w:lang w:eastAsia="en-AU"/>
              </w:rPr>
              <w:fldChar w:fldCharType="end"/>
            </w:r>
            <w:r w:rsidRPr="00FE4251">
              <w:rPr>
                <w:rFonts w:ascii="Arial Narrow" w:eastAsia="Times New Roman" w:hAnsi="Arial Narrow" w:cs="Arial"/>
                <w:sz w:val="20"/>
                <w:szCs w:val="20"/>
                <w:lang w:eastAsia="en-AU"/>
              </w:rPr>
              <w:t>Midwives</w:t>
            </w:r>
          </w:p>
        </w:tc>
      </w:tr>
      <w:tr w:rsidR="00F4337D" w:rsidRPr="00FE4251" w:rsidTr="009F1944">
        <w:trPr>
          <w:cantSplit/>
          <w:trHeight w:val="371"/>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sz w:val="20"/>
                <w:szCs w:val="20"/>
                <w:lang w:eastAsia="en-AU"/>
              </w:rPr>
            </w:pPr>
            <w:proofErr w:type="spellStart"/>
            <w:r w:rsidRPr="00FE4251">
              <w:rPr>
                <w:rFonts w:ascii="Arial Narrow" w:eastAsia="Times New Roman" w:hAnsi="Arial Narrow" w:cs="Arial"/>
                <w:b/>
                <w:sz w:val="20"/>
                <w:szCs w:val="20"/>
                <w:lang w:eastAsia="en-AU"/>
              </w:rPr>
              <w:t>Episodicity</w:t>
            </w:r>
            <w:proofErr w:type="spellEnd"/>
            <w:r w:rsidRPr="00FE4251">
              <w:rPr>
                <w:rFonts w:ascii="Arial Narrow" w:eastAsia="Times New Roman" w:hAnsi="Arial Narrow" w:cs="Arial"/>
                <w:b/>
                <w:sz w:val="20"/>
                <w:szCs w:val="20"/>
                <w:lang w:eastAsia="en-AU"/>
              </w:rPr>
              <w:t>:</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N/A</w:t>
            </w:r>
          </w:p>
        </w:tc>
      </w:tr>
      <w:tr w:rsidR="00F4337D" w:rsidRPr="00FE4251" w:rsidTr="009F1944">
        <w:trPr>
          <w:cantSplit/>
          <w:trHeight w:val="371"/>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sz w:val="20"/>
                <w:szCs w:val="20"/>
                <w:lang w:eastAsia="en-AU"/>
              </w:rPr>
            </w:pPr>
            <w:r w:rsidRPr="00FE4251">
              <w:rPr>
                <w:rFonts w:ascii="Arial Narrow" w:eastAsia="Times New Roman" w:hAnsi="Arial Narrow" w:cs="Arial"/>
                <w:b/>
                <w:sz w:val="20"/>
                <w:szCs w:val="20"/>
                <w:lang w:eastAsia="en-AU"/>
              </w:rPr>
              <w:t>Severity:</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 xml:space="preserve">Mild to moderate </w:t>
            </w:r>
            <w:r w:rsidRPr="00FE4251">
              <w:rPr>
                <w:rFonts w:ascii="Arial Narrow" w:eastAsia="Times New Roman" w:hAnsi="Arial Narrow" w:cs="Arial"/>
                <w:strike/>
                <w:sz w:val="20"/>
                <w:szCs w:val="20"/>
                <w:lang w:eastAsia="en-AU"/>
              </w:rPr>
              <w:t>Crohn’s disease</w:t>
            </w:r>
          </w:p>
        </w:tc>
      </w:tr>
      <w:tr w:rsidR="00F4337D" w:rsidRPr="00FE4251" w:rsidTr="009F1944">
        <w:trPr>
          <w:cantSplit/>
          <w:trHeight w:val="371"/>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sz w:val="20"/>
                <w:szCs w:val="20"/>
                <w:lang w:eastAsia="en-AU"/>
              </w:rPr>
            </w:pPr>
            <w:r w:rsidRPr="00FE4251">
              <w:rPr>
                <w:rFonts w:ascii="Arial Narrow" w:eastAsia="Times New Roman" w:hAnsi="Arial Narrow" w:cs="Arial"/>
                <w:b/>
                <w:sz w:val="20"/>
                <w:szCs w:val="20"/>
                <w:lang w:eastAsia="en-AU"/>
              </w:rPr>
              <w:t>Condition:</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sz w:val="20"/>
                <w:szCs w:val="20"/>
                <w:lang w:eastAsia="en-AU"/>
              </w:rPr>
            </w:pPr>
            <w:r w:rsidRPr="00FE4251">
              <w:rPr>
                <w:rFonts w:ascii="Arial Narrow" w:eastAsia="Times New Roman" w:hAnsi="Arial Narrow" w:cs="Arial"/>
                <w:strike/>
                <w:sz w:val="20"/>
                <w:szCs w:val="20"/>
                <w:lang w:eastAsia="en-AU"/>
              </w:rPr>
              <w:t>Mild to moderate</w:t>
            </w:r>
            <w:r w:rsidRPr="00FE4251">
              <w:rPr>
                <w:rFonts w:ascii="Arial Narrow" w:eastAsia="Times New Roman" w:hAnsi="Arial Narrow" w:cs="Arial"/>
                <w:sz w:val="20"/>
                <w:szCs w:val="20"/>
                <w:lang w:eastAsia="en-AU"/>
              </w:rPr>
              <w:t xml:space="preserve"> Crohn disease</w:t>
            </w:r>
          </w:p>
        </w:tc>
      </w:tr>
      <w:tr w:rsidR="00F4337D" w:rsidRPr="00FE4251" w:rsidTr="009F1944">
        <w:trPr>
          <w:cantSplit/>
          <w:trHeight w:val="588"/>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sz w:val="20"/>
                <w:szCs w:val="20"/>
                <w:lang w:eastAsia="en-AU"/>
              </w:rPr>
            </w:pPr>
            <w:r w:rsidRPr="00FE4251">
              <w:rPr>
                <w:rFonts w:ascii="Arial Narrow" w:eastAsia="Times New Roman" w:hAnsi="Arial Narrow" w:cs="Arial"/>
                <w:b/>
                <w:sz w:val="20"/>
                <w:szCs w:val="20"/>
                <w:lang w:eastAsia="en-AU"/>
              </w:rPr>
              <w:t>PBS Indication:</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Mild to moderate</w:t>
            </w:r>
            <w:r w:rsidRPr="00FE4251">
              <w:rPr>
                <w:rFonts w:ascii="Arial Narrow" w:eastAsia="Times New Roman" w:hAnsi="Arial Narrow" w:cs="Arial"/>
                <w:i/>
                <w:sz w:val="20"/>
                <w:szCs w:val="20"/>
                <w:lang w:eastAsia="en-AU"/>
              </w:rPr>
              <w:t xml:space="preserve"> </w:t>
            </w:r>
            <w:r w:rsidRPr="00FE4251">
              <w:rPr>
                <w:rFonts w:ascii="Arial Narrow" w:eastAsia="Times New Roman" w:hAnsi="Arial Narrow" w:cs="Arial"/>
                <w:sz w:val="20"/>
                <w:szCs w:val="20"/>
                <w:lang w:eastAsia="en-AU"/>
              </w:rPr>
              <w:t>Crohn</w:t>
            </w:r>
            <w:r w:rsidRPr="00FE4251">
              <w:rPr>
                <w:rFonts w:ascii="Arial Narrow" w:eastAsia="Times New Roman" w:hAnsi="Arial Narrow" w:cs="Arial"/>
                <w:strike/>
                <w:sz w:val="20"/>
                <w:szCs w:val="20"/>
                <w:lang w:eastAsia="en-AU"/>
              </w:rPr>
              <w:t>’s</w:t>
            </w:r>
            <w:r w:rsidRPr="00FE4251">
              <w:rPr>
                <w:rFonts w:ascii="Arial Narrow" w:eastAsia="Times New Roman" w:hAnsi="Arial Narrow" w:cs="Arial"/>
                <w:sz w:val="20"/>
                <w:szCs w:val="20"/>
                <w:lang w:eastAsia="en-AU"/>
              </w:rPr>
              <w:t xml:space="preserve"> disease </w:t>
            </w:r>
            <w:r w:rsidRPr="00FE4251">
              <w:rPr>
                <w:rFonts w:ascii="Arial Narrow" w:eastAsia="Times New Roman" w:hAnsi="Arial Narrow" w:cs="Arial"/>
                <w:strike/>
                <w:sz w:val="20"/>
                <w:szCs w:val="20"/>
                <w:lang w:eastAsia="en-AU"/>
              </w:rPr>
              <w:t>affecting the ileum and/or the ascending colon</w:t>
            </w:r>
          </w:p>
        </w:tc>
      </w:tr>
      <w:tr w:rsidR="00F4337D" w:rsidRPr="00FE4251" w:rsidTr="009F1944">
        <w:trPr>
          <w:cantSplit/>
          <w:trHeight w:val="371"/>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strike/>
                <w:sz w:val="20"/>
                <w:szCs w:val="20"/>
                <w:lang w:eastAsia="en-AU"/>
              </w:rPr>
            </w:pPr>
            <w:r w:rsidRPr="00FE4251">
              <w:rPr>
                <w:rFonts w:ascii="Arial Narrow" w:eastAsia="Times New Roman" w:hAnsi="Arial Narrow" w:cs="Arial"/>
                <w:b/>
                <w:strike/>
                <w:sz w:val="20"/>
                <w:szCs w:val="20"/>
                <w:lang w:eastAsia="en-AU"/>
              </w:rPr>
              <w:t>Treatment phase:</w:t>
            </w:r>
          </w:p>
          <w:p w:rsidR="00F4337D" w:rsidRPr="00FE4251" w:rsidRDefault="00F4337D" w:rsidP="009F1944">
            <w:pPr>
              <w:spacing w:before="0" w:after="0"/>
              <w:rPr>
                <w:rFonts w:ascii="Arial Narrow" w:eastAsia="Times New Roman" w:hAnsi="Arial Narrow" w:cs="Arial"/>
                <w:i/>
                <w:sz w:val="20"/>
                <w:szCs w:val="20"/>
                <w:lang w:eastAsia="en-AU"/>
              </w:rPr>
            </w:pPr>
            <w:proofErr w:type="spellStart"/>
            <w:r w:rsidRPr="00FE4251">
              <w:rPr>
                <w:rFonts w:ascii="Arial Narrow" w:eastAsia="Times New Roman" w:hAnsi="Arial Narrow" w:cs="Arial"/>
                <w:i/>
                <w:strike/>
                <w:sz w:val="20"/>
                <w:szCs w:val="20"/>
                <w:lang w:eastAsia="en-AU"/>
              </w:rPr>
              <w:t>e.g</w:t>
            </w:r>
            <w:proofErr w:type="spellEnd"/>
            <w:r w:rsidRPr="00FE4251">
              <w:rPr>
                <w:rFonts w:ascii="Arial Narrow" w:eastAsia="Times New Roman" w:hAnsi="Arial Narrow" w:cs="Arial"/>
                <w:i/>
                <w:strike/>
                <w:sz w:val="20"/>
                <w:szCs w:val="20"/>
                <w:lang w:eastAsia="en-AU"/>
              </w:rPr>
              <w:t xml:space="preserve"> .initial/ continuing</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strike/>
                <w:sz w:val="20"/>
                <w:szCs w:val="20"/>
                <w:lang w:eastAsia="en-AU"/>
              </w:rPr>
            </w:pPr>
            <w:r w:rsidRPr="00FE4251">
              <w:rPr>
                <w:rFonts w:ascii="Arial Narrow" w:eastAsia="Times New Roman" w:hAnsi="Arial Narrow" w:cs="Arial"/>
                <w:strike/>
                <w:sz w:val="20"/>
                <w:szCs w:val="20"/>
                <w:lang w:eastAsia="en-AU"/>
              </w:rPr>
              <w:t>Initial treatment for active Crohn’s disease</w:t>
            </w:r>
          </w:p>
        </w:tc>
      </w:tr>
      <w:tr w:rsidR="00F4337D" w:rsidRPr="00FE4251" w:rsidTr="009F1944">
        <w:trPr>
          <w:cantSplit/>
          <w:trHeight w:val="371"/>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sz w:val="20"/>
                <w:szCs w:val="20"/>
                <w:lang w:eastAsia="en-AU"/>
              </w:rPr>
            </w:pPr>
            <w:r w:rsidRPr="00FE4251">
              <w:rPr>
                <w:rFonts w:ascii="Arial Narrow" w:eastAsia="Times New Roman" w:hAnsi="Arial Narrow" w:cs="Arial"/>
                <w:b/>
                <w:sz w:val="20"/>
                <w:szCs w:val="20"/>
                <w:lang w:eastAsia="en-AU"/>
              </w:rPr>
              <w:lastRenderedPageBreak/>
              <w:t>Restriction:</w:t>
            </w:r>
          </w:p>
          <w:p w:rsidR="00F4337D" w:rsidRPr="00FE4251" w:rsidRDefault="00F4337D" w:rsidP="009F1944">
            <w:pPr>
              <w:spacing w:before="0" w:after="0"/>
              <w:rPr>
                <w:rFonts w:ascii="Arial Narrow" w:eastAsia="Times New Roman" w:hAnsi="Arial Narrow" w:cs="Arial"/>
                <w:i/>
                <w:sz w:val="20"/>
                <w:szCs w:val="20"/>
                <w:lang w:eastAsia="en-AU"/>
              </w:rPr>
            </w:pPr>
            <w:r w:rsidRPr="00FE4251">
              <w:rPr>
                <w:rFonts w:ascii="Arial Narrow" w:eastAsia="Times New Roman" w:hAnsi="Arial Narrow" w:cs="Arial"/>
                <w:i/>
                <w:sz w:val="20"/>
                <w:szCs w:val="20"/>
                <w:lang w:eastAsia="en-AU"/>
              </w:rPr>
              <w:t>Section 85</w:t>
            </w:r>
          </w:p>
          <w:p w:rsidR="00F4337D" w:rsidRPr="00FE4251" w:rsidRDefault="00F4337D" w:rsidP="009F1944">
            <w:pPr>
              <w:spacing w:before="0" w:after="0"/>
              <w:rPr>
                <w:rFonts w:ascii="Arial Narrow" w:eastAsia="Times New Roman" w:hAnsi="Arial Narrow" w:cs="Arial"/>
                <w:sz w:val="20"/>
                <w:szCs w:val="20"/>
                <w:lang w:eastAsia="en-AU"/>
              </w:rPr>
            </w:pP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F25DC9" w:rsidP="009F1944">
            <w:pPr>
              <w:spacing w:before="0" w:after="0"/>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FE4251">
              <w:rPr>
                <w:rFonts w:ascii="Arial Narrow" w:eastAsia="Times New Roman" w:hAnsi="Arial Narrow" w:cs="Arial"/>
                <w:sz w:val="20"/>
                <w:szCs w:val="20"/>
                <w:lang w:eastAsia="en-AU"/>
              </w:rPr>
              <w:instrText xml:space="preserve"> FORMCHECKBOX </w:instrText>
            </w:r>
            <w:r w:rsidR="00F01E3E">
              <w:rPr>
                <w:rFonts w:ascii="Arial Narrow" w:eastAsia="Times New Roman" w:hAnsi="Arial Narrow" w:cs="Arial"/>
                <w:sz w:val="20"/>
                <w:szCs w:val="20"/>
                <w:lang w:eastAsia="en-AU"/>
              </w:rPr>
            </w:r>
            <w:r w:rsidR="00F01E3E">
              <w:rPr>
                <w:rFonts w:ascii="Arial Narrow" w:eastAsia="Times New Roman" w:hAnsi="Arial Narrow" w:cs="Arial"/>
                <w:sz w:val="20"/>
                <w:szCs w:val="20"/>
                <w:lang w:eastAsia="en-AU"/>
              </w:rPr>
              <w:fldChar w:fldCharType="separate"/>
            </w:r>
            <w:r w:rsidRPr="00FE4251">
              <w:rPr>
                <w:rFonts w:ascii="Arial Narrow" w:eastAsia="Times New Roman" w:hAnsi="Arial Narrow" w:cs="Arial"/>
                <w:sz w:val="20"/>
                <w:szCs w:val="20"/>
                <w:lang w:eastAsia="en-AU"/>
              </w:rPr>
              <w:fldChar w:fldCharType="end"/>
            </w:r>
            <w:r w:rsidR="00F4337D" w:rsidRPr="00FE4251">
              <w:rPr>
                <w:rFonts w:ascii="Arial Narrow" w:eastAsia="Times New Roman" w:hAnsi="Arial Narrow" w:cs="Arial"/>
                <w:sz w:val="20"/>
                <w:szCs w:val="20"/>
                <w:lang w:eastAsia="en-AU"/>
              </w:rPr>
              <w:t>Restricted benefit</w:t>
            </w:r>
          </w:p>
          <w:p w:rsidR="00F4337D" w:rsidRPr="00FE4251" w:rsidRDefault="00F4337D" w:rsidP="009F1944">
            <w:pPr>
              <w:spacing w:before="0" w:after="0"/>
              <w:rPr>
                <w:rFonts w:ascii="Arial Narrow" w:eastAsia="Times New Roman" w:hAnsi="Arial Narrow" w:cs="Arial"/>
                <w:sz w:val="20"/>
                <w:szCs w:val="20"/>
                <w:lang w:eastAsia="en-AU"/>
              </w:rPr>
            </w:pPr>
            <w:r w:rsidRPr="00FE4251">
              <w:rPr>
                <w:rFonts w:ascii="Arial" w:eastAsia="Times New Roman" w:hAnsi="Arial" w:cs="Arial"/>
                <w:sz w:val="20"/>
                <w:szCs w:val="20"/>
                <w:lang w:eastAsia="en-AU"/>
              </w:rPr>
              <w:fldChar w:fldCharType="begin">
                <w:ffData>
                  <w:name w:val=""/>
                  <w:enabled/>
                  <w:calcOnExit w:val="0"/>
                  <w:checkBox>
                    <w:sizeAuto/>
                    <w:default w:val="0"/>
                  </w:checkBox>
                </w:ffData>
              </w:fldChar>
            </w:r>
            <w:r w:rsidRPr="00FE4251">
              <w:rPr>
                <w:rFonts w:ascii="Arial Narrow" w:eastAsia="Times New Roman" w:hAnsi="Arial Narrow" w:cs="Arial"/>
                <w:sz w:val="20"/>
                <w:szCs w:val="20"/>
                <w:lang w:eastAsia="en-AU"/>
              </w:rPr>
              <w:instrText xml:space="preserve"> FORMCHECKBOX </w:instrText>
            </w:r>
            <w:r w:rsidR="00F01E3E">
              <w:rPr>
                <w:rFonts w:ascii="Arial" w:eastAsia="Times New Roman" w:hAnsi="Arial" w:cs="Arial"/>
                <w:sz w:val="20"/>
                <w:szCs w:val="20"/>
                <w:lang w:eastAsia="en-AU"/>
              </w:rPr>
            </w:r>
            <w:r w:rsidR="00F01E3E">
              <w:rPr>
                <w:rFonts w:ascii="Arial" w:eastAsia="Times New Roman" w:hAnsi="Arial" w:cs="Arial"/>
                <w:sz w:val="20"/>
                <w:szCs w:val="20"/>
                <w:lang w:eastAsia="en-AU"/>
              </w:rPr>
              <w:fldChar w:fldCharType="separate"/>
            </w:r>
            <w:r w:rsidRPr="00FE4251">
              <w:rPr>
                <w:rFonts w:ascii="Arial" w:eastAsia="Times New Roman" w:hAnsi="Arial" w:cs="Arial"/>
                <w:sz w:val="20"/>
                <w:szCs w:val="20"/>
                <w:lang w:eastAsia="en-AU"/>
              </w:rPr>
              <w:fldChar w:fldCharType="end"/>
            </w:r>
            <w:r w:rsidRPr="00FE4251">
              <w:rPr>
                <w:rFonts w:ascii="Arial Narrow" w:eastAsia="Times New Roman" w:hAnsi="Arial Narrow" w:cs="Arial"/>
                <w:sz w:val="20"/>
                <w:szCs w:val="20"/>
                <w:lang w:eastAsia="en-AU"/>
              </w:rPr>
              <w:t>Authority Required - In Writing</w:t>
            </w:r>
          </w:p>
          <w:p w:rsidR="00F4337D" w:rsidRPr="00FE4251" w:rsidRDefault="00F4337D" w:rsidP="009F1944">
            <w:pPr>
              <w:spacing w:before="0" w:after="0"/>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fldChar w:fldCharType="begin">
                <w:ffData>
                  <w:name w:val="Check3"/>
                  <w:enabled/>
                  <w:calcOnExit w:val="0"/>
                  <w:checkBox>
                    <w:sizeAuto/>
                    <w:default w:val="0"/>
                  </w:checkBox>
                </w:ffData>
              </w:fldChar>
            </w:r>
            <w:r w:rsidRPr="00FE4251">
              <w:rPr>
                <w:rFonts w:ascii="Arial Narrow" w:eastAsia="Times New Roman" w:hAnsi="Arial Narrow" w:cs="Arial"/>
                <w:sz w:val="20"/>
                <w:szCs w:val="20"/>
                <w:lang w:eastAsia="en-AU"/>
              </w:rPr>
              <w:instrText xml:space="preserve"> FORMCHECKBOX </w:instrText>
            </w:r>
            <w:r w:rsidR="00F01E3E">
              <w:rPr>
                <w:rFonts w:ascii="Arial Narrow" w:eastAsia="Times New Roman" w:hAnsi="Arial Narrow" w:cs="Arial"/>
                <w:sz w:val="20"/>
                <w:szCs w:val="20"/>
                <w:lang w:eastAsia="en-AU"/>
              </w:rPr>
            </w:r>
            <w:r w:rsidR="00F01E3E">
              <w:rPr>
                <w:rFonts w:ascii="Arial Narrow" w:eastAsia="Times New Roman" w:hAnsi="Arial Narrow" w:cs="Arial"/>
                <w:sz w:val="20"/>
                <w:szCs w:val="20"/>
                <w:lang w:eastAsia="en-AU"/>
              </w:rPr>
              <w:fldChar w:fldCharType="separate"/>
            </w:r>
            <w:r w:rsidRPr="00FE4251">
              <w:rPr>
                <w:rFonts w:ascii="Arial Narrow" w:eastAsia="Times New Roman" w:hAnsi="Arial Narrow" w:cs="Arial"/>
                <w:sz w:val="20"/>
                <w:szCs w:val="20"/>
                <w:lang w:eastAsia="en-AU"/>
              </w:rPr>
              <w:fldChar w:fldCharType="end"/>
            </w:r>
            <w:r w:rsidRPr="00FE4251">
              <w:rPr>
                <w:rFonts w:ascii="Arial Narrow" w:eastAsia="Times New Roman" w:hAnsi="Arial Narrow" w:cs="Arial"/>
                <w:sz w:val="20"/>
                <w:szCs w:val="20"/>
                <w:lang w:eastAsia="en-AU"/>
              </w:rPr>
              <w:t>Authority Required - Telephone</w:t>
            </w:r>
          </w:p>
          <w:p w:rsidR="00F4337D" w:rsidRPr="00FE4251" w:rsidRDefault="00F4337D" w:rsidP="009F1944">
            <w:pPr>
              <w:spacing w:before="0" w:after="0"/>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FE4251">
              <w:rPr>
                <w:rFonts w:ascii="Arial Narrow" w:eastAsia="Times New Roman" w:hAnsi="Arial Narrow" w:cs="Arial"/>
                <w:sz w:val="20"/>
                <w:szCs w:val="20"/>
                <w:lang w:eastAsia="en-AU"/>
              </w:rPr>
              <w:instrText xml:space="preserve"> FORMCHECKBOX </w:instrText>
            </w:r>
            <w:r w:rsidR="00F01E3E">
              <w:rPr>
                <w:rFonts w:ascii="Arial Narrow" w:eastAsia="Times New Roman" w:hAnsi="Arial Narrow" w:cs="Arial"/>
                <w:sz w:val="20"/>
                <w:szCs w:val="20"/>
                <w:lang w:eastAsia="en-AU"/>
              </w:rPr>
            </w:r>
            <w:r w:rsidR="00F01E3E">
              <w:rPr>
                <w:rFonts w:ascii="Arial Narrow" w:eastAsia="Times New Roman" w:hAnsi="Arial Narrow" w:cs="Arial"/>
                <w:sz w:val="20"/>
                <w:szCs w:val="20"/>
                <w:lang w:eastAsia="en-AU"/>
              </w:rPr>
              <w:fldChar w:fldCharType="separate"/>
            </w:r>
            <w:r w:rsidRPr="00FE4251">
              <w:rPr>
                <w:rFonts w:ascii="Arial Narrow" w:eastAsia="Times New Roman" w:hAnsi="Arial Narrow" w:cs="Arial"/>
                <w:sz w:val="20"/>
                <w:szCs w:val="20"/>
                <w:lang w:eastAsia="en-AU"/>
              </w:rPr>
              <w:fldChar w:fldCharType="end"/>
            </w:r>
            <w:r w:rsidRPr="00FE4251">
              <w:rPr>
                <w:rFonts w:ascii="Arial Narrow" w:eastAsia="Times New Roman" w:hAnsi="Arial Narrow" w:cs="Arial"/>
                <w:sz w:val="20"/>
                <w:szCs w:val="20"/>
                <w:lang w:eastAsia="en-AU"/>
              </w:rPr>
              <w:t>Authority Required – Emergency</w:t>
            </w:r>
          </w:p>
          <w:p w:rsidR="00F4337D" w:rsidRPr="00FE4251" w:rsidRDefault="00F4337D" w:rsidP="009F1944">
            <w:pPr>
              <w:spacing w:before="0" w:after="0"/>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fldChar w:fldCharType="begin">
                <w:ffData>
                  <w:name w:val="Check5"/>
                  <w:enabled/>
                  <w:calcOnExit w:val="0"/>
                  <w:checkBox>
                    <w:sizeAuto/>
                    <w:default w:val="0"/>
                  </w:checkBox>
                </w:ffData>
              </w:fldChar>
            </w:r>
            <w:r w:rsidRPr="00FE4251">
              <w:rPr>
                <w:rFonts w:ascii="Arial Narrow" w:eastAsia="Times New Roman" w:hAnsi="Arial Narrow" w:cs="Arial"/>
                <w:sz w:val="20"/>
                <w:szCs w:val="20"/>
                <w:lang w:eastAsia="en-AU"/>
              </w:rPr>
              <w:instrText xml:space="preserve"> FORMCHECKBOX </w:instrText>
            </w:r>
            <w:r w:rsidR="00F01E3E">
              <w:rPr>
                <w:rFonts w:ascii="Arial Narrow" w:eastAsia="Times New Roman" w:hAnsi="Arial Narrow" w:cs="Arial"/>
                <w:sz w:val="20"/>
                <w:szCs w:val="20"/>
                <w:lang w:eastAsia="en-AU"/>
              </w:rPr>
            </w:r>
            <w:r w:rsidR="00F01E3E">
              <w:rPr>
                <w:rFonts w:ascii="Arial Narrow" w:eastAsia="Times New Roman" w:hAnsi="Arial Narrow" w:cs="Arial"/>
                <w:sz w:val="20"/>
                <w:szCs w:val="20"/>
                <w:lang w:eastAsia="en-AU"/>
              </w:rPr>
              <w:fldChar w:fldCharType="separate"/>
            </w:r>
            <w:r w:rsidRPr="00FE4251">
              <w:rPr>
                <w:rFonts w:ascii="Arial Narrow" w:eastAsia="Times New Roman" w:hAnsi="Arial Narrow" w:cs="Arial"/>
                <w:sz w:val="20"/>
                <w:szCs w:val="20"/>
                <w:lang w:eastAsia="en-AU"/>
              </w:rPr>
              <w:fldChar w:fldCharType="end"/>
            </w:r>
            <w:r w:rsidRPr="00FE4251">
              <w:rPr>
                <w:rFonts w:ascii="Arial Narrow" w:eastAsia="Times New Roman" w:hAnsi="Arial Narrow" w:cs="Arial"/>
                <w:sz w:val="20"/>
                <w:szCs w:val="20"/>
                <w:lang w:eastAsia="en-AU"/>
              </w:rPr>
              <w:t>Authority Required - Electronic</w:t>
            </w:r>
          </w:p>
          <w:p w:rsidR="00F4337D" w:rsidRPr="00FE4251" w:rsidRDefault="00F4337D" w:rsidP="009F1944">
            <w:pPr>
              <w:spacing w:before="0" w:after="0"/>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fldChar w:fldCharType="begin">
                <w:ffData>
                  <w:name w:val="Check5"/>
                  <w:enabled/>
                  <w:calcOnExit w:val="0"/>
                  <w:checkBox>
                    <w:sizeAuto/>
                    <w:default w:val="1"/>
                  </w:checkBox>
                </w:ffData>
              </w:fldChar>
            </w:r>
            <w:bookmarkStart w:id="8" w:name="Check5"/>
            <w:r w:rsidRPr="00FE4251">
              <w:rPr>
                <w:rFonts w:ascii="Arial Narrow" w:eastAsia="Times New Roman" w:hAnsi="Arial Narrow" w:cs="Arial"/>
                <w:sz w:val="20"/>
                <w:szCs w:val="20"/>
                <w:lang w:eastAsia="en-AU"/>
              </w:rPr>
              <w:instrText xml:space="preserve"> FORMCHECKBOX </w:instrText>
            </w:r>
            <w:r w:rsidR="00F01E3E">
              <w:rPr>
                <w:rFonts w:ascii="Arial Narrow" w:eastAsia="Times New Roman" w:hAnsi="Arial Narrow" w:cs="Arial"/>
                <w:sz w:val="20"/>
                <w:szCs w:val="20"/>
                <w:lang w:eastAsia="en-AU"/>
              </w:rPr>
            </w:r>
            <w:r w:rsidR="00F01E3E">
              <w:rPr>
                <w:rFonts w:ascii="Arial Narrow" w:eastAsia="Times New Roman" w:hAnsi="Arial Narrow" w:cs="Arial"/>
                <w:sz w:val="20"/>
                <w:szCs w:val="20"/>
                <w:lang w:eastAsia="en-AU"/>
              </w:rPr>
              <w:fldChar w:fldCharType="separate"/>
            </w:r>
            <w:r w:rsidRPr="00FE4251">
              <w:rPr>
                <w:rFonts w:ascii="Arial Narrow" w:eastAsia="Times New Roman" w:hAnsi="Arial Narrow" w:cs="Arial"/>
                <w:sz w:val="20"/>
                <w:szCs w:val="20"/>
                <w:lang w:eastAsia="en-AU"/>
              </w:rPr>
              <w:fldChar w:fldCharType="end"/>
            </w:r>
            <w:bookmarkEnd w:id="8"/>
            <w:r w:rsidRPr="00FE4251">
              <w:rPr>
                <w:rFonts w:ascii="Arial Narrow" w:eastAsia="Times New Roman" w:hAnsi="Arial Narrow" w:cs="Arial"/>
                <w:sz w:val="20"/>
                <w:szCs w:val="20"/>
                <w:lang w:eastAsia="en-AU"/>
              </w:rPr>
              <w:t>Streamlined</w:t>
            </w:r>
          </w:p>
        </w:tc>
      </w:tr>
      <w:tr w:rsidR="00F4337D" w:rsidRPr="00FE4251" w:rsidTr="009F1944">
        <w:trPr>
          <w:cantSplit/>
          <w:trHeight w:val="371"/>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sz w:val="20"/>
                <w:szCs w:val="20"/>
                <w:lang w:eastAsia="en-AU"/>
              </w:rPr>
            </w:pPr>
            <w:r w:rsidRPr="00FE4251">
              <w:rPr>
                <w:rFonts w:ascii="Arial Narrow" w:eastAsia="Times New Roman" w:hAnsi="Arial Narrow" w:cs="Arial"/>
                <w:b/>
                <w:sz w:val="20"/>
                <w:szCs w:val="20"/>
                <w:lang w:eastAsia="en-AU"/>
              </w:rPr>
              <w:t>Treatment criteria:</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 xml:space="preserve">Must be treated by a gastroenterologist </w:t>
            </w:r>
          </w:p>
        </w:tc>
      </w:tr>
      <w:tr w:rsidR="00F4337D" w:rsidRPr="00FE4251" w:rsidTr="009F1944">
        <w:trPr>
          <w:cantSplit/>
          <w:trHeight w:val="371"/>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sz w:val="20"/>
                <w:szCs w:val="20"/>
                <w:lang w:eastAsia="en-AU"/>
              </w:rPr>
            </w:pPr>
            <w:r w:rsidRPr="00FE4251">
              <w:rPr>
                <w:rFonts w:ascii="Arial Narrow" w:eastAsia="Times New Roman" w:hAnsi="Arial Narrow" w:cs="Arial"/>
                <w:b/>
                <w:sz w:val="20"/>
                <w:szCs w:val="20"/>
                <w:lang w:eastAsia="en-AU"/>
              </w:rPr>
              <w:t>Clinical criteria:</w:t>
            </w:r>
          </w:p>
          <w:p w:rsidR="00F4337D" w:rsidRPr="00FE4251" w:rsidRDefault="00F4337D" w:rsidP="009F1944">
            <w:pPr>
              <w:spacing w:before="0" w:after="0"/>
              <w:rPr>
                <w:rFonts w:ascii="Arial Narrow" w:eastAsia="Times New Roman" w:hAnsi="Arial Narrow" w:cs="Arial"/>
                <w:i/>
                <w:sz w:val="20"/>
                <w:szCs w:val="20"/>
                <w:lang w:eastAsia="en-AU"/>
              </w:rPr>
            </w:pPr>
          </w:p>
          <w:p w:rsidR="00F4337D" w:rsidRPr="00FE4251" w:rsidRDefault="00F4337D" w:rsidP="009F1944">
            <w:pPr>
              <w:spacing w:before="0" w:after="0"/>
              <w:rPr>
                <w:rFonts w:ascii="Arial Narrow" w:eastAsia="Times New Roman" w:hAnsi="Arial Narrow" w:cs="Arial"/>
                <w:sz w:val="20"/>
                <w:szCs w:val="20"/>
                <w:lang w:eastAsia="en-AU"/>
              </w:rPr>
            </w:pP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numPr>
                <w:ilvl w:val="0"/>
                <w:numId w:val="37"/>
              </w:numPr>
              <w:spacing w:before="0" w:after="0"/>
              <w:ind w:left="361" w:hanging="361"/>
              <w:contextualSpacing/>
              <w:rPr>
                <w:rFonts w:ascii="Arial Narrow" w:eastAsia="Times New Roman" w:hAnsi="Arial Narrow" w:cs="Arial"/>
                <w:sz w:val="20"/>
                <w:szCs w:val="20"/>
                <w:lang w:eastAsia="en-AU"/>
              </w:rPr>
            </w:pPr>
            <w:r w:rsidRPr="00FE4251">
              <w:rPr>
                <w:rFonts w:ascii="Arial Narrow" w:eastAsia="Times New Roman" w:hAnsi="Arial Narrow" w:cs="Arial"/>
                <w:i/>
                <w:sz w:val="20"/>
                <w:szCs w:val="20"/>
                <w:lang w:eastAsia="en-AU"/>
              </w:rPr>
              <w:t>The condition must affect the ileum</w:t>
            </w:r>
          </w:p>
          <w:p w:rsidR="00F4337D" w:rsidRPr="00FE4251" w:rsidRDefault="00F4337D" w:rsidP="009F1944">
            <w:pPr>
              <w:spacing w:before="0" w:after="0"/>
              <w:rPr>
                <w:rFonts w:ascii="Arial Narrow" w:eastAsia="Times New Roman" w:hAnsi="Arial Narrow" w:cs="Arial"/>
                <w:sz w:val="20"/>
                <w:szCs w:val="20"/>
                <w:lang w:eastAsia="en-AU"/>
              </w:rPr>
            </w:pPr>
            <w:r w:rsidRPr="00FE4251">
              <w:rPr>
                <w:rFonts w:ascii="Arial Narrow" w:eastAsia="Times New Roman" w:hAnsi="Arial Narrow" w:cs="Arial"/>
                <w:i/>
                <w:sz w:val="20"/>
                <w:szCs w:val="20"/>
                <w:lang w:eastAsia="en-AU"/>
              </w:rPr>
              <w:t>OR</w:t>
            </w:r>
          </w:p>
          <w:p w:rsidR="00F4337D" w:rsidRPr="00FE4251" w:rsidRDefault="00F4337D" w:rsidP="009F1944">
            <w:pPr>
              <w:numPr>
                <w:ilvl w:val="0"/>
                <w:numId w:val="37"/>
              </w:numPr>
              <w:spacing w:before="0" w:after="0"/>
              <w:ind w:left="361" w:hanging="361"/>
              <w:contextualSpacing/>
              <w:rPr>
                <w:rFonts w:ascii="Arial Narrow" w:eastAsia="Times New Roman" w:hAnsi="Arial Narrow" w:cs="Arial"/>
                <w:sz w:val="20"/>
                <w:szCs w:val="20"/>
                <w:lang w:eastAsia="en-AU"/>
              </w:rPr>
            </w:pPr>
            <w:r w:rsidRPr="00FE4251">
              <w:rPr>
                <w:rFonts w:ascii="Arial Narrow" w:eastAsia="Times New Roman" w:hAnsi="Arial Narrow" w:cs="Arial"/>
                <w:i/>
                <w:sz w:val="20"/>
                <w:szCs w:val="20"/>
                <w:lang w:eastAsia="en-AU"/>
              </w:rPr>
              <w:t>The condition must affect the ascending colon</w:t>
            </w:r>
          </w:p>
          <w:p w:rsidR="00F4337D" w:rsidRPr="00FE4251" w:rsidRDefault="00F4337D" w:rsidP="009F1944">
            <w:pPr>
              <w:spacing w:before="0" w:after="0"/>
              <w:rPr>
                <w:rFonts w:ascii="Arial Narrow" w:eastAsia="Times New Roman" w:hAnsi="Arial Narrow" w:cs="Arial"/>
                <w:sz w:val="20"/>
                <w:szCs w:val="20"/>
                <w:lang w:eastAsia="en-AU"/>
              </w:rPr>
            </w:pPr>
            <w:r w:rsidRPr="00FE4251">
              <w:rPr>
                <w:rFonts w:ascii="Arial Narrow" w:eastAsia="Times New Roman" w:hAnsi="Arial Narrow" w:cs="Arial"/>
                <w:i/>
                <w:sz w:val="20"/>
                <w:szCs w:val="20"/>
                <w:lang w:eastAsia="en-AU"/>
              </w:rPr>
              <w:t>OR</w:t>
            </w:r>
          </w:p>
          <w:p w:rsidR="00F4337D" w:rsidRPr="00FE4251" w:rsidRDefault="00F4337D" w:rsidP="009F1944">
            <w:pPr>
              <w:numPr>
                <w:ilvl w:val="0"/>
                <w:numId w:val="37"/>
              </w:numPr>
              <w:spacing w:before="0" w:after="0"/>
              <w:ind w:left="361" w:hanging="361"/>
              <w:contextualSpacing/>
              <w:rPr>
                <w:rFonts w:ascii="Arial Narrow" w:eastAsia="Times New Roman" w:hAnsi="Arial Narrow" w:cs="Arial"/>
                <w:sz w:val="20"/>
                <w:szCs w:val="20"/>
                <w:lang w:eastAsia="en-AU"/>
              </w:rPr>
            </w:pPr>
            <w:r w:rsidRPr="00FE4251">
              <w:rPr>
                <w:rFonts w:ascii="Arial Narrow" w:eastAsia="Times New Roman" w:hAnsi="Arial Narrow" w:cs="Arial"/>
                <w:i/>
                <w:sz w:val="20"/>
                <w:szCs w:val="20"/>
                <w:lang w:eastAsia="en-AU"/>
              </w:rPr>
              <w:t>The condition must affect the ileum and ascending colon</w:t>
            </w:r>
          </w:p>
          <w:p w:rsidR="00F4337D" w:rsidRPr="00FE4251" w:rsidRDefault="00F4337D" w:rsidP="009F1944">
            <w:pPr>
              <w:numPr>
                <w:ilvl w:val="0"/>
                <w:numId w:val="37"/>
              </w:numPr>
              <w:spacing w:before="0" w:after="0"/>
              <w:ind w:left="361" w:hanging="361"/>
              <w:contextualSpacing/>
              <w:rPr>
                <w:rFonts w:ascii="Arial Narrow" w:eastAsia="Times New Roman" w:hAnsi="Arial Narrow" w:cs="Arial"/>
                <w:strike/>
                <w:sz w:val="20"/>
                <w:szCs w:val="20"/>
                <w:lang w:eastAsia="en-AU"/>
              </w:rPr>
            </w:pPr>
            <w:r w:rsidRPr="00FE4251">
              <w:rPr>
                <w:rFonts w:ascii="Arial Narrow" w:eastAsia="Times New Roman" w:hAnsi="Arial Narrow" w:cs="Arial"/>
                <w:strike/>
                <w:sz w:val="20"/>
                <w:szCs w:val="20"/>
                <w:lang w:eastAsia="en-AU"/>
              </w:rPr>
              <w:t>Patient must have mild to moderate active Crohn’s disease affecting the ileum and/or the ascending colon</w:t>
            </w:r>
          </w:p>
          <w:p w:rsidR="00F4337D" w:rsidRPr="00FE4251" w:rsidRDefault="00F4337D" w:rsidP="009F1944">
            <w:pPr>
              <w:spacing w:before="0" w:after="0"/>
              <w:ind w:left="361" w:hanging="361"/>
              <w:rPr>
                <w:rFonts w:ascii="Arial Narrow" w:eastAsia="Times New Roman" w:hAnsi="Arial Narrow" w:cs="Arial"/>
                <w:b/>
                <w:sz w:val="20"/>
                <w:szCs w:val="20"/>
                <w:lang w:eastAsia="en-AU"/>
              </w:rPr>
            </w:pPr>
            <w:r w:rsidRPr="00FE4251">
              <w:rPr>
                <w:rFonts w:ascii="Arial Narrow" w:eastAsia="Times New Roman" w:hAnsi="Arial Narrow" w:cs="Arial"/>
                <w:b/>
                <w:sz w:val="20"/>
                <w:szCs w:val="20"/>
                <w:lang w:eastAsia="en-AU"/>
              </w:rPr>
              <w:t>AND</w:t>
            </w:r>
          </w:p>
          <w:p w:rsidR="00F4337D" w:rsidRPr="00FE4251" w:rsidRDefault="00F4337D" w:rsidP="009F1944">
            <w:pPr>
              <w:numPr>
                <w:ilvl w:val="0"/>
                <w:numId w:val="36"/>
              </w:numPr>
              <w:spacing w:before="0" w:after="0"/>
              <w:ind w:left="361" w:hanging="361"/>
              <w:contextualSpacing/>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Patient must have had a documented hypersensitivity reaction to a sulphonamide</w:t>
            </w:r>
          </w:p>
          <w:p w:rsidR="00F4337D" w:rsidRPr="00FE4251" w:rsidRDefault="00F4337D" w:rsidP="009F1944">
            <w:pPr>
              <w:spacing w:before="0" w:after="0"/>
              <w:ind w:left="361" w:hanging="361"/>
              <w:contextualSpacing/>
              <w:rPr>
                <w:rFonts w:ascii="Arial Narrow" w:eastAsia="Times New Roman" w:hAnsi="Arial Narrow" w:cs="Arial"/>
                <w:b/>
                <w:sz w:val="20"/>
                <w:szCs w:val="20"/>
                <w:lang w:eastAsia="en-AU"/>
              </w:rPr>
            </w:pPr>
            <w:r w:rsidRPr="00FE4251">
              <w:rPr>
                <w:rFonts w:ascii="Arial Narrow" w:eastAsia="Times New Roman" w:hAnsi="Arial Narrow" w:cs="Arial"/>
                <w:b/>
                <w:sz w:val="20"/>
                <w:szCs w:val="20"/>
                <w:lang w:eastAsia="en-AU"/>
              </w:rPr>
              <w:t>OR</w:t>
            </w:r>
          </w:p>
          <w:p w:rsidR="00F4337D" w:rsidRPr="00FE4251" w:rsidRDefault="00F4337D" w:rsidP="009F1944">
            <w:pPr>
              <w:numPr>
                <w:ilvl w:val="0"/>
                <w:numId w:val="36"/>
              </w:numPr>
              <w:spacing w:before="0" w:after="0"/>
              <w:ind w:left="361" w:hanging="361"/>
              <w:contextualSpacing/>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Patient must be intolerant to sulfasalazine</w:t>
            </w:r>
          </w:p>
        </w:tc>
      </w:tr>
      <w:tr w:rsidR="00F4337D" w:rsidRPr="00FE4251" w:rsidTr="009F1944">
        <w:trPr>
          <w:cantSplit/>
          <w:trHeight w:val="1205"/>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sz w:val="20"/>
                <w:szCs w:val="20"/>
                <w:lang w:eastAsia="en-AU"/>
              </w:rPr>
            </w:pPr>
            <w:r w:rsidRPr="00FE4251">
              <w:rPr>
                <w:rFonts w:ascii="Arial Narrow" w:eastAsia="Times New Roman" w:hAnsi="Arial Narrow" w:cs="Arial"/>
                <w:b/>
                <w:sz w:val="20"/>
                <w:szCs w:val="20"/>
                <w:lang w:eastAsia="en-AU"/>
              </w:rPr>
              <w:t>Population criteria:</w:t>
            </w:r>
          </w:p>
          <w:p w:rsidR="00F4337D" w:rsidRPr="00FE4251" w:rsidRDefault="00F4337D" w:rsidP="009F1944">
            <w:pPr>
              <w:spacing w:before="0" w:after="0"/>
              <w:rPr>
                <w:rFonts w:ascii="Arial Narrow" w:eastAsia="Times New Roman" w:hAnsi="Arial Narrow" w:cs="Arial"/>
                <w:i/>
                <w:sz w:val="20"/>
                <w:szCs w:val="20"/>
                <w:lang w:eastAsia="en-AU"/>
              </w:rPr>
            </w:pPr>
          </w:p>
          <w:p w:rsidR="00F4337D" w:rsidRPr="00FE4251" w:rsidRDefault="00F4337D" w:rsidP="009F1944">
            <w:pPr>
              <w:spacing w:before="0" w:after="0"/>
              <w:rPr>
                <w:rFonts w:ascii="Arial Narrow" w:eastAsia="Times New Roman" w:hAnsi="Arial Narrow" w:cs="Arial"/>
                <w:sz w:val="20"/>
                <w:szCs w:val="20"/>
                <w:lang w:eastAsia="en-AU"/>
              </w:rPr>
            </w:pP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numPr>
                <w:ilvl w:val="0"/>
                <w:numId w:val="36"/>
              </w:numPr>
              <w:spacing w:before="0" w:after="0"/>
              <w:ind w:left="361" w:hanging="270"/>
              <w:contextualSpacing/>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Patient must not have systemic or local bacterial, fungal or viral infections</w:t>
            </w:r>
          </w:p>
          <w:p w:rsidR="00F4337D" w:rsidRPr="00FE4251" w:rsidRDefault="00F4337D" w:rsidP="009F1944">
            <w:pPr>
              <w:spacing w:before="0" w:after="0"/>
              <w:ind w:left="361" w:hanging="270"/>
              <w:rPr>
                <w:rFonts w:ascii="Arial Narrow" w:eastAsia="Times New Roman" w:hAnsi="Arial Narrow" w:cs="Arial"/>
                <w:b/>
                <w:sz w:val="20"/>
                <w:szCs w:val="20"/>
                <w:lang w:eastAsia="en-AU"/>
              </w:rPr>
            </w:pPr>
            <w:r w:rsidRPr="00FE4251">
              <w:rPr>
                <w:rFonts w:ascii="Arial Narrow" w:eastAsia="Times New Roman" w:hAnsi="Arial Narrow" w:cs="Arial"/>
                <w:b/>
                <w:sz w:val="20"/>
                <w:szCs w:val="20"/>
                <w:lang w:eastAsia="en-AU"/>
              </w:rPr>
              <w:t>AND</w:t>
            </w:r>
          </w:p>
          <w:p w:rsidR="00F4337D" w:rsidRPr="00FE4251" w:rsidRDefault="00F4337D" w:rsidP="009F1944">
            <w:pPr>
              <w:numPr>
                <w:ilvl w:val="0"/>
                <w:numId w:val="36"/>
              </w:numPr>
              <w:spacing w:before="0" w:after="0"/>
              <w:ind w:left="361" w:hanging="270"/>
              <w:contextualSpacing/>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 xml:space="preserve">Patients must not have hypersensitivity to any of the ingredients  </w:t>
            </w:r>
          </w:p>
        </w:tc>
      </w:tr>
      <w:tr w:rsidR="00F4337D" w:rsidRPr="00FE4251" w:rsidTr="009F1944">
        <w:trPr>
          <w:cantSplit/>
          <w:trHeight w:val="440"/>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strike/>
                <w:sz w:val="20"/>
                <w:szCs w:val="20"/>
                <w:lang w:eastAsia="en-AU"/>
              </w:rPr>
            </w:pPr>
            <w:r w:rsidRPr="00FE4251">
              <w:rPr>
                <w:rFonts w:ascii="Arial Narrow" w:eastAsia="Times New Roman" w:hAnsi="Arial Narrow" w:cs="Arial"/>
                <w:b/>
                <w:strike/>
                <w:sz w:val="20"/>
                <w:szCs w:val="20"/>
                <w:lang w:eastAsia="en-AU"/>
              </w:rPr>
              <w:t>Foreword</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ind w:left="361" w:hanging="270"/>
              <w:rPr>
                <w:rFonts w:ascii="Arial Narrow" w:eastAsia="Times New Roman" w:hAnsi="Arial Narrow" w:cs="Arial"/>
                <w:strike/>
                <w:sz w:val="20"/>
                <w:szCs w:val="20"/>
                <w:lang w:eastAsia="en-AU"/>
              </w:rPr>
            </w:pPr>
            <w:r w:rsidRPr="00FE4251">
              <w:rPr>
                <w:rFonts w:ascii="Arial Narrow" w:eastAsia="Times New Roman" w:hAnsi="Arial Narrow" w:cs="Arial"/>
                <w:strike/>
                <w:sz w:val="20"/>
                <w:szCs w:val="20"/>
                <w:lang w:eastAsia="en-AU"/>
              </w:rPr>
              <w:t>N/A</w:t>
            </w:r>
          </w:p>
        </w:tc>
      </w:tr>
      <w:tr w:rsidR="00F4337D" w:rsidRPr="00FE4251" w:rsidTr="009F1944">
        <w:trPr>
          <w:cantSplit/>
          <w:trHeight w:val="440"/>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strike/>
                <w:sz w:val="20"/>
                <w:szCs w:val="20"/>
                <w:lang w:eastAsia="en-AU"/>
              </w:rPr>
            </w:pPr>
            <w:r w:rsidRPr="00FE4251">
              <w:rPr>
                <w:rFonts w:ascii="Arial Narrow" w:eastAsia="Times New Roman" w:hAnsi="Arial Narrow" w:cs="Arial"/>
                <w:b/>
                <w:strike/>
                <w:sz w:val="20"/>
                <w:szCs w:val="20"/>
                <w:lang w:eastAsia="en-AU"/>
              </w:rPr>
              <w:t>Definitions</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ind w:left="361" w:hanging="270"/>
              <w:rPr>
                <w:rFonts w:ascii="Arial Narrow" w:eastAsia="Times New Roman" w:hAnsi="Arial Narrow" w:cs="Arial"/>
                <w:strike/>
                <w:sz w:val="20"/>
                <w:szCs w:val="20"/>
                <w:lang w:eastAsia="en-AU"/>
              </w:rPr>
            </w:pPr>
            <w:r w:rsidRPr="00FE4251">
              <w:rPr>
                <w:rFonts w:ascii="Arial Narrow" w:eastAsia="Times New Roman" w:hAnsi="Arial Narrow" w:cs="Arial"/>
                <w:strike/>
                <w:sz w:val="20"/>
                <w:szCs w:val="20"/>
                <w:lang w:eastAsia="en-AU"/>
              </w:rPr>
              <w:t>N/A</w:t>
            </w:r>
          </w:p>
        </w:tc>
      </w:tr>
      <w:tr w:rsidR="00F4337D" w:rsidRPr="00FE4251" w:rsidTr="009F1944">
        <w:trPr>
          <w:cantSplit/>
          <w:trHeight w:val="1682"/>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sz w:val="20"/>
                <w:szCs w:val="20"/>
                <w:lang w:eastAsia="en-AU"/>
              </w:rPr>
            </w:pPr>
            <w:r w:rsidRPr="00FE4251">
              <w:rPr>
                <w:rFonts w:ascii="Arial Narrow" w:eastAsia="Times New Roman" w:hAnsi="Arial Narrow" w:cs="Arial"/>
                <w:b/>
                <w:sz w:val="20"/>
                <w:szCs w:val="20"/>
                <w:lang w:eastAsia="en-AU"/>
              </w:rPr>
              <w:t>Prescriber Instructions</w:t>
            </w:r>
          </w:p>
          <w:p w:rsidR="00F4337D" w:rsidRPr="00FE4251" w:rsidRDefault="00F4337D" w:rsidP="009F1944">
            <w:pPr>
              <w:spacing w:before="0" w:after="0"/>
              <w:rPr>
                <w:rFonts w:ascii="Arial Narrow" w:eastAsia="Times New Roman" w:hAnsi="Arial Narrow" w:cs="Arial"/>
                <w:sz w:val="20"/>
                <w:szCs w:val="20"/>
                <w:lang w:eastAsia="en-AU"/>
              </w:rPr>
            </w:pP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numPr>
                <w:ilvl w:val="0"/>
                <w:numId w:val="36"/>
              </w:numPr>
              <w:spacing w:before="0" w:after="0"/>
              <w:ind w:left="361" w:hanging="270"/>
              <w:contextualSpacing/>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 xml:space="preserve">When treatment with </w:t>
            </w:r>
            <w:proofErr w:type="spellStart"/>
            <w:r w:rsidRPr="00FE4251">
              <w:rPr>
                <w:rFonts w:ascii="Arial Narrow" w:eastAsia="Times New Roman" w:hAnsi="Arial Narrow" w:cs="Arial"/>
                <w:strike/>
                <w:sz w:val="20"/>
                <w:szCs w:val="20"/>
                <w:lang w:eastAsia="en-AU"/>
              </w:rPr>
              <w:t>Entocort</w:t>
            </w:r>
            <w:proofErr w:type="spellEnd"/>
            <w:r w:rsidRPr="00FE4251">
              <w:rPr>
                <w:rFonts w:ascii="Arial Narrow" w:eastAsia="Times New Roman" w:hAnsi="Arial Narrow" w:cs="Arial"/>
                <w:strike/>
                <w:sz w:val="20"/>
                <w:szCs w:val="20"/>
                <w:vertAlign w:val="superscript"/>
                <w:lang w:eastAsia="en-AU"/>
              </w:rPr>
              <w:t>®</w:t>
            </w:r>
            <w:r w:rsidRPr="00FE4251">
              <w:rPr>
                <w:rFonts w:ascii="Arial Narrow" w:eastAsia="Times New Roman" w:hAnsi="Arial Narrow" w:cs="Arial"/>
                <w:strike/>
                <w:sz w:val="20"/>
                <w:szCs w:val="20"/>
                <w:lang w:eastAsia="en-AU"/>
              </w:rPr>
              <w:t xml:space="preserve"> capsules</w:t>
            </w:r>
            <w:r w:rsidRPr="00FE4251">
              <w:rPr>
                <w:rFonts w:ascii="Arial Narrow" w:eastAsia="Times New Roman" w:hAnsi="Arial Narrow" w:cs="Arial"/>
                <w:sz w:val="20"/>
                <w:szCs w:val="20"/>
                <w:lang w:eastAsia="en-AU"/>
              </w:rPr>
              <w:t xml:space="preserve"> </w:t>
            </w:r>
            <w:r w:rsidRPr="00FE4251">
              <w:rPr>
                <w:rFonts w:ascii="Arial Narrow" w:eastAsia="Times New Roman" w:hAnsi="Arial Narrow" w:cs="Arial"/>
                <w:i/>
                <w:sz w:val="20"/>
                <w:szCs w:val="20"/>
                <w:lang w:eastAsia="en-AU"/>
              </w:rPr>
              <w:t>this drug</w:t>
            </w:r>
            <w:r w:rsidRPr="00FE4251">
              <w:rPr>
                <w:rFonts w:ascii="Arial Narrow" w:eastAsia="Times New Roman" w:hAnsi="Arial Narrow" w:cs="Arial"/>
                <w:sz w:val="20"/>
                <w:szCs w:val="20"/>
                <w:lang w:eastAsia="en-AU"/>
              </w:rPr>
              <w:t xml:space="preserve"> is to be discontinued, the dose should be tapered from 9 mg </w:t>
            </w:r>
            <w:r w:rsidRPr="00FE4251">
              <w:rPr>
                <w:rFonts w:ascii="Arial Narrow" w:eastAsia="Times New Roman" w:hAnsi="Arial Narrow" w:cs="Arial"/>
                <w:i/>
                <w:sz w:val="20"/>
                <w:szCs w:val="20"/>
                <w:lang w:eastAsia="en-AU"/>
              </w:rPr>
              <w:t>daily</w:t>
            </w:r>
            <w:r w:rsidRPr="00FE4251">
              <w:rPr>
                <w:rFonts w:ascii="Arial Narrow" w:eastAsia="Times New Roman" w:hAnsi="Arial Narrow" w:cs="Arial"/>
                <w:sz w:val="20"/>
                <w:szCs w:val="20"/>
                <w:lang w:eastAsia="en-AU"/>
              </w:rPr>
              <w:t xml:space="preserve"> to 0 mg daily over the last 2 to 4 weeks of therapy and not stopped abruptly</w:t>
            </w:r>
          </w:p>
          <w:p w:rsidR="00F4337D" w:rsidRPr="00FE4251" w:rsidRDefault="00F4337D" w:rsidP="009F1944">
            <w:pPr>
              <w:numPr>
                <w:ilvl w:val="0"/>
                <w:numId w:val="36"/>
              </w:numPr>
              <w:spacing w:before="0" w:after="0"/>
              <w:ind w:left="361" w:hanging="270"/>
              <w:contextualSpacing/>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 xml:space="preserve">The total duration of therapy should be no more than 12 weeks in any single course </w:t>
            </w:r>
          </w:p>
        </w:tc>
      </w:tr>
      <w:tr w:rsidR="00F4337D" w:rsidRPr="00FE4251" w:rsidTr="009F1944">
        <w:trPr>
          <w:cantSplit/>
          <w:trHeight w:val="371"/>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sz w:val="20"/>
                <w:szCs w:val="20"/>
                <w:lang w:eastAsia="en-AU"/>
              </w:rPr>
            </w:pPr>
            <w:r w:rsidRPr="00FE4251">
              <w:rPr>
                <w:rFonts w:ascii="Arial Narrow" w:eastAsia="Times New Roman" w:hAnsi="Arial Narrow" w:cs="Arial"/>
                <w:b/>
                <w:sz w:val="20"/>
                <w:szCs w:val="20"/>
                <w:lang w:eastAsia="en-AU"/>
              </w:rPr>
              <w:t>Administrative Advice</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sz w:val="20"/>
                <w:szCs w:val="20"/>
                <w:lang w:eastAsia="en-AU"/>
              </w:rPr>
            </w:pPr>
            <w:r w:rsidRPr="00FE4251">
              <w:rPr>
                <w:rFonts w:ascii="Arial Narrow" w:eastAsia="Times New Roman" w:hAnsi="Arial Narrow" w:cs="Arial"/>
                <w:sz w:val="20"/>
                <w:szCs w:val="20"/>
                <w:lang w:eastAsia="en-AU"/>
              </w:rPr>
              <w:t>None</w:t>
            </w:r>
          </w:p>
        </w:tc>
      </w:tr>
      <w:tr w:rsidR="00F4337D" w:rsidRPr="00FE4251" w:rsidTr="009F1944">
        <w:trPr>
          <w:cantSplit/>
          <w:trHeight w:val="371"/>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strike/>
                <w:sz w:val="20"/>
                <w:szCs w:val="20"/>
                <w:lang w:eastAsia="en-AU"/>
              </w:rPr>
            </w:pPr>
            <w:r w:rsidRPr="00FE4251">
              <w:rPr>
                <w:rFonts w:ascii="Arial Narrow" w:eastAsia="Times New Roman" w:hAnsi="Arial Narrow" w:cs="Arial"/>
                <w:b/>
                <w:strike/>
                <w:sz w:val="20"/>
                <w:szCs w:val="20"/>
                <w:lang w:eastAsia="en-AU"/>
              </w:rPr>
              <w:t>Cautions</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strike/>
                <w:sz w:val="20"/>
                <w:szCs w:val="20"/>
                <w:lang w:eastAsia="en-AU"/>
              </w:rPr>
            </w:pPr>
            <w:r w:rsidRPr="00FE4251">
              <w:rPr>
                <w:rFonts w:ascii="Arial Narrow" w:eastAsia="Times New Roman" w:hAnsi="Arial Narrow" w:cs="Arial"/>
                <w:strike/>
                <w:sz w:val="20"/>
                <w:szCs w:val="20"/>
                <w:lang w:eastAsia="en-AU"/>
              </w:rPr>
              <w:t>N/A</w:t>
            </w:r>
          </w:p>
        </w:tc>
      </w:tr>
      <w:tr w:rsidR="00F4337D" w:rsidRPr="00FE4251" w:rsidTr="009F1944">
        <w:trPr>
          <w:cantSplit/>
          <w:trHeight w:val="371"/>
        </w:trPr>
        <w:tc>
          <w:tcPr>
            <w:tcW w:w="3287" w:type="dxa"/>
            <w:gridSpan w:val="2"/>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b/>
                <w:i/>
                <w:sz w:val="20"/>
                <w:szCs w:val="20"/>
                <w:lang w:eastAsia="en-AU"/>
              </w:rPr>
            </w:pPr>
            <w:r w:rsidRPr="00FE4251">
              <w:rPr>
                <w:rFonts w:ascii="Arial Narrow" w:eastAsia="Times New Roman" w:hAnsi="Arial Narrow" w:cs="Arial"/>
                <w:b/>
                <w:i/>
                <w:sz w:val="20"/>
                <w:szCs w:val="20"/>
                <w:lang w:eastAsia="en-AU"/>
              </w:rPr>
              <w:t>Note</w:t>
            </w:r>
          </w:p>
        </w:tc>
        <w:tc>
          <w:tcPr>
            <w:tcW w:w="5803" w:type="dxa"/>
            <w:gridSpan w:val="5"/>
            <w:tcBorders>
              <w:top w:val="single" w:sz="4" w:space="0" w:color="auto"/>
              <w:left w:val="single" w:sz="4" w:space="0" w:color="auto"/>
              <w:bottom w:val="single" w:sz="4" w:space="0" w:color="auto"/>
              <w:right w:val="single" w:sz="4" w:space="0" w:color="auto"/>
            </w:tcBorders>
            <w:vAlign w:val="center"/>
          </w:tcPr>
          <w:p w:rsidR="00F4337D" w:rsidRPr="00FE4251" w:rsidRDefault="00F4337D" w:rsidP="009F1944">
            <w:pPr>
              <w:spacing w:before="0" w:after="0"/>
              <w:rPr>
                <w:rFonts w:ascii="Arial Narrow" w:eastAsia="Times New Roman" w:hAnsi="Arial Narrow" w:cs="Arial"/>
                <w:i/>
                <w:sz w:val="20"/>
                <w:szCs w:val="20"/>
                <w:lang w:eastAsia="en-AU"/>
              </w:rPr>
            </w:pPr>
            <w:r w:rsidRPr="00FE4251">
              <w:rPr>
                <w:rFonts w:ascii="Arial Narrow" w:eastAsia="Times New Roman" w:hAnsi="Arial Narrow" w:cs="Arial"/>
                <w:i/>
                <w:sz w:val="20"/>
                <w:szCs w:val="20"/>
                <w:lang w:eastAsia="en-AU"/>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F4337D" w:rsidRPr="00FE4251" w:rsidRDefault="00F4337D" w:rsidP="00C759E3"/>
    <w:p w:rsidR="001103C2" w:rsidRPr="00FE4251" w:rsidRDefault="004C7B75" w:rsidP="001D7BAE">
      <w:pPr>
        <w:pStyle w:val="ListParagraph"/>
        <w:numPr>
          <w:ilvl w:val="1"/>
          <w:numId w:val="1"/>
        </w:numPr>
        <w:spacing w:before="0" w:after="120"/>
        <w:ind w:left="567" w:hanging="578"/>
        <w:jc w:val="both"/>
        <w:rPr>
          <w:rFonts w:eastAsiaTheme="majorEastAsia" w:cstheme="majorBidi"/>
          <w:sz w:val="32"/>
          <w:szCs w:val="28"/>
        </w:rPr>
      </w:pPr>
      <w:r w:rsidRPr="00FE4251">
        <w:t>Budesonide</w:t>
      </w:r>
      <w:r w:rsidR="001103C2" w:rsidRPr="00FE4251">
        <w:t xml:space="preserve"> is a modified release formulation of budesonide and contains acid-stable </w:t>
      </w:r>
      <w:r w:rsidR="002A68D4" w:rsidRPr="00FE4251">
        <w:br/>
      </w:r>
      <w:r w:rsidR="001103C2" w:rsidRPr="00FE4251">
        <w:t xml:space="preserve">1 mm </w:t>
      </w:r>
      <w:proofErr w:type="spellStart"/>
      <w:r w:rsidR="001103C2" w:rsidRPr="00FE4251">
        <w:t>microgranules</w:t>
      </w:r>
      <w:proofErr w:type="spellEnd"/>
      <w:r w:rsidR="001103C2" w:rsidRPr="00FE4251">
        <w:t xml:space="preserve"> composed of an inner sugar core surrounded by a layer of budesonide in </w:t>
      </w:r>
      <w:proofErr w:type="spellStart"/>
      <w:r w:rsidR="001103C2" w:rsidRPr="00FE4251">
        <w:t>ethylcellulose</w:t>
      </w:r>
      <w:proofErr w:type="spellEnd"/>
      <w:r w:rsidR="001103C2" w:rsidRPr="00FE4251">
        <w:t xml:space="preserve"> (budesonide ECM</w:t>
      </w:r>
      <w:r w:rsidR="001103C2" w:rsidRPr="00FE4251">
        <w:rPr>
          <w:vertAlign w:val="superscript"/>
        </w:rPr>
        <w:t>™</w:t>
      </w:r>
      <w:r w:rsidR="001103C2" w:rsidRPr="00FE4251">
        <w:t xml:space="preserve"> layer) and an outer coating that dissolves at pH ≥ 5.5.  The recommended dos</w:t>
      </w:r>
      <w:r w:rsidR="00C21E75" w:rsidRPr="00FE4251">
        <w:t>e</w:t>
      </w:r>
      <w:r w:rsidR="001103C2" w:rsidRPr="00FE4251">
        <w:t xml:space="preserve"> of </w:t>
      </w:r>
      <w:r w:rsidRPr="00FE4251">
        <w:t>budesonide</w:t>
      </w:r>
      <w:r w:rsidR="001103C2" w:rsidRPr="00FE4251">
        <w:t xml:space="preserve"> is 9</w:t>
      </w:r>
      <w:r w:rsidR="002A68D4" w:rsidRPr="00FE4251">
        <w:t xml:space="preserve"> </w:t>
      </w:r>
      <w:r w:rsidR="001103C2" w:rsidRPr="00FE4251">
        <w:t>mg once daily.  When treatment with budesonide is to be discontinued, the approved product information (PI) recommends dose tapering over the last 2 to 4 weeks of therapy, with the total duration of therapy not exceeding 12 weeks in any single course.</w:t>
      </w:r>
    </w:p>
    <w:p w:rsidR="001103C2" w:rsidRPr="00FE4251" w:rsidRDefault="001103C2" w:rsidP="001D7BAE">
      <w:pPr>
        <w:pStyle w:val="ListParagraph"/>
        <w:numPr>
          <w:ilvl w:val="1"/>
          <w:numId w:val="1"/>
        </w:numPr>
        <w:spacing w:before="0" w:after="120"/>
        <w:ind w:left="567" w:hanging="578"/>
        <w:jc w:val="both"/>
        <w:rPr>
          <w:rFonts w:eastAsiaTheme="majorEastAsia" w:cstheme="majorBidi"/>
          <w:sz w:val="32"/>
          <w:szCs w:val="28"/>
        </w:rPr>
      </w:pPr>
      <w:r w:rsidRPr="00FE4251">
        <w:lastRenderedPageBreak/>
        <w:t xml:space="preserve">In Australia, the cost of </w:t>
      </w:r>
      <w:r w:rsidR="004C7B75" w:rsidRPr="00FE4251">
        <w:t>budesonide</w:t>
      </w:r>
      <w:r w:rsidRPr="00FE4251">
        <w:t xml:space="preserve"> (</w:t>
      </w:r>
      <w:proofErr w:type="spellStart"/>
      <w:r w:rsidRPr="00FE4251">
        <w:t>Entocort</w:t>
      </w:r>
      <w:proofErr w:type="spellEnd"/>
      <w:r w:rsidRPr="00FE4251">
        <w:t>®) on the private market is $202.69 per 90 capsules</w:t>
      </w:r>
      <w:r w:rsidRPr="00FE4251">
        <w:rPr>
          <w:rStyle w:val="FootnoteReference"/>
        </w:rPr>
        <w:footnoteReference w:id="1"/>
      </w:r>
      <w:r w:rsidR="006B2741" w:rsidRPr="00FE4251">
        <w:t>.</w:t>
      </w:r>
      <w:r w:rsidRPr="00FE4251">
        <w:t xml:space="preserve"> </w:t>
      </w:r>
      <w:r w:rsidR="00F44CF2" w:rsidRPr="00FE4251">
        <w:t>The PBAC noted that t</w:t>
      </w:r>
      <w:r w:rsidRPr="00FE4251">
        <w:t>his is significantly lower than the price requested.</w:t>
      </w:r>
      <w:r w:rsidR="00127430" w:rsidRPr="00FE4251">
        <w:t xml:space="preserve"> </w:t>
      </w:r>
      <w:r w:rsidR="001F44E1" w:rsidRPr="00FE4251">
        <w:t xml:space="preserve">The ESC noted that consumers report a large degree of variation in the private market price of budesonide with many paying more than $202.69.  </w:t>
      </w:r>
    </w:p>
    <w:p w:rsidR="001103C2" w:rsidRPr="00FE4251" w:rsidRDefault="001103C2" w:rsidP="001D7BAE">
      <w:pPr>
        <w:pStyle w:val="ListParagraph"/>
        <w:numPr>
          <w:ilvl w:val="1"/>
          <w:numId w:val="1"/>
        </w:numPr>
        <w:spacing w:before="0" w:after="120"/>
        <w:ind w:left="567" w:hanging="578"/>
        <w:jc w:val="both"/>
        <w:rPr>
          <w:rFonts w:eastAsiaTheme="majorEastAsia" w:cstheme="majorBidi"/>
          <w:sz w:val="32"/>
          <w:szCs w:val="28"/>
        </w:rPr>
      </w:pPr>
      <w:r w:rsidRPr="00FE4251">
        <w:t>It was noted that another brand of enteric release budesonide capsules (</w:t>
      </w:r>
      <w:proofErr w:type="spellStart"/>
      <w:r w:rsidRPr="00FE4251">
        <w:t>Budenofalk</w:t>
      </w:r>
      <w:proofErr w:type="spellEnd"/>
      <w:r w:rsidRPr="00FE4251">
        <w:t xml:space="preserve">®) is also marketed for CD in Australia as a private prescription medicine.  </w:t>
      </w:r>
      <w:proofErr w:type="spellStart"/>
      <w:r w:rsidRPr="00FE4251">
        <w:t>Budenofalk</w:t>
      </w:r>
      <w:proofErr w:type="spellEnd"/>
      <w:r w:rsidRPr="00FE4251">
        <w:t xml:space="preserve">® </w:t>
      </w:r>
      <w:r w:rsidR="00F826A1" w:rsidRPr="00FE4251">
        <w:br/>
      </w:r>
      <w:r w:rsidRPr="00FE4251">
        <w:t>3</w:t>
      </w:r>
      <w:r w:rsidR="002B1D57" w:rsidRPr="00FE4251">
        <w:t xml:space="preserve"> </w:t>
      </w:r>
      <w:r w:rsidRPr="00FE4251">
        <w:t>mg capsules also deliver budesonide to the ileum and the ascending colon (</w:t>
      </w:r>
      <w:r w:rsidR="00C445E2" w:rsidRPr="00FE4251">
        <w:t>i.e.</w:t>
      </w:r>
      <w:r w:rsidRPr="00FE4251">
        <w:t xml:space="preserve">, same part of </w:t>
      </w:r>
      <w:r w:rsidR="007B4D9C" w:rsidRPr="00FE4251">
        <w:t>gastroint</w:t>
      </w:r>
      <w:r w:rsidR="001E4812" w:rsidRPr="00FE4251">
        <w:t>estinal tract</w:t>
      </w:r>
      <w:r w:rsidR="00DD1F66" w:rsidRPr="00FE4251">
        <w:t xml:space="preserve"> (GIT)</w:t>
      </w:r>
      <w:r w:rsidRPr="00FE4251">
        <w:t xml:space="preserve"> as </w:t>
      </w:r>
      <w:proofErr w:type="spellStart"/>
      <w:r w:rsidRPr="00FE4251">
        <w:t>Entocort</w:t>
      </w:r>
      <w:proofErr w:type="spellEnd"/>
      <w:r w:rsidRPr="00FE4251">
        <w:t xml:space="preserve">®).  The submission argued that this formulation would not be directly comparable to </w:t>
      </w:r>
      <w:proofErr w:type="spellStart"/>
      <w:r w:rsidRPr="00FE4251">
        <w:t>Entocort</w:t>
      </w:r>
      <w:proofErr w:type="spellEnd"/>
      <w:r w:rsidRPr="00FE4251">
        <w:t xml:space="preserve">® given its release is triggered at a slightly higher </w:t>
      </w:r>
      <w:r w:rsidR="00F826A1" w:rsidRPr="00FE4251">
        <w:t>p</w:t>
      </w:r>
      <w:r w:rsidRPr="00FE4251">
        <w:t xml:space="preserve">H (6.4 versus 5.5).  Although the two products may not be bioequivalent, </w:t>
      </w:r>
      <w:proofErr w:type="spellStart"/>
      <w:r w:rsidRPr="00FE4251">
        <w:t>Budenofalk</w:t>
      </w:r>
      <w:proofErr w:type="spellEnd"/>
      <w:r w:rsidRPr="00FE4251">
        <w:t xml:space="preserve">® would be a direct competitor for </w:t>
      </w:r>
      <w:proofErr w:type="spellStart"/>
      <w:r w:rsidRPr="00FE4251">
        <w:t>Entocort</w:t>
      </w:r>
      <w:proofErr w:type="spellEnd"/>
      <w:r w:rsidRPr="00FE4251">
        <w:t xml:space="preserve">®.  The private prescription price for 90 x 3mg capsules of </w:t>
      </w:r>
      <w:proofErr w:type="spellStart"/>
      <w:r w:rsidRPr="00FE4251">
        <w:t>Budenofalk</w:t>
      </w:r>
      <w:proofErr w:type="spellEnd"/>
      <w:r w:rsidRPr="00FE4251">
        <w:t>® is $132.99</w:t>
      </w:r>
      <w:r w:rsidRPr="00FE4251">
        <w:rPr>
          <w:rStyle w:val="FootnoteReference"/>
        </w:rPr>
        <w:footnoteReference w:id="2"/>
      </w:r>
      <w:r w:rsidRPr="00FE4251">
        <w:t>.</w:t>
      </w:r>
    </w:p>
    <w:p w:rsidR="001A49DD" w:rsidRPr="005625E6" w:rsidRDefault="001A49DD" w:rsidP="005625E6">
      <w:pPr>
        <w:pStyle w:val="ListParagraph"/>
        <w:spacing w:before="0" w:after="120"/>
        <w:ind w:left="709"/>
        <w:rPr>
          <w:i/>
          <w:szCs w:val="24"/>
        </w:rPr>
        <w:sectPr w:rsidR="001A49DD" w:rsidRPr="005625E6" w:rsidSect="00D8409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docGrid w:linePitch="360"/>
        </w:sectPr>
      </w:pPr>
      <w:r w:rsidRPr="00FE4251">
        <w:rPr>
          <w:i/>
          <w:szCs w:val="24"/>
        </w:rPr>
        <w:t>For more detail on PBAC’s v</w:t>
      </w:r>
      <w:r w:rsidR="00271711" w:rsidRPr="00FE4251">
        <w:rPr>
          <w:i/>
          <w:szCs w:val="24"/>
        </w:rPr>
        <w:t>iew, see section 7 PBAC outcom</w:t>
      </w:r>
      <w:r w:rsidR="00F44CF2" w:rsidRPr="00FE4251">
        <w:rPr>
          <w:i/>
          <w:szCs w:val="24"/>
        </w:rPr>
        <w:t>e</w:t>
      </w:r>
    </w:p>
    <w:p w:rsidR="001A49DD" w:rsidRPr="00FE4251" w:rsidRDefault="001A49DD" w:rsidP="00271711">
      <w:pPr>
        <w:spacing w:before="0" w:after="120"/>
        <w:jc w:val="both"/>
        <w:rPr>
          <w:rFonts w:eastAsiaTheme="majorEastAsia" w:cstheme="majorBidi"/>
          <w:sz w:val="32"/>
          <w:szCs w:val="28"/>
        </w:rPr>
      </w:pPr>
    </w:p>
    <w:p w:rsidR="001103C2" w:rsidRPr="00FE4251" w:rsidRDefault="001103C2" w:rsidP="001103C2">
      <w:pPr>
        <w:pStyle w:val="Heading1"/>
        <w:ind w:left="709" w:hanging="709"/>
      </w:pPr>
      <w:bookmarkStart w:id="9" w:name="_Toc413139273"/>
      <w:bookmarkStart w:id="10" w:name="_Toc491952247"/>
      <w:bookmarkStart w:id="11" w:name="_Toc491952723"/>
      <w:r w:rsidRPr="00FE4251">
        <w:t>Background</w:t>
      </w:r>
      <w:bookmarkEnd w:id="9"/>
      <w:bookmarkEnd w:id="10"/>
      <w:bookmarkEnd w:id="11"/>
    </w:p>
    <w:p w:rsidR="001103C2" w:rsidRPr="00FE4251" w:rsidRDefault="001103C2" w:rsidP="001103C2">
      <w:pPr>
        <w:pStyle w:val="Heading2"/>
        <w:rPr>
          <w:i w:val="0"/>
        </w:rPr>
      </w:pPr>
      <w:bookmarkStart w:id="12" w:name="_Toc491944755"/>
      <w:bookmarkStart w:id="13" w:name="_Toc491952248"/>
      <w:bookmarkStart w:id="14" w:name="_Toc491952724"/>
      <w:r w:rsidRPr="00FE4251">
        <w:rPr>
          <w:i w:val="0"/>
        </w:rPr>
        <w:t>Registration status</w:t>
      </w:r>
      <w:bookmarkEnd w:id="12"/>
      <w:bookmarkEnd w:id="13"/>
      <w:bookmarkEnd w:id="14"/>
    </w:p>
    <w:p w:rsidR="006E67F2" w:rsidRPr="00FE4251" w:rsidRDefault="008B394C" w:rsidP="005A052D">
      <w:pPr>
        <w:pStyle w:val="ListParagraph"/>
        <w:numPr>
          <w:ilvl w:val="1"/>
          <w:numId w:val="1"/>
        </w:numPr>
        <w:spacing w:before="0" w:after="120"/>
        <w:ind w:left="709" w:hanging="709"/>
        <w:jc w:val="both"/>
      </w:pPr>
      <w:r w:rsidRPr="00FE4251">
        <w:t xml:space="preserve">TGA </w:t>
      </w:r>
      <w:r w:rsidR="00604BFD" w:rsidRPr="00FE4251">
        <w:t xml:space="preserve">status at time of PBAC consideration: </w:t>
      </w:r>
      <w:r w:rsidR="006E67F2" w:rsidRPr="00FE4251">
        <w:t xml:space="preserve">Budesonide </w:t>
      </w:r>
      <w:r w:rsidR="0032066F" w:rsidRPr="00FE4251">
        <w:t>w</w:t>
      </w:r>
      <w:r w:rsidR="00F96030" w:rsidRPr="00FE4251">
        <w:t>as</w:t>
      </w:r>
      <w:r w:rsidR="006E67F2" w:rsidRPr="00FE4251">
        <w:t xml:space="preserve"> TGA registered in January 1998 for induction of remission in adult patients with mild to moderate CD affecting the ileum and/or the ascending colon.  It is noted that in Australia, budesonide is not registered for use in maintenance of remission.  It is registered for maintenance therapy in some countries (e.g., USA, Canada), but due to the risk of glucocorticoid side effects associated with prolonged use, guidelines do not recommend budesonide be used in this manner</w:t>
      </w:r>
      <w:r w:rsidR="006E67F2" w:rsidRPr="00FE4251">
        <w:rPr>
          <w:vertAlign w:val="superscript"/>
        </w:rPr>
        <w:footnoteReference w:id="3"/>
      </w:r>
      <w:r w:rsidR="0003065A" w:rsidRPr="00FE4251">
        <w:rPr>
          <w:vertAlign w:val="superscript"/>
        </w:rPr>
        <w:t>,</w:t>
      </w:r>
      <w:r w:rsidR="006E67F2" w:rsidRPr="00FE4251">
        <w:rPr>
          <w:vertAlign w:val="superscript"/>
        </w:rPr>
        <w:footnoteReference w:id="4"/>
      </w:r>
      <w:r w:rsidR="006E67F2" w:rsidRPr="00FE4251">
        <w:t>.</w:t>
      </w:r>
    </w:p>
    <w:p w:rsidR="001103C2" w:rsidRPr="00FE4251" w:rsidRDefault="001103C2" w:rsidP="001A49DD">
      <w:pPr>
        <w:pStyle w:val="Heading1"/>
        <w:ind w:left="709" w:hanging="709"/>
      </w:pPr>
      <w:bookmarkStart w:id="15" w:name="_Toc491952249"/>
      <w:bookmarkStart w:id="16" w:name="_Toc491952725"/>
      <w:r w:rsidRPr="00FE4251">
        <w:t>Population and disease</w:t>
      </w:r>
      <w:bookmarkEnd w:id="15"/>
      <w:bookmarkEnd w:id="16"/>
    </w:p>
    <w:p w:rsidR="001103C2" w:rsidRPr="00FE4251" w:rsidRDefault="001103C2" w:rsidP="001D7BAE">
      <w:pPr>
        <w:pStyle w:val="ListParagraph"/>
        <w:numPr>
          <w:ilvl w:val="1"/>
          <w:numId w:val="1"/>
        </w:numPr>
        <w:spacing w:before="0" w:after="120"/>
        <w:ind w:left="709" w:hanging="709"/>
        <w:jc w:val="both"/>
      </w:pPr>
      <w:r w:rsidRPr="00FE4251">
        <w:t xml:space="preserve">CD is a chronic relapsing inflammatory condition of the </w:t>
      </w:r>
      <w:r w:rsidR="00DD1F66" w:rsidRPr="00FE4251">
        <w:t>GIT</w:t>
      </w:r>
      <w:r w:rsidRPr="00FE4251">
        <w:t>.  Patients with mild to moderate disease of the ileum generally present with abdominal pain, weight loss, diarrhoea, and malabsorption.  Patients with disease of the colon ma</w:t>
      </w:r>
      <w:r w:rsidR="00B7138F" w:rsidRPr="00FE4251">
        <w:t xml:space="preserve">y present with symptoms similar </w:t>
      </w:r>
      <w:r w:rsidRPr="00FE4251">
        <w:t>to those with severe ulcerative colitis with structural disease obstructions.  Patients suffer from chronic, intermittent symptoms.  Patients are commonly diagnosed during adolescence, with peak manifestations between 20-24 years of age.</w:t>
      </w:r>
    </w:p>
    <w:p w:rsidR="007A14CD" w:rsidRPr="00FE4251" w:rsidRDefault="001103C2" w:rsidP="00FA1847">
      <w:pPr>
        <w:pStyle w:val="ListParagraph"/>
        <w:spacing w:before="0" w:after="120"/>
        <w:ind w:left="709"/>
        <w:jc w:val="both"/>
        <w:rPr>
          <w:color w:val="FF0000"/>
        </w:rPr>
      </w:pPr>
      <w:r w:rsidRPr="00FE4251">
        <w:t xml:space="preserve">The submission proposed the place of therapy for budesonide is in mild to moderate CD, with budesonide replacing </w:t>
      </w:r>
      <w:proofErr w:type="spellStart"/>
      <w:r w:rsidRPr="00FE4251">
        <w:t>mesalazine</w:t>
      </w:r>
      <w:proofErr w:type="spellEnd"/>
      <w:r w:rsidR="00906961" w:rsidRPr="00FE4251">
        <w:t>.</w:t>
      </w:r>
      <w:r w:rsidRPr="00FE4251">
        <w:t xml:space="preserve"> </w:t>
      </w:r>
      <w:r w:rsidR="00906961" w:rsidRPr="00FE4251">
        <w:t>The PBAC considered that a</w:t>
      </w:r>
      <w:r w:rsidRPr="00FE4251">
        <w:t xml:space="preserve">lthough it is likely budesonide will be used in first or second line treatment of mild to moderate </w:t>
      </w:r>
      <w:proofErr w:type="gramStart"/>
      <w:r w:rsidRPr="00FE4251">
        <w:t>CD,</w:t>
      </w:r>
      <w:proofErr w:type="gramEnd"/>
      <w:r w:rsidRPr="00FE4251">
        <w:t xml:space="preserve"> it is unlikely to displa</w:t>
      </w:r>
      <w:r w:rsidR="006B2741" w:rsidRPr="00FE4251">
        <w:t>ce</w:t>
      </w:r>
      <w:r w:rsidRPr="00FE4251">
        <w:t xml:space="preserve"> </w:t>
      </w:r>
      <w:proofErr w:type="spellStart"/>
      <w:r w:rsidRPr="00FE4251">
        <w:t>mesalazine</w:t>
      </w:r>
      <w:proofErr w:type="spellEnd"/>
      <w:r w:rsidRPr="00FE4251">
        <w:t xml:space="preserve"> (see discussion in Comparator).  </w:t>
      </w:r>
      <w:r w:rsidR="00A527AD" w:rsidRPr="00FE4251">
        <w:t>The PBAC noted that b</w:t>
      </w:r>
      <w:r w:rsidRPr="00FE4251">
        <w:t xml:space="preserve">ased on the submission’s clinician survey and Australian and international treatment guidelines examined during the evaluation, there is heterogeneity in clinician preference with respect to the use of </w:t>
      </w:r>
      <w:proofErr w:type="spellStart"/>
      <w:r w:rsidR="00B50FF8" w:rsidRPr="00FE4251">
        <w:t>aminosalicylates</w:t>
      </w:r>
      <w:proofErr w:type="spellEnd"/>
      <w:r w:rsidR="00B50FF8" w:rsidRPr="00FE4251">
        <w:t xml:space="preserve"> (</w:t>
      </w:r>
      <w:r w:rsidRPr="00FE4251">
        <w:t>5-ASA</w:t>
      </w:r>
      <w:r w:rsidR="00B50FF8" w:rsidRPr="00FE4251">
        <w:t>)</w:t>
      </w:r>
      <w:r w:rsidRPr="00FE4251">
        <w:t xml:space="preserve"> drugs (</w:t>
      </w:r>
      <w:r w:rsidR="00C445E2" w:rsidRPr="00FE4251">
        <w:t>i.e.</w:t>
      </w:r>
      <w:r w:rsidRPr="00FE4251">
        <w:t xml:space="preserve">, sulfasalazine and </w:t>
      </w:r>
      <w:proofErr w:type="spellStart"/>
      <w:r w:rsidRPr="00FE4251">
        <w:t>mesalazine</w:t>
      </w:r>
      <w:proofErr w:type="spellEnd"/>
      <w:r w:rsidRPr="00FE4251">
        <w:t xml:space="preserve">) in CD.  </w:t>
      </w:r>
      <w:r w:rsidR="00C21E75" w:rsidRPr="00FE4251">
        <w:t>D</w:t>
      </w:r>
      <w:r w:rsidRPr="00FE4251">
        <w:t xml:space="preserve">ue to </w:t>
      </w:r>
      <w:r w:rsidR="007B7D96" w:rsidRPr="00FE4251">
        <w:t xml:space="preserve">recent evidence indicating the </w:t>
      </w:r>
      <w:r w:rsidRPr="00FE4251">
        <w:t>poor efficacy of 5-ASAs in CD</w:t>
      </w:r>
      <w:r w:rsidR="00906961" w:rsidRPr="00FE4251">
        <w:t xml:space="preserve"> (Lim 2016 Cochrane review)</w:t>
      </w:r>
      <w:r w:rsidRPr="00FE4251">
        <w:t>, some clinicians do no</w:t>
      </w:r>
      <w:r w:rsidR="00B40E03" w:rsidRPr="00FE4251">
        <w:t>t</w:t>
      </w:r>
      <w:r w:rsidRPr="00FE4251">
        <w:t xml:space="preserve"> use 5-ASAs in clinical practice.  However, some clinicians still try 5-ASAs first since they are generally well tolerated and may have some </w:t>
      </w:r>
      <w:proofErr w:type="spellStart"/>
      <w:r w:rsidRPr="00FE4251">
        <w:t>chemoprotective</w:t>
      </w:r>
      <w:proofErr w:type="spellEnd"/>
      <w:r w:rsidRPr="00FE4251">
        <w:t xml:space="preserve"> effects. </w:t>
      </w:r>
      <w:r w:rsidR="005A052D" w:rsidRPr="00FE4251">
        <w:t xml:space="preserve">The Pre-Sub-Committee Response (PSCR) (p1) argued that </w:t>
      </w:r>
      <w:proofErr w:type="spellStart"/>
      <w:r w:rsidR="005A052D" w:rsidRPr="00FE4251">
        <w:t>mesalazine</w:t>
      </w:r>
      <w:proofErr w:type="spellEnd"/>
      <w:r w:rsidR="005A052D" w:rsidRPr="00FE4251">
        <w:t xml:space="preserve"> is approved for use in CD and cited </w:t>
      </w:r>
      <w:r w:rsidR="00593A2D" w:rsidRPr="00FE4251">
        <w:t xml:space="preserve">the Australian Guidelines for General Practitioners and Physicians for Inflammatory Bowel Disease (IBD), third edition 2013 (Andrews 2013) </w:t>
      </w:r>
      <w:r w:rsidR="005A052D" w:rsidRPr="00FE4251">
        <w:t xml:space="preserve">that recommend </w:t>
      </w:r>
      <w:proofErr w:type="spellStart"/>
      <w:r w:rsidR="005A052D" w:rsidRPr="00FE4251">
        <w:t>mesalazine</w:t>
      </w:r>
      <w:proofErr w:type="spellEnd"/>
      <w:r w:rsidR="005A052D" w:rsidRPr="00FE4251">
        <w:t xml:space="preserve">. The PBAC noted that the </w:t>
      </w:r>
      <w:r w:rsidR="00593A2D" w:rsidRPr="00FE4251">
        <w:t>Andrews 2013 guideline is</w:t>
      </w:r>
      <w:r w:rsidR="005A052D" w:rsidRPr="00FE4251">
        <w:t xml:space="preserve"> due to be updated in 2017 and that 5-ASAs were not recommended by recent Australian guidelines (</w:t>
      </w:r>
      <w:proofErr w:type="spellStart"/>
      <w:r w:rsidR="005A052D" w:rsidRPr="00FE4251">
        <w:t>eTG</w:t>
      </w:r>
      <w:proofErr w:type="spellEnd"/>
      <w:r w:rsidR="005A052D" w:rsidRPr="00FE4251">
        <w:t xml:space="preserve"> July 2017 edition) while </w:t>
      </w:r>
      <w:r w:rsidR="00D021E3" w:rsidRPr="00FE4251">
        <w:rPr>
          <w:szCs w:val="24"/>
        </w:rPr>
        <w:t>prednisolone (or a similar oral corticosteroid)</w:t>
      </w:r>
      <w:r w:rsidR="00D021E3" w:rsidRPr="00FE4251">
        <w:t xml:space="preserve"> </w:t>
      </w:r>
      <w:r w:rsidR="005A052D" w:rsidRPr="00FE4251">
        <w:t xml:space="preserve">and budesonide were. </w:t>
      </w:r>
      <w:r w:rsidR="0064572B" w:rsidRPr="00FE4251">
        <w:rPr>
          <w:color w:val="FF0000"/>
        </w:rPr>
        <w:t xml:space="preserve"> </w:t>
      </w:r>
    </w:p>
    <w:p w:rsidR="001A49DD" w:rsidRPr="00FE4251" w:rsidRDefault="001A49DD" w:rsidP="00FA1847">
      <w:pPr>
        <w:pStyle w:val="ListParagraph"/>
        <w:spacing w:before="0" w:after="120"/>
        <w:ind w:left="709"/>
        <w:jc w:val="both"/>
      </w:pPr>
      <w:r w:rsidRPr="00FE4251">
        <w:rPr>
          <w:i/>
          <w:szCs w:val="24"/>
        </w:rPr>
        <w:t>For more detail on PBAC’s view, see section 7 PBAC outcome</w:t>
      </w:r>
    </w:p>
    <w:p w:rsidR="001103C2" w:rsidRPr="00FE4251" w:rsidRDefault="001103C2" w:rsidP="001103C2">
      <w:pPr>
        <w:pStyle w:val="Heading1"/>
        <w:ind w:left="709" w:hanging="709"/>
      </w:pPr>
      <w:bookmarkStart w:id="17" w:name="_Toc413139275"/>
      <w:bookmarkStart w:id="18" w:name="_Toc491952250"/>
      <w:bookmarkStart w:id="19" w:name="_Toc491952726"/>
      <w:r w:rsidRPr="00FE4251">
        <w:t>Comparator</w:t>
      </w:r>
      <w:bookmarkEnd w:id="17"/>
      <w:bookmarkEnd w:id="18"/>
      <w:bookmarkEnd w:id="19"/>
    </w:p>
    <w:p w:rsidR="001103C2" w:rsidRPr="00FE4251" w:rsidRDefault="001103C2" w:rsidP="001D7BAE">
      <w:pPr>
        <w:pStyle w:val="ListParagraph"/>
        <w:numPr>
          <w:ilvl w:val="1"/>
          <w:numId w:val="1"/>
        </w:numPr>
        <w:spacing w:before="0" w:after="120"/>
        <w:ind w:left="709" w:hanging="709"/>
        <w:jc w:val="both"/>
        <w:rPr>
          <w:bCs/>
          <w:iCs/>
        </w:rPr>
      </w:pPr>
      <w:r w:rsidRPr="00FE4251">
        <w:t xml:space="preserve">The submission nominated high dose </w:t>
      </w:r>
      <w:proofErr w:type="spellStart"/>
      <w:r w:rsidRPr="00FE4251">
        <w:t>mesalazine</w:t>
      </w:r>
      <w:proofErr w:type="spellEnd"/>
      <w:r w:rsidRPr="00FE4251">
        <w:t xml:space="preserve"> (</w:t>
      </w:r>
      <w:r w:rsidRPr="00FE4251">
        <w:rPr>
          <w:u w:val="single"/>
        </w:rPr>
        <w:t>&gt;</w:t>
      </w:r>
      <w:r w:rsidRPr="00FE4251">
        <w:t xml:space="preserve"> 4 g/day) as the comparator, assuming all clinicians currently use 5-ASAs in first line therapy, trying sulfasalazine first, and progressing to </w:t>
      </w:r>
      <w:proofErr w:type="spellStart"/>
      <w:r w:rsidRPr="00FE4251">
        <w:t>mesalazine</w:t>
      </w:r>
      <w:proofErr w:type="spellEnd"/>
      <w:r w:rsidRPr="00FE4251">
        <w:t xml:space="preserve"> if intolerant (as per its PBS listing) or due to poor response (not PBS listed for this use).  It was then assumed if budesonide is to be listed on the PBS it will be tried after sulfasalazine but before </w:t>
      </w:r>
      <w:proofErr w:type="spellStart"/>
      <w:r w:rsidRPr="00FE4251">
        <w:t>mesalazine</w:t>
      </w:r>
      <w:proofErr w:type="spellEnd"/>
      <w:r w:rsidRPr="00FE4251">
        <w:t xml:space="preserve">.  </w:t>
      </w:r>
    </w:p>
    <w:p w:rsidR="00B50FF8" w:rsidRPr="00FE4251" w:rsidRDefault="00C21E75" w:rsidP="00D6679D">
      <w:pPr>
        <w:pStyle w:val="ListParagraph"/>
        <w:numPr>
          <w:ilvl w:val="1"/>
          <w:numId w:val="1"/>
        </w:numPr>
        <w:spacing w:before="0" w:after="120"/>
        <w:ind w:left="709" w:hanging="709"/>
        <w:jc w:val="both"/>
      </w:pPr>
      <w:r w:rsidRPr="00FE4251">
        <w:t xml:space="preserve">The </w:t>
      </w:r>
      <w:r w:rsidR="008111BE" w:rsidRPr="00FE4251">
        <w:t xml:space="preserve">PBAC considered </w:t>
      </w:r>
      <w:r w:rsidR="005E6C78" w:rsidRPr="00FE4251">
        <w:t xml:space="preserve">the </w:t>
      </w:r>
      <w:r w:rsidRPr="00FE4251">
        <w:t>submission’s assumptions are not consistent with likely clinical practice</w:t>
      </w:r>
      <w:r w:rsidR="001103C2" w:rsidRPr="00FE4251">
        <w:t xml:space="preserve">. </w:t>
      </w:r>
      <w:r w:rsidR="00D021E3" w:rsidRPr="00FE4251">
        <w:t>The PBAC noted that recent evidence suggests limited efficacy of 5-ASAs in CD (Lim 2016 Cochrane review) and that they were not recommended in recent Australian guidelines (</w:t>
      </w:r>
      <w:proofErr w:type="spellStart"/>
      <w:r w:rsidR="00D021E3" w:rsidRPr="00FE4251">
        <w:t>eTG</w:t>
      </w:r>
      <w:proofErr w:type="spellEnd"/>
      <w:r w:rsidR="00D021E3" w:rsidRPr="00FE4251">
        <w:t xml:space="preserve"> July 2017 edition) while </w:t>
      </w:r>
      <w:r w:rsidR="00D021E3" w:rsidRPr="00FE4251">
        <w:rPr>
          <w:szCs w:val="24"/>
        </w:rPr>
        <w:t>prednisolone (or a similar oral corticosteroid)</w:t>
      </w:r>
      <w:r w:rsidR="00D021E3" w:rsidRPr="00FE4251">
        <w:t xml:space="preserve"> and budesonide were.</w:t>
      </w:r>
      <w:r w:rsidR="00A511C9" w:rsidRPr="00FE4251">
        <w:t xml:space="preserve"> </w:t>
      </w:r>
    </w:p>
    <w:p w:rsidR="00972996" w:rsidRPr="00FE4251" w:rsidRDefault="0076659E" w:rsidP="00D6679D">
      <w:pPr>
        <w:pStyle w:val="ListParagraph"/>
        <w:numPr>
          <w:ilvl w:val="1"/>
          <w:numId w:val="1"/>
        </w:numPr>
        <w:spacing w:before="0" w:after="120"/>
        <w:ind w:left="709" w:hanging="709"/>
        <w:jc w:val="both"/>
      </w:pPr>
      <w:r w:rsidRPr="00FE4251">
        <w:t xml:space="preserve">The PBAC also considered </w:t>
      </w:r>
      <w:r w:rsidR="001103C2" w:rsidRPr="00FE4251">
        <w:t xml:space="preserve">it is unlikely that budesonide will be used after sulfasalazine (but before </w:t>
      </w:r>
      <w:proofErr w:type="spellStart"/>
      <w:r w:rsidR="001103C2" w:rsidRPr="00FE4251">
        <w:t>mesalazine</w:t>
      </w:r>
      <w:proofErr w:type="spellEnd"/>
      <w:r w:rsidR="001103C2" w:rsidRPr="00FE4251">
        <w:t xml:space="preserve">), since </w:t>
      </w:r>
      <w:proofErr w:type="spellStart"/>
      <w:r w:rsidR="001103C2" w:rsidRPr="00FE4251">
        <w:t>mesalazine</w:t>
      </w:r>
      <w:proofErr w:type="spellEnd"/>
      <w:r w:rsidR="001103C2" w:rsidRPr="00FE4251">
        <w:t xml:space="preserve"> (the active ingredient of sulfasalazine) is generally used in patients who are intolerant </w:t>
      </w:r>
      <w:r w:rsidR="006B2741" w:rsidRPr="00FE4251">
        <w:t>to</w:t>
      </w:r>
      <w:r w:rsidR="001103C2" w:rsidRPr="00FE4251">
        <w:t xml:space="preserve"> sulfasalazine but would add little value if patients had already switched to budesonide from sulfasalazine due to poor efficacy.  </w:t>
      </w:r>
      <w:r w:rsidR="00E51360" w:rsidRPr="00FE4251">
        <w:t>The PBAC noted that f</w:t>
      </w:r>
      <w:r w:rsidR="001103C2" w:rsidRPr="00FE4251">
        <w:t xml:space="preserve">or patients </w:t>
      </w:r>
      <w:r w:rsidR="006B2741" w:rsidRPr="00FE4251">
        <w:t xml:space="preserve">who </w:t>
      </w:r>
      <w:r w:rsidR="001103C2" w:rsidRPr="00FE4251">
        <w:t xml:space="preserve">respond to sulfasalazine but have a tolerability issue, it is likely they would switch to </w:t>
      </w:r>
      <w:proofErr w:type="spellStart"/>
      <w:r w:rsidR="001103C2" w:rsidRPr="00FE4251">
        <w:t>mesalazine</w:t>
      </w:r>
      <w:proofErr w:type="spellEnd"/>
      <w:r w:rsidR="001103C2" w:rsidRPr="00FE4251">
        <w:t xml:space="preserve"> rather than budesonide (since</w:t>
      </w:r>
      <w:r w:rsidR="00667A17" w:rsidRPr="00FE4251">
        <w:t xml:space="preserve"> they appeared to respond to this drug class</w:t>
      </w:r>
      <w:r w:rsidR="001103C2" w:rsidRPr="00FE4251">
        <w:t>).</w:t>
      </w:r>
    </w:p>
    <w:p w:rsidR="00DC4C03" w:rsidRPr="00FE4251" w:rsidRDefault="00DC4C03" w:rsidP="00DC4C03">
      <w:pPr>
        <w:pStyle w:val="ListParagraph"/>
        <w:numPr>
          <w:ilvl w:val="1"/>
          <w:numId w:val="1"/>
        </w:numPr>
        <w:spacing w:before="0" w:after="120"/>
        <w:ind w:left="709" w:hanging="709"/>
        <w:jc w:val="both"/>
      </w:pPr>
      <w:r w:rsidRPr="00FE4251">
        <w:t xml:space="preserve">The PBAC considered that within each class of drugs (i.e., 5-ASAs or corticosteroids), given the current PBS restrictions, it is likely patients will trial sulfasalazine then </w:t>
      </w:r>
      <w:proofErr w:type="spellStart"/>
      <w:r w:rsidRPr="00FE4251">
        <w:t>mesalazine</w:t>
      </w:r>
      <w:proofErr w:type="spellEnd"/>
      <w:r w:rsidRPr="00FE4251">
        <w:t xml:space="preserve">, and prednisolone then private budesonide if there are tolerability issues.  If budesonide is to be listed on the PBS as proposed, it is likely budesonide will be used before prednisolone since it has a better safety profile. </w:t>
      </w:r>
    </w:p>
    <w:p w:rsidR="009663E1" w:rsidRPr="00FE4251" w:rsidRDefault="00C1226B" w:rsidP="00C57C41">
      <w:pPr>
        <w:pStyle w:val="ListParagraph"/>
        <w:numPr>
          <w:ilvl w:val="1"/>
          <w:numId w:val="1"/>
        </w:numPr>
        <w:spacing w:before="0" w:after="120"/>
        <w:ind w:left="709" w:hanging="709"/>
        <w:jc w:val="both"/>
      </w:pPr>
      <w:r w:rsidRPr="00FE4251">
        <w:t xml:space="preserve">The pre-PBAC response </w:t>
      </w:r>
      <w:r w:rsidR="004D44E7" w:rsidRPr="00FE4251">
        <w:t xml:space="preserve">(p1) </w:t>
      </w:r>
      <w:r w:rsidRPr="00FE4251">
        <w:t>acknowledged the complexity of CD treatment and the heterogeneity across available guidelines (</w:t>
      </w:r>
      <w:proofErr w:type="gramStart"/>
      <w:r w:rsidR="00593A2D" w:rsidRPr="00FE4251">
        <w:t xml:space="preserve">Andrews </w:t>
      </w:r>
      <w:r w:rsidRPr="00FE4251">
        <w:t>2013</w:t>
      </w:r>
      <w:proofErr w:type="gramEnd"/>
      <w:r w:rsidRPr="00FE4251">
        <w:t xml:space="preserve"> vs </w:t>
      </w:r>
      <w:proofErr w:type="spellStart"/>
      <w:r w:rsidRPr="00FE4251">
        <w:t>eTG</w:t>
      </w:r>
      <w:proofErr w:type="spellEnd"/>
      <w:r w:rsidRPr="00FE4251">
        <w:t xml:space="preserve"> guidelines) and clinician preferences with respect to the use of 5-ASAs and oral corticosteroids. </w:t>
      </w:r>
      <w:r w:rsidR="002B55C5" w:rsidRPr="00FE4251">
        <w:t xml:space="preserve">The pre-PBAC response (p1) </w:t>
      </w:r>
      <w:r w:rsidR="00151A59" w:rsidRPr="00FE4251">
        <w:t>concedes that budesonide will likely partly replace prednisolone in clinical practice</w:t>
      </w:r>
      <w:r w:rsidR="00193018" w:rsidRPr="00FE4251">
        <w:t xml:space="preserve"> but argues </w:t>
      </w:r>
      <w:r w:rsidR="00F43BB3" w:rsidRPr="00FE4251">
        <w:t>this would be</w:t>
      </w:r>
      <w:r w:rsidR="00151A59" w:rsidRPr="00FE4251">
        <w:t xml:space="preserve"> in addition to </w:t>
      </w:r>
      <w:proofErr w:type="spellStart"/>
      <w:r w:rsidR="00151A59" w:rsidRPr="00FE4251">
        <w:t>mesalazine</w:t>
      </w:r>
      <w:proofErr w:type="spellEnd"/>
      <w:r w:rsidR="00151A59" w:rsidRPr="00FE4251">
        <w:t xml:space="preserve"> and hence it is not appropriate to disregard </w:t>
      </w:r>
      <w:proofErr w:type="spellStart"/>
      <w:r w:rsidR="00151A59" w:rsidRPr="00FE4251">
        <w:t>mesalazine</w:t>
      </w:r>
      <w:proofErr w:type="spellEnd"/>
      <w:r w:rsidR="00151A59" w:rsidRPr="00FE4251">
        <w:t xml:space="preserve"> as a relevant comp</w:t>
      </w:r>
      <w:r w:rsidR="00F43BB3" w:rsidRPr="00FE4251">
        <w:t xml:space="preserve">arator altogether. </w:t>
      </w:r>
      <w:r w:rsidR="00193018" w:rsidRPr="00FE4251">
        <w:t>However, t</w:t>
      </w:r>
      <w:r w:rsidR="00DC4C03" w:rsidRPr="00FE4251">
        <w:t xml:space="preserve">he PBAC agreed with the ESC </w:t>
      </w:r>
      <w:proofErr w:type="gramStart"/>
      <w:r w:rsidR="00DC4C03" w:rsidRPr="00FE4251">
        <w:t>that,</w:t>
      </w:r>
      <w:proofErr w:type="gramEnd"/>
      <w:r w:rsidR="00DC4C03" w:rsidRPr="00FE4251">
        <w:t xml:space="preserve"> b</w:t>
      </w:r>
      <w:r w:rsidR="001103C2" w:rsidRPr="00FE4251">
        <w:t>ased on the likely clinical treatment algorith</w:t>
      </w:r>
      <w:r w:rsidR="00C21E75" w:rsidRPr="00FE4251">
        <w:t>ms and similar pharmacological action</w:t>
      </w:r>
      <w:r w:rsidR="001103C2" w:rsidRPr="00FE4251">
        <w:t xml:space="preserve"> </w:t>
      </w:r>
      <w:r w:rsidR="00314622" w:rsidRPr="00FE4251">
        <w:t>o</w:t>
      </w:r>
      <w:r w:rsidR="001103C2" w:rsidRPr="00FE4251">
        <w:t>f budesonide and prednisolone</w:t>
      </w:r>
      <w:r w:rsidR="00690EF9" w:rsidRPr="00FE4251">
        <w:t>,</w:t>
      </w:r>
      <w:r w:rsidR="001103C2" w:rsidRPr="00FE4251">
        <w:t xml:space="preserve"> </w:t>
      </w:r>
      <w:r w:rsidR="001103C2" w:rsidRPr="00FE4251">
        <w:rPr>
          <w:iCs/>
        </w:rPr>
        <w:t>for most patients, the therapy most likely to be replaced by budesonide will be prednisolone (or similar oral systemic corticosteroid).</w:t>
      </w:r>
      <w:r w:rsidR="00DC4C03" w:rsidRPr="00FE4251">
        <w:rPr>
          <w:iCs/>
        </w:rPr>
        <w:t xml:space="preserve"> </w:t>
      </w:r>
      <w:r w:rsidR="001103C2" w:rsidRPr="00FE4251">
        <w:rPr>
          <w:iCs/>
        </w:rPr>
        <w:t xml:space="preserve">Given </w:t>
      </w:r>
      <w:r w:rsidR="001103C2" w:rsidRPr="00FE4251">
        <w:rPr>
          <w:bCs/>
          <w:iCs/>
        </w:rPr>
        <w:t xml:space="preserve">some patients are also currently accessing </w:t>
      </w:r>
      <w:r w:rsidR="004C7B75" w:rsidRPr="00FE4251">
        <w:rPr>
          <w:bCs/>
          <w:iCs/>
        </w:rPr>
        <w:t>budesonide</w:t>
      </w:r>
      <w:r w:rsidR="001103C2" w:rsidRPr="00FE4251">
        <w:rPr>
          <w:bCs/>
          <w:iCs/>
        </w:rPr>
        <w:t xml:space="preserve"> (</w:t>
      </w:r>
      <w:proofErr w:type="spellStart"/>
      <w:r w:rsidR="001103C2" w:rsidRPr="00FE4251">
        <w:rPr>
          <w:bCs/>
          <w:iCs/>
        </w:rPr>
        <w:t>Entocort</w:t>
      </w:r>
      <w:proofErr w:type="spellEnd"/>
      <w:r w:rsidR="001103C2" w:rsidRPr="00FE4251">
        <w:rPr>
          <w:bCs/>
          <w:iCs/>
        </w:rPr>
        <w:t xml:space="preserve">®) or </w:t>
      </w:r>
      <w:proofErr w:type="spellStart"/>
      <w:r w:rsidR="001103C2" w:rsidRPr="00FE4251">
        <w:rPr>
          <w:bCs/>
          <w:iCs/>
        </w:rPr>
        <w:t>Budenofalk</w:t>
      </w:r>
      <w:proofErr w:type="spellEnd"/>
      <w:r w:rsidR="001103C2" w:rsidRPr="00FE4251">
        <w:rPr>
          <w:bCs/>
          <w:iCs/>
        </w:rPr>
        <w:t xml:space="preserve">® on the private market, </w:t>
      </w:r>
      <w:r w:rsidR="006B2741" w:rsidRPr="00FE4251">
        <w:rPr>
          <w:bCs/>
          <w:iCs/>
        </w:rPr>
        <w:t xml:space="preserve">a </w:t>
      </w:r>
      <w:r w:rsidR="001103C2" w:rsidRPr="00FE4251">
        <w:rPr>
          <w:bCs/>
          <w:iCs/>
        </w:rPr>
        <w:t xml:space="preserve">PBS listing of </w:t>
      </w:r>
      <w:proofErr w:type="spellStart"/>
      <w:r w:rsidR="001103C2" w:rsidRPr="00FE4251">
        <w:rPr>
          <w:bCs/>
          <w:iCs/>
        </w:rPr>
        <w:t>Entocort</w:t>
      </w:r>
      <w:proofErr w:type="spellEnd"/>
      <w:r w:rsidR="001103C2" w:rsidRPr="00FE4251">
        <w:rPr>
          <w:bCs/>
          <w:iCs/>
        </w:rPr>
        <w:t xml:space="preserve">® will also likely replace private purchases of </w:t>
      </w:r>
      <w:proofErr w:type="spellStart"/>
      <w:r w:rsidR="001103C2" w:rsidRPr="00FE4251">
        <w:rPr>
          <w:bCs/>
          <w:iCs/>
        </w:rPr>
        <w:t>Entocort</w:t>
      </w:r>
      <w:proofErr w:type="spellEnd"/>
      <w:r w:rsidR="001103C2" w:rsidRPr="00FE4251">
        <w:rPr>
          <w:bCs/>
          <w:iCs/>
        </w:rPr>
        <w:t xml:space="preserve">® and </w:t>
      </w:r>
      <w:proofErr w:type="spellStart"/>
      <w:r w:rsidR="001103C2" w:rsidRPr="00FE4251">
        <w:rPr>
          <w:bCs/>
          <w:iCs/>
        </w:rPr>
        <w:t>Budenofalk</w:t>
      </w:r>
      <w:proofErr w:type="spellEnd"/>
      <w:r w:rsidR="001103C2" w:rsidRPr="00FE4251">
        <w:rPr>
          <w:bCs/>
          <w:iCs/>
        </w:rPr>
        <w:t>®.</w:t>
      </w:r>
      <w:r w:rsidR="0064572B" w:rsidRPr="00FE4251">
        <w:rPr>
          <w:bCs/>
          <w:iCs/>
        </w:rPr>
        <w:t xml:space="preserve"> </w:t>
      </w:r>
    </w:p>
    <w:p w:rsidR="001A49DD" w:rsidRPr="00B00C52" w:rsidRDefault="001A49DD" w:rsidP="00B00C52">
      <w:pPr>
        <w:pStyle w:val="ListParagraph"/>
        <w:spacing w:before="0" w:after="120"/>
        <w:ind w:left="709"/>
        <w:jc w:val="both"/>
        <w:rPr>
          <w:i/>
          <w:szCs w:val="24"/>
        </w:rPr>
      </w:pPr>
      <w:r w:rsidRPr="00FE4251">
        <w:rPr>
          <w:i/>
          <w:szCs w:val="24"/>
        </w:rPr>
        <w:t>For more detail on PBAC’s view, see section 7 PBAC outcome</w:t>
      </w:r>
    </w:p>
    <w:p w:rsidR="001A49DD" w:rsidRPr="00FE4251" w:rsidRDefault="001A49DD" w:rsidP="001A49DD">
      <w:pPr>
        <w:spacing w:before="0" w:after="120"/>
        <w:jc w:val="both"/>
      </w:pPr>
    </w:p>
    <w:p w:rsidR="001103C2" w:rsidRPr="00FE4251" w:rsidRDefault="001103C2" w:rsidP="001103C2">
      <w:pPr>
        <w:pStyle w:val="Heading1"/>
        <w:ind w:left="709" w:hanging="709"/>
      </w:pPr>
      <w:bookmarkStart w:id="20" w:name="_Toc413139276"/>
      <w:bookmarkStart w:id="21" w:name="_Toc491952251"/>
      <w:bookmarkStart w:id="22" w:name="_Toc491952727"/>
      <w:r w:rsidRPr="00FE4251">
        <w:t>Consideration of the evidence</w:t>
      </w:r>
      <w:bookmarkEnd w:id="20"/>
      <w:bookmarkEnd w:id="21"/>
      <w:bookmarkEnd w:id="22"/>
    </w:p>
    <w:p w:rsidR="00E71112" w:rsidRPr="00FE4251" w:rsidRDefault="00E71112" w:rsidP="00E71112">
      <w:pPr>
        <w:pStyle w:val="Heading2"/>
        <w:jc w:val="both"/>
      </w:pPr>
      <w:bookmarkStart w:id="23" w:name="_Toc413139277"/>
      <w:bookmarkStart w:id="24" w:name="_Toc491952252"/>
      <w:bookmarkStart w:id="25" w:name="_Toc491952728"/>
      <w:r w:rsidRPr="00FE4251">
        <w:t xml:space="preserve">Sponsor hearing </w:t>
      </w:r>
    </w:p>
    <w:p w:rsidR="00E71112" w:rsidRPr="00FE4251" w:rsidRDefault="00E71112" w:rsidP="00E71112">
      <w:pPr>
        <w:pStyle w:val="ListParagraph"/>
        <w:numPr>
          <w:ilvl w:val="1"/>
          <w:numId w:val="1"/>
        </w:numPr>
        <w:spacing w:before="0" w:after="120"/>
        <w:ind w:left="709" w:hanging="709"/>
        <w:jc w:val="both"/>
      </w:pPr>
      <w:r w:rsidRPr="00FE4251">
        <w:t xml:space="preserve">There was no hearing for this item. </w:t>
      </w:r>
    </w:p>
    <w:p w:rsidR="00E71112" w:rsidRPr="00FE4251" w:rsidRDefault="00E71112" w:rsidP="00E71112">
      <w:pPr>
        <w:pStyle w:val="Heading2"/>
        <w:jc w:val="both"/>
      </w:pPr>
      <w:r w:rsidRPr="00FE4251">
        <w:t>Consumer comments</w:t>
      </w:r>
    </w:p>
    <w:p w:rsidR="00E71112" w:rsidRPr="00FE4251" w:rsidRDefault="00193018" w:rsidP="00E71112">
      <w:pPr>
        <w:pStyle w:val="ListParagraph"/>
        <w:numPr>
          <w:ilvl w:val="1"/>
          <w:numId w:val="1"/>
        </w:numPr>
        <w:spacing w:before="0" w:after="120"/>
        <w:ind w:left="709" w:hanging="709"/>
        <w:jc w:val="both"/>
      </w:pPr>
      <w:r w:rsidRPr="00FE4251">
        <w:t xml:space="preserve">The PBAC noted and welcomed </w:t>
      </w:r>
      <w:r w:rsidR="00816A51" w:rsidRPr="00FE4251">
        <w:t>the input from individuals (46), health care professionals (10) and organisations (1) via the Consumer Comments facility on the PBS website. The comments noted support for availability of this drug on the PBS and a hope from patients for an improved quality of life under treatment. The PBAC noted the advice, which included feedback from patients ab</w:t>
      </w:r>
      <w:r w:rsidR="00426248" w:rsidRPr="00FE4251">
        <w:t>out how</w:t>
      </w:r>
      <w:r w:rsidR="00EC65E8" w:rsidRPr="00FE4251">
        <w:t xml:space="preserve"> they have found this medicine</w:t>
      </w:r>
      <w:r w:rsidR="00426248" w:rsidRPr="00FE4251">
        <w:t xml:space="preserve"> beneficial for their condition with fewer side effects than oral corticosteroids</w:t>
      </w:r>
      <w:r w:rsidR="00816A51" w:rsidRPr="00FE4251">
        <w:t xml:space="preserve">. The health </w:t>
      </w:r>
      <w:r w:rsidR="007811E7" w:rsidRPr="00FE4251">
        <w:t xml:space="preserve">care </w:t>
      </w:r>
      <w:r w:rsidR="00816A51" w:rsidRPr="00FE4251">
        <w:t xml:space="preserve">professionals noted that many of their patients are </w:t>
      </w:r>
      <w:r w:rsidR="00EC65E8" w:rsidRPr="00FE4251">
        <w:t>unable to afford this medicine</w:t>
      </w:r>
      <w:r w:rsidR="00816A51" w:rsidRPr="00FE4251">
        <w:t xml:space="preserve"> as a private prescription and listing on the PBS would be beneficial.</w:t>
      </w:r>
      <w:r w:rsidR="00453C18" w:rsidRPr="00FE4251">
        <w:t xml:space="preserve"> </w:t>
      </w:r>
    </w:p>
    <w:p w:rsidR="00275E51" w:rsidRPr="00FE4251" w:rsidRDefault="00193018" w:rsidP="00E71112">
      <w:pPr>
        <w:pStyle w:val="ListParagraph"/>
        <w:numPr>
          <w:ilvl w:val="1"/>
          <w:numId w:val="1"/>
        </w:numPr>
        <w:spacing w:before="0" w:after="120"/>
        <w:ind w:left="709" w:hanging="709"/>
        <w:jc w:val="both"/>
      </w:pPr>
      <w:r w:rsidRPr="00FE4251">
        <w:t>The PBAC noted advice received from Crohn’s and Colitis Australia clarifying the likely use of budesonide in clinical practice. The PBAC specifically noted the advice that budesonide is recommended by professional representative bodies. The PBAC noted advice that the limited efficacy of 5-ASA agents in CD and the lack of subsidised topically acting oral corticosteroids means that most patients with mild to moderate CD in Australia receive systemic corticosteroids. These agents cause significant short and long term toxicity. The PBAC noted that this advice was supportive of the evidence provided in this submission.</w:t>
      </w:r>
    </w:p>
    <w:p w:rsidR="001103C2" w:rsidRPr="00FE4251" w:rsidRDefault="001103C2" w:rsidP="00477061">
      <w:pPr>
        <w:pStyle w:val="Heading2"/>
        <w:jc w:val="both"/>
      </w:pPr>
      <w:r w:rsidRPr="00FE4251">
        <w:t>Clinical trials</w:t>
      </w:r>
      <w:bookmarkEnd w:id="23"/>
      <w:bookmarkEnd w:id="24"/>
      <w:bookmarkEnd w:id="25"/>
    </w:p>
    <w:p w:rsidR="001103C2" w:rsidRPr="00FE4251" w:rsidRDefault="001103C2" w:rsidP="001D7BAE">
      <w:pPr>
        <w:pStyle w:val="ListParagraph"/>
        <w:numPr>
          <w:ilvl w:val="1"/>
          <w:numId w:val="1"/>
        </w:numPr>
        <w:spacing w:before="0" w:after="120"/>
        <w:ind w:left="709" w:hanging="709"/>
        <w:jc w:val="both"/>
      </w:pPr>
      <w:r w:rsidRPr="00FE4251">
        <w:rPr>
          <w:iCs/>
        </w:rPr>
        <w:t xml:space="preserve">The </w:t>
      </w:r>
      <w:r w:rsidR="0023461F" w:rsidRPr="00FE4251">
        <w:rPr>
          <w:iCs/>
        </w:rPr>
        <w:t xml:space="preserve">PBAC noted the </w:t>
      </w:r>
      <w:r w:rsidRPr="00FE4251">
        <w:rPr>
          <w:iCs/>
        </w:rPr>
        <w:t xml:space="preserve">submission </w:t>
      </w:r>
      <w:r w:rsidR="000F1917" w:rsidRPr="00FE4251">
        <w:rPr>
          <w:iCs/>
        </w:rPr>
        <w:t>was</w:t>
      </w:r>
      <w:r w:rsidRPr="00FE4251">
        <w:rPr>
          <w:iCs/>
        </w:rPr>
        <w:t xml:space="preserve"> primarily based on one head-to-head trial comparing budesonide to </w:t>
      </w:r>
      <w:proofErr w:type="spellStart"/>
      <w:r w:rsidRPr="00FE4251">
        <w:rPr>
          <w:iCs/>
        </w:rPr>
        <w:t>mesalazine</w:t>
      </w:r>
      <w:proofErr w:type="spellEnd"/>
      <w:r w:rsidRPr="00FE4251">
        <w:rPr>
          <w:iCs/>
        </w:rPr>
        <w:t xml:space="preserve"> (Thomsen 1998).  The submission also presented one trial comparing </w:t>
      </w:r>
      <w:proofErr w:type="spellStart"/>
      <w:r w:rsidRPr="00FE4251">
        <w:rPr>
          <w:iCs/>
        </w:rPr>
        <w:t>Budenofalk</w:t>
      </w:r>
      <w:proofErr w:type="spellEnd"/>
      <w:r w:rsidRPr="00FE4251">
        <w:rPr>
          <w:iCs/>
        </w:rPr>
        <w:t xml:space="preserve">® to </w:t>
      </w:r>
      <w:proofErr w:type="spellStart"/>
      <w:r w:rsidRPr="00FE4251">
        <w:rPr>
          <w:iCs/>
        </w:rPr>
        <w:t>mesalazine</w:t>
      </w:r>
      <w:proofErr w:type="spellEnd"/>
      <w:r w:rsidRPr="00FE4251">
        <w:rPr>
          <w:iCs/>
        </w:rPr>
        <w:t xml:space="preserve"> (</w:t>
      </w:r>
      <w:proofErr w:type="spellStart"/>
      <w:r w:rsidRPr="00FE4251">
        <w:rPr>
          <w:iCs/>
        </w:rPr>
        <w:t>Tromm</w:t>
      </w:r>
      <w:proofErr w:type="spellEnd"/>
      <w:r w:rsidRPr="00FE4251">
        <w:rPr>
          <w:iCs/>
        </w:rPr>
        <w:t xml:space="preserve"> 2011) as supplementary evidence, and three trials </w:t>
      </w:r>
      <w:r w:rsidRPr="00FE4251">
        <w:rPr>
          <w:bCs/>
          <w:iCs/>
        </w:rPr>
        <w:t>comparing</w:t>
      </w:r>
      <w:r w:rsidRPr="00FE4251">
        <w:rPr>
          <w:iCs/>
        </w:rPr>
        <w:t xml:space="preserve"> </w:t>
      </w:r>
      <w:r w:rsidR="004C7B75" w:rsidRPr="00FE4251">
        <w:rPr>
          <w:iCs/>
        </w:rPr>
        <w:t>budesonide</w:t>
      </w:r>
      <w:r w:rsidRPr="00FE4251">
        <w:rPr>
          <w:iCs/>
        </w:rPr>
        <w:t xml:space="preserve"> to placebo (Greenberg 1994; Tremaine 2002; Suzuki 2013) as secondary evidence.  During the course of the evaluation, data were </w:t>
      </w:r>
      <w:r w:rsidR="00F579A6" w:rsidRPr="00FE4251">
        <w:rPr>
          <w:iCs/>
        </w:rPr>
        <w:t>additionally</w:t>
      </w:r>
      <w:r w:rsidRPr="00FE4251">
        <w:rPr>
          <w:iCs/>
        </w:rPr>
        <w:t xml:space="preserve"> extracted from two trials of budesonide versus prednisolone (</w:t>
      </w:r>
      <w:proofErr w:type="spellStart"/>
      <w:r w:rsidRPr="00FE4251">
        <w:rPr>
          <w:iCs/>
        </w:rPr>
        <w:t>Ru</w:t>
      </w:r>
      <w:r w:rsidR="00CC0993" w:rsidRPr="00FE4251">
        <w:rPr>
          <w:iCs/>
        </w:rPr>
        <w:t>tgeerts</w:t>
      </w:r>
      <w:proofErr w:type="spellEnd"/>
      <w:r w:rsidR="00CC0993" w:rsidRPr="00FE4251">
        <w:rPr>
          <w:iCs/>
        </w:rPr>
        <w:t xml:space="preserve"> 1994</w:t>
      </w:r>
      <w:r w:rsidRPr="00FE4251">
        <w:rPr>
          <w:iCs/>
        </w:rPr>
        <w:t xml:space="preserve">; </w:t>
      </w:r>
      <w:proofErr w:type="spellStart"/>
      <w:r w:rsidRPr="00FE4251">
        <w:rPr>
          <w:iCs/>
        </w:rPr>
        <w:t>Campieri</w:t>
      </w:r>
      <w:proofErr w:type="spellEnd"/>
      <w:r w:rsidRPr="00FE4251">
        <w:rPr>
          <w:iCs/>
        </w:rPr>
        <w:t xml:space="preserve"> 1997).</w:t>
      </w:r>
      <w:r w:rsidRPr="00FE4251">
        <w:t xml:space="preserve">  Details of</w:t>
      </w:r>
      <w:r w:rsidR="00C21E75" w:rsidRPr="00FE4251">
        <w:t xml:space="preserve"> the included </w:t>
      </w:r>
      <w:r w:rsidRPr="00FE4251">
        <w:t xml:space="preserve">trials are provided in Table </w:t>
      </w:r>
      <w:r w:rsidR="00C96268" w:rsidRPr="00FE4251">
        <w:t>2</w:t>
      </w:r>
      <w:r w:rsidRPr="00FE4251">
        <w:t xml:space="preserve">.  </w:t>
      </w:r>
    </w:p>
    <w:p w:rsidR="00A01010" w:rsidRPr="00FE4251" w:rsidRDefault="00A01010">
      <w:pPr>
        <w:spacing w:before="0" w:line="259" w:lineRule="auto"/>
        <w:rPr>
          <w:rFonts w:ascii="Arial Narrow" w:eastAsia="Times New Roman" w:hAnsi="Arial Narrow" w:cs="Arial"/>
          <w:b/>
          <w:snapToGrid w:val="0"/>
          <w:sz w:val="20"/>
          <w:szCs w:val="20"/>
        </w:rPr>
      </w:pPr>
      <w:bookmarkStart w:id="26" w:name="_Toc491944760"/>
      <w:bookmarkStart w:id="27" w:name="_Toc491952253"/>
      <w:r w:rsidRPr="00FE4251">
        <w:rPr>
          <w:rFonts w:ascii="Arial Narrow" w:hAnsi="Arial Narrow"/>
          <w:sz w:val="20"/>
          <w:szCs w:val="20"/>
        </w:rPr>
        <w:br w:type="page"/>
      </w:r>
    </w:p>
    <w:p w:rsidR="001103C2" w:rsidRPr="00FE4251" w:rsidRDefault="001103C2" w:rsidP="001103C2">
      <w:pPr>
        <w:pStyle w:val="PBACHeading1"/>
        <w:numPr>
          <w:ilvl w:val="0"/>
          <w:numId w:val="0"/>
        </w:numPr>
        <w:ind w:left="720" w:hanging="720"/>
        <w:rPr>
          <w:rFonts w:ascii="Arial Narrow" w:hAnsi="Arial Narrow"/>
          <w:sz w:val="20"/>
          <w:szCs w:val="20"/>
        </w:rPr>
      </w:pPr>
      <w:r w:rsidRPr="00FE4251">
        <w:rPr>
          <w:rFonts w:ascii="Arial Narrow" w:hAnsi="Arial Narrow"/>
          <w:sz w:val="20"/>
          <w:szCs w:val="20"/>
        </w:rPr>
        <w:t xml:space="preserve">Table </w:t>
      </w:r>
      <w:r w:rsidR="00C96268" w:rsidRPr="00FE4251">
        <w:rPr>
          <w:rFonts w:ascii="Arial Narrow" w:hAnsi="Arial Narrow"/>
          <w:sz w:val="20"/>
          <w:szCs w:val="20"/>
        </w:rPr>
        <w:t>2</w:t>
      </w:r>
      <w:r w:rsidRPr="00FE4251">
        <w:rPr>
          <w:rFonts w:ascii="Arial Narrow" w:hAnsi="Arial Narrow"/>
          <w:sz w:val="20"/>
          <w:szCs w:val="20"/>
        </w:rPr>
        <w:t>: Trials and associated reports presented in the submission</w:t>
      </w:r>
      <w:bookmarkEnd w:id="26"/>
      <w:bookmarkEnd w:id="27"/>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4686"/>
        <w:gridCol w:w="2663"/>
      </w:tblGrid>
      <w:tr w:rsidR="001103C2" w:rsidRPr="00FE4251" w:rsidTr="00C21E75">
        <w:tc>
          <w:tcPr>
            <w:tcW w:w="954" w:type="pct"/>
          </w:tcPr>
          <w:p w:rsidR="001103C2" w:rsidRPr="00FE4251" w:rsidRDefault="001103C2" w:rsidP="00C21E75">
            <w:pPr>
              <w:pStyle w:val="TableText"/>
              <w:rPr>
                <w:b/>
              </w:rPr>
            </w:pPr>
            <w:r w:rsidRPr="00FE4251">
              <w:rPr>
                <w:b/>
              </w:rPr>
              <w:t>Trial ID</w:t>
            </w:r>
          </w:p>
        </w:tc>
        <w:tc>
          <w:tcPr>
            <w:tcW w:w="2580" w:type="pct"/>
          </w:tcPr>
          <w:p w:rsidR="001103C2" w:rsidRPr="00FE4251" w:rsidRDefault="001103C2" w:rsidP="00C21E75">
            <w:pPr>
              <w:pStyle w:val="TableText"/>
              <w:rPr>
                <w:b/>
              </w:rPr>
            </w:pPr>
            <w:r w:rsidRPr="00FE4251">
              <w:rPr>
                <w:b/>
              </w:rPr>
              <w:t>Protocol title/ Publication title</w:t>
            </w:r>
          </w:p>
        </w:tc>
        <w:tc>
          <w:tcPr>
            <w:tcW w:w="1466" w:type="pct"/>
          </w:tcPr>
          <w:p w:rsidR="001103C2" w:rsidRPr="00FE4251" w:rsidRDefault="001103C2" w:rsidP="00C21E75">
            <w:pPr>
              <w:pStyle w:val="TableText"/>
              <w:rPr>
                <w:b/>
              </w:rPr>
            </w:pPr>
            <w:r w:rsidRPr="00FE4251">
              <w:rPr>
                <w:b/>
              </w:rPr>
              <w:t>Publication citation</w:t>
            </w:r>
          </w:p>
        </w:tc>
      </w:tr>
      <w:tr w:rsidR="001103C2" w:rsidRPr="00FE4251" w:rsidTr="00C21E75">
        <w:tc>
          <w:tcPr>
            <w:tcW w:w="5000" w:type="pct"/>
            <w:gridSpan w:val="3"/>
          </w:tcPr>
          <w:p w:rsidR="001103C2" w:rsidRPr="00FE4251" w:rsidRDefault="004C7B75" w:rsidP="00C21E75">
            <w:pPr>
              <w:pStyle w:val="TableText"/>
              <w:rPr>
                <w:b/>
              </w:rPr>
            </w:pPr>
            <w:r w:rsidRPr="00FE4251">
              <w:rPr>
                <w:b/>
              </w:rPr>
              <w:t>Budesonide</w:t>
            </w:r>
            <w:r w:rsidR="001103C2" w:rsidRPr="00FE4251">
              <w:rPr>
                <w:b/>
              </w:rPr>
              <w:t xml:space="preserve"> versus </w:t>
            </w:r>
            <w:proofErr w:type="spellStart"/>
            <w:r w:rsidR="001103C2" w:rsidRPr="00FE4251">
              <w:rPr>
                <w:b/>
              </w:rPr>
              <w:t>mesalazine</w:t>
            </w:r>
            <w:proofErr w:type="spellEnd"/>
          </w:p>
        </w:tc>
      </w:tr>
      <w:tr w:rsidR="001103C2" w:rsidRPr="00FE4251" w:rsidTr="00C21E75">
        <w:tc>
          <w:tcPr>
            <w:tcW w:w="954" w:type="pct"/>
            <w:vMerge w:val="restart"/>
            <w:tcBorders>
              <w:right w:val="single" w:sz="4" w:space="0" w:color="auto"/>
            </w:tcBorders>
          </w:tcPr>
          <w:p w:rsidR="001103C2" w:rsidRPr="00FE4251" w:rsidRDefault="001103C2" w:rsidP="00C21E75">
            <w:pPr>
              <w:pStyle w:val="TableText"/>
            </w:pPr>
            <w:r w:rsidRPr="00FE4251">
              <w:t>Thomsen 1998</w:t>
            </w:r>
          </w:p>
        </w:tc>
        <w:tc>
          <w:tcPr>
            <w:tcW w:w="2580" w:type="pct"/>
            <w:tcBorders>
              <w:top w:val="single" w:sz="4" w:space="0" w:color="auto"/>
              <w:left w:val="single" w:sz="4" w:space="0" w:color="auto"/>
              <w:bottom w:val="nil"/>
              <w:right w:val="single" w:sz="4" w:space="0" w:color="auto"/>
            </w:tcBorders>
          </w:tcPr>
          <w:p w:rsidR="001103C2" w:rsidRPr="00FE4251" w:rsidRDefault="001103C2" w:rsidP="00C21E75">
            <w:pPr>
              <w:pStyle w:val="TableText"/>
            </w:pPr>
            <w:r w:rsidRPr="00FE4251">
              <w:t xml:space="preserve">CSR: 08-3027. </w:t>
            </w:r>
            <w:proofErr w:type="spellStart"/>
            <w:r w:rsidRPr="00FE4251">
              <w:t>Entocort</w:t>
            </w:r>
            <w:proofErr w:type="spellEnd"/>
            <w:r w:rsidRPr="00FE4251">
              <w:t>® capsules (</w:t>
            </w:r>
            <w:r w:rsidR="004C7B75" w:rsidRPr="00FE4251">
              <w:t>budesonide</w:t>
            </w:r>
            <w:r w:rsidRPr="00FE4251">
              <w:t xml:space="preserve">) versus oral SR </w:t>
            </w:r>
            <w:proofErr w:type="spellStart"/>
            <w:r w:rsidRPr="00FE4251">
              <w:t>Pentasa</w:t>
            </w:r>
            <w:proofErr w:type="spellEnd"/>
            <w:r w:rsidRPr="00FE4251">
              <w:t>® (</w:t>
            </w:r>
            <w:proofErr w:type="spellStart"/>
            <w:r w:rsidRPr="00FE4251">
              <w:t>mesalazine</w:t>
            </w:r>
            <w:proofErr w:type="spellEnd"/>
            <w:r w:rsidRPr="00FE4251">
              <w:t>), a controlled multicentre trial in patients with active Crohn’s disease.</w:t>
            </w:r>
          </w:p>
        </w:tc>
        <w:tc>
          <w:tcPr>
            <w:tcW w:w="1466" w:type="pct"/>
            <w:tcBorders>
              <w:top w:val="single" w:sz="4" w:space="0" w:color="auto"/>
              <w:left w:val="single" w:sz="4" w:space="0" w:color="auto"/>
              <w:bottom w:val="nil"/>
              <w:right w:val="single" w:sz="4" w:space="0" w:color="auto"/>
            </w:tcBorders>
          </w:tcPr>
          <w:p w:rsidR="001103C2" w:rsidRPr="00FE4251" w:rsidRDefault="001103C2" w:rsidP="00C21E75">
            <w:pPr>
              <w:pStyle w:val="TableText"/>
            </w:pPr>
            <w:r w:rsidRPr="00FE4251">
              <w:t>20 January 1998.</w:t>
            </w:r>
          </w:p>
          <w:p w:rsidR="001103C2" w:rsidRPr="00FE4251" w:rsidRDefault="001103C2" w:rsidP="00C21E75">
            <w:pPr>
              <w:pStyle w:val="TableText"/>
            </w:pPr>
          </w:p>
        </w:tc>
      </w:tr>
      <w:tr w:rsidR="001103C2" w:rsidRPr="00FE4251" w:rsidTr="00C21E75">
        <w:tc>
          <w:tcPr>
            <w:tcW w:w="954" w:type="pct"/>
            <w:vMerge/>
          </w:tcPr>
          <w:p w:rsidR="001103C2" w:rsidRPr="00FE4251" w:rsidRDefault="001103C2" w:rsidP="00C21E75">
            <w:pPr>
              <w:pStyle w:val="TableText"/>
            </w:pPr>
          </w:p>
        </w:tc>
        <w:tc>
          <w:tcPr>
            <w:tcW w:w="2580" w:type="pct"/>
            <w:tcBorders>
              <w:top w:val="nil"/>
              <w:bottom w:val="nil"/>
            </w:tcBorders>
          </w:tcPr>
          <w:p w:rsidR="001103C2" w:rsidRPr="00FE4251" w:rsidRDefault="001103C2" w:rsidP="00C21E75">
            <w:pPr>
              <w:pStyle w:val="TableText"/>
              <w:rPr>
                <w:szCs w:val="20"/>
              </w:rPr>
            </w:pPr>
            <w:r w:rsidRPr="00FE4251">
              <w:rPr>
                <w:szCs w:val="20"/>
              </w:rPr>
              <w:t xml:space="preserve">Thomsen OO, </w:t>
            </w:r>
            <w:proofErr w:type="spellStart"/>
            <w:r w:rsidRPr="00FE4251">
              <w:rPr>
                <w:szCs w:val="20"/>
              </w:rPr>
              <w:t>Cortot</w:t>
            </w:r>
            <w:proofErr w:type="spellEnd"/>
            <w:r w:rsidRPr="00FE4251">
              <w:rPr>
                <w:szCs w:val="20"/>
              </w:rPr>
              <w:t xml:space="preserve"> A, Jewell D, et al. A comparison of budesonide and </w:t>
            </w:r>
            <w:proofErr w:type="spellStart"/>
            <w:r w:rsidRPr="00FE4251">
              <w:rPr>
                <w:szCs w:val="20"/>
              </w:rPr>
              <w:t>mesalamine</w:t>
            </w:r>
            <w:proofErr w:type="spellEnd"/>
            <w:r w:rsidRPr="00FE4251">
              <w:rPr>
                <w:szCs w:val="20"/>
              </w:rPr>
              <w:t xml:space="preserve"> for active Crohn’s disease.</w:t>
            </w:r>
          </w:p>
        </w:tc>
        <w:tc>
          <w:tcPr>
            <w:tcW w:w="1466" w:type="pct"/>
            <w:tcBorders>
              <w:top w:val="nil"/>
              <w:bottom w:val="nil"/>
            </w:tcBorders>
          </w:tcPr>
          <w:p w:rsidR="001103C2" w:rsidRPr="00FE4251" w:rsidRDefault="001103C2" w:rsidP="00C21E75">
            <w:pPr>
              <w:pStyle w:val="TableText"/>
              <w:rPr>
                <w:szCs w:val="20"/>
              </w:rPr>
            </w:pPr>
            <w:r w:rsidRPr="00FE4251">
              <w:rPr>
                <w:iCs/>
                <w:szCs w:val="20"/>
              </w:rPr>
              <w:t>New England Journal of Medicine</w:t>
            </w:r>
            <w:r w:rsidRPr="00FE4251">
              <w:rPr>
                <w:szCs w:val="20"/>
              </w:rPr>
              <w:t xml:space="preserve"> 1998; 339(6): 370–374.</w:t>
            </w:r>
          </w:p>
        </w:tc>
      </w:tr>
      <w:tr w:rsidR="001103C2" w:rsidRPr="00FE4251" w:rsidTr="00C21E75">
        <w:tc>
          <w:tcPr>
            <w:tcW w:w="954" w:type="pct"/>
            <w:vMerge/>
          </w:tcPr>
          <w:p w:rsidR="001103C2" w:rsidRPr="00FE4251" w:rsidRDefault="001103C2" w:rsidP="00C21E75">
            <w:pPr>
              <w:pStyle w:val="TableText"/>
            </w:pPr>
          </w:p>
        </w:tc>
        <w:tc>
          <w:tcPr>
            <w:tcW w:w="2580" w:type="pct"/>
            <w:tcBorders>
              <w:top w:val="nil"/>
            </w:tcBorders>
          </w:tcPr>
          <w:p w:rsidR="001103C2" w:rsidRPr="00FE4251" w:rsidRDefault="001103C2" w:rsidP="00C21E75">
            <w:pPr>
              <w:pStyle w:val="TableText"/>
            </w:pPr>
            <w:r w:rsidRPr="00FE4251">
              <w:rPr>
                <w:szCs w:val="20"/>
              </w:rPr>
              <w:t xml:space="preserve">Thomsen OO, </w:t>
            </w:r>
            <w:proofErr w:type="spellStart"/>
            <w:r w:rsidRPr="00FE4251">
              <w:rPr>
                <w:szCs w:val="20"/>
              </w:rPr>
              <w:t>Cortot</w:t>
            </w:r>
            <w:proofErr w:type="spellEnd"/>
            <w:r w:rsidRPr="00FE4251">
              <w:rPr>
                <w:szCs w:val="20"/>
              </w:rPr>
              <w:t xml:space="preserve"> A, Jewell D, et al. Budesonide and </w:t>
            </w:r>
            <w:proofErr w:type="spellStart"/>
            <w:r w:rsidRPr="00FE4251">
              <w:rPr>
                <w:szCs w:val="20"/>
              </w:rPr>
              <w:t>mesalazine</w:t>
            </w:r>
            <w:proofErr w:type="spellEnd"/>
            <w:r w:rsidRPr="00FE4251">
              <w:rPr>
                <w:szCs w:val="20"/>
              </w:rPr>
              <w:t xml:space="preserve"> in active Crohn’s disease: A comparison of the effects on quality of life.</w:t>
            </w:r>
          </w:p>
        </w:tc>
        <w:tc>
          <w:tcPr>
            <w:tcW w:w="1466" w:type="pct"/>
            <w:tcBorders>
              <w:top w:val="nil"/>
            </w:tcBorders>
          </w:tcPr>
          <w:p w:rsidR="001103C2" w:rsidRPr="00FE4251" w:rsidRDefault="001103C2" w:rsidP="00C21E75">
            <w:pPr>
              <w:pStyle w:val="TableText"/>
            </w:pPr>
            <w:r w:rsidRPr="00FE4251">
              <w:rPr>
                <w:iCs/>
                <w:szCs w:val="20"/>
              </w:rPr>
              <w:t>American Journal of Gastroenterology</w:t>
            </w:r>
            <w:r w:rsidRPr="00FE4251">
              <w:rPr>
                <w:szCs w:val="20"/>
              </w:rPr>
              <w:t xml:space="preserve"> 2002; 97(3): 649-653.</w:t>
            </w:r>
          </w:p>
        </w:tc>
      </w:tr>
      <w:tr w:rsidR="001103C2" w:rsidRPr="00FE4251" w:rsidTr="00C21E75">
        <w:tc>
          <w:tcPr>
            <w:tcW w:w="5000" w:type="pct"/>
            <w:gridSpan w:val="3"/>
          </w:tcPr>
          <w:p w:rsidR="001103C2" w:rsidRPr="00FE4251" w:rsidRDefault="004C7B75" w:rsidP="00C21E75">
            <w:pPr>
              <w:pStyle w:val="TableText"/>
              <w:rPr>
                <w:b/>
                <w:bCs/>
              </w:rPr>
            </w:pPr>
            <w:r w:rsidRPr="00FE4251">
              <w:rPr>
                <w:b/>
                <w:bCs/>
              </w:rPr>
              <w:t>Budesonide</w:t>
            </w:r>
            <w:r w:rsidR="001103C2" w:rsidRPr="00FE4251">
              <w:rPr>
                <w:b/>
                <w:bCs/>
              </w:rPr>
              <w:t xml:space="preserve"> (</w:t>
            </w:r>
            <w:proofErr w:type="spellStart"/>
            <w:r w:rsidR="001103C2" w:rsidRPr="00FE4251">
              <w:rPr>
                <w:b/>
                <w:bCs/>
              </w:rPr>
              <w:t>Budenofalk</w:t>
            </w:r>
            <w:proofErr w:type="spellEnd"/>
            <w:r w:rsidR="001103C2" w:rsidRPr="00FE4251">
              <w:rPr>
                <w:b/>
                <w:bCs/>
              </w:rPr>
              <w:t xml:space="preserve">® formulation) versus </w:t>
            </w:r>
            <w:proofErr w:type="spellStart"/>
            <w:r w:rsidR="001103C2" w:rsidRPr="00FE4251">
              <w:rPr>
                <w:b/>
                <w:bCs/>
              </w:rPr>
              <w:t>mesalazine</w:t>
            </w:r>
            <w:proofErr w:type="spellEnd"/>
          </w:p>
        </w:tc>
      </w:tr>
      <w:tr w:rsidR="001103C2" w:rsidRPr="00FE4251" w:rsidTr="00C21E75">
        <w:tc>
          <w:tcPr>
            <w:tcW w:w="954" w:type="pct"/>
          </w:tcPr>
          <w:p w:rsidR="001103C2" w:rsidRPr="00FE4251" w:rsidRDefault="001103C2" w:rsidP="00C21E75">
            <w:pPr>
              <w:pStyle w:val="TableText"/>
            </w:pPr>
            <w:proofErr w:type="spellStart"/>
            <w:r w:rsidRPr="00FE4251">
              <w:t>Tromm</w:t>
            </w:r>
            <w:proofErr w:type="spellEnd"/>
            <w:r w:rsidRPr="00FE4251">
              <w:t xml:space="preserve"> 2011</w:t>
            </w:r>
          </w:p>
        </w:tc>
        <w:tc>
          <w:tcPr>
            <w:tcW w:w="2580" w:type="pct"/>
          </w:tcPr>
          <w:p w:rsidR="001103C2" w:rsidRPr="00FE4251" w:rsidRDefault="001103C2" w:rsidP="00C21E75">
            <w:pPr>
              <w:pStyle w:val="TableText"/>
            </w:pPr>
            <w:r w:rsidRPr="00FE4251">
              <w:rPr>
                <w:lang w:val="it-IT"/>
              </w:rPr>
              <w:t xml:space="preserve">Tromm A, Bunganic I, Tomsova E, et al. </w:t>
            </w:r>
            <w:r w:rsidRPr="00FE4251">
              <w:t xml:space="preserve">Budesonide 9 mg is at least as effective as </w:t>
            </w:r>
            <w:proofErr w:type="spellStart"/>
            <w:r w:rsidRPr="00FE4251">
              <w:t>mesalamine</w:t>
            </w:r>
            <w:proofErr w:type="spellEnd"/>
            <w:r w:rsidRPr="00FE4251">
              <w:t xml:space="preserve"> 4.5 g in patients with mildly to moderately active Crohn’s disease. </w:t>
            </w:r>
          </w:p>
        </w:tc>
        <w:tc>
          <w:tcPr>
            <w:tcW w:w="1466" w:type="pct"/>
          </w:tcPr>
          <w:p w:rsidR="001103C2" w:rsidRPr="00FE4251" w:rsidRDefault="001103C2" w:rsidP="00C21E75">
            <w:pPr>
              <w:pStyle w:val="TableText"/>
            </w:pPr>
            <w:r w:rsidRPr="00FE4251">
              <w:rPr>
                <w:iCs/>
              </w:rPr>
              <w:t>Gastroenterology</w:t>
            </w:r>
            <w:r w:rsidRPr="00FE4251">
              <w:t xml:space="preserve"> 2011; 140(2): 425-434.</w:t>
            </w:r>
          </w:p>
        </w:tc>
      </w:tr>
      <w:tr w:rsidR="001103C2" w:rsidRPr="00FE4251" w:rsidTr="00C21E75">
        <w:tc>
          <w:tcPr>
            <w:tcW w:w="5000" w:type="pct"/>
            <w:gridSpan w:val="3"/>
          </w:tcPr>
          <w:p w:rsidR="001103C2" w:rsidRPr="00FE4251" w:rsidRDefault="004C7B75" w:rsidP="00C21E75">
            <w:pPr>
              <w:pStyle w:val="TableText"/>
              <w:rPr>
                <w:b/>
              </w:rPr>
            </w:pPr>
            <w:r w:rsidRPr="00FE4251">
              <w:rPr>
                <w:b/>
              </w:rPr>
              <w:t>Budesonide</w:t>
            </w:r>
            <w:r w:rsidR="001103C2" w:rsidRPr="00FE4251">
              <w:rPr>
                <w:b/>
              </w:rPr>
              <w:t xml:space="preserve"> versus placebo</w:t>
            </w:r>
          </w:p>
        </w:tc>
      </w:tr>
      <w:tr w:rsidR="001103C2" w:rsidRPr="00FE4251" w:rsidTr="00C21E75">
        <w:tc>
          <w:tcPr>
            <w:tcW w:w="954" w:type="pct"/>
            <w:vMerge w:val="restart"/>
            <w:tcBorders>
              <w:right w:val="single" w:sz="4" w:space="0" w:color="auto"/>
            </w:tcBorders>
          </w:tcPr>
          <w:p w:rsidR="001103C2" w:rsidRPr="00FE4251" w:rsidRDefault="001103C2" w:rsidP="00C21E75">
            <w:pPr>
              <w:pStyle w:val="TableText"/>
            </w:pPr>
            <w:r w:rsidRPr="00FE4251">
              <w:t>Greenberg 1994</w:t>
            </w:r>
          </w:p>
        </w:tc>
        <w:tc>
          <w:tcPr>
            <w:tcW w:w="2580" w:type="pct"/>
            <w:tcBorders>
              <w:top w:val="single" w:sz="4" w:space="0" w:color="auto"/>
              <w:left w:val="single" w:sz="4" w:space="0" w:color="auto"/>
              <w:bottom w:val="nil"/>
              <w:right w:val="single" w:sz="4" w:space="0" w:color="auto"/>
            </w:tcBorders>
          </w:tcPr>
          <w:p w:rsidR="001103C2" w:rsidRPr="00FE4251" w:rsidRDefault="001103C2" w:rsidP="00C21E75">
            <w:pPr>
              <w:pStyle w:val="TableText"/>
            </w:pPr>
            <w:r w:rsidRPr="00FE4251">
              <w:t>CSR: Study 08-3001. Oral budesonide in Crohn’s disease. A dose finding placebo-controlled study.</w:t>
            </w:r>
          </w:p>
        </w:tc>
        <w:tc>
          <w:tcPr>
            <w:tcW w:w="1466" w:type="pct"/>
            <w:tcBorders>
              <w:top w:val="single" w:sz="4" w:space="0" w:color="auto"/>
              <w:left w:val="single" w:sz="4" w:space="0" w:color="auto"/>
              <w:bottom w:val="nil"/>
              <w:right w:val="single" w:sz="4" w:space="0" w:color="auto"/>
            </w:tcBorders>
          </w:tcPr>
          <w:p w:rsidR="001103C2" w:rsidRPr="00FE4251" w:rsidRDefault="001103C2" w:rsidP="00C21E75">
            <w:pPr>
              <w:pStyle w:val="TableText"/>
            </w:pPr>
            <w:r w:rsidRPr="00FE4251">
              <w:t>5 April 1994.</w:t>
            </w:r>
          </w:p>
        </w:tc>
      </w:tr>
      <w:tr w:rsidR="001103C2" w:rsidRPr="00FE4251" w:rsidTr="00C21E75">
        <w:tc>
          <w:tcPr>
            <w:tcW w:w="954" w:type="pct"/>
            <w:vMerge/>
            <w:tcBorders>
              <w:right w:val="single" w:sz="4" w:space="0" w:color="auto"/>
            </w:tcBorders>
          </w:tcPr>
          <w:p w:rsidR="001103C2" w:rsidRPr="00FE4251" w:rsidRDefault="001103C2" w:rsidP="00C21E75">
            <w:pPr>
              <w:pStyle w:val="TableText"/>
            </w:pPr>
          </w:p>
        </w:tc>
        <w:tc>
          <w:tcPr>
            <w:tcW w:w="2580" w:type="pct"/>
            <w:tcBorders>
              <w:top w:val="nil"/>
              <w:left w:val="single" w:sz="4" w:space="0" w:color="auto"/>
              <w:bottom w:val="single" w:sz="4" w:space="0" w:color="auto"/>
              <w:right w:val="single" w:sz="4" w:space="0" w:color="auto"/>
            </w:tcBorders>
          </w:tcPr>
          <w:p w:rsidR="001103C2" w:rsidRPr="00FE4251" w:rsidRDefault="001103C2" w:rsidP="00C21E75">
            <w:pPr>
              <w:pStyle w:val="TableText"/>
            </w:pPr>
            <w:r w:rsidRPr="00FE4251">
              <w:t xml:space="preserve">Greenberg GR, </w:t>
            </w:r>
            <w:proofErr w:type="spellStart"/>
            <w:r w:rsidRPr="00FE4251">
              <w:t>Feagan</w:t>
            </w:r>
            <w:proofErr w:type="spellEnd"/>
            <w:r w:rsidRPr="00FE4251">
              <w:t xml:space="preserve"> BG, Martin F, et al. Oral budesonide for active Crohn’s disease.</w:t>
            </w:r>
          </w:p>
        </w:tc>
        <w:tc>
          <w:tcPr>
            <w:tcW w:w="1466" w:type="pct"/>
            <w:tcBorders>
              <w:top w:val="nil"/>
              <w:left w:val="single" w:sz="4" w:space="0" w:color="auto"/>
              <w:bottom w:val="single" w:sz="4" w:space="0" w:color="auto"/>
              <w:right w:val="single" w:sz="4" w:space="0" w:color="auto"/>
            </w:tcBorders>
          </w:tcPr>
          <w:p w:rsidR="001103C2" w:rsidRPr="00FE4251" w:rsidRDefault="001103C2" w:rsidP="00C21E75">
            <w:pPr>
              <w:pStyle w:val="TableText"/>
            </w:pPr>
            <w:r w:rsidRPr="00FE4251">
              <w:rPr>
                <w:iCs/>
                <w:szCs w:val="20"/>
              </w:rPr>
              <w:t>New England Journal of Medicine</w:t>
            </w:r>
            <w:r w:rsidRPr="00FE4251">
              <w:rPr>
                <w:szCs w:val="20"/>
              </w:rPr>
              <w:t xml:space="preserve"> 1994; 331(13): 836-841.</w:t>
            </w:r>
          </w:p>
        </w:tc>
      </w:tr>
      <w:tr w:rsidR="001103C2" w:rsidRPr="00FE4251" w:rsidTr="00C21E75">
        <w:tc>
          <w:tcPr>
            <w:tcW w:w="954" w:type="pct"/>
            <w:vMerge w:val="restart"/>
            <w:tcBorders>
              <w:right w:val="single" w:sz="4" w:space="0" w:color="auto"/>
            </w:tcBorders>
          </w:tcPr>
          <w:p w:rsidR="001103C2" w:rsidRPr="00FE4251" w:rsidRDefault="001103C2" w:rsidP="00C21E75">
            <w:pPr>
              <w:pStyle w:val="TableText"/>
            </w:pPr>
            <w:r w:rsidRPr="00FE4251">
              <w:t>Tremaine 2002</w:t>
            </w:r>
          </w:p>
        </w:tc>
        <w:tc>
          <w:tcPr>
            <w:tcW w:w="2580" w:type="pct"/>
            <w:tcBorders>
              <w:top w:val="single" w:sz="4" w:space="0" w:color="auto"/>
              <w:left w:val="single" w:sz="4" w:space="0" w:color="auto"/>
              <w:bottom w:val="nil"/>
              <w:right w:val="single" w:sz="4" w:space="0" w:color="auto"/>
            </w:tcBorders>
          </w:tcPr>
          <w:p w:rsidR="001103C2" w:rsidRPr="00FE4251" w:rsidRDefault="001103C2" w:rsidP="00C21E75">
            <w:pPr>
              <w:pStyle w:val="TableText"/>
            </w:pPr>
            <w:r w:rsidRPr="00FE4251">
              <w:t xml:space="preserve">CSR: Study 08-3025. Budesonide controlled </w:t>
            </w:r>
            <w:proofErr w:type="spellStart"/>
            <w:r w:rsidRPr="00FE4251">
              <w:t>ileal</w:t>
            </w:r>
            <w:proofErr w:type="spellEnd"/>
            <w:r w:rsidRPr="00FE4251">
              <w:t xml:space="preserve"> release capsules once or twice daily in active Crohn’s disease. A placebo-controlled study.</w:t>
            </w:r>
          </w:p>
        </w:tc>
        <w:tc>
          <w:tcPr>
            <w:tcW w:w="1466" w:type="pct"/>
            <w:tcBorders>
              <w:top w:val="single" w:sz="4" w:space="0" w:color="auto"/>
              <w:left w:val="single" w:sz="4" w:space="0" w:color="auto"/>
              <w:bottom w:val="nil"/>
              <w:right w:val="single" w:sz="4" w:space="0" w:color="auto"/>
            </w:tcBorders>
          </w:tcPr>
          <w:p w:rsidR="001103C2" w:rsidRPr="00FE4251" w:rsidRDefault="001103C2" w:rsidP="00C21E75">
            <w:pPr>
              <w:pStyle w:val="TableText"/>
            </w:pPr>
            <w:r w:rsidRPr="00FE4251">
              <w:t>9 October 1998.</w:t>
            </w:r>
          </w:p>
        </w:tc>
      </w:tr>
      <w:tr w:rsidR="001103C2" w:rsidRPr="00FE4251" w:rsidTr="00C21E75">
        <w:tc>
          <w:tcPr>
            <w:tcW w:w="954" w:type="pct"/>
            <w:vMerge/>
            <w:tcBorders>
              <w:right w:val="single" w:sz="4" w:space="0" w:color="auto"/>
            </w:tcBorders>
          </w:tcPr>
          <w:p w:rsidR="001103C2" w:rsidRPr="00FE4251" w:rsidRDefault="001103C2" w:rsidP="00C21E75">
            <w:pPr>
              <w:pStyle w:val="TableText"/>
            </w:pPr>
          </w:p>
        </w:tc>
        <w:tc>
          <w:tcPr>
            <w:tcW w:w="2580" w:type="pct"/>
            <w:tcBorders>
              <w:top w:val="nil"/>
              <w:left w:val="single" w:sz="4" w:space="0" w:color="auto"/>
              <w:bottom w:val="single" w:sz="4" w:space="0" w:color="auto"/>
              <w:right w:val="single" w:sz="4" w:space="0" w:color="auto"/>
            </w:tcBorders>
          </w:tcPr>
          <w:p w:rsidR="001103C2" w:rsidRPr="00FE4251" w:rsidRDefault="001103C2" w:rsidP="008979EE">
            <w:pPr>
              <w:pStyle w:val="TableText"/>
            </w:pPr>
            <w:r w:rsidRPr="00FE4251">
              <w:t xml:space="preserve">Tremaine WJ, </w:t>
            </w:r>
            <w:proofErr w:type="spellStart"/>
            <w:r w:rsidRPr="00FE4251">
              <w:t>Hanauer</w:t>
            </w:r>
            <w:proofErr w:type="spellEnd"/>
            <w:r w:rsidRPr="00FE4251">
              <w:t xml:space="preserve"> SB, Katz S, et al. </w:t>
            </w:r>
            <w:r w:rsidR="004C7B75" w:rsidRPr="00FE4251">
              <w:t>Budesonide</w:t>
            </w:r>
            <w:r w:rsidRPr="00FE4251">
              <w:t xml:space="preserve"> </w:t>
            </w:r>
            <w:r w:rsidR="008979EE" w:rsidRPr="00FE4251">
              <w:t>CIR c</w:t>
            </w:r>
            <w:r w:rsidRPr="00FE4251">
              <w:t>apsules (once or twice daily divided-dose) in active Crohn’s disease: A randomized placebo-controlled study in the United States.</w:t>
            </w:r>
          </w:p>
        </w:tc>
        <w:tc>
          <w:tcPr>
            <w:tcW w:w="1466" w:type="pct"/>
            <w:tcBorders>
              <w:top w:val="nil"/>
              <w:left w:val="single" w:sz="4" w:space="0" w:color="auto"/>
              <w:bottom w:val="single" w:sz="4" w:space="0" w:color="auto"/>
              <w:right w:val="single" w:sz="4" w:space="0" w:color="auto"/>
            </w:tcBorders>
          </w:tcPr>
          <w:p w:rsidR="001103C2" w:rsidRPr="00FE4251" w:rsidRDefault="001103C2" w:rsidP="00C21E75">
            <w:pPr>
              <w:pStyle w:val="TableText"/>
            </w:pPr>
            <w:r w:rsidRPr="00FE4251">
              <w:rPr>
                <w:iCs/>
                <w:szCs w:val="20"/>
              </w:rPr>
              <w:t>American Journal of Gastroenterology</w:t>
            </w:r>
            <w:r w:rsidRPr="00FE4251">
              <w:rPr>
                <w:szCs w:val="20"/>
              </w:rPr>
              <w:t xml:space="preserve"> 2002; 97(7): 1748-1754.</w:t>
            </w:r>
          </w:p>
        </w:tc>
      </w:tr>
      <w:tr w:rsidR="001103C2" w:rsidRPr="00FE4251" w:rsidTr="00C21E75">
        <w:tc>
          <w:tcPr>
            <w:tcW w:w="954" w:type="pct"/>
            <w:vMerge w:val="restart"/>
            <w:tcBorders>
              <w:right w:val="single" w:sz="4" w:space="0" w:color="auto"/>
            </w:tcBorders>
          </w:tcPr>
          <w:p w:rsidR="001103C2" w:rsidRPr="00FE4251" w:rsidRDefault="001103C2" w:rsidP="00C21E75">
            <w:pPr>
              <w:pStyle w:val="TableText"/>
            </w:pPr>
            <w:r w:rsidRPr="00FE4251">
              <w:t>Suzuki 2013</w:t>
            </w:r>
          </w:p>
        </w:tc>
        <w:tc>
          <w:tcPr>
            <w:tcW w:w="2580" w:type="pct"/>
            <w:tcBorders>
              <w:top w:val="single" w:sz="4" w:space="0" w:color="auto"/>
              <w:left w:val="single" w:sz="4" w:space="0" w:color="auto"/>
              <w:bottom w:val="nil"/>
              <w:right w:val="single" w:sz="4" w:space="0" w:color="auto"/>
            </w:tcBorders>
          </w:tcPr>
          <w:p w:rsidR="001103C2" w:rsidRPr="00FE4251" w:rsidRDefault="001103C2" w:rsidP="00C21E75">
            <w:pPr>
              <w:pStyle w:val="TableText"/>
            </w:pPr>
            <w:r w:rsidRPr="00FE4251">
              <w:t>CSR: Study D9421C00002. A multicentre, double-blind, randomised, parallel-group, phase II study to assess efficacy and safety of D9421-C 9 mg and 15 mg versus placebo in Japanese patients with active Crohn’s disease.</w:t>
            </w:r>
          </w:p>
        </w:tc>
        <w:tc>
          <w:tcPr>
            <w:tcW w:w="1466" w:type="pct"/>
            <w:tcBorders>
              <w:top w:val="single" w:sz="4" w:space="0" w:color="auto"/>
              <w:left w:val="single" w:sz="4" w:space="0" w:color="auto"/>
              <w:bottom w:val="nil"/>
              <w:right w:val="single" w:sz="4" w:space="0" w:color="auto"/>
            </w:tcBorders>
          </w:tcPr>
          <w:p w:rsidR="001103C2" w:rsidRPr="00FE4251" w:rsidRDefault="001103C2" w:rsidP="00C21E75">
            <w:pPr>
              <w:pStyle w:val="TableText"/>
            </w:pPr>
            <w:r w:rsidRPr="00FE4251">
              <w:t>8 October 2008.</w:t>
            </w:r>
          </w:p>
          <w:p w:rsidR="001103C2" w:rsidRPr="00FE4251" w:rsidRDefault="001103C2" w:rsidP="00C21E75">
            <w:pPr>
              <w:pStyle w:val="TableText"/>
            </w:pPr>
          </w:p>
          <w:p w:rsidR="001103C2" w:rsidRPr="00FE4251" w:rsidRDefault="001103C2" w:rsidP="00C21E75">
            <w:pPr>
              <w:pStyle w:val="TableText"/>
            </w:pPr>
          </w:p>
        </w:tc>
      </w:tr>
      <w:tr w:rsidR="001103C2" w:rsidRPr="00FE4251" w:rsidTr="00C21E75">
        <w:tc>
          <w:tcPr>
            <w:tcW w:w="954" w:type="pct"/>
            <w:vMerge/>
            <w:tcBorders>
              <w:right w:val="single" w:sz="4" w:space="0" w:color="auto"/>
            </w:tcBorders>
          </w:tcPr>
          <w:p w:rsidR="001103C2" w:rsidRPr="00FE4251" w:rsidRDefault="001103C2" w:rsidP="00C21E75">
            <w:pPr>
              <w:pStyle w:val="TableText"/>
            </w:pPr>
          </w:p>
        </w:tc>
        <w:tc>
          <w:tcPr>
            <w:tcW w:w="2580" w:type="pct"/>
            <w:tcBorders>
              <w:top w:val="nil"/>
              <w:left w:val="single" w:sz="4" w:space="0" w:color="auto"/>
              <w:bottom w:val="single" w:sz="4" w:space="0" w:color="auto"/>
              <w:right w:val="single" w:sz="4" w:space="0" w:color="auto"/>
            </w:tcBorders>
          </w:tcPr>
          <w:p w:rsidR="001103C2" w:rsidRPr="00FE4251" w:rsidRDefault="001103C2" w:rsidP="00C21E75">
            <w:pPr>
              <w:pStyle w:val="TableText"/>
            </w:pPr>
            <w:r w:rsidRPr="00FE4251">
              <w:rPr>
                <w:lang w:val="es-ES_tradnl"/>
              </w:rPr>
              <w:t xml:space="preserve">Suzuki Y, </w:t>
            </w:r>
            <w:proofErr w:type="spellStart"/>
            <w:r w:rsidRPr="00FE4251">
              <w:rPr>
                <w:lang w:val="es-ES_tradnl"/>
              </w:rPr>
              <w:t>Motoya</w:t>
            </w:r>
            <w:proofErr w:type="spellEnd"/>
            <w:r w:rsidRPr="00FE4251">
              <w:rPr>
                <w:lang w:val="es-ES_tradnl"/>
              </w:rPr>
              <w:t xml:space="preserve"> S, </w:t>
            </w:r>
            <w:proofErr w:type="spellStart"/>
            <w:r w:rsidRPr="00FE4251">
              <w:rPr>
                <w:lang w:val="es-ES_tradnl"/>
              </w:rPr>
              <w:t>Takazoe</w:t>
            </w:r>
            <w:proofErr w:type="spellEnd"/>
            <w:r w:rsidRPr="00FE4251">
              <w:rPr>
                <w:lang w:val="es-ES_tradnl"/>
              </w:rPr>
              <w:t xml:space="preserve"> M, et al. </w:t>
            </w:r>
            <w:r w:rsidRPr="00FE4251">
              <w:t>Efficacy and tolerability of oral budesonide in Japanese patients with active Crohn’s disease: A multicentre, double-blind, randomized, parallel-group phase II study.</w:t>
            </w:r>
          </w:p>
        </w:tc>
        <w:tc>
          <w:tcPr>
            <w:tcW w:w="1466" w:type="pct"/>
            <w:tcBorders>
              <w:top w:val="nil"/>
              <w:left w:val="single" w:sz="4" w:space="0" w:color="auto"/>
              <w:bottom w:val="single" w:sz="4" w:space="0" w:color="auto"/>
              <w:right w:val="single" w:sz="4" w:space="0" w:color="auto"/>
            </w:tcBorders>
          </w:tcPr>
          <w:p w:rsidR="001103C2" w:rsidRPr="00FE4251" w:rsidRDefault="001103C2" w:rsidP="00C21E75">
            <w:pPr>
              <w:pStyle w:val="TableText"/>
            </w:pPr>
            <w:r w:rsidRPr="00FE4251">
              <w:rPr>
                <w:iCs/>
              </w:rPr>
              <w:t>Journal of Crohn’s and Colitis</w:t>
            </w:r>
            <w:r w:rsidRPr="00FE4251">
              <w:t xml:space="preserve"> 2013; 7(3): 239-347.</w:t>
            </w:r>
          </w:p>
        </w:tc>
      </w:tr>
      <w:tr w:rsidR="001103C2" w:rsidRPr="00FE4251" w:rsidTr="00C21E75">
        <w:tc>
          <w:tcPr>
            <w:tcW w:w="5000" w:type="pct"/>
            <w:gridSpan w:val="3"/>
          </w:tcPr>
          <w:p w:rsidR="001103C2" w:rsidRPr="00FE4251" w:rsidRDefault="004C7B75" w:rsidP="00C21E75">
            <w:pPr>
              <w:pStyle w:val="TableText"/>
              <w:rPr>
                <w:b/>
                <w:bCs/>
                <w:iCs/>
              </w:rPr>
            </w:pPr>
            <w:r w:rsidRPr="00FE4251">
              <w:rPr>
                <w:b/>
                <w:bCs/>
                <w:iCs/>
              </w:rPr>
              <w:t>Budesonide</w:t>
            </w:r>
            <w:r w:rsidR="001103C2" w:rsidRPr="00FE4251">
              <w:rPr>
                <w:b/>
                <w:bCs/>
                <w:iCs/>
              </w:rPr>
              <w:t xml:space="preserve"> versus prednisolone</w:t>
            </w:r>
          </w:p>
        </w:tc>
      </w:tr>
      <w:tr w:rsidR="001103C2" w:rsidRPr="00FE4251" w:rsidTr="00C21E75">
        <w:tc>
          <w:tcPr>
            <w:tcW w:w="954" w:type="pct"/>
          </w:tcPr>
          <w:p w:rsidR="001103C2" w:rsidRPr="00FE4251" w:rsidRDefault="001103C2" w:rsidP="00C21E75">
            <w:pPr>
              <w:pStyle w:val="TableText"/>
              <w:rPr>
                <w:iCs/>
              </w:rPr>
            </w:pPr>
            <w:proofErr w:type="spellStart"/>
            <w:r w:rsidRPr="00FE4251">
              <w:rPr>
                <w:iCs/>
              </w:rPr>
              <w:t>Rutgeerts</w:t>
            </w:r>
            <w:proofErr w:type="spellEnd"/>
            <w:r w:rsidRPr="00FE4251">
              <w:rPr>
                <w:iCs/>
              </w:rPr>
              <w:t xml:space="preserve"> 1994</w:t>
            </w:r>
          </w:p>
        </w:tc>
        <w:tc>
          <w:tcPr>
            <w:tcW w:w="2580" w:type="pct"/>
          </w:tcPr>
          <w:p w:rsidR="001103C2" w:rsidRPr="00FE4251" w:rsidRDefault="001103C2" w:rsidP="00C21E75">
            <w:pPr>
              <w:pStyle w:val="TableText"/>
              <w:rPr>
                <w:iCs/>
              </w:rPr>
            </w:pPr>
            <w:proofErr w:type="spellStart"/>
            <w:r w:rsidRPr="00FE4251">
              <w:rPr>
                <w:iCs/>
              </w:rPr>
              <w:t>Rutgeerts</w:t>
            </w:r>
            <w:proofErr w:type="spellEnd"/>
            <w:r w:rsidRPr="00FE4251">
              <w:rPr>
                <w:iCs/>
              </w:rPr>
              <w:t xml:space="preserve"> P, </w:t>
            </w:r>
            <w:proofErr w:type="spellStart"/>
            <w:r w:rsidRPr="00FE4251">
              <w:rPr>
                <w:iCs/>
              </w:rPr>
              <w:t>Lofberg</w:t>
            </w:r>
            <w:proofErr w:type="spellEnd"/>
            <w:r w:rsidRPr="00FE4251">
              <w:rPr>
                <w:iCs/>
              </w:rPr>
              <w:t xml:space="preserve"> R, </w:t>
            </w:r>
            <w:proofErr w:type="spellStart"/>
            <w:r w:rsidRPr="00FE4251">
              <w:rPr>
                <w:iCs/>
              </w:rPr>
              <w:t>Malchow</w:t>
            </w:r>
            <w:proofErr w:type="spellEnd"/>
            <w:r w:rsidRPr="00FE4251">
              <w:rPr>
                <w:iCs/>
              </w:rPr>
              <w:t xml:space="preserve"> H, et al. A comparison of budesonide with prednisolone for active Crohn’s disease.</w:t>
            </w:r>
          </w:p>
        </w:tc>
        <w:tc>
          <w:tcPr>
            <w:tcW w:w="1466" w:type="pct"/>
          </w:tcPr>
          <w:p w:rsidR="001103C2" w:rsidRPr="00FE4251" w:rsidRDefault="001103C2" w:rsidP="00C21E75">
            <w:pPr>
              <w:pStyle w:val="TableText"/>
              <w:rPr>
                <w:iCs/>
              </w:rPr>
            </w:pPr>
            <w:r w:rsidRPr="00FE4251">
              <w:rPr>
                <w:iCs/>
                <w:szCs w:val="20"/>
              </w:rPr>
              <w:t>New England Journal of Medicine 1994; 331(13): 842-845.</w:t>
            </w:r>
          </w:p>
        </w:tc>
      </w:tr>
      <w:tr w:rsidR="001103C2" w:rsidRPr="00FE4251" w:rsidTr="00C21E75">
        <w:tc>
          <w:tcPr>
            <w:tcW w:w="954" w:type="pct"/>
          </w:tcPr>
          <w:p w:rsidR="001103C2" w:rsidRPr="00FE4251" w:rsidRDefault="001103C2" w:rsidP="00C21E75">
            <w:pPr>
              <w:pStyle w:val="TableText"/>
              <w:rPr>
                <w:iCs/>
              </w:rPr>
            </w:pPr>
            <w:proofErr w:type="spellStart"/>
            <w:r w:rsidRPr="00FE4251">
              <w:rPr>
                <w:iCs/>
              </w:rPr>
              <w:t>Campieri</w:t>
            </w:r>
            <w:proofErr w:type="spellEnd"/>
            <w:r w:rsidRPr="00FE4251">
              <w:rPr>
                <w:iCs/>
              </w:rPr>
              <w:t xml:space="preserve"> 1997</w:t>
            </w:r>
          </w:p>
        </w:tc>
        <w:tc>
          <w:tcPr>
            <w:tcW w:w="2580" w:type="pct"/>
          </w:tcPr>
          <w:p w:rsidR="001103C2" w:rsidRPr="00FE4251" w:rsidRDefault="001103C2" w:rsidP="00C21E75">
            <w:pPr>
              <w:pStyle w:val="TableText"/>
              <w:rPr>
                <w:iCs/>
              </w:rPr>
            </w:pPr>
            <w:r w:rsidRPr="00FE4251">
              <w:rPr>
                <w:iCs/>
                <w:lang w:val="it-IT"/>
              </w:rPr>
              <w:t xml:space="preserve">Campieri M, Ferguson A, Doe W, et al. </w:t>
            </w:r>
            <w:r w:rsidRPr="00FE4251">
              <w:rPr>
                <w:iCs/>
              </w:rPr>
              <w:t>Oral budesonide is as effective as oral prednisolone in active Crohn’s disease.</w:t>
            </w:r>
          </w:p>
        </w:tc>
        <w:tc>
          <w:tcPr>
            <w:tcW w:w="1466" w:type="pct"/>
          </w:tcPr>
          <w:p w:rsidR="001103C2" w:rsidRPr="00FE4251" w:rsidRDefault="001103C2" w:rsidP="00C21E75">
            <w:pPr>
              <w:pStyle w:val="TableText"/>
              <w:rPr>
                <w:iCs/>
              </w:rPr>
            </w:pPr>
            <w:r w:rsidRPr="00FE4251">
              <w:rPr>
                <w:iCs/>
              </w:rPr>
              <w:t>Gut 1997; 41: 209-214.</w:t>
            </w:r>
          </w:p>
        </w:tc>
      </w:tr>
    </w:tbl>
    <w:p w:rsidR="001103C2" w:rsidRPr="00FE4251" w:rsidRDefault="001103C2" w:rsidP="001103C2">
      <w:pPr>
        <w:pStyle w:val="TableFooter"/>
      </w:pPr>
      <w:r w:rsidRPr="00FE4251">
        <w:t>Source: Table 20, pp25-27 of the submission</w:t>
      </w:r>
    </w:p>
    <w:p w:rsidR="009C77A7" w:rsidRPr="00FE4251" w:rsidRDefault="009C77A7" w:rsidP="001103C2">
      <w:pPr>
        <w:pStyle w:val="TableFooter"/>
      </w:pPr>
    </w:p>
    <w:p w:rsidR="001103C2" w:rsidRPr="00FE4251" w:rsidRDefault="001103C2" w:rsidP="001D7BAE">
      <w:pPr>
        <w:pStyle w:val="ListParagraph"/>
        <w:numPr>
          <w:ilvl w:val="1"/>
          <w:numId w:val="1"/>
        </w:numPr>
        <w:spacing w:before="0" w:after="120"/>
        <w:ind w:left="709" w:hanging="709"/>
        <w:jc w:val="both"/>
        <w:rPr>
          <w:iCs/>
        </w:rPr>
      </w:pPr>
      <w:r w:rsidRPr="00FE4251">
        <w:rPr>
          <w:iCs/>
        </w:rPr>
        <w:t xml:space="preserve">The key features of the randomised </w:t>
      </w:r>
      <w:r w:rsidR="00C21E75" w:rsidRPr="00FE4251">
        <w:rPr>
          <w:iCs/>
        </w:rPr>
        <w:t>trials are summarised in Table 3</w:t>
      </w:r>
      <w:r w:rsidRPr="00FE4251">
        <w:rPr>
          <w:iCs/>
        </w:rPr>
        <w:t>.</w:t>
      </w:r>
    </w:p>
    <w:p w:rsidR="001103C2" w:rsidRPr="00FE4251" w:rsidRDefault="001103C2" w:rsidP="00212DCD">
      <w:pPr>
        <w:pStyle w:val="ListParagraph"/>
        <w:ind w:left="709"/>
        <w:jc w:val="both"/>
      </w:pPr>
    </w:p>
    <w:p w:rsidR="001103C2" w:rsidRPr="00FE4251" w:rsidRDefault="001103C2" w:rsidP="001103C2">
      <w:pPr>
        <w:keepNext/>
        <w:spacing w:before="0" w:after="60"/>
        <w:rPr>
          <w:rFonts w:ascii="Arial Narrow" w:hAnsi="Arial Narrow"/>
          <w:b/>
          <w:sz w:val="20"/>
        </w:rPr>
      </w:pPr>
      <w:r w:rsidRPr="00FE4251">
        <w:rPr>
          <w:rFonts w:ascii="Arial Narrow" w:hAnsi="Arial Narrow"/>
          <w:b/>
          <w:sz w:val="20"/>
        </w:rPr>
        <w:t xml:space="preserve">Table </w:t>
      </w:r>
      <w:r w:rsidR="00C96268" w:rsidRPr="00FE4251">
        <w:rPr>
          <w:rFonts w:ascii="Arial Narrow" w:hAnsi="Arial Narrow"/>
          <w:b/>
          <w:sz w:val="20"/>
        </w:rPr>
        <w:t>3</w:t>
      </w:r>
      <w:r w:rsidRPr="00FE4251">
        <w:rPr>
          <w:rFonts w:ascii="Arial Narrow" w:hAnsi="Arial Narrow"/>
          <w:b/>
          <w:sz w:val="20"/>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4"/>
        <w:gridCol w:w="774"/>
        <w:gridCol w:w="2005"/>
        <w:gridCol w:w="1079"/>
        <w:gridCol w:w="1542"/>
        <w:gridCol w:w="1233"/>
        <w:gridCol w:w="1215"/>
      </w:tblGrid>
      <w:tr w:rsidR="001103C2" w:rsidRPr="00FE4251" w:rsidTr="00DA6A6B">
        <w:tc>
          <w:tcPr>
            <w:tcW w:w="679" w:type="pct"/>
            <w:shd w:val="clear" w:color="auto" w:fill="auto"/>
            <w:vAlign w:val="center"/>
          </w:tcPr>
          <w:p w:rsidR="001103C2" w:rsidRPr="00FE4251" w:rsidRDefault="001103C2" w:rsidP="00DA6A6B">
            <w:pPr>
              <w:keepNext/>
              <w:spacing w:before="40" w:after="40"/>
              <w:rPr>
                <w:rFonts w:ascii="Arial Narrow" w:hAnsi="Arial Narrow"/>
                <w:b/>
                <w:sz w:val="20"/>
              </w:rPr>
            </w:pPr>
            <w:r w:rsidRPr="00FE4251">
              <w:rPr>
                <w:rFonts w:ascii="Arial Narrow" w:hAnsi="Arial Narrow"/>
                <w:b/>
                <w:sz w:val="20"/>
              </w:rPr>
              <w:t>Trial</w:t>
            </w:r>
          </w:p>
        </w:tc>
        <w:tc>
          <w:tcPr>
            <w:tcW w:w="426" w:type="pct"/>
            <w:shd w:val="clear" w:color="auto" w:fill="auto"/>
            <w:vAlign w:val="center"/>
          </w:tcPr>
          <w:p w:rsidR="001103C2" w:rsidRPr="00FE4251" w:rsidRDefault="001103C2" w:rsidP="00DA6A6B">
            <w:pPr>
              <w:keepNext/>
              <w:spacing w:before="40" w:after="40"/>
              <w:rPr>
                <w:rFonts w:ascii="Arial Narrow" w:hAnsi="Arial Narrow"/>
                <w:b/>
                <w:sz w:val="20"/>
              </w:rPr>
            </w:pPr>
            <w:r w:rsidRPr="00FE4251">
              <w:rPr>
                <w:rFonts w:ascii="Arial Narrow" w:hAnsi="Arial Narrow"/>
                <w:b/>
                <w:sz w:val="20"/>
              </w:rPr>
              <w:t>N</w:t>
            </w:r>
          </w:p>
        </w:tc>
        <w:tc>
          <w:tcPr>
            <w:tcW w:w="1104" w:type="pct"/>
            <w:shd w:val="clear" w:color="auto" w:fill="auto"/>
            <w:vAlign w:val="center"/>
          </w:tcPr>
          <w:p w:rsidR="001103C2" w:rsidRPr="00FE4251" w:rsidRDefault="001103C2" w:rsidP="00DA6A6B">
            <w:pPr>
              <w:keepNext/>
              <w:spacing w:before="40" w:after="40"/>
              <w:rPr>
                <w:rFonts w:ascii="Arial Narrow" w:hAnsi="Arial Narrow"/>
                <w:b/>
                <w:sz w:val="20"/>
              </w:rPr>
            </w:pPr>
            <w:r w:rsidRPr="00FE4251">
              <w:rPr>
                <w:rFonts w:ascii="Arial Narrow" w:hAnsi="Arial Narrow"/>
                <w:b/>
                <w:sz w:val="20"/>
              </w:rPr>
              <w:t>Design/ duration of follow-up</w:t>
            </w:r>
          </w:p>
        </w:tc>
        <w:tc>
          <w:tcPr>
            <w:tcW w:w="594" w:type="pct"/>
            <w:shd w:val="clear" w:color="auto" w:fill="auto"/>
            <w:vAlign w:val="center"/>
          </w:tcPr>
          <w:p w:rsidR="001103C2" w:rsidRPr="00FE4251" w:rsidRDefault="001103C2" w:rsidP="00DA6A6B">
            <w:pPr>
              <w:keepNext/>
              <w:spacing w:before="40" w:after="40"/>
              <w:rPr>
                <w:rFonts w:ascii="Arial Narrow" w:hAnsi="Arial Narrow"/>
                <w:b/>
                <w:sz w:val="20"/>
              </w:rPr>
            </w:pPr>
            <w:r w:rsidRPr="00FE4251">
              <w:rPr>
                <w:rFonts w:ascii="Arial Narrow" w:hAnsi="Arial Narrow"/>
                <w:b/>
                <w:sz w:val="20"/>
              </w:rPr>
              <w:t>Risk of bias</w:t>
            </w:r>
          </w:p>
        </w:tc>
        <w:tc>
          <w:tcPr>
            <w:tcW w:w="849" w:type="pct"/>
            <w:shd w:val="clear" w:color="auto" w:fill="auto"/>
            <w:vAlign w:val="center"/>
          </w:tcPr>
          <w:p w:rsidR="001103C2" w:rsidRPr="00FE4251" w:rsidRDefault="001103C2" w:rsidP="00DA6A6B">
            <w:pPr>
              <w:keepNext/>
              <w:spacing w:before="40" w:after="40"/>
              <w:rPr>
                <w:rFonts w:ascii="Arial Narrow" w:hAnsi="Arial Narrow"/>
                <w:b/>
                <w:sz w:val="20"/>
              </w:rPr>
            </w:pPr>
            <w:r w:rsidRPr="00FE4251">
              <w:rPr>
                <w:rFonts w:ascii="Arial Narrow" w:hAnsi="Arial Narrow"/>
                <w:b/>
                <w:sz w:val="20"/>
              </w:rPr>
              <w:t>Patient population</w:t>
            </w:r>
          </w:p>
        </w:tc>
        <w:tc>
          <w:tcPr>
            <w:tcW w:w="679" w:type="pct"/>
            <w:shd w:val="clear" w:color="auto" w:fill="auto"/>
            <w:vAlign w:val="center"/>
          </w:tcPr>
          <w:p w:rsidR="001103C2" w:rsidRPr="00FE4251" w:rsidRDefault="001103C2" w:rsidP="00DA6A6B">
            <w:pPr>
              <w:keepNext/>
              <w:spacing w:before="40" w:after="40"/>
              <w:rPr>
                <w:rFonts w:ascii="Arial Narrow" w:hAnsi="Arial Narrow"/>
                <w:b/>
                <w:sz w:val="20"/>
              </w:rPr>
            </w:pPr>
            <w:r w:rsidRPr="00FE4251">
              <w:rPr>
                <w:rFonts w:ascii="Arial Narrow" w:hAnsi="Arial Narrow"/>
                <w:b/>
                <w:sz w:val="20"/>
              </w:rPr>
              <w:t>Outcome</w:t>
            </w:r>
          </w:p>
        </w:tc>
        <w:tc>
          <w:tcPr>
            <w:tcW w:w="669" w:type="pct"/>
            <w:shd w:val="clear" w:color="auto" w:fill="auto"/>
            <w:vAlign w:val="center"/>
          </w:tcPr>
          <w:p w:rsidR="001103C2" w:rsidRPr="00FE4251" w:rsidRDefault="001103C2" w:rsidP="00DA6A6B">
            <w:pPr>
              <w:keepNext/>
              <w:spacing w:before="40" w:after="40"/>
              <w:rPr>
                <w:rFonts w:ascii="Arial Narrow" w:hAnsi="Arial Narrow"/>
                <w:b/>
                <w:sz w:val="20"/>
              </w:rPr>
            </w:pPr>
            <w:r w:rsidRPr="00FE4251">
              <w:rPr>
                <w:rFonts w:ascii="Arial Narrow" w:hAnsi="Arial Narrow"/>
                <w:b/>
                <w:sz w:val="20"/>
              </w:rPr>
              <w:t>Use in modelled evaluation</w:t>
            </w:r>
          </w:p>
        </w:tc>
      </w:tr>
      <w:tr w:rsidR="003B5ACA" w:rsidRPr="00FE4251" w:rsidTr="003B5ACA">
        <w:tc>
          <w:tcPr>
            <w:tcW w:w="5000" w:type="pct"/>
            <w:gridSpan w:val="7"/>
            <w:shd w:val="clear" w:color="auto" w:fill="auto"/>
            <w:vAlign w:val="center"/>
          </w:tcPr>
          <w:p w:rsidR="003B5ACA" w:rsidRPr="00FE4251" w:rsidRDefault="00572643" w:rsidP="00DA6A6B">
            <w:pPr>
              <w:keepNext/>
              <w:spacing w:before="40" w:after="40"/>
              <w:rPr>
                <w:rFonts w:ascii="Arial Narrow" w:hAnsi="Arial Narrow"/>
                <w:sz w:val="20"/>
              </w:rPr>
            </w:pPr>
            <w:r w:rsidRPr="00FE4251">
              <w:rPr>
                <w:rFonts w:ascii="Arial Narrow" w:hAnsi="Arial Narrow"/>
                <w:b/>
                <w:bCs/>
                <w:sz w:val="20"/>
              </w:rPr>
              <w:t xml:space="preserve">Budesonide versus </w:t>
            </w:r>
            <w:proofErr w:type="spellStart"/>
            <w:r w:rsidRPr="00FE4251">
              <w:rPr>
                <w:rFonts w:ascii="Arial Narrow" w:hAnsi="Arial Narrow"/>
                <w:b/>
                <w:bCs/>
                <w:sz w:val="20"/>
              </w:rPr>
              <w:t>mesalazine</w:t>
            </w:r>
            <w:proofErr w:type="spellEnd"/>
          </w:p>
        </w:tc>
      </w:tr>
      <w:tr w:rsidR="001103C2" w:rsidRPr="00FE4251" w:rsidTr="00DA6A6B">
        <w:tc>
          <w:tcPr>
            <w:tcW w:w="679"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sz w:val="20"/>
              </w:rPr>
              <w:t>Thomsen 1998</w:t>
            </w:r>
          </w:p>
          <w:p w:rsidR="001103C2" w:rsidRPr="00FE4251" w:rsidRDefault="001103C2" w:rsidP="00A15606">
            <w:pPr>
              <w:keepNext/>
              <w:spacing w:before="40" w:after="40"/>
              <w:rPr>
                <w:rFonts w:ascii="Arial Narrow" w:hAnsi="Arial Narrow"/>
                <w:sz w:val="20"/>
              </w:rPr>
            </w:pPr>
            <w:r w:rsidRPr="00FE4251">
              <w:rPr>
                <w:rFonts w:ascii="Arial Narrow" w:hAnsi="Arial Narrow"/>
                <w:sz w:val="20"/>
              </w:rPr>
              <w:t xml:space="preserve">(primary trial versus </w:t>
            </w:r>
            <w:proofErr w:type="spellStart"/>
            <w:r w:rsidRPr="00FE4251">
              <w:rPr>
                <w:rFonts w:ascii="Arial Narrow" w:hAnsi="Arial Narrow"/>
                <w:sz w:val="20"/>
              </w:rPr>
              <w:t>mesalazine</w:t>
            </w:r>
            <w:proofErr w:type="spellEnd"/>
            <w:r w:rsidRPr="00FE4251">
              <w:rPr>
                <w:rFonts w:ascii="Arial Narrow" w:hAnsi="Arial Narrow"/>
                <w:sz w:val="20"/>
              </w:rPr>
              <w:t>)</w:t>
            </w:r>
          </w:p>
        </w:tc>
        <w:tc>
          <w:tcPr>
            <w:tcW w:w="426"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182</w:t>
            </w:r>
          </w:p>
        </w:tc>
        <w:tc>
          <w:tcPr>
            <w:tcW w:w="1104"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R, DB, MC, 16 weeks</w:t>
            </w:r>
          </w:p>
        </w:tc>
        <w:tc>
          <w:tcPr>
            <w:tcW w:w="594"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Low</w:t>
            </w:r>
          </w:p>
        </w:tc>
        <w:tc>
          <w:tcPr>
            <w:tcW w:w="849"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CDAI 200-400</w:t>
            </w:r>
          </w:p>
        </w:tc>
        <w:tc>
          <w:tcPr>
            <w:tcW w:w="679"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Remission</w:t>
            </w:r>
          </w:p>
        </w:tc>
        <w:tc>
          <w:tcPr>
            <w:tcW w:w="669"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Benefit in remission rates</w:t>
            </w:r>
          </w:p>
        </w:tc>
      </w:tr>
      <w:tr w:rsidR="001103C2" w:rsidRPr="00FE4251" w:rsidTr="00DA6A6B">
        <w:tc>
          <w:tcPr>
            <w:tcW w:w="679" w:type="pct"/>
            <w:shd w:val="clear" w:color="auto" w:fill="auto"/>
            <w:vAlign w:val="center"/>
          </w:tcPr>
          <w:p w:rsidR="001103C2" w:rsidRPr="00FE4251" w:rsidRDefault="001103C2" w:rsidP="00DA6A6B">
            <w:pPr>
              <w:keepNext/>
              <w:spacing w:before="40" w:after="40"/>
              <w:rPr>
                <w:rFonts w:ascii="Arial Narrow" w:hAnsi="Arial Narrow"/>
                <w:sz w:val="20"/>
              </w:rPr>
            </w:pPr>
            <w:proofErr w:type="spellStart"/>
            <w:r w:rsidRPr="00FE4251">
              <w:rPr>
                <w:rFonts w:ascii="Arial Narrow" w:hAnsi="Arial Narrow"/>
                <w:sz w:val="20"/>
              </w:rPr>
              <w:t>Tromm</w:t>
            </w:r>
            <w:proofErr w:type="spellEnd"/>
            <w:r w:rsidRPr="00FE4251">
              <w:rPr>
                <w:rFonts w:ascii="Arial Narrow" w:hAnsi="Arial Narrow"/>
                <w:sz w:val="20"/>
              </w:rPr>
              <w:t xml:space="preserve"> 2011</w:t>
            </w:r>
          </w:p>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w:t>
            </w:r>
            <w:proofErr w:type="spellStart"/>
            <w:r w:rsidRPr="00FE4251">
              <w:rPr>
                <w:rFonts w:ascii="Arial Narrow" w:hAnsi="Arial Narrow"/>
                <w:sz w:val="20"/>
              </w:rPr>
              <w:t>Budenofalk</w:t>
            </w:r>
            <w:proofErr w:type="spellEnd"/>
            <w:r w:rsidRPr="00FE4251">
              <w:rPr>
                <w:rFonts w:ascii="Arial Narrow" w:hAnsi="Arial Narrow"/>
                <w:sz w:val="20"/>
              </w:rPr>
              <w:t xml:space="preserve">® vs </w:t>
            </w:r>
            <w:proofErr w:type="spellStart"/>
            <w:r w:rsidRPr="00FE4251">
              <w:rPr>
                <w:rFonts w:ascii="Arial Narrow" w:hAnsi="Arial Narrow"/>
                <w:sz w:val="20"/>
              </w:rPr>
              <w:t>mesalazine</w:t>
            </w:r>
            <w:proofErr w:type="spellEnd"/>
            <w:r w:rsidRPr="00FE4251">
              <w:rPr>
                <w:rFonts w:ascii="Arial Narrow" w:hAnsi="Arial Narrow"/>
                <w:sz w:val="20"/>
              </w:rPr>
              <w:t>)</w:t>
            </w:r>
          </w:p>
        </w:tc>
        <w:tc>
          <w:tcPr>
            <w:tcW w:w="426"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309</w:t>
            </w:r>
          </w:p>
        </w:tc>
        <w:tc>
          <w:tcPr>
            <w:tcW w:w="1104"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R, DB, MC, 8 weeks</w:t>
            </w:r>
          </w:p>
        </w:tc>
        <w:tc>
          <w:tcPr>
            <w:tcW w:w="594"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Low</w:t>
            </w:r>
          </w:p>
        </w:tc>
        <w:tc>
          <w:tcPr>
            <w:tcW w:w="849"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CDAI 200-400</w:t>
            </w:r>
          </w:p>
        </w:tc>
        <w:tc>
          <w:tcPr>
            <w:tcW w:w="679"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Remission</w:t>
            </w:r>
          </w:p>
        </w:tc>
        <w:tc>
          <w:tcPr>
            <w:tcW w:w="669"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Not used</w:t>
            </w:r>
          </w:p>
        </w:tc>
      </w:tr>
      <w:tr w:rsidR="001103C2" w:rsidRPr="00FE4251" w:rsidTr="00DA6A6B">
        <w:tc>
          <w:tcPr>
            <w:tcW w:w="5000" w:type="pct"/>
            <w:gridSpan w:val="7"/>
            <w:shd w:val="clear" w:color="auto" w:fill="auto"/>
            <w:vAlign w:val="center"/>
          </w:tcPr>
          <w:p w:rsidR="001103C2" w:rsidRPr="00FE4251" w:rsidRDefault="00572643" w:rsidP="00DA6A6B">
            <w:pPr>
              <w:keepNext/>
              <w:spacing w:before="40" w:after="40"/>
              <w:rPr>
                <w:rFonts w:ascii="Arial Narrow" w:hAnsi="Arial Narrow"/>
                <w:sz w:val="20"/>
              </w:rPr>
            </w:pPr>
            <w:r w:rsidRPr="00FE4251">
              <w:rPr>
                <w:rFonts w:ascii="Arial Narrow" w:hAnsi="Arial Narrow"/>
                <w:b/>
                <w:bCs/>
                <w:sz w:val="20"/>
              </w:rPr>
              <w:t>Budesonide versus placebo</w:t>
            </w:r>
          </w:p>
        </w:tc>
      </w:tr>
      <w:tr w:rsidR="001103C2" w:rsidRPr="00FE4251" w:rsidTr="00DA6A6B">
        <w:tc>
          <w:tcPr>
            <w:tcW w:w="679"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Greenberg 1994</w:t>
            </w:r>
          </w:p>
        </w:tc>
        <w:tc>
          <w:tcPr>
            <w:tcW w:w="426"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258</w:t>
            </w:r>
          </w:p>
        </w:tc>
        <w:tc>
          <w:tcPr>
            <w:tcW w:w="1104"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 xml:space="preserve">R, DB, MC, 8 </w:t>
            </w:r>
            <w:proofErr w:type="spellStart"/>
            <w:r w:rsidRPr="00FE4251">
              <w:rPr>
                <w:rFonts w:ascii="Arial Narrow" w:hAnsi="Arial Narrow"/>
                <w:sz w:val="20"/>
              </w:rPr>
              <w:t>weeks</w:t>
            </w:r>
            <w:r w:rsidRPr="00FE4251">
              <w:rPr>
                <w:rFonts w:ascii="Arial Narrow" w:hAnsi="Arial Narrow"/>
                <w:sz w:val="20"/>
                <w:vertAlign w:val="superscript"/>
              </w:rPr>
              <w:t>a</w:t>
            </w:r>
            <w:proofErr w:type="spellEnd"/>
          </w:p>
        </w:tc>
        <w:tc>
          <w:tcPr>
            <w:tcW w:w="594"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Low</w:t>
            </w:r>
          </w:p>
        </w:tc>
        <w:tc>
          <w:tcPr>
            <w:tcW w:w="849"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 xml:space="preserve">CDAI </w:t>
            </w:r>
            <w:r w:rsidRPr="00FE4251">
              <w:rPr>
                <w:rFonts w:ascii="Arial Narrow" w:hAnsi="Arial Narrow"/>
                <w:sz w:val="20"/>
                <w:u w:val="single"/>
              </w:rPr>
              <w:t>&gt;</w:t>
            </w:r>
            <w:r w:rsidRPr="00FE4251">
              <w:rPr>
                <w:rFonts w:ascii="Arial Narrow" w:hAnsi="Arial Narrow"/>
                <w:sz w:val="20"/>
              </w:rPr>
              <w:t xml:space="preserve"> 200</w:t>
            </w:r>
          </w:p>
        </w:tc>
        <w:tc>
          <w:tcPr>
            <w:tcW w:w="679" w:type="pct"/>
            <w:vMerge w:val="restar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Remission</w:t>
            </w:r>
          </w:p>
        </w:tc>
        <w:tc>
          <w:tcPr>
            <w:tcW w:w="669" w:type="pct"/>
            <w:vMerge w:val="restar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Not used</w:t>
            </w:r>
          </w:p>
        </w:tc>
      </w:tr>
      <w:tr w:rsidR="001103C2" w:rsidRPr="00FE4251" w:rsidTr="00DA6A6B">
        <w:tc>
          <w:tcPr>
            <w:tcW w:w="679"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sz w:val="20"/>
              </w:rPr>
              <w:t>Tremaine 2002</w:t>
            </w:r>
          </w:p>
        </w:tc>
        <w:tc>
          <w:tcPr>
            <w:tcW w:w="426"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sz w:val="20"/>
              </w:rPr>
              <w:t>200</w:t>
            </w:r>
          </w:p>
        </w:tc>
        <w:tc>
          <w:tcPr>
            <w:tcW w:w="1104"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sz w:val="20"/>
              </w:rPr>
              <w:t xml:space="preserve">R, DB, MC, 8 </w:t>
            </w:r>
            <w:proofErr w:type="spellStart"/>
            <w:r w:rsidRPr="00FE4251">
              <w:rPr>
                <w:rFonts w:ascii="Arial Narrow" w:hAnsi="Arial Narrow"/>
                <w:sz w:val="20"/>
              </w:rPr>
              <w:t>weeks</w:t>
            </w:r>
            <w:r w:rsidRPr="00FE4251">
              <w:rPr>
                <w:rFonts w:ascii="Arial Narrow" w:hAnsi="Arial Narrow"/>
                <w:sz w:val="20"/>
                <w:vertAlign w:val="superscript"/>
              </w:rPr>
              <w:t>a</w:t>
            </w:r>
            <w:proofErr w:type="spellEnd"/>
          </w:p>
        </w:tc>
        <w:tc>
          <w:tcPr>
            <w:tcW w:w="594"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sz w:val="20"/>
              </w:rPr>
              <w:t>Low</w:t>
            </w:r>
          </w:p>
        </w:tc>
        <w:tc>
          <w:tcPr>
            <w:tcW w:w="849"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sz w:val="20"/>
              </w:rPr>
              <w:t>CDAI 200-450</w:t>
            </w:r>
          </w:p>
        </w:tc>
        <w:tc>
          <w:tcPr>
            <w:tcW w:w="679" w:type="pct"/>
            <w:vMerge/>
            <w:shd w:val="clear" w:color="auto" w:fill="auto"/>
            <w:vAlign w:val="center"/>
          </w:tcPr>
          <w:p w:rsidR="001103C2" w:rsidRPr="00FE4251" w:rsidRDefault="001103C2" w:rsidP="00DA6A6B">
            <w:pPr>
              <w:keepNext/>
              <w:spacing w:before="40" w:after="40"/>
              <w:rPr>
                <w:rFonts w:ascii="Arial Narrow" w:hAnsi="Arial Narrow"/>
                <w:sz w:val="20"/>
              </w:rPr>
            </w:pPr>
          </w:p>
        </w:tc>
        <w:tc>
          <w:tcPr>
            <w:tcW w:w="669" w:type="pct"/>
            <w:vMerge/>
            <w:shd w:val="clear" w:color="auto" w:fill="auto"/>
            <w:vAlign w:val="center"/>
          </w:tcPr>
          <w:p w:rsidR="001103C2" w:rsidRPr="00FE4251" w:rsidRDefault="001103C2" w:rsidP="00DA6A6B">
            <w:pPr>
              <w:keepNext/>
              <w:spacing w:before="40" w:after="40"/>
              <w:rPr>
                <w:rFonts w:ascii="Arial Narrow" w:hAnsi="Arial Narrow"/>
                <w:sz w:val="20"/>
              </w:rPr>
            </w:pPr>
          </w:p>
        </w:tc>
      </w:tr>
      <w:tr w:rsidR="001103C2" w:rsidRPr="00FE4251" w:rsidTr="00DA6A6B">
        <w:tc>
          <w:tcPr>
            <w:tcW w:w="679"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sz w:val="20"/>
              </w:rPr>
              <w:t>Suzuki 2013</w:t>
            </w:r>
          </w:p>
        </w:tc>
        <w:tc>
          <w:tcPr>
            <w:tcW w:w="426"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sz w:val="20"/>
              </w:rPr>
              <w:t>77</w:t>
            </w:r>
          </w:p>
        </w:tc>
        <w:tc>
          <w:tcPr>
            <w:tcW w:w="1104"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sz w:val="20"/>
              </w:rPr>
              <w:t xml:space="preserve">R, DB, MC, 8 </w:t>
            </w:r>
            <w:proofErr w:type="spellStart"/>
            <w:r w:rsidRPr="00FE4251">
              <w:rPr>
                <w:rFonts w:ascii="Arial Narrow" w:hAnsi="Arial Narrow"/>
                <w:sz w:val="20"/>
              </w:rPr>
              <w:t>weeks</w:t>
            </w:r>
            <w:r w:rsidRPr="00FE4251">
              <w:rPr>
                <w:rFonts w:ascii="Arial Narrow" w:hAnsi="Arial Narrow"/>
                <w:sz w:val="20"/>
                <w:vertAlign w:val="superscript"/>
              </w:rPr>
              <w:t>a</w:t>
            </w:r>
            <w:proofErr w:type="spellEnd"/>
          </w:p>
        </w:tc>
        <w:tc>
          <w:tcPr>
            <w:tcW w:w="594"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sz w:val="20"/>
              </w:rPr>
              <w:t>Low</w:t>
            </w:r>
          </w:p>
        </w:tc>
        <w:tc>
          <w:tcPr>
            <w:tcW w:w="849"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sz w:val="20"/>
              </w:rPr>
              <w:t xml:space="preserve">CDAI </w:t>
            </w:r>
            <w:r w:rsidRPr="00FE4251">
              <w:rPr>
                <w:rFonts w:ascii="Arial Narrow" w:hAnsi="Arial Narrow"/>
                <w:sz w:val="20"/>
                <w:u w:val="single"/>
              </w:rPr>
              <w:t>&gt;</w:t>
            </w:r>
            <w:r w:rsidRPr="00FE4251">
              <w:rPr>
                <w:rFonts w:ascii="Arial Narrow" w:hAnsi="Arial Narrow"/>
                <w:sz w:val="20"/>
              </w:rPr>
              <w:t xml:space="preserve"> 200; Japanese pts</w:t>
            </w:r>
          </w:p>
        </w:tc>
        <w:tc>
          <w:tcPr>
            <w:tcW w:w="679" w:type="pct"/>
            <w:vMerge/>
            <w:shd w:val="clear" w:color="auto" w:fill="auto"/>
            <w:vAlign w:val="center"/>
          </w:tcPr>
          <w:p w:rsidR="001103C2" w:rsidRPr="00FE4251" w:rsidRDefault="001103C2" w:rsidP="00DA6A6B">
            <w:pPr>
              <w:keepNext/>
              <w:spacing w:before="40" w:after="40"/>
              <w:rPr>
                <w:rFonts w:ascii="Arial Narrow" w:hAnsi="Arial Narrow"/>
                <w:sz w:val="20"/>
              </w:rPr>
            </w:pPr>
          </w:p>
        </w:tc>
        <w:tc>
          <w:tcPr>
            <w:tcW w:w="669" w:type="pct"/>
            <w:vMerge/>
            <w:shd w:val="clear" w:color="auto" w:fill="auto"/>
            <w:vAlign w:val="center"/>
          </w:tcPr>
          <w:p w:rsidR="001103C2" w:rsidRPr="00FE4251" w:rsidRDefault="001103C2" w:rsidP="00DA6A6B">
            <w:pPr>
              <w:keepNext/>
              <w:spacing w:before="40" w:after="40"/>
              <w:rPr>
                <w:rFonts w:ascii="Arial Narrow" w:hAnsi="Arial Narrow"/>
                <w:sz w:val="20"/>
              </w:rPr>
            </w:pPr>
          </w:p>
        </w:tc>
      </w:tr>
      <w:tr w:rsidR="001103C2" w:rsidRPr="00FE4251" w:rsidTr="00DA6A6B">
        <w:tc>
          <w:tcPr>
            <w:tcW w:w="679"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Meta-analysis</w:t>
            </w:r>
          </w:p>
        </w:tc>
        <w:tc>
          <w:tcPr>
            <w:tcW w:w="426"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r w:rsidRPr="00FE4251">
              <w:rPr>
                <w:rFonts w:ascii="Arial Narrow" w:hAnsi="Arial Narrow"/>
                <w:sz w:val="20"/>
              </w:rPr>
              <w:t>535</w:t>
            </w:r>
          </w:p>
        </w:tc>
        <w:tc>
          <w:tcPr>
            <w:tcW w:w="3226" w:type="pct"/>
            <w:gridSpan w:val="4"/>
            <w:shd w:val="clear" w:color="auto" w:fill="auto"/>
            <w:vAlign w:val="center"/>
          </w:tcPr>
          <w:p w:rsidR="001103C2" w:rsidRPr="00FE4251" w:rsidRDefault="001103C2" w:rsidP="00DA6A6B">
            <w:pPr>
              <w:keepNext/>
              <w:spacing w:before="40" w:after="40"/>
              <w:rPr>
                <w:rFonts w:ascii="Arial Narrow" w:hAnsi="Arial Narrow"/>
                <w:iCs/>
                <w:sz w:val="20"/>
              </w:rPr>
            </w:pPr>
            <w:r w:rsidRPr="00FE4251">
              <w:rPr>
                <w:rFonts w:ascii="Arial Narrow" w:hAnsi="Arial Narrow"/>
                <w:iCs/>
                <w:sz w:val="20"/>
              </w:rPr>
              <w:t>The evaluation pooled Tremaine 2002 and Suzuki 2013 (</w:t>
            </w:r>
            <w:r w:rsidR="004C7B75" w:rsidRPr="00FE4251">
              <w:rPr>
                <w:rFonts w:ascii="Arial Narrow" w:hAnsi="Arial Narrow"/>
                <w:iCs/>
                <w:sz w:val="20"/>
              </w:rPr>
              <w:t>budesonide</w:t>
            </w:r>
            <w:r w:rsidRPr="00FE4251">
              <w:rPr>
                <w:rFonts w:ascii="Arial Narrow" w:hAnsi="Arial Narrow"/>
                <w:iCs/>
                <w:sz w:val="20"/>
              </w:rPr>
              <w:t xml:space="preserve"> once daily dosing regimen), and Greenberg 1994 (</w:t>
            </w:r>
            <w:r w:rsidR="004C7B75" w:rsidRPr="00FE4251">
              <w:rPr>
                <w:rFonts w:ascii="Arial Narrow" w:hAnsi="Arial Narrow"/>
                <w:iCs/>
                <w:sz w:val="20"/>
              </w:rPr>
              <w:t>budesonide</w:t>
            </w:r>
            <w:r w:rsidRPr="00FE4251">
              <w:rPr>
                <w:rFonts w:ascii="Arial Narrow" w:hAnsi="Arial Narrow"/>
                <w:iCs/>
                <w:sz w:val="20"/>
              </w:rPr>
              <w:t xml:space="preserve"> twice daily dosing regimen)</w:t>
            </w:r>
          </w:p>
        </w:tc>
        <w:tc>
          <w:tcPr>
            <w:tcW w:w="669"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p>
        </w:tc>
      </w:tr>
      <w:tr w:rsidR="001103C2" w:rsidRPr="00FE4251" w:rsidTr="00DA6A6B">
        <w:tc>
          <w:tcPr>
            <w:tcW w:w="5000" w:type="pct"/>
            <w:gridSpan w:val="7"/>
            <w:shd w:val="clear" w:color="auto" w:fill="auto"/>
            <w:vAlign w:val="center"/>
          </w:tcPr>
          <w:p w:rsidR="001103C2" w:rsidRPr="00FE4251" w:rsidRDefault="00572643" w:rsidP="00DA6A6B">
            <w:pPr>
              <w:keepNext/>
              <w:spacing w:before="40" w:after="40"/>
              <w:rPr>
                <w:rFonts w:ascii="Arial Narrow" w:hAnsi="Arial Narrow"/>
                <w:sz w:val="20"/>
              </w:rPr>
            </w:pPr>
            <w:r w:rsidRPr="00FE4251">
              <w:rPr>
                <w:rFonts w:ascii="Arial Narrow" w:hAnsi="Arial Narrow"/>
                <w:b/>
                <w:bCs/>
                <w:sz w:val="20"/>
              </w:rPr>
              <w:t>Budesonide versus</w:t>
            </w:r>
            <w:r w:rsidR="00C445E2" w:rsidRPr="00FE4251">
              <w:rPr>
                <w:rFonts w:ascii="Arial Narrow" w:hAnsi="Arial Narrow"/>
                <w:b/>
                <w:bCs/>
                <w:sz w:val="20"/>
              </w:rPr>
              <w:t xml:space="preserve"> </w:t>
            </w:r>
            <w:r w:rsidR="001103C2" w:rsidRPr="00FE4251">
              <w:rPr>
                <w:rFonts w:ascii="Arial Narrow" w:hAnsi="Arial Narrow"/>
                <w:b/>
                <w:bCs/>
                <w:sz w:val="20"/>
              </w:rPr>
              <w:t>prednisolone</w:t>
            </w:r>
            <w:r w:rsidR="00C445E2" w:rsidRPr="00FE4251">
              <w:rPr>
                <w:rFonts w:ascii="Arial Narrow" w:hAnsi="Arial Narrow"/>
                <w:b/>
                <w:bCs/>
                <w:sz w:val="20"/>
              </w:rPr>
              <w:t xml:space="preserve"> </w:t>
            </w:r>
          </w:p>
        </w:tc>
      </w:tr>
      <w:tr w:rsidR="001103C2" w:rsidRPr="00FE4251" w:rsidTr="00DA6A6B">
        <w:tc>
          <w:tcPr>
            <w:tcW w:w="679"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proofErr w:type="spellStart"/>
            <w:r w:rsidRPr="00FE4251">
              <w:rPr>
                <w:rFonts w:ascii="Arial Narrow" w:hAnsi="Arial Narrow"/>
                <w:iCs/>
                <w:sz w:val="20"/>
              </w:rPr>
              <w:t>Rutgeerts</w:t>
            </w:r>
            <w:proofErr w:type="spellEnd"/>
            <w:r w:rsidRPr="00FE4251">
              <w:rPr>
                <w:rFonts w:ascii="Arial Narrow" w:hAnsi="Arial Narrow"/>
                <w:iCs/>
                <w:sz w:val="20"/>
              </w:rPr>
              <w:t xml:space="preserve"> 1994 </w:t>
            </w:r>
          </w:p>
        </w:tc>
        <w:tc>
          <w:tcPr>
            <w:tcW w:w="426"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iCs/>
                <w:sz w:val="20"/>
              </w:rPr>
              <w:t>176</w:t>
            </w:r>
          </w:p>
        </w:tc>
        <w:tc>
          <w:tcPr>
            <w:tcW w:w="1104"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iCs/>
                <w:sz w:val="20"/>
              </w:rPr>
              <w:t xml:space="preserve">R, DB, MC, 10 </w:t>
            </w:r>
            <w:proofErr w:type="spellStart"/>
            <w:r w:rsidRPr="00FE4251">
              <w:rPr>
                <w:rFonts w:ascii="Arial Narrow" w:hAnsi="Arial Narrow"/>
                <w:iCs/>
                <w:sz w:val="20"/>
              </w:rPr>
              <w:t>weeks</w:t>
            </w:r>
            <w:r w:rsidRPr="00FE4251">
              <w:rPr>
                <w:rFonts w:ascii="Arial Narrow" w:hAnsi="Arial Narrow"/>
                <w:iCs/>
                <w:sz w:val="20"/>
                <w:vertAlign w:val="superscript"/>
              </w:rPr>
              <w:t>b</w:t>
            </w:r>
            <w:proofErr w:type="spellEnd"/>
          </w:p>
        </w:tc>
        <w:tc>
          <w:tcPr>
            <w:tcW w:w="594"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iCs/>
                <w:sz w:val="20"/>
              </w:rPr>
              <w:t>Low</w:t>
            </w:r>
          </w:p>
        </w:tc>
        <w:tc>
          <w:tcPr>
            <w:tcW w:w="849" w:type="pct"/>
            <w:vMerge w:val="restar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sz w:val="20"/>
              </w:rPr>
              <w:t xml:space="preserve">CDAI </w:t>
            </w:r>
            <w:r w:rsidRPr="00FE4251">
              <w:rPr>
                <w:rFonts w:ascii="Arial Narrow" w:hAnsi="Arial Narrow"/>
                <w:sz w:val="20"/>
                <w:u w:val="single"/>
              </w:rPr>
              <w:t>&gt;</w:t>
            </w:r>
            <w:r w:rsidRPr="00FE4251">
              <w:rPr>
                <w:rFonts w:ascii="Arial Narrow" w:hAnsi="Arial Narrow"/>
                <w:sz w:val="20"/>
              </w:rPr>
              <w:t xml:space="preserve"> 200</w:t>
            </w:r>
          </w:p>
        </w:tc>
        <w:tc>
          <w:tcPr>
            <w:tcW w:w="679" w:type="pct"/>
            <w:vMerge w:val="restar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sz w:val="20"/>
              </w:rPr>
              <w:t>Remission</w:t>
            </w:r>
          </w:p>
        </w:tc>
        <w:tc>
          <w:tcPr>
            <w:tcW w:w="669" w:type="pct"/>
            <w:vMerge w:val="restar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sz w:val="20"/>
              </w:rPr>
              <w:t>Not used</w:t>
            </w:r>
          </w:p>
        </w:tc>
      </w:tr>
      <w:tr w:rsidR="001103C2" w:rsidRPr="00FE4251" w:rsidTr="00DA6A6B">
        <w:tc>
          <w:tcPr>
            <w:tcW w:w="679" w:type="pct"/>
            <w:shd w:val="clear" w:color="auto" w:fill="auto"/>
            <w:vAlign w:val="center"/>
          </w:tcPr>
          <w:p w:rsidR="001103C2" w:rsidRPr="00FE4251" w:rsidRDefault="001103C2" w:rsidP="00DA6A6B">
            <w:pPr>
              <w:keepNext/>
              <w:spacing w:before="40" w:after="40"/>
              <w:rPr>
                <w:rFonts w:ascii="Times" w:eastAsia="Times New Roman" w:hAnsi="Times" w:cs="Times New Roman"/>
                <w:sz w:val="20"/>
              </w:rPr>
            </w:pPr>
            <w:proofErr w:type="spellStart"/>
            <w:r w:rsidRPr="00FE4251">
              <w:rPr>
                <w:rFonts w:ascii="Arial Narrow" w:hAnsi="Arial Narrow"/>
                <w:iCs/>
                <w:sz w:val="20"/>
              </w:rPr>
              <w:t>Campieri</w:t>
            </w:r>
            <w:proofErr w:type="spellEnd"/>
            <w:r w:rsidRPr="00FE4251">
              <w:rPr>
                <w:rFonts w:ascii="Arial Narrow" w:hAnsi="Arial Narrow"/>
                <w:iCs/>
                <w:sz w:val="20"/>
              </w:rPr>
              <w:t xml:space="preserve"> 1997</w:t>
            </w:r>
          </w:p>
        </w:tc>
        <w:tc>
          <w:tcPr>
            <w:tcW w:w="426"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iCs/>
                <w:sz w:val="20"/>
              </w:rPr>
              <w:t>178</w:t>
            </w:r>
          </w:p>
        </w:tc>
        <w:tc>
          <w:tcPr>
            <w:tcW w:w="1104"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iCs/>
                <w:sz w:val="20"/>
              </w:rPr>
              <w:t xml:space="preserve">R, DB, MC, 12 </w:t>
            </w:r>
            <w:proofErr w:type="spellStart"/>
            <w:r w:rsidRPr="00FE4251">
              <w:rPr>
                <w:rFonts w:ascii="Arial Narrow" w:hAnsi="Arial Narrow"/>
                <w:iCs/>
                <w:sz w:val="20"/>
              </w:rPr>
              <w:t>weeks</w:t>
            </w:r>
            <w:r w:rsidRPr="00FE4251">
              <w:rPr>
                <w:rFonts w:ascii="Arial Narrow" w:hAnsi="Arial Narrow"/>
                <w:iCs/>
                <w:sz w:val="20"/>
                <w:vertAlign w:val="superscript"/>
              </w:rPr>
              <w:t>c</w:t>
            </w:r>
            <w:proofErr w:type="spellEnd"/>
          </w:p>
        </w:tc>
        <w:tc>
          <w:tcPr>
            <w:tcW w:w="594" w:type="pct"/>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iCs/>
                <w:sz w:val="20"/>
              </w:rPr>
              <w:t>Low</w:t>
            </w:r>
          </w:p>
        </w:tc>
        <w:tc>
          <w:tcPr>
            <w:tcW w:w="849" w:type="pct"/>
            <w:vMerge/>
            <w:shd w:val="clear" w:color="auto" w:fill="auto"/>
            <w:vAlign w:val="center"/>
          </w:tcPr>
          <w:p w:rsidR="001103C2" w:rsidRPr="00FE4251" w:rsidRDefault="001103C2" w:rsidP="00DA6A6B">
            <w:pPr>
              <w:keepNext/>
              <w:spacing w:before="40" w:after="40"/>
              <w:rPr>
                <w:rFonts w:ascii="Arial Narrow" w:hAnsi="Arial Narrow"/>
                <w:sz w:val="20"/>
              </w:rPr>
            </w:pPr>
          </w:p>
        </w:tc>
        <w:tc>
          <w:tcPr>
            <w:tcW w:w="679" w:type="pct"/>
            <w:vMerge/>
            <w:shd w:val="clear" w:color="auto" w:fill="auto"/>
            <w:vAlign w:val="center"/>
          </w:tcPr>
          <w:p w:rsidR="001103C2" w:rsidRPr="00FE4251" w:rsidRDefault="001103C2" w:rsidP="00DA6A6B">
            <w:pPr>
              <w:keepNext/>
              <w:spacing w:before="40" w:after="40"/>
              <w:rPr>
                <w:rFonts w:ascii="Arial Narrow" w:hAnsi="Arial Narrow"/>
                <w:sz w:val="20"/>
              </w:rPr>
            </w:pPr>
          </w:p>
        </w:tc>
        <w:tc>
          <w:tcPr>
            <w:tcW w:w="669" w:type="pct"/>
            <w:vMerge/>
            <w:shd w:val="clear" w:color="auto" w:fill="auto"/>
            <w:vAlign w:val="center"/>
          </w:tcPr>
          <w:p w:rsidR="001103C2" w:rsidRPr="00FE4251" w:rsidRDefault="001103C2" w:rsidP="00DA6A6B">
            <w:pPr>
              <w:keepNext/>
              <w:spacing w:before="40" w:after="40"/>
              <w:rPr>
                <w:rFonts w:ascii="Arial Narrow" w:hAnsi="Arial Narrow"/>
                <w:sz w:val="20"/>
              </w:rPr>
            </w:pPr>
          </w:p>
        </w:tc>
      </w:tr>
      <w:tr w:rsidR="001103C2" w:rsidRPr="00FE4251" w:rsidTr="00DA6A6B">
        <w:tc>
          <w:tcPr>
            <w:tcW w:w="679" w:type="pct"/>
            <w:shd w:val="clear" w:color="auto" w:fill="auto"/>
            <w:vAlign w:val="center"/>
          </w:tcPr>
          <w:p w:rsidR="001103C2" w:rsidRPr="00FE4251" w:rsidRDefault="001103C2" w:rsidP="00DA6A6B">
            <w:pPr>
              <w:keepNext/>
              <w:spacing w:before="40" w:after="40"/>
              <w:rPr>
                <w:rFonts w:ascii="Arial Narrow" w:hAnsi="Arial Narrow"/>
                <w:iCs/>
                <w:sz w:val="20"/>
              </w:rPr>
            </w:pPr>
            <w:r w:rsidRPr="00FE4251">
              <w:rPr>
                <w:rFonts w:ascii="Arial Narrow" w:hAnsi="Arial Narrow"/>
                <w:iCs/>
                <w:sz w:val="20"/>
              </w:rPr>
              <w:t>Meta-analysis</w:t>
            </w:r>
          </w:p>
        </w:tc>
        <w:tc>
          <w:tcPr>
            <w:tcW w:w="426" w:type="pct"/>
            <w:shd w:val="clear" w:color="auto" w:fill="auto"/>
            <w:vAlign w:val="center"/>
          </w:tcPr>
          <w:p w:rsidR="001103C2" w:rsidRPr="00FE4251" w:rsidRDefault="001103C2" w:rsidP="00DA6A6B">
            <w:pPr>
              <w:keepNext/>
              <w:spacing w:before="40" w:after="40"/>
              <w:rPr>
                <w:rFonts w:ascii="Arial Narrow" w:hAnsi="Arial Narrow"/>
                <w:iCs/>
                <w:sz w:val="20"/>
              </w:rPr>
            </w:pPr>
            <w:r w:rsidRPr="00FE4251">
              <w:rPr>
                <w:rFonts w:ascii="Arial Narrow" w:hAnsi="Arial Narrow"/>
                <w:iCs/>
                <w:sz w:val="20"/>
              </w:rPr>
              <w:t>354</w:t>
            </w:r>
          </w:p>
        </w:tc>
        <w:tc>
          <w:tcPr>
            <w:tcW w:w="3226" w:type="pct"/>
            <w:gridSpan w:val="4"/>
            <w:shd w:val="clear" w:color="auto" w:fill="auto"/>
            <w:vAlign w:val="center"/>
          </w:tcPr>
          <w:p w:rsidR="001103C2" w:rsidRPr="00FE4251" w:rsidRDefault="001103C2" w:rsidP="00DA6A6B">
            <w:pPr>
              <w:keepNext/>
              <w:spacing w:before="40" w:after="40"/>
              <w:rPr>
                <w:rFonts w:ascii="Arial Narrow" w:hAnsi="Arial Narrow"/>
                <w:sz w:val="20"/>
              </w:rPr>
            </w:pPr>
            <w:r w:rsidRPr="00FE4251">
              <w:rPr>
                <w:rFonts w:ascii="Arial Narrow" w:hAnsi="Arial Narrow"/>
                <w:sz w:val="20"/>
              </w:rPr>
              <w:t xml:space="preserve">Included </w:t>
            </w:r>
            <w:proofErr w:type="spellStart"/>
            <w:r w:rsidRPr="00FE4251">
              <w:rPr>
                <w:rFonts w:ascii="Arial Narrow" w:hAnsi="Arial Narrow"/>
                <w:sz w:val="20"/>
              </w:rPr>
              <w:t>Rutgeerts</w:t>
            </w:r>
            <w:proofErr w:type="spellEnd"/>
            <w:r w:rsidRPr="00FE4251">
              <w:rPr>
                <w:rFonts w:ascii="Arial Narrow" w:hAnsi="Arial Narrow"/>
                <w:sz w:val="20"/>
              </w:rPr>
              <w:t xml:space="preserve"> 1994 and </w:t>
            </w:r>
            <w:proofErr w:type="spellStart"/>
            <w:r w:rsidRPr="00FE4251">
              <w:rPr>
                <w:rFonts w:ascii="Arial Narrow" w:hAnsi="Arial Narrow"/>
                <w:sz w:val="20"/>
              </w:rPr>
              <w:t>Campieri</w:t>
            </w:r>
            <w:proofErr w:type="spellEnd"/>
            <w:r w:rsidRPr="00FE4251">
              <w:rPr>
                <w:rFonts w:ascii="Arial Narrow" w:hAnsi="Arial Narrow"/>
                <w:sz w:val="20"/>
              </w:rPr>
              <w:t xml:space="preserve"> 1997</w:t>
            </w:r>
          </w:p>
        </w:tc>
        <w:tc>
          <w:tcPr>
            <w:tcW w:w="669" w:type="pct"/>
            <w:shd w:val="clear" w:color="auto" w:fill="auto"/>
            <w:vAlign w:val="center"/>
          </w:tcPr>
          <w:p w:rsidR="001103C2" w:rsidRPr="00FE4251" w:rsidRDefault="001103C2" w:rsidP="00DA6A6B">
            <w:pPr>
              <w:keepNext/>
              <w:spacing w:before="40" w:after="40"/>
              <w:rPr>
                <w:rFonts w:ascii="Arial Narrow" w:hAnsi="Arial Narrow"/>
                <w:sz w:val="20"/>
              </w:rPr>
            </w:pPr>
          </w:p>
        </w:tc>
      </w:tr>
    </w:tbl>
    <w:p w:rsidR="001103C2" w:rsidRPr="00FE4251" w:rsidRDefault="009C490F" w:rsidP="001103C2">
      <w:pPr>
        <w:widowControl w:val="0"/>
        <w:spacing w:before="0" w:after="120"/>
        <w:contextualSpacing/>
        <w:jc w:val="both"/>
        <w:rPr>
          <w:rFonts w:ascii="Arial Narrow" w:eastAsia="Times New Roman" w:hAnsi="Arial Narrow" w:cs="Arial"/>
          <w:snapToGrid w:val="0"/>
          <w:sz w:val="18"/>
          <w:szCs w:val="20"/>
        </w:rPr>
      </w:pPr>
      <w:r w:rsidRPr="00FE4251">
        <w:rPr>
          <w:rFonts w:ascii="Arial Narrow" w:eastAsia="Calibri" w:hAnsi="Arial Narrow" w:cs="Arial"/>
          <w:snapToGrid w:val="0"/>
          <w:sz w:val="18"/>
          <w:szCs w:val="20"/>
        </w:rPr>
        <w:t xml:space="preserve">Abbreviations: </w:t>
      </w:r>
      <w:r w:rsidR="001103C2" w:rsidRPr="00FE4251">
        <w:rPr>
          <w:rFonts w:ascii="Arial Narrow" w:eastAsia="Times New Roman" w:hAnsi="Arial Narrow" w:cs="Arial"/>
          <w:snapToGrid w:val="0"/>
          <w:sz w:val="18"/>
          <w:szCs w:val="20"/>
        </w:rPr>
        <w:t>DB=double blind; MC=multi-centre; OL=open label; R=randomised.</w:t>
      </w:r>
    </w:p>
    <w:p w:rsidR="001103C2" w:rsidRPr="00FE4251" w:rsidRDefault="001103C2" w:rsidP="001103C2">
      <w:pPr>
        <w:widowControl w:val="0"/>
        <w:spacing w:before="0" w:after="120"/>
        <w:contextualSpacing/>
        <w:jc w:val="both"/>
        <w:rPr>
          <w:rFonts w:ascii="Arial Narrow" w:eastAsia="Times New Roman" w:hAnsi="Arial Narrow" w:cs="Arial"/>
          <w:iCs/>
          <w:snapToGrid w:val="0"/>
          <w:sz w:val="18"/>
          <w:szCs w:val="20"/>
        </w:rPr>
      </w:pPr>
      <w:r w:rsidRPr="00FE4251">
        <w:rPr>
          <w:rFonts w:ascii="Arial Narrow" w:eastAsia="Times New Roman" w:hAnsi="Arial Narrow" w:cs="Arial"/>
          <w:iCs/>
          <w:snapToGrid w:val="0"/>
          <w:sz w:val="18"/>
          <w:szCs w:val="20"/>
        </w:rPr>
        <w:t>Source: compiled during the evaluation from trial publications.</w:t>
      </w:r>
    </w:p>
    <w:p w:rsidR="001103C2" w:rsidRPr="00FE4251" w:rsidRDefault="001103C2" w:rsidP="001103C2">
      <w:pPr>
        <w:widowControl w:val="0"/>
        <w:spacing w:before="0" w:after="120"/>
        <w:contextualSpacing/>
        <w:jc w:val="both"/>
        <w:rPr>
          <w:rFonts w:ascii="Arial Narrow" w:eastAsia="Times New Roman" w:hAnsi="Arial Narrow" w:cs="Arial"/>
          <w:iCs/>
          <w:snapToGrid w:val="0"/>
          <w:sz w:val="18"/>
          <w:szCs w:val="20"/>
        </w:rPr>
      </w:pPr>
      <w:proofErr w:type="gramStart"/>
      <w:r w:rsidRPr="00FE4251">
        <w:rPr>
          <w:rFonts w:ascii="Arial Narrow" w:eastAsia="Times New Roman" w:hAnsi="Arial Narrow" w:cs="Arial"/>
          <w:iCs/>
          <w:snapToGrid w:val="0"/>
          <w:sz w:val="18"/>
          <w:szCs w:val="20"/>
          <w:vertAlign w:val="superscript"/>
        </w:rPr>
        <w:t>a</w:t>
      </w:r>
      <w:proofErr w:type="gramEnd"/>
      <w:r w:rsidRPr="00FE4251">
        <w:rPr>
          <w:rFonts w:ascii="Arial Narrow" w:eastAsia="Times New Roman" w:hAnsi="Arial Narrow" w:cs="Arial"/>
          <w:iCs/>
          <w:snapToGrid w:val="0"/>
          <w:sz w:val="18"/>
          <w:szCs w:val="20"/>
          <w:vertAlign w:val="superscript"/>
        </w:rPr>
        <w:tab/>
      </w:r>
      <w:r w:rsidRPr="00FE4251">
        <w:rPr>
          <w:rFonts w:ascii="Arial Narrow" w:eastAsia="Times New Roman" w:hAnsi="Arial Narrow" w:cs="Arial"/>
          <w:iCs/>
          <w:snapToGrid w:val="0"/>
          <w:sz w:val="18"/>
          <w:szCs w:val="20"/>
        </w:rPr>
        <w:t xml:space="preserve">This 8-week duration excludes </w:t>
      </w:r>
      <w:r w:rsidR="004C7B75" w:rsidRPr="00FE4251">
        <w:rPr>
          <w:rFonts w:ascii="Arial Narrow" w:eastAsia="Times New Roman" w:hAnsi="Arial Narrow" w:cs="Arial"/>
          <w:iCs/>
          <w:snapToGrid w:val="0"/>
          <w:sz w:val="18"/>
          <w:szCs w:val="20"/>
        </w:rPr>
        <w:t>budesonide</w:t>
      </w:r>
      <w:r w:rsidRPr="00FE4251">
        <w:rPr>
          <w:rFonts w:ascii="Arial Narrow" w:eastAsia="Times New Roman" w:hAnsi="Arial Narrow" w:cs="Arial"/>
          <w:iCs/>
          <w:snapToGrid w:val="0"/>
          <w:sz w:val="18"/>
          <w:szCs w:val="20"/>
        </w:rPr>
        <w:t xml:space="preserve"> dose tapering after 8 weeks.</w:t>
      </w:r>
    </w:p>
    <w:p w:rsidR="001103C2" w:rsidRPr="00FE4251" w:rsidRDefault="001103C2" w:rsidP="001103C2">
      <w:pPr>
        <w:widowControl w:val="0"/>
        <w:spacing w:before="0" w:after="120"/>
        <w:contextualSpacing/>
        <w:jc w:val="both"/>
        <w:rPr>
          <w:rFonts w:ascii="Arial Narrow" w:eastAsia="Times New Roman" w:hAnsi="Arial Narrow" w:cs="Arial"/>
          <w:iCs/>
          <w:snapToGrid w:val="0"/>
          <w:sz w:val="18"/>
          <w:szCs w:val="20"/>
        </w:rPr>
      </w:pPr>
      <w:proofErr w:type="gramStart"/>
      <w:r w:rsidRPr="00FE4251">
        <w:rPr>
          <w:rFonts w:ascii="Arial Narrow" w:eastAsia="Times New Roman" w:hAnsi="Arial Narrow" w:cs="Arial"/>
          <w:iCs/>
          <w:snapToGrid w:val="0"/>
          <w:sz w:val="18"/>
          <w:szCs w:val="20"/>
          <w:vertAlign w:val="superscript"/>
        </w:rPr>
        <w:t>b</w:t>
      </w:r>
      <w:proofErr w:type="gramEnd"/>
      <w:r w:rsidRPr="00FE4251">
        <w:rPr>
          <w:rFonts w:ascii="Arial Narrow" w:eastAsia="Times New Roman" w:hAnsi="Arial Narrow" w:cs="Arial"/>
          <w:iCs/>
          <w:snapToGrid w:val="0"/>
          <w:sz w:val="18"/>
          <w:szCs w:val="20"/>
          <w:vertAlign w:val="superscript"/>
        </w:rPr>
        <w:tab/>
      </w:r>
      <w:r w:rsidRPr="00FE4251">
        <w:rPr>
          <w:rFonts w:ascii="Arial Narrow" w:eastAsia="Times New Roman" w:hAnsi="Arial Narrow" w:cs="Arial"/>
          <w:iCs/>
          <w:snapToGrid w:val="0"/>
          <w:sz w:val="18"/>
          <w:szCs w:val="20"/>
        </w:rPr>
        <w:t xml:space="preserve">The 10-week trial of </w:t>
      </w:r>
      <w:proofErr w:type="spellStart"/>
      <w:r w:rsidRPr="00FE4251">
        <w:rPr>
          <w:rFonts w:ascii="Arial Narrow" w:eastAsia="Times New Roman" w:hAnsi="Arial Narrow" w:cs="Arial"/>
          <w:iCs/>
          <w:snapToGrid w:val="0"/>
          <w:sz w:val="18"/>
          <w:szCs w:val="20"/>
        </w:rPr>
        <w:t>Rutgeerts</w:t>
      </w:r>
      <w:proofErr w:type="spellEnd"/>
      <w:r w:rsidRPr="00FE4251">
        <w:rPr>
          <w:rFonts w:ascii="Arial Narrow" w:eastAsia="Times New Roman" w:hAnsi="Arial Narrow" w:cs="Arial"/>
          <w:iCs/>
          <w:snapToGrid w:val="0"/>
          <w:sz w:val="18"/>
          <w:szCs w:val="20"/>
        </w:rPr>
        <w:t xml:space="preserve"> </w:t>
      </w:r>
      <w:r w:rsidR="006E6B52" w:rsidRPr="00FE4251">
        <w:rPr>
          <w:rFonts w:ascii="Arial Narrow" w:eastAsia="Times New Roman" w:hAnsi="Arial Narrow" w:cs="Arial"/>
          <w:iCs/>
          <w:snapToGrid w:val="0"/>
          <w:sz w:val="18"/>
          <w:szCs w:val="20"/>
        </w:rPr>
        <w:t>1994 included</w:t>
      </w:r>
      <w:r w:rsidRPr="00FE4251">
        <w:rPr>
          <w:rFonts w:ascii="Arial Narrow" w:eastAsia="Times New Roman" w:hAnsi="Arial Narrow" w:cs="Arial"/>
          <w:iCs/>
          <w:snapToGrid w:val="0"/>
          <w:sz w:val="18"/>
          <w:szCs w:val="20"/>
        </w:rPr>
        <w:t xml:space="preserve"> the last 2 weeks of </w:t>
      </w:r>
      <w:r w:rsidR="004C7B75" w:rsidRPr="00FE4251">
        <w:rPr>
          <w:rFonts w:ascii="Arial Narrow" w:eastAsia="Times New Roman" w:hAnsi="Arial Narrow" w:cs="Arial"/>
          <w:iCs/>
          <w:snapToGrid w:val="0"/>
          <w:sz w:val="18"/>
          <w:szCs w:val="20"/>
        </w:rPr>
        <w:t>budesonide</w:t>
      </w:r>
      <w:r w:rsidRPr="00FE4251">
        <w:rPr>
          <w:rFonts w:ascii="Arial Narrow" w:eastAsia="Times New Roman" w:hAnsi="Arial Narrow" w:cs="Arial"/>
          <w:iCs/>
          <w:snapToGrid w:val="0"/>
          <w:sz w:val="18"/>
          <w:szCs w:val="20"/>
        </w:rPr>
        <w:t xml:space="preserve"> at a lower dose (dose tapering)</w:t>
      </w:r>
    </w:p>
    <w:p w:rsidR="001103C2" w:rsidRPr="00FE4251" w:rsidRDefault="001103C2" w:rsidP="001103C2">
      <w:pPr>
        <w:spacing w:before="0" w:after="120"/>
        <w:jc w:val="both"/>
      </w:pPr>
      <w:proofErr w:type="gramStart"/>
      <w:r w:rsidRPr="00FE4251">
        <w:rPr>
          <w:rFonts w:ascii="Arial Narrow" w:hAnsi="Arial Narrow"/>
          <w:iCs/>
          <w:sz w:val="18"/>
          <w:szCs w:val="18"/>
          <w:vertAlign w:val="superscript"/>
        </w:rPr>
        <w:t>c</w:t>
      </w:r>
      <w:proofErr w:type="gramEnd"/>
      <w:r w:rsidRPr="00FE4251">
        <w:rPr>
          <w:iCs/>
        </w:rPr>
        <w:tab/>
      </w:r>
      <w:r w:rsidRPr="00FE4251">
        <w:rPr>
          <w:rFonts w:ascii="Arial Narrow" w:hAnsi="Arial Narrow"/>
          <w:iCs/>
          <w:sz w:val="18"/>
          <w:szCs w:val="18"/>
        </w:rPr>
        <w:t xml:space="preserve">The 12-week trial of </w:t>
      </w:r>
      <w:proofErr w:type="spellStart"/>
      <w:r w:rsidRPr="00FE4251">
        <w:rPr>
          <w:rFonts w:ascii="Arial Narrow" w:hAnsi="Arial Narrow"/>
          <w:iCs/>
          <w:sz w:val="18"/>
          <w:szCs w:val="18"/>
        </w:rPr>
        <w:t>Campieri</w:t>
      </w:r>
      <w:proofErr w:type="spellEnd"/>
      <w:r w:rsidRPr="00FE4251">
        <w:rPr>
          <w:rFonts w:ascii="Arial Narrow" w:hAnsi="Arial Narrow"/>
          <w:iCs/>
          <w:sz w:val="18"/>
          <w:szCs w:val="18"/>
        </w:rPr>
        <w:t xml:space="preserve"> </w:t>
      </w:r>
      <w:r w:rsidR="006E6B52" w:rsidRPr="00FE4251">
        <w:rPr>
          <w:rFonts w:ascii="Arial Narrow" w:hAnsi="Arial Narrow"/>
          <w:iCs/>
          <w:sz w:val="18"/>
          <w:szCs w:val="18"/>
        </w:rPr>
        <w:t>1997 included</w:t>
      </w:r>
      <w:r w:rsidRPr="00FE4251">
        <w:rPr>
          <w:rFonts w:ascii="Arial Narrow" w:hAnsi="Arial Narrow"/>
          <w:iCs/>
          <w:sz w:val="18"/>
          <w:szCs w:val="18"/>
        </w:rPr>
        <w:t xml:space="preserve"> the last 4 weeks of </w:t>
      </w:r>
      <w:r w:rsidR="004C7B75" w:rsidRPr="00FE4251">
        <w:rPr>
          <w:rFonts w:ascii="Arial Narrow" w:hAnsi="Arial Narrow"/>
          <w:iCs/>
          <w:sz w:val="18"/>
          <w:szCs w:val="18"/>
        </w:rPr>
        <w:t>budesonide</w:t>
      </w:r>
      <w:r w:rsidRPr="00FE4251">
        <w:rPr>
          <w:rFonts w:ascii="Arial Narrow" w:hAnsi="Arial Narrow"/>
          <w:iCs/>
          <w:sz w:val="18"/>
          <w:szCs w:val="18"/>
        </w:rPr>
        <w:t xml:space="preserve"> at lower doses (dose tapering).</w:t>
      </w:r>
    </w:p>
    <w:p w:rsidR="001103C2" w:rsidRPr="00FE4251" w:rsidRDefault="001103C2" w:rsidP="001D7BAE">
      <w:pPr>
        <w:pStyle w:val="ListParagraph"/>
        <w:numPr>
          <w:ilvl w:val="1"/>
          <w:numId w:val="1"/>
        </w:numPr>
        <w:spacing w:before="0" w:after="120"/>
        <w:ind w:left="709" w:hanging="709"/>
        <w:jc w:val="both"/>
      </w:pPr>
      <w:r w:rsidRPr="00FE4251">
        <w:t xml:space="preserve">The total daily dose of budesonide </w:t>
      </w:r>
      <w:r w:rsidR="004C7B75" w:rsidRPr="00FE4251">
        <w:t xml:space="preserve">administered </w:t>
      </w:r>
      <w:r w:rsidRPr="00FE4251">
        <w:t xml:space="preserve">in the included trials was mostly </w:t>
      </w:r>
      <w:r w:rsidR="000D156C" w:rsidRPr="00FE4251">
        <w:br/>
      </w:r>
      <w:r w:rsidRPr="00FE4251">
        <w:t xml:space="preserve">9 mg per day, which is </w:t>
      </w:r>
      <w:r w:rsidRPr="00FE4251">
        <w:rPr>
          <w:iCs/>
        </w:rPr>
        <w:t>consistent</w:t>
      </w:r>
      <w:r w:rsidRPr="00FE4251">
        <w:t xml:space="preserve"> with </w:t>
      </w:r>
      <w:r w:rsidR="004C7B75" w:rsidRPr="00FE4251">
        <w:t xml:space="preserve">its </w:t>
      </w:r>
      <w:r w:rsidRPr="00FE4251">
        <w:t xml:space="preserve">PI.  In terms of dosing frequency, it was noted that </w:t>
      </w:r>
      <w:r w:rsidR="003E0510" w:rsidRPr="00FE4251">
        <w:t xml:space="preserve">while </w:t>
      </w:r>
      <w:r w:rsidRPr="00FE4251">
        <w:t xml:space="preserve">most trials had administered budesonide as a once daily dose, in Greenberg 1994 </w:t>
      </w:r>
      <w:r w:rsidR="006171BE" w:rsidRPr="00FE4251">
        <w:t xml:space="preserve">the </w:t>
      </w:r>
      <w:r w:rsidR="00C21E75" w:rsidRPr="00FE4251">
        <w:t xml:space="preserve">daily </w:t>
      </w:r>
      <w:r w:rsidR="006171BE" w:rsidRPr="00FE4251">
        <w:t>dose of budesonide (9</w:t>
      </w:r>
      <w:r w:rsidR="00314622" w:rsidRPr="00FE4251">
        <w:t xml:space="preserve"> </w:t>
      </w:r>
      <w:r w:rsidR="006171BE" w:rsidRPr="00FE4251">
        <w:t xml:space="preserve">mg) was administered over two </w:t>
      </w:r>
      <w:r w:rsidR="00C21E75" w:rsidRPr="00FE4251">
        <w:t xml:space="preserve">divided </w:t>
      </w:r>
      <w:r w:rsidR="006171BE" w:rsidRPr="00FE4251">
        <w:t xml:space="preserve">doses.  </w:t>
      </w:r>
      <w:r w:rsidRPr="00FE4251">
        <w:t xml:space="preserve">Tremaine 2002 </w:t>
      </w:r>
      <w:r w:rsidR="006171BE" w:rsidRPr="00FE4251">
        <w:t xml:space="preserve">and </w:t>
      </w:r>
      <w:proofErr w:type="spellStart"/>
      <w:r w:rsidRPr="00FE4251">
        <w:t>Campieri</w:t>
      </w:r>
      <w:proofErr w:type="spellEnd"/>
      <w:r w:rsidRPr="00FE4251">
        <w:t xml:space="preserve"> 1997</w:t>
      </w:r>
      <w:r w:rsidR="00475F7D" w:rsidRPr="00FE4251">
        <w:t xml:space="preserve"> </w:t>
      </w:r>
      <w:r w:rsidR="00C21E75" w:rsidRPr="00FE4251">
        <w:t>al</w:t>
      </w:r>
      <w:r w:rsidR="006171BE" w:rsidRPr="00FE4251">
        <w:t xml:space="preserve">so </w:t>
      </w:r>
      <w:r w:rsidR="00475F7D" w:rsidRPr="00FE4251">
        <w:t xml:space="preserve">included separate </w:t>
      </w:r>
      <w:r w:rsidR="006171BE" w:rsidRPr="00FE4251">
        <w:t xml:space="preserve">trial arms where </w:t>
      </w:r>
      <w:r w:rsidRPr="00FE4251">
        <w:t xml:space="preserve">total daily dose </w:t>
      </w:r>
      <w:r w:rsidR="006171BE" w:rsidRPr="00FE4251">
        <w:t xml:space="preserve">of budesonide </w:t>
      </w:r>
      <w:r w:rsidRPr="00FE4251">
        <w:t>(9</w:t>
      </w:r>
      <w:r w:rsidR="00314622" w:rsidRPr="00FE4251">
        <w:t xml:space="preserve"> </w:t>
      </w:r>
      <w:r w:rsidRPr="00FE4251">
        <w:t xml:space="preserve">mg) </w:t>
      </w:r>
      <w:r w:rsidR="006171BE" w:rsidRPr="00FE4251">
        <w:t>w</w:t>
      </w:r>
      <w:r w:rsidR="00C21E75" w:rsidRPr="00FE4251">
        <w:t>as administered in single or</w:t>
      </w:r>
      <w:r w:rsidR="006171BE" w:rsidRPr="00FE4251">
        <w:t xml:space="preserve"> twice daily doses</w:t>
      </w:r>
      <w:r w:rsidR="005C7E37" w:rsidRPr="00FE4251">
        <w:t xml:space="preserve">. </w:t>
      </w:r>
      <w:r w:rsidR="003E0510" w:rsidRPr="00FE4251">
        <w:t xml:space="preserve"> </w:t>
      </w:r>
      <w:r w:rsidR="005C7E37" w:rsidRPr="00FE4251">
        <w:t xml:space="preserve">In </w:t>
      </w:r>
      <w:proofErr w:type="spellStart"/>
      <w:r w:rsidR="005C7E37" w:rsidRPr="00FE4251">
        <w:t>Tro</w:t>
      </w:r>
      <w:r w:rsidR="00C21E75" w:rsidRPr="00FE4251">
        <w:t>mm</w:t>
      </w:r>
      <w:proofErr w:type="spellEnd"/>
      <w:r w:rsidR="00C21E75" w:rsidRPr="00FE4251">
        <w:t xml:space="preserve"> 2011, budesonide (</w:t>
      </w:r>
      <w:proofErr w:type="spellStart"/>
      <w:r w:rsidR="00C21E75" w:rsidRPr="00FE4251">
        <w:t>Budenofalk</w:t>
      </w:r>
      <w:proofErr w:type="spellEnd"/>
      <w:r w:rsidR="00C21E75" w:rsidRPr="00FE4251">
        <w:t xml:space="preserve">®) was given either </w:t>
      </w:r>
      <w:r w:rsidR="00475F7D" w:rsidRPr="00FE4251">
        <w:t xml:space="preserve">once </w:t>
      </w:r>
      <w:r w:rsidR="00C21E75" w:rsidRPr="00FE4251">
        <w:t xml:space="preserve">or three times daily, </w:t>
      </w:r>
      <w:r w:rsidR="006171BE" w:rsidRPr="00FE4251">
        <w:t>thus permitting a comparison across the dosing regimens.</w:t>
      </w:r>
    </w:p>
    <w:p w:rsidR="001103C2" w:rsidRPr="00FE4251" w:rsidRDefault="001103C2" w:rsidP="001D7BAE">
      <w:pPr>
        <w:pStyle w:val="ListParagraph"/>
        <w:numPr>
          <w:ilvl w:val="1"/>
          <w:numId w:val="1"/>
        </w:numPr>
        <w:spacing w:before="0" w:after="120"/>
        <w:ind w:left="709" w:hanging="709"/>
        <w:jc w:val="both"/>
      </w:pPr>
      <w:r w:rsidRPr="00FE4251">
        <w:t xml:space="preserve">In Thomsen 1998, patients randomised to </w:t>
      </w:r>
      <w:r w:rsidR="004C7B75" w:rsidRPr="00FE4251">
        <w:t>budesonide</w:t>
      </w:r>
      <w:r w:rsidRPr="00FE4251">
        <w:t xml:space="preserve"> were treated with 9</w:t>
      </w:r>
      <w:r w:rsidR="00314622" w:rsidRPr="00FE4251">
        <w:t xml:space="preserve"> </w:t>
      </w:r>
      <w:r w:rsidRPr="00FE4251">
        <w:t>mg/d</w:t>
      </w:r>
      <w:r w:rsidR="00C21E75" w:rsidRPr="00FE4251">
        <w:t>ay</w:t>
      </w:r>
      <w:r w:rsidRPr="00FE4251">
        <w:t xml:space="preserve"> for a total of 16 </w:t>
      </w:r>
      <w:r w:rsidRPr="00FE4251">
        <w:rPr>
          <w:iCs/>
        </w:rPr>
        <w:t>weeks</w:t>
      </w:r>
      <w:r w:rsidR="006B2741" w:rsidRPr="00FE4251">
        <w:t>. This</w:t>
      </w:r>
      <w:r w:rsidR="004C7B75" w:rsidRPr="00FE4251">
        <w:t xml:space="preserve"> </w:t>
      </w:r>
      <w:r w:rsidRPr="00FE4251">
        <w:t xml:space="preserve">does not match the dosing recommendations in the PI which </w:t>
      </w:r>
      <w:r w:rsidR="006B2741" w:rsidRPr="00FE4251">
        <w:t>i</w:t>
      </w:r>
      <w:r w:rsidRPr="00FE4251">
        <w:t xml:space="preserve">s for </w:t>
      </w:r>
      <w:proofErr w:type="gramStart"/>
      <w:r w:rsidRPr="00FE4251">
        <w:t>a maximum</w:t>
      </w:r>
      <w:proofErr w:type="gramEnd"/>
      <w:r w:rsidRPr="00FE4251">
        <w:t xml:space="preserve"> treatment duration of 12 weeks, with dose tapering in the last 2-4 weeks of treatment.  </w:t>
      </w:r>
      <w:r w:rsidR="004C7B75" w:rsidRPr="00FE4251">
        <w:t xml:space="preserve">The submission (p107) acknowledged </w:t>
      </w:r>
      <w:r w:rsidRPr="00FE4251">
        <w:t xml:space="preserve">this </w:t>
      </w:r>
      <w:r w:rsidR="004C7B75" w:rsidRPr="00FE4251">
        <w:t xml:space="preserve">difference </w:t>
      </w:r>
      <w:r w:rsidRPr="00FE4251">
        <w:t xml:space="preserve">and as a result </w:t>
      </w:r>
      <w:r w:rsidR="004C7B75" w:rsidRPr="00FE4251">
        <w:t xml:space="preserve">it was proposed </w:t>
      </w:r>
      <w:r w:rsidR="00C21E75" w:rsidRPr="00FE4251">
        <w:t xml:space="preserve">that </w:t>
      </w:r>
      <w:r w:rsidRPr="00FE4251">
        <w:t xml:space="preserve">the modelled economic evaluation </w:t>
      </w:r>
      <w:r w:rsidR="004C7B75" w:rsidRPr="00FE4251">
        <w:t xml:space="preserve">should be </w:t>
      </w:r>
      <w:r w:rsidRPr="00FE4251">
        <w:t>based on the dosage recommend</w:t>
      </w:r>
      <w:r w:rsidR="004C7B75" w:rsidRPr="00FE4251">
        <w:t xml:space="preserve">ations in the </w:t>
      </w:r>
      <w:r w:rsidRPr="00FE4251">
        <w:t xml:space="preserve">PI. </w:t>
      </w:r>
      <w:r w:rsidR="00164EDA" w:rsidRPr="00FE4251">
        <w:t xml:space="preserve"> </w:t>
      </w:r>
      <w:r w:rsidR="00DB7813" w:rsidRPr="00FE4251">
        <w:t>The PBAC considered that t</w:t>
      </w:r>
      <w:r w:rsidR="00164EDA" w:rsidRPr="00FE4251">
        <w:t xml:space="preserve">here are issues with this approach and </w:t>
      </w:r>
      <w:r w:rsidR="009F527D" w:rsidRPr="00FE4251">
        <w:t xml:space="preserve">it </w:t>
      </w:r>
      <w:r w:rsidR="00164EDA" w:rsidRPr="00FE4251">
        <w:t>favoured budesonide in the modelled economic evaluation (See “Economic Analysis”).</w:t>
      </w:r>
      <w:r w:rsidR="0064572B" w:rsidRPr="00FE4251">
        <w:t xml:space="preserve">  </w:t>
      </w:r>
    </w:p>
    <w:p w:rsidR="001103C2" w:rsidRPr="00FE4251" w:rsidRDefault="001103C2" w:rsidP="001103C2">
      <w:pPr>
        <w:pStyle w:val="Heading2"/>
      </w:pPr>
      <w:bookmarkStart w:id="28" w:name="_Toc413139278"/>
      <w:bookmarkStart w:id="29" w:name="_Toc491952254"/>
      <w:bookmarkStart w:id="30" w:name="_Toc491952729"/>
      <w:r w:rsidRPr="00FE4251">
        <w:t>Comparative effectiveness</w:t>
      </w:r>
      <w:bookmarkEnd w:id="28"/>
      <w:bookmarkEnd w:id="29"/>
      <w:bookmarkEnd w:id="30"/>
      <w:r w:rsidRPr="00FE4251">
        <w:t xml:space="preserve"> </w:t>
      </w:r>
    </w:p>
    <w:p w:rsidR="001103C2" w:rsidRPr="00FE4251" w:rsidRDefault="00D11A4C" w:rsidP="001D7BAE">
      <w:pPr>
        <w:pStyle w:val="ListParagraph"/>
        <w:numPr>
          <w:ilvl w:val="1"/>
          <w:numId w:val="1"/>
        </w:numPr>
        <w:spacing w:before="0" w:after="120"/>
        <w:ind w:left="709" w:hanging="709"/>
        <w:jc w:val="both"/>
      </w:pPr>
      <w:r w:rsidRPr="00FE4251">
        <w:t xml:space="preserve">The clinically relevant outcome in CD is disease remission defined as a Crohn’s Disease Activity Index (CDAI) score ≤150.  This was the primary outcome in all included trials and was relied </w:t>
      </w:r>
      <w:r w:rsidR="003E0510" w:rsidRPr="00FE4251">
        <w:t>up</w:t>
      </w:r>
      <w:r w:rsidRPr="00FE4251">
        <w:t xml:space="preserve">on by the submission for its clinical claim and the modelled economic evaluation.  </w:t>
      </w:r>
      <w:r w:rsidR="0030662C" w:rsidRPr="00FE4251">
        <w:t>The results for r</w:t>
      </w:r>
      <w:r w:rsidR="001103C2" w:rsidRPr="00FE4251">
        <w:t>emission a</w:t>
      </w:r>
      <w:r w:rsidR="00164EDA" w:rsidRPr="00FE4251">
        <w:t>fter</w:t>
      </w:r>
      <w:r w:rsidR="001103C2" w:rsidRPr="00FE4251">
        <w:t xml:space="preserve"> 8 weeks </w:t>
      </w:r>
      <w:r w:rsidR="00164EDA" w:rsidRPr="00FE4251">
        <w:t xml:space="preserve">of treatment were compared across the </w:t>
      </w:r>
      <w:r w:rsidR="001103C2" w:rsidRPr="00FE4251">
        <w:t>included trials (including meta-analyses)</w:t>
      </w:r>
      <w:r w:rsidRPr="00FE4251">
        <w:t xml:space="preserve"> </w:t>
      </w:r>
      <w:r w:rsidR="00536C9A" w:rsidRPr="00FE4251">
        <w:t xml:space="preserve">and </w:t>
      </w:r>
      <w:r w:rsidR="00C96268" w:rsidRPr="00FE4251">
        <w:t>are summarised in Table 4</w:t>
      </w:r>
      <w:r w:rsidRPr="00FE4251">
        <w:t>.</w:t>
      </w:r>
    </w:p>
    <w:p w:rsidR="001103C2" w:rsidRPr="00FE4251" w:rsidRDefault="001103C2" w:rsidP="001D7BAE">
      <w:pPr>
        <w:pStyle w:val="ListParagraph"/>
        <w:numPr>
          <w:ilvl w:val="1"/>
          <w:numId w:val="1"/>
        </w:numPr>
        <w:spacing w:before="0" w:after="120"/>
        <w:ind w:left="709" w:hanging="709"/>
        <w:jc w:val="both"/>
      </w:pPr>
      <w:r w:rsidRPr="00FE4251">
        <w:t xml:space="preserve">The </w:t>
      </w:r>
      <w:r w:rsidR="00A85C20" w:rsidRPr="00FE4251">
        <w:t xml:space="preserve">PBAC noted that the </w:t>
      </w:r>
      <w:r w:rsidRPr="00FE4251">
        <w:t xml:space="preserve">submission </w:t>
      </w:r>
      <w:r w:rsidRPr="00FE4251">
        <w:rPr>
          <w:iCs/>
        </w:rPr>
        <w:t>reasonably</w:t>
      </w:r>
      <w:r w:rsidRPr="00FE4251">
        <w:t xml:space="preserve"> argued that the results of Thomsen 1998 trial (</w:t>
      </w:r>
      <w:proofErr w:type="spellStart"/>
      <w:r w:rsidRPr="00FE4251">
        <w:t>Entocort</w:t>
      </w:r>
      <w:proofErr w:type="spellEnd"/>
      <w:r w:rsidRPr="00FE4251">
        <w:t xml:space="preserve">®) and </w:t>
      </w:r>
      <w:proofErr w:type="spellStart"/>
      <w:r w:rsidRPr="00FE4251">
        <w:t>Tromm</w:t>
      </w:r>
      <w:proofErr w:type="spellEnd"/>
      <w:r w:rsidRPr="00FE4251">
        <w:t xml:space="preserve"> 2011 (</w:t>
      </w:r>
      <w:proofErr w:type="spellStart"/>
      <w:r w:rsidRPr="00FE4251">
        <w:t>Budenofalk</w:t>
      </w:r>
      <w:proofErr w:type="spellEnd"/>
      <w:r w:rsidRPr="00FE4251">
        <w:t xml:space="preserve">®) versus </w:t>
      </w:r>
      <w:proofErr w:type="spellStart"/>
      <w:r w:rsidRPr="00FE4251">
        <w:t>mesalazine</w:t>
      </w:r>
      <w:proofErr w:type="spellEnd"/>
      <w:r w:rsidRPr="00FE4251">
        <w:t xml:space="preserve"> should not be pooled, mainly because the trials had used different formulations of budesonide and </w:t>
      </w:r>
      <w:proofErr w:type="spellStart"/>
      <w:r w:rsidRPr="00FE4251">
        <w:t>mesalazine</w:t>
      </w:r>
      <w:proofErr w:type="spellEnd"/>
      <w:r w:rsidRPr="00FE4251">
        <w:t xml:space="preserve"> and also different dosages of </w:t>
      </w:r>
      <w:proofErr w:type="spellStart"/>
      <w:r w:rsidRPr="00FE4251">
        <w:t>mesalazine</w:t>
      </w:r>
      <w:proofErr w:type="spellEnd"/>
      <w:r w:rsidRPr="00FE4251">
        <w:t xml:space="preserve">, with </w:t>
      </w:r>
      <w:proofErr w:type="spellStart"/>
      <w:r w:rsidRPr="00FE4251">
        <w:t>Tromm</w:t>
      </w:r>
      <w:proofErr w:type="spellEnd"/>
      <w:r w:rsidRPr="00FE4251">
        <w:t xml:space="preserve"> 2011 administering a higher daily dose (4.5</w:t>
      </w:r>
      <w:r w:rsidR="00C41438" w:rsidRPr="00FE4251">
        <w:t xml:space="preserve"> </w:t>
      </w:r>
      <w:r w:rsidRPr="00FE4251">
        <w:t>g/day versus 4</w:t>
      </w:r>
      <w:r w:rsidR="00C41438" w:rsidRPr="00FE4251">
        <w:t xml:space="preserve"> </w:t>
      </w:r>
      <w:r w:rsidRPr="00FE4251">
        <w:t>g/day in Thomsen 1998).</w:t>
      </w:r>
      <w:r w:rsidR="0064572B" w:rsidRPr="00FE4251">
        <w:t xml:space="preserve">  </w:t>
      </w:r>
    </w:p>
    <w:p w:rsidR="001103C2" w:rsidRPr="00FE4251" w:rsidRDefault="001103C2" w:rsidP="001D7BAE">
      <w:pPr>
        <w:pStyle w:val="ListParagraph"/>
        <w:numPr>
          <w:ilvl w:val="1"/>
          <w:numId w:val="1"/>
        </w:numPr>
        <w:spacing w:before="0" w:after="120"/>
        <w:ind w:left="709" w:hanging="709"/>
        <w:jc w:val="both"/>
      </w:pPr>
      <w:r w:rsidRPr="00FE4251">
        <w:t xml:space="preserve">The submission </w:t>
      </w:r>
      <w:r w:rsidR="00164EDA" w:rsidRPr="00FE4251">
        <w:t xml:space="preserve">however did </w:t>
      </w:r>
      <w:r w:rsidRPr="00FE4251">
        <w:t xml:space="preserve">pool results from the three included placebo controlled trials of budesonide (Greenberg 1994, Tremaine 2002 and Suzuki 2013).  </w:t>
      </w:r>
      <w:r w:rsidR="009F527D" w:rsidRPr="00FE4251">
        <w:rPr>
          <w:iCs/>
        </w:rPr>
        <w:t>T</w:t>
      </w:r>
      <w:r w:rsidRPr="00FE4251">
        <w:rPr>
          <w:iCs/>
        </w:rPr>
        <w:t xml:space="preserve">he budesonide dosing frequency had varied across the trials and </w:t>
      </w:r>
      <w:r w:rsidR="009F527D" w:rsidRPr="00FE4251">
        <w:rPr>
          <w:iCs/>
        </w:rPr>
        <w:t xml:space="preserve">this had an effect on the results of the analysis. </w:t>
      </w:r>
      <w:r w:rsidRPr="00FE4251">
        <w:rPr>
          <w:iCs/>
        </w:rPr>
        <w:t xml:space="preserve">Hence, Table </w:t>
      </w:r>
      <w:r w:rsidR="00C96268" w:rsidRPr="00FE4251">
        <w:rPr>
          <w:iCs/>
        </w:rPr>
        <w:t>4</w:t>
      </w:r>
      <w:r w:rsidRPr="00FE4251">
        <w:rPr>
          <w:iCs/>
        </w:rPr>
        <w:t xml:space="preserve"> also splits the results of the meta-analyses by budesonide dosing frequency</w:t>
      </w:r>
      <w:r w:rsidR="00D11A4C" w:rsidRPr="00FE4251">
        <w:rPr>
          <w:iCs/>
        </w:rPr>
        <w:t xml:space="preserve"> in the trials</w:t>
      </w:r>
      <w:r w:rsidRPr="00FE4251">
        <w:rPr>
          <w:iCs/>
        </w:rPr>
        <w:t>.</w:t>
      </w:r>
      <w:r w:rsidRPr="00FE4251">
        <w:rPr>
          <w:color w:val="4472C4" w:themeColor="accent5"/>
        </w:rPr>
        <w:t xml:space="preserve"> </w:t>
      </w:r>
    </w:p>
    <w:p w:rsidR="00A01010" w:rsidRPr="00FE4251" w:rsidRDefault="00A01010">
      <w:pPr>
        <w:spacing w:before="0" w:line="259" w:lineRule="auto"/>
        <w:rPr>
          <w:rFonts w:ascii="Arial Narrow" w:hAnsi="Arial Narrow"/>
          <w:b/>
          <w:sz w:val="20"/>
        </w:rPr>
      </w:pPr>
      <w:r w:rsidRPr="00FE4251">
        <w:rPr>
          <w:rFonts w:ascii="Arial Narrow" w:hAnsi="Arial Narrow"/>
          <w:b/>
          <w:sz w:val="20"/>
        </w:rPr>
        <w:br w:type="page"/>
      </w:r>
    </w:p>
    <w:p w:rsidR="001103C2" w:rsidRPr="00FE4251" w:rsidRDefault="001103C2" w:rsidP="001103C2">
      <w:pPr>
        <w:keepNext/>
        <w:spacing w:before="0" w:after="0"/>
        <w:rPr>
          <w:rFonts w:ascii="Arial Narrow" w:hAnsi="Arial Narrow"/>
          <w:b/>
          <w:sz w:val="20"/>
        </w:rPr>
      </w:pPr>
      <w:r w:rsidRPr="00FE4251">
        <w:rPr>
          <w:rFonts w:ascii="Arial Narrow" w:hAnsi="Arial Narrow"/>
          <w:b/>
          <w:sz w:val="20"/>
        </w:rPr>
        <w:t xml:space="preserve">Table </w:t>
      </w:r>
      <w:r w:rsidR="00C96268" w:rsidRPr="00FE4251">
        <w:rPr>
          <w:rFonts w:ascii="Arial Narrow" w:hAnsi="Arial Narrow"/>
          <w:b/>
          <w:sz w:val="20"/>
        </w:rPr>
        <w:t>4</w:t>
      </w:r>
      <w:r w:rsidRPr="00FE4251">
        <w:rPr>
          <w:rFonts w:ascii="Arial Narrow" w:hAnsi="Arial Narrow"/>
          <w:b/>
          <w:sz w:val="20"/>
        </w:rPr>
        <w:t>: Results of remission rate at 8 weeks (including meta-analyses) across the trials</w:t>
      </w:r>
    </w:p>
    <w:tbl>
      <w:tblPr>
        <w:tblStyle w:val="Summarybox61"/>
        <w:tblpPr w:leftFromText="180" w:rightFromText="180" w:vertAnchor="text" w:tblpX="-5" w:tblpY="1"/>
        <w:tblOverlap w:val="never"/>
        <w:tblW w:w="5110" w:type="pct"/>
        <w:tblLayout w:type="fixed"/>
        <w:tblCellMar>
          <w:left w:w="28" w:type="dxa"/>
          <w:right w:w="28" w:type="dxa"/>
        </w:tblCellMar>
        <w:tblLook w:val="04A0" w:firstRow="1" w:lastRow="0" w:firstColumn="1" w:lastColumn="0" w:noHBand="0" w:noVBand="1"/>
        <w:tblCaption w:val="Table 4: Results of remission rate at 8 weeks (including meta-analyses) across the trials"/>
      </w:tblPr>
      <w:tblGrid>
        <w:gridCol w:w="2140"/>
        <w:gridCol w:w="1428"/>
        <w:gridCol w:w="1142"/>
        <w:gridCol w:w="1554"/>
        <w:gridCol w:w="1418"/>
        <w:gridCol w:w="1600"/>
      </w:tblGrid>
      <w:tr w:rsidR="001103C2" w:rsidRPr="00FE4251" w:rsidTr="006007C2">
        <w:trPr>
          <w:trHeight w:val="283"/>
          <w:tblHeader/>
        </w:trPr>
        <w:tc>
          <w:tcPr>
            <w:tcW w:w="1153" w:type="pct"/>
            <w:vMerge w:val="restart"/>
            <w:shd w:val="clear" w:color="auto" w:fill="auto"/>
            <w:vAlign w:val="center"/>
          </w:tcPr>
          <w:p w:rsidR="001103C2" w:rsidRPr="00FE4251" w:rsidRDefault="001103C2" w:rsidP="00DA6A6B">
            <w:pPr>
              <w:keepNext/>
              <w:keepLines/>
              <w:spacing w:before="0"/>
              <w:rPr>
                <w:rFonts w:ascii="Arial Narrow" w:eastAsia="Calibri" w:hAnsi="Arial Narrow" w:cstheme="minorHAnsi"/>
                <w:b/>
                <w:sz w:val="20"/>
                <w:szCs w:val="20"/>
              </w:rPr>
            </w:pPr>
            <w:r w:rsidRPr="00FE4251">
              <w:rPr>
                <w:rFonts w:ascii="Arial Narrow" w:eastAsia="Calibri" w:hAnsi="Arial Narrow" w:cstheme="minorHAnsi"/>
                <w:b/>
                <w:sz w:val="20"/>
                <w:szCs w:val="20"/>
              </w:rPr>
              <w:t>Trial ID</w:t>
            </w:r>
          </w:p>
        </w:tc>
        <w:tc>
          <w:tcPr>
            <w:tcW w:w="769" w:type="pct"/>
            <w:vMerge w:val="restar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sz w:val="20"/>
                <w:szCs w:val="20"/>
              </w:rPr>
            </w:pPr>
            <w:r w:rsidRPr="00FE4251">
              <w:rPr>
                <w:rFonts w:ascii="Arial Narrow" w:eastAsia="Calibri" w:hAnsi="Arial Narrow" w:cstheme="minorHAnsi"/>
                <w:b/>
                <w:sz w:val="20"/>
                <w:szCs w:val="20"/>
              </w:rPr>
              <w:t>Budesonide</w:t>
            </w:r>
          </w:p>
          <w:p w:rsidR="001103C2" w:rsidRPr="00FE4251" w:rsidRDefault="001103C2" w:rsidP="00DA6A6B">
            <w:pPr>
              <w:keepNext/>
              <w:keepLines/>
              <w:spacing w:before="0"/>
              <w:jc w:val="center"/>
              <w:rPr>
                <w:rFonts w:ascii="Arial Narrow" w:eastAsia="Calibri" w:hAnsi="Arial Narrow" w:cstheme="minorHAnsi"/>
                <w:b/>
                <w:sz w:val="20"/>
                <w:szCs w:val="20"/>
              </w:rPr>
            </w:pPr>
            <w:proofErr w:type="gramStart"/>
            <w:r w:rsidRPr="00FE4251">
              <w:rPr>
                <w:rFonts w:ascii="Arial Narrow" w:eastAsia="Calibri" w:hAnsi="Arial Narrow" w:cstheme="minorHAnsi"/>
                <w:b/>
                <w:sz w:val="20"/>
                <w:szCs w:val="20"/>
              </w:rPr>
              <w:t>n/N</w:t>
            </w:r>
            <w:proofErr w:type="gramEnd"/>
            <w:r w:rsidRPr="00FE4251">
              <w:rPr>
                <w:rFonts w:ascii="Arial Narrow" w:eastAsia="Calibri" w:hAnsi="Arial Narrow" w:cstheme="minorHAnsi"/>
                <w:b/>
                <w:sz w:val="20"/>
                <w:szCs w:val="20"/>
              </w:rPr>
              <w:t xml:space="preserve"> (%)</w:t>
            </w:r>
          </w:p>
        </w:tc>
        <w:tc>
          <w:tcPr>
            <w:tcW w:w="615" w:type="pct"/>
            <w:vMerge w:val="restar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sz w:val="20"/>
                <w:szCs w:val="20"/>
              </w:rPr>
            </w:pPr>
            <w:r w:rsidRPr="00FE4251">
              <w:rPr>
                <w:rFonts w:ascii="Arial Narrow" w:eastAsia="Calibri" w:hAnsi="Arial Narrow" w:cstheme="minorHAnsi"/>
                <w:b/>
                <w:sz w:val="20"/>
                <w:szCs w:val="20"/>
              </w:rPr>
              <w:t>Comparator</w:t>
            </w:r>
          </w:p>
          <w:p w:rsidR="001103C2" w:rsidRPr="00FE4251" w:rsidRDefault="001103C2" w:rsidP="00DA6A6B">
            <w:pPr>
              <w:keepNext/>
              <w:keepLines/>
              <w:spacing w:before="0"/>
              <w:jc w:val="center"/>
              <w:rPr>
                <w:rFonts w:ascii="Arial Narrow" w:eastAsia="Calibri" w:hAnsi="Arial Narrow" w:cstheme="minorHAnsi"/>
                <w:b/>
                <w:sz w:val="20"/>
                <w:szCs w:val="20"/>
              </w:rPr>
            </w:pPr>
            <w:proofErr w:type="gramStart"/>
            <w:r w:rsidRPr="00FE4251">
              <w:rPr>
                <w:rFonts w:ascii="Arial Narrow" w:eastAsia="Calibri" w:hAnsi="Arial Narrow" w:cstheme="minorHAnsi"/>
                <w:b/>
                <w:sz w:val="20"/>
                <w:szCs w:val="20"/>
              </w:rPr>
              <w:t>n/N</w:t>
            </w:r>
            <w:proofErr w:type="gramEnd"/>
            <w:r w:rsidRPr="00FE4251">
              <w:rPr>
                <w:rFonts w:ascii="Arial Narrow" w:eastAsia="Calibri" w:hAnsi="Arial Narrow" w:cstheme="minorHAnsi"/>
                <w:b/>
                <w:sz w:val="20"/>
                <w:szCs w:val="20"/>
              </w:rPr>
              <w:t xml:space="preserve"> (%)</w:t>
            </w:r>
          </w:p>
        </w:tc>
        <w:tc>
          <w:tcPr>
            <w:tcW w:w="2463" w:type="pct"/>
            <w:gridSpan w:val="3"/>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sz w:val="20"/>
                <w:szCs w:val="20"/>
              </w:rPr>
            </w:pPr>
            <w:r w:rsidRPr="00FE4251">
              <w:rPr>
                <w:rFonts w:ascii="Arial Narrow" w:eastAsia="Calibri" w:hAnsi="Arial Narrow" w:cstheme="minorHAnsi"/>
                <w:b/>
                <w:sz w:val="20"/>
                <w:szCs w:val="20"/>
              </w:rPr>
              <w:t>Budesonide versus comparator</w:t>
            </w:r>
          </w:p>
        </w:tc>
      </w:tr>
      <w:tr w:rsidR="001103C2" w:rsidRPr="00FE4251" w:rsidTr="006007C2">
        <w:trPr>
          <w:trHeight w:val="283"/>
          <w:tblHeader/>
        </w:trPr>
        <w:tc>
          <w:tcPr>
            <w:tcW w:w="1153" w:type="pct"/>
            <w:vMerge/>
            <w:shd w:val="clear" w:color="auto" w:fill="auto"/>
            <w:vAlign w:val="center"/>
          </w:tcPr>
          <w:p w:rsidR="001103C2" w:rsidRPr="00FE4251" w:rsidRDefault="001103C2" w:rsidP="00DA6A6B">
            <w:pPr>
              <w:keepNext/>
              <w:keepLines/>
              <w:spacing w:before="0"/>
              <w:rPr>
                <w:rFonts w:ascii="Arial Narrow" w:eastAsia="Calibri" w:hAnsi="Arial Narrow" w:cstheme="minorHAnsi"/>
                <w:b/>
                <w:sz w:val="20"/>
                <w:szCs w:val="20"/>
              </w:rPr>
            </w:pPr>
          </w:p>
        </w:tc>
        <w:tc>
          <w:tcPr>
            <w:tcW w:w="769" w:type="pct"/>
            <w:vMerge/>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sz w:val="20"/>
                <w:szCs w:val="20"/>
              </w:rPr>
            </w:pPr>
          </w:p>
        </w:tc>
        <w:tc>
          <w:tcPr>
            <w:tcW w:w="615" w:type="pct"/>
            <w:vMerge/>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sz w:val="20"/>
                <w:szCs w:val="20"/>
              </w:rPr>
            </w:pPr>
          </w:p>
        </w:tc>
        <w:tc>
          <w:tcPr>
            <w:tcW w:w="837" w:type="pct"/>
            <w:shd w:val="clear" w:color="auto" w:fill="auto"/>
            <w:vAlign w:val="center"/>
          </w:tcPr>
          <w:p w:rsidR="001103C2" w:rsidRPr="00FE4251" w:rsidDel="00B80DEE" w:rsidRDefault="001103C2" w:rsidP="00DA6A6B">
            <w:pPr>
              <w:keepNext/>
              <w:keepLines/>
              <w:spacing w:before="0"/>
              <w:jc w:val="center"/>
              <w:rPr>
                <w:rFonts w:ascii="Arial Narrow" w:eastAsia="Calibri" w:hAnsi="Arial Narrow" w:cstheme="minorHAnsi"/>
                <w:b/>
                <w:sz w:val="20"/>
                <w:szCs w:val="20"/>
              </w:rPr>
            </w:pPr>
            <w:r w:rsidRPr="00FE4251">
              <w:rPr>
                <w:rFonts w:ascii="Arial Narrow" w:eastAsia="Calibri" w:hAnsi="Arial Narrow" w:cstheme="minorHAnsi"/>
                <w:b/>
                <w:sz w:val="20"/>
                <w:szCs w:val="20"/>
              </w:rPr>
              <w:t>RR (95% CI)</w:t>
            </w:r>
          </w:p>
        </w:tc>
        <w:tc>
          <w:tcPr>
            <w:tcW w:w="764" w:type="pct"/>
            <w:shd w:val="clear" w:color="auto" w:fill="auto"/>
            <w:vAlign w:val="center"/>
          </w:tcPr>
          <w:p w:rsidR="001103C2" w:rsidRPr="00FE4251" w:rsidDel="00B80DEE" w:rsidRDefault="001103C2" w:rsidP="00DA6A6B">
            <w:pPr>
              <w:keepNext/>
              <w:keepLines/>
              <w:spacing w:before="0"/>
              <w:jc w:val="center"/>
              <w:rPr>
                <w:rFonts w:ascii="Arial Narrow" w:eastAsia="Calibri" w:hAnsi="Arial Narrow" w:cstheme="minorHAnsi"/>
                <w:b/>
                <w:sz w:val="20"/>
                <w:szCs w:val="20"/>
              </w:rPr>
            </w:pPr>
            <w:r w:rsidRPr="00FE4251">
              <w:rPr>
                <w:rFonts w:ascii="Arial Narrow" w:eastAsia="Calibri" w:hAnsi="Arial Narrow" w:cstheme="minorHAnsi"/>
                <w:b/>
                <w:sz w:val="20"/>
                <w:szCs w:val="20"/>
              </w:rPr>
              <w:t>RD (95% CI)</w:t>
            </w:r>
          </w:p>
        </w:tc>
        <w:tc>
          <w:tcPr>
            <w:tcW w:w="861" w:type="pct"/>
            <w:shd w:val="clear" w:color="auto" w:fill="auto"/>
            <w:vAlign w:val="center"/>
          </w:tcPr>
          <w:p w:rsidR="001103C2" w:rsidRPr="00FE4251" w:rsidDel="00B80DEE" w:rsidRDefault="001103C2" w:rsidP="00DA6A6B">
            <w:pPr>
              <w:keepNext/>
              <w:keepLines/>
              <w:spacing w:before="0"/>
              <w:jc w:val="center"/>
              <w:rPr>
                <w:rFonts w:ascii="Arial Narrow" w:eastAsia="Calibri" w:hAnsi="Arial Narrow" w:cstheme="minorHAnsi"/>
                <w:b/>
                <w:sz w:val="20"/>
                <w:szCs w:val="20"/>
              </w:rPr>
            </w:pPr>
            <w:r w:rsidRPr="00FE4251">
              <w:rPr>
                <w:rFonts w:ascii="Arial Narrow" w:eastAsia="Calibri" w:hAnsi="Arial Narrow" w:cstheme="minorHAnsi"/>
                <w:b/>
                <w:sz w:val="20"/>
                <w:szCs w:val="20"/>
              </w:rPr>
              <w:t>OR (95% CI)</w:t>
            </w:r>
          </w:p>
        </w:tc>
      </w:tr>
      <w:tr w:rsidR="001103C2" w:rsidRPr="00FE4251" w:rsidTr="004020D0">
        <w:trPr>
          <w:trHeight w:val="128"/>
        </w:trPr>
        <w:tc>
          <w:tcPr>
            <w:tcW w:w="5000" w:type="pct"/>
            <w:gridSpan w:val="6"/>
            <w:shd w:val="clear" w:color="auto" w:fill="auto"/>
            <w:vAlign w:val="center"/>
          </w:tcPr>
          <w:p w:rsidR="001103C2" w:rsidRPr="00FE4251" w:rsidRDefault="004C7B75" w:rsidP="00DA6A6B">
            <w:pPr>
              <w:keepNext/>
              <w:keepLines/>
              <w:spacing w:before="0"/>
              <w:rPr>
                <w:rFonts w:ascii="Arial Narrow" w:eastAsia="Calibri" w:hAnsi="Arial Narrow" w:cstheme="minorHAnsi"/>
                <w:b/>
                <w:sz w:val="20"/>
                <w:szCs w:val="20"/>
              </w:rPr>
            </w:pPr>
            <w:r w:rsidRPr="00FE4251">
              <w:rPr>
                <w:rFonts w:ascii="Arial Narrow" w:eastAsia="Calibri" w:hAnsi="Arial Narrow" w:cstheme="minorHAnsi"/>
                <w:b/>
                <w:sz w:val="20"/>
                <w:szCs w:val="20"/>
              </w:rPr>
              <w:t>Budesonide</w:t>
            </w:r>
            <w:r w:rsidR="001103C2" w:rsidRPr="00FE4251">
              <w:rPr>
                <w:rFonts w:ascii="Arial Narrow" w:eastAsia="Calibri" w:hAnsi="Arial Narrow" w:cstheme="minorHAnsi"/>
                <w:b/>
                <w:sz w:val="20"/>
                <w:szCs w:val="20"/>
              </w:rPr>
              <w:t xml:space="preserve"> 9mg/d versus </w:t>
            </w:r>
            <w:proofErr w:type="spellStart"/>
            <w:r w:rsidR="001103C2" w:rsidRPr="00FE4251">
              <w:rPr>
                <w:rFonts w:ascii="Arial Narrow" w:eastAsia="Calibri" w:hAnsi="Arial Narrow" w:cstheme="minorHAnsi"/>
                <w:b/>
                <w:sz w:val="20"/>
                <w:szCs w:val="20"/>
              </w:rPr>
              <w:t>mesalazine</w:t>
            </w:r>
            <w:proofErr w:type="spellEnd"/>
          </w:p>
        </w:tc>
      </w:tr>
      <w:tr w:rsidR="001103C2" w:rsidRPr="00FE4251" w:rsidTr="00DA6A6B">
        <w:trPr>
          <w:trHeight w:val="128"/>
        </w:trPr>
        <w:tc>
          <w:tcPr>
            <w:tcW w:w="5000" w:type="pct"/>
            <w:gridSpan w:val="6"/>
            <w:shd w:val="clear" w:color="auto" w:fill="auto"/>
            <w:vAlign w:val="center"/>
          </w:tcPr>
          <w:p w:rsidR="001103C2" w:rsidRPr="00FE4251" w:rsidRDefault="001103C2" w:rsidP="009F20EF">
            <w:pPr>
              <w:keepNext/>
              <w:keepLines/>
              <w:numPr>
                <w:ilvl w:val="1"/>
                <w:numId w:val="7"/>
              </w:numPr>
              <w:tabs>
                <w:tab w:val="center" w:pos="117"/>
              </w:tabs>
              <w:spacing w:before="0"/>
              <w:ind w:left="117" w:hanging="142"/>
              <w:rPr>
                <w:rFonts w:ascii="Arial Narrow" w:eastAsia="Times New Roman" w:hAnsi="Arial Narrow" w:cstheme="minorHAnsi"/>
                <w:b/>
                <w:bCs/>
                <w:color w:val="000000"/>
                <w:sz w:val="20"/>
                <w:szCs w:val="20"/>
              </w:rPr>
            </w:pPr>
            <w:r w:rsidRPr="00FE4251">
              <w:rPr>
                <w:rFonts w:ascii="Arial Narrow" w:eastAsia="Times New Roman" w:hAnsi="Arial Narrow" w:cstheme="minorHAnsi"/>
                <w:b/>
                <w:bCs/>
                <w:color w:val="000000"/>
                <w:sz w:val="20"/>
                <w:szCs w:val="20"/>
              </w:rPr>
              <w:t>Budesonide given once daily</w:t>
            </w:r>
          </w:p>
        </w:tc>
      </w:tr>
      <w:tr w:rsidR="001103C2" w:rsidRPr="00FE4251" w:rsidTr="006007C2">
        <w:trPr>
          <w:trHeight w:val="128"/>
        </w:trPr>
        <w:tc>
          <w:tcPr>
            <w:tcW w:w="1153" w:type="pct"/>
            <w:shd w:val="clear" w:color="auto" w:fill="auto"/>
            <w:vAlign w:val="center"/>
          </w:tcPr>
          <w:p w:rsidR="001103C2" w:rsidRPr="00FE4251" w:rsidRDefault="001103C2" w:rsidP="00DA6A6B">
            <w:pPr>
              <w:keepNext/>
              <w:keepLines/>
              <w:spacing w:before="0"/>
              <w:rPr>
                <w:rFonts w:ascii="Arial Narrow" w:eastAsia="Calibri" w:hAnsi="Arial Narrow" w:cstheme="minorHAnsi"/>
                <w:sz w:val="20"/>
                <w:szCs w:val="20"/>
              </w:rPr>
            </w:pPr>
            <w:r w:rsidRPr="00FE4251">
              <w:rPr>
                <w:rFonts w:ascii="Arial Narrow" w:eastAsia="Calibri" w:hAnsi="Arial Narrow" w:cstheme="minorHAnsi"/>
                <w:sz w:val="20"/>
                <w:szCs w:val="20"/>
              </w:rPr>
              <w:t>Thomsen 1998 (</w:t>
            </w:r>
            <w:proofErr w:type="spellStart"/>
            <w:r w:rsidRPr="00FE4251">
              <w:rPr>
                <w:rFonts w:ascii="Arial Narrow" w:eastAsia="Calibri" w:hAnsi="Arial Narrow" w:cstheme="minorHAnsi"/>
                <w:sz w:val="20"/>
                <w:szCs w:val="20"/>
              </w:rPr>
              <w:t>Entocort</w:t>
            </w:r>
            <w:proofErr w:type="spellEnd"/>
            <w:r w:rsidRPr="00FE4251">
              <w:rPr>
                <w:rFonts w:ascii="Arial Narrow" w:eastAsia="Calibri" w:hAnsi="Arial Narrow" w:cstheme="minorHAnsi"/>
                <w:sz w:val="20"/>
                <w:szCs w:val="20"/>
              </w:rPr>
              <w:t>®)</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63/93 (67.7)</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37/89 (41.6)</w:t>
            </w:r>
          </w:p>
        </w:tc>
        <w:tc>
          <w:tcPr>
            <w:tcW w:w="837" w:type="pct"/>
            <w:shd w:val="clear" w:color="auto" w:fill="auto"/>
            <w:vAlign w:val="center"/>
          </w:tcPr>
          <w:p w:rsidR="001103C2" w:rsidRPr="00FE4251" w:rsidRDefault="001103C2" w:rsidP="00DA6A6B">
            <w:pPr>
              <w:keepNext/>
              <w:keepLines/>
              <w:tabs>
                <w:tab w:val="center" w:pos="1192"/>
              </w:tabs>
              <w:spacing w:before="0"/>
              <w:jc w:val="center"/>
              <w:rPr>
                <w:rFonts w:ascii="Arial Narrow" w:eastAsia="Times New Roman" w:hAnsi="Arial Narrow" w:cstheme="minorHAnsi"/>
                <w:b/>
                <w:bCs/>
                <w:color w:val="000000"/>
                <w:sz w:val="20"/>
                <w:szCs w:val="20"/>
              </w:rPr>
            </w:pPr>
            <w:r w:rsidRPr="00FE4251">
              <w:rPr>
                <w:rFonts w:ascii="Arial Narrow" w:eastAsia="Times New Roman" w:hAnsi="Arial Narrow" w:cstheme="minorHAnsi"/>
                <w:b/>
                <w:bCs/>
                <w:color w:val="000000"/>
                <w:sz w:val="20"/>
                <w:szCs w:val="20"/>
              </w:rPr>
              <w:t>1.63 (1.23, 2.16)</w:t>
            </w:r>
          </w:p>
        </w:tc>
        <w:tc>
          <w:tcPr>
            <w:tcW w:w="764" w:type="pct"/>
            <w:shd w:val="clear" w:color="auto" w:fill="auto"/>
            <w:vAlign w:val="center"/>
          </w:tcPr>
          <w:p w:rsidR="001103C2" w:rsidRPr="00FE4251" w:rsidRDefault="001103C2" w:rsidP="00DA6A6B">
            <w:pPr>
              <w:keepNext/>
              <w:keepLines/>
              <w:tabs>
                <w:tab w:val="center" w:pos="1192"/>
              </w:tabs>
              <w:spacing w:before="0"/>
              <w:jc w:val="center"/>
              <w:rPr>
                <w:rFonts w:ascii="Arial Narrow" w:eastAsia="Times New Roman" w:hAnsi="Arial Narrow" w:cstheme="minorHAnsi"/>
                <w:b/>
                <w:bCs/>
                <w:color w:val="000000"/>
                <w:sz w:val="20"/>
                <w:szCs w:val="20"/>
              </w:rPr>
            </w:pPr>
            <w:r w:rsidRPr="00FE4251">
              <w:rPr>
                <w:rFonts w:ascii="Arial Narrow" w:eastAsia="Times New Roman" w:hAnsi="Arial Narrow" w:cstheme="minorHAnsi"/>
                <w:b/>
                <w:bCs/>
                <w:color w:val="000000"/>
                <w:sz w:val="20"/>
                <w:szCs w:val="20"/>
              </w:rPr>
              <w:t>0.26 (0.12, 0.40)</w:t>
            </w:r>
          </w:p>
        </w:tc>
        <w:tc>
          <w:tcPr>
            <w:tcW w:w="861" w:type="pct"/>
            <w:shd w:val="clear" w:color="auto" w:fill="auto"/>
            <w:vAlign w:val="center"/>
          </w:tcPr>
          <w:p w:rsidR="001103C2" w:rsidRPr="00FE4251" w:rsidRDefault="001103C2" w:rsidP="00DA6A6B">
            <w:pPr>
              <w:keepNext/>
              <w:keepLines/>
              <w:tabs>
                <w:tab w:val="center" w:pos="1192"/>
              </w:tabs>
              <w:spacing w:before="0"/>
              <w:jc w:val="center"/>
              <w:rPr>
                <w:rFonts w:ascii="Arial Narrow" w:eastAsia="Times New Roman" w:hAnsi="Arial Narrow" w:cstheme="minorHAnsi"/>
                <w:b/>
                <w:bCs/>
                <w:color w:val="000000"/>
                <w:sz w:val="20"/>
                <w:szCs w:val="20"/>
              </w:rPr>
            </w:pPr>
            <w:r w:rsidRPr="00FE4251">
              <w:rPr>
                <w:rFonts w:ascii="Arial Narrow" w:eastAsia="Times New Roman" w:hAnsi="Arial Narrow" w:cstheme="minorHAnsi"/>
                <w:b/>
                <w:bCs/>
                <w:color w:val="000000"/>
                <w:sz w:val="20"/>
                <w:szCs w:val="20"/>
              </w:rPr>
              <w:t>2.95 (1.61, 5.41)</w:t>
            </w:r>
          </w:p>
        </w:tc>
      </w:tr>
      <w:tr w:rsidR="001103C2" w:rsidRPr="00FE4251" w:rsidTr="006007C2">
        <w:trPr>
          <w:trHeight w:val="180"/>
        </w:trPr>
        <w:tc>
          <w:tcPr>
            <w:tcW w:w="1153" w:type="pct"/>
            <w:shd w:val="clear" w:color="auto" w:fill="auto"/>
            <w:vAlign w:val="center"/>
          </w:tcPr>
          <w:p w:rsidR="001103C2" w:rsidRPr="00FE4251" w:rsidRDefault="001103C2" w:rsidP="00DA6A6B">
            <w:pPr>
              <w:keepNext/>
              <w:keepLines/>
              <w:spacing w:before="0"/>
              <w:rPr>
                <w:rFonts w:ascii="Arial Narrow" w:eastAsia="Calibri" w:hAnsi="Arial Narrow" w:cstheme="minorHAnsi"/>
                <w:sz w:val="20"/>
                <w:szCs w:val="20"/>
              </w:rPr>
            </w:pPr>
            <w:proofErr w:type="spellStart"/>
            <w:r w:rsidRPr="00FE4251">
              <w:rPr>
                <w:rFonts w:ascii="Arial Narrow" w:eastAsia="Calibri" w:hAnsi="Arial Narrow" w:cstheme="minorHAnsi"/>
                <w:sz w:val="20"/>
                <w:szCs w:val="20"/>
              </w:rPr>
              <w:t>Tromm</w:t>
            </w:r>
            <w:proofErr w:type="spellEnd"/>
            <w:r w:rsidRPr="00FE4251">
              <w:rPr>
                <w:rFonts w:ascii="Arial Narrow" w:eastAsia="Calibri" w:hAnsi="Arial Narrow" w:cstheme="minorHAnsi"/>
                <w:sz w:val="20"/>
                <w:szCs w:val="20"/>
              </w:rPr>
              <w:t xml:space="preserve"> 2011</w:t>
            </w:r>
            <w:r w:rsidRPr="00FE4251">
              <w:rPr>
                <w:rFonts w:ascii="Arial Narrow" w:eastAsia="Calibri" w:hAnsi="Arial Narrow" w:cstheme="minorHAnsi"/>
                <w:sz w:val="20"/>
                <w:szCs w:val="20"/>
                <w:vertAlign w:val="superscript"/>
              </w:rPr>
              <w:t xml:space="preserve">c </w:t>
            </w:r>
            <w:r w:rsidRPr="00FE4251">
              <w:rPr>
                <w:rFonts w:ascii="Arial Narrow" w:eastAsia="Calibri" w:hAnsi="Arial Narrow" w:cstheme="minorHAnsi"/>
                <w:sz w:val="20"/>
                <w:szCs w:val="20"/>
              </w:rPr>
              <w:t>(</w:t>
            </w:r>
            <w:proofErr w:type="spellStart"/>
            <w:r w:rsidRPr="00FE4251">
              <w:rPr>
                <w:rFonts w:ascii="Arial Narrow" w:eastAsia="Calibri" w:hAnsi="Arial Narrow" w:cstheme="minorHAnsi"/>
                <w:sz w:val="20"/>
                <w:szCs w:val="20"/>
              </w:rPr>
              <w:t>Budenofalk</w:t>
            </w:r>
            <w:proofErr w:type="spellEnd"/>
            <w:r w:rsidRPr="00FE4251">
              <w:rPr>
                <w:rFonts w:ascii="Arial Narrow" w:eastAsia="Calibri" w:hAnsi="Arial Narrow" w:cstheme="minorHAnsi"/>
                <w:sz w:val="20"/>
                <w:szCs w:val="20"/>
              </w:rPr>
              <w:t>®)</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51/76 (67.1)</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95/153 (62.1)</w:t>
            </w:r>
          </w:p>
        </w:tc>
        <w:tc>
          <w:tcPr>
            <w:tcW w:w="837"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Times New Roman" w:hAnsi="Arial Narrow" w:cstheme="minorHAnsi"/>
                <w:color w:val="000000"/>
                <w:sz w:val="20"/>
                <w:szCs w:val="20"/>
              </w:rPr>
              <w:t>1.08 (0.88, 1.32)</w:t>
            </w:r>
          </w:p>
        </w:tc>
        <w:tc>
          <w:tcPr>
            <w:tcW w:w="764"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Times New Roman" w:hAnsi="Arial Narrow" w:cstheme="minorHAnsi"/>
                <w:color w:val="000000"/>
                <w:sz w:val="20"/>
                <w:szCs w:val="20"/>
              </w:rPr>
              <w:t>0.05 (-0.08,0.18)</w:t>
            </w:r>
          </w:p>
        </w:tc>
        <w:tc>
          <w:tcPr>
            <w:tcW w:w="861"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Times New Roman" w:hAnsi="Arial Narrow" w:cstheme="minorHAnsi"/>
                <w:color w:val="000000"/>
                <w:sz w:val="20"/>
                <w:szCs w:val="20"/>
              </w:rPr>
              <w:t>1.25 (0.70, 2.22)</w:t>
            </w:r>
          </w:p>
        </w:tc>
      </w:tr>
      <w:tr w:rsidR="001103C2" w:rsidRPr="00FE4251" w:rsidTr="00DA6A6B">
        <w:trPr>
          <w:trHeight w:val="180"/>
        </w:trPr>
        <w:tc>
          <w:tcPr>
            <w:tcW w:w="5000" w:type="pct"/>
            <w:gridSpan w:val="6"/>
            <w:shd w:val="clear" w:color="auto" w:fill="auto"/>
            <w:vAlign w:val="center"/>
          </w:tcPr>
          <w:p w:rsidR="001103C2" w:rsidRPr="00FE4251" w:rsidRDefault="001103C2" w:rsidP="009F20EF">
            <w:pPr>
              <w:keepNext/>
              <w:keepLines/>
              <w:numPr>
                <w:ilvl w:val="1"/>
                <w:numId w:val="7"/>
              </w:numPr>
              <w:tabs>
                <w:tab w:val="center" w:pos="117"/>
              </w:tabs>
              <w:spacing w:before="0"/>
              <w:ind w:left="117" w:hanging="142"/>
              <w:rPr>
                <w:rFonts w:ascii="Arial Narrow" w:eastAsia="Calibri" w:hAnsi="Arial Narrow" w:cstheme="minorHAnsi"/>
                <w:bCs/>
                <w:iCs/>
                <w:sz w:val="20"/>
                <w:szCs w:val="20"/>
              </w:rPr>
            </w:pPr>
            <w:r w:rsidRPr="00FE4251">
              <w:rPr>
                <w:rFonts w:ascii="Arial Narrow" w:eastAsia="Calibri" w:hAnsi="Arial Narrow" w:cstheme="minorHAnsi"/>
                <w:b/>
                <w:iCs/>
                <w:sz w:val="20"/>
                <w:szCs w:val="20"/>
              </w:rPr>
              <w:t xml:space="preserve">Budesonide </w:t>
            </w:r>
            <w:r w:rsidRPr="00FE4251">
              <w:rPr>
                <w:rFonts w:ascii="Arial Narrow" w:eastAsia="Times New Roman" w:hAnsi="Arial Narrow" w:cstheme="minorHAnsi"/>
                <w:b/>
                <w:bCs/>
                <w:color w:val="000000"/>
                <w:sz w:val="20"/>
                <w:szCs w:val="20"/>
              </w:rPr>
              <w:t>given</w:t>
            </w:r>
            <w:r w:rsidRPr="00FE4251">
              <w:rPr>
                <w:rFonts w:ascii="Arial Narrow" w:eastAsia="Calibri" w:hAnsi="Arial Narrow" w:cstheme="minorHAnsi"/>
                <w:b/>
                <w:iCs/>
                <w:sz w:val="20"/>
                <w:szCs w:val="20"/>
              </w:rPr>
              <w:t xml:space="preserve"> </w:t>
            </w:r>
            <w:proofErr w:type="spellStart"/>
            <w:r w:rsidRPr="00FE4251">
              <w:rPr>
                <w:rFonts w:ascii="Arial Narrow" w:eastAsia="Calibri" w:hAnsi="Arial Narrow" w:cstheme="minorHAnsi"/>
                <w:b/>
                <w:iCs/>
                <w:sz w:val="20"/>
                <w:szCs w:val="20"/>
              </w:rPr>
              <w:t>TID</w:t>
            </w:r>
            <w:r w:rsidRPr="00FE4251">
              <w:rPr>
                <w:rFonts w:ascii="Arial Narrow" w:eastAsia="Calibri" w:hAnsi="Arial Narrow" w:cstheme="minorHAnsi"/>
                <w:iCs/>
                <w:sz w:val="20"/>
                <w:szCs w:val="20"/>
                <w:vertAlign w:val="superscript"/>
              </w:rPr>
              <w:t>b</w:t>
            </w:r>
            <w:proofErr w:type="spellEnd"/>
          </w:p>
        </w:tc>
      </w:tr>
      <w:tr w:rsidR="001103C2" w:rsidRPr="00FE4251" w:rsidTr="006007C2">
        <w:trPr>
          <w:trHeight w:val="180"/>
        </w:trPr>
        <w:tc>
          <w:tcPr>
            <w:tcW w:w="1153" w:type="pct"/>
            <w:shd w:val="clear" w:color="auto" w:fill="auto"/>
            <w:vAlign w:val="center"/>
          </w:tcPr>
          <w:p w:rsidR="001103C2" w:rsidRPr="00FE4251" w:rsidRDefault="001103C2" w:rsidP="00DA6A6B">
            <w:pPr>
              <w:keepNext/>
              <w:keepLines/>
              <w:spacing w:before="0"/>
              <w:rPr>
                <w:rFonts w:ascii="Arial Narrow" w:eastAsia="Calibri" w:hAnsi="Arial Narrow" w:cstheme="minorHAnsi"/>
                <w:sz w:val="20"/>
                <w:szCs w:val="20"/>
              </w:rPr>
            </w:pPr>
            <w:proofErr w:type="spellStart"/>
            <w:r w:rsidRPr="00FE4251">
              <w:rPr>
                <w:rFonts w:ascii="Arial Narrow" w:eastAsia="Calibri" w:hAnsi="Arial Narrow" w:cstheme="minorHAnsi"/>
                <w:sz w:val="20"/>
                <w:szCs w:val="20"/>
              </w:rPr>
              <w:t>Tromm</w:t>
            </w:r>
            <w:proofErr w:type="spellEnd"/>
            <w:r w:rsidRPr="00FE4251">
              <w:rPr>
                <w:rFonts w:ascii="Arial Narrow" w:eastAsia="Calibri" w:hAnsi="Arial Narrow" w:cstheme="minorHAnsi"/>
                <w:sz w:val="20"/>
                <w:szCs w:val="20"/>
              </w:rPr>
              <w:t xml:space="preserve"> 2011</w:t>
            </w:r>
            <w:r w:rsidRPr="00FE4251">
              <w:rPr>
                <w:rFonts w:ascii="Arial Narrow" w:eastAsia="Calibri" w:hAnsi="Arial Narrow" w:cstheme="minorHAnsi"/>
                <w:sz w:val="20"/>
                <w:szCs w:val="20"/>
                <w:vertAlign w:val="superscript"/>
              </w:rPr>
              <w:t>c</w:t>
            </w:r>
            <w:r w:rsidRPr="00FE4251">
              <w:rPr>
                <w:rFonts w:ascii="Arial Narrow" w:eastAsia="Calibri" w:hAnsi="Arial Narrow" w:cstheme="minorHAnsi"/>
                <w:iCs/>
                <w:sz w:val="20"/>
                <w:szCs w:val="20"/>
              </w:rPr>
              <w:t>(</w:t>
            </w:r>
            <w:proofErr w:type="spellStart"/>
            <w:r w:rsidRPr="00FE4251">
              <w:rPr>
                <w:rFonts w:ascii="Arial Narrow" w:eastAsia="Calibri" w:hAnsi="Arial Narrow" w:cstheme="minorHAnsi"/>
                <w:iCs/>
                <w:sz w:val="20"/>
                <w:szCs w:val="20"/>
              </w:rPr>
              <w:t>Budenofalk</w:t>
            </w:r>
            <w:proofErr w:type="spellEnd"/>
            <w:r w:rsidRPr="00FE4251">
              <w:rPr>
                <w:rFonts w:ascii="Arial Narrow" w:eastAsia="Calibri" w:hAnsi="Arial Narrow" w:cstheme="minorHAnsi"/>
                <w:iCs/>
                <w:sz w:val="20"/>
                <w:szCs w:val="20"/>
              </w:rPr>
              <w:t>®)</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56/78 (71.8)</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95/153 (62.1)</w:t>
            </w:r>
          </w:p>
        </w:tc>
        <w:tc>
          <w:tcPr>
            <w:tcW w:w="837" w:type="pct"/>
            <w:shd w:val="clear" w:color="auto" w:fill="auto"/>
            <w:vAlign w:val="center"/>
          </w:tcPr>
          <w:p w:rsidR="001103C2" w:rsidRPr="00FE4251" w:rsidRDefault="001103C2" w:rsidP="00DA6A6B">
            <w:pPr>
              <w:keepNext/>
              <w:keepLines/>
              <w:spacing w:before="0"/>
              <w:jc w:val="center"/>
              <w:rPr>
                <w:rFonts w:ascii="Arial Narrow" w:eastAsia="Times New Roman" w:hAnsi="Arial Narrow" w:cstheme="minorHAnsi"/>
                <w:color w:val="000000"/>
                <w:sz w:val="20"/>
                <w:szCs w:val="20"/>
              </w:rPr>
            </w:pPr>
            <w:r w:rsidRPr="00FE4251">
              <w:rPr>
                <w:rFonts w:ascii="Arial Narrow" w:eastAsia="Times New Roman" w:hAnsi="Arial Narrow" w:cstheme="minorHAnsi"/>
                <w:color w:val="000000"/>
                <w:sz w:val="20"/>
                <w:szCs w:val="20"/>
              </w:rPr>
              <w:t>1.16 (0.96, 1.39)</w:t>
            </w:r>
          </w:p>
        </w:tc>
        <w:tc>
          <w:tcPr>
            <w:tcW w:w="764" w:type="pct"/>
            <w:shd w:val="clear" w:color="auto" w:fill="auto"/>
            <w:vAlign w:val="center"/>
          </w:tcPr>
          <w:p w:rsidR="001103C2" w:rsidRPr="00FE4251" w:rsidRDefault="001103C2" w:rsidP="00DA6A6B">
            <w:pPr>
              <w:keepNext/>
              <w:keepLines/>
              <w:spacing w:before="0"/>
              <w:jc w:val="center"/>
              <w:rPr>
                <w:rFonts w:ascii="Arial Narrow" w:eastAsia="Times New Roman" w:hAnsi="Arial Narrow" w:cstheme="minorHAnsi"/>
                <w:color w:val="000000"/>
                <w:sz w:val="20"/>
                <w:szCs w:val="20"/>
              </w:rPr>
            </w:pPr>
            <w:r w:rsidRPr="00FE4251">
              <w:rPr>
                <w:rFonts w:ascii="Arial Narrow" w:eastAsia="Times New Roman" w:hAnsi="Arial Narrow" w:cstheme="minorHAnsi"/>
                <w:color w:val="000000"/>
                <w:sz w:val="20"/>
                <w:szCs w:val="20"/>
              </w:rPr>
              <w:t>0.10 (-0.03,0.22)</w:t>
            </w:r>
          </w:p>
        </w:tc>
        <w:tc>
          <w:tcPr>
            <w:tcW w:w="861" w:type="pct"/>
            <w:shd w:val="clear" w:color="auto" w:fill="auto"/>
            <w:vAlign w:val="center"/>
          </w:tcPr>
          <w:p w:rsidR="001103C2" w:rsidRPr="00FE4251" w:rsidRDefault="001103C2" w:rsidP="00DA6A6B">
            <w:pPr>
              <w:keepNext/>
              <w:keepLines/>
              <w:spacing w:before="0"/>
              <w:jc w:val="center"/>
              <w:rPr>
                <w:rFonts w:ascii="Arial Narrow" w:eastAsia="Times New Roman" w:hAnsi="Arial Narrow" w:cstheme="minorHAnsi"/>
                <w:color w:val="000000"/>
                <w:sz w:val="20"/>
                <w:szCs w:val="20"/>
              </w:rPr>
            </w:pPr>
            <w:r w:rsidRPr="00FE4251">
              <w:rPr>
                <w:rFonts w:ascii="Arial Narrow" w:eastAsia="Times New Roman" w:hAnsi="Arial Narrow" w:cstheme="minorHAnsi"/>
                <w:color w:val="000000"/>
                <w:sz w:val="20"/>
                <w:szCs w:val="20"/>
              </w:rPr>
              <w:t>1.55 (0.86, 2.81)</w:t>
            </w:r>
          </w:p>
        </w:tc>
      </w:tr>
      <w:tr w:rsidR="001103C2" w:rsidRPr="00FE4251" w:rsidTr="004020D0">
        <w:trPr>
          <w:trHeight w:val="128"/>
        </w:trPr>
        <w:tc>
          <w:tcPr>
            <w:tcW w:w="5000" w:type="pct"/>
            <w:gridSpan w:val="6"/>
            <w:shd w:val="clear" w:color="auto" w:fill="auto"/>
            <w:vAlign w:val="center"/>
          </w:tcPr>
          <w:p w:rsidR="001103C2" w:rsidRPr="00FE4251" w:rsidRDefault="004C7B75" w:rsidP="00DA6A6B">
            <w:pPr>
              <w:keepNext/>
              <w:keepLines/>
              <w:tabs>
                <w:tab w:val="center" w:pos="1192"/>
              </w:tabs>
              <w:spacing w:before="0"/>
              <w:rPr>
                <w:rFonts w:ascii="Arial Narrow" w:eastAsia="Times New Roman" w:hAnsi="Arial Narrow" w:cstheme="minorHAnsi"/>
                <w:b/>
                <w:bCs/>
                <w:color w:val="000000"/>
                <w:sz w:val="20"/>
                <w:szCs w:val="20"/>
              </w:rPr>
            </w:pPr>
            <w:r w:rsidRPr="00FE4251">
              <w:rPr>
                <w:rFonts w:ascii="Arial Narrow" w:eastAsia="Times New Roman" w:hAnsi="Arial Narrow" w:cstheme="minorHAnsi"/>
                <w:b/>
                <w:bCs/>
                <w:color w:val="000000"/>
                <w:sz w:val="20"/>
                <w:szCs w:val="20"/>
              </w:rPr>
              <w:t>Budesonide</w:t>
            </w:r>
            <w:r w:rsidR="001103C2" w:rsidRPr="00FE4251">
              <w:rPr>
                <w:rFonts w:ascii="Arial Narrow" w:eastAsia="Times New Roman" w:hAnsi="Arial Narrow" w:cstheme="minorHAnsi"/>
                <w:b/>
                <w:bCs/>
                <w:color w:val="000000"/>
                <w:sz w:val="20"/>
                <w:szCs w:val="20"/>
              </w:rPr>
              <w:t xml:space="preserve"> 9 mg/</w:t>
            </w:r>
            <w:proofErr w:type="spellStart"/>
            <w:r w:rsidR="001103C2" w:rsidRPr="00FE4251">
              <w:rPr>
                <w:rFonts w:ascii="Arial Narrow" w:eastAsia="Times New Roman" w:hAnsi="Arial Narrow" w:cstheme="minorHAnsi"/>
                <w:b/>
                <w:bCs/>
                <w:color w:val="000000"/>
                <w:sz w:val="20"/>
                <w:szCs w:val="20"/>
              </w:rPr>
              <w:t>day</w:t>
            </w:r>
            <w:r w:rsidR="001103C2" w:rsidRPr="00FE4251">
              <w:rPr>
                <w:rFonts w:ascii="Arial Narrow" w:eastAsia="Times New Roman" w:hAnsi="Arial Narrow" w:cstheme="minorHAnsi"/>
                <w:color w:val="000000"/>
                <w:sz w:val="20"/>
                <w:szCs w:val="20"/>
                <w:vertAlign w:val="superscript"/>
              </w:rPr>
              <w:t>a</w:t>
            </w:r>
            <w:proofErr w:type="spellEnd"/>
            <w:r w:rsidR="001103C2" w:rsidRPr="00FE4251">
              <w:rPr>
                <w:rFonts w:ascii="Arial Narrow" w:eastAsia="Times New Roman" w:hAnsi="Arial Narrow" w:cstheme="minorHAnsi"/>
                <w:color w:val="000000"/>
                <w:sz w:val="20"/>
                <w:szCs w:val="20"/>
                <w:vertAlign w:val="superscript"/>
              </w:rPr>
              <w:t xml:space="preserve"> </w:t>
            </w:r>
            <w:r w:rsidR="001103C2" w:rsidRPr="00FE4251">
              <w:rPr>
                <w:rFonts w:ascii="Arial Narrow" w:eastAsia="Times New Roman" w:hAnsi="Arial Narrow" w:cstheme="minorHAnsi"/>
                <w:b/>
                <w:bCs/>
                <w:color w:val="000000"/>
                <w:sz w:val="20"/>
                <w:szCs w:val="20"/>
              </w:rPr>
              <w:t>versus placebo</w:t>
            </w:r>
          </w:p>
        </w:tc>
      </w:tr>
      <w:tr w:rsidR="001103C2" w:rsidRPr="00FE4251" w:rsidTr="00DA6A6B">
        <w:trPr>
          <w:trHeight w:val="128"/>
        </w:trPr>
        <w:tc>
          <w:tcPr>
            <w:tcW w:w="5000" w:type="pct"/>
            <w:gridSpan w:val="6"/>
            <w:shd w:val="clear" w:color="auto" w:fill="auto"/>
            <w:vAlign w:val="center"/>
          </w:tcPr>
          <w:p w:rsidR="001103C2" w:rsidRPr="00FE4251" w:rsidDel="002E30D4" w:rsidRDefault="001103C2" w:rsidP="009F20EF">
            <w:pPr>
              <w:keepNext/>
              <w:keepLines/>
              <w:numPr>
                <w:ilvl w:val="1"/>
                <w:numId w:val="7"/>
              </w:numPr>
              <w:tabs>
                <w:tab w:val="center" w:pos="117"/>
              </w:tabs>
              <w:spacing w:before="0"/>
              <w:ind w:left="117" w:hanging="142"/>
              <w:rPr>
                <w:rFonts w:ascii="Arial Narrow" w:eastAsia="Times New Roman" w:hAnsi="Arial Narrow" w:cstheme="minorHAnsi"/>
                <w:b/>
                <w:bCs/>
                <w:iCs/>
                <w:color w:val="000000"/>
                <w:sz w:val="20"/>
                <w:szCs w:val="20"/>
              </w:rPr>
            </w:pPr>
            <w:r w:rsidRPr="00FE4251">
              <w:rPr>
                <w:rFonts w:ascii="Arial Narrow" w:eastAsia="Times New Roman" w:hAnsi="Arial Narrow" w:cstheme="minorHAnsi"/>
                <w:b/>
                <w:bCs/>
                <w:color w:val="000000"/>
                <w:sz w:val="20"/>
                <w:szCs w:val="20"/>
              </w:rPr>
              <w:t>Budesonide given once daily (</w:t>
            </w:r>
            <w:proofErr w:type="spellStart"/>
            <w:r w:rsidRPr="00FE4251">
              <w:rPr>
                <w:rFonts w:ascii="Arial Narrow" w:eastAsia="Times New Roman" w:hAnsi="Arial Narrow" w:cstheme="minorHAnsi"/>
                <w:b/>
                <w:bCs/>
                <w:color w:val="000000"/>
                <w:sz w:val="20"/>
                <w:szCs w:val="20"/>
              </w:rPr>
              <w:t>Entocort</w:t>
            </w:r>
            <w:proofErr w:type="spellEnd"/>
            <w:r w:rsidRPr="00FE4251">
              <w:rPr>
                <w:rFonts w:ascii="Arial Narrow" w:eastAsia="Times New Roman" w:hAnsi="Arial Narrow" w:cstheme="minorHAnsi"/>
                <w:b/>
                <w:bCs/>
                <w:color w:val="000000"/>
                <w:sz w:val="20"/>
                <w:szCs w:val="20"/>
              </w:rPr>
              <w:t>®)</w:t>
            </w:r>
          </w:p>
        </w:tc>
      </w:tr>
      <w:tr w:rsidR="001103C2" w:rsidRPr="00FE4251" w:rsidTr="006007C2">
        <w:trPr>
          <w:trHeight w:val="60"/>
        </w:trPr>
        <w:tc>
          <w:tcPr>
            <w:tcW w:w="1153" w:type="pct"/>
            <w:shd w:val="clear" w:color="auto" w:fill="auto"/>
            <w:vAlign w:val="center"/>
          </w:tcPr>
          <w:p w:rsidR="001103C2" w:rsidRPr="00FE4251" w:rsidRDefault="001103C2" w:rsidP="00DA6A6B">
            <w:pPr>
              <w:keepNext/>
              <w:keepLines/>
              <w:spacing w:before="0"/>
              <w:rPr>
                <w:rFonts w:ascii="Arial Narrow" w:eastAsia="Calibri" w:hAnsi="Arial Narrow" w:cstheme="minorHAnsi"/>
                <w:sz w:val="20"/>
                <w:szCs w:val="20"/>
                <w:vertAlign w:val="superscript"/>
              </w:rPr>
            </w:pPr>
            <w:r w:rsidRPr="00FE4251">
              <w:rPr>
                <w:rFonts w:ascii="Arial Narrow" w:eastAsia="Calibri" w:hAnsi="Arial Narrow" w:cstheme="minorHAnsi"/>
                <w:sz w:val="20"/>
                <w:szCs w:val="20"/>
              </w:rPr>
              <w:t>Tremaine 2002</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37/80 (46.3)</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13/41 (31.7)</w:t>
            </w:r>
          </w:p>
        </w:tc>
        <w:tc>
          <w:tcPr>
            <w:tcW w:w="837" w:type="pct"/>
            <w:shd w:val="clear" w:color="auto" w:fill="auto"/>
            <w:vAlign w:val="center"/>
          </w:tcPr>
          <w:p w:rsidR="001103C2" w:rsidRPr="00FE4251" w:rsidRDefault="001103C2" w:rsidP="00DA6A6B">
            <w:pPr>
              <w:keepNext/>
              <w:keepLines/>
              <w:tabs>
                <w:tab w:val="center" w:pos="1192"/>
              </w:tab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1.46 (0.88, 2.42)</w:t>
            </w:r>
          </w:p>
        </w:tc>
        <w:tc>
          <w:tcPr>
            <w:tcW w:w="764" w:type="pct"/>
            <w:shd w:val="clear" w:color="auto" w:fill="auto"/>
            <w:vAlign w:val="center"/>
          </w:tcPr>
          <w:p w:rsidR="001103C2" w:rsidRPr="00FE4251" w:rsidRDefault="001103C2" w:rsidP="00DA6A6B">
            <w:pPr>
              <w:keepNext/>
              <w:keepLines/>
              <w:tabs>
                <w:tab w:val="center" w:pos="1192"/>
              </w:tabs>
              <w:spacing w:before="0"/>
              <w:jc w:val="center"/>
              <w:rPr>
                <w:rFonts w:ascii="Arial Narrow" w:eastAsia="Times New Roman" w:hAnsi="Arial Narrow" w:cstheme="minorHAnsi"/>
                <w:color w:val="000000"/>
                <w:sz w:val="20"/>
                <w:szCs w:val="20"/>
              </w:rPr>
            </w:pPr>
            <w:r w:rsidRPr="00FE4251">
              <w:rPr>
                <w:rFonts w:ascii="Arial Narrow" w:eastAsia="Times New Roman" w:hAnsi="Arial Narrow" w:cstheme="minorHAnsi"/>
                <w:color w:val="000000"/>
                <w:sz w:val="20"/>
                <w:szCs w:val="20"/>
              </w:rPr>
              <w:t>0.15 (-0.03, 0.32)</w:t>
            </w:r>
          </w:p>
        </w:tc>
        <w:tc>
          <w:tcPr>
            <w:tcW w:w="861" w:type="pct"/>
            <w:shd w:val="clear" w:color="auto" w:fill="auto"/>
            <w:vAlign w:val="center"/>
          </w:tcPr>
          <w:p w:rsidR="001103C2" w:rsidRPr="00FE4251" w:rsidRDefault="001103C2" w:rsidP="00DA6A6B">
            <w:pPr>
              <w:keepNext/>
              <w:keepLines/>
              <w:tabs>
                <w:tab w:val="center" w:pos="1192"/>
              </w:tabs>
              <w:spacing w:before="0"/>
              <w:jc w:val="center"/>
              <w:rPr>
                <w:rFonts w:ascii="Arial Narrow" w:eastAsia="Times New Roman" w:hAnsi="Arial Narrow" w:cstheme="minorHAnsi"/>
                <w:color w:val="000000"/>
                <w:sz w:val="20"/>
                <w:szCs w:val="20"/>
              </w:rPr>
            </w:pPr>
            <w:r w:rsidRPr="00FE4251">
              <w:rPr>
                <w:rFonts w:ascii="Arial Narrow" w:eastAsia="Times New Roman" w:hAnsi="Arial Narrow" w:cstheme="minorHAnsi"/>
                <w:color w:val="000000"/>
                <w:sz w:val="20"/>
                <w:szCs w:val="20"/>
              </w:rPr>
              <w:t>1.85 (0.84, 4.09)</w:t>
            </w:r>
          </w:p>
        </w:tc>
      </w:tr>
      <w:tr w:rsidR="001103C2" w:rsidRPr="00FE4251" w:rsidTr="006007C2">
        <w:trPr>
          <w:trHeight w:val="60"/>
        </w:trPr>
        <w:tc>
          <w:tcPr>
            <w:tcW w:w="1153" w:type="pct"/>
            <w:shd w:val="clear" w:color="auto" w:fill="auto"/>
            <w:vAlign w:val="center"/>
          </w:tcPr>
          <w:p w:rsidR="001103C2" w:rsidRPr="00FE4251" w:rsidRDefault="001103C2" w:rsidP="00DA6A6B">
            <w:pPr>
              <w:keepNext/>
              <w:keepLines/>
              <w:spacing w:before="0"/>
              <w:rPr>
                <w:rFonts w:ascii="Arial Narrow" w:eastAsia="Calibri" w:hAnsi="Arial Narrow" w:cstheme="minorHAnsi"/>
                <w:sz w:val="20"/>
                <w:szCs w:val="20"/>
                <w:vertAlign w:val="superscript"/>
              </w:rPr>
            </w:pPr>
            <w:r w:rsidRPr="00FE4251">
              <w:rPr>
                <w:rFonts w:ascii="Arial Narrow" w:eastAsia="Calibri" w:hAnsi="Arial Narrow" w:cstheme="minorHAnsi"/>
                <w:sz w:val="20"/>
                <w:szCs w:val="20"/>
              </w:rPr>
              <w:t>Suzuki 2013</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6/26 (23.1)</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3/26 (11.5)</w:t>
            </w:r>
          </w:p>
        </w:tc>
        <w:tc>
          <w:tcPr>
            <w:tcW w:w="837"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2.00 (0.56, 7.16)</w:t>
            </w:r>
          </w:p>
        </w:tc>
        <w:tc>
          <w:tcPr>
            <w:tcW w:w="764"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0.12 (-0.09, 0.32)</w:t>
            </w:r>
          </w:p>
        </w:tc>
        <w:tc>
          <w:tcPr>
            <w:tcW w:w="861" w:type="pct"/>
            <w:shd w:val="clear" w:color="auto" w:fill="auto"/>
            <w:vAlign w:val="center"/>
          </w:tcPr>
          <w:p w:rsidR="001103C2" w:rsidRPr="00FE4251" w:rsidRDefault="001103C2" w:rsidP="00DA6A6B">
            <w:pPr>
              <w:keepNext/>
              <w:keepLines/>
              <w:tabs>
                <w:tab w:val="center" w:pos="1192"/>
              </w:tabs>
              <w:spacing w:before="0"/>
              <w:jc w:val="center"/>
              <w:rPr>
                <w:rFonts w:ascii="Arial Narrow" w:eastAsia="Times New Roman" w:hAnsi="Arial Narrow" w:cstheme="minorHAnsi"/>
                <w:color w:val="000000"/>
                <w:sz w:val="20"/>
                <w:szCs w:val="20"/>
              </w:rPr>
            </w:pPr>
            <w:r w:rsidRPr="00FE4251">
              <w:rPr>
                <w:rFonts w:ascii="Arial Narrow" w:eastAsia="Times New Roman" w:hAnsi="Arial Narrow" w:cstheme="minorHAnsi"/>
                <w:color w:val="000000"/>
                <w:sz w:val="20"/>
                <w:szCs w:val="20"/>
              </w:rPr>
              <w:t>2.30 (0.51, 10.41)</w:t>
            </w:r>
          </w:p>
        </w:tc>
      </w:tr>
      <w:tr w:rsidR="001103C2" w:rsidRPr="00FE4251" w:rsidTr="006007C2">
        <w:trPr>
          <w:trHeight w:val="180"/>
        </w:trPr>
        <w:tc>
          <w:tcPr>
            <w:tcW w:w="1153" w:type="pct"/>
            <w:shd w:val="clear" w:color="auto" w:fill="auto"/>
            <w:vAlign w:val="center"/>
          </w:tcPr>
          <w:p w:rsidR="001103C2" w:rsidRPr="00FE4251" w:rsidRDefault="001103C2" w:rsidP="00DA6A6B">
            <w:pPr>
              <w:keepNext/>
              <w:keepLines/>
              <w:spacing w:before="0"/>
              <w:jc w:val="right"/>
              <w:rPr>
                <w:rFonts w:ascii="Arial Narrow" w:eastAsia="Calibri" w:hAnsi="Arial Narrow" w:cstheme="minorHAnsi"/>
                <w:iCs/>
                <w:sz w:val="20"/>
                <w:szCs w:val="20"/>
              </w:rPr>
            </w:pPr>
            <w:r w:rsidRPr="00FE4251">
              <w:rPr>
                <w:rFonts w:ascii="Arial Narrow" w:eastAsia="Calibri" w:hAnsi="Arial Narrow" w:cstheme="minorHAnsi"/>
                <w:iCs/>
                <w:sz w:val="20"/>
                <w:szCs w:val="20"/>
              </w:rPr>
              <w:t>Meta-analysis</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iCs/>
                <w:sz w:val="20"/>
                <w:szCs w:val="20"/>
              </w:rPr>
              <w:t>43/106 (40.6)</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iCs/>
                <w:sz w:val="20"/>
                <w:szCs w:val="20"/>
              </w:rPr>
              <w:t>16/67 (23.9)</w:t>
            </w:r>
          </w:p>
        </w:tc>
        <w:tc>
          <w:tcPr>
            <w:tcW w:w="837"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Cs/>
                <w:iCs/>
                <w:sz w:val="20"/>
                <w:szCs w:val="20"/>
              </w:rPr>
            </w:pPr>
            <w:r w:rsidRPr="00FE4251">
              <w:rPr>
                <w:rFonts w:ascii="Arial Narrow" w:eastAsia="Calibri" w:hAnsi="Arial Narrow" w:cstheme="minorHAnsi"/>
                <w:bCs/>
                <w:iCs/>
                <w:sz w:val="20"/>
                <w:szCs w:val="20"/>
              </w:rPr>
              <w:t>1.52 (0.95, 2.44)</w:t>
            </w:r>
          </w:p>
        </w:tc>
        <w:tc>
          <w:tcPr>
            <w:tcW w:w="764"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Cs/>
                <w:iCs/>
                <w:sz w:val="20"/>
                <w:szCs w:val="20"/>
              </w:rPr>
            </w:pPr>
            <w:r w:rsidRPr="00FE4251">
              <w:rPr>
                <w:rFonts w:ascii="Arial Narrow" w:eastAsia="Calibri" w:hAnsi="Arial Narrow" w:cstheme="minorHAnsi"/>
                <w:bCs/>
                <w:iCs/>
                <w:sz w:val="20"/>
                <w:szCs w:val="20"/>
              </w:rPr>
              <w:t>0.13 (0.00, 0.27)</w:t>
            </w:r>
          </w:p>
        </w:tc>
        <w:tc>
          <w:tcPr>
            <w:tcW w:w="861"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Cs/>
                <w:iCs/>
                <w:sz w:val="20"/>
                <w:szCs w:val="20"/>
              </w:rPr>
            </w:pPr>
            <w:r w:rsidRPr="00FE4251">
              <w:rPr>
                <w:rFonts w:ascii="Arial Narrow" w:eastAsia="Calibri" w:hAnsi="Arial Narrow" w:cstheme="minorHAnsi"/>
                <w:bCs/>
                <w:iCs/>
                <w:sz w:val="20"/>
                <w:szCs w:val="20"/>
              </w:rPr>
              <w:t>1.94 (0.96, 3.91)</w:t>
            </w:r>
          </w:p>
        </w:tc>
      </w:tr>
      <w:tr w:rsidR="001103C2" w:rsidRPr="00FE4251" w:rsidTr="00DA6A6B">
        <w:trPr>
          <w:trHeight w:val="180"/>
        </w:trPr>
        <w:tc>
          <w:tcPr>
            <w:tcW w:w="5000" w:type="pct"/>
            <w:gridSpan w:val="6"/>
            <w:shd w:val="clear" w:color="auto" w:fill="auto"/>
            <w:vAlign w:val="center"/>
          </w:tcPr>
          <w:p w:rsidR="001103C2" w:rsidRPr="00FE4251" w:rsidRDefault="001103C2" w:rsidP="009F20EF">
            <w:pPr>
              <w:keepNext/>
              <w:keepLines/>
              <w:numPr>
                <w:ilvl w:val="1"/>
                <w:numId w:val="7"/>
              </w:numPr>
              <w:tabs>
                <w:tab w:val="center" w:pos="117"/>
              </w:tabs>
              <w:spacing w:before="0"/>
              <w:ind w:left="117" w:hanging="142"/>
              <w:rPr>
                <w:rFonts w:ascii="Arial Narrow" w:eastAsia="Times New Roman" w:hAnsi="Arial Narrow" w:cstheme="minorHAnsi"/>
                <w:color w:val="000000"/>
                <w:sz w:val="20"/>
                <w:szCs w:val="20"/>
              </w:rPr>
            </w:pPr>
            <w:r w:rsidRPr="00FE4251">
              <w:rPr>
                <w:rFonts w:ascii="Arial Narrow" w:eastAsia="Calibri" w:hAnsi="Arial Narrow" w:cstheme="minorHAnsi"/>
                <w:b/>
                <w:iCs/>
                <w:sz w:val="20"/>
                <w:szCs w:val="20"/>
              </w:rPr>
              <w:t xml:space="preserve">Budesonide </w:t>
            </w:r>
            <w:r w:rsidRPr="00FE4251">
              <w:rPr>
                <w:rFonts w:ascii="Arial Narrow" w:eastAsia="Times New Roman" w:hAnsi="Arial Narrow" w:cstheme="minorHAnsi"/>
                <w:b/>
                <w:bCs/>
                <w:color w:val="000000"/>
                <w:sz w:val="20"/>
                <w:szCs w:val="20"/>
              </w:rPr>
              <w:t>given</w:t>
            </w:r>
            <w:r w:rsidRPr="00FE4251">
              <w:rPr>
                <w:rFonts w:ascii="Arial Narrow" w:eastAsia="Calibri" w:hAnsi="Arial Narrow" w:cstheme="minorHAnsi"/>
                <w:b/>
                <w:iCs/>
                <w:sz w:val="20"/>
                <w:szCs w:val="20"/>
              </w:rPr>
              <w:t xml:space="preserve"> </w:t>
            </w:r>
            <w:proofErr w:type="spellStart"/>
            <w:r w:rsidRPr="00FE4251">
              <w:rPr>
                <w:rFonts w:ascii="Arial Narrow" w:eastAsia="Calibri" w:hAnsi="Arial Narrow" w:cstheme="minorHAnsi"/>
                <w:b/>
                <w:iCs/>
                <w:sz w:val="20"/>
                <w:szCs w:val="20"/>
              </w:rPr>
              <w:t>BD</w:t>
            </w:r>
            <w:r w:rsidRPr="00FE4251">
              <w:rPr>
                <w:rFonts w:ascii="Arial Narrow" w:eastAsia="Calibri" w:hAnsi="Arial Narrow" w:cstheme="minorHAnsi"/>
                <w:b/>
                <w:iCs/>
                <w:sz w:val="20"/>
                <w:szCs w:val="20"/>
                <w:vertAlign w:val="superscript"/>
              </w:rPr>
              <w:t>b</w:t>
            </w:r>
            <w:proofErr w:type="spellEnd"/>
            <w:r w:rsidRPr="00FE4251">
              <w:rPr>
                <w:rFonts w:ascii="Arial Narrow" w:eastAsia="Calibri" w:hAnsi="Arial Narrow" w:cstheme="minorHAnsi"/>
                <w:b/>
                <w:iCs/>
                <w:sz w:val="20"/>
                <w:szCs w:val="20"/>
              </w:rPr>
              <w:t xml:space="preserve"> (</w:t>
            </w:r>
            <w:proofErr w:type="spellStart"/>
            <w:r w:rsidRPr="00FE4251">
              <w:rPr>
                <w:rFonts w:ascii="Arial Narrow" w:eastAsia="Calibri" w:hAnsi="Arial Narrow" w:cstheme="minorHAnsi"/>
                <w:b/>
                <w:iCs/>
                <w:sz w:val="20"/>
                <w:szCs w:val="20"/>
              </w:rPr>
              <w:t>Entocort</w:t>
            </w:r>
            <w:proofErr w:type="spellEnd"/>
            <w:r w:rsidRPr="00FE4251">
              <w:rPr>
                <w:rFonts w:ascii="Arial Narrow" w:eastAsia="Calibri" w:hAnsi="Arial Narrow" w:cstheme="minorHAnsi"/>
                <w:b/>
                <w:iCs/>
                <w:sz w:val="20"/>
                <w:szCs w:val="20"/>
              </w:rPr>
              <w:t>®)</w:t>
            </w:r>
          </w:p>
        </w:tc>
      </w:tr>
      <w:tr w:rsidR="001103C2" w:rsidRPr="00FE4251" w:rsidTr="006007C2">
        <w:trPr>
          <w:trHeight w:val="180"/>
        </w:trPr>
        <w:tc>
          <w:tcPr>
            <w:tcW w:w="1153" w:type="pct"/>
            <w:shd w:val="clear" w:color="auto" w:fill="auto"/>
            <w:vAlign w:val="center"/>
          </w:tcPr>
          <w:p w:rsidR="001103C2" w:rsidRPr="00FE4251" w:rsidRDefault="001103C2" w:rsidP="00DA6A6B">
            <w:pPr>
              <w:keepNext/>
              <w:keepLines/>
              <w:spacing w:before="0"/>
              <w:rPr>
                <w:rFonts w:ascii="Arial Narrow" w:eastAsia="Calibri" w:hAnsi="Arial Narrow" w:cstheme="minorHAnsi"/>
                <w:sz w:val="20"/>
                <w:szCs w:val="20"/>
              </w:rPr>
            </w:pPr>
            <w:r w:rsidRPr="00FE4251">
              <w:rPr>
                <w:rFonts w:ascii="Arial Narrow" w:eastAsia="Calibri" w:hAnsi="Arial Narrow" w:cstheme="minorHAnsi"/>
                <w:sz w:val="20"/>
                <w:szCs w:val="20"/>
              </w:rPr>
              <w:t>Greenberg 1994</w:t>
            </w:r>
            <w:r w:rsidRPr="00FE4251">
              <w:rPr>
                <w:rFonts w:ascii="Arial Narrow" w:eastAsia="Calibri" w:hAnsi="Arial Narrow" w:cstheme="minorHAnsi"/>
                <w:sz w:val="20"/>
                <w:szCs w:val="20"/>
                <w:vertAlign w:val="superscript"/>
              </w:rPr>
              <w:t>a</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31/61 (50.8)</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13/66 (19.7)</w:t>
            </w:r>
          </w:p>
        </w:tc>
        <w:tc>
          <w:tcPr>
            <w:tcW w:w="837"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Cs/>
                <w:sz w:val="20"/>
                <w:szCs w:val="20"/>
              </w:rPr>
            </w:pPr>
            <w:r w:rsidRPr="00FE4251">
              <w:rPr>
                <w:rFonts w:ascii="Arial Narrow" w:eastAsia="Times New Roman" w:hAnsi="Arial Narrow" w:cstheme="minorHAnsi"/>
                <w:b/>
                <w:bCs/>
                <w:color w:val="000000"/>
                <w:sz w:val="20"/>
                <w:szCs w:val="20"/>
              </w:rPr>
              <w:t>2.58 (1.49, 4.45)</w:t>
            </w:r>
          </w:p>
        </w:tc>
        <w:tc>
          <w:tcPr>
            <w:tcW w:w="764"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Cs/>
                <w:sz w:val="20"/>
                <w:szCs w:val="20"/>
              </w:rPr>
            </w:pPr>
            <w:r w:rsidRPr="00FE4251">
              <w:rPr>
                <w:rFonts w:ascii="Arial Narrow" w:eastAsia="Times New Roman" w:hAnsi="Arial Narrow" w:cstheme="minorHAnsi"/>
                <w:b/>
                <w:bCs/>
                <w:color w:val="000000"/>
                <w:sz w:val="20"/>
                <w:szCs w:val="20"/>
              </w:rPr>
              <w:t>0.31 (0.15,0.47)</w:t>
            </w:r>
          </w:p>
        </w:tc>
        <w:tc>
          <w:tcPr>
            <w:tcW w:w="861"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Cs/>
                <w:sz w:val="20"/>
                <w:szCs w:val="20"/>
              </w:rPr>
            </w:pPr>
            <w:r w:rsidRPr="00FE4251">
              <w:rPr>
                <w:rFonts w:ascii="Arial Narrow" w:eastAsia="Times New Roman" w:hAnsi="Arial Narrow" w:cstheme="minorHAnsi"/>
                <w:b/>
                <w:bCs/>
                <w:color w:val="000000"/>
                <w:sz w:val="20"/>
                <w:szCs w:val="20"/>
              </w:rPr>
              <w:t>4.21 (1.92, 9.26)</w:t>
            </w:r>
          </w:p>
        </w:tc>
      </w:tr>
      <w:tr w:rsidR="001103C2" w:rsidRPr="00FE4251" w:rsidTr="006007C2">
        <w:trPr>
          <w:trHeight w:val="180"/>
        </w:trPr>
        <w:tc>
          <w:tcPr>
            <w:tcW w:w="1153" w:type="pct"/>
            <w:shd w:val="clear" w:color="auto" w:fill="auto"/>
            <w:vAlign w:val="center"/>
          </w:tcPr>
          <w:p w:rsidR="001103C2" w:rsidRPr="00FE4251" w:rsidRDefault="001103C2" w:rsidP="00DA6A6B">
            <w:pPr>
              <w:keepNext/>
              <w:keepLines/>
              <w:spacing w:before="0"/>
              <w:rPr>
                <w:rFonts w:ascii="Arial Narrow" w:eastAsia="Calibri" w:hAnsi="Arial Narrow" w:cstheme="minorHAnsi"/>
                <w:sz w:val="20"/>
                <w:szCs w:val="20"/>
              </w:rPr>
            </w:pPr>
            <w:r w:rsidRPr="00FE4251">
              <w:rPr>
                <w:rFonts w:ascii="Arial Narrow" w:eastAsia="Calibri" w:hAnsi="Arial Narrow" w:cstheme="minorHAnsi"/>
                <w:sz w:val="20"/>
                <w:szCs w:val="20"/>
              </w:rPr>
              <w:t>Tremaine 2002</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41/79 (51.9)</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sz w:val="20"/>
                <w:szCs w:val="20"/>
              </w:rPr>
            </w:pPr>
            <w:r w:rsidRPr="00FE4251">
              <w:rPr>
                <w:rFonts w:ascii="Arial Narrow" w:eastAsia="Calibri" w:hAnsi="Arial Narrow" w:cstheme="minorHAnsi"/>
                <w:sz w:val="20"/>
                <w:szCs w:val="20"/>
              </w:rPr>
              <w:t>13/41 (31.7)</w:t>
            </w:r>
          </w:p>
        </w:tc>
        <w:tc>
          <w:tcPr>
            <w:tcW w:w="837"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bCs/>
                <w:sz w:val="20"/>
                <w:szCs w:val="20"/>
              </w:rPr>
            </w:pPr>
            <w:r w:rsidRPr="00FE4251">
              <w:rPr>
                <w:rFonts w:ascii="Arial Narrow" w:eastAsia="Calibri" w:hAnsi="Arial Narrow" w:cstheme="minorHAnsi"/>
                <w:b/>
                <w:bCs/>
                <w:sz w:val="20"/>
                <w:szCs w:val="20"/>
              </w:rPr>
              <w:t>1.64 (1.00, 2.69)</w:t>
            </w:r>
          </w:p>
        </w:tc>
        <w:tc>
          <w:tcPr>
            <w:tcW w:w="764"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bCs/>
                <w:sz w:val="20"/>
                <w:szCs w:val="20"/>
              </w:rPr>
            </w:pPr>
            <w:r w:rsidRPr="00FE4251">
              <w:rPr>
                <w:rFonts w:ascii="Arial Narrow" w:eastAsia="Times New Roman" w:hAnsi="Arial Narrow" w:cstheme="minorHAnsi"/>
                <w:b/>
                <w:bCs/>
                <w:color w:val="000000"/>
                <w:sz w:val="20"/>
                <w:szCs w:val="20"/>
              </w:rPr>
              <w:t>0.20 (0.02, 0.38)</w:t>
            </w:r>
          </w:p>
        </w:tc>
        <w:tc>
          <w:tcPr>
            <w:tcW w:w="861"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bCs/>
                <w:sz w:val="20"/>
                <w:szCs w:val="20"/>
              </w:rPr>
            </w:pPr>
            <w:r w:rsidRPr="00FE4251">
              <w:rPr>
                <w:rFonts w:ascii="Arial Narrow" w:eastAsia="Times New Roman" w:hAnsi="Arial Narrow" w:cstheme="minorHAnsi"/>
                <w:b/>
                <w:bCs/>
                <w:color w:val="000000"/>
                <w:sz w:val="20"/>
                <w:szCs w:val="20"/>
              </w:rPr>
              <w:t>2.32 (1.05, 5.13)</w:t>
            </w:r>
          </w:p>
        </w:tc>
      </w:tr>
      <w:tr w:rsidR="001103C2" w:rsidRPr="00FE4251" w:rsidTr="006007C2">
        <w:trPr>
          <w:trHeight w:val="180"/>
        </w:trPr>
        <w:tc>
          <w:tcPr>
            <w:tcW w:w="1153" w:type="pct"/>
            <w:shd w:val="clear" w:color="auto" w:fill="auto"/>
            <w:vAlign w:val="center"/>
          </w:tcPr>
          <w:p w:rsidR="001103C2" w:rsidRPr="00FE4251" w:rsidRDefault="001103C2" w:rsidP="00DA6A6B">
            <w:pPr>
              <w:keepNext/>
              <w:keepLines/>
              <w:spacing w:before="0"/>
              <w:jc w:val="right"/>
              <w:rPr>
                <w:rFonts w:ascii="Arial Narrow" w:eastAsia="Calibri" w:hAnsi="Arial Narrow" w:cstheme="minorHAnsi"/>
                <w:sz w:val="20"/>
                <w:szCs w:val="20"/>
              </w:rPr>
            </w:pPr>
            <w:r w:rsidRPr="00FE4251">
              <w:rPr>
                <w:rFonts w:ascii="Arial Narrow" w:eastAsia="Calibri" w:hAnsi="Arial Narrow" w:cstheme="minorHAnsi"/>
                <w:iCs/>
                <w:sz w:val="20"/>
                <w:szCs w:val="20"/>
              </w:rPr>
              <w:t>Meta-analysis</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iCs/>
                <w:sz w:val="20"/>
                <w:szCs w:val="20"/>
              </w:rPr>
              <w:t>72/140 (51.4)</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iCs/>
                <w:sz w:val="20"/>
                <w:szCs w:val="20"/>
              </w:rPr>
              <w:t>26/107 (24.3)</w:t>
            </w:r>
          </w:p>
        </w:tc>
        <w:tc>
          <w:tcPr>
            <w:tcW w:w="837"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Calibri" w:hAnsi="Arial Narrow" w:cstheme="minorHAnsi"/>
                <w:b/>
                <w:iCs/>
                <w:sz w:val="20"/>
                <w:szCs w:val="20"/>
              </w:rPr>
              <w:t>2.03 (1.30, 3.16)</w:t>
            </w:r>
          </w:p>
        </w:tc>
        <w:tc>
          <w:tcPr>
            <w:tcW w:w="764"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Calibri" w:hAnsi="Arial Narrow" w:cstheme="minorHAnsi"/>
                <w:b/>
                <w:iCs/>
                <w:sz w:val="20"/>
                <w:szCs w:val="20"/>
              </w:rPr>
              <w:t>0.26 (0.14, 0.38)</w:t>
            </w:r>
          </w:p>
        </w:tc>
        <w:tc>
          <w:tcPr>
            <w:tcW w:w="861"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Calibri" w:hAnsi="Arial Narrow" w:cstheme="minorHAnsi"/>
                <w:b/>
                <w:iCs/>
                <w:sz w:val="20"/>
                <w:szCs w:val="20"/>
              </w:rPr>
              <w:t>3.13 (1.75, 5.61)</w:t>
            </w:r>
          </w:p>
        </w:tc>
      </w:tr>
      <w:tr w:rsidR="001103C2" w:rsidRPr="00FE4251" w:rsidTr="00DA6A6B">
        <w:trPr>
          <w:trHeight w:val="180"/>
        </w:trPr>
        <w:tc>
          <w:tcPr>
            <w:tcW w:w="5000" w:type="pct"/>
            <w:gridSpan w:val="6"/>
            <w:shd w:val="clear" w:color="auto" w:fill="auto"/>
            <w:vAlign w:val="center"/>
          </w:tcPr>
          <w:p w:rsidR="001103C2" w:rsidRPr="00FE4251" w:rsidRDefault="001103C2" w:rsidP="009F20EF">
            <w:pPr>
              <w:keepNext/>
              <w:keepLines/>
              <w:numPr>
                <w:ilvl w:val="1"/>
                <w:numId w:val="7"/>
              </w:numPr>
              <w:tabs>
                <w:tab w:val="center" w:pos="117"/>
              </w:tabs>
              <w:spacing w:before="0"/>
              <w:ind w:left="117" w:hanging="142"/>
              <w:rPr>
                <w:rFonts w:ascii="Arial Narrow" w:eastAsia="Calibri" w:hAnsi="Arial Narrow" w:cstheme="minorHAnsi"/>
                <w:b/>
                <w:iCs/>
                <w:sz w:val="20"/>
                <w:szCs w:val="20"/>
              </w:rPr>
            </w:pPr>
            <w:r w:rsidRPr="00FE4251">
              <w:rPr>
                <w:rFonts w:ascii="Arial Narrow" w:eastAsia="Times New Roman" w:hAnsi="Arial Narrow" w:cstheme="minorHAnsi"/>
                <w:b/>
                <w:bCs/>
                <w:color w:val="000000"/>
                <w:sz w:val="20"/>
                <w:szCs w:val="20"/>
              </w:rPr>
              <w:t>Submission’s approach in pooling all three placebo-controlled trials</w:t>
            </w:r>
          </w:p>
        </w:tc>
      </w:tr>
      <w:tr w:rsidR="001103C2" w:rsidRPr="00FE4251" w:rsidTr="006007C2">
        <w:trPr>
          <w:trHeight w:val="180"/>
        </w:trPr>
        <w:tc>
          <w:tcPr>
            <w:tcW w:w="1153" w:type="pct"/>
            <w:shd w:val="clear" w:color="auto" w:fill="auto"/>
            <w:vAlign w:val="center"/>
          </w:tcPr>
          <w:p w:rsidR="001103C2" w:rsidRPr="00FE4251" w:rsidRDefault="001103C2" w:rsidP="00DA6A6B">
            <w:pPr>
              <w:keepNext/>
              <w:keepLines/>
              <w:spacing w:before="0"/>
              <w:rPr>
                <w:rFonts w:ascii="Arial Narrow" w:eastAsia="Calibri" w:hAnsi="Arial Narrow" w:cstheme="minorHAnsi"/>
                <w:iCs/>
                <w:sz w:val="20"/>
                <w:szCs w:val="20"/>
              </w:rPr>
            </w:pPr>
            <w:r w:rsidRPr="00FE4251">
              <w:rPr>
                <w:rFonts w:ascii="Arial Narrow" w:eastAsia="Calibri" w:hAnsi="Arial Narrow" w:cstheme="minorHAnsi"/>
                <w:sz w:val="20"/>
                <w:szCs w:val="20"/>
              </w:rPr>
              <w:t>Greenberg 1994</w:t>
            </w:r>
            <w:r w:rsidRPr="00FE4251">
              <w:rPr>
                <w:rFonts w:ascii="Arial Narrow" w:eastAsia="Calibri" w:hAnsi="Arial Narrow" w:cstheme="minorHAnsi"/>
                <w:sz w:val="20"/>
                <w:szCs w:val="20"/>
                <w:vertAlign w:val="superscript"/>
              </w:rPr>
              <w:t>a</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sz w:val="20"/>
                <w:szCs w:val="20"/>
              </w:rPr>
              <w:t>31/61 (50.8)</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sz w:val="20"/>
                <w:szCs w:val="20"/>
              </w:rPr>
              <w:t>13/66 (19.7)</w:t>
            </w:r>
          </w:p>
        </w:tc>
        <w:tc>
          <w:tcPr>
            <w:tcW w:w="837"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Times New Roman" w:hAnsi="Arial Narrow" w:cstheme="minorHAnsi"/>
                <w:b/>
                <w:bCs/>
                <w:color w:val="000000"/>
                <w:sz w:val="20"/>
                <w:szCs w:val="20"/>
              </w:rPr>
              <w:t>2.58 (1.49, 4.45)</w:t>
            </w:r>
          </w:p>
        </w:tc>
        <w:tc>
          <w:tcPr>
            <w:tcW w:w="764"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Times New Roman" w:hAnsi="Arial Narrow" w:cstheme="minorHAnsi"/>
                <w:b/>
                <w:bCs/>
                <w:color w:val="000000"/>
                <w:sz w:val="20"/>
                <w:szCs w:val="20"/>
              </w:rPr>
              <w:t>0.31 (0.15,0.47)</w:t>
            </w:r>
          </w:p>
        </w:tc>
        <w:tc>
          <w:tcPr>
            <w:tcW w:w="861"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Times New Roman" w:hAnsi="Arial Narrow" w:cstheme="minorHAnsi"/>
                <w:b/>
                <w:bCs/>
                <w:color w:val="000000"/>
                <w:sz w:val="20"/>
                <w:szCs w:val="20"/>
              </w:rPr>
              <w:t>4.21 (1.92, 9.26)</w:t>
            </w:r>
          </w:p>
        </w:tc>
      </w:tr>
      <w:tr w:rsidR="001103C2" w:rsidRPr="00FE4251" w:rsidTr="006007C2">
        <w:trPr>
          <w:trHeight w:val="180"/>
        </w:trPr>
        <w:tc>
          <w:tcPr>
            <w:tcW w:w="1153" w:type="pct"/>
            <w:shd w:val="clear" w:color="auto" w:fill="auto"/>
            <w:vAlign w:val="center"/>
          </w:tcPr>
          <w:p w:rsidR="001103C2" w:rsidRPr="00FE4251" w:rsidRDefault="001103C2" w:rsidP="00DA6A6B">
            <w:pPr>
              <w:keepNext/>
              <w:keepLines/>
              <w:spacing w:before="0"/>
              <w:rPr>
                <w:rFonts w:ascii="Arial Narrow" w:eastAsia="Calibri" w:hAnsi="Arial Narrow" w:cstheme="minorHAnsi"/>
                <w:iCs/>
                <w:sz w:val="20"/>
                <w:szCs w:val="20"/>
              </w:rPr>
            </w:pPr>
            <w:r w:rsidRPr="00FE4251">
              <w:rPr>
                <w:rFonts w:ascii="Arial Narrow" w:eastAsia="Calibri" w:hAnsi="Arial Narrow" w:cstheme="minorHAnsi"/>
                <w:sz w:val="20"/>
                <w:szCs w:val="20"/>
              </w:rPr>
              <w:t>Tremaine 2002</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sz w:val="20"/>
                <w:szCs w:val="20"/>
              </w:rPr>
              <w:t>37/80 (46.3)</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sz w:val="20"/>
                <w:szCs w:val="20"/>
              </w:rPr>
              <w:t>13/41 (31.7)</w:t>
            </w:r>
          </w:p>
        </w:tc>
        <w:tc>
          <w:tcPr>
            <w:tcW w:w="837"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Calibri" w:hAnsi="Arial Narrow" w:cstheme="minorHAnsi"/>
                <w:sz w:val="20"/>
                <w:szCs w:val="20"/>
              </w:rPr>
              <w:t>1.46 (0.88, 2.42)</w:t>
            </w:r>
          </w:p>
        </w:tc>
        <w:tc>
          <w:tcPr>
            <w:tcW w:w="764"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Times New Roman" w:hAnsi="Arial Narrow" w:cstheme="minorHAnsi"/>
                <w:color w:val="000000"/>
                <w:sz w:val="20"/>
                <w:szCs w:val="20"/>
              </w:rPr>
              <w:t>0.15 (-0.03, 0.32)</w:t>
            </w:r>
          </w:p>
        </w:tc>
        <w:tc>
          <w:tcPr>
            <w:tcW w:w="861"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Times New Roman" w:hAnsi="Arial Narrow" w:cstheme="minorHAnsi"/>
                <w:color w:val="000000"/>
                <w:sz w:val="20"/>
                <w:szCs w:val="20"/>
              </w:rPr>
              <w:t>1.85 (0.84, 4.09)</w:t>
            </w:r>
          </w:p>
        </w:tc>
      </w:tr>
      <w:tr w:rsidR="001103C2" w:rsidRPr="00FE4251" w:rsidTr="006007C2">
        <w:trPr>
          <w:trHeight w:val="180"/>
        </w:trPr>
        <w:tc>
          <w:tcPr>
            <w:tcW w:w="1153" w:type="pct"/>
            <w:shd w:val="clear" w:color="auto" w:fill="auto"/>
            <w:vAlign w:val="center"/>
          </w:tcPr>
          <w:p w:rsidR="001103C2" w:rsidRPr="00FE4251" w:rsidRDefault="001103C2" w:rsidP="00DA6A6B">
            <w:pPr>
              <w:keepNext/>
              <w:keepLines/>
              <w:spacing w:before="0"/>
              <w:rPr>
                <w:rFonts w:ascii="Arial Narrow" w:eastAsia="Calibri" w:hAnsi="Arial Narrow" w:cstheme="minorHAnsi"/>
                <w:iCs/>
                <w:sz w:val="20"/>
                <w:szCs w:val="20"/>
              </w:rPr>
            </w:pPr>
            <w:r w:rsidRPr="00FE4251">
              <w:rPr>
                <w:rFonts w:ascii="Arial Narrow" w:eastAsia="Calibri" w:hAnsi="Arial Narrow" w:cstheme="minorHAnsi"/>
                <w:sz w:val="20"/>
                <w:szCs w:val="20"/>
              </w:rPr>
              <w:t>Suzuki 2013</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sz w:val="20"/>
                <w:szCs w:val="20"/>
              </w:rPr>
              <w:t>6/26 (23.1)</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sz w:val="20"/>
                <w:szCs w:val="20"/>
              </w:rPr>
              <w:t>3/26 (11.5)</w:t>
            </w:r>
          </w:p>
        </w:tc>
        <w:tc>
          <w:tcPr>
            <w:tcW w:w="837"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Calibri" w:hAnsi="Arial Narrow" w:cstheme="minorHAnsi"/>
                <w:sz w:val="20"/>
                <w:szCs w:val="20"/>
              </w:rPr>
              <w:t>2.00 (0.56, 7.16)</w:t>
            </w:r>
          </w:p>
        </w:tc>
        <w:tc>
          <w:tcPr>
            <w:tcW w:w="764"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Calibri" w:hAnsi="Arial Narrow" w:cstheme="minorHAnsi"/>
                <w:sz w:val="20"/>
                <w:szCs w:val="20"/>
              </w:rPr>
              <w:t>0.12 (-0.09, 0.32)</w:t>
            </w:r>
          </w:p>
        </w:tc>
        <w:tc>
          <w:tcPr>
            <w:tcW w:w="861"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Times New Roman" w:hAnsi="Arial Narrow" w:cstheme="minorHAnsi"/>
                <w:color w:val="000000"/>
                <w:sz w:val="20"/>
                <w:szCs w:val="20"/>
              </w:rPr>
              <w:t>2.30 (0.51, 10.41)</w:t>
            </w:r>
          </w:p>
        </w:tc>
      </w:tr>
      <w:tr w:rsidR="001103C2" w:rsidRPr="00FE4251" w:rsidTr="006007C2">
        <w:trPr>
          <w:trHeight w:val="180"/>
        </w:trPr>
        <w:tc>
          <w:tcPr>
            <w:tcW w:w="1153" w:type="pct"/>
            <w:shd w:val="clear" w:color="auto" w:fill="auto"/>
            <w:vAlign w:val="center"/>
          </w:tcPr>
          <w:p w:rsidR="001103C2" w:rsidRPr="00FE4251" w:rsidRDefault="001103C2" w:rsidP="00DA6A6B">
            <w:pPr>
              <w:keepNext/>
              <w:keepLines/>
              <w:spacing w:before="0"/>
              <w:jc w:val="right"/>
              <w:rPr>
                <w:rFonts w:ascii="Arial Narrow" w:eastAsia="Calibri" w:hAnsi="Arial Narrow" w:cstheme="minorHAnsi"/>
                <w:iCs/>
                <w:sz w:val="20"/>
                <w:szCs w:val="20"/>
              </w:rPr>
            </w:pPr>
            <w:r w:rsidRPr="00FE4251">
              <w:rPr>
                <w:rFonts w:ascii="Arial Narrow" w:eastAsia="Calibri" w:hAnsi="Arial Narrow" w:cstheme="minorHAnsi"/>
                <w:sz w:val="18"/>
                <w:szCs w:val="18"/>
              </w:rPr>
              <w:t>Meta-analysis</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sz w:val="18"/>
                <w:szCs w:val="18"/>
              </w:rPr>
              <w:t>74/167 (44.3)</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sz w:val="18"/>
                <w:szCs w:val="18"/>
              </w:rPr>
              <w:t>29/133 (21.8)</w:t>
            </w:r>
          </w:p>
        </w:tc>
        <w:tc>
          <w:tcPr>
            <w:tcW w:w="837"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Calibri" w:hAnsi="Arial Narrow" w:cstheme="minorHAnsi"/>
                <w:b/>
                <w:sz w:val="18"/>
                <w:szCs w:val="18"/>
              </w:rPr>
              <w:t>1.92 (1.30, 2.83)</w:t>
            </w:r>
          </w:p>
        </w:tc>
        <w:tc>
          <w:tcPr>
            <w:tcW w:w="764"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Calibri" w:hAnsi="Arial Narrow" w:cstheme="minorHAnsi"/>
                <w:b/>
                <w:sz w:val="18"/>
                <w:szCs w:val="18"/>
              </w:rPr>
              <w:t>0.20 (0.08, 0.33)</w:t>
            </w:r>
          </w:p>
        </w:tc>
        <w:tc>
          <w:tcPr>
            <w:tcW w:w="861"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Calibri" w:hAnsi="Arial Narrow" w:cstheme="minorHAnsi"/>
                <w:b/>
                <w:sz w:val="18"/>
                <w:szCs w:val="18"/>
              </w:rPr>
              <w:t>2.73 (1.58, 4.72)</w:t>
            </w:r>
          </w:p>
        </w:tc>
      </w:tr>
      <w:tr w:rsidR="001103C2" w:rsidRPr="00FE4251" w:rsidTr="004020D0">
        <w:trPr>
          <w:trHeight w:val="180"/>
        </w:trPr>
        <w:tc>
          <w:tcPr>
            <w:tcW w:w="5000" w:type="pct"/>
            <w:gridSpan w:val="6"/>
            <w:shd w:val="clear" w:color="auto" w:fill="auto"/>
            <w:vAlign w:val="center"/>
          </w:tcPr>
          <w:p w:rsidR="001103C2" w:rsidRPr="00FE4251" w:rsidRDefault="004C7B75" w:rsidP="00DA6A6B">
            <w:pPr>
              <w:keepNext/>
              <w:keepLines/>
              <w:spacing w:before="0"/>
              <w:rPr>
                <w:rFonts w:ascii="Arial Narrow" w:eastAsia="Calibri" w:hAnsi="Arial Narrow" w:cstheme="minorHAnsi"/>
                <w:b/>
                <w:iCs/>
                <w:sz w:val="20"/>
                <w:szCs w:val="20"/>
              </w:rPr>
            </w:pPr>
            <w:r w:rsidRPr="00FE4251">
              <w:rPr>
                <w:rFonts w:ascii="Arial Narrow" w:eastAsia="Calibri" w:hAnsi="Arial Narrow" w:cstheme="minorHAnsi"/>
                <w:b/>
                <w:iCs/>
                <w:sz w:val="20"/>
                <w:szCs w:val="20"/>
              </w:rPr>
              <w:t>Budesonide</w:t>
            </w:r>
            <w:r w:rsidR="001103C2" w:rsidRPr="00FE4251">
              <w:rPr>
                <w:rFonts w:ascii="Arial Narrow" w:eastAsia="Calibri" w:hAnsi="Arial Narrow" w:cstheme="minorHAnsi"/>
                <w:b/>
                <w:iCs/>
                <w:sz w:val="20"/>
                <w:szCs w:val="20"/>
              </w:rPr>
              <w:t xml:space="preserve"> 9 mg versus prednisolone</w:t>
            </w:r>
          </w:p>
        </w:tc>
      </w:tr>
      <w:tr w:rsidR="001103C2" w:rsidRPr="00FE4251" w:rsidTr="00DA6A6B">
        <w:trPr>
          <w:trHeight w:val="180"/>
        </w:trPr>
        <w:tc>
          <w:tcPr>
            <w:tcW w:w="5000" w:type="pct"/>
            <w:gridSpan w:val="6"/>
            <w:shd w:val="clear" w:color="auto" w:fill="auto"/>
            <w:vAlign w:val="center"/>
          </w:tcPr>
          <w:p w:rsidR="001103C2" w:rsidRPr="00FE4251" w:rsidRDefault="001103C2" w:rsidP="009F20EF">
            <w:pPr>
              <w:keepNext/>
              <w:keepLines/>
              <w:numPr>
                <w:ilvl w:val="1"/>
                <w:numId w:val="7"/>
              </w:numPr>
              <w:tabs>
                <w:tab w:val="center" w:pos="117"/>
              </w:tabs>
              <w:spacing w:before="0"/>
              <w:ind w:left="117" w:hanging="142"/>
              <w:rPr>
                <w:rFonts w:ascii="Arial Narrow" w:eastAsia="Calibri" w:hAnsi="Arial Narrow" w:cstheme="minorHAnsi"/>
                <w:b/>
                <w:iCs/>
                <w:sz w:val="20"/>
                <w:szCs w:val="20"/>
              </w:rPr>
            </w:pPr>
            <w:r w:rsidRPr="00FE4251">
              <w:rPr>
                <w:rFonts w:ascii="Arial Narrow" w:eastAsia="Times New Roman" w:hAnsi="Arial Narrow" w:cstheme="minorHAnsi"/>
                <w:b/>
                <w:bCs/>
                <w:color w:val="000000"/>
                <w:sz w:val="20"/>
                <w:szCs w:val="20"/>
              </w:rPr>
              <w:t>Budesonide given once daily</w:t>
            </w:r>
          </w:p>
        </w:tc>
      </w:tr>
      <w:tr w:rsidR="001103C2" w:rsidRPr="00FE4251" w:rsidTr="006007C2">
        <w:trPr>
          <w:trHeight w:val="180"/>
        </w:trPr>
        <w:tc>
          <w:tcPr>
            <w:tcW w:w="1153" w:type="pct"/>
            <w:shd w:val="clear" w:color="auto" w:fill="auto"/>
            <w:vAlign w:val="center"/>
          </w:tcPr>
          <w:p w:rsidR="001103C2" w:rsidRPr="00FE4251" w:rsidRDefault="001103C2" w:rsidP="00DA6A6B">
            <w:pPr>
              <w:keepNext/>
              <w:keepLines/>
              <w:spacing w:before="0"/>
              <w:rPr>
                <w:rFonts w:ascii="Arial Narrow" w:eastAsia="Calibri" w:hAnsi="Arial Narrow" w:cstheme="minorHAnsi"/>
                <w:iCs/>
                <w:sz w:val="20"/>
                <w:szCs w:val="20"/>
              </w:rPr>
            </w:pPr>
            <w:proofErr w:type="spellStart"/>
            <w:r w:rsidRPr="00FE4251">
              <w:rPr>
                <w:rFonts w:ascii="Arial Narrow" w:eastAsia="Calibri" w:hAnsi="Arial Narrow" w:cstheme="minorHAnsi"/>
                <w:iCs/>
                <w:sz w:val="20"/>
                <w:szCs w:val="20"/>
              </w:rPr>
              <w:t>Rutgeerts</w:t>
            </w:r>
            <w:proofErr w:type="spellEnd"/>
            <w:r w:rsidRPr="00FE4251">
              <w:rPr>
                <w:rFonts w:ascii="Arial Narrow" w:eastAsia="Calibri" w:hAnsi="Arial Narrow" w:cstheme="minorHAnsi"/>
                <w:iCs/>
                <w:sz w:val="20"/>
                <w:szCs w:val="20"/>
              </w:rPr>
              <w:t xml:space="preserve"> 1994</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iCs/>
                <w:sz w:val="20"/>
                <w:szCs w:val="20"/>
              </w:rPr>
              <w:t>46/88 (52.3)</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iCs/>
                <w:sz w:val="20"/>
                <w:szCs w:val="20"/>
              </w:rPr>
              <w:t>57/88 (64.8)</w:t>
            </w:r>
          </w:p>
        </w:tc>
        <w:tc>
          <w:tcPr>
            <w:tcW w:w="837"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Times New Roman" w:hAnsi="Arial Narrow" w:cstheme="minorHAnsi"/>
                <w:iCs/>
                <w:color w:val="000000"/>
                <w:sz w:val="20"/>
                <w:szCs w:val="20"/>
              </w:rPr>
              <w:t>0.81 (0.63, 1.04)</w:t>
            </w:r>
          </w:p>
        </w:tc>
        <w:tc>
          <w:tcPr>
            <w:tcW w:w="764"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Times New Roman" w:hAnsi="Arial Narrow" w:cstheme="minorHAnsi"/>
                <w:iCs/>
                <w:color w:val="000000"/>
                <w:sz w:val="20"/>
                <w:szCs w:val="20"/>
              </w:rPr>
              <w:t>-0.13 (-0.27,0.02)</w:t>
            </w:r>
          </w:p>
        </w:tc>
        <w:tc>
          <w:tcPr>
            <w:tcW w:w="861"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Times New Roman" w:hAnsi="Arial Narrow" w:cstheme="minorHAnsi"/>
                <w:iCs/>
                <w:color w:val="000000"/>
                <w:sz w:val="20"/>
                <w:szCs w:val="20"/>
              </w:rPr>
              <w:t>0.60 (0.33, 1.09)</w:t>
            </w:r>
          </w:p>
        </w:tc>
      </w:tr>
      <w:tr w:rsidR="001103C2" w:rsidRPr="00FE4251" w:rsidTr="006007C2">
        <w:trPr>
          <w:trHeight w:val="180"/>
        </w:trPr>
        <w:tc>
          <w:tcPr>
            <w:tcW w:w="1153" w:type="pct"/>
            <w:shd w:val="clear" w:color="auto" w:fill="auto"/>
            <w:vAlign w:val="center"/>
          </w:tcPr>
          <w:p w:rsidR="001103C2" w:rsidRPr="00FE4251" w:rsidRDefault="001103C2" w:rsidP="00DA6A6B">
            <w:pPr>
              <w:keepNext/>
              <w:keepLines/>
              <w:spacing w:before="0"/>
              <w:rPr>
                <w:rFonts w:ascii="Arial Narrow" w:eastAsia="Calibri" w:hAnsi="Arial Narrow" w:cstheme="minorHAnsi"/>
                <w:iCs/>
                <w:sz w:val="20"/>
                <w:szCs w:val="20"/>
              </w:rPr>
            </w:pPr>
            <w:proofErr w:type="spellStart"/>
            <w:r w:rsidRPr="00FE4251">
              <w:rPr>
                <w:rFonts w:ascii="Arial Narrow" w:eastAsia="Calibri" w:hAnsi="Arial Narrow" w:cstheme="minorHAnsi"/>
                <w:iCs/>
                <w:sz w:val="20"/>
                <w:szCs w:val="20"/>
              </w:rPr>
              <w:t>Campieri</w:t>
            </w:r>
            <w:proofErr w:type="spellEnd"/>
            <w:r w:rsidRPr="00FE4251">
              <w:rPr>
                <w:rFonts w:ascii="Arial Narrow" w:eastAsia="Calibri" w:hAnsi="Arial Narrow" w:cstheme="minorHAnsi"/>
                <w:iCs/>
                <w:sz w:val="20"/>
                <w:szCs w:val="20"/>
              </w:rPr>
              <w:t xml:space="preserve"> 1997</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iCs/>
                <w:sz w:val="20"/>
                <w:szCs w:val="20"/>
              </w:rPr>
              <w:t>35/58 (60.3)</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iCs/>
                <w:sz w:val="20"/>
                <w:szCs w:val="20"/>
              </w:rPr>
              <w:t>35/58 (60.3)</w:t>
            </w:r>
          </w:p>
        </w:tc>
        <w:tc>
          <w:tcPr>
            <w:tcW w:w="837"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Times New Roman" w:hAnsi="Arial Narrow" w:cstheme="minorHAnsi"/>
                <w:iCs/>
                <w:color w:val="000000"/>
                <w:sz w:val="20"/>
                <w:szCs w:val="20"/>
              </w:rPr>
              <w:t>1.00 (0.74, 1.34)</w:t>
            </w:r>
          </w:p>
        </w:tc>
        <w:tc>
          <w:tcPr>
            <w:tcW w:w="764"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Times New Roman" w:hAnsi="Arial Narrow" w:cstheme="minorHAnsi"/>
                <w:iCs/>
                <w:color w:val="000000"/>
                <w:sz w:val="20"/>
                <w:szCs w:val="20"/>
              </w:rPr>
              <w:t>0.00 (-0.18,0.18)</w:t>
            </w:r>
          </w:p>
        </w:tc>
        <w:tc>
          <w:tcPr>
            <w:tcW w:w="861"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b/>
                <w:iCs/>
                <w:sz w:val="20"/>
                <w:szCs w:val="20"/>
              </w:rPr>
            </w:pPr>
            <w:r w:rsidRPr="00FE4251">
              <w:rPr>
                <w:rFonts w:ascii="Arial Narrow" w:eastAsia="Times New Roman" w:hAnsi="Arial Narrow" w:cstheme="minorHAnsi"/>
                <w:iCs/>
                <w:color w:val="000000"/>
                <w:sz w:val="20"/>
                <w:szCs w:val="20"/>
              </w:rPr>
              <w:t>1.00 (0.48, 2.10)</w:t>
            </w:r>
          </w:p>
        </w:tc>
      </w:tr>
      <w:tr w:rsidR="001103C2" w:rsidRPr="00FE4251" w:rsidTr="006007C2">
        <w:trPr>
          <w:trHeight w:val="180"/>
        </w:trPr>
        <w:tc>
          <w:tcPr>
            <w:tcW w:w="1153" w:type="pct"/>
            <w:shd w:val="clear" w:color="auto" w:fill="auto"/>
            <w:vAlign w:val="center"/>
          </w:tcPr>
          <w:p w:rsidR="001103C2" w:rsidRPr="00FE4251" w:rsidRDefault="001103C2" w:rsidP="00DA6A6B">
            <w:pPr>
              <w:keepNext/>
              <w:keepLines/>
              <w:spacing w:before="0"/>
              <w:jc w:val="right"/>
              <w:rPr>
                <w:rFonts w:ascii="Arial Narrow" w:eastAsia="Calibri" w:hAnsi="Arial Narrow" w:cstheme="minorHAnsi"/>
                <w:iCs/>
                <w:sz w:val="20"/>
                <w:szCs w:val="20"/>
              </w:rPr>
            </w:pPr>
            <w:r w:rsidRPr="00FE4251">
              <w:rPr>
                <w:rFonts w:ascii="Arial Narrow" w:eastAsia="Calibri" w:hAnsi="Arial Narrow" w:cstheme="minorHAnsi"/>
                <w:iCs/>
                <w:sz w:val="20"/>
                <w:szCs w:val="20"/>
              </w:rPr>
              <w:t>Meta-analysis</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iCs/>
                <w:sz w:val="20"/>
                <w:szCs w:val="20"/>
              </w:rPr>
              <w:t>81/146 (55.5)</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iCs/>
                <w:sz w:val="20"/>
                <w:szCs w:val="20"/>
              </w:rPr>
              <w:t>92/146 (63.0)</w:t>
            </w:r>
          </w:p>
        </w:tc>
        <w:tc>
          <w:tcPr>
            <w:tcW w:w="837" w:type="pct"/>
            <w:shd w:val="clear" w:color="auto" w:fill="auto"/>
            <w:vAlign w:val="center"/>
          </w:tcPr>
          <w:p w:rsidR="001103C2" w:rsidRPr="00FE4251" w:rsidRDefault="001103C2" w:rsidP="00DA6A6B">
            <w:pPr>
              <w:keepNext/>
              <w:keepLines/>
              <w:spacing w:before="0"/>
              <w:jc w:val="center"/>
              <w:rPr>
                <w:rFonts w:ascii="Arial Narrow" w:eastAsia="Times New Roman" w:hAnsi="Arial Narrow" w:cstheme="minorHAnsi"/>
                <w:iCs/>
                <w:color w:val="000000"/>
                <w:sz w:val="20"/>
                <w:szCs w:val="20"/>
              </w:rPr>
            </w:pPr>
            <w:r w:rsidRPr="00FE4251">
              <w:rPr>
                <w:rFonts w:ascii="Arial Narrow" w:eastAsia="Times New Roman" w:hAnsi="Arial Narrow" w:cstheme="minorHAnsi"/>
                <w:iCs/>
                <w:color w:val="000000"/>
                <w:sz w:val="20"/>
                <w:szCs w:val="20"/>
              </w:rPr>
              <w:t>0.89 (0.72, 1.09)</w:t>
            </w:r>
          </w:p>
        </w:tc>
        <w:tc>
          <w:tcPr>
            <w:tcW w:w="764" w:type="pct"/>
            <w:shd w:val="clear" w:color="auto" w:fill="auto"/>
            <w:vAlign w:val="center"/>
          </w:tcPr>
          <w:p w:rsidR="001103C2" w:rsidRPr="00FE4251" w:rsidRDefault="001103C2" w:rsidP="00DA6A6B">
            <w:pPr>
              <w:keepNext/>
              <w:keepLines/>
              <w:spacing w:before="0"/>
              <w:jc w:val="center"/>
              <w:rPr>
                <w:rFonts w:ascii="Arial Narrow" w:eastAsia="Times New Roman" w:hAnsi="Arial Narrow" w:cstheme="minorHAnsi"/>
                <w:iCs/>
                <w:color w:val="000000"/>
                <w:sz w:val="20"/>
                <w:szCs w:val="20"/>
              </w:rPr>
            </w:pPr>
            <w:r w:rsidRPr="00FE4251">
              <w:rPr>
                <w:rFonts w:ascii="Arial Narrow" w:eastAsia="Times New Roman" w:hAnsi="Arial Narrow" w:cstheme="minorHAnsi"/>
                <w:iCs/>
                <w:color w:val="000000"/>
                <w:sz w:val="20"/>
                <w:szCs w:val="20"/>
              </w:rPr>
              <w:t>-0.07 (-0.19, 0.05)</w:t>
            </w:r>
          </w:p>
        </w:tc>
        <w:tc>
          <w:tcPr>
            <w:tcW w:w="861" w:type="pct"/>
            <w:shd w:val="clear" w:color="auto" w:fill="auto"/>
            <w:vAlign w:val="center"/>
          </w:tcPr>
          <w:p w:rsidR="001103C2" w:rsidRPr="00FE4251" w:rsidRDefault="001103C2" w:rsidP="00DA6A6B">
            <w:pPr>
              <w:keepNext/>
              <w:keepLines/>
              <w:spacing w:before="0"/>
              <w:jc w:val="center"/>
              <w:rPr>
                <w:rFonts w:ascii="Arial Narrow" w:eastAsia="Times New Roman" w:hAnsi="Arial Narrow" w:cstheme="minorHAnsi"/>
                <w:iCs/>
                <w:color w:val="000000"/>
                <w:sz w:val="20"/>
                <w:szCs w:val="20"/>
              </w:rPr>
            </w:pPr>
            <w:r w:rsidRPr="00FE4251">
              <w:rPr>
                <w:rFonts w:ascii="Arial Narrow" w:eastAsia="Times New Roman" w:hAnsi="Arial Narrow" w:cstheme="minorHAnsi"/>
                <w:iCs/>
                <w:color w:val="000000"/>
                <w:sz w:val="20"/>
                <w:szCs w:val="20"/>
              </w:rPr>
              <w:t>0.74 (0.45, 1.21)</w:t>
            </w:r>
          </w:p>
        </w:tc>
      </w:tr>
      <w:tr w:rsidR="001103C2" w:rsidRPr="00FE4251" w:rsidTr="00DA6A6B">
        <w:trPr>
          <w:trHeight w:val="180"/>
        </w:trPr>
        <w:tc>
          <w:tcPr>
            <w:tcW w:w="5000" w:type="pct"/>
            <w:gridSpan w:val="6"/>
            <w:shd w:val="clear" w:color="auto" w:fill="auto"/>
            <w:vAlign w:val="center"/>
          </w:tcPr>
          <w:p w:rsidR="001103C2" w:rsidRPr="00FE4251" w:rsidRDefault="001103C2" w:rsidP="009F20EF">
            <w:pPr>
              <w:keepNext/>
              <w:keepLines/>
              <w:numPr>
                <w:ilvl w:val="1"/>
                <w:numId w:val="7"/>
              </w:numPr>
              <w:tabs>
                <w:tab w:val="center" w:pos="117"/>
              </w:tabs>
              <w:spacing w:before="0"/>
              <w:ind w:left="117" w:hanging="142"/>
              <w:rPr>
                <w:rFonts w:ascii="Arial Narrow" w:eastAsia="Times New Roman" w:hAnsi="Arial Narrow" w:cstheme="minorHAnsi"/>
                <w:iCs/>
                <w:color w:val="000000"/>
                <w:sz w:val="20"/>
                <w:szCs w:val="20"/>
              </w:rPr>
            </w:pPr>
            <w:r w:rsidRPr="00FE4251">
              <w:rPr>
                <w:rFonts w:ascii="Arial Narrow" w:eastAsia="Times New Roman" w:hAnsi="Arial Narrow" w:cstheme="minorHAnsi"/>
                <w:b/>
                <w:bCs/>
                <w:color w:val="000000"/>
                <w:sz w:val="20"/>
                <w:szCs w:val="20"/>
              </w:rPr>
              <w:t>Budesonide</w:t>
            </w:r>
            <w:r w:rsidRPr="00FE4251">
              <w:rPr>
                <w:rFonts w:ascii="Arial Narrow" w:eastAsia="Calibri" w:hAnsi="Arial Narrow" w:cstheme="minorHAnsi"/>
                <w:b/>
                <w:iCs/>
                <w:sz w:val="20"/>
                <w:szCs w:val="20"/>
              </w:rPr>
              <w:t xml:space="preserve"> given BD </w:t>
            </w:r>
            <w:r w:rsidRPr="00FE4251">
              <w:rPr>
                <w:rFonts w:ascii="Arial Narrow" w:eastAsia="Calibri" w:hAnsi="Arial Narrow" w:cstheme="minorHAnsi"/>
                <w:b/>
                <w:iCs/>
                <w:sz w:val="20"/>
                <w:szCs w:val="20"/>
                <w:vertAlign w:val="superscript"/>
              </w:rPr>
              <w:t xml:space="preserve">b </w:t>
            </w:r>
          </w:p>
        </w:tc>
      </w:tr>
      <w:tr w:rsidR="001103C2" w:rsidRPr="00FE4251" w:rsidTr="006007C2">
        <w:trPr>
          <w:trHeight w:val="180"/>
        </w:trPr>
        <w:tc>
          <w:tcPr>
            <w:tcW w:w="1153" w:type="pct"/>
            <w:shd w:val="clear" w:color="auto" w:fill="auto"/>
            <w:vAlign w:val="center"/>
          </w:tcPr>
          <w:p w:rsidR="001103C2" w:rsidRPr="00FE4251" w:rsidRDefault="001103C2" w:rsidP="00DA6A6B">
            <w:pPr>
              <w:keepNext/>
              <w:keepLines/>
              <w:spacing w:before="0"/>
              <w:rPr>
                <w:rFonts w:ascii="Arial Narrow" w:eastAsia="Calibri" w:hAnsi="Arial Narrow" w:cstheme="minorHAnsi"/>
                <w:iCs/>
                <w:sz w:val="20"/>
                <w:szCs w:val="20"/>
              </w:rPr>
            </w:pPr>
            <w:proofErr w:type="spellStart"/>
            <w:r w:rsidRPr="00FE4251">
              <w:rPr>
                <w:rFonts w:ascii="Arial Narrow" w:eastAsia="Calibri" w:hAnsi="Arial Narrow" w:cstheme="minorHAnsi"/>
                <w:iCs/>
                <w:sz w:val="20"/>
                <w:szCs w:val="20"/>
              </w:rPr>
              <w:t>Campieri</w:t>
            </w:r>
            <w:proofErr w:type="spellEnd"/>
            <w:r w:rsidRPr="00FE4251">
              <w:rPr>
                <w:rFonts w:ascii="Arial Narrow" w:eastAsia="Calibri" w:hAnsi="Arial Narrow" w:cstheme="minorHAnsi"/>
                <w:iCs/>
                <w:sz w:val="20"/>
                <w:szCs w:val="20"/>
              </w:rPr>
              <w:t xml:space="preserve"> 1997</w:t>
            </w:r>
          </w:p>
        </w:tc>
        <w:tc>
          <w:tcPr>
            <w:tcW w:w="769"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iCs/>
                <w:sz w:val="20"/>
                <w:szCs w:val="20"/>
              </w:rPr>
              <w:t>26/61 (42.6)</w:t>
            </w:r>
          </w:p>
        </w:tc>
        <w:tc>
          <w:tcPr>
            <w:tcW w:w="615" w:type="pct"/>
            <w:shd w:val="clear" w:color="auto" w:fill="auto"/>
            <w:vAlign w:val="center"/>
          </w:tcPr>
          <w:p w:rsidR="001103C2" w:rsidRPr="00FE4251" w:rsidRDefault="001103C2" w:rsidP="00DA6A6B">
            <w:pPr>
              <w:keepNext/>
              <w:keepLines/>
              <w:spacing w:before="0"/>
              <w:jc w:val="center"/>
              <w:rPr>
                <w:rFonts w:ascii="Arial Narrow" w:eastAsia="Calibri" w:hAnsi="Arial Narrow" w:cstheme="minorHAnsi"/>
                <w:iCs/>
                <w:sz w:val="20"/>
                <w:szCs w:val="20"/>
              </w:rPr>
            </w:pPr>
            <w:r w:rsidRPr="00FE4251">
              <w:rPr>
                <w:rFonts w:ascii="Arial Narrow" w:eastAsia="Calibri" w:hAnsi="Arial Narrow" w:cstheme="minorHAnsi"/>
                <w:iCs/>
                <w:sz w:val="20"/>
                <w:szCs w:val="20"/>
              </w:rPr>
              <w:t>35/58 (60.3)</w:t>
            </w:r>
          </w:p>
        </w:tc>
        <w:tc>
          <w:tcPr>
            <w:tcW w:w="837" w:type="pct"/>
            <w:shd w:val="clear" w:color="auto" w:fill="auto"/>
            <w:vAlign w:val="center"/>
          </w:tcPr>
          <w:p w:rsidR="001103C2" w:rsidRPr="00FE4251" w:rsidRDefault="001103C2" w:rsidP="00DA6A6B">
            <w:pPr>
              <w:keepNext/>
              <w:keepLines/>
              <w:spacing w:before="0"/>
              <w:jc w:val="center"/>
              <w:rPr>
                <w:rFonts w:ascii="Arial Narrow" w:eastAsia="Times New Roman" w:hAnsi="Arial Narrow" w:cstheme="minorHAnsi"/>
                <w:iCs/>
                <w:color w:val="000000"/>
                <w:sz w:val="20"/>
                <w:szCs w:val="20"/>
              </w:rPr>
            </w:pPr>
            <w:r w:rsidRPr="00FE4251">
              <w:rPr>
                <w:rFonts w:ascii="Arial Narrow" w:eastAsia="Times New Roman" w:hAnsi="Arial Narrow" w:cstheme="minorHAnsi"/>
                <w:iCs/>
                <w:color w:val="000000"/>
                <w:sz w:val="20"/>
                <w:szCs w:val="20"/>
              </w:rPr>
              <w:t>0.71 (0.49, 1.01)</w:t>
            </w:r>
          </w:p>
        </w:tc>
        <w:tc>
          <w:tcPr>
            <w:tcW w:w="764" w:type="pct"/>
            <w:shd w:val="clear" w:color="auto" w:fill="auto"/>
            <w:vAlign w:val="center"/>
          </w:tcPr>
          <w:p w:rsidR="001103C2" w:rsidRPr="00FE4251" w:rsidRDefault="001103C2" w:rsidP="00DA6A6B">
            <w:pPr>
              <w:keepNext/>
              <w:keepLines/>
              <w:spacing w:before="0"/>
              <w:jc w:val="center"/>
              <w:rPr>
                <w:rFonts w:ascii="Arial Narrow" w:eastAsia="Times New Roman" w:hAnsi="Arial Narrow" w:cstheme="minorHAnsi"/>
                <w:iCs/>
                <w:color w:val="000000"/>
                <w:sz w:val="20"/>
                <w:szCs w:val="20"/>
              </w:rPr>
            </w:pPr>
            <w:r w:rsidRPr="00FE4251">
              <w:rPr>
                <w:rFonts w:ascii="Arial Narrow" w:eastAsia="Times New Roman" w:hAnsi="Arial Narrow" w:cstheme="minorHAnsi"/>
                <w:iCs/>
                <w:color w:val="000000"/>
                <w:sz w:val="20"/>
                <w:szCs w:val="20"/>
              </w:rPr>
              <w:t>-0.18 (-0.35, 0.00)</w:t>
            </w:r>
          </w:p>
        </w:tc>
        <w:tc>
          <w:tcPr>
            <w:tcW w:w="861" w:type="pct"/>
            <w:shd w:val="clear" w:color="auto" w:fill="auto"/>
            <w:vAlign w:val="center"/>
          </w:tcPr>
          <w:p w:rsidR="001103C2" w:rsidRPr="00FE4251" w:rsidRDefault="001103C2" w:rsidP="00DA6A6B">
            <w:pPr>
              <w:keepNext/>
              <w:keepLines/>
              <w:spacing w:before="0"/>
              <w:jc w:val="center"/>
              <w:rPr>
                <w:rFonts w:ascii="Arial Narrow" w:eastAsia="Times New Roman" w:hAnsi="Arial Narrow" w:cstheme="minorHAnsi"/>
                <w:iCs/>
                <w:color w:val="000000"/>
                <w:sz w:val="20"/>
                <w:szCs w:val="20"/>
              </w:rPr>
            </w:pPr>
            <w:r w:rsidRPr="00FE4251">
              <w:rPr>
                <w:rFonts w:ascii="Arial Narrow" w:eastAsia="Times New Roman" w:hAnsi="Arial Narrow" w:cstheme="minorHAnsi"/>
                <w:iCs/>
                <w:color w:val="000000"/>
                <w:sz w:val="20"/>
                <w:szCs w:val="20"/>
              </w:rPr>
              <w:t>0.49 (0.24, 1.01)</w:t>
            </w:r>
          </w:p>
        </w:tc>
      </w:tr>
    </w:tbl>
    <w:p w:rsidR="001103C2" w:rsidRPr="00FE4251" w:rsidRDefault="001103C2" w:rsidP="001103C2">
      <w:pPr>
        <w:widowControl w:val="0"/>
        <w:spacing w:before="0" w:after="120"/>
        <w:contextualSpacing/>
        <w:jc w:val="both"/>
        <w:rPr>
          <w:rFonts w:ascii="Arial Narrow" w:eastAsia="Times New Roman" w:hAnsi="Arial Narrow" w:cs="Arial"/>
          <w:iCs/>
          <w:snapToGrid w:val="0"/>
          <w:sz w:val="18"/>
          <w:szCs w:val="20"/>
        </w:rPr>
      </w:pPr>
      <w:r w:rsidRPr="00FE4251">
        <w:rPr>
          <w:rFonts w:ascii="Arial Narrow" w:eastAsia="Times New Roman" w:hAnsi="Arial Narrow" w:cs="Arial"/>
          <w:snapToGrid w:val="0"/>
          <w:sz w:val="18"/>
          <w:szCs w:val="20"/>
        </w:rPr>
        <w:t xml:space="preserve">Source: Tables 46-48, 52, pp78-81, 96 of the submission; </w:t>
      </w:r>
      <w:r w:rsidRPr="00FE4251">
        <w:rPr>
          <w:rFonts w:ascii="Arial Narrow" w:eastAsia="Times New Roman" w:hAnsi="Arial Narrow" w:cs="Arial"/>
          <w:iCs/>
          <w:snapToGrid w:val="0"/>
          <w:sz w:val="18"/>
          <w:szCs w:val="20"/>
        </w:rPr>
        <w:t xml:space="preserve">p843 of </w:t>
      </w:r>
      <w:proofErr w:type="spellStart"/>
      <w:r w:rsidRPr="00FE4251">
        <w:rPr>
          <w:rFonts w:ascii="Arial Narrow" w:eastAsia="Times New Roman" w:hAnsi="Arial Narrow" w:cs="Arial"/>
          <w:iCs/>
          <w:snapToGrid w:val="0"/>
          <w:sz w:val="18"/>
          <w:szCs w:val="20"/>
        </w:rPr>
        <w:t>Rutgeerts</w:t>
      </w:r>
      <w:proofErr w:type="spellEnd"/>
      <w:r w:rsidRPr="00FE4251">
        <w:rPr>
          <w:rFonts w:ascii="Arial Narrow" w:eastAsia="Times New Roman" w:hAnsi="Arial Narrow" w:cs="Arial"/>
          <w:iCs/>
          <w:snapToGrid w:val="0"/>
          <w:sz w:val="18"/>
          <w:szCs w:val="20"/>
        </w:rPr>
        <w:t xml:space="preserve"> (1994); p211 of </w:t>
      </w:r>
      <w:proofErr w:type="spellStart"/>
      <w:r w:rsidRPr="00FE4251">
        <w:rPr>
          <w:rFonts w:ascii="Arial Narrow" w:eastAsia="Times New Roman" w:hAnsi="Arial Narrow" w:cs="Arial"/>
          <w:iCs/>
          <w:snapToGrid w:val="0"/>
          <w:sz w:val="18"/>
          <w:szCs w:val="20"/>
        </w:rPr>
        <w:t>Campieri</w:t>
      </w:r>
      <w:proofErr w:type="spellEnd"/>
      <w:r w:rsidRPr="00FE4251">
        <w:rPr>
          <w:rFonts w:ascii="Arial Narrow" w:eastAsia="Times New Roman" w:hAnsi="Arial Narrow" w:cs="Arial"/>
          <w:iCs/>
          <w:snapToGrid w:val="0"/>
          <w:sz w:val="18"/>
          <w:szCs w:val="20"/>
        </w:rPr>
        <w:t xml:space="preserve"> (1997).</w:t>
      </w:r>
    </w:p>
    <w:p w:rsidR="001103C2" w:rsidRPr="00FE4251" w:rsidRDefault="001103C2" w:rsidP="001103C2">
      <w:pPr>
        <w:widowControl w:val="0"/>
        <w:spacing w:before="0" w:after="120"/>
        <w:contextualSpacing/>
        <w:jc w:val="both"/>
        <w:rPr>
          <w:rFonts w:ascii="Arial Narrow" w:eastAsia="Calibri" w:hAnsi="Arial Narrow" w:cs="Arial"/>
          <w:snapToGrid w:val="0"/>
          <w:sz w:val="18"/>
          <w:szCs w:val="20"/>
        </w:rPr>
      </w:pPr>
      <w:r w:rsidRPr="00FE4251">
        <w:rPr>
          <w:rFonts w:ascii="Arial Narrow" w:eastAsia="Calibri" w:hAnsi="Arial Narrow" w:cs="Arial"/>
          <w:snapToGrid w:val="0"/>
          <w:sz w:val="18"/>
          <w:szCs w:val="20"/>
        </w:rPr>
        <w:t>Abbreviations: CI = confidence interval; n = number of participants with event; N = total participants in group, RR=relative risk, RD=risk difference, OR=odds ratio, BD=twice daily, TID=three times daily</w:t>
      </w:r>
    </w:p>
    <w:p w:rsidR="001103C2" w:rsidRPr="00FE4251" w:rsidRDefault="001103C2" w:rsidP="001103C2">
      <w:pPr>
        <w:widowControl w:val="0"/>
        <w:spacing w:before="0" w:after="120"/>
        <w:contextualSpacing/>
        <w:jc w:val="both"/>
        <w:rPr>
          <w:rFonts w:ascii="Arial Narrow" w:eastAsia="Calibri" w:hAnsi="Arial Narrow" w:cs="Arial"/>
          <w:iCs/>
          <w:snapToGrid w:val="0"/>
          <w:sz w:val="18"/>
          <w:szCs w:val="20"/>
        </w:rPr>
      </w:pPr>
      <w:proofErr w:type="gramStart"/>
      <w:r w:rsidRPr="00FE4251">
        <w:rPr>
          <w:rFonts w:ascii="Arial Narrow" w:eastAsia="Calibri" w:hAnsi="Arial Narrow" w:cs="Arial"/>
          <w:snapToGrid w:val="0"/>
          <w:sz w:val="18"/>
          <w:szCs w:val="20"/>
          <w:vertAlign w:val="superscript"/>
        </w:rPr>
        <w:t>a</w:t>
      </w:r>
      <w:proofErr w:type="gramEnd"/>
      <w:r w:rsidRPr="00FE4251">
        <w:rPr>
          <w:rFonts w:ascii="Arial Narrow" w:eastAsia="Calibri" w:hAnsi="Arial Narrow" w:cs="Arial"/>
          <w:snapToGrid w:val="0"/>
          <w:sz w:val="18"/>
          <w:szCs w:val="20"/>
        </w:rPr>
        <w:tab/>
      </w:r>
      <w:r w:rsidRPr="00FE4251">
        <w:rPr>
          <w:rFonts w:ascii="Arial Narrow" w:eastAsia="Calibri" w:hAnsi="Arial Narrow" w:cs="Arial"/>
          <w:iCs/>
          <w:snapToGrid w:val="0"/>
          <w:sz w:val="18"/>
          <w:szCs w:val="20"/>
        </w:rPr>
        <w:t>The budesonide dose of 9 mg per day was administered twice daily in Greenberg 1994.</w:t>
      </w:r>
    </w:p>
    <w:p w:rsidR="001103C2" w:rsidRPr="00FE4251" w:rsidRDefault="001103C2" w:rsidP="001103C2">
      <w:pPr>
        <w:widowControl w:val="0"/>
        <w:spacing w:before="0" w:after="120"/>
        <w:contextualSpacing/>
        <w:jc w:val="both"/>
        <w:rPr>
          <w:rFonts w:ascii="Arial Narrow" w:eastAsia="Calibri" w:hAnsi="Arial Narrow" w:cs="Arial"/>
          <w:iCs/>
          <w:snapToGrid w:val="0"/>
          <w:sz w:val="18"/>
          <w:szCs w:val="20"/>
        </w:rPr>
      </w:pPr>
      <w:proofErr w:type="gramStart"/>
      <w:r w:rsidRPr="00FE4251">
        <w:rPr>
          <w:rFonts w:ascii="Arial Narrow" w:eastAsia="Calibri" w:hAnsi="Arial Narrow" w:cs="Arial"/>
          <w:iCs/>
          <w:snapToGrid w:val="0"/>
          <w:sz w:val="18"/>
          <w:szCs w:val="20"/>
          <w:vertAlign w:val="superscript"/>
        </w:rPr>
        <w:t>b</w:t>
      </w:r>
      <w:proofErr w:type="gramEnd"/>
      <w:r w:rsidRPr="00FE4251">
        <w:rPr>
          <w:rFonts w:ascii="Arial Narrow" w:eastAsia="Calibri" w:hAnsi="Arial Narrow" w:cs="Arial"/>
          <w:iCs/>
          <w:snapToGrid w:val="0"/>
          <w:sz w:val="18"/>
          <w:szCs w:val="20"/>
        </w:rPr>
        <w:tab/>
        <w:t>Not TGA-approved dosing frequency.</w:t>
      </w:r>
    </w:p>
    <w:p w:rsidR="001103C2" w:rsidRPr="00FE4251" w:rsidRDefault="001103C2" w:rsidP="004D00EB">
      <w:pPr>
        <w:widowControl w:val="0"/>
        <w:spacing w:before="0" w:after="120"/>
        <w:ind w:left="165" w:hanging="165"/>
        <w:contextualSpacing/>
        <w:jc w:val="both"/>
        <w:rPr>
          <w:rFonts w:ascii="Arial Narrow" w:eastAsia="Calibri" w:hAnsi="Arial Narrow" w:cs="Arial"/>
          <w:iCs/>
          <w:snapToGrid w:val="0"/>
          <w:sz w:val="18"/>
          <w:szCs w:val="20"/>
        </w:rPr>
      </w:pPr>
      <w:proofErr w:type="gramStart"/>
      <w:r w:rsidRPr="00FE4251">
        <w:rPr>
          <w:rFonts w:ascii="Arial Narrow" w:eastAsia="Calibri" w:hAnsi="Arial Narrow" w:cs="Arial"/>
          <w:iCs/>
          <w:snapToGrid w:val="0"/>
          <w:sz w:val="18"/>
          <w:szCs w:val="20"/>
          <w:vertAlign w:val="superscript"/>
        </w:rPr>
        <w:t>c</w:t>
      </w:r>
      <w:proofErr w:type="gramEnd"/>
      <w:r w:rsidRPr="00FE4251">
        <w:rPr>
          <w:rFonts w:ascii="Arial Narrow" w:eastAsia="Calibri" w:hAnsi="Arial Narrow" w:cs="Arial"/>
          <w:iCs/>
          <w:snapToGrid w:val="0"/>
          <w:sz w:val="18"/>
          <w:szCs w:val="20"/>
        </w:rPr>
        <w:tab/>
        <w:t xml:space="preserve">p=0.001 for </w:t>
      </w:r>
      <w:proofErr w:type="spellStart"/>
      <w:r w:rsidRPr="00FE4251">
        <w:rPr>
          <w:rFonts w:ascii="Arial Narrow" w:eastAsia="Calibri" w:hAnsi="Arial Narrow" w:cs="Arial"/>
          <w:iCs/>
          <w:snapToGrid w:val="0"/>
          <w:sz w:val="18"/>
          <w:szCs w:val="20"/>
        </w:rPr>
        <w:t>noninferiority</w:t>
      </w:r>
      <w:proofErr w:type="spellEnd"/>
      <w:r w:rsidRPr="00FE4251">
        <w:rPr>
          <w:rFonts w:ascii="Arial Narrow" w:eastAsia="Calibri" w:hAnsi="Arial Narrow" w:cs="Arial"/>
          <w:iCs/>
          <w:snapToGrid w:val="0"/>
          <w:sz w:val="18"/>
          <w:szCs w:val="20"/>
        </w:rPr>
        <w:t xml:space="preserve"> of budesonide versus </w:t>
      </w:r>
      <w:proofErr w:type="spellStart"/>
      <w:r w:rsidRPr="00FE4251">
        <w:rPr>
          <w:rFonts w:ascii="Arial Narrow" w:eastAsia="Calibri" w:hAnsi="Arial Narrow" w:cs="Arial"/>
          <w:iCs/>
          <w:snapToGrid w:val="0"/>
          <w:sz w:val="18"/>
          <w:szCs w:val="20"/>
        </w:rPr>
        <w:t>mesalazine</w:t>
      </w:r>
      <w:proofErr w:type="spellEnd"/>
      <w:r w:rsidRPr="00FE4251">
        <w:rPr>
          <w:rFonts w:ascii="Arial Narrow" w:eastAsia="Calibri" w:hAnsi="Arial Narrow" w:cs="Arial"/>
          <w:iCs/>
          <w:snapToGrid w:val="0"/>
          <w:sz w:val="18"/>
          <w:szCs w:val="20"/>
        </w:rPr>
        <w:t xml:space="preserve">.  </w:t>
      </w:r>
      <w:proofErr w:type="spellStart"/>
      <w:r w:rsidR="005A51A6" w:rsidRPr="00FE4251">
        <w:rPr>
          <w:rFonts w:ascii="Arial Narrow" w:eastAsia="Calibri" w:hAnsi="Arial Narrow" w:cs="Arial"/>
          <w:iCs/>
          <w:snapToGrid w:val="0"/>
          <w:sz w:val="18"/>
          <w:szCs w:val="20"/>
        </w:rPr>
        <w:t>M</w:t>
      </w:r>
      <w:r w:rsidRPr="00FE4251">
        <w:rPr>
          <w:rFonts w:ascii="Arial Narrow" w:eastAsia="Calibri" w:hAnsi="Arial Narrow" w:cs="Arial"/>
          <w:iCs/>
          <w:snapToGrid w:val="0"/>
          <w:sz w:val="18"/>
          <w:szCs w:val="20"/>
        </w:rPr>
        <w:t>esalazine</w:t>
      </w:r>
      <w:proofErr w:type="spellEnd"/>
      <w:r w:rsidRPr="00FE4251">
        <w:rPr>
          <w:rFonts w:ascii="Arial Narrow" w:eastAsia="Calibri" w:hAnsi="Arial Narrow" w:cs="Arial"/>
          <w:iCs/>
          <w:snapToGrid w:val="0"/>
          <w:sz w:val="18"/>
          <w:szCs w:val="20"/>
        </w:rPr>
        <w:t xml:space="preserve"> </w:t>
      </w:r>
      <w:r w:rsidR="005A51A6" w:rsidRPr="00FE4251">
        <w:rPr>
          <w:rFonts w:ascii="Arial Narrow" w:eastAsia="Calibri" w:hAnsi="Arial Narrow" w:cs="Arial"/>
          <w:iCs/>
          <w:snapToGrid w:val="0"/>
          <w:sz w:val="18"/>
          <w:szCs w:val="20"/>
        </w:rPr>
        <w:t xml:space="preserve">dose </w:t>
      </w:r>
      <w:r w:rsidRPr="00FE4251">
        <w:rPr>
          <w:rFonts w:ascii="Arial Narrow" w:eastAsia="Calibri" w:hAnsi="Arial Narrow" w:cs="Arial"/>
          <w:iCs/>
          <w:snapToGrid w:val="0"/>
          <w:sz w:val="18"/>
          <w:szCs w:val="20"/>
        </w:rPr>
        <w:t xml:space="preserve">in </w:t>
      </w:r>
      <w:proofErr w:type="spellStart"/>
      <w:r w:rsidRPr="00FE4251">
        <w:rPr>
          <w:rFonts w:ascii="Arial Narrow" w:eastAsia="Calibri" w:hAnsi="Arial Narrow" w:cs="Arial"/>
          <w:iCs/>
          <w:snapToGrid w:val="0"/>
          <w:sz w:val="18"/>
          <w:szCs w:val="20"/>
        </w:rPr>
        <w:t>Tromm</w:t>
      </w:r>
      <w:proofErr w:type="spellEnd"/>
      <w:r w:rsidRPr="00FE4251">
        <w:rPr>
          <w:rFonts w:ascii="Arial Narrow" w:eastAsia="Calibri" w:hAnsi="Arial Narrow" w:cs="Arial"/>
          <w:iCs/>
          <w:snapToGrid w:val="0"/>
          <w:sz w:val="18"/>
          <w:szCs w:val="20"/>
        </w:rPr>
        <w:t xml:space="preserve"> 2011 was higher than Thomsen 1998 at 4.5g/day.</w:t>
      </w:r>
    </w:p>
    <w:p w:rsidR="00A342DC" w:rsidRPr="00FE4251" w:rsidRDefault="00A342DC" w:rsidP="00A342DC">
      <w:pPr>
        <w:jc w:val="both"/>
        <w:rPr>
          <w:iCs/>
          <w:u w:val="single"/>
        </w:rPr>
      </w:pPr>
      <w:r w:rsidRPr="00FE4251">
        <w:rPr>
          <w:iCs/>
          <w:u w:val="single"/>
        </w:rPr>
        <w:t xml:space="preserve">Budesonide versus </w:t>
      </w:r>
      <w:proofErr w:type="spellStart"/>
      <w:r w:rsidRPr="00FE4251">
        <w:rPr>
          <w:iCs/>
          <w:u w:val="single"/>
        </w:rPr>
        <w:t>mesalazine</w:t>
      </w:r>
      <w:proofErr w:type="spellEnd"/>
    </w:p>
    <w:p w:rsidR="005E4836" w:rsidRPr="00FE4251" w:rsidRDefault="00E750D8" w:rsidP="001D7BAE">
      <w:pPr>
        <w:pStyle w:val="ListParagraph"/>
        <w:numPr>
          <w:ilvl w:val="1"/>
          <w:numId w:val="1"/>
        </w:numPr>
        <w:spacing w:before="0" w:after="120"/>
        <w:ind w:left="709" w:hanging="709"/>
        <w:jc w:val="both"/>
      </w:pPr>
      <w:r w:rsidRPr="00FE4251">
        <w:t>The PBAC noted that s</w:t>
      </w:r>
      <w:r w:rsidR="001103C2" w:rsidRPr="00FE4251">
        <w:t xml:space="preserve">tatistically significantly more patients treated with </w:t>
      </w:r>
      <w:r w:rsidR="004C7B75" w:rsidRPr="00FE4251">
        <w:t>budesonide</w:t>
      </w:r>
      <w:r w:rsidR="001103C2" w:rsidRPr="00FE4251">
        <w:t xml:space="preserve"> </w:t>
      </w:r>
      <w:r w:rsidR="004A0D71" w:rsidRPr="00FE4251">
        <w:t>(</w:t>
      </w:r>
      <w:proofErr w:type="spellStart"/>
      <w:r w:rsidR="004A0D71" w:rsidRPr="00FE4251">
        <w:t>Entocort</w:t>
      </w:r>
      <w:proofErr w:type="spellEnd"/>
      <w:r w:rsidR="004A0D71" w:rsidRPr="00FE4251">
        <w:t xml:space="preserve">®) </w:t>
      </w:r>
      <w:r w:rsidR="001103C2" w:rsidRPr="00FE4251">
        <w:t xml:space="preserve">achieved remission at Week 8 compared to </w:t>
      </w:r>
      <w:proofErr w:type="spellStart"/>
      <w:r w:rsidR="001103C2" w:rsidRPr="00FE4251">
        <w:t>mesalazine</w:t>
      </w:r>
      <w:proofErr w:type="spellEnd"/>
      <w:r w:rsidR="001103C2" w:rsidRPr="00FE4251">
        <w:t xml:space="preserve"> in Thomsen 1998;</w:t>
      </w:r>
      <w:r w:rsidR="0062458E" w:rsidRPr="00FE4251">
        <w:t xml:space="preserve"> </w:t>
      </w:r>
      <w:r w:rsidR="001103C2" w:rsidRPr="00FE4251">
        <w:t>RD (95%</w:t>
      </w:r>
      <w:r w:rsidR="008E2D23" w:rsidRPr="00FE4251">
        <w:t xml:space="preserve"> </w:t>
      </w:r>
      <w:r w:rsidR="001103C2" w:rsidRPr="00FE4251">
        <w:t xml:space="preserve">CI): 0.26 (0.12, 0.40). </w:t>
      </w:r>
      <w:r w:rsidRPr="00FE4251">
        <w:t xml:space="preserve">The PBAC noted that </w:t>
      </w:r>
      <w:proofErr w:type="spellStart"/>
      <w:r w:rsidR="004E25E4" w:rsidRPr="00FE4251">
        <w:t>Tromm</w:t>
      </w:r>
      <w:proofErr w:type="spellEnd"/>
      <w:r w:rsidR="004E25E4" w:rsidRPr="00FE4251">
        <w:t xml:space="preserve"> 2011</w:t>
      </w:r>
      <w:r w:rsidR="009F527D" w:rsidRPr="00FE4251">
        <w:t>, however,</w:t>
      </w:r>
      <w:r w:rsidR="004E25E4" w:rsidRPr="00FE4251">
        <w:t xml:space="preserve"> </w:t>
      </w:r>
      <w:r w:rsidR="00A342DC" w:rsidRPr="00FE4251">
        <w:t xml:space="preserve">found </w:t>
      </w:r>
      <w:r w:rsidR="004E25E4" w:rsidRPr="00FE4251">
        <w:t xml:space="preserve">no </w:t>
      </w:r>
      <w:r w:rsidR="00475F7D" w:rsidRPr="00FE4251">
        <w:t>significant</w:t>
      </w:r>
      <w:r w:rsidR="004E25E4" w:rsidRPr="00FE4251">
        <w:t xml:space="preserve"> differ</w:t>
      </w:r>
      <w:r w:rsidR="00475F7D" w:rsidRPr="00FE4251">
        <w:t>ences in remission between budesonide</w:t>
      </w:r>
      <w:r w:rsidR="004A0D71" w:rsidRPr="00FE4251">
        <w:t xml:space="preserve"> (</w:t>
      </w:r>
      <w:proofErr w:type="spellStart"/>
      <w:r w:rsidR="004A0D71" w:rsidRPr="00FE4251">
        <w:t>Budenofalk</w:t>
      </w:r>
      <w:proofErr w:type="spellEnd"/>
      <w:r w:rsidR="004A0D71" w:rsidRPr="00FE4251">
        <w:t>®)</w:t>
      </w:r>
      <w:r w:rsidR="00475F7D" w:rsidRPr="00FE4251">
        <w:t xml:space="preserve"> at </w:t>
      </w:r>
      <w:r w:rsidR="00A342DC" w:rsidRPr="00FE4251">
        <w:t>9</w:t>
      </w:r>
      <w:r w:rsidR="009F527D" w:rsidRPr="00FE4251">
        <w:t xml:space="preserve"> </w:t>
      </w:r>
      <w:r w:rsidR="00A342DC" w:rsidRPr="00FE4251">
        <w:t xml:space="preserve">mg total daily dose </w:t>
      </w:r>
      <w:r w:rsidR="00475F7D" w:rsidRPr="00FE4251">
        <w:t xml:space="preserve">versus </w:t>
      </w:r>
      <w:proofErr w:type="spellStart"/>
      <w:r w:rsidR="00475F7D" w:rsidRPr="00FE4251">
        <w:t>mesalazine</w:t>
      </w:r>
      <w:proofErr w:type="spellEnd"/>
      <w:r w:rsidR="00475F7D" w:rsidRPr="00FE4251">
        <w:t xml:space="preserve"> </w:t>
      </w:r>
      <w:r w:rsidR="00A342DC" w:rsidRPr="00FE4251">
        <w:t>4.5</w:t>
      </w:r>
      <w:r w:rsidR="009F527D" w:rsidRPr="00FE4251">
        <w:t xml:space="preserve"> </w:t>
      </w:r>
      <w:r w:rsidR="00A342DC" w:rsidRPr="00FE4251">
        <w:t>g/day</w:t>
      </w:r>
      <w:r w:rsidR="001103C2" w:rsidRPr="00FE4251">
        <w:t>; RD (95% CI): 0.05 (-0.08, 0.18)</w:t>
      </w:r>
      <w:r w:rsidR="00A342DC" w:rsidRPr="00FE4251">
        <w:t>.  The lower 95%</w:t>
      </w:r>
      <w:r w:rsidR="008E2D23" w:rsidRPr="00FE4251">
        <w:t xml:space="preserve"> </w:t>
      </w:r>
      <w:r w:rsidR="00A342DC" w:rsidRPr="00FE4251">
        <w:t>CI was also within the trial’s pre-specified non-inferiority margin of -10%, indicating the two treatments to be non-inferior.</w:t>
      </w:r>
      <w:r w:rsidR="00B91061" w:rsidRPr="00FE4251">
        <w:t xml:space="preserve"> </w:t>
      </w:r>
    </w:p>
    <w:p w:rsidR="007A14CD" w:rsidRPr="00FE4251" w:rsidRDefault="00937B1D" w:rsidP="00C71AF6">
      <w:pPr>
        <w:pStyle w:val="ListParagraph"/>
        <w:numPr>
          <w:ilvl w:val="1"/>
          <w:numId w:val="1"/>
        </w:numPr>
        <w:ind w:left="709" w:hanging="709"/>
      </w:pPr>
      <w:r w:rsidRPr="00FE4251">
        <w:t>The pre-PBAC response (p2) reiterates the</w:t>
      </w:r>
      <w:r w:rsidR="007A14CD" w:rsidRPr="00FE4251">
        <w:t xml:space="preserve"> PSCR (p2) argu</w:t>
      </w:r>
      <w:r w:rsidRPr="00FE4251">
        <w:t>ment</w:t>
      </w:r>
      <w:r w:rsidR="007A14CD" w:rsidRPr="00FE4251">
        <w:t xml:space="preserve"> that the differences in the outcomes reported by Thomsen 1998 and </w:t>
      </w:r>
      <w:proofErr w:type="spellStart"/>
      <w:r w:rsidR="007A14CD" w:rsidRPr="00FE4251">
        <w:t>Tromm</w:t>
      </w:r>
      <w:proofErr w:type="spellEnd"/>
      <w:r w:rsidR="007A14CD" w:rsidRPr="00FE4251">
        <w:t xml:space="preserve"> 2011 may be attributable to differences related to the formulation and dose of agents evaluated in the trials. The pre-PBAC response (p2) </w:t>
      </w:r>
      <w:r w:rsidRPr="00FE4251">
        <w:t xml:space="preserve">further </w:t>
      </w:r>
      <w:r w:rsidR="007A14CD" w:rsidRPr="00FE4251">
        <w:t xml:space="preserve">argues the results from Thomsen 1998 are most pertinent to the submission as the trial examined the exact formulation of budesonide for which PBS listing is sought. However, the PBAC noted that as acknowledged by the submission (p11), recent meta-analyses indicate </w:t>
      </w:r>
      <w:proofErr w:type="spellStart"/>
      <w:r w:rsidR="007A14CD" w:rsidRPr="00FE4251">
        <w:t>mesalazine</w:t>
      </w:r>
      <w:proofErr w:type="spellEnd"/>
      <w:r w:rsidR="007A14CD" w:rsidRPr="00FE4251">
        <w:t xml:space="preserve"> to be of limited efficacy for induction of remission in CD, particularly at lower doses. </w:t>
      </w:r>
      <w:r w:rsidRPr="00FE4251">
        <w:t>Overall, t</w:t>
      </w:r>
      <w:r w:rsidR="007A14CD" w:rsidRPr="00FE4251">
        <w:t xml:space="preserve">he PBAC considered the claim of superior effectiveness versus </w:t>
      </w:r>
      <w:proofErr w:type="spellStart"/>
      <w:r w:rsidR="007A14CD" w:rsidRPr="00FE4251">
        <w:t>mesalazine</w:t>
      </w:r>
      <w:proofErr w:type="spellEnd"/>
      <w:r w:rsidR="007A14CD" w:rsidRPr="00FE4251">
        <w:t xml:space="preserve"> to be uncertain. </w:t>
      </w:r>
    </w:p>
    <w:p w:rsidR="00181D09" w:rsidRPr="00FE4251" w:rsidRDefault="00181D09" w:rsidP="00181D09">
      <w:pPr>
        <w:jc w:val="both"/>
        <w:rPr>
          <w:iCs/>
          <w:u w:val="single"/>
        </w:rPr>
      </w:pPr>
      <w:r w:rsidRPr="00FE4251">
        <w:rPr>
          <w:iCs/>
          <w:u w:val="single"/>
        </w:rPr>
        <w:t xml:space="preserve">Budesonide versus placebo </w:t>
      </w:r>
    </w:p>
    <w:p w:rsidR="00181D09" w:rsidRPr="00FE4251" w:rsidRDefault="00181D09" w:rsidP="00F3507A">
      <w:pPr>
        <w:pStyle w:val="ListParagraph"/>
        <w:numPr>
          <w:ilvl w:val="1"/>
          <w:numId w:val="1"/>
        </w:numPr>
        <w:spacing w:before="0" w:after="120"/>
        <w:ind w:left="567" w:hanging="578"/>
        <w:jc w:val="both"/>
      </w:pPr>
      <w:r w:rsidRPr="00FE4251">
        <w:t>The submission’s meta-analyses of budesonide versus placebo had pooled results from all budesonide treatment arms (irrespective of dosing frequency)</w:t>
      </w:r>
      <w:r w:rsidR="009F527D" w:rsidRPr="00FE4251">
        <w:t>. T</w:t>
      </w:r>
      <w:r w:rsidRPr="00FE4251">
        <w:t xml:space="preserve">he pooled results showed a significant difference between budesonide and placebo in terms of remission at Week 8; RD (95% CI): 0.20 (0.08, 0.33).  </w:t>
      </w:r>
      <w:r w:rsidR="00E750D8" w:rsidRPr="00FE4251">
        <w:t>The PBAC noted that t</w:t>
      </w:r>
      <w:r w:rsidR="0030662C" w:rsidRPr="00FE4251">
        <w:t>his conclusion changed w</w:t>
      </w:r>
      <w:r w:rsidRPr="00FE4251">
        <w:t>hen these were disaggregated and instead pooled based on dosing frequency of budesonide</w:t>
      </w:r>
      <w:r w:rsidR="00F3507A" w:rsidRPr="00FE4251">
        <w:t xml:space="preserve"> </w:t>
      </w:r>
    </w:p>
    <w:p w:rsidR="00181D09" w:rsidRPr="00FE4251" w:rsidRDefault="00181D09" w:rsidP="001D7BAE">
      <w:pPr>
        <w:pStyle w:val="ListParagraph"/>
        <w:numPr>
          <w:ilvl w:val="1"/>
          <w:numId w:val="1"/>
        </w:numPr>
        <w:spacing w:before="0" w:after="120"/>
        <w:ind w:left="567" w:hanging="578"/>
        <w:jc w:val="both"/>
      </w:pPr>
      <w:r w:rsidRPr="00FE4251">
        <w:t>Using the TGA-approved dosing frequency of budesonide 9</w:t>
      </w:r>
      <w:r w:rsidR="00517A51" w:rsidRPr="00FE4251">
        <w:t xml:space="preserve"> </w:t>
      </w:r>
      <w:r w:rsidRPr="00FE4251">
        <w:t xml:space="preserve">mg/day administered once daily, the results of all placebo-controlled trials did not find any significant differences in remission rates at Week 8 between budesonide and placebo; RD (95% CI): 0.13 (0.00, 0.27).  </w:t>
      </w:r>
      <w:r w:rsidR="009F527D" w:rsidRPr="00FE4251">
        <w:t>In</w:t>
      </w:r>
      <w:r w:rsidRPr="00FE4251">
        <w:t xml:space="preserve"> trials that used twice daily dosing regimen</w:t>
      </w:r>
      <w:r w:rsidR="009F527D" w:rsidRPr="00FE4251">
        <w:t>s</w:t>
      </w:r>
      <w:r w:rsidRPr="00FE4251">
        <w:t xml:space="preserve"> of budesonide at the same total daily dose of 9</w:t>
      </w:r>
      <w:r w:rsidR="00944BEB" w:rsidRPr="00FE4251">
        <w:t xml:space="preserve"> </w:t>
      </w:r>
      <w:r w:rsidRPr="00FE4251">
        <w:t xml:space="preserve">mg (Greenberg 1994 and Tremaine 2002) there </w:t>
      </w:r>
      <w:r w:rsidR="009C490F" w:rsidRPr="00FE4251">
        <w:t xml:space="preserve">were </w:t>
      </w:r>
      <w:r w:rsidRPr="00FE4251">
        <w:t>however significantly more patients treated with budesonide twice daily dosing that achieved remission at Week 8 compared to placebo RD (95%</w:t>
      </w:r>
      <w:r w:rsidR="008E2D23" w:rsidRPr="00FE4251">
        <w:t xml:space="preserve"> </w:t>
      </w:r>
      <w:r w:rsidRPr="00FE4251">
        <w:t>CI): 0.26 (0.14, 0.38).</w:t>
      </w:r>
    </w:p>
    <w:p w:rsidR="000D453E" w:rsidRPr="00FE4251" w:rsidRDefault="000D453E" w:rsidP="00F72E02">
      <w:pPr>
        <w:pStyle w:val="ListParagraph"/>
        <w:numPr>
          <w:ilvl w:val="1"/>
          <w:numId w:val="1"/>
        </w:numPr>
        <w:spacing w:before="0" w:after="120"/>
        <w:ind w:left="567" w:hanging="578"/>
        <w:jc w:val="both"/>
      </w:pPr>
      <w:r w:rsidRPr="00FE4251">
        <w:t>The PSCR (p3) argued it is reasonable to pool results from these trials as undertaken in the submission’s meta-analysis as all have at least one budesonide arm in which a daily dose of 9 mg was administered and it was only these arms from each trial that were selected for pooling in the meta-analysis. In addition, the PSCR (p3) argued that a similar approach to that used in the submission’s meta-analysis was used in a recent Cochrane review (</w:t>
      </w:r>
      <w:proofErr w:type="spellStart"/>
      <w:r w:rsidRPr="00FE4251">
        <w:t>Rezaie</w:t>
      </w:r>
      <w:proofErr w:type="spellEnd"/>
      <w:r w:rsidRPr="00FE4251">
        <w:t xml:space="preserve"> 2015), and the conclusion was that after 8 weeks of treatment, 9 mg budesonide was significantly more effective than placebo for induction of clinical remission of CD (RR 1.93, 95% CI 1.37 to 2.73).</w:t>
      </w:r>
    </w:p>
    <w:p w:rsidR="00181D09" w:rsidRPr="00FE4251" w:rsidRDefault="00181D09" w:rsidP="00181D09">
      <w:pPr>
        <w:jc w:val="both"/>
        <w:rPr>
          <w:iCs/>
          <w:u w:val="single"/>
        </w:rPr>
      </w:pPr>
      <w:r w:rsidRPr="00FE4251">
        <w:rPr>
          <w:iCs/>
          <w:u w:val="single"/>
        </w:rPr>
        <w:t>Budesonide versus prednisolone</w:t>
      </w:r>
    </w:p>
    <w:p w:rsidR="00CF3964" w:rsidRPr="00FE4251" w:rsidRDefault="00E750D8" w:rsidP="001D7BAE">
      <w:pPr>
        <w:pStyle w:val="ListParagraph"/>
        <w:numPr>
          <w:ilvl w:val="1"/>
          <w:numId w:val="1"/>
        </w:numPr>
        <w:spacing w:before="0" w:after="120"/>
        <w:ind w:left="567" w:hanging="578"/>
        <w:jc w:val="both"/>
      </w:pPr>
      <w:r w:rsidRPr="00FE4251">
        <w:t>The PBAC noted that a</w:t>
      </w:r>
      <w:r w:rsidR="00181D09" w:rsidRPr="00FE4251">
        <w:t>fter 8 weeks of treatment, although the trials did not find any significant differences between budesonide and prednisolone treated patients in remission rates, the results favoured prednisolone, with more patients treated with prednisolone attaining remission in each trial.  The pooled meta-analysis for the once daily budesonide versus prednisolone estimated a risk difference (RD) (95%</w:t>
      </w:r>
      <w:r w:rsidR="008E2D23" w:rsidRPr="00FE4251">
        <w:t xml:space="preserve"> </w:t>
      </w:r>
      <w:r w:rsidR="00181D09" w:rsidRPr="00FE4251">
        <w:t xml:space="preserve">CI): -0.07 (-0.19, 0.05).  For the comparison of the twice daily dosing of budesonide versus prednisolone in </w:t>
      </w:r>
      <w:proofErr w:type="spellStart"/>
      <w:r w:rsidR="00181D09" w:rsidRPr="00FE4251">
        <w:t>Campieri</w:t>
      </w:r>
      <w:proofErr w:type="spellEnd"/>
      <w:r w:rsidR="00181D09" w:rsidRPr="00FE4251">
        <w:t xml:space="preserve"> 1997, the difference was also nearing statistical significance, with 42.6% and 60.3% of patients treated with budesonide and prednisolone respectively attaining remission, RD</w:t>
      </w:r>
      <w:r w:rsidR="00B379D9" w:rsidRPr="00FE4251">
        <w:t xml:space="preserve"> </w:t>
      </w:r>
      <w:r w:rsidR="00181D09" w:rsidRPr="00FE4251">
        <w:t>(95%</w:t>
      </w:r>
      <w:r w:rsidR="008E2D23" w:rsidRPr="00FE4251">
        <w:t xml:space="preserve"> </w:t>
      </w:r>
      <w:r w:rsidR="00181D09" w:rsidRPr="00FE4251">
        <w:t xml:space="preserve">CI): -0.18 (-0.35, 0.00).  The lower 95% CIs indicate that budesonide could potentially be up to 19% or 35% </w:t>
      </w:r>
      <w:r w:rsidR="00181D09" w:rsidRPr="00FE4251">
        <w:rPr>
          <w:u w:val="single"/>
        </w:rPr>
        <w:t>less effective</w:t>
      </w:r>
      <w:r w:rsidR="00181D09" w:rsidRPr="00FE4251">
        <w:t xml:space="preserve"> than prednisolone in induction of remiss</w:t>
      </w:r>
      <w:r w:rsidR="00763F2D" w:rsidRPr="00FE4251">
        <w:t>ion (depending on dosing regime</w:t>
      </w:r>
      <w:r w:rsidR="00CE6541" w:rsidRPr="00FE4251">
        <w:t>n</w:t>
      </w:r>
      <w:r w:rsidR="00763F2D" w:rsidRPr="00FE4251">
        <w:t>).</w:t>
      </w:r>
    </w:p>
    <w:p w:rsidR="001103C2" w:rsidRPr="00FE4251" w:rsidRDefault="001103C2" w:rsidP="001103C2">
      <w:pPr>
        <w:pStyle w:val="Heading2"/>
      </w:pPr>
      <w:bookmarkStart w:id="31" w:name="_Toc413139279"/>
      <w:bookmarkStart w:id="32" w:name="_Toc491952255"/>
      <w:bookmarkStart w:id="33" w:name="_Toc491952730"/>
      <w:r w:rsidRPr="00FE4251">
        <w:t>Comparative harms</w:t>
      </w:r>
      <w:bookmarkEnd w:id="31"/>
      <w:bookmarkEnd w:id="32"/>
      <w:bookmarkEnd w:id="33"/>
    </w:p>
    <w:p w:rsidR="00C96268" w:rsidRPr="00FE4251" w:rsidRDefault="00C96268" w:rsidP="00C96268">
      <w:pPr>
        <w:jc w:val="both"/>
        <w:rPr>
          <w:iCs/>
          <w:u w:val="single"/>
        </w:rPr>
      </w:pPr>
      <w:r w:rsidRPr="00FE4251">
        <w:rPr>
          <w:iCs/>
          <w:u w:val="single"/>
        </w:rPr>
        <w:t xml:space="preserve">Budesonide versus </w:t>
      </w:r>
      <w:proofErr w:type="spellStart"/>
      <w:r w:rsidRPr="00FE4251">
        <w:rPr>
          <w:iCs/>
          <w:u w:val="single"/>
        </w:rPr>
        <w:t>mesalazine</w:t>
      </w:r>
      <w:proofErr w:type="spellEnd"/>
    </w:p>
    <w:p w:rsidR="00D33E6E" w:rsidRPr="00FE4251" w:rsidRDefault="00E47C3D" w:rsidP="00F72E02">
      <w:pPr>
        <w:pStyle w:val="ListParagraph"/>
        <w:numPr>
          <w:ilvl w:val="1"/>
          <w:numId w:val="1"/>
        </w:numPr>
        <w:spacing w:before="0" w:after="120"/>
        <w:jc w:val="both"/>
        <w:rPr>
          <w:iCs/>
          <w:u w:val="single"/>
        </w:rPr>
      </w:pPr>
      <w:r w:rsidRPr="00FE4251">
        <w:t>The PBAC noted that i</w:t>
      </w:r>
      <w:r w:rsidR="00D33E6E" w:rsidRPr="00FE4251">
        <w:t xml:space="preserve">n Thomsen 1998, there were no significant differences between budesonide and </w:t>
      </w:r>
      <w:proofErr w:type="spellStart"/>
      <w:r w:rsidR="00D33E6E" w:rsidRPr="00FE4251">
        <w:t>mesalazine</w:t>
      </w:r>
      <w:proofErr w:type="spellEnd"/>
      <w:r w:rsidR="00D33E6E" w:rsidRPr="00FE4251">
        <w:t xml:space="preserve"> treated patients in</w:t>
      </w:r>
      <w:r w:rsidR="009F1944" w:rsidRPr="00FE4251">
        <w:t xml:space="preserve"> adverse events</w:t>
      </w:r>
      <w:r w:rsidR="00D33E6E" w:rsidRPr="00FE4251">
        <w:t xml:space="preserve"> </w:t>
      </w:r>
      <w:r w:rsidR="009F1944" w:rsidRPr="00FE4251">
        <w:t>(</w:t>
      </w:r>
      <w:r w:rsidR="00D33E6E" w:rsidRPr="00FE4251">
        <w:t>AEs</w:t>
      </w:r>
      <w:r w:rsidR="009F1944" w:rsidRPr="00FE4251">
        <w:t>)</w:t>
      </w:r>
      <w:r w:rsidR="00D33E6E" w:rsidRPr="00FE4251">
        <w:t>, serious AEs, and patients discontinuing due to AEs.  However</w:t>
      </w:r>
      <w:r w:rsidR="00632C8C" w:rsidRPr="00FE4251">
        <w:t>,</w:t>
      </w:r>
      <w:r w:rsidR="00D33E6E" w:rsidRPr="00FE4251">
        <w:t xml:space="preserve"> the proportions of patients with severe </w:t>
      </w:r>
      <w:r w:rsidR="00632C8C" w:rsidRPr="00FE4251">
        <w:t>AE</w:t>
      </w:r>
      <w:r w:rsidR="00D33E6E" w:rsidRPr="00FE4251">
        <w:t xml:space="preserve">s and discontinuation due to lack of efficacy and </w:t>
      </w:r>
      <w:r w:rsidR="00632C8C" w:rsidRPr="00FE4251">
        <w:t>AE</w:t>
      </w:r>
      <w:r w:rsidR="00D33E6E" w:rsidRPr="00FE4251">
        <w:t xml:space="preserve">s were significantly lower in those treated with budesonide compared to </w:t>
      </w:r>
      <w:proofErr w:type="spellStart"/>
      <w:r w:rsidR="00D33E6E" w:rsidRPr="00FE4251">
        <w:t>mesalazine</w:t>
      </w:r>
      <w:proofErr w:type="spellEnd"/>
      <w:r w:rsidR="00D33E6E" w:rsidRPr="00FE4251">
        <w:t xml:space="preserve"> (RD (95%</w:t>
      </w:r>
      <w:r w:rsidR="008E2D23" w:rsidRPr="00FE4251">
        <w:t xml:space="preserve"> </w:t>
      </w:r>
      <w:r w:rsidR="00D33E6E" w:rsidRPr="00FE4251">
        <w:t>CI): -0.12 (-0.23, -0.01) and -0.25(-0.38, -0.13), respectively).</w:t>
      </w:r>
      <w:r w:rsidR="00954728" w:rsidRPr="00FE4251">
        <w:t xml:space="preserve"> </w:t>
      </w:r>
      <w:r w:rsidR="00832D6E" w:rsidRPr="00FE4251">
        <w:t xml:space="preserve">The PBAC considered that on balance the claim of superior safety versus </w:t>
      </w:r>
      <w:proofErr w:type="spellStart"/>
      <w:r w:rsidR="00832D6E" w:rsidRPr="00FE4251">
        <w:t>mesalazine</w:t>
      </w:r>
      <w:proofErr w:type="spellEnd"/>
      <w:r w:rsidR="00832D6E" w:rsidRPr="00FE4251">
        <w:t xml:space="preserve"> was supported.</w:t>
      </w:r>
    </w:p>
    <w:p w:rsidR="00C96268" w:rsidRPr="00FE4251" w:rsidRDefault="00C96268" w:rsidP="00D33E6E">
      <w:pPr>
        <w:jc w:val="both"/>
        <w:rPr>
          <w:iCs/>
          <w:u w:val="single"/>
        </w:rPr>
      </w:pPr>
      <w:r w:rsidRPr="00FE4251">
        <w:rPr>
          <w:iCs/>
          <w:u w:val="single"/>
        </w:rPr>
        <w:t>Budesonide versus prednisolone</w:t>
      </w:r>
    </w:p>
    <w:p w:rsidR="00C96268" w:rsidRPr="00FE4251" w:rsidRDefault="00094D6F" w:rsidP="001D7BAE">
      <w:pPr>
        <w:pStyle w:val="ListParagraph"/>
        <w:numPr>
          <w:ilvl w:val="1"/>
          <w:numId w:val="1"/>
        </w:numPr>
        <w:spacing w:before="0" w:after="120"/>
        <w:ind w:left="567" w:hanging="578"/>
        <w:jc w:val="both"/>
      </w:pPr>
      <w:r w:rsidRPr="00FE4251">
        <w:t>The PBAC noted that i</w:t>
      </w:r>
      <w:r w:rsidR="009F1944" w:rsidRPr="00FE4251">
        <w:t>n t</w:t>
      </w:r>
      <w:r w:rsidR="00C96268" w:rsidRPr="00FE4251">
        <w:t>he trials of budesonide versus prednisolone (</w:t>
      </w:r>
      <w:proofErr w:type="spellStart"/>
      <w:r w:rsidR="00C96268" w:rsidRPr="00FE4251">
        <w:t>Rutgeerts</w:t>
      </w:r>
      <w:proofErr w:type="spellEnd"/>
      <w:r w:rsidR="00C96268" w:rsidRPr="00FE4251">
        <w:t xml:space="preserve"> 1994, </w:t>
      </w:r>
      <w:proofErr w:type="spellStart"/>
      <w:r w:rsidR="00C96268" w:rsidRPr="00FE4251">
        <w:t>Campieri</w:t>
      </w:r>
      <w:proofErr w:type="spellEnd"/>
      <w:r w:rsidR="00C96268" w:rsidRPr="00FE4251">
        <w:t xml:space="preserve"> 1997), a lower proportion of patients treated with budesonide experienced corticosteroid-associated AEs compared to prednisolone patients.  In </w:t>
      </w:r>
      <w:proofErr w:type="spellStart"/>
      <w:r w:rsidR="00C96268" w:rsidRPr="00FE4251">
        <w:t>Rutgeert</w:t>
      </w:r>
      <w:proofErr w:type="spellEnd"/>
      <w:r w:rsidR="00C96268" w:rsidRPr="00FE4251">
        <w:t xml:space="preserve"> 1994, patients treated with budesonide experienced significantly fewer total corticoid related AEs, including significant differences in the incidence of moon face, acne</w:t>
      </w:r>
      <w:r w:rsidR="00D33E6E" w:rsidRPr="00FE4251">
        <w:t xml:space="preserve"> and swollen ankles</w:t>
      </w:r>
      <w:r w:rsidR="00C96268" w:rsidRPr="00FE4251">
        <w:t xml:space="preserve">.  For </w:t>
      </w:r>
      <w:proofErr w:type="spellStart"/>
      <w:r w:rsidR="00C96268" w:rsidRPr="00FE4251">
        <w:t>Campieri</w:t>
      </w:r>
      <w:proofErr w:type="spellEnd"/>
      <w:r w:rsidR="00C96268" w:rsidRPr="00FE4251">
        <w:t xml:space="preserve"> 1997, although the rate of corticosteroid related AEs were lower in budesonide treated patients, the difference was not statistically significant, except for the incidence of moon face.  </w:t>
      </w:r>
      <w:r w:rsidR="009E4453" w:rsidRPr="00FE4251">
        <w:t xml:space="preserve">The PBAC considered that the reductions in AEs demonstrated may be particularly advantageous in certain patient groups such as those with diabetes or low bone density. </w:t>
      </w:r>
    </w:p>
    <w:p w:rsidR="00C96268" w:rsidRPr="00FE4251" w:rsidRDefault="00C96268" w:rsidP="001D7BAE">
      <w:pPr>
        <w:pStyle w:val="ListParagraph"/>
        <w:numPr>
          <w:ilvl w:val="1"/>
          <w:numId w:val="1"/>
        </w:numPr>
        <w:spacing w:before="0" w:after="120"/>
        <w:ind w:left="567" w:hanging="578"/>
        <w:jc w:val="both"/>
      </w:pPr>
      <w:r w:rsidRPr="00FE4251">
        <w:t xml:space="preserve">Plasma cortisol response as a physiological measure of systemic glucocorticoid effect beyond the </w:t>
      </w:r>
      <w:r w:rsidR="00DD1F66" w:rsidRPr="00FE4251">
        <w:t>GIT</w:t>
      </w:r>
      <w:r w:rsidRPr="00FE4251">
        <w:t xml:space="preserve"> w</w:t>
      </w:r>
      <w:r w:rsidR="00667A17" w:rsidRPr="00FE4251">
        <w:t>as</w:t>
      </w:r>
      <w:r w:rsidRPr="00FE4251">
        <w:t xml:space="preserve"> also studied in both </w:t>
      </w:r>
      <w:proofErr w:type="spellStart"/>
      <w:r w:rsidRPr="00FE4251">
        <w:t>Rutgeerts</w:t>
      </w:r>
      <w:proofErr w:type="spellEnd"/>
      <w:r w:rsidRPr="00FE4251">
        <w:t xml:space="preserve"> 1994 and </w:t>
      </w:r>
      <w:proofErr w:type="spellStart"/>
      <w:r w:rsidRPr="00FE4251">
        <w:t>C</w:t>
      </w:r>
      <w:r w:rsidR="00A7131B" w:rsidRPr="00FE4251">
        <w:t>a</w:t>
      </w:r>
      <w:r w:rsidRPr="00FE4251">
        <w:t>mpieri</w:t>
      </w:r>
      <w:proofErr w:type="spellEnd"/>
      <w:r w:rsidRPr="00FE4251">
        <w:t xml:space="preserve"> 1997.  The results suggest that adrenal suppression w</w:t>
      </w:r>
      <w:r w:rsidR="00420871" w:rsidRPr="00FE4251">
        <w:t>as</w:t>
      </w:r>
      <w:r w:rsidRPr="00FE4251">
        <w:t xml:space="preserve"> greater during treatment with prednisolone than budesonide.</w:t>
      </w:r>
    </w:p>
    <w:p w:rsidR="00C96268" w:rsidRPr="00FE4251" w:rsidRDefault="00C96268" w:rsidP="001D7BAE">
      <w:pPr>
        <w:pStyle w:val="ListParagraph"/>
        <w:numPr>
          <w:ilvl w:val="1"/>
          <w:numId w:val="1"/>
        </w:numPr>
        <w:spacing w:before="0" w:after="120"/>
        <w:ind w:left="567" w:hanging="578"/>
        <w:jc w:val="both"/>
      </w:pPr>
      <w:r w:rsidRPr="00FE4251">
        <w:t xml:space="preserve">The effect of treatment on blood glucose control was also reported in </w:t>
      </w:r>
      <w:proofErr w:type="spellStart"/>
      <w:r w:rsidRPr="00FE4251">
        <w:t>Ru</w:t>
      </w:r>
      <w:r w:rsidR="00763F2D" w:rsidRPr="00FE4251">
        <w:t>t</w:t>
      </w:r>
      <w:r w:rsidRPr="00FE4251">
        <w:t>geerts</w:t>
      </w:r>
      <w:proofErr w:type="spellEnd"/>
      <w:r w:rsidRPr="00FE4251">
        <w:t xml:space="preserve"> 1994.  The study found a greater effect of prednisolone on blood glucose levels compared to budesonide</w:t>
      </w:r>
      <w:r w:rsidR="009F527D" w:rsidRPr="00FE4251">
        <w:t>:</w:t>
      </w:r>
      <w:r w:rsidRPr="00FE4251">
        <w:t xml:space="preserve"> during the 10 week treatment period, mean fasting blood glucose concentration was increased significantly from 4.6 to 5.4 </w:t>
      </w:r>
      <w:proofErr w:type="spellStart"/>
      <w:r w:rsidRPr="00FE4251">
        <w:t>mmol</w:t>
      </w:r>
      <w:proofErr w:type="spellEnd"/>
      <w:r w:rsidRPr="00FE4251">
        <w:t xml:space="preserve"> per litre in the prednisolone group versus 4.5 to 4.6 </w:t>
      </w:r>
      <w:proofErr w:type="spellStart"/>
      <w:r w:rsidRPr="00FE4251">
        <w:t>mmol</w:t>
      </w:r>
      <w:proofErr w:type="spellEnd"/>
      <w:r w:rsidRPr="00FE4251">
        <w:t xml:space="preserve"> </w:t>
      </w:r>
      <w:r w:rsidR="00FD2F5F" w:rsidRPr="00FE4251">
        <w:t xml:space="preserve">per litre </w:t>
      </w:r>
      <w:r w:rsidRPr="00FE4251">
        <w:t>in the budesonide group (p&lt;0.001).</w:t>
      </w:r>
    </w:p>
    <w:p w:rsidR="001103C2" w:rsidRPr="00FE4251" w:rsidRDefault="001103C2" w:rsidP="001103C2">
      <w:pPr>
        <w:pStyle w:val="Heading2"/>
      </w:pPr>
      <w:bookmarkStart w:id="34" w:name="_Toc491952256"/>
      <w:bookmarkStart w:id="35" w:name="_Toc491952731"/>
      <w:bookmarkStart w:id="36" w:name="_Toc413139281"/>
      <w:r w:rsidRPr="00FE4251">
        <w:t>Benefits and harms</w:t>
      </w:r>
      <w:bookmarkEnd w:id="34"/>
      <w:bookmarkEnd w:id="35"/>
    </w:p>
    <w:p w:rsidR="001103C2" w:rsidRPr="00FE4251" w:rsidRDefault="002B03F1" w:rsidP="001D7BAE">
      <w:pPr>
        <w:pStyle w:val="ListParagraph"/>
        <w:numPr>
          <w:ilvl w:val="1"/>
          <w:numId w:val="1"/>
        </w:numPr>
        <w:spacing w:before="0" w:after="120"/>
        <w:ind w:left="709" w:hanging="709"/>
        <w:jc w:val="both"/>
      </w:pPr>
      <w:r w:rsidRPr="00FE4251">
        <w:t xml:space="preserve">The PBAC considered that prednisolone (or a similar oral corticosteroid) is a more appropriate comparator for budesonide than </w:t>
      </w:r>
      <w:proofErr w:type="spellStart"/>
      <w:r w:rsidRPr="00FE4251">
        <w:t>mesalazine</w:t>
      </w:r>
      <w:proofErr w:type="spellEnd"/>
      <w:r w:rsidRPr="00FE4251">
        <w:t xml:space="preserve">. </w:t>
      </w:r>
      <w:r w:rsidR="001103C2" w:rsidRPr="00FE4251">
        <w:t xml:space="preserve">A summary of the comparative benefits and harms for budesonide versus prednisolone is presented in the table below. </w:t>
      </w:r>
    </w:p>
    <w:p w:rsidR="009C77A7" w:rsidRDefault="009C77A7">
      <w:pPr>
        <w:spacing w:before="0" w:line="259" w:lineRule="auto"/>
        <w:rPr>
          <w:rFonts w:ascii="Arial Narrow" w:hAnsi="Arial Narrow"/>
          <w:b/>
          <w:sz w:val="20"/>
        </w:rPr>
      </w:pPr>
      <w:r>
        <w:br w:type="page"/>
      </w:r>
    </w:p>
    <w:p w:rsidR="001103C2" w:rsidRPr="00FE4251" w:rsidRDefault="001103C2" w:rsidP="001103C2">
      <w:pPr>
        <w:pStyle w:val="TableHeading0"/>
      </w:pPr>
      <w:r w:rsidRPr="00FE4251">
        <w:t xml:space="preserve">Table </w:t>
      </w:r>
      <w:r w:rsidR="00C96268" w:rsidRPr="00FE4251">
        <w:t>5</w:t>
      </w:r>
      <w:r w:rsidRPr="00FE4251">
        <w:t xml:space="preserve">: Summary of comparative benefits and harms for </w:t>
      </w:r>
      <w:r w:rsidR="004C7B75" w:rsidRPr="00FE4251">
        <w:t>budesonide</w:t>
      </w:r>
      <w:r w:rsidRPr="00FE4251">
        <w:t xml:space="preserve"> and comparator</w:t>
      </w:r>
    </w:p>
    <w:tbl>
      <w:tblPr>
        <w:tblStyle w:val="TableGrid"/>
        <w:tblW w:w="492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5: Summary of comparative benefits and harms for budesonide and comparator"/>
      </w:tblPr>
      <w:tblGrid>
        <w:gridCol w:w="1396"/>
        <w:gridCol w:w="1112"/>
        <w:gridCol w:w="1033"/>
        <w:gridCol w:w="1518"/>
        <w:gridCol w:w="1194"/>
        <w:gridCol w:w="1122"/>
        <w:gridCol w:w="59"/>
        <w:gridCol w:w="1503"/>
      </w:tblGrid>
      <w:tr w:rsidR="001103C2" w:rsidRPr="00FE4251" w:rsidTr="00AE7369">
        <w:trPr>
          <w:cnfStyle w:val="100000000000" w:firstRow="1" w:lastRow="0" w:firstColumn="0" w:lastColumn="0" w:oddVBand="0" w:evenVBand="0" w:oddHBand="0" w:evenHBand="0" w:firstRowFirstColumn="0" w:firstRowLastColumn="0" w:lastRowFirstColumn="0" w:lastRowLastColumn="0"/>
          <w:trHeight w:val="419"/>
          <w:tblHeader/>
        </w:trPr>
        <w:tc>
          <w:tcPr>
            <w:tcW w:w="5000" w:type="pct"/>
            <w:gridSpan w:val="8"/>
            <w:shd w:val="clear" w:color="auto" w:fill="auto"/>
            <w:vAlign w:val="center"/>
          </w:tcPr>
          <w:p w:rsidR="001103C2" w:rsidRPr="00FE4251" w:rsidRDefault="001103C2" w:rsidP="00BD1FF4">
            <w:pPr>
              <w:pStyle w:val="TableText"/>
              <w:spacing w:before="0" w:after="0"/>
              <w:rPr>
                <w:u w:val="single"/>
                <w:lang w:val="en-AU"/>
              </w:rPr>
            </w:pPr>
            <w:r w:rsidRPr="00FE4251">
              <w:rPr>
                <w:u w:val="single"/>
                <w:lang w:val="en-AU"/>
              </w:rPr>
              <w:t>Benefits</w:t>
            </w:r>
            <w:r w:rsidR="00C96268" w:rsidRPr="00FE4251">
              <w:rPr>
                <w:b w:val="0"/>
                <w:lang w:val="en-AU"/>
              </w:rPr>
              <w:t xml:space="preserve">: </w:t>
            </w:r>
            <w:r w:rsidR="00C96268" w:rsidRPr="00FE4251">
              <w:rPr>
                <w:lang w:val="en-AU"/>
              </w:rPr>
              <w:t>Remission at Week 8</w:t>
            </w:r>
          </w:p>
        </w:tc>
      </w:tr>
      <w:tr w:rsidR="00CC70C7" w:rsidRPr="00FE4251" w:rsidTr="003A0D7D">
        <w:trPr>
          <w:trHeight w:val="150"/>
        </w:trPr>
        <w:tc>
          <w:tcPr>
            <w:tcW w:w="781" w:type="pct"/>
            <w:vMerge w:val="restart"/>
            <w:shd w:val="clear" w:color="auto" w:fill="auto"/>
            <w:vAlign w:val="center"/>
          </w:tcPr>
          <w:p w:rsidR="001103C2" w:rsidRPr="00FE4251" w:rsidRDefault="001103C2" w:rsidP="00BD1FF4">
            <w:pPr>
              <w:pStyle w:val="TableText"/>
              <w:spacing w:before="0" w:after="0"/>
              <w:rPr>
                <w:b/>
                <w:lang w:val="en-AU"/>
              </w:rPr>
            </w:pPr>
            <w:r w:rsidRPr="00FE4251">
              <w:rPr>
                <w:b/>
                <w:lang w:val="en-AU"/>
              </w:rPr>
              <w:t>Trial</w:t>
            </w:r>
            <w:r w:rsidR="00CC70C7" w:rsidRPr="00FE4251">
              <w:rPr>
                <w:b/>
                <w:lang w:val="en-AU"/>
              </w:rPr>
              <w:t>s</w:t>
            </w:r>
          </w:p>
        </w:tc>
        <w:tc>
          <w:tcPr>
            <w:tcW w:w="622" w:type="pct"/>
            <w:vMerge w:val="restart"/>
            <w:shd w:val="clear" w:color="auto" w:fill="auto"/>
            <w:vAlign w:val="center"/>
          </w:tcPr>
          <w:p w:rsidR="001103C2" w:rsidRPr="00FE4251" w:rsidRDefault="001103C2" w:rsidP="00BD1FF4">
            <w:pPr>
              <w:pStyle w:val="TableText"/>
              <w:spacing w:before="0" w:after="0"/>
              <w:jc w:val="center"/>
              <w:rPr>
                <w:b/>
                <w:lang w:val="en-AU"/>
              </w:rPr>
            </w:pPr>
            <w:r w:rsidRPr="00FE4251">
              <w:rPr>
                <w:b/>
                <w:lang w:val="en-AU"/>
              </w:rPr>
              <w:t>Budesonide</w:t>
            </w:r>
          </w:p>
        </w:tc>
        <w:tc>
          <w:tcPr>
            <w:tcW w:w="578" w:type="pct"/>
            <w:vMerge w:val="restart"/>
            <w:shd w:val="clear" w:color="auto" w:fill="auto"/>
            <w:vAlign w:val="center"/>
          </w:tcPr>
          <w:p w:rsidR="001103C2" w:rsidRPr="00FE4251" w:rsidRDefault="001103C2" w:rsidP="00BD1FF4">
            <w:pPr>
              <w:pStyle w:val="TableText"/>
              <w:spacing w:before="0" w:after="0"/>
              <w:jc w:val="center"/>
              <w:rPr>
                <w:b/>
                <w:lang w:val="en-AU"/>
              </w:rPr>
            </w:pPr>
            <w:r w:rsidRPr="00FE4251">
              <w:rPr>
                <w:b/>
                <w:lang w:val="en-AU"/>
              </w:rPr>
              <w:t>Comparator</w:t>
            </w:r>
          </w:p>
        </w:tc>
        <w:tc>
          <w:tcPr>
            <w:tcW w:w="849" w:type="pct"/>
            <w:vMerge w:val="restart"/>
            <w:shd w:val="clear" w:color="auto" w:fill="auto"/>
            <w:vAlign w:val="center"/>
          </w:tcPr>
          <w:p w:rsidR="001103C2" w:rsidRPr="00FE4251" w:rsidRDefault="001103C2" w:rsidP="00BD1FF4">
            <w:pPr>
              <w:pStyle w:val="TableText"/>
              <w:spacing w:before="0" w:after="0"/>
              <w:jc w:val="center"/>
              <w:rPr>
                <w:b/>
                <w:lang w:val="en-AU"/>
              </w:rPr>
            </w:pPr>
            <w:r w:rsidRPr="00FE4251">
              <w:rPr>
                <w:b/>
                <w:lang w:val="en-AU"/>
              </w:rPr>
              <w:t>RR(95% CI)</w:t>
            </w:r>
          </w:p>
        </w:tc>
        <w:tc>
          <w:tcPr>
            <w:tcW w:w="1296" w:type="pct"/>
            <w:gridSpan w:val="2"/>
            <w:shd w:val="clear" w:color="auto" w:fill="auto"/>
            <w:vAlign w:val="center"/>
          </w:tcPr>
          <w:p w:rsidR="001103C2" w:rsidRPr="00FE4251" w:rsidRDefault="001103C2" w:rsidP="00BD1FF4">
            <w:pPr>
              <w:pStyle w:val="TableText"/>
              <w:spacing w:before="0" w:after="0"/>
              <w:jc w:val="center"/>
              <w:rPr>
                <w:b/>
                <w:lang w:val="en-AU"/>
              </w:rPr>
            </w:pPr>
            <w:r w:rsidRPr="00FE4251">
              <w:rPr>
                <w:b/>
                <w:lang w:val="en-AU"/>
              </w:rPr>
              <w:t>Events/100 patients*</w:t>
            </w:r>
          </w:p>
        </w:tc>
        <w:tc>
          <w:tcPr>
            <w:tcW w:w="874" w:type="pct"/>
            <w:gridSpan w:val="2"/>
            <w:vMerge w:val="restart"/>
            <w:shd w:val="clear" w:color="auto" w:fill="auto"/>
            <w:vAlign w:val="center"/>
          </w:tcPr>
          <w:p w:rsidR="001103C2" w:rsidRPr="00FE4251" w:rsidRDefault="001103C2" w:rsidP="00BD1FF4">
            <w:pPr>
              <w:pStyle w:val="TableText"/>
              <w:spacing w:before="0" w:after="0"/>
              <w:jc w:val="center"/>
              <w:rPr>
                <w:b/>
                <w:lang w:val="en-AU"/>
              </w:rPr>
            </w:pPr>
            <w:r w:rsidRPr="00FE4251">
              <w:rPr>
                <w:b/>
                <w:lang w:val="en-AU"/>
              </w:rPr>
              <w:t>RD(95% CI)</w:t>
            </w:r>
          </w:p>
        </w:tc>
      </w:tr>
      <w:tr w:rsidR="00C6439C" w:rsidRPr="00FE4251" w:rsidTr="003A0D7D">
        <w:trPr>
          <w:trHeight w:val="315"/>
        </w:trPr>
        <w:tc>
          <w:tcPr>
            <w:tcW w:w="781" w:type="pct"/>
            <w:vMerge/>
            <w:shd w:val="clear" w:color="auto" w:fill="auto"/>
            <w:vAlign w:val="center"/>
          </w:tcPr>
          <w:p w:rsidR="001103C2" w:rsidRPr="00FE4251" w:rsidRDefault="001103C2" w:rsidP="00BD1FF4">
            <w:pPr>
              <w:pStyle w:val="TableText"/>
              <w:spacing w:before="0" w:after="0"/>
              <w:rPr>
                <w:lang w:val="en-AU"/>
              </w:rPr>
            </w:pPr>
          </w:p>
        </w:tc>
        <w:tc>
          <w:tcPr>
            <w:tcW w:w="622" w:type="pct"/>
            <w:vMerge/>
            <w:shd w:val="clear" w:color="auto" w:fill="auto"/>
            <w:vAlign w:val="center"/>
          </w:tcPr>
          <w:p w:rsidR="001103C2" w:rsidRPr="00FE4251" w:rsidRDefault="001103C2" w:rsidP="00BD1FF4">
            <w:pPr>
              <w:pStyle w:val="TableText"/>
              <w:spacing w:before="0" w:after="0"/>
              <w:jc w:val="center"/>
              <w:rPr>
                <w:lang w:val="en-AU"/>
              </w:rPr>
            </w:pPr>
          </w:p>
        </w:tc>
        <w:tc>
          <w:tcPr>
            <w:tcW w:w="578" w:type="pct"/>
            <w:vMerge/>
            <w:shd w:val="clear" w:color="auto" w:fill="auto"/>
            <w:vAlign w:val="center"/>
          </w:tcPr>
          <w:p w:rsidR="001103C2" w:rsidRPr="00FE4251" w:rsidRDefault="001103C2" w:rsidP="00BD1FF4">
            <w:pPr>
              <w:pStyle w:val="TableText"/>
              <w:spacing w:before="0" w:after="0"/>
              <w:jc w:val="center"/>
              <w:rPr>
                <w:lang w:val="en-AU"/>
              </w:rPr>
            </w:pPr>
          </w:p>
        </w:tc>
        <w:tc>
          <w:tcPr>
            <w:tcW w:w="849" w:type="pct"/>
            <w:vMerge/>
            <w:shd w:val="clear" w:color="auto" w:fill="auto"/>
            <w:vAlign w:val="center"/>
          </w:tcPr>
          <w:p w:rsidR="001103C2" w:rsidRPr="00FE4251" w:rsidRDefault="001103C2" w:rsidP="00BD1FF4">
            <w:pPr>
              <w:pStyle w:val="TableText"/>
              <w:spacing w:before="0" w:after="0"/>
              <w:jc w:val="center"/>
              <w:rPr>
                <w:lang w:val="en-AU"/>
              </w:rPr>
            </w:pPr>
          </w:p>
        </w:tc>
        <w:tc>
          <w:tcPr>
            <w:tcW w:w="668" w:type="pct"/>
            <w:shd w:val="clear" w:color="auto" w:fill="auto"/>
            <w:vAlign w:val="center"/>
          </w:tcPr>
          <w:p w:rsidR="001103C2" w:rsidRPr="00FE4251" w:rsidRDefault="00CC70C7" w:rsidP="00BD1FF4">
            <w:pPr>
              <w:pStyle w:val="TableText"/>
              <w:spacing w:before="0" w:after="0"/>
              <w:jc w:val="center"/>
              <w:rPr>
                <w:b/>
                <w:lang w:val="en-AU"/>
              </w:rPr>
            </w:pPr>
            <w:r w:rsidRPr="00FE4251">
              <w:rPr>
                <w:b/>
                <w:lang w:val="en-AU"/>
              </w:rPr>
              <w:t>Budesonide</w:t>
            </w:r>
          </w:p>
        </w:tc>
        <w:tc>
          <w:tcPr>
            <w:tcW w:w="628" w:type="pct"/>
            <w:shd w:val="clear" w:color="auto" w:fill="auto"/>
            <w:vAlign w:val="center"/>
          </w:tcPr>
          <w:p w:rsidR="001103C2" w:rsidRPr="00FE4251" w:rsidRDefault="001103C2" w:rsidP="00BD1FF4">
            <w:pPr>
              <w:pStyle w:val="TableText"/>
              <w:spacing w:before="0" w:after="0"/>
              <w:jc w:val="center"/>
              <w:rPr>
                <w:b/>
                <w:lang w:val="en-AU"/>
              </w:rPr>
            </w:pPr>
            <w:r w:rsidRPr="00FE4251">
              <w:rPr>
                <w:b/>
                <w:lang w:val="en-AU"/>
              </w:rPr>
              <w:t>Comparator</w:t>
            </w:r>
          </w:p>
        </w:tc>
        <w:tc>
          <w:tcPr>
            <w:tcW w:w="874" w:type="pct"/>
            <w:gridSpan w:val="2"/>
            <w:vMerge/>
            <w:shd w:val="clear" w:color="auto" w:fill="auto"/>
            <w:vAlign w:val="center"/>
          </w:tcPr>
          <w:p w:rsidR="001103C2" w:rsidRPr="00FE4251" w:rsidRDefault="001103C2" w:rsidP="00BD1FF4">
            <w:pPr>
              <w:pStyle w:val="TableText"/>
              <w:spacing w:before="0" w:after="0"/>
              <w:jc w:val="center"/>
              <w:rPr>
                <w:lang w:val="en-AU"/>
              </w:rPr>
            </w:pPr>
          </w:p>
        </w:tc>
      </w:tr>
      <w:tr w:rsidR="00C6439C" w:rsidRPr="00FE4251" w:rsidTr="00C6439C">
        <w:tc>
          <w:tcPr>
            <w:tcW w:w="5000" w:type="pct"/>
            <w:gridSpan w:val="8"/>
            <w:shd w:val="clear" w:color="auto" w:fill="auto"/>
            <w:vAlign w:val="center"/>
          </w:tcPr>
          <w:p w:rsidR="001103C2" w:rsidRPr="00FE4251" w:rsidRDefault="004C7B75" w:rsidP="00BD1FF4">
            <w:pPr>
              <w:pStyle w:val="TableText"/>
              <w:spacing w:before="0" w:after="0"/>
              <w:rPr>
                <w:b/>
                <w:smallCaps/>
                <w:lang w:val="en-AU"/>
              </w:rPr>
            </w:pPr>
            <w:r w:rsidRPr="00FE4251">
              <w:rPr>
                <w:b/>
                <w:smallCaps/>
                <w:lang w:val="en-AU"/>
              </w:rPr>
              <w:t>Budesonide</w:t>
            </w:r>
            <w:r w:rsidR="001103C2" w:rsidRPr="00FE4251">
              <w:rPr>
                <w:b/>
                <w:smallCaps/>
                <w:lang w:val="en-AU"/>
              </w:rPr>
              <w:t xml:space="preserve"> versus prednisolone</w:t>
            </w:r>
          </w:p>
        </w:tc>
      </w:tr>
      <w:tr w:rsidR="00C6439C" w:rsidRPr="00FE4251" w:rsidTr="003A0D7D">
        <w:tc>
          <w:tcPr>
            <w:tcW w:w="781" w:type="pct"/>
            <w:shd w:val="clear" w:color="auto" w:fill="auto"/>
            <w:vAlign w:val="center"/>
          </w:tcPr>
          <w:p w:rsidR="001103C2" w:rsidRPr="00FE4251" w:rsidRDefault="001103C2" w:rsidP="00BD1FF4">
            <w:pPr>
              <w:pStyle w:val="TableText"/>
              <w:spacing w:before="0" w:after="0"/>
              <w:ind w:left="81"/>
              <w:rPr>
                <w:lang w:val="en-AU"/>
              </w:rPr>
            </w:pPr>
            <w:proofErr w:type="spellStart"/>
            <w:r w:rsidRPr="00FE4251">
              <w:rPr>
                <w:lang w:val="en-AU"/>
              </w:rPr>
              <w:t>Rutgeerts</w:t>
            </w:r>
            <w:proofErr w:type="spellEnd"/>
            <w:r w:rsidRPr="00FE4251">
              <w:rPr>
                <w:lang w:val="en-AU"/>
              </w:rPr>
              <w:t xml:space="preserve"> 1994</w:t>
            </w:r>
          </w:p>
        </w:tc>
        <w:tc>
          <w:tcPr>
            <w:tcW w:w="622" w:type="pct"/>
            <w:shd w:val="clear" w:color="auto" w:fill="auto"/>
            <w:vAlign w:val="center"/>
          </w:tcPr>
          <w:p w:rsidR="001103C2" w:rsidRPr="00FE4251" w:rsidRDefault="001103C2" w:rsidP="00CF15A1">
            <w:pPr>
              <w:pStyle w:val="TableText"/>
              <w:spacing w:before="0" w:after="0"/>
              <w:jc w:val="center"/>
              <w:rPr>
                <w:lang w:val="en-AU"/>
              </w:rPr>
            </w:pPr>
            <w:r w:rsidRPr="00FE4251">
              <w:rPr>
                <w:lang w:val="en-AU"/>
              </w:rPr>
              <w:t>46/88</w:t>
            </w:r>
          </w:p>
        </w:tc>
        <w:tc>
          <w:tcPr>
            <w:tcW w:w="578" w:type="pct"/>
            <w:shd w:val="clear" w:color="auto" w:fill="auto"/>
            <w:vAlign w:val="center"/>
          </w:tcPr>
          <w:p w:rsidR="001103C2" w:rsidRPr="00FE4251" w:rsidRDefault="001103C2" w:rsidP="00CF15A1">
            <w:pPr>
              <w:pStyle w:val="TableText"/>
              <w:spacing w:before="0" w:after="0"/>
              <w:jc w:val="center"/>
              <w:rPr>
                <w:lang w:val="en-AU"/>
              </w:rPr>
            </w:pPr>
            <w:r w:rsidRPr="00FE4251">
              <w:rPr>
                <w:lang w:val="en-AU"/>
              </w:rPr>
              <w:t>57/88</w:t>
            </w:r>
          </w:p>
        </w:tc>
        <w:tc>
          <w:tcPr>
            <w:tcW w:w="849" w:type="pct"/>
            <w:shd w:val="clear" w:color="auto" w:fill="auto"/>
            <w:vAlign w:val="center"/>
          </w:tcPr>
          <w:p w:rsidR="001103C2" w:rsidRPr="00FE4251" w:rsidRDefault="00CC049C" w:rsidP="00CC049C">
            <w:pPr>
              <w:pStyle w:val="TableText"/>
              <w:spacing w:before="0" w:after="0"/>
              <w:jc w:val="center"/>
              <w:rPr>
                <w:lang w:val="en-AU"/>
              </w:rPr>
            </w:pPr>
            <w:r w:rsidRPr="00FE4251">
              <w:rPr>
                <w:lang w:val="en-AU"/>
              </w:rPr>
              <w:t>0.81</w:t>
            </w:r>
            <w:r w:rsidR="00420871" w:rsidRPr="00FE4251">
              <w:rPr>
                <w:lang w:val="en-AU"/>
              </w:rPr>
              <w:t xml:space="preserve"> </w:t>
            </w:r>
            <w:r w:rsidR="001103C2" w:rsidRPr="00FE4251">
              <w:rPr>
                <w:lang w:val="en-AU"/>
              </w:rPr>
              <w:t>(0.63, 1.04)</w:t>
            </w:r>
          </w:p>
        </w:tc>
        <w:tc>
          <w:tcPr>
            <w:tcW w:w="668" w:type="pct"/>
            <w:shd w:val="clear" w:color="auto" w:fill="auto"/>
            <w:vAlign w:val="center"/>
          </w:tcPr>
          <w:p w:rsidR="001103C2" w:rsidRPr="00FE4251" w:rsidRDefault="001103C2" w:rsidP="00BD1FF4">
            <w:pPr>
              <w:pStyle w:val="TableText"/>
              <w:spacing w:before="0" w:after="0"/>
              <w:jc w:val="center"/>
              <w:rPr>
                <w:lang w:val="en-AU"/>
              </w:rPr>
            </w:pPr>
            <w:r w:rsidRPr="00FE4251">
              <w:rPr>
                <w:lang w:val="en-AU"/>
              </w:rPr>
              <w:t>52.3</w:t>
            </w:r>
          </w:p>
        </w:tc>
        <w:tc>
          <w:tcPr>
            <w:tcW w:w="628" w:type="pct"/>
            <w:shd w:val="clear" w:color="auto" w:fill="auto"/>
            <w:vAlign w:val="center"/>
          </w:tcPr>
          <w:p w:rsidR="001103C2" w:rsidRPr="00FE4251" w:rsidRDefault="001103C2" w:rsidP="00BD1FF4">
            <w:pPr>
              <w:pStyle w:val="TableText"/>
              <w:spacing w:before="0" w:after="0"/>
              <w:jc w:val="center"/>
              <w:rPr>
                <w:lang w:val="en-AU"/>
              </w:rPr>
            </w:pPr>
            <w:r w:rsidRPr="00FE4251">
              <w:rPr>
                <w:lang w:val="en-AU"/>
              </w:rPr>
              <w:t>64.8</w:t>
            </w:r>
          </w:p>
        </w:tc>
        <w:tc>
          <w:tcPr>
            <w:tcW w:w="874" w:type="pct"/>
            <w:gridSpan w:val="2"/>
            <w:shd w:val="clear" w:color="auto" w:fill="auto"/>
            <w:vAlign w:val="center"/>
          </w:tcPr>
          <w:p w:rsidR="001103C2" w:rsidRPr="00FE4251" w:rsidRDefault="001103C2" w:rsidP="00BD1FF4">
            <w:pPr>
              <w:pStyle w:val="TableText"/>
              <w:spacing w:before="0" w:after="0"/>
              <w:jc w:val="center"/>
              <w:rPr>
                <w:lang w:val="en-AU"/>
              </w:rPr>
            </w:pPr>
            <w:r w:rsidRPr="00FE4251">
              <w:rPr>
                <w:lang w:val="en-AU"/>
              </w:rPr>
              <w:t>-0.13</w:t>
            </w:r>
            <w:r w:rsidR="00420871" w:rsidRPr="00FE4251">
              <w:rPr>
                <w:lang w:val="en-AU"/>
              </w:rPr>
              <w:t xml:space="preserve"> </w:t>
            </w:r>
            <w:r w:rsidRPr="00FE4251">
              <w:rPr>
                <w:lang w:val="en-AU"/>
              </w:rPr>
              <w:t>(-0.27, 0.02)</w:t>
            </w:r>
          </w:p>
        </w:tc>
      </w:tr>
      <w:tr w:rsidR="00AE366F" w:rsidRPr="00FE4251" w:rsidTr="003A0D7D">
        <w:tc>
          <w:tcPr>
            <w:tcW w:w="781" w:type="pct"/>
            <w:shd w:val="clear" w:color="auto" w:fill="auto"/>
            <w:vAlign w:val="center"/>
          </w:tcPr>
          <w:p w:rsidR="001103C2" w:rsidRPr="00FE4251" w:rsidRDefault="001103C2" w:rsidP="00BD1FF4">
            <w:pPr>
              <w:pStyle w:val="TableText"/>
              <w:spacing w:before="0" w:after="0"/>
              <w:ind w:left="81"/>
              <w:rPr>
                <w:lang w:val="en-AU"/>
              </w:rPr>
            </w:pPr>
            <w:proofErr w:type="spellStart"/>
            <w:r w:rsidRPr="00FE4251">
              <w:rPr>
                <w:lang w:val="en-AU"/>
              </w:rPr>
              <w:t>Campieri</w:t>
            </w:r>
            <w:proofErr w:type="spellEnd"/>
            <w:r w:rsidRPr="00FE4251">
              <w:rPr>
                <w:lang w:val="en-AU"/>
              </w:rPr>
              <w:t xml:space="preserve"> 1997</w:t>
            </w:r>
          </w:p>
        </w:tc>
        <w:tc>
          <w:tcPr>
            <w:tcW w:w="622" w:type="pct"/>
            <w:shd w:val="clear" w:color="auto" w:fill="auto"/>
            <w:vAlign w:val="center"/>
          </w:tcPr>
          <w:p w:rsidR="001103C2" w:rsidRPr="00FE4251" w:rsidRDefault="001103C2" w:rsidP="00CF15A1">
            <w:pPr>
              <w:pStyle w:val="TableText"/>
              <w:spacing w:before="0" w:after="0"/>
              <w:jc w:val="center"/>
              <w:rPr>
                <w:lang w:val="en-AU"/>
              </w:rPr>
            </w:pPr>
            <w:r w:rsidRPr="00FE4251">
              <w:rPr>
                <w:lang w:val="en-AU"/>
              </w:rPr>
              <w:t>35/88</w:t>
            </w:r>
          </w:p>
        </w:tc>
        <w:tc>
          <w:tcPr>
            <w:tcW w:w="578" w:type="pct"/>
            <w:shd w:val="clear" w:color="auto" w:fill="auto"/>
            <w:vAlign w:val="center"/>
          </w:tcPr>
          <w:p w:rsidR="001103C2" w:rsidRPr="00FE4251" w:rsidRDefault="001103C2" w:rsidP="00CF15A1">
            <w:pPr>
              <w:pStyle w:val="TableText"/>
              <w:spacing w:before="0" w:after="0"/>
              <w:jc w:val="center"/>
              <w:rPr>
                <w:lang w:val="en-AU"/>
              </w:rPr>
            </w:pPr>
            <w:r w:rsidRPr="00FE4251">
              <w:rPr>
                <w:lang w:val="en-AU"/>
              </w:rPr>
              <w:t>35/88</w:t>
            </w:r>
          </w:p>
        </w:tc>
        <w:tc>
          <w:tcPr>
            <w:tcW w:w="849" w:type="pct"/>
            <w:shd w:val="clear" w:color="auto" w:fill="auto"/>
            <w:vAlign w:val="center"/>
          </w:tcPr>
          <w:p w:rsidR="001103C2" w:rsidRPr="00FE4251" w:rsidRDefault="00CC049C" w:rsidP="00CC049C">
            <w:pPr>
              <w:pStyle w:val="TableText"/>
              <w:spacing w:before="0" w:after="0"/>
              <w:jc w:val="center"/>
              <w:rPr>
                <w:lang w:val="en-AU"/>
              </w:rPr>
            </w:pPr>
            <w:r w:rsidRPr="00FE4251">
              <w:rPr>
                <w:lang w:val="en-AU"/>
              </w:rPr>
              <w:t>1.00</w:t>
            </w:r>
            <w:r w:rsidR="00DD0986" w:rsidRPr="00FE4251">
              <w:rPr>
                <w:lang w:val="en-AU"/>
              </w:rPr>
              <w:t xml:space="preserve"> </w:t>
            </w:r>
            <w:r w:rsidR="001103C2" w:rsidRPr="00FE4251">
              <w:rPr>
                <w:lang w:val="en-AU"/>
              </w:rPr>
              <w:t>(0.74, 1.34)</w:t>
            </w:r>
          </w:p>
        </w:tc>
        <w:tc>
          <w:tcPr>
            <w:tcW w:w="668" w:type="pct"/>
            <w:shd w:val="clear" w:color="auto" w:fill="auto"/>
            <w:vAlign w:val="center"/>
          </w:tcPr>
          <w:p w:rsidR="001103C2" w:rsidRPr="00FE4251" w:rsidRDefault="001103C2" w:rsidP="00BD1FF4">
            <w:pPr>
              <w:pStyle w:val="TableText"/>
              <w:spacing w:before="0" w:after="0"/>
              <w:jc w:val="center"/>
              <w:rPr>
                <w:lang w:val="en-AU"/>
              </w:rPr>
            </w:pPr>
            <w:r w:rsidRPr="00FE4251">
              <w:rPr>
                <w:lang w:val="en-AU"/>
              </w:rPr>
              <w:t>60.3</w:t>
            </w:r>
          </w:p>
        </w:tc>
        <w:tc>
          <w:tcPr>
            <w:tcW w:w="628" w:type="pct"/>
            <w:shd w:val="clear" w:color="auto" w:fill="auto"/>
            <w:vAlign w:val="center"/>
          </w:tcPr>
          <w:p w:rsidR="001103C2" w:rsidRPr="00FE4251" w:rsidRDefault="001103C2" w:rsidP="00BD1FF4">
            <w:pPr>
              <w:pStyle w:val="TableText"/>
              <w:spacing w:before="0" w:after="0"/>
              <w:jc w:val="center"/>
              <w:rPr>
                <w:lang w:val="en-AU"/>
              </w:rPr>
            </w:pPr>
            <w:r w:rsidRPr="00FE4251">
              <w:rPr>
                <w:lang w:val="en-AU"/>
              </w:rPr>
              <w:t>60.3</w:t>
            </w:r>
          </w:p>
        </w:tc>
        <w:tc>
          <w:tcPr>
            <w:tcW w:w="874" w:type="pct"/>
            <w:gridSpan w:val="2"/>
            <w:shd w:val="clear" w:color="auto" w:fill="auto"/>
            <w:vAlign w:val="center"/>
          </w:tcPr>
          <w:p w:rsidR="001103C2" w:rsidRPr="00FE4251" w:rsidRDefault="001103C2" w:rsidP="00BD1FF4">
            <w:pPr>
              <w:pStyle w:val="TableText"/>
              <w:spacing w:before="0" w:after="0"/>
              <w:jc w:val="center"/>
              <w:rPr>
                <w:lang w:val="en-AU"/>
              </w:rPr>
            </w:pPr>
            <w:r w:rsidRPr="00FE4251">
              <w:rPr>
                <w:lang w:val="en-AU"/>
              </w:rPr>
              <w:t>0.00</w:t>
            </w:r>
            <w:r w:rsidR="00DD0986" w:rsidRPr="00FE4251">
              <w:rPr>
                <w:lang w:val="en-AU"/>
              </w:rPr>
              <w:t xml:space="preserve"> </w:t>
            </w:r>
            <w:r w:rsidRPr="00FE4251">
              <w:rPr>
                <w:lang w:val="en-AU"/>
              </w:rPr>
              <w:t>(-0.18, 0.18)</w:t>
            </w:r>
          </w:p>
        </w:tc>
      </w:tr>
      <w:tr w:rsidR="00C6439C" w:rsidRPr="00FE4251" w:rsidTr="009C77A7">
        <w:trPr>
          <w:trHeight w:val="430"/>
        </w:trPr>
        <w:tc>
          <w:tcPr>
            <w:tcW w:w="5000" w:type="pct"/>
            <w:gridSpan w:val="8"/>
            <w:tcBorders>
              <w:top w:val="double" w:sz="4" w:space="0" w:color="auto"/>
            </w:tcBorders>
            <w:shd w:val="clear" w:color="auto" w:fill="auto"/>
            <w:vAlign w:val="center"/>
          </w:tcPr>
          <w:p w:rsidR="001103C2" w:rsidRPr="00FE4251" w:rsidRDefault="001103C2" w:rsidP="00BD1FF4">
            <w:pPr>
              <w:pStyle w:val="TableText"/>
              <w:spacing w:before="0" w:after="0"/>
              <w:rPr>
                <w:b/>
                <w:u w:val="single"/>
                <w:lang w:val="en-AU"/>
              </w:rPr>
            </w:pPr>
            <w:r w:rsidRPr="00FE4251">
              <w:rPr>
                <w:b/>
                <w:u w:val="single"/>
                <w:lang w:val="en-AU"/>
              </w:rPr>
              <w:t>Harms</w:t>
            </w:r>
          </w:p>
        </w:tc>
      </w:tr>
      <w:tr w:rsidR="00CC70C7" w:rsidRPr="00FE4251" w:rsidTr="003A0D7D">
        <w:trPr>
          <w:trHeight w:val="70"/>
        </w:trPr>
        <w:tc>
          <w:tcPr>
            <w:tcW w:w="781" w:type="pct"/>
            <w:vMerge w:val="restart"/>
            <w:shd w:val="clear" w:color="auto" w:fill="auto"/>
            <w:vAlign w:val="center"/>
          </w:tcPr>
          <w:p w:rsidR="001103C2" w:rsidRPr="00FE4251" w:rsidRDefault="00CC70C7" w:rsidP="00BD1FF4">
            <w:pPr>
              <w:pStyle w:val="TableText"/>
              <w:spacing w:before="0" w:after="0"/>
              <w:rPr>
                <w:b/>
                <w:lang w:val="en-AU"/>
              </w:rPr>
            </w:pPr>
            <w:r w:rsidRPr="00FE4251">
              <w:rPr>
                <w:b/>
                <w:lang w:val="en-AU"/>
              </w:rPr>
              <w:t>Trials</w:t>
            </w:r>
          </w:p>
        </w:tc>
        <w:tc>
          <w:tcPr>
            <w:tcW w:w="622" w:type="pct"/>
            <w:vMerge w:val="restart"/>
            <w:shd w:val="clear" w:color="auto" w:fill="auto"/>
            <w:vAlign w:val="center"/>
          </w:tcPr>
          <w:p w:rsidR="001103C2" w:rsidRPr="00FE4251" w:rsidRDefault="001103C2" w:rsidP="00BD1FF4">
            <w:pPr>
              <w:pStyle w:val="TableText"/>
              <w:spacing w:before="0" w:after="0"/>
              <w:rPr>
                <w:b/>
                <w:lang w:val="en-AU"/>
              </w:rPr>
            </w:pPr>
            <w:r w:rsidRPr="00FE4251">
              <w:rPr>
                <w:b/>
                <w:lang w:val="en-AU"/>
              </w:rPr>
              <w:t>Budesonide</w:t>
            </w:r>
          </w:p>
        </w:tc>
        <w:tc>
          <w:tcPr>
            <w:tcW w:w="578" w:type="pct"/>
            <w:vMerge w:val="restart"/>
            <w:shd w:val="clear" w:color="auto" w:fill="auto"/>
            <w:vAlign w:val="center"/>
          </w:tcPr>
          <w:p w:rsidR="001103C2" w:rsidRPr="00FE4251" w:rsidRDefault="001103C2" w:rsidP="00BD1FF4">
            <w:pPr>
              <w:pStyle w:val="TableText"/>
              <w:spacing w:before="0" w:after="0"/>
              <w:rPr>
                <w:b/>
                <w:lang w:val="en-AU"/>
              </w:rPr>
            </w:pPr>
            <w:r w:rsidRPr="00FE4251">
              <w:rPr>
                <w:b/>
                <w:lang w:val="en-AU"/>
              </w:rPr>
              <w:t>Comparator</w:t>
            </w:r>
          </w:p>
        </w:tc>
        <w:tc>
          <w:tcPr>
            <w:tcW w:w="849" w:type="pct"/>
            <w:vMerge w:val="restart"/>
            <w:shd w:val="clear" w:color="auto" w:fill="auto"/>
            <w:vAlign w:val="center"/>
          </w:tcPr>
          <w:p w:rsidR="001103C2" w:rsidRPr="00FE4251" w:rsidRDefault="001103C2" w:rsidP="00BD1FF4">
            <w:pPr>
              <w:pStyle w:val="TableText"/>
              <w:spacing w:before="0" w:after="0"/>
              <w:jc w:val="center"/>
              <w:rPr>
                <w:b/>
                <w:lang w:val="en-AU"/>
              </w:rPr>
            </w:pPr>
            <w:r w:rsidRPr="00FE4251">
              <w:rPr>
                <w:b/>
                <w:lang w:val="en-AU"/>
              </w:rPr>
              <w:t>RR</w:t>
            </w:r>
            <w:r w:rsidR="00DD0986" w:rsidRPr="00FE4251">
              <w:rPr>
                <w:b/>
                <w:lang w:val="en-AU"/>
              </w:rPr>
              <w:t xml:space="preserve"> </w:t>
            </w:r>
            <w:r w:rsidRPr="00FE4251">
              <w:rPr>
                <w:b/>
                <w:lang w:val="en-AU"/>
              </w:rPr>
              <w:t>(95% CI)</w:t>
            </w:r>
          </w:p>
        </w:tc>
        <w:tc>
          <w:tcPr>
            <w:tcW w:w="1329" w:type="pct"/>
            <w:gridSpan w:val="3"/>
            <w:shd w:val="clear" w:color="auto" w:fill="auto"/>
            <w:vAlign w:val="center"/>
          </w:tcPr>
          <w:p w:rsidR="001103C2" w:rsidRPr="00FE4251" w:rsidRDefault="001103C2" w:rsidP="00BD1FF4">
            <w:pPr>
              <w:pStyle w:val="TableText"/>
              <w:spacing w:before="0" w:after="0"/>
              <w:jc w:val="center"/>
              <w:rPr>
                <w:b/>
                <w:lang w:val="en-AU"/>
              </w:rPr>
            </w:pPr>
            <w:r w:rsidRPr="00FE4251">
              <w:rPr>
                <w:b/>
                <w:lang w:val="en-AU"/>
              </w:rPr>
              <w:t>Events/100 patients*</w:t>
            </w:r>
          </w:p>
        </w:tc>
        <w:tc>
          <w:tcPr>
            <w:tcW w:w="841" w:type="pct"/>
            <w:vMerge w:val="restart"/>
            <w:shd w:val="clear" w:color="auto" w:fill="auto"/>
            <w:vAlign w:val="center"/>
          </w:tcPr>
          <w:p w:rsidR="001103C2" w:rsidRPr="00FE4251" w:rsidRDefault="001103C2" w:rsidP="00BD1FF4">
            <w:pPr>
              <w:pStyle w:val="TableText"/>
              <w:spacing w:before="0" w:after="0"/>
              <w:jc w:val="center"/>
              <w:rPr>
                <w:b/>
                <w:lang w:val="en-AU"/>
              </w:rPr>
            </w:pPr>
            <w:r w:rsidRPr="00FE4251">
              <w:rPr>
                <w:b/>
                <w:lang w:val="en-AU"/>
              </w:rPr>
              <w:t>RD</w:t>
            </w:r>
            <w:r w:rsidR="00DD0986" w:rsidRPr="00FE4251">
              <w:rPr>
                <w:b/>
                <w:lang w:val="en-AU"/>
              </w:rPr>
              <w:t xml:space="preserve"> </w:t>
            </w:r>
            <w:r w:rsidRPr="00FE4251">
              <w:rPr>
                <w:b/>
                <w:lang w:val="en-AU"/>
              </w:rPr>
              <w:t>(95% CI)</w:t>
            </w:r>
          </w:p>
        </w:tc>
      </w:tr>
      <w:tr w:rsidR="00C6439C" w:rsidRPr="00FE4251" w:rsidTr="003A0D7D">
        <w:trPr>
          <w:trHeight w:val="390"/>
        </w:trPr>
        <w:tc>
          <w:tcPr>
            <w:tcW w:w="781" w:type="pct"/>
            <w:vMerge/>
            <w:shd w:val="clear" w:color="auto" w:fill="auto"/>
            <w:vAlign w:val="center"/>
          </w:tcPr>
          <w:p w:rsidR="001103C2" w:rsidRPr="00FE4251" w:rsidRDefault="001103C2" w:rsidP="00BD1FF4">
            <w:pPr>
              <w:pStyle w:val="TableText"/>
              <w:spacing w:before="0" w:after="0"/>
              <w:rPr>
                <w:lang w:val="en-AU"/>
              </w:rPr>
            </w:pPr>
          </w:p>
        </w:tc>
        <w:tc>
          <w:tcPr>
            <w:tcW w:w="622" w:type="pct"/>
            <w:vMerge/>
            <w:shd w:val="clear" w:color="auto" w:fill="auto"/>
            <w:vAlign w:val="center"/>
          </w:tcPr>
          <w:p w:rsidR="001103C2" w:rsidRPr="00FE4251" w:rsidRDefault="001103C2" w:rsidP="00BD1FF4">
            <w:pPr>
              <w:pStyle w:val="TableText"/>
              <w:spacing w:before="0" w:after="0"/>
              <w:rPr>
                <w:lang w:val="en-AU"/>
              </w:rPr>
            </w:pPr>
          </w:p>
        </w:tc>
        <w:tc>
          <w:tcPr>
            <w:tcW w:w="578" w:type="pct"/>
            <w:vMerge/>
            <w:shd w:val="clear" w:color="auto" w:fill="auto"/>
            <w:vAlign w:val="center"/>
          </w:tcPr>
          <w:p w:rsidR="001103C2" w:rsidRPr="00FE4251" w:rsidRDefault="001103C2" w:rsidP="00BD1FF4">
            <w:pPr>
              <w:pStyle w:val="TableText"/>
              <w:spacing w:before="0" w:after="0"/>
              <w:rPr>
                <w:lang w:val="en-AU"/>
              </w:rPr>
            </w:pPr>
          </w:p>
        </w:tc>
        <w:tc>
          <w:tcPr>
            <w:tcW w:w="849" w:type="pct"/>
            <w:vMerge/>
            <w:shd w:val="clear" w:color="auto" w:fill="auto"/>
            <w:vAlign w:val="center"/>
          </w:tcPr>
          <w:p w:rsidR="001103C2" w:rsidRPr="00FE4251" w:rsidRDefault="001103C2" w:rsidP="00BD1FF4">
            <w:pPr>
              <w:pStyle w:val="TableText"/>
              <w:spacing w:before="0" w:after="0"/>
              <w:rPr>
                <w:lang w:val="en-AU"/>
              </w:rPr>
            </w:pPr>
          </w:p>
        </w:tc>
        <w:tc>
          <w:tcPr>
            <w:tcW w:w="668" w:type="pct"/>
            <w:shd w:val="clear" w:color="auto" w:fill="auto"/>
            <w:vAlign w:val="center"/>
          </w:tcPr>
          <w:p w:rsidR="001103C2" w:rsidRPr="00FE4251" w:rsidRDefault="00CC70C7" w:rsidP="00BD1FF4">
            <w:pPr>
              <w:pStyle w:val="TableText"/>
              <w:spacing w:before="0" w:after="0"/>
              <w:rPr>
                <w:b/>
                <w:lang w:val="en-AU"/>
              </w:rPr>
            </w:pPr>
            <w:r w:rsidRPr="00FE4251">
              <w:rPr>
                <w:b/>
                <w:lang w:val="en-AU"/>
              </w:rPr>
              <w:t>Budesonide</w:t>
            </w:r>
          </w:p>
        </w:tc>
        <w:tc>
          <w:tcPr>
            <w:tcW w:w="661" w:type="pct"/>
            <w:gridSpan w:val="2"/>
            <w:shd w:val="clear" w:color="auto" w:fill="auto"/>
            <w:vAlign w:val="center"/>
          </w:tcPr>
          <w:p w:rsidR="001103C2" w:rsidRPr="00FE4251" w:rsidRDefault="001103C2" w:rsidP="00BD1FF4">
            <w:pPr>
              <w:pStyle w:val="TableText"/>
              <w:spacing w:before="0" w:after="0"/>
              <w:rPr>
                <w:b/>
                <w:lang w:val="en-AU"/>
              </w:rPr>
            </w:pPr>
            <w:r w:rsidRPr="00FE4251">
              <w:rPr>
                <w:b/>
                <w:lang w:val="en-AU"/>
              </w:rPr>
              <w:t>Comparator</w:t>
            </w:r>
          </w:p>
        </w:tc>
        <w:tc>
          <w:tcPr>
            <w:tcW w:w="841" w:type="pct"/>
            <w:vMerge/>
            <w:shd w:val="clear" w:color="auto" w:fill="auto"/>
            <w:vAlign w:val="center"/>
          </w:tcPr>
          <w:p w:rsidR="001103C2" w:rsidRPr="00FE4251" w:rsidRDefault="001103C2" w:rsidP="00BD1FF4">
            <w:pPr>
              <w:pStyle w:val="TableText"/>
              <w:spacing w:before="0" w:after="0"/>
              <w:rPr>
                <w:lang w:val="en-AU"/>
              </w:rPr>
            </w:pPr>
          </w:p>
        </w:tc>
      </w:tr>
      <w:tr w:rsidR="001103C2" w:rsidRPr="00FE4251" w:rsidTr="00BD1FF4">
        <w:tc>
          <w:tcPr>
            <w:tcW w:w="5000" w:type="pct"/>
            <w:gridSpan w:val="8"/>
            <w:shd w:val="clear" w:color="auto" w:fill="auto"/>
            <w:vAlign w:val="center"/>
          </w:tcPr>
          <w:p w:rsidR="001103C2" w:rsidRPr="00FE4251" w:rsidRDefault="004C7B75" w:rsidP="00BD1FF4">
            <w:pPr>
              <w:pStyle w:val="TableText"/>
              <w:spacing w:before="0" w:after="0"/>
              <w:rPr>
                <w:b/>
                <w:smallCaps/>
                <w:lang w:val="en-AU"/>
              </w:rPr>
            </w:pPr>
            <w:r w:rsidRPr="00FE4251">
              <w:rPr>
                <w:b/>
                <w:smallCaps/>
                <w:lang w:val="en-AU"/>
              </w:rPr>
              <w:t>Budesonide</w:t>
            </w:r>
            <w:r w:rsidR="001103C2" w:rsidRPr="00FE4251">
              <w:rPr>
                <w:b/>
                <w:smallCaps/>
                <w:lang w:val="en-AU"/>
              </w:rPr>
              <w:t xml:space="preserve"> versus prednisolone</w:t>
            </w:r>
          </w:p>
        </w:tc>
      </w:tr>
      <w:tr w:rsidR="001103C2" w:rsidRPr="00FE4251" w:rsidTr="00BD1FF4">
        <w:tc>
          <w:tcPr>
            <w:tcW w:w="5000" w:type="pct"/>
            <w:gridSpan w:val="8"/>
            <w:shd w:val="clear" w:color="auto" w:fill="auto"/>
            <w:vAlign w:val="center"/>
          </w:tcPr>
          <w:p w:rsidR="001103C2" w:rsidRPr="00FE4251" w:rsidRDefault="001103C2" w:rsidP="00BD1FF4">
            <w:pPr>
              <w:pStyle w:val="TableText"/>
              <w:spacing w:before="0" w:after="0"/>
              <w:rPr>
                <w:b/>
                <w:bCs/>
                <w:lang w:val="en-AU"/>
              </w:rPr>
            </w:pPr>
            <w:r w:rsidRPr="00FE4251">
              <w:rPr>
                <w:b/>
                <w:bCs/>
                <w:lang w:val="en-AU"/>
              </w:rPr>
              <w:t>Proportion of patients with corticosteroid-related AE</w:t>
            </w:r>
            <w:r w:rsidR="00CC70C7" w:rsidRPr="00FE4251">
              <w:rPr>
                <w:b/>
                <w:bCs/>
                <w:lang w:val="en-AU"/>
              </w:rPr>
              <w:t>s</w:t>
            </w:r>
          </w:p>
        </w:tc>
      </w:tr>
      <w:tr w:rsidR="00C6439C" w:rsidRPr="00FE4251" w:rsidTr="003A0D7D">
        <w:tc>
          <w:tcPr>
            <w:tcW w:w="781" w:type="pct"/>
            <w:shd w:val="clear" w:color="auto" w:fill="auto"/>
            <w:vAlign w:val="center"/>
          </w:tcPr>
          <w:p w:rsidR="001103C2" w:rsidRPr="00FE4251" w:rsidRDefault="001103C2" w:rsidP="00BD1FF4">
            <w:pPr>
              <w:pStyle w:val="TableText"/>
              <w:spacing w:before="0" w:after="0"/>
              <w:ind w:left="81"/>
              <w:rPr>
                <w:lang w:val="en-AU"/>
              </w:rPr>
            </w:pPr>
            <w:proofErr w:type="spellStart"/>
            <w:r w:rsidRPr="00FE4251">
              <w:rPr>
                <w:lang w:val="en-AU"/>
              </w:rPr>
              <w:t>Rutgeerts</w:t>
            </w:r>
            <w:proofErr w:type="spellEnd"/>
            <w:r w:rsidRPr="00FE4251">
              <w:rPr>
                <w:lang w:val="en-AU"/>
              </w:rPr>
              <w:t xml:space="preserve"> 1994</w:t>
            </w:r>
          </w:p>
        </w:tc>
        <w:tc>
          <w:tcPr>
            <w:tcW w:w="622" w:type="pct"/>
            <w:shd w:val="clear" w:color="auto" w:fill="auto"/>
            <w:vAlign w:val="center"/>
          </w:tcPr>
          <w:p w:rsidR="001103C2" w:rsidRPr="00FE4251" w:rsidRDefault="001103C2" w:rsidP="00BD1FF4">
            <w:pPr>
              <w:pStyle w:val="TableText"/>
              <w:spacing w:before="0" w:after="0"/>
              <w:jc w:val="center"/>
              <w:rPr>
                <w:lang w:val="en-AU"/>
              </w:rPr>
            </w:pPr>
            <w:r w:rsidRPr="00FE4251">
              <w:rPr>
                <w:lang w:val="en-AU"/>
              </w:rPr>
              <w:t>29/88</w:t>
            </w:r>
          </w:p>
        </w:tc>
        <w:tc>
          <w:tcPr>
            <w:tcW w:w="578" w:type="pct"/>
            <w:shd w:val="clear" w:color="auto" w:fill="auto"/>
            <w:vAlign w:val="center"/>
          </w:tcPr>
          <w:p w:rsidR="001103C2" w:rsidRPr="00FE4251" w:rsidRDefault="001103C2" w:rsidP="00BD1FF4">
            <w:pPr>
              <w:pStyle w:val="TableText"/>
              <w:spacing w:before="0" w:after="0"/>
              <w:jc w:val="center"/>
              <w:rPr>
                <w:lang w:val="en-AU"/>
              </w:rPr>
            </w:pPr>
            <w:r w:rsidRPr="00FE4251">
              <w:rPr>
                <w:lang w:val="en-AU"/>
              </w:rPr>
              <w:t>48/88</w:t>
            </w:r>
          </w:p>
        </w:tc>
        <w:tc>
          <w:tcPr>
            <w:tcW w:w="849" w:type="pct"/>
            <w:shd w:val="clear" w:color="auto" w:fill="auto"/>
            <w:vAlign w:val="center"/>
          </w:tcPr>
          <w:p w:rsidR="001103C2" w:rsidRPr="00FE4251" w:rsidRDefault="001103C2" w:rsidP="00BD1FF4">
            <w:pPr>
              <w:pStyle w:val="TableText"/>
              <w:spacing w:before="0" w:after="0"/>
              <w:jc w:val="center"/>
              <w:rPr>
                <w:lang w:val="en-AU"/>
              </w:rPr>
            </w:pPr>
            <w:r w:rsidRPr="00FE4251">
              <w:rPr>
                <w:b/>
                <w:bCs/>
                <w:lang w:val="en-AU"/>
              </w:rPr>
              <w:t>0.60</w:t>
            </w:r>
            <w:r w:rsidR="00420871" w:rsidRPr="00FE4251">
              <w:rPr>
                <w:b/>
                <w:bCs/>
                <w:lang w:val="en-AU"/>
              </w:rPr>
              <w:t xml:space="preserve"> </w:t>
            </w:r>
            <w:r w:rsidRPr="00FE4251">
              <w:rPr>
                <w:b/>
                <w:bCs/>
                <w:lang w:val="en-AU"/>
              </w:rPr>
              <w:t>(0.42, 0.86)</w:t>
            </w:r>
          </w:p>
        </w:tc>
        <w:tc>
          <w:tcPr>
            <w:tcW w:w="668" w:type="pct"/>
            <w:shd w:val="clear" w:color="auto" w:fill="auto"/>
            <w:vAlign w:val="center"/>
          </w:tcPr>
          <w:p w:rsidR="001103C2" w:rsidRPr="00FE4251" w:rsidRDefault="001103C2" w:rsidP="00BD1FF4">
            <w:pPr>
              <w:pStyle w:val="TableText"/>
              <w:spacing w:before="0" w:after="0"/>
              <w:jc w:val="center"/>
              <w:rPr>
                <w:lang w:val="en-AU"/>
              </w:rPr>
            </w:pPr>
            <w:r w:rsidRPr="00FE4251">
              <w:rPr>
                <w:lang w:val="en-AU"/>
              </w:rPr>
              <w:t>33.0</w:t>
            </w:r>
          </w:p>
        </w:tc>
        <w:tc>
          <w:tcPr>
            <w:tcW w:w="661" w:type="pct"/>
            <w:gridSpan w:val="2"/>
            <w:shd w:val="clear" w:color="auto" w:fill="auto"/>
            <w:vAlign w:val="center"/>
          </w:tcPr>
          <w:p w:rsidR="001103C2" w:rsidRPr="00FE4251" w:rsidRDefault="001103C2" w:rsidP="00BD1FF4">
            <w:pPr>
              <w:pStyle w:val="TableText"/>
              <w:spacing w:before="0" w:after="0"/>
              <w:jc w:val="center"/>
              <w:rPr>
                <w:lang w:val="en-AU"/>
              </w:rPr>
            </w:pPr>
            <w:r w:rsidRPr="00FE4251">
              <w:rPr>
                <w:lang w:val="en-AU"/>
              </w:rPr>
              <w:t>54.5</w:t>
            </w:r>
          </w:p>
        </w:tc>
        <w:tc>
          <w:tcPr>
            <w:tcW w:w="841" w:type="pct"/>
            <w:shd w:val="clear" w:color="auto" w:fill="auto"/>
            <w:vAlign w:val="center"/>
          </w:tcPr>
          <w:p w:rsidR="001103C2" w:rsidRPr="00FE4251" w:rsidRDefault="001103C2" w:rsidP="00BD1FF4">
            <w:pPr>
              <w:pStyle w:val="TableText"/>
              <w:spacing w:before="0" w:after="0"/>
              <w:rPr>
                <w:lang w:val="en-AU"/>
              </w:rPr>
            </w:pPr>
            <w:r w:rsidRPr="00FE4251">
              <w:rPr>
                <w:b/>
                <w:bCs/>
                <w:lang w:val="en-AU"/>
              </w:rPr>
              <w:t>-0.22</w:t>
            </w:r>
            <w:r w:rsidR="00CC70C7" w:rsidRPr="00FE4251">
              <w:rPr>
                <w:b/>
                <w:bCs/>
                <w:lang w:val="en-AU"/>
              </w:rPr>
              <w:t xml:space="preserve"> </w:t>
            </w:r>
            <w:r w:rsidRPr="00FE4251">
              <w:rPr>
                <w:b/>
                <w:bCs/>
                <w:lang w:val="en-AU"/>
              </w:rPr>
              <w:t>(-0.36, -0.07)</w:t>
            </w:r>
          </w:p>
        </w:tc>
      </w:tr>
      <w:tr w:rsidR="00C6439C" w:rsidRPr="00FE4251" w:rsidTr="003A0D7D">
        <w:tc>
          <w:tcPr>
            <w:tcW w:w="781" w:type="pct"/>
            <w:shd w:val="clear" w:color="auto" w:fill="auto"/>
            <w:vAlign w:val="center"/>
          </w:tcPr>
          <w:p w:rsidR="001103C2" w:rsidRPr="00FE4251" w:rsidRDefault="001103C2" w:rsidP="00BD1FF4">
            <w:pPr>
              <w:pStyle w:val="TableText"/>
              <w:spacing w:before="0" w:after="0"/>
              <w:ind w:left="81"/>
              <w:rPr>
                <w:lang w:val="en-AU"/>
              </w:rPr>
            </w:pPr>
            <w:proofErr w:type="spellStart"/>
            <w:r w:rsidRPr="00FE4251">
              <w:rPr>
                <w:lang w:val="en-AU"/>
              </w:rPr>
              <w:t>Campieri</w:t>
            </w:r>
            <w:proofErr w:type="spellEnd"/>
            <w:r w:rsidRPr="00FE4251">
              <w:rPr>
                <w:lang w:val="en-AU"/>
              </w:rPr>
              <w:t xml:space="preserve"> 1997</w:t>
            </w:r>
          </w:p>
        </w:tc>
        <w:tc>
          <w:tcPr>
            <w:tcW w:w="622" w:type="pct"/>
            <w:shd w:val="clear" w:color="auto" w:fill="auto"/>
            <w:vAlign w:val="center"/>
          </w:tcPr>
          <w:p w:rsidR="001103C2" w:rsidRPr="00FE4251" w:rsidRDefault="001103C2" w:rsidP="00BD1FF4">
            <w:pPr>
              <w:pStyle w:val="TableText"/>
              <w:spacing w:before="0" w:after="0"/>
              <w:jc w:val="center"/>
              <w:rPr>
                <w:lang w:val="en-AU"/>
              </w:rPr>
            </w:pPr>
            <w:r w:rsidRPr="00FE4251">
              <w:rPr>
                <w:lang w:val="en-AU"/>
              </w:rPr>
              <w:t>29/58</w:t>
            </w:r>
          </w:p>
        </w:tc>
        <w:tc>
          <w:tcPr>
            <w:tcW w:w="578" w:type="pct"/>
            <w:shd w:val="clear" w:color="auto" w:fill="auto"/>
            <w:vAlign w:val="center"/>
          </w:tcPr>
          <w:p w:rsidR="001103C2" w:rsidRPr="00FE4251" w:rsidRDefault="001103C2" w:rsidP="00BD1FF4">
            <w:pPr>
              <w:pStyle w:val="TableText"/>
              <w:spacing w:before="0" w:after="0"/>
              <w:jc w:val="center"/>
              <w:rPr>
                <w:lang w:val="en-AU"/>
              </w:rPr>
            </w:pPr>
            <w:r w:rsidRPr="00FE4251">
              <w:rPr>
                <w:lang w:val="en-AU"/>
              </w:rPr>
              <w:t>34/58</w:t>
            </w:r>
          </w:p>
        </w:tc>
        <w:tc>
          <w:tcPr>
            <w:tcW w:w="849" w:type="pct"/>
            <w:shd w:val="clear" w:color="auto" w:fill="auto"/>
            <w:vAlign w:val="center"/>
          </w:tcPr>
          <w:p w:rsidR="001103C2" w:rsidRPr="00FE4251" w:rsidRDefault="001103C2" w:rsidP="00BD1FF4">
            <w:pPr>
              <w:pStyle w:val="TableText"/>
              <w:spacing w:before="0" w:after="0"/>
              <w:jc w:val="center"/>
              <w:rPr>
                <w:lang w:val="en-AU"/>
              </w:rPr>
            </w:pPr>
            <w:r w:rsidRPr="00FE4251">
              <w:rPr>
                <w:lang w:val="en-AU"/>
              </w:rPr>
              <w:t>0.85</w:t>
            </w:r>
            <w:r w:rsidR="00420871" w:rsidRPr="00FE4251">
              <w:rPr>
                <w:lang w:val="en-AU"/>
              </w:rPr>
              <w:t xml:space="preserve"> </w:t>
            </w:r>
            <w:r w:rsidRPr="00FE4251">
              <w:rPr>
                <w:lang w:val="en-AU"/>
              </w:rPr>
              <w:t>(0.61, 1.19)</w:t>
            </w:r>
          </w:p>
        </w:tc>
        <w:tc>
          <w:tcPr>
            <w:tcW w:w="668" w:type="pct"/>
            <w:shd w:val="clear" w:color="auto" w:fill="auto"/>
            <w:vAlign w:val="center"/>
          </w:tcPr>
          <w:p w:rsidR="001103C2" w:rsidRPr="00FE4251" w:rsidRDefault="001103C2" w:rsidP="00BD1FF4">
            <w:pPr>
              <w:pStyle w:val="TableText"/>
              <w:spacing w:before="0" w:after="0"/>
              <w:jc w:val="center"/>
              <w:rPr>
                <w:lang w:val="en-AU"/>
              </w:rPr>
            </w:pPr>
            <w:r w:rsidRPr="00FE4251">
              <w:rPr>
                <w:lang w:val="en-AU"/>
              </w:rPr>
              <w:t>50.0</w:t>
            </w:r>
          </w:p>
        </w:tc>
        <w:tc>
          <w:tcPr>
            <w:tcW w:w="661" w:type="pct"/>
            <w:gridSpan w:val="2"/>
            <w:shd w:val="clear" w:color="auto" w:fill="auto"/>
            <w:vAlign w:val="center"/>
          </w:tcPr>
          <w:p w:rsidR="001103C2" w:rsidRPr="00FE4251" w:rsidRDefault="001103C2" w:rsidP="00BD1FF4">
            <w:pPr>
              <w:pStyle w:val="TableText"/>
              <w:spacing w:before="0" w:after="0"/>
              <w:jc w:val="center"/>
              <w:rPr>
                <w:lang w:val="en-AU"/>
              </w:rPr>
            </w:pPr>
            <w:r w:rsidRPr="00FE4251">
              <w:rPr>
                <w:lang w:val="en-AU"/>
              </w:rPr>
              <w:t>58.6</w:t>
            </w:r>
          </w:p>
        </w:tc>
        <w:tc>
          <w:tcPr>
            <w:tcW w:w="841" w:type="pct"/>
            <w:shd w:val="clear" w:color="auto" w:fill="auto"/>
            <w:vAlign w:val="center"/>
          </w:tcPr>
          <w:p w:rsidR="001103C2" w:rsidRPr="00FE4251" w:rsidRDefault="001103C2" w:rsidP="00BD1FF4">
            <w:pPr>
              <w:pStyle w:val="TableText"/>
              <w:spacing w:before="0" w:after="0"/>
              <w:rPr>
                <w:lang w:val="en-AU"/>
              </w:rPr>
            </w:pPr>
            <w:r w:rsidRPr="00FE4251">
              <w:rPr>
                <w:lang w:val="en-AU"/>
              </w:rPr>
              <w:t>-0.09</w:t>
            </w:r>
            <w:r w:rsidR="00CC70C7" w:rsidRPr="00FE4251">
              <w:rPr>
                <w:lang w:val="en-AU"/>
              </w:rPr>
              <w:t xml:space="preserve"> </w:t>
            </w:r>
            <w:r w:rsidRPr="00FE4251">
              <w:rPr>
                <w:lang w:val="en-AU"/>
              </w:rPr>
              <w:t>(-0.27, 0.09)</w:t>
            </w:r>
          </w:p>
        </w:tc>
      </w:tr>
    </w:tbl>
    <w:p w:rsidR="001103C2" w:rsidRPr="00FE4251" w:rsidRDefault="00987482" w:rsidP="00D33E6E">
      <w:pPr>
        <w:pStyle w:val="TableFooter"/>
        <w:ind w:left="165" w:hanging="165"/>
      </w:pPr>
      <w:r w:rsidRPr="00FE4251">
        <w:t>*</w:t>
      </w:r>
      <w:r w:rsidR="00D33E6E" w:rsidRPr="00FE4251">
        <w:tab/>
      </w:r>
      <w:r w:rsidRPr="00FE4251">
        <w:t xml:space="preserve">Maximum duration of exposure: </w:t>
      </w:r>
      <w:proofErr w:type="spellStart"/>
      <w:r w:rsidRPr="00FE4251">
        <w:t>Rutgeerts</w:t>
      </w:r>
      <w:proofErr w:type="spellEnd"/>
      <w:r w:rsidRPr="00FE4251">
        <w:t xml:space="preserve"> 1994</w:t>
      </w:r>
      <w:r w:rsidR="009E6F8D" w:rsidRPr="00FE4251">
        <w:t xml:space="preserve"> = 10 weeks; </w:t>
      </w:r>
      <w:proofErr w:type="spellStart"/>
      <w:r w:rsidR="009E6F8D" w:rsidRPr="00FE4251">
        <w:t>Campieri</w:t>
      </w:r>
      <w:proofErr w:type="spellEnd"/>
      <w:r w:rsidR="009E6F8D" w:rsidRPr="00FE4251">
        <w:t xml:space="preserve"> 1997 = 12 </w:t>
      </w:r>
      <w:r w:rsidR="004B3E3F" w:rsidRPr="00FE4251">
        <w:t>weeks.</w:t>
      </w:r>
    </w:p>
    <w:p w:rsidR="001103C2" w:rsidRPr="00FE4251" w:rsidRDefault="001103C2" w:rsidP="001103C2">
      <w:pPr>
        <w:pStyle w:val="TableFooter"/>
      </w:pPr>
      <w:r w:rsidRPr="00FE4251">
        <w:t>Abb</w:t>
      </w:r>
      <w:r w:rsidR="009E6F8D" w:rsidRPr="00FE4251">
        <w:t xml:space="preserve">reviations: </w:t>
      </w:r>
      <w:r w:rsidRPr="00FE4251">
        <w:t>RD = risk difference; RR = risk ratio</w:t>
      </w:r>
    </w:p>
    <w:p w:rsidR="001103C2" w:rsidRPr="00FE4251" w:rsidRDefault="001103C2" w:rsidP="001103C2">
      <w:pPr>
        <w:pStyle w:val="TableFooter"/>
      </w:pPr>
      <w:r w:rsidRPr="00FE4251">
        <w:t>Source: Compiled d</w:t>
      </w:r>
      <w:r w:rsidR="009E6F8D" w:rsidRPr="00FE4251">
        <w:t>uring the evaluation.</w:t>
      </w:r>
    </w:p>
    <w:p w:rsidR="00582E84" w:rsidRPr="00FE4251" w:rsidRDefault="00582E84" w:rsidP="001D7BAE">
      <w:pPr>
        <w:pStyle w:val="ListParagraph"/>
        <w:numPr>
          <w:ilvl w:val="1"/>
          <w:numId w:val="1"/>
        </w:numPr>
        <w:spacing w:before="0" w:after="120"/>
        <w:ind w:left="709" w:hanging="709"/>
        <w:jc w:val="both"/>
      </w:pPr>
      <w:r w:rsidRPr="00FE4251">
        <w:t xml:space="preserve">On the basis of direct evidence presented by the submission, </w:t>
      </w:r>
      <w:r w:rsidR="006F5533" w:rsidRPr="00FE4251">
        <w:t xml:space="preserve">over 10-12 weeks treatment duration, </w:t>
      </w:r>
      <w:r w:rsidRPr="00FE4251">
        <w:t xml:space="preserve">for every 100 patients treated with budesonide </w:t>
      </w:r>
      <w:r w:rsidR="00DD0986" w:rsidRPr="00FE4251">
        <w:t>(9</w:t>
      </w:r>
      <w:r w:rsidR="00632CCB" w:rsidRPr="00FE4251">
        <w:t xml:space="preserve"> </w:t>
      </w:r>
      <w:r w:rsidR="00DD0986" w:rsidRPr="00FE4251">
        <w:t xml:space="preserve">mg/day) </w:t>
      </w:r>
      <w:r w:rsidRPr="00FE4251">
        <w:t>in comparison to prednisolone</w:t>
      </w:r>
      <w:r w:rsidR="00DD0986" w:rsidRPr="00FE4251">
        <w:t xml:space="preserve"> (40</w:t>
      </w:r>
      <w:r w:rsidR="00632CCB" w:rsidRPr="00FE4251">
        <w:t xml:space="preserve"> </w:t>
      </w:r>
      <w:r w:rsidR="00DD0986" w:rsidRPr="00FE4251">
        <w:t>mg/day initially with dose tapering from week 3)</w:t>
      </w:r>
      <w:r w:rsidRPr="00FE4251">
        <w:t>:</w:t>
      </w:r>
    </w:p>
    <w:p w:rsidR="006C442E" w:rsidRPr="00FE4251" w:rsidRDefault="006C442E" w:rsidP="001D7BAE">
      <w:pPr>
        <w:pStyle w:val="ListParagraph"/>
        <w:numPr>
          <w:ilvl w:val="0"/>
          <w:numId w:val="3"/>
        </w:numPr>
        <w:spacing w:before="0" w:after="120"/>
        <w:ind w:left="993" w:hanging="284"/>
        <w:jc w:val="both"/>
      </w:pPr>
      <w:r w:rsidRPr="00FE4251">
        <w:t xml:space="preserve">It is unlikely that any additional patients will attain </w:t>
      </w:r>
      <w:r w:rsidR="006F5533" w:rsidRPr="00FE4251">
        <w:t xml:space="preserve">disease </w:t>
      </w:r>
      <w:r w:rsidRPr="00FE4251">
        <w:t>remission</w:t>
      </w:r>
      <w:r w:rsidR="009F527D" w:rsidRPr="00FE4251">
        <w:t>;</w:t>
      </w:r>
      <w:r w:rsidR="006F5533" w:rsidRPr="00FE4251">
        <w:t xml:space="preserve"> but</w:t>
      </w:r>
    </w:p>
    <w:p w:rsidR="006F5533" w:rsidRPr="00FE4251" w:rsidRDefault="006F5533" w:rsidP="001D7BAE">
      <w:pPr>
        <w:pStyle w:val="ListParagraph"/>
        <w:numPr>
          <w:ilvl w:val="0"/>
          <w:numId w:val="3"/>
        </w:numPr>
        <w:spacing w:before="0" w:after="120"/>
        <w:ind w:left="993" w:hanging="284"/>
        <w:jc w:val="both"/>
      </w:pPr>
      <w:r w:rsidRPr="00FE4251">
        <w:t xml:space="preserve">Approximately 22 fewer patients </w:t>
      </w:r>
      <w:r w:rsidR="00763F2D" w:rsidRPr="00FE4251">
        <w:t xml:space="preserve">will experience </w:t>
      </w:r>
      <w:r w:rsidRPr="00FE4251">
        <w:t xml:space="preserve">corticosteroid related </w:t>
      </w:r>
      <w:r w:rsidR="00632CCB" w:rsidRPr="00FE4251">
        <w:t>AE</w:t>
      </w:r>
      <w:r w:rsidRPr="00FE4251">
        <w:t xml:space="preserve">s (indicated by </w:t>
      </w:r>
      <w:proofErr w:type="spellStart"/>
      <w:r w:rsidRPr="00FE4251">
        <w:t>Rutgeerts</w:t>
      </w:r>
      <w:proofErr w:type="spellEnd"/>
      <w:r w:rsidRPr="00FE4251">
        <w:t xml:space="preserve"> 1994 trial).</w:t>
      </w:r>
    </w:p>
    <w:p w:rsidR="001103C2" w:rsidRPr="00FE4251" w:rsidRDefault="001103C2" w:rsidP="001103C2">
      <w:pPr>
        <w:pStyle w:val="Heading2"/>
      </w:pPr>
      <w:bookmarkStart w:id="37" w:name="_Toc491952257"/>
      <w:bookmarkStart w:id="38" w:name="_Toc491952732"/>
      <w:bookmarkEnd w:id="36"/>
      <w:r w:rsidRPr="00FE4251">
        <w:t>Interpretation of clinical evidence</w:t>
      </w:r>
      <w:bookmarkEnd w:id="37"/>
      <w:bookmarkEnd w:id="38"/>
    </w:p>
    <w:p w:rsidR="00C57C41" w:rsidRPr="00FE4251" w:rsidRDefault="00C57C41" w:rsidP="00933EBC">
      <w:pPr>
        <w:pStyle w:val="ListParagraph"/>
        <w:numPr>
          <w:ilvl w:val="1"/>
          <w:numId w:val="1"/>
        </w:numPr>
        <w:spacing w:before="0" w:after="120"/>
        <w:ind w:left="567" w:hanging="578"/>
        <w:jc w:val="both"/>
      </w:pPr>
      <w:r w:rsidRPr="00FE4251">
        <w:t xml:space="preserve">The submission claimed budesonide </w:t>
      </w:r>
      <w:r w:rsidR="00933EBC" w:rsidRPr="00FE4251">
        <w:t xml:space="preserve">9 mg once daily to be superior to </w:t>
      </w:r>
      <w:proofErr w:type="spellStart"/>
      <w:r w:rsidR="00933EBC" w:rsidRPr="00FE4251">
        <w:t>mesalazine</w:t>
      </w:r>
      <w:proofErr w:type="spellEnd"/>
      <w:r w:rsidR="00933EBC" w:rsidRPr="00FE4251">
        <w:t xml:space="preserve"> 4g/day in terms of effectiveness and safety. The PBAC considered that </w:t>
      </w:r>
      <w:proofErr w:type="spellStart"/>
      <w:r w:rsidR="00933EBC" w:rsidRPr="00FE4251">
        <w:t>mesalazine</w:t>
      </w:r>
      <w:proofErr w:type="spellEnd"/>
      <w:r w:rsidR="00933EBC" w:rsidRPr="00FE4251">
        <w:t xml:space="preserve"> as the nominated comparator was inappropriate based on current clinical practice. Prednisolone (or a similar oral corticosteroid) is considered by the PBAC as a more appropriate comparator for budesonide.</w:t>
      </w:r>
    </w:p>
    <w:p w:rsidR="00E761FF" w:rsidRPr="00FE4251" w:rsidRDefault="008016C6" w:rsidP="00933EBC">
      <w:pPr>
        <w:pStyle w:val="ListParagraph"/>
        <w:numPr>
          <w:ilvl w:val="1"/>
          <w:numId w:val="1"/>
        </w:numPr>
        <w:spacing w:before="0" w:after="120"/>
        <w:ind w:left="567" w:hanging="578"/>
        <w:jc w:val="both"/>
      </w:pPr>
      <w:r w:rsidRPr="00FE4251">
        <w:t>The PBAC noted that b</w:t>
      </w:r>
      <w:r w:rsidR="00E761FF" w:rsidRPr="00FE4251">
        <w:t>ased on evidence from the two trials of budesonide versus prednisolone examined during the evaluation (</w:t>
      </w:r>
      <w:proofErr w:type="spellStart"/>
      <w:r w:rsidR="00E761FF" w:rsidRPr="00FE4251">
        <w:t>Rutgeerts</w:t>
      </w:r>
      <w:proofErr w:type="spellEnd"/>
      <w:r w:rsidR="00E761FF" w:rsidRPr="00FE4251">
        <w:t xml:space="preserve"> 1994, </w:t>
      </w:r>
      <w:proofErr w:type="spellStart"/>
      <w:r w:rsidR="00E761FF" w:rsidRPr="00FE4251">
        <w:t>Campieri</w:t>
      </w:r>
      <w:proofErr w:type="spellEnd"/>
      <w:r w:rsidR="00E761FF" w:rsidRPr="00FE4251">
        <w:t xml:space="preserve"> 1997), budesonide 9 mg administered once daily was not statistically significantly different from prednisolone 40 mg/day over 8 weeks in induction of CD remission, but the results did favour prednisolone</w:t>
      </w:r>
      <w:r w:rsidR="00E477CB" w:rsidRPr="00FE4251">
        <w:t>;</w:t>
      </w:r>
      <w:r w:rsidR="00E761FF" w:rsidRPr="00FE4251">
        <w:t xml:space="preserve"> RD (95%</w:t>
      </w:r>
      <w:r w:rsidR="008E2D23" w:rsidRPr="00FE4251">
        <w:t xml:space="preserve"> </w:t>
      </w:r>
      <w:r w:rsidR="00E761FF" w:rsidRPr="00FE4251">
        <w:t xml:space="preserve">CI): -0.07 (-0.19, 0.05).  </w:t>
      </w:r>
      <w:r w:rsidR="00763F2D" w:rsidRPr="00FE4251">
        <w:t xml:space="preserve">The </w:t>
      </w:r>
      <w:r w:rsidR="00E761FF" w:rsidRPr="00FE4251">
        <w:t xml:space="preserve">lower 95% CI </w:t>
      </w:r>
      <w:r w:rsidR="00763F2D" w:rsidRPr="00FE4251">
        <w:t>(</w:t>
      </w:r>
      <w:r w:rsidR="00E761FF" w:rsidRPr="00FE4251">
        <w:t>-0.19</w:t>
      </w:r>
      <w:r w:rsidR="00763F2D" w:rsidRPr="00FE4251">
        <w:t xml:space="preserve">) was also </w:t>
      </w:r>
      <w:r w:rsidR="00E761FF" w:rsidRPr="00FE4251">
        <w:t xml:space="preserve">outside of the nominated non-inferiority margin of -10% from </w:t>
      </w:r>
      <w:proofErr w:type="spellStart"/>
      <w:r w:rsidR="00E761FF" w:rsidRPr="00FE4251">
        <w:t>Tromm</w:t>
      </w:r>
      <w:proofErr w:type="spellEnd"/>
      <w:r w:rsidR="00E761FF" w:rsidRPr="00FE4251">
        <w:t xml:space="preserve"> 2011.  </w:t>
      </w:r>
      <w:r w:rsidRPr="00FE4251">
        <w:t>The PBAC noted that i</w:t>
      </w:r>
      <w:r w:rsidR="00E761FF" w:rsidRPr="00FE4251">
        <w:t>n terms of safety, the trial evidence suggest</w:t>
      </w:r>
      <w:r w:rsidR="009F527D" w:rsidRPr="00FE4251">
        <w:t>s</w:t>
      </w:r>
      <w:r w:rsidR="00E761FF" w:rsidRPr="00FE4251">
        <w:t xml:space="preserve"> budesonide to be superior to prednisolone, particularly in terms of glucocorticoid associated </w:t>
      </w:r>
      <w:r w:rsidR="00466A0B" w:rsidRPr="00FE4251">
        <w:t>AE</w:t>
      </w:r>
      <w:r w:rsidR="00E761FF" w:rsidRPr="00FE4251">
        <w:t>s.</w:t>
      </w:r>
    </w:p>
    <w:p w:rsidR="001103C2" w:rsidRPr="00FE4251" w:rsidRDefault="001103C2" w:rsidP="001103C2">
      <w:pPr>
        <w:pStyle w:val="Heading2"/>
      </w:pPr>
      <w:bookmarkStart w:id="39" w:name="_Toc413139282"/>
      <w:bookmarkStart w:id="40" w:name="_Toc491952258"/>
      <w:bookmarkStart w:id="41" w:name="_Toc491952733"/>
      <w:r w:rsidRPr="00FE4251">
        <w:t>Economic analysis</w:t>
      </w:r>
      <w:bookmarkEnd w:id="39"/>
      <w:bookmarkEnd w:id="40"/>
      <w:bookmarkEnd w:id="41"/>
    </w:p>
    <w:p w:rsidR="003F4BAE" w:rsidRPr="00FE4251" w:rsidRDefault="00E658FC" w:rsidP="003F4BAE">
      <w:pPr>
        <w:pStyle w:val="Heading7"/>
        <w:rPr>
          <w:i w:val="0"/>
        </w:rPr>
      </w:pPr>
      <w:r w:rsidRPr="00FE4251">
        <w:rPr>
          <w:i w:val="0"/>
        </w:rPr>
        <w:t>Cost-</w:t>
      </w:r>
      <w:r w:rsidR="003F4BAE" w:rsidRPr="00FE4251">
        <w:rPr>
          <w:i w:val="0"/>
        </w:rPr>
        <w:t xml:space="preserve">utility analysis versus </w:t>
      </w:r>
      <w:proofErr w:type="spellStart"/>
      <w:r w:rsidR="003F4BAE" w:rsidRPr="00FE4251">
        <w:rPr>
          <w:i w:val="0"/>
        </w:rPr>
        <w:t>mesalazine</w:t>
      </w:r>
      <w:proofErr w:type="spellEnd"/>
    </w:p>
    <w:p w:rsidR="00220316" w:rsidRPr="00FE4251" w:rsidRDefault="00220316" w:rsidP="00DA6330">
      <w:pPr>
        <w:pStyle w:val="ListParagraph"/>
        <w:numPr>
          <w:ilvl w:val="1"/>
          <w:numId w:val="1"/>
        </w:numPr>
        <w:spacing w:before="0" w:after="120"/>
        <w:ind w:left="567" w:hanging="578"/>
        <w:jc w:val="both"/>
      </w:pPr>
      <w:r w:rsidRPr="00FE4251">
        <w:t xml:space="preserve">The submission presented a stepped economic evaluation versus </w:t>
      </w:r>
      <w:proofErr w:type="spellStart"/>
      <w:r w:rsidRPr="00FE4251">
        <w:t>mesalazine</w:t>
      </w:r>
      <w:proofErr w:type="spellEnd"/>
      <w:r w:rsidRPr="00FE4251">
        <w:t>, based on results of Thomsen 1998 and implementing a modelled evaluation.  The type of economic evaluation presented was a cost-utility analysis.  Table 6 summarises the key component</w:t>
      </w:r>
      <w:r w:rsidR="00466A0B" w:rsidRPr="00FE4251">
        <w:t>s</w:t>
      </w:r>
      <w:r w:rsidRPr="00FE4251">
        <w:t xml:space="preserve"> of the economic evaluation. </w:t>
      </w:r>
      <w:r w:rsidR="00B933F6" w:rsidRPr="00FE4251">
        <w:t xml:space="preserve">The </w:t>
      </w:r>
      <w:r w:rsidR="004F0254" w:rsidRPr="00FE4251">
        <w:t xml:space="preserve">PBAC </w:t>
      </w:r>
      <w:r w:rsidR="003D2E56" w:rsidRPr="00FE4251">
        <w:t>considered</w:t>
      </w:r>
      <w:r w:rsidR="004F0254" w:rsidRPr="00FE4251">
        <w:t xml:space="preserve"> </w:t>
      </w:r>
      <w:r w:rsidR="00B933F6" w:rsidRPr="00FE4251">
        <w:t xml:space="preserve">that the modelled economic evaluation versus </w:t>
      </w:r>
      <w:proofErr w:type="spellStart"/>
      <w:r w:rsidR="00B933F6" w:rsidRPr="00FE4251">
        <w:t>mesalazine</w:t>
      </w:r>
      <w:proofErr w:type="spellEnd"/>
      <w:r w:rsidR="00B933F6" w:rsidRPr="00FE4251">
        <w:t xml:space="preserve"> was </w:t>
      </w:r>
      <w:r w:rsidR="00FB4CAF" w:rsidRPr="00FE4251">
        <w:t xml:space="preserve">uninformative for decision making </w:t>
      </w:r>
      <w:r w:rsidR="00B933F6" w:rsidRPr="00FE4251">
        <w:t xml:space="preserve">as prednisolone (or a similar oral corticosteroid) was a more appropriate comparator. </w:t>
      </w:r>
      <w:r w:rsidR="004F0254" w:rsidRPr="00FE4251">
        <w:t>The PBAC noted a</w:t>
      </w:r>
      <w:r w:rsidRPr="00FE4251">
        <w:t>n indicative cost</w:t>
      </w:r>
      <w:r w:rsidR="001F051A" w:rsidRPr="00FE4251">
        <w:t>-</w:t>
      </w:r>
      <w:r w:rsidRPr="00FE4251">
        <w:t xml:space="preserve">minimisation analysis versus prednisolone was conducted during the evaluation </w:t>
      </w:r>
      <w:r w:rsidR="00E14ADB" w:rsidRPr="00FE4251">
        <w:t>(see Cost</w:t>
      </w:r>
      <w:r w:rsidR="001F051A" w:rsidRPr="00FE4251">
        <w:t>-</w:t>
      </w:r>
      <w:r w:rsidR="00E14ADB" w:rsidRPr="00FE4251">
        <w:t>minimisation analysis versus prednisolone).</w:t>
      </w:r>
    </w:p>
    <w:p w:rsidR="001103C2" w:rsidRPr="00FE4251" w:rsidRDefault="00220316" w:rsidP="001103C2">
      <w:pPr>
        <w:pStyle w:val="TableHeading0"/>
      </w:pPr>
      <w:r w:rsidRPr="00FE4251">
        <w:t>Table 6</w:t>
      </w:r>
      <w:r w:rsidR="001103C2" w:rsidRPr="00FE4251">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66"/>
        <w:gridCol w:w="7516"/>
      </w:tblGrid>
      <w:tr w:rsidR="001103C2" w:rsidRPr="00FE4251" w:rsidTr="00504287">
        <w:trPr>
          <w:tblHeader/>
        </w:trPr>
        <w:tc>
          <w:tcPr>
            <w:tcW w:w="862" w:type="pct"/>
            <w:shd w:val="clear" w:color="auto" w:fill="auto"/>
            <w:vAlign w:val="center"/>
          </w:tcPr>
          <w:p w:rsidR="001103C2" w:rsidRPr="00FE4251" w:rsidRDefault="001103C2" w:rsidP="00DA6A6B">
            <w:pPr>
              <w:pStyle w:val="TableText"/>
              <w:rPr>
                <w:b/>
              </w:rPr>
            </w:pPr>
            <w:r w:rsidRPr="00FE4251">
              <w:rPr>
                <w:b/>
              </w:rPr>
              <w:t>Component</w:t>
            </w:r>
          </w:p>
        </w:tc>
        <w:tc>
          <w:tcPr>
            <w:tcW w:w="4138" w:type="pct"/>
            <w:shd w:val="clear" w:color="auto" w:fill="auto"/>
            <w:vAlign w:val="center"/>
          </w:tcPr>
          <w:p w:rsidR="001103C2" w:rsidRPr="00FE4251" w:rsidRDefault="001103C2" w:rsidP="00DA6A6B">
            <w:pPr>
              <w:pStyle w:val="TableText"/>
              <w:rPr>
                <w:b/>
              </w:rPr>
            </w:pPr>
            <w:r w:rsidRPr="00FE4251">
              <w:rPr>
                <w:b/>
              </w:rPr>
              <w:t>Summary</w:t>
            </w:r>
          </w:p>
        </w:tc>
      </w:tr>
      <w:tr w:rsidR="003C62AB" w:rsidRPr="00FE4251" w:rsidTr="00504287">
        <w:tc>
          <w:tcPr>
            <w:tcW w:w="862" w:type="pct"/>
            <w:shd w:val="clear" w:color="auto" w:fill="auto"/>
            <w:vAlign w:val="center"/>
          </w:tcPr>
          <w:p w:rsidR="003C62AB" w:rsidRPr="00FE4251" w:rsidRDefault="003C62AB" w:rsidP="003C62AB">
            <w:pPr>
              <w:pStyle w:val="TableText"/>
            </w:pPr>
            <w:r w:rsidRPr="00FE4251">
              <w:t>Time horizon</w:t>
            </w:r>
          </w:p>
        </w:tc>
        <w:tc>
          <w:tcPr>
            <w:tcW w:w="4138" w:type="pct"/>
            <w:shd w:val="clear" w:color="auto" w:fill="auto"/>
            <w:vAlign w:val="center"/>
          </w:tcPr>
          <w:p w:rsidR="003C62AB" w:rsidRPr="00FE4251" w:rsidRDefault="003C62AB" w:rsidP="003C62AB">
            <w:pPr>
              <w:pStyle w:val="TableText"/>
              <w:rPr>
                <w:rFonts w:ascii="Times" w:eastAsia="Times New Roman" w:hAnsi="Times" w:cs="Times New Roman"/>
              </w:rPr>
            </w:pPr>
            <w:r w:rsidRPr="00FE4251">
              <w:t>8 and 12 weeks in the model base case versus 16 weeks in primary trial (Thomsen 1998)</w:t>
            </w:r>
            <w:r w:rsidR="00504287" w:rsidRPr="00FE4251">
              <w:t>.  The model therefore did not extrapolate beyond the trial evidence and was limited to costs and consequences associated with one episode of CD flare</w:t>
            </w:r>
            <w:r w:rsidR="00B8254B" w:rsidRPr="00FE4251">
              <w:t xml:space="preserve"> up</w:t>
            </w:r>
            <w:r w:rsidR="00504287" w:rsidRPr="00FE4251">
              <w:t xml:space="preserve"> only.</w:t>
            </w:r>
          </w:p>
        </w:tc>
      </w:tr>
      <w:tr w:rsidR="003C62AB" w:rsidRPr="00FE4251" w:rsidTr="00504287">
        <w:tc>
          <w:tcPr>
            <w:tcW w:w="862" w:type="pct"/>
            <w:shd w:val="clear" w:color="auto" w:fill="auto"/>
            <w:vAlign w:val="center"/>
          </w:tcPr>
          <w:p w:rsidR="003C62AB" w:rsidRPr="00FE4251" w:rsidRDefault="003C62AB" w:rsidP="003C62AB">
            <w:pPr>
              <w:pStyle w:val="TableText"/>
              <w:rPr>
                <w:rFonts w:ascii="Times" w:eastAsia="Times New Roman" w:hAnsi="Times" w:cs="Times New Roman"/>
              </w:rPr>
            </w:pPr>
            <w:r w:rsidRPr="00FE4251">
              <w:t>Outcomes</w:t>
            </w:r>
          </w:p>
        </w:tc>
        <w:tc>
          <w:tcPr>
            <w:tcW w:w="4138" w:type="pct"/>
            <w:shd w:val="clear" w:color="auto" w:fill="auto"/>
            <w:vAlign w:val="center"/>
          </w:tcPr>
          <w:p w:rsidR="003C62AB" w:rsidRPr="00FE4251" w:rsidRDefault="003C62AB" w:rsidP="003C62AB">
            <w:pPr>
              <w:pStyle w:val="TableText"/>
              <w:rPr>
                <w:rFonts w:ascii="Times" w:eastAsia="Times New Roman" w:hAnsi="Times" w:cs="Times New Roman"/>
              </w:rPr>
            </w:pPr>
            <w:r w:rsidRPr="00FE4251">
              <w:t>Remission; quality-adjusted life years.</w:t>
            </w:r>
          </w:p>
        </w:tc>
      </w:tr>
      <w:tr w:rsidR="00C8269C" w:rsidRPr="00FE4251" w:rsidTr="00504287">
        <w:tc>
          <w:tcPr>
            <w:tcW w:w="862" w:type="pct"/>
            <w:shd w:val="clear" w:color="auto" w:fill="auto"/>
            <w:vAlign w:val="center"/>
          </w:tcPr>
          <w:p w:rsidR="00C8269C" w:rsidRPr="00FE4251" w:rsidRDefault="00C8269C" w:rsidP="003C62AB">
            <w:pPr>
              <w:pStyle w:val="TableText"/>
            </w:pPr>
            <w:r w:rsidRPr="00FE4251">
              <w:t>Costs</w:t>
            </w:r>
          </w:p>
        </w:tc>
        <w:tc>
          <w:tcPr>
            <w:tcW w:w="4138" w:type="pct"/>
            <w:shd w:val="clear" w:color="auto" w:fill="auto"/>
            <w:vAlign w:val="center"/>
          </w:tcPr>
          <w:p w:rsidR="00C8269C" w:rsidRPr="00FE4251" w:rsidRDefault="00C8269C" w:rsidP="003C62AB">
            <w:pPr>
              <w:pStyle w:val="TableText"/>
            </w:pPr>
            <w:r w:rsidRPr="00FE4251">
              <w:t xml:space="preserve">The only costs considered in the model were drug costs for </w:t>
            </w:r>
            <w:proofErr w:type="spellStart"/>
            <w:r w:rsidRPr="00FE4251">
              <w:t>mesalazine</w:t>
            </w:r>
            <w:proofErr w:type="spellEnd"/>
            <w:r w:rsidRPr="00FE4251">
              <w:t xml:space="preserve"> and budesonide.</w:t>
            </w:r>
          </w:p>
        </w:tc>
      </w:tr>
      <w:tr w:rsidR="003C62AB" w:rsidRPr="00FE4251" w:rsidTr="00504287">
        <w:tc>
          <w:tcPr>
            <w:tcW w:w="862" w:type="pct"/>
            <w:shd w:val="clear" w:color="auto" w:fill="auto"/>
            <w:vAlign w:val="center"/>
          </w:tcPr>
          <w:p w:rsidR="003C62AB" w:rsidRPr="00FE4251" w:rsidRDefault="003C62AB" w:rsidP="003C62AB">
            <w:pPr>
              <w:pStyle w:val="TableText"/>
              <w:rPr>
                <w:rFonts w:ascii="Times" w:eastAsia="Times New Roman" w:hAnsi="Times" w:cs="Times New Roman"/>
              </w:rPr>
            </w:pPr>
            <w:r w:rsidRPr="00FE4251">
              <w:t>Methods used to generate results</w:t>
            </w:r>
          </w:p>
        </w:tc>
        <w:tc>
          <w:tcPr>
            <w:tcW w:w="4138" w:type="pct"/>
            <w:shd w:val="clear" w:color="auto" w:fill="auto"/>
          </w:tcPr>
          <w:p w:rsidR="003C62AB" w:rsidRPr="00FE4251" w:rsidRDefault="003C62AB" w:rsidP="00183C5B">
            <w:pPr>
              <w:pStyle w:val="TableText"/>
              <w:rPr>
                <w:rFonts w:ascii="Times" w:eastAsia="Times New Roman" w:hAnsi="Times" w:cs="Times New Roman"/>
              </w:rPr>
            </w:pPr>
            <w:r w:rsidRPr="00FE4251">
              <w:t xml:space="preserve">Decision tree model.  </w:t>
            </w:r>
            <w:r w:rsidRPr="00FE4251">
              <w:rPr>
                <w:rFonts w:cs="Courier New"/>
                <w:szCs w:val="20"/>
              </w:rPr>
              <w:t>The model transition probabilities derived from Thomsen 1998.</w:t>
            </w:r>
            <w:r w:rsidR="00504287" w:rsidRPr="00FE4251">
              <w:rPr>
                <w:rFonts w:cs="Courier New"/>
                <w:szCs w:val="20"/>
              </w:rPr>
              <w:t xml:space="preserve">  The model structure is considered simplistic, illustrating the outcomes of treatment limited to a single episode of CD flare up.</w:t>
            </w:r>
            <w:r w:rsidR="00183C5B" w:rsidRPr="00FE4251">
              <w:rPr>
                <w:rFonts w:cs="Courier New"/>
                <w:szCs w:val="20"/>
              </w:rPr>
              <w:t xml:space="preserve">  </w:t>
            </w:r>
          </w:p>
        </w:tc>
      </w:tr>
      <w:tr w:rsidR="003C62AB" w:rsidRPr="00FE4251" w:rsidTr="00504287">
        <w:tc>
          <w:tcPr>
            <w:tcW w:w="862" w:type="pct"/>
            <w:shd w:val="clear" w:color="auto" w:fill="auto"/>
            <w:vAlign w:val="center"/>
          </w:tcPr>
          <w:p w:rsidR="003C62AB" w:rsidRPr="00FE4251" w:rsidRDefault="003C62AB" w:rsidP="003C62AB">
            <w:pPr>
              <w:pStyle w:val="TableText"/>
              <w:rPr>
                <w:rFonts w:ascii="Times" w:eastAsia="Times New Roman" w:hAnsi="Times" w:cs="Times New Roman"/>
              </w:rPr>
            </w:pPr>
            <w:r w:rsidRPr="00FE4251">
              <w:t>Health states</w:t>
            </w:r>
          </w:p>
        </w:tc>
        <w:tc>
          <w:tcPr>
            <w:tcW w:w="4138" w:type="pct"/>
            <w:shd w:val="clear" w:color="auto" w:fill="auto"/>
          </w:tcPr>
          <w:p w:rsidR="003C62AB" w:rsidRPr="00FE4251" w:rsidRDefault="003C62AB" w:rsidP="00763F2D">
            <w:pPr>
              <w:pStyle w:val="TableText"/>
              <w:rPr>
                <w:rFonts w:ascii="Times" w:eastAsia="Times New Roman" w:hAnsi="Times" w:cs="Times New Roman"/>
              </w:rPr>
            </w:pPr>
            <w:r w:rsidRPr="00FE4251">
              <w:t xml:space="preserve">Remission (CDAI </w:t>
            </w:r>
            <w:r w:rsidRPr="00FE4251">
              <w:rPr>
                <w:u w:val="single"/>
              </w:rPr>
              <w:t>&lt;</w:t>
            </w:r>
            <w:r w:rsidR="00183C5B" w:rsidRPr="00FE4251">
              <w:t xml:space="preserve"> 150); A</w:t>
            </w:r>
            <w:r w:rsidRPr="00FE4251">
              <w:t>ctive CD (CDAI &gt; 150).</w:t>
            </w:r>
            <w:r w:rsidR="00C8269C" w:rsidRPr="00FE4251">
              <w:t xml:space="preserve">  Patients started in the “Active CD” health state and can only achieve remission at Weeks 2, 4 and 8 (</w:t>
            </w:r>
            <w:r w:rsidR="00C445E2" w:rsidRPr="00FE4251">
              <w:t>i.e.</w:t>
            </w:r>
            <w:r w:rsidR="00C8269C" w:rsidRPr="00FE4251">
              <w:t xml:space="preserve"> matching data points from Thomsen 1998).  Patients could also move back to the “Active CD” health state given </w:t>
            </w:r>
            <w:r w:rsidR="00763F2D" w:rsidRPr="00FE4251">
              <w:t xml:space="preserve">the </w:t>
            </w:r>
            <w:r w:rsidR="00C8269C" w:rsidRPr="00FE4251">
              <w:t>trial data used.</w:t>
            </w:r>
          </w:p>
        </w:tc>
      </w:tr>
      <w:tr w:rsidR="003C62AB" w:rsidRPr="00FE4251" w:rsidTr="00504287">
        <w:tc>
          <w:tcPr>
            <w:tcW w:w="862" w:type="pct"/>
            <w:shd w:val="clear" w:color="auto" w:fill="auto"/>
            <w:vAlign w:val="center"/>
          </w:tcPr>
          <w:p w:rsidR="003C62AB" w:rsidRPr="00FE4251" w:rsidRDefault="003C62AB" w:rsidP="003C62AB">
            <w:pPr>
              <w:pStyle w:val="TableText"/>
              <w:rPr>
                <w:rFonts w:ascii="Times" w:eastAsia="Times New Roman" w:hAnsi="Times" w:cs="Times New Roman"/>
              </w:rPr>
            </w:pPr>
            <w:r w:rsidRPr="00FE4251">
              <w:t>Utilities</w:t>
            </w:r>
          </w:p>
        </w:tc>
        <w:tc>
          <w:tcPr>
            <w:tcW w:w="4138" w:type="pct"/>
            <w:shd w:val="clear" w:color="auto" w:fill="auto"/>
            <w:vAlign w:val="center"/>
          </w:tcPr>
          <w:p w:rsidR="003C62AB" w:rsidRPr="00FE4251" w:rsidRDefault="003C62AB" w:rsidP="003C62AB">
            <w:pPr>
              <w:pStyle w:val="TableText"/>
              <w:rPr>
                <w:rFonts w:ascii="Times" w:eastAsia="Times New Roman" w:hAnsi="Times" w:cs="Times New Roman"/>
              </w:rPr>
            </w:pPr>
            <w:r w:rsidRPr="00FE4251">
              <w:t xml:space="preserve">Sourced from </w:t>
            </w:r>
            <w:proofErr w:type="spellStart"/>
            <w:r w:rsidRPr="00FE4251">
              <w:t>Gregor</w:t>
            </w:r>
            <w:proofErr w:type="spellEnd"/>
            <w:r w:rsidRPr="00FE4251">
              <w:t xml:space="preserve"> 1997 in the literature. 0.92 </w:t>
            </w:r>
            <w:proofErr w:type="gramStart"/>
            <w:r w:rsidRPr="00FE4251">
              <w:t>for</w:t>
            </w:r>
            <w:proofErr w:type="gramEnd"/>
            <w:r w:rsidRPr="00FE4251">
              <w:t xml:space="preserve"> remission and 0.81 for active CD.</w:t>
            </w:r>
          </w:p>
        </w:tc>
      </w:tr>
      <w:tr w:rsidR="003C62AB" w:rsidRPr="00FE4251" w:rsidTr="00504287">
        <w:tc>
          <w:tcPr>
            <w:tcW w:w="862" w:type="pct"/>
            <w:shd w:val="clear" w:color="auto" w:fill="auto"/>
            <w:vAlign w:val="center"/>
          </w:tcPr>
          <w:p w:rsidR="003C62AB" w:rsidRPr="00FE4251" w:rsidRDefault="003C62AB" w:rsidP="003C62AB">
            <w:pPr>
              <w:pStyle w:val="TableText"/>
              <w:rPr>
                <w:rFonts w:ascii="Times" w:eastAsia="Times New Roman" w:hAnsi="Times" w:cs="Times New Roman"/>
              </w:rPr>
            </w:pPr>
            <w:r w:rsidRPr="00FE4251">
              <w:t>Cycle length</w:t>
            </w:r>
          </w:p>
        </w:tc>
        <w:tc>
          <w:tcPr>
            <w:tcW w:w="4138" w:type="pct"/>
            <w:shd w:val="clear" w:color="auto" w:fill="auto"/>
            <w:vAlign w:val="center"/>
          </w:tcPr>
          <w:p w:rsidR="003C62AB" w:rsidRPr="00FE4251" w:rsidRDefault="003C62AB" w:rsidP="003C62AB">
            <w:pPr>
              <w:pStyle w:val="TableText"/>
            </w:pPr>
            <w:r w:rsidRPr="00FE4251">
              <w:t xml:space="preserve">2 weeks up to Week 4; then 4 weeks </w:t>
            </w:r>
          </w:p>
          <w:p w:rsidR="003C62AB" w:rsidRPr="00FE4251" w:rsidRDefault="003C62AB" w:rsidP="003C62AB">
            <w:pPr>
              <w:pStyle w:val="TableText"/>
            </w:pPr>
            <w:r w:rsidRPr="00FE4251">
              <w:t>(patients can move between health states at Weeks 2, 4, 8, 12)</w:t>
            </w:r>
          </w:p>
          <w:p w:rsidR="0009685B" w:rsidRPr="00FE4251" w:rsidRDefault="0009685B" w:rsidP="003C62AB">
            <w:pPr>
              <w:pStyle w:val="TableText"/>
              <w:rPr>
                <w:rFonts w:ascii="Times" w:eastAsia="Times New Roman" w:hAnsi="Times" w:cs="Times New Roman"/>
              </w:rPr>
            </w:pPr>
            <w:r w:rsidRPr="00FE4251">
              <w:t xml:space="preserve">The ESC </w:t>
            </w:r>
            <w:r w:rsidR="00F92981" w:rsidRPr="00FE4251">
              <w:t>noted that the model assumed that transitions began at each 2-week cycle and hence allowed more time to be spent in remission. The ESC considered that this approach favours budesonide.</w:t>
            </w:r>
          </w:p>
        </w:tc>
      </w:tr>
      <w:tr w:rsidR="003C62AB" w:rsidRPr="00FE4251" w:rsidTr="00504287">
        <w:tc>
          <w:tcPr>
            <w:tcW w:w="862" w:type="pct"/>
            <w:shd w:val="clear" w:color="auto" w:fill="auto"/>
            <w:vAlign w:val="center"/>
          </w:tcPr>
          <w:p w:rsidR="003C62AB" w:rsidRPr="00FE4251" w:rsidRDefault="003C62AB" w:rsidP="003C62AB">
            <w:pPr>
              <w:pStyle w:val="TableText"/>
              <w:rPr>
                <w:rFonts w:ascii="Times" w:eastAsia="Times New Roman" w:hAnsi="Times" w:cs="Times New Roman"/>
              </w:rPr>
            </w:pPr>
            <w:r w:rsidRPr="00FE4251">
              <w:t>Transition probabilities</w:t>
            </w:r>
          </w:p>
        </w:tc>
        <w:tc>
          <w:tcPr>
            <w:tcW w:w="4138" w:type="pct"/>
            <w:shd w:val="clear" w:color="auto" w:fill="auto"/>
            <w:vAlign w:val="center"/>
          </w:tcPr>
          <w:p w:rsidR="003C62AB" w:rsidRPr="00FE4251" w:rsidRDefault="00183C5B" w:rsidP="00183C5B">
            <w:pPr>
              <w:pStyle w:val="TableText"/>
              <w:rPr>
                <w:rFonts w:ascii="Times" w:eastAsia="Times New Roman" w:hAnsi="Times" w:cs="Times New Roman"/>
              </w:rPr>
            </w:pPr>
            <w:r w:rsidRPr="00FE4251">
              <w:t xml:space="preserve">Informed by the proportions of patients in remission at Weeks 2, 4 and 8 </w:t>
            </w:r>
            <w:r w:rsidR="003C62AB" w:rsidRPr="00FE4251">
              <w:t>(Thomsen 1998)</w:t>
            </w:r>
            <w:r w:rsidRPr="00FE4251">
              <w:t>.</w:t>
            </w:r>
          </w:p>
        </w:tc>
      </w:tr>
    </w:tbl>
    <w:p w:rsidR="001103C2" w:rsidRPr="00FE4251" w:rsidRDefault="001103C2" w:rsidP="001103C2">
      <w:pPr>
        <w:pStyle w:val="TableFooter"/>
      </w:pPr>
      <w:r w:rsidRPr="00FE4251">
        <w:t>Source:</w:t>
      </w:r>
      <w:r w:rsidR="00585A4E" w:rsidRPr="00FE4251">
        <w:rPr>
          <w:iCs/>
        </w:rPr>
        <w:t xml:space="preserve"> Attachment 13 of the submission: </w:t>
      </w:r>
      <w:proofErr w:type="spellStart"/>
      <w:r w:rsidR="00585A4E" w:rsidRPr="00FE4251">
        <w:rPr>
          <w:iCs/>
        </w:rPr>
        <w:t>Entocort</w:t>
      </w:r>
      <w:proofErr w:type="spellEnd"/>
      <w:r w:rsidR="00585A4E" w:rsidRPr="00FE4251">
        <w:rPr>
          <w:iCs/>
        </w:rPr>
        <w:t xml:space="preserve"> economic model.</w:t>
      </w:r>
      <w:r w:rsidRPr="00FE4251">
        <w:t xml:space="preserve"> </w:t>
      </w:r>
    </w:p>
    <w:p w:rsidR="004244B8" w:rsidRPr="00FE4251" w:rsidRDefault="004244B8" w:rsidP="001D7BAE">
      <w:pPr>
        <w:pStyle w:val="ListParagraph"/>
        <w:numPr>
          <w:ilvl w:val="1"/>
          <w:numId w:val="1"/>
        </w:numPr>
        <w:spacing w:before="0" w:after="120"/>
        <w:ind w:left="567" w:hanging="578"/>
        <w:jc w:val="both"/>
      </w:pPr>
      <w:r w:rsidRPr="00FE4251">
        <w:t>The submission presented (</w:t>
      </w:r>
      <w:proofErr w:type="spellStart"/>
      <w:r w:rsidRPr="00FE4251">
        <w:t>i</w:t>
      </w:r>
      <w:proofErr w:type="spellEnd"/>
      <w:r w:rsidRPr="00FE4251">
        <w:t xml:space="preserve">) an 8-week analysis (ii) a 12-week analysis with dose tapering for </w:t>
      </w:r>
      <w:r w:rsidR="00303C94" w:rsidRPr="00FE4251">
        <w:t>budesonide</w:t>
      </w:r>
      <w:r w:rsidRPr="00FE4251">
        <w:t xml:space="preserve"> and (iii) a 12-week analysis with no dose tapering.  </w:t>
      </w:r>
      <w:r w:rsidR="00C8269C" w:rsidRPr="00FE4251">
        <w:t xml:space="preserve">Key drivers of the model are presented in Table 7.  </w:t>
      </w:r>
      <w:r w:rsidRPr="00FE4251">
        <w:rPr>
          <w:iCs/>
        </w:rPr>
        <w:t xml:space="preserve">The </w:t>
      </w:r>
      <w:r w:rsidR="003B6861" w:rsidRPr="00FE4251">
        <w:rPr>
          <w:iCs/>
        </w:rPr>
        <w:t xml:space="preserve">PBAC noted the </w:t>
      </w:r>
      <w:r w:rsidRPr="00FE4251">
        <w:rPr>
          <w:iCs/>
        </w:rPr>
        <w:t>results</w:t>
      </w:r>
      <w:r w:rsidR="00C8269C" w:rsidRPr="00FE4251">
        <w:rPr>
          <w:iCs/>
        </w:rPr>
        <w:t xml:space="preserve"> were very sensitive to the assumed r</w:t>
      </w:r>
      <w:r w:rsidR="0021613B" w:rsidRPr="00FE4251">
        <w:rPr>
          <w:iCs/>
        </w:rPr>
        <w:t xml:space="preserve">emission rates for both treatments </w:t>
      </w:r>
      <w:r w:rsidR="00C8269C" w:rsidRPr="00FE4251">
        <w:rPr>
          <w:iCs/>
        </w:rPr>
        <w:t>and drug costs.</w:t>
      </w:r>
    </w:p>
    <w:p w:rsidR="001103C2" w:rsidRPr="00FE4251" w:rsidRDefault="000F66EA" w:rsidP="001103C2">
      <w:pPr>
        <w:pStyle w:val="TableHeading0"/>
      </w:pPr>
      <w:r w:rsidRPr="00FE4251">
        <w:t>Table 7</w:t>
      </w:r>
      <w:r w:rsidR="001103C2" w:rsidRPr="00FE4251">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5"/>
        <w:gridCol w:w="5426"/>
        <w:gridCol w:w="2091"/>
      </w:tblGrid>
      <w:tr w:rsidR="001103C2" w:rsidRPr="00FE4251" w:rsidTr="00A15606">
        <w:trPr>
          <w:tblHeader/>
        </w:trPr>
        <w:tc>
          <w:tcPr>
            <w:tcW w:w="862" w:type="pct"/>
            <w:shd w:val="clear" w:color="auto" w:fill="auto"/>
            <w:vAlign w:val="center"/>
          </w:tcPr>
          <w:p w:rsidR="001103C2" w:rsidRPr="00FE4251" w:rsidRDefault="001103C2" w:rsidP="00DA6A6B">
            <w:pPr>
              <w:pStyle w:val="TableText"/>
              <w:rPr>
                <w:b/>
              </w:rPr>
            </w:pPr>
            <w:r w:rsidRPr="00FE4251">
              <w:rPr>
                <w:b/>
              </w:rPr>
              <w:t>Description</w:t>
            </w:r>
          </w:p>
        </w:tc>
        <w:tc>
          <w:tcPr>
            <w:tcW w:w="2987" w:type="pct"/>
            <w:shd w:val="clear" w:color="auto" w:fill="auto"/>
            <w:vAlign w:val="center"/>
          </w:tcPr>
          <w:p w:rsidR="001103C2" w:rsidRPr="00FE4251" w:rsidRDefault="001103C2" w:rsidP="00DA6A6B">
            <w:pPr>
              <w:pStyle w:val="TableText"/>
              <w:rPr>
                <w:b/>
              </w:rPr>
            </w:pPr>
            <w:r w:rsidRPr="00FE4251">
              <w:rPr>
                <w:b/>
              </w:rPr>
              <w:t>Method/Value</w:t>
            </w:r>
          </w:p>
        </w:tc>
        <w:tc>
          <w:tcPr>
            <w:tcW w:w="1151" w:type="pct"/>
            <w:shd w:val="clear" w:color="auto" w:fill="auto"/>
            <w:vAlign w:val="center"/>
          </w:tcPr>
          <w:p w:rsidR="001103C2" w:rsidRPr="00FE4251" w:rsidRDefault="001103C2" w:rsidP="000F66EA">
            <w:pPr>
              <w:pStyle w:val="TableText"/>
              <w:jc w:val="center"/>
              <w:rPr>
                <w:b/>
              </w:rPr>
            </w:pPr>
            <w:r w:rsidRPr="00FE4251">
              <w:rPr>
                <w:b/>
              </w:rPr>
              <w:t>Impact</w:t>
            </w:r>
          </w:p>
        </w:tc>
      </w:tr>
      <w:tr w:rsidR="00C30C97" w:rsidRPr="00FE4251" w:rsidTr="00A15606">
        <w:tc>
          <w:tcPr>
            <w:tcW w:w="862" w:type="pct"/>
            <w:shd w:val="clear" w:color="auto" w:fill="auto"/>
            <w:vAlign w:val="center"/>
          </w:tcPr>
          <w:p w:rsidR="00C30C97" w:rsidRPr="00FE4251" w:rsidRDefault="00C30C97" w:rsidP="00C30C97">
            <w:pPr>
              <w:pStyle w:val="TableText"/>
            </w:pPr>
            <w:r w:rsidRPr="00FE4251">
              <w:t>Remission rates</w:t>
            </w:r>
          </w:p>
        </w:tc>
        <w:tc>
          <w:tcPr>
            <w:tcW w:w="2987" w:type="pct"/>
            <w:shd w:val="clear" w:color="auto" w:fill="auto"/>
            <w:vAlign w:val="center"/>
          </w:tcPr>
          <w:p w:rsidR="00C30C97" w:rsidRPr="00FE4251" w:rsidRDefault="00C30C97" w:rsidP="0071260D">
            <w:pPr>
              <w:pStyle w:val="TableText"/>
            </w:pPr>
            <w:r w:rsidRPr="00FE4251">
              <w:t>Taken from primary trial (Thomsen 1998)</w:t>
            </w:r>
            <w:r w:rsidR="006B0D21" w:rsidRPr="00FE4251">
              <w:t xml:space="preserve">.  </w:t>
            </w:r>
            <w:r w:rsidR="005A51A6" w:rsidRPr="00FE4251">
              <w:t xml:space="preserve">This contrasted with results of </w:t>
            </w:r>
            <w:proofErr w:type="spellStart"/>
            <w:r w:rsidR="005A51A6" w:rsidRPr="00FE4251">
              <w:t>Tromm</w:t>
            </w:r>
            <w:proofErr w:type="spellEnd"/>
            <w:r w:rsidR="005A51A6" w:rsidRPr="00FE4251">
              <w:t xml:space="preserve"> 2011 which showed no significant difference between budesonide (</w:t>
            </w:r>
            <w:proofErr w:type="spellStart"/>
            <w:r w:rsidR="005A51A6" w:rsidRPr="00FE4251">
              <w:t>Budenofalk</w:t>
            </w:r>
            <w:proofErr w:type="spellEnd"/>
            <w:r w:rsidR="005A51A6" w:rsidRPr="00FE4251">
              <w:t>®</w:t>
            </w:r>
            <w:r w:rsidR="00B51E28" w:rsidRPr="00FE4251">
              <w:t>)</w:t>
            </w:r>
            <w:r w:rsidR="005A51A6" w:rsidRPr="00FE4251">
              <w:t xml:space="preserve"> and </w:t>
            </w:r>
            <w:proofErr w:type="spellStart"/>
            <w:r w:rsidR="005A51A6" w:rsidRPr="00FE4251">
              <w:t>mesalazine</w:t>
            </w:r>
            <w:proofErr w:type="spellEnd"/>
            <w:r w:rsidR="0071260D" w:rsidRPr="00FE4251">
              <w:t xml:space="preserve"> 4.5</w:t>
            </w:r>
            <w:r w:rsidR="00230243" w:rsidRPr="00FE4251">
              <w:t xml:space="preserve"> </w:t>
            </w:r>
            <w:r w:rsidR="0071260D" w:rsidRPr="00FE4251">
              <w:t xml:space="preserve">g/day.  Comparative efficacy between budesonide and </w:t>
            </w:r>
            <w:proofErr w:type="spellStart"/>
            <w:r w:rsidR="0071260D" w:rsidRPr="00FE4251">
              <w:t>mesalazine</w:t>
            </w:r>
            <w:proofErr w:type="spellEnd"/>
            <w:r w:rsidR="0071260D" w:rsidRPr="00FE4251">
              <w:t xml:space="preserve"> appeared to be highly dose dependent (see Interpretation of Clinical Evidence).</w:t>
            </w:r>
          </w:p>
        </w:tc>
        <w:tc>
          <w:tcPr>
            <w:tcW w:w="1151" w:type="pct"/>
            <w:shd w:val="clear" w:color="auto" w:fill="auto"/>
            <w:vAlign w:val="center"/>
          </w:tcPr>
          <w:p w:rsidR="00C30C97" w:rsidRPr="00FE4251" w:rsidRDefault="00C30C97" w:rsidP="000F66EA">
            <w:pPr>
              <w:pStyle w:val="TableText"/>
              <w:jc w:val="center"/>
            </w:pPr>
            <w:r w:rsidRPr="00FE4251">
              <w:t>High</w:t>
            </w:r>
            <w:r w:rsidR="005A51A6" w:rsidRPr="00FE4251">
              <w:t>, favours</w:t>
            </w:r>
            <w:r w:rsidR="0071260D" w:rsidRPr="00FE4251">
              <w:t xml:space="preserve"> budesonide</w:t>
            </w:r>
          </w:p>
        </w:tc>
      </w:tr>
      <w:tr w:rsidR="00C30C97" w:rsidRPr="00FE4251" w:rsidTr="00A15606">
        <w:tc>
          <w:tcPr>
            <w:tcW w:w="862" w:type="pct"/>
            <w:shd w:val="clear" w:color="auto" w:fill="auto"/>
            <w:vAlign w:val="center"/>
          </w:tcPr>
          <w:p w:rsidR="00C30C97" w:rsidRPr="00FE4251" w:rsidRDefault="00C30C97" w:rsidP="00C30C97">
            <w:pPr>
              <w:pStyle w:val="TableText"/>
            </w:pPr>
            <w:r w:rsidRPr="00FE4251">
              <w:t xml:space="preserve">Cost of </w:t>
            </w:r>
            <w:proofErr w:type="spellStart"/>
            <w:r w:rsidRPr="00FE4251">
              <w:t>mesalazine</w:t>
            </w:r>
            <w:proofErr w:type="spellEnd"/>
          </w:p>
        </w:tc>
        <w:tc>
          <w:tcPr>
            <w:tcW w:w="2987" w:type="pct"/>
            <w:shd w:val="clear" w:color="auto" w:fill="auto"/>
            <w:vAlign w:val="center"/>
          </w:tcPr>
          <w:p w:rsidR="00C30C97" w:rsidRPr="00FE4251" w:rsidRDefault="00C30C97" w:rsidP="00580D2F">
            <w:pPr>
              <w:pStyle w:val="TableText"/>
            </w:pPr>
            <w:r w:rsidRPr="00FE4251">
              <w:t>Base case use</w:t>
            </w:r>
            <w:r w:rsidR="0071260D" w:rsidRPr="00FE4251">
              <w:t>d</w:t>
            </w:r>
            <w:r w:rsidRPr="00FE4251">
              <w:t xml:space="preserve"> the weighted average cost, weighted by </w:t>
            </w:r>
            <w:r w:rsidR="00580D2F" w:rsidRPr="00FE4251">
              <w:t xml:space="preserve">current PBS utilisations of each </w:t>
            </w:r>
            <w:r w:rsidRPr="00FE4251">
              <w:t xml:space="preserve">formulation/brand of </w:t>
            </w:r>
            <w:proofErr w:type="spellStart"/>
            <w:r w:rsidRPr="00FE4251">
              <w:t>mesalazine</w:t>
            </w:r>
            <w:proofErr w:type="spellEnd"/>
            <w:r w:rsidR="006B0D21" w:rsidRPr="00FE4251">
              <w:t xml:space="preserve">.  </w:t>
            </w:r>
            <w:r w:rsidR="00580D2F" w:rsidRPr="00FE4251">
              <w:t>Co</w:t>
            </w:r>
            <w:r w:rsidR="006B0D21" w:rsidRPr="00FE4251">
              <w:t xml:space="preserve">st offsets associated with </w:t>
            </w:r>
            <w:proofErr w:type="spellStart"/>
            <w:r w:rsidR="006B0D21" w:rsidRPr="00FE4251">
              <w:t>Mesasal</w:t>
            </w:r>
            <w:proofErr w:type="spellEnd"/>
            <w:r w:rsidR="006B0D21" w:rsidRPr="00FE4251">
              <w:t xml:space="preserve">® was the greatest, however, it is unlikely </w:t>
            </w:r>
            <w:proofErr w:type="spellStart"/>
            <w:r w:rsidR="006B0D21" w:rsidRPr="00FE4251">
              <w:t>Mesasal</w:t>
            </w:r>
            <w:proofErr w:type="spellEnd"/>
            <w:r w:rsidR="006B0D21" w:rsidRPr="00FE4251">
              <w:t>® will be the most substituted since its PI does not recommend doses above 1.5 g/day.</w:t>
            </w:r>
          </w:p>
        </w:tc>
        <w:tc>
          <w:tcPr>
            <w:tcW w:w="1151" w:type="pct"/>
            <w:shd w:val="clear" w:color="auto" w:fill="auto"/>
            <w:vAlign w:val="center"/>
          </w:tcPr>
          <w:p w:rsidR="00C30C97" w:rsidRPr="00FE4251" w:rsidRDefault="00C30C97" w:rsidP="000F66EA">
            <w:pPr>
              <w:pStyle w:val="TableText"/>
              <w:jc w:val="center"/>
            </w:pPr>
            <w:r w:rsidRPr="00FE4251">
              <w:t>High</w:t>
            </w:r>
            <w:r w:rsidR="00580D2F" w:rsidRPr="00FE4251">
              <w:t>, favours budesonide</w:t>
            </w:r>
          </w:p>
        </w:tc>
      </w:tr>
      <w:tr w:rsidR="00C30C97" w:rsidRPr="00FE4251" w:rsidTr="00A15606">
        <w:tc>
          <w:tcPr>
            <w:tcW w:w="862" w:type="pct"/>
            <w:shd w:val="clear" w:color="auto" w:fill="auto"/>
            <w:vAlign w:val="center"/>
          </w:tcPr>
          <w:p w:rsidR="00C30C97" w:rsidRPr="00FE4251" w:rsidRDefault="000F66EA" w:rsidP="00C30C97">
            <w:pPr>
              <w:pStyle w:val="TableText"/>
            </w:pPr>
            <w:r w:rsidRPr="00FE4251">
              <w:t>Cost of budesonide</w:t>
            </w:r>
          </w:p>
        </w:tc>
        <w:tc>
          <w:tcPr>
            <w:tcW w:w="2987" w:type="pct"/>
            <w:shd w:val="clear" w:color="auto" w:fill="auto"/>
            <w:vAlign w:val="center"/>
          </w:tcPr>
          <w:p w:rsidR="00C30C97" w:rsidRPr="00FE4251" w:rsidRDefault="000F66EA" w:rsidP="00580D2F">
            <w:pPr>
              <w:pStyle w:val="TableText"/>
            </w:pPr>
            <w:r w:rsidRPr="00FE4251">
              <w:t>70.5% of the model’s estimated savings for budesonide</w:t>
            </w:r>
            <w:r w:rsidR="00580D2F" w:rsidRPr="00FE4251">
              <w:t xml:space="preserve"> (versus </w:t>
            </w:r>
            <w:proofErr w:type="spellStart"/>
            <w:r w:rsidR="00580D2F" w:rsidRPr="00FE4251">
              <w:t>mesalazine</w:t>
            </w:r>
            <w:proofErr w:type="spellEnd"/>
            <w:r w:rsidR="00580D2F" w:rsidRPr="00FE4251">
              <w:t>)</w:t>
            </w:r>
            <w:r w:rsidRPr="00FE4251">
              <w:t xml:space="preserve"> came from</w:t>
            </w:r>
            <w:r w:rsidR="00580D2F" w:rsidRPr="00FE4251">
              <w:t xml:space="preserve"> the reduced treatment costs in the </w:t>
            </w:r>
            <w:r w:rsidR="00F80DD5" w:rsidRPr="00FE4251">
              <w:t>4</w:t>
            </w:r>
            <w:r w:rsidR="00D06AE5" w:rsidRPr="00FE4251">
              <w:t xml:space="preserve"> </w:t>
            </w:r>
            <w:r w:rsidR="00F80DD5" w:rsidRPr="00FE4251">
              <w:t xml:space="preserve">week </w:t>
            </w:r>
            <w:r w:rsidRPr="00FE4251">
              <w:t xml:space="preserve">dose tapering phase (halving treatment costs).  If clinicians should </w:t>
            </w:r>
            <w:r w:rsidR="00580D2F" w:rsidRPr="00FE4251">
              <w:t>opt for a</w:t>
            </w:r>
            <w:r w:rsidRPr="00FE4251">
              <w:t xml:space="preserve"> short</w:t>
            </w:r>
            <w:r w:rsidR="00F80DD5" w:rsidRPr="00FE4251">
              <w:t>er 2 week</w:t>
            </w:r>
            <w:r w:rsidRPr="00FE4251">
              <w:t xml:space="preserve"> dose tapering </w:t>
            </w:r>
            <w:r w:rsidR="00580D2F" w:rsidRPr="00FE4251">
              <w:t xml:space="preserve">duration, </w:t>
            </w:r>
            <w:r w:rsidRPr="00FE4251">
              <w:t>then this would significantly increase cost of budesonide therapy.</w:t>
            </w:r>
          </w:p>
        </w:tc>
        <w:tc>
          <w:tcPr>
            <w:tcW w:w="1151" w:type="pct"/>
            <w:shd w:val="clear" w:color="auto" w:fill="auto"/>
            <w:vAlign w:val="center"/>
          </w:tcPr>
          <w:p w:rsidR="00C30C97" w:rsidRPr="00FE4251" w:rsidRDefault="00C30C97" w:rsidP="003A32D2">
            <w:pPr>
              <w:pStyle w:val="TableText"/>
              <w:jc w:val="center"/>
            </w:pPr>
            <w:r w:rsidRPr="00FE4251">
              <w:t>High</w:t>
            </w:r>
            <w:r w:rsidR="00F80DD5" w:rsidRPr="00FE4251">
              <w:t xml:space="preserve">, </w:t>
            </w:r>
            <w:r w:rsidR="00580D2F" w:rsidRPr="00FE4251">
              <w:t>favours budesonide</w:t>
            </w:r>
          </w:p>
        </w:tc>
      </w:tr>
    </w:tbl>
    <w:p w:rsidR="001103C2" w:rsidRPr="00FE4251" w:rsidRDefault="001103C2" w:rsidP="000931DC">
      <w:pPr>
        <w:pStyle w:val="TableFooter"/>
      </w:pPr>
      <w:r w:rsidRPr="00FE4251">
        <w:t xml:space="preserve">Source: </w:t>
      </w:r>
      <w:r w:rsidR="0021613B" w:rsidRPr="00FE4251">
        <w:t xml:space="preserve">compiled during the evaluation based on the results of </w:t>
      </w:r>
      <w:r w:rsidR="000931DC" w:rsidRPr="00FE4251">
        <w:rPr>
          <w:iCs/>
        </w:rPr>
        <w:t xml:space="preserve">Attachment 13 of the submission: </w:t>
      </w:r>
      <w:proofErr w:type="spellStart"/>
      <w:r w:rsidR="000931DC" w:rsidRPr="00FE4251">
        <w:rPr>
          <w:iCs/>
        </w:rPr>
        <w:t>Entocort</w:t>
      </w:r>
      <w:proofErr w:type="spellEnd"/>
      <w:r w:rsidR="000931DC" w:rsidRPr="00FE4251">
        <w:rPr>
          <w:iCs/>
        </w:rPr>
        <w:t xml:space="preserve"> economic model.</w:t>
      </w:r>
    </w:p>
    <w:p w:rsidR="009C77A7" w:rsidRDefault="009C77A7">
      <w:pPr>
        <w:spacing w:before="0" w:line="259" w:lineRule="auto"/>
      </w:pPr>
      <w:r>
        <w:br w:type="page"/>
      </w:r>
    </w:p>
    <w:p w:rsidR="00D9465A" w:rsidRPr="00FE4251" w:rsidRDefault="00D9465A" w:rsidP="001D7BAE">
      <w:pPr>
        <w:pStyle w:val="ListParagraph"/>
        <w:numPr>
          <w:ilvl w:val="1"/>
          <w:numId w:val="1"/>
        </w:numPr>
        <w:spacing w:before="0" w:after="120"/>
        <w:ind w:left="567" w:hanging="578"/>
        <w:jc w:val="both"/>
      </w:pPr>
      <w:r w:rsidRPr="00FE4251">
        <w:t>Table</w:t>
      </w:r>
      <w:r w:rsidRPr="00FE4251">
        <w:rPr>
          <w:rFonts w:cstheme="minorHAnsi"/>
        </w:rPr>
        <w:t xml:space="preserve"> 8 summarises the results of the stepped economic evaluation.</w:t>
      </w:r>
    </w:p>
    <w:p w:rsidR="001103C2" w:rsidRPr="00FE4251" w:rsidRDefault="001103C2" w:rsidP="001103C2">
      <w:pPr>
        <w:pStyle w:val="TableHeading0"/>
      </w:pPr>
      <w:r w:rsidRPr="00FE4251">
        <w:t>Table</w:t>
      </w:r>
      <w:r w:rsidR="00FA17A9" w:rsidRPr="00FE4251">
        <w:t xml:space="preserve"> </w:t>
      </w:r>
      <w:r w:rsidR="00D9465A" w:rsidRPr="00FE4251">
        <w:t>8</w:t>
      </w:r>
      <w:r w:rsidRPr="00FE4251">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8"/>
        <w:gridCol w:w="2314"/>
        <w:gridCol w:w="1522"/>
      </w:tblGrid>
      <w:tr w:rsidR="005D42BF" w:rsidRPr="00FE4251" w:rsidTr="0021613B">
        <w:trPr>
          <w:tblHeader/>
        </w:trPr>
        <w:tc>
          <w:tcPr>
            <w:tcW w:w="1529" w:type="pct"/>
            <w:vAlign w:val="center"/>
          </w:tcPr>
          <w:p w:rsidR="005D42BF" w:rsidRPr="00FE4251" w:rsidRDefault="005D42BF" w:rsidP="0021613B">
            <w:pPr>
              <w:keepNext/>
              <w:spacing w:before="0" w:after="0"/>
              <w:rPr>
                <w:rFonts w:ascii="Arial Narrow" w:hAnsi="Arial Narrow"/>
                <w:b/>
                <w:sz w:val="20"/>
              </w:rPr>
            </w:pPr>
            <w:r w:rsidRPr="00FE4251">
              <w:rPr>
                <w:rFonts w:ascii="Arial Narrow" w:hAnsi="Arial Narrow"/>
                <w:b/>
                <w:sz w:val="20"/>
              </w:rPr>
              <w:t>Step and component</w:t>
            </w:r>
          </w:p>
        </w:tc>
        <w:tc>
          <w:tcPr>
            <w:tcW w:w="1359" w:type="pct"/>
            <w:vAlign w:val="center"/>
          </w:tcPr>
          <w:p w:rsidR="005D42BF" w:rsidRPr="00FE4251" w:rsidRDefault="005D42BF" w:rsidP="0021613B">
            <w:pPr>
              <w:keepNext/>
              <w:spacing w:before="0" w:after="0"/>
              <w:jc w:val="center"/>
              <w:rPr>
                <w:rFonts w:ascii="Arial Narrow" w:hAnsi="Arial Narrow"/>
                <w:b/>
                <w:sz w:val="20"/>
              </w:rPr>
            </w:pPr>
            <w:r w:rsidRPr="00FE4251">
              <w:rPr>
                <w:rFonts w:ascii="Arial Narrow" w:hAnsi="Arial Narrow"/>
                <w:b/>
                <w:sz w:val="20"/>
              </w:rPr>
              <w:t>Budesonide</w:t>
            </w:r>
          </w:p>
        </w:tc>
        <w:tc>
          <w:tcPr>
            <w:tcW w:w="1274" w:type="pct"/>
            <w:vAlign w:val="center"/>
          </w:tcPr>
          <w:p w:rsidR="005D42BF" w:rsidRPr="00FE4251" w:rsidRDefault="005D42BF" w:rsidP="0021613B">
            <w:pPr>
              <w:keepNext/>
              <w:spacing w:before="0" w:after="0"/>
              <w:jc w:val="center"/>
              <w:rPr>
                <w:rFonts w:ascii="Arial Narrow" w:hAnsi="Arial Narrow"/>
                <w:b/>
                <w:sz w:val="20"/>
              </w:rPr>
            </w:pPr>
            <w:proofErr w:type="spellStart"/>
            <w:r w:rsidRPr="00FE4251">
              <w:rPr>
                <w:rFonts w:ascii="Arial Narrow" w:hAnsi="Arial Narrow"/>
                <w:b/>
                <w:sz w:val="20"/>
              </w:rPr>
              <w:t>Mesalazine</w:t>
            </w:r>
            <w:proofErr w:type="spellEnd"/>
          </w:p>
        </w:tc>
        <w:tc>
          <w:tcPr>
            <w:tcW w:w="838" w:type="pct"/>
            <w:vAlign w:val="center"/>
          </w:tcPr>
          <w:p w:rsidR="005D42BF" w:rsidRPr="00FE4251" w:rsidRDefault="005D42BF" w:rsidP="0021613B">
            <w:pPr>
              <w:keepNext/>
              <w:spacing w:before="0" w:after="0"/>
              <w:jc w:val="center"/>
              <w:rPr>
                <w:rFonts w:ascii="Arial Narrow" w:hAnsi="Arial Narrow"/>
                <w:b/>
                <w:sz w:val="20"/>
              </w:rPr>
            </w:pPr>
            <w:r w:rsidRPr="00FE4251">
              <w:rPr>
                <w:rFonts w:ascii="Arial Narrow" w:hAnsi="Arial Narrow"/>
                <w:b/>
                <w:sz w:val="20"/>
              </w:rPr>
              <w:t>Increment</w:t>
            </w:r>
          </w:p>
        </w:tc>
      </w:tr>
      <w:tr w:rsidR="005D42BF" w:rsidRPr="00FE4251" w:rsidTr="0021613B">
        <w:tc>
          <w:tcPr>
            <w:tcW w:w="5000" w:type="pct"/>
            <w:gridSpan w:val="4"/>
            <w:vAlign w:val="center"/>
          </w:tcPr>
          <w:p w:rsidR="005D42BF" w:rsidRPr="00FE4251" w:rsidRDefault="005D42BF" w:rsidP="0021613B">
            <w:pPr>
              <w:keepNext/>
              <w:spacing w:before="0" w:after="0"/>
              <w:rPr>
                <w:rFonts w:ascii="Arial Narrow" w:hAnsi="Arial Narrow"/>
                <w:b/>
                <w:snapToGrid w:val="0"/>
                <w:sz w:val="20"/>
              </w:rPr>
            </w:pPr>
            <w:r w:rsidRPr="00FE4251">
              <w:rPr>
                <w:rFonts w:ascii="Arial Narrow" w:hAnsi="Arial Narrow"/>
                <w:b/>
                <w:snapToGrid w:val="0"/>
                <w:sz w:val="20"/>
              </w:rPr>
              <w:t xml:space="preserve">Step 1: trial-based </w:t>
            </w:r>
            <w:proofErr w:type="spellStart"/>
            <w:r w:rsidRPr="00FE4251">
              <w:rPr>
                <w:rFonts w:ascii="Arial Narrow" w:hAnsi="Arial Narrow"/>
                <w:b/>
                <w:snapToGrid w:val="0"/>
                <w:sz w:val="20"/>
              </w:rPr>
              <w:t>costs</w:t>
            </w:r>
            <w:r w:rsidRPr="00FE4251">
              <w:rPr>
                <w:rFonts w:ascii="Arial Narrow" w:hAnsi="Arial Narrow"/>
                <w:bCs/>
                <w:snapToGrid w:val="0"/>
                <w:sz w:val="20"/>
                <w:vertAlign w:val="superscript"/>
              </w:rPr>
              <w:t>a</w:t>
            </w:r>
            <w:proofErr w:type="spellEnd"/>
            <w:r w:rsidRPr="00FE4251">
              <w:rPr>
                <w:rFonts w:ascii="Arial Narrow" w:hAnsi="Arial Narrow"/>
                <w:b/>
                <w:snapToGrid w:val="0"/>
                <w:sz w:val="20"/>
              </w:rPr>
              <w:t xml:space="preserve"> and outcomes over 8 </w:t>
            </w:r>
            <w:proofErr w:type="spellStart"/>
            <w:r w:rsidRPr="00FE4251">
              <w:rPr>
                <w:rFonts w:ascii="Arial Narrow" w:hAnsi="Arial Narrow"/>
                <w:b/>
                <w:snapToGrid w:val="0"/>
                <w:sz w:val="20"/>
              </w:rPr>
              <w:t>weeks</w:t>
            </w:r>
            <w:r w:rsidRPr="00FE4251">
              <w:rPr>
                <w:rFonts w:ascii="Arial Narrow" w:hAnsi="Arial Narrow"/>
                <w:b/>
                <w:snapToGrid w:val="0"/>
                <w:sz w:val="20"/>
                <w:vertAlign w:val="superscript"/>
              </w:rPr>
              <w:t>b</w:t>
            </w:r>
            <w:proofErr w:type="spellEnd"/>
          </w:p>
        </w:tc>
      </w:tr>
      <w:tr w:rsidR="005D42BF" w:rsidRPr="00FE4251" w:rsidTr="0021613B">
        <w:tc>
          <w:tcPr>
            <w:tcW w:w="1529" w:type="pct"/>
            <w:vAlign w:val="center"/>
          </w:tcPr>
          <w:p w:rsidR="005D42BF" w:rsidRPr="00FE4251" w:rsidRDefault="005D42BF" w:rsidP="0021613B">
            <w:pPr>
              <w:keepNext/>
              <w:spacing w:before="0" w:after="0"/>
              <w:rPr>
                <w:rFonts w:ascii="Times" w:eastAsia="Times New Roman" w:hAnsi="Times" w:cs="Times New Roman"/>
                <w:sz w:val="20"/>
              </w:rPr>
            </w:pPr>
            <w:r w:rsidRPr="00FE4251">
              <w:rPr>
                <w:rFonts w:ascii="Arial Narrow" w:hAnsi="Arial Narrow"/>
                <w:sz w:val="20"/>
              </w:rPr>
              <w:t>Costs</w:t>
            </w:r>
          </w:p>
        </w:tc>
        <w:tc>
          <w:tcPr>
            <w:tcW w:w="1359" w:type="pct"/>
            <w:shd w:val="clear" w:color="auto" w:fill="FFFFFF" w:themeFill="background1"/>
            <w:vAlign w:val="center"/>
          </w:tcPr>
          <w:p w:rsidR="005D42BF" w:rsidRPr="00F01E3E" w:rsidRDefault="00F01E3E" w:rsidP="0021613B">
            <w:pPr>
              <w:keepNext/>
              <w:spacing w:before="0" w:after="0"/>
              <w:jc w:val="center"/>
              <w:rPr>
                <w:rFonts w:ascii="Times" w:eastAsia="Times New Roman" w:hAnsi="Times" w:cs="Times New Roman"/>
                <w:iCs/>
                <w:sz w:val="20"/>
                <w:highlight w:val="black"/>
              </w:rPr>
            </w:pPr>
            <w:r>
              <w:rPr>
                <w:rFonts w:ascii="Arial Narrow" w:hAnsi="Arial Narrow"/>
                <w:iCs/>
                <w:noProof/>
                <w:color w:val="000000"/>
                <w:sz w:val="20"/>
                <w:highlight w:val="black"/>
              </w:rPr>
              <w:t>'''''''''''''''''''''</w:t>
            </w:r>
          </w:p>
        </w:tc>
        <w:tc>
          <w:tcPr>
            <w:tcW w:w="1274" w:type="pct"/>
            <w:shd w:val="clear" w:color="auto" w:fill="FFFFFF" w:themeFill="background1"/>
            <w:vAlign w:val="center"/>
          </w:tcPr>
          <w:p w:rsidR="005D42BF" w:rsidRPr="00F01E3E" w:rsidRDefault="00F01E3E" w:rsidP="0021613B">
            <w:pPr>
              <w:keepNext/>
              <w:spacing w:before="0" w:after="0"/>
              <w:jc w:val="center"/>
              <w:rPr>
                <w:rFonts w:ascii="Times" w:eastAsia="Times New Roman" w:hAnsi="Times" w:cs="Times New Roman"/>
                <w:iCs/>
                <w:sz w:val="20"/>
                <w:highlight w:val="black"/>
              </w:rPr>
            </w:pPr>
            <w:r>
              <w:rPr>
                <w:rFonts w:ascii="Arial Narrow" w:hAnsi="Arial Narrow"/>
                <w:iCs/>
                <w:noProof/>
                <w:color w:val="000000"/>
                <w:sz w:val="20"/>
                <w:highlight w:val="black"/>
              </w:rPr>
              <w:t>''''''''''''''''''''''''</w:t>
            </w:r>
          </w:p>
        </w:tc>
        <w:tc>
          <w:tcPr>
            <w:tcW w:w="838" w:type="pct"/>
            <w:shd w:val="clear" w:color="auto" w:fill="FFFFFF" w:themeFill="background1"/>
            <w:vAlign w:val="center"/>
          </w:tcPr>
          <w:p w:rsidR="005D42BF" w:rsidRPr="00F01E3E" w:rsidRDefault="00F01E3E" w:rsidP="0021613B">
            <w:pPr>
              <w:keepNext/>
              <w:spacing w:before="0" w:after="0"/>
              <w:jc w:val="center"/>
              <w:rPr>
                <w:rFonts w:ascii="Times" w:eastAsia="Times New Roman" w:hAnsi="Times" w:cs="Times New Roman"/>
                <w:iCs/>
                <w:sz w:val="20"/>
                <w:highlight w:val="black"/>
              </w:rPr>
            </w:pPr>
            <w:r>
              <w:rPr>
                <w:rFonts w:ascii="Arial Narrow" w:hAnsi="Arial Narrow"/>
                <w:iCs/>
                <w:noProof/>
                <w:color w:val="000000"/>
                <w:sz w:val="20"/>
                <w:highlight w:val="black"/>
              </w:rPr>
              <w:t>'''''''''''''''''''</w:t>
            </w:r>
          </w:p>
        </w:tc>
      </w:tr>
      <w:tr w:rsidR="005D42BF" w:rsidRPr="00FE4251" w:rsidTr="0021613B">
        <w:tc>
          <w:tcPr>
            <w:tcW w:w="1529" w:type="pct"/>
            <w:vAlign w:val="center"/>
          </w:tcPr>
          <w:p w:rsidR="005D42BF" w:rsidRPr="00FE4251" w:rsidRDefault="005D42BF" w:rsidP="0021613B">
            <w:pPr>
              <w:keepNext/>
              <w:spacing w:before="0" w:after="0"/>
              <w:rPr>
                <w:rFonts w:ascii="Times" w:eastAsia="Times New Roman" w:hAnsi="Times" w:cs="Times New Roman"/>
                <w:sz w:val="20"/>
              </w:rPr>
            </w:pPr>
            <w:r w:rsidRPr="00FE4251">
              <w:rPr>
                <w:rFonts w:ascii="Arial Narrow" w:hAnsi="Arial Narrow"/>
                <w:sz w:val="20"/>
              </w:rPr>
              <w:t>Proportion of period in remission</w:t>
            </w:r>
          </w:p>
        </w:tc>
        <w:tc>
          <w:tcPr>
            <w:tcW w:w="1359" w:type="pct"/>
            <w:vAlign w:val="center"/>
          </w:tcPr>
          <w:p w:rsidR="005D42BF" w:rsidRPr="00FE4251" w:rsidRDefault="005D42BF" w:rsidP="0021613B">
            <w:pPr>
              <w:keepNext/>
              <w:spacing w:before="0" w:after="0"/>
              <w:jc w:val="center"/>
              <w:rPr>
                <w:rFonts w:ascii="Times" w:eastAsia="Times New Roman" w:hAnsi="Times" w:cs="Times New Roman"/>
                <w:iCs/>
                <w:sz w:val="20"/>
              </w:rPr>
            </w:pPr>
            <w:r w:rsidRPr="00FE4251">
              <w:rPr>
                <w:rFonts w:ascii="Arial Narrow" w:hAnsi="Arial Narrow"/>
                <w:iCs/>
                <w:sz w:val="20"/>
              </w:rPr>
              <w:t>34.0%</w:t>
            </w:r>
          </w:p>
        </w:tc>
        <w:tc>
          <w:tcPr>
            <w:tcW w:w="1274" w:type="pct"/>
            <w:vAlign w:val="center"/>
          </w:tcPr>
          <w:p w:rsidR="005D42BF" w:rsidRPr="00FE4251" w:rsidRDefault="005D42BF" w:rsidP="0021613B">
            <w:pPr>
              <w:keepNext/>
              <w:spacing w:before="0" w:after="0"/>
              <w:jc w:val="center"/>
              <w:rPr>
                <w:rFonts w:ascii="Times" w:eastAsia="Times New Roman" w:hAnsi="Times" w:cs="Times New Roman"/>
                <w:iCs/>
                <w:sz w:val="20"/>
              </w:rPr>
            </w:pPr>
            <w:r w:rsidRPr="00FE4251">
              <w:rPr>
                <w:rFonts w:ascii="Arial Narrow" w:hAnsi="Arial Narrow"/>
                <w:iCs/>
                <w:sz w:val="20"/>
              </w:rPr>
              <w:t>26.8%</w:t>
            </w:r>
          </w:p>
        </w:tc>
        <w:tc>
          <w:tcPr>
            <w:tcW w:w="838" w:type="pct"/>
            <w:vAlign w:val="center"/>
          </w:tcPr>
          <w:p w:rsidR="005D42BF" w:rsidRPr="00FE4251" w:rsidRDefault="005D42BF" w:rsidP="0021613B">
            <w:pPr>
              <w:keepNext/>
              <w:spacing w:before="0" w:after="0"/>
              <w:jc w:val="center"/>
              <w:rPr>
                <w:rFonts w:ascii="Arial Narrow" w:hAnsi="Arial Narrow"/>
                <w:iCs/>
                <w:sz w:val="20"/>
              </w:rPr>
            </w:pPr>
            <w:r w:rsidRPr="00FE4251">
              <w:rPr>
                <w:rFonts w:ascii="Arial Narrow" w:hAnsi="Arial Narrow"/>
                <w:iCs/>
                <w:sz w:val="20"/>
              </w:rPr>
              <w:t>7.2%</w:t>
            </w:r>
          </w:p>
        </w:tc>
      </w:tr>
      <w:tr w:rsidR="005D42BF" w:rsidRPr="00FE4251" w:rsidTr="0021613B">
        <w:tc>
          <w:tcPr>
            <w:tcW w:w="4162" w:type="pct"/>
            <w:gridSpan w:val="3"/>
            <w:vAlign w:val="center"/>
          </w:tcPr>
          <w:p w:rsidR="005D42BF" w:rsidRPr="00FE4251" w:rsidRDefault="005D42BF" w:rsidP="0021613B">
            <w:pPr>
              <w:keepNext/>
              <w:spacing w:before="0" w:after="0"/>
              <w:jc w:val="right"/>
              <w:rPr>
                <w:rFonts w:ascii="Times" w:eastAsia="Times New Roman" w:hAnsi="Times" w:cs="Times New Roman"/>
                <w:snapToGrid w:val="0"/>
                <w:sz w:val="20"/>
              </w:rPr>
            </w:pPr>
            <w:r w:rsidRPr="00FE4251">
              <w:rPr>
                <w:rFonts w:ascii="Arial Narrow" w:hAnsi="Arial Narrow"/>
                <w:sz w:val="20"/>
              </w:rPr>
              <w:t>Incremental cost/extra % of 8-week period in remission</w:t>
            </w:r>
          </w:p>
        </w:tc>
        <w:tc>
          <w:tcPr>
            <w:tcW w:w="838" w:type="pct"/>
            <w:vAlign w:val="center"/>
          </w:tcPr>
          <w:p w:rsidR="005D42BF" w:rsidRPr="00FE4251" w:rsidRDefault="005D42BF" w:rsidP="0021613B">
            <w:pPr>
              <w:keepNext/>
              <w:spacing w:before="0" w:after="0"/>
              <w:jc w:val="center"/>
              <w:rPr>
                <w:rFonts w:ascii="Times" w:eastAsia="Times New Roman" w:hAnsi="Times" w:cs="Times New Roman"/>
                <w:sz w:val="20"/>
              </w:rPr>
            </w:pPr>
            <w:r w:rsidRPr="00FE4251">
              <w:rPr>
                <w:rFonts w:ascii="Arial Narrow" w:hAnsi="Arial Narrow"/>
                <w:sz w:val="20"/>
              </w:rPr>
              <w:t>Dominant</w:t>
            </w:r>
          </w:p>
        </w:tc>
      </w:tr>
      <w:tr w:rsidR="005D42BF" w:rsidRPr="00FE4251" w:rsidTr="0021613B">
        <w:tc>
          <w:tcPr>
            <w:tcW w:w="5000" w:type="pct"/>
            <w:gridSpan w:val="4"/>
            <w:vAlign w:val="center"/>
          </w:tcPr>
          <w:p w:rsidR="005D42BF" w:rsidRPr="00FE4251" w:rsidRDefault="005D42BF" w:rsidP="0021613B">
            <w:pPr>
              <w:keepNext/>
              <w:spacing w:before="0" w:after="0"/>
              <w:rPr>
                <w:rFonts w:ascii="Arial Narrow" w:hAnsi="Arial Narrow"/>
                <w:b/>
                <w:snapToGrid w:val="0"/>
                <w:sz w:val="20"/>
              </w:rPr>
            </w:pPr>
            <w:r w:rsidRPr="00FE4251">
              <w:rPr>
                <w:rFonts w:ascii="Arial Narrow" w:hAnsi="Arial Narrow"/>
                <w:b/>
                <w:snapToGrid w:val="0"/>
                <w:sz w:val="20"/>
              </w:rPr>
              <w:t xml:space="preserve">Step 2: trial-based </w:t>
            </w:r>
            <w:proofErr w:type="spellStart"/>
            <w:r w:rsidRPr="00FE4251">
              <w:rPr>
                <w:rFonts w:ascii="Arial Narrow" w:hAnsi="Arial Narrow"/>
                <w:b/>
                <w:snapToGrid w:val="0"/>
                <w:sz w:val="20"/>
              </w:rPr>
              <w:t>costs</w:t>
            </w:r>
            <w:r w:rsidRPr="00FE4251">
              <w:rPr>
                <w:rFonts w:ascii="Arial Narrow" w:hAnsi="Arial Narrow"/>
                <w:bCs/>
                <w:snapToGrid w:val="0"/>
                <w:sz w:val="20"/>
                <w:vertAlign w:val="superscript"/>
              </w:rPr>
              <w:t>a</w:t>
            </w:r>
            <w:proofErr w:type="spellEnd"/>
            <w:r w:rsidRPr="00FE4251">
              <w:rPr>
                <w:rFonts w:ascii="Arial Narrow" w:hAnsi="Arial Narrow"/>
                <w:b/>
                <w:snapToGrid w:val="0"/>
                <w:sz w:val="20"/>
              </w:rPr>
              <w:t xml:space="preserve"> and outcomes over 12 </w:t>
            </w:r>
            <w:proofErr w:type="spellStart"/>
            <w:r w:rsidRPr="00FE4251">
              <w:rPr>
                <w:rFonts w:ascii="Arial Narrow" w:hAnsi="Arial Narrow"/>
                <w:b/>
                <w:snapToGrid w:val="0"/>
                <w:sz w:val="20"/>
              </w:rPr>
              <w:t>weeks</w:t>
            </w:r>
            <w:r w:rsidRPr="00FE4251">
              <w:rPr>
                <w:rFonts w:ascii="Arial Narrow" w:hAnsi="Arial Narrow"/>
                <w:b/>
                <w:snapToGrid w:val="0"/>
                <w:sz w:val="20"/>
                <w:vertAlign w:val="superscript"/>
              </w:rPr>
              <w:t>b</w:t>
            </w:r>
            <w:proofErr w:type="spellEnd"/>
          </w:p>
        </w:tc>
      </w:tr>
      <w:tr w:rsidR="005D42BF" w:rsidRPr="00FE4251" w:rsidTr="0021613B">
        <w:tc>
          <w:tcPr>
            <w:tcW w:w="1529" w:type="pct"/>
            <w:vAlign w:val="center"/>
          </w:tcPr>
          <w:p w:rsidR="005D42BF" w:rsidRPr="00FE4251" w:rsidRDefault="005D42BF" w:rsidP="0021613B">
            <w:pPr>
              <w:keepNext/>
              <w:spacing w:before="0" w:after="0"/>
              <w:rPr>
                <w:rFonts w:ascii="Times" w:eastAsia="Times New Roman" w:hAnsi="Times" w:cs="Times New Roman"/>
                <w:sz w:val="20"/>
              </w:rPr>
            </w:pPr>
            <w:r w:rsidRPr="00FE4251">
              <w:rPr>
                <w:rFonts w:ascii="Arial Narrow" w:hAnsi="Arial Narrow"/>
                <w:sz w:val="20"/>
              </w:rPr>
              <w:t>Costs</w:t>
            </w:r>
          </w:p>
        </w:tc>
        <w:tc>
          <w:tcPr>
            <w:tcW w:w="1359" w:type="pct"/>
            <w:shd w:val="clear" w:color="auto" w:fill="FFFFFF" w:themeFill="background1"/>
            <w:vAlign w:val="center"/>
          </w:tcPr>
          <w:p w:rsidR="005D42BF" w:rsidRPr="00F01E3E" w:rsidRDefault="00F01E3E" w:rsidP="0021613B">
            <w:pPr>
              <w:keepNext/>
              <w:spacing w:before="0" w:after="0"/>
              <w:jc w:val="center"/>
              <w:rPr>
                <w:rFonts w:ascii="Times" w:eastAsia="Times New Roman" w:hAnsi="Times" w:cs="Times New Roman"/>
                <w:iCs/>
                <w:sz w:val="20"/>
                <w:highlight w:val="black"/>
              </w:rPr>
            </w:pPr>
            <w:r>
              <w:rPr>
                <w:rFonts w:ascii="Arial Narrow" w:hAnsi="Arial Narrow"/>
                <w:iCs/>
                <w:noProof/>
                <w:color w:val="000000"/>
                <w:sz w:val="20"/>
                <w:highlight w:val="black"/>
              </w:rPr>
              <w:t>'''''''''''''''''''''</w:t>
            </w:r>
          </w:p>
        </w:tc>
        <w:tc>
          <w:tcPr>
            <w:tcW w:w="1274" w:type="pct"/>
            <w:shd w:val="clear" w:color="auto" w:fill="FFFFFF" w:themeFill="background1"/>
            <w:vAlign w:val="center"/>
          </w:tcPr>
          <w:p w:rsidR="005D42BF" w:rsidRPr="00F01E3E" w:rsidRDefault="00F01E3E" w:rsidP="0021613B">
            <w:pPr>
              <w:keepNext/>
              <w:spacing w:before="0" w:after="0"/>
              <w:jc w:val="center"/>
              <w:rPr>
                <w:rFonts w:ascii="Times" w:eastAsia="Times New Roman" w:hAnsi="Times" w:cs="Times New Roman"/>
                <w:iCs/>
                <w:sz w:val="20"/>
                <w:highlight w:val="black"/>
              </w:rPr>
            </w:pPr>
            <w:r>
              <w:rPr>
                <w:rFonts w:ascii="Arial Narrow" w:hAnsi="Arial Narrow"/>
                <w:iCs/>
                <w:noProof/>
                <w:color w:val="000000"/>
                <w:sz w:val="20"/>
                <w:highlight w:val="black"/>
              </w:rPr>
              <w:t>''''''''''''''''''</w:t>
            </w:r>
          </w:p>
        </w:tc>
        <w:tc>
          <w:tcPr>
            <w:tcW w:w="838" w:type="pct"/>
            <w:shd w:val="clear" w:color="auto" w:fill="FFFFFF" w:themeFill="background1"/>
            <w:vAlign w:val="center"/>
          </w:tcPr>
          <w:p w:rsidR="005D42BF" w:rsidRPr="00F01E3E" w:rsidRDefault="00F01E3E" w:rsidP="0021613B">
            <w:pPr>
              <w:keepNext/>
              <w:spacing w:before="0" w:after="0"/>
              <w:jc w:val="center"/>
              <w:rPr>
                <w:rFonts w:ascii="Times" w:eastAsia="Times New Roman" w:hAnsi="Times" w:cs="Times New Roman"/>
                <w:iCs/>
                <w:sz w:val="20"/>
                <w:highlight w:val="black"/>
              </w:rPr>
            </w:pPr>
            <w:r>
              <w:rPr>
                <w:rFonts w:ascii="Arial Narrow" w:hAnsi="Arial Narrow"/>
                <w:iCs/>
                <w:noProof/>
                <w:color w:val="000000"/>
                <w:sz w:val="20"/>
                <w:highlight w:val="black"/>
              </w:rPr>
              <w:t>''''''''''''''''''''</w:t>
            </w:r>
          </w:p>
        </w:tc>
      </w:tr>
      <w:tr w:rsidR="005D42BF" w:rsidRPr="00FE4251" w:rsidTr="0021613B">
        <w:tc>
          <w:tcPr>
            <w:tcW w:w="1529" w:type="pct"/>
            <w:vAlign w:val="center"/>
          </w:tcPr>
          <w:p w:rsidR="005D42BF" w:rsidRPr="00FE4251" w:rsidRDefault="005D42BF" w:rsidP="0021613B">
            <w:pPr>
              <w:keepNext/>
              <w:spacing w:before="0" w:after="0"/>
              <w:rPr>
                <w:rFonts w:ascii="Times" w:eastAsia="Times New Roman" w:hAnsi="Times" w:cs="Times New Roman"/>
                <w:sz w:val="20"/>
              </w:rPr>
            </w:pPr>
            <w:r w:rsidRPr="00FE4251">
              <w:rPr>
                <w:rFonts w:ascii="Arial Narrow" w:hAnsi="Arial Narrow"/>
                <w:sz w:val="20"/>
              </w:rPr>
              <w:t>Proportion of period in remission</w:t>
            </w:r>
          </w:p>
        </w:tc>
        <w:tc>
          <w:tcPr>
            <w:tcW w:w="1359" w:type="pct"/>
            <w:vAlign w:val="center"/>
          </w:tcPr>
          <w:p w:rsidR="005D42BF" w:rsidRPr="00FE4251" w:rsidRDefault="005D42BF" w:rsidP="0021613B">
            <w:pPr>
              <w:keepNext/>
              <w:spacing w:before="0" w:after="0"/>
              <w:jc w:val="center"/>
              <w:rPr>
                <w:rFonts w:ascii="Times" w:eastAsia="Times New Roman" w:hAnsi="Times" w:cs="Times New Roman"/>
                <w:iCs/>
                <w:sz w:val="20"/>
              </w:rPr>
            </w:pPr>
            <w:r w:rsidRPr="00FE4251">
              <w:rPr>
                <w:rFonts w:ascii="Arial Narrow" w:hAnsi="Arial Narrow"/>
                <w:iCs/>
                <w:sz w:val="20"/>
              </w:rPr>
              <w:t>45.2%</w:t>
            </w:r>
          </w:p>
        </w:tc>
        <w:tc>
          <w:tcPr>
            <w:tcW w:w="1274" w:type="pct"/>
            <w:vAlign w:val="center"/>
          </w:tcPr>
          <w:p w:rsidR="005D42BF" w:rsidRPr="00FE4251" w:rsidRDefault="005D42BF" w:rsidP="0021613B">
            <w:pPr>
              <w:keepNext/>
              <w:spacing w:before="0" w:after="0"/>
              <w:jc w:val="center"/>
              <w:rPr>
                <w:rFonts w:ascii="Times" w:eastAsia="Times New Roman" w:hAnsi="Times" w:cs="Times New Roman"/>
                <w:iCs/>
                <w:sz w:val="20"/>
              </w:rPr>
            </w:pPr>
            <w:r w:rsidRPr="00FE4251">
              <w:rPr>
                <w:rFonts w:ascii="Arial Narrow" w:hAnsi="Arial Narrow"/>
                <w:iCs/>
                <w:sz w:val="20"/>
              </w:rPr>
              <w:t>31.9%</w:t>
            </w:r>
          </w:p>
        </w:tc>
        <w:tc>
          <w:tcPr>
            <w:tcW w:w="838" w:type="pct"/>
            <w:vAlign w:val="center"/>
          </w:tcPr>
          <w:p w:rsidR="005D42BF" w:rsidRPr="00FE4251" w:rsidRDefault="005D42BF" w:rsidP="0021613B">
            <w:pPr>
              <w:keepNext/>
              <w:spacing w:before="0" w:after="0"/>
              <w:jc w:val="center"/>
              <w:rPr>
                <w:rFonts w:ascii="Arial Narrow" w:hAnsi="Arial Narrow"/>
                <w:iCs/>
                <w:sz w:val="20"/>
              </w:rPr>
            </w:pPr>
            <w:r w:rsidRPr="00FE4251">
              <w:rPr>
                <w:rFonts w:ascii="Arial Narrow" w:hAnsi="Arial Narrow"/>
                <w:iCs/>
                <w:sz w:val="20"/>
              </w:rPr>
              <w:t>13.3%</w:t>
            </w:r>
          </w:p>
        </w:tc>
      </w:tr>
      <w:tr w:rsidR="005D42BF" w:rsidRPr="00FE4251" w:rsidTr="0021613B">
        <w:tc>
          <w:tcPr>
            <w:tcW w:w="4162" w:type="pct"/>
            <w:gridSpan w:val="3"/>
            <w:vAlign w:val="center"/>
          </w:tcPr>
          <w:p w:rsidR="005D42BF" w:rsidRPr="00FE4251" w:rsidRDefault="005D42BF" w:rsidP="0021613B">
            <w:pPr>
              <w:keepNext/>
              <w:spacing w:before="0" w:after="0"/>
              <w:jc w:val="center"/>
              <w:rPr>
                <w:rFonts w:ascii="Times" w:eastAsia="Times New Roman" w:hAnsi="Times" w:cs="Times New Roman"/>
                <w:snapToGrid w:val="0"/>
                <w:sz w:val="20"/>
              </w:rPr>
            </w:pPr>
            <w:r w:rsidRPr="00FE4251">
              <w:rPr>
                <w:rFonts w:ascii="Arial Narrow" w:hAnsi="Arial Narrow"/>
                <w:sz w:val="20"/>
              </w:rPr>
              <w:t>Incremental cost/extra % of 12-week period in remission</w:t>
            </w:r>
          </w:p>
        </w:tc>
        <w:tc>
          <w:tcPr>
            <w:tcW w:w="838" w:type="pct"/>
            <w:vAlign w:val="center"/>
          </w:tcPr>
          <w:p w:rsidR="005D42BF" w:rsidRPr="00FE4251" w:rsidRDefault="005D42BF" w:rsidP="0021613B">
            <w:pPr>
              <w:keepNext/>
              <w:spacing w:before="0" w:after="0"/>
              <w:jc w:val="center"/>
              <w:rPr>
                <w:rFonts w:ascii="Times" w:eastAsia="Times New Roman" w:hAnsi="Times" w:cs="Times New Roman"/>
                <w:sz w:val="20"/>
              </w:rPr>
            </w:pPr>
            <w:r w:rsidRPr="00FE4251">
              <w:rPr>
                <w:rFonts w:ascii="Arial Narrow" w:hAnsi="Arial Narrow"/>
                <w:sz w:val="20"/>
              </w:rPr>
              <w:t>Dominant</w:t>
            </w:r>
          </w:p>
        </w:tc>
      </w:tr>
      <w:tr w:rsidR="005D42BF" w:rsidRPr="00FE4251" w:rsidTr="0021613B">
        <w:tc>
          <w:tcPr>
            <w:tcW w:w="5000" w:type="pct"/>
            <w:gridSpan w:val="4"/>
            <w:vAlign w:val="center"/>
          </w:tcPr>
          <w:p w:rsidR="005D42BF" w:rsidRPr="00FE4251" w:rsidRDefault="005D42BF" w:rsidP="0021613B">
            <w:pPr>
              <w:keepNext/>
              <w:spacing w:before="0" w:after="0"/>
              <w:rPr>
                <w:rFonts w:ascii="Arial Narrow" w:hAnsi="Arial Narrow"/>
                <w:b/>
                <w:snapToGrid w:val="0"/>
                <w:sz w:val="20"/>
              </w:rPr>
            </w:pPr>
            <w:r w:rsidRPr="00FE4251">
              <w:rPr>
                <w:rFonts w:ascii="Arial Narrow" w:hAnsi="Arial Narrow"/>
                <w:b/>
                <w:snapToGrid w:val="0"/>
                <w:sz w:val="20"/>
              </w:rPr>
              <w:t xml:space="preserve">Step 3: include dose tapering for </w:t>
            </w:r>
            <w:r w:rsidR="00303C94" w:rsidRPr="00FE4251">
              <w:rPr>
                <w:rFonts w:ascii="Arial Narrow" w:hAnsi="Arial Narrow"/>
                <w:b/>
                <w:snapToGrid w:val="0"/>
                <w:sz w:val="20"/>
              </w:rPr>
              <w:t>budesonide</w:t>
            </w:r>
          </w:p>
        </w:tc>
      </w:tr>
      <w:tr w:rsidR="005D42BF" w:rsidRPr="00FE4251" w:rsidTr="0021613B">
        <w:tc>
          <w:tcPr>
            <w:tcW w:w="1529" w:type="pct"/>
            <w:vAlign w:val="center"/>
          </w:tcPr>
          <w:p w:rsidR="005D42BF" w:rsidRPr="00FE4251" w:rsidRDefault="005D42BF" w:rsidP="0021613B">
            <w:pPr>
              <w:keepNext/>
              <w:spacing w:before="0" w:after="0"/>
              <w:rPr>
                <w:rFonts w:ascii="Times" w:eastAsia="Times New Roman" w:hAnsi="Times" w:cs="Times New Roman"/>
                <w:sz w:val="20"/>
              </w:rPr>
            </w:pPr>
            <w:r w:rsidRPr="00FE4251">
              <w:rPr>
                <w:rFonts w:ascii="Arial Narrow" w:hAnsi="Arial Narrow"/>
                <w:sz w:val="20"/>
              </w:rPr>
              <w:t>Costs</w:t>
            </w:r>
          </w:p>
        </w:tc>
        <w:tc>
          <w:tcPr>
            <w:tcW w:w="1359" w:type="pct"/>
            <w:shd w:val="clear" w:color="auto" w:fill="FFFFFF" w:themeFill="background1"/>
            <w:vAlign w:val="center"/>
          </w:tcPr>
          <w:p w:rsidR="005D42BF" w:rsidRPr="00F01E3E" w:rsidRDefault="00F01E3E" w:rsidP="0021613B">
            <w:pPr>
              <w:keepNext/>
              <w:spacing w:before="0" w:after="0"/>
              <w:jc w:val="center"/>
              <w:rPr>
                <w:rFonts w:ascii="Times" w:eastAsia="Times New Roman" w:hAnsi="Times" w:cs="Times New Roman"/>
                <w:iCs/>
                <w:sz w:val="20"/>
                <w:highlight w:val="black"/>
              </w:rPr>
            </w:pPr>
            <w:r>
              <w:rPr>
                <w:rFonts w:ascii="Arial Narrow" w:hAnsi="Arial Narrow"/>
                <w:iCs/>
                <w:noProof/>
                <w:color w:val="000000"/>
                <w:sz w:val="20"/>
                <w:highlight w:val="black"/>
              </w:rPr>
              <w:t>''''''''''''''''''</w:t>
            </w:r>
          </w:p>
        </w:tc>
        <w:tc>
          <w:tcPr>
            <w:tcW w:w="1274" w:type="pct"/>
            <w:shd w:val="clear" w:color="auto" w:fill="FFFFFF" w:themeFill="background1"/>
            <w:vAlign w:val="center"/>
          </w:tcPr>
          <w:p w:rsidR="005D42BF" w:rsidRPr="00F01E3E" w:rsidRDefault="00F01E3E" w:rsidP="0021613B">
            <w:pPr>
              <w:keepNext/>
              <w:spacing w:before="0" w:after="0"/>
              <w:jc w:val="center"/>
              <w:rPr>
                <w:rFonts w:ascii="Times" w:eastAsia="Times New Roman" w:hAnsi="Times" w:cs="Times New Roman"/>
                <w:iCs/>
                <w:sz w:val="20"/>
                <w:highlight w:val="black"/>
              </w:rPr>
            </w:pPr>
            <w:r>
              <w:rPr>
                <w:rFonts w:ascii="Arial Narrow" w:hAnsi="Arial Narrow"/>
                <w:iCs/>
                <w:noProof/>
                <w:color w:val="000000"/>
                <w:sz w:val="20"/>
                <w:highlight w:val="black"/>
              </w:rPr>
              <w:t>'''''''''''''''''''</w:t>
            </w:r>
          </w:p>
        </w:tc>
        <w:tc>
          <w:tcPr>
            <w:tcW w:w="838" w:type="pct"/>
            <w:shd w:val="clear" w:color="auto" w:fill="FFFFFF" w:themeFill="background1"/>
            <w:vAlign w:val="center"/>
          </w:tcPr>
          <w:p w:rsidR="005D42BF" w:rsidRPr="00F01E3E" w:rsidRDefault="00F01E3E" w:rsidP="0021613B">
            <w:pPr>
              <w:keepNext/>
              <w:spacing w:before="0" w:after="0"/>
              <w:jc w:val="center"/>
              <w:rPr>
                <w:rFonts w:ascii="Times" w:eastAsia="Times New Roman" w:hAnsi="Times" w:cs="Times New Roman"/>
                <w:iCs/>
                <w:sz w:val="20"/>
                <w:highlight w:val="black"/>
              </w:rPr>
            </w:pPr>
            <w:r>
              <w:rPr>
                <w:rFonts w:ascii="Arial Narrow" w:hAnsi="Arial Narrow"/>
                <w:iCs/>
                <w:noProof/>
                <w:color w:val="000000"/>
                <w:sz w:val="20"/>
                <w:highlight w:val="black"/>
              </w:rPr>
              <w:t>'''''''''''''''''''''</w:t>
            </w:r>
          </w:p>
        </w:tc>
      </w:tr>
      <w:tr w:rsidR="005D42BF" w:rsidRPr="00FE4251" w:rsidTr="0021613B">
        <w:tc>
          <w:tcPr>
            <w:tcW w:w="1529" w:type="pct"/>
            <w:vAlign w:val="center"/>
          </w:tcPr>
          <w:p w:rsidR="005D42BF" w:rsidRPr="00FE4251" w:rsidRDefault="005D42BF" w:rsidP="0021613B">
            <w:pPr>
              <w:keepNext/>
              <w:spacing w:before="0" w:after="0"/>
              <w:rPr>
                <w:rFonts w:ascii="Times" w:eastAsia="Times New Roman" w:hAnsi="Times" w:cs="Times New Roman"/>
                <w:sz w:val="20"/>
              </w:rPr>
            </w:pPr>
            <w:r w:rsidRPr="00FE4251">
              <w:rPr>
                <w:rFonts w:ascii="Arial Narrow" w:hAnsi="Arial Narrow"/>
                <w:sz w:val="20"/>
              </w:rPr>
              <w:t>Proportion of period in remission</w:t>
            </w:r>
          </w:p>
        </w:tc>
        <w:tc>
          <w:tcPr>
            <w:tcW w:w="1359" w:type="pct"/>
            <w:vAlign w:val="center"/>
          </w:tcPr>
          <w:p w:rsidR="005D42BF" w:rsidRPr="00FE4251" w:rsidRDefault="005D42BF" w:rsidP="0021613B">
            <w:pPr>
              <w:keepNext/>
              <w:spacing w:before="0" w:after="0"/>
              <w:jc w:val="center"/>
              <w:rPr>
                <w:rFonts w:ascii="Times" w:eastAsia="Times New Roman" w:hAnsi="Times" w:cs="Times New Roman"/>
                <w:iCs/>
                <w:sz w:val="20"/>
              </w:rPr>
            </w:pPr>
            <w:r w:rsidRPr="00FE4251">
              <w:rPr>
                <w:rFonts w:ascii="Arial Narrow" w:hAnsi="Arial Narrow"/>
                <w:iCs/>
                <w:sz w:val="20"/>
              </w:rPr>
              <w:t>45.2%</w:t>
            </w:r>
          </w:p>
        </w:tc>
        <w:tc>
          <w:tcPr>
            <w:tcW w:w="1274" w:type="pct"/>
            <w:vAlign w:val="center"/>
          </w:tcPr>
          <w:p w:rsidR="005D42BF" w:rsidRPr="00FE4251" w:rsidRDefault="005D42BF" w:rsidP="0021613B">
            <w:pPr>
              <w:keepNext/>
              <w:spacing w:before="0" w:after="0"/>
              <w:jc w:val="center"/>
              <w:rPr>
                <w:rFonts w:ascii="Times" w:eastAsia="Times New Roman" w:hAnsi="Times" w:cs="Times New Roman"/>
                <w:iCs/>
                <w:sz w:val="20"/>
              </w:rPr>
            </w:pPr>
            <w:r w:rsidRPr="00FE4251">
              <w:rPr>
                <w:rFonts w:ascii="Arial Narrow" w:hAnsi="Arial Narrow"/>
                <w:iCs/>
                <w:sz w:val="20"/>
              </w:rPr>
              <w:t>31.9%</w:t>
            </w:r>
          </w:p>
        </w:tc>
        <w:tc>
          <w:tcPr>
            <w:tcW w:w="838" w:type="pct"/>
            <w:vAlign w:val="center"/>
          </w:tcPr>
          <w:p w:rsidR="005D42BF" w:rsidRPr="00FE4251" w:rsidRDefault="005D42BF" w:rsidP="0021613B">
            <w:pPr>
              <w:keepNext/>
              <w:spacing w:before="0" w:after="0"/>
              <w:jc w:val="center"/>
              <w:rPr>
                <w:rFonts w:ascii="Arial Narrow" w:hAnsi="Arial Narrow"/>
                <w:iCs/>
                <w:sz w:val="20"/>
              </w:rPr>
            </w:pPr>
            <w:r w:rsidRPr="00FE4251">
              <w:rPr>
                <w:rFonts w:ascii="Arial Narrow" w:hAnsi="Arial Narrow"/>
                <w:iCs/>
                <w:sz w:val="20"/>
              </w:rPr>
              <w:t>13.3%</w:t>
            </w:r>
          </w:p>
        </w:tc>
      </w:tr>
      <w:tr w:rsidR="005D42BF" w:rsidRPr="00FE4251" w:rsidTr="0021613B">
        <w:tc>
          <w:tcPr>
            <w:tcW w:w="4162" w:type="pct"/>
            <w:gridSpan w:val="3"/>
            <w:vAlign w:val="center"/>
          </w:tcPr>
          <w:p w:rsidR="005D42BF" w:rsidRPr="00FE4251" w:rsidRDefault="005D42BF" w:rsidP="0021613B">
            <w:pPr>
              <w:keepNext/>
              <w:spacing w:before="0" w:after="0"/>
              <w:jc w:val="right"/>
              <w:rPr>
                <w:rFonts w:ascii="Times" w:eastAsia="Times New Roman" w:hAnsi="Times" w:cs="Times New Roman"/>
                <w:sz w:val="20"/>
              </w:rPr>
            </w:pPr>
            <w:r w:rsidRPr="00FE4251">
              <w:rPr>
                <w:rFonts w:ascii="Arial Narrow" w:hAnsi="Arial Narrow"/>
                <w:sz w:val="20"/>
              </w:rPr>
              <w:t>Incremental cost/extra % of 12-week period in remission</w:t>
            </w:r>
          </w:p>
        </w:tc>
        <w:tc>
          <w:tcPr>
            <w:tcW w:w="838" w:type="pct"/>
            <w:vAlign w:val="center"/>
          </w:tcPr>
          <w:p w:rsidR="005D42BF" w:rsidRPr="00FE4251" w:rsidRDefault="005D42BF" w:rsidP="0021613B">
            <w:pPr>
              <w:keepNext/>
              <w:spacing w:before="0" w:after="0"/>
              <w:jc w:val="center"/>
              <w:rPr>
                <w:rFonts w:ascii="Times" w:eastAsia="Times New Roman" w:hAnsi="Times" w:cs="Times New Roman"/>
                <w:sz w:val="20"/>
              </w:rPr>
            </w:pPr>
            <w:r w:rsidRPr="00FE4251">
              <w:rPr>
                <w:rFonts w:ascii="Arial Narrow" w:hAnsi="Arial Narrow"/>
                <w:sz w:val="20"/>
              </w:rPr>
              <w:t>Dominant</w:t>
            </w:r>
          </w:p>
        </w:tc>
      </w:tr>
      <w:tr w:rsidR="005D42BF" w:rsidRPr="00FE4251" w:rsidTr="0021613B">
        <w:tc>
          <w:tcPr>
            <w:tcW w:w="5000" w:type="pct"/>
            <w:gridSpan w:val="4"/>
            <w:vAlign w:val="center"/>
          </w:tcPr>
          <w:p w:rsidR="005D42BF" w:rsidRPr="00FE4251" w:rsidRDefault="005D42BF" w:rsidP="0021613B">
            <w:pPr>
              <w:keepNext/>
              <w:spacing w:before="0" w:after="0"/>
              <w:rPr>
                <w:rFonts w:ascii="Arial Narrow" w:hAnsi="Arial Narrow"/>
                <w:b/>
                <w:snapToGrid w:val="0"/>
                <w:sz w:val="20"/>
              </w:rPr>
            </w:pPr>
            <w:r w:rsidRPr="00FE4251">
              <w:rPr>
                <w:rFonts w:ascii="Arial Narrow" w:hAnsi="Arial Narrow"/>
                <w:b/>
                <w:snapToGrid w:val="0"/>
                <w:sz w:val="20"/>
              </w:rPr>
              <w:t>Step 4: trial evidence transformed to QALYs (12-week analysis)</w:t>
            </w:r>
          </w:p>
        </w:tc>
      </w:tr>
      <w:tr w:rsidR="005D42BF" w:rsidRPr="00FE4251" w:rsidTr="0021613B">
        <w:trPr>
          <w:trHeight w:val="199"/>
        </w:trPr>
        <w:tc>
          <w:tcPr>
            <w:tcW w:w="1529" w:type="pct"/>
            <w:vAlign w:val="center"/>
          </w:tcPr>
          <w:p w:rsidR="005D42BF" w:rsidRPr="00FE4251" w:rsidRDefault="005D42BF" w:rsidP="0021613B">
            <w:pPr>
              <w:keepNext/>
              <w:spacing w:before="0" w:after="0"/>
              <w:rPr>
                <w:rFonts w:ascii="Times" w:eastAsia="Times New Roman" w:hAnsi="Times" w:cs="Times New Roman"/>
                <w:sz w:val="20"/>
              </w:rPr>
            </w:pPr>
            <w:r w:rsidRPr="00FE4251">
              <w:rPr>
                <w:rFonts w:ascii="Arial Narrow" w:hAnsi="Arial Narrow"/>
                <w:sz w:val="20"/>
              </w:rPr>
              <w:t>Costs</w:t>
            </w:r>
          </w:p>
        </w:tc>
        <w:tc>
          <w:tcPr>
            <w:tcW w:w="1359" w:type="pct"/>
            <w:shd w:val="clear" w:color="auto" w:fill="FFFFFF" w:themeFill="background1"/>
            <w:vAlign w:val="center"/>
          </w:tcPr>
          <w:p w:rsidR="005D42BF" w:rsidRPr="00F01E3E" w:rsidRDefault="00F01E3E" w:rsidP="0021613B">
            <w:pPr>
              <w:keepNext/>
              <w:spacing w:before="0" w:after="0"/>
              <w:jc w:val="center"/>
              <w:rPr>
                <w:rFonts w:ascii="Times" w:eastAsia="Times New Roman" w:hAnsi="Times" w:cs="Times New Roman"/>
                <w:iCs/>
                <w:sz w:val="20"/>
                <w:highlight w:val="black"/>
              </w:rPr>
            </w:pPr>
            <w:r>
              <w:rPr>
                <w:rFonts w:ascii="Arial Narrow" w:hAnsi="Arial Narrow"/>
                <w:iCs/>
                <w:noProof/>
                <w:color w:val="000000"/>
                <w:sz w:val="20"/>
                <w:highlight w:val="black"/>
              </w:rPr>
              <w:t>'''''''''''''''''''</w:t>
            </w:r>
          </w:p>
        </w:tc>
        <w:tc>
          <w:tcPr>
            <w:tcW w:w="1274" w:type="pct"/>
            <w:shd w:val="clear" w:color="auto" w:fill="FFFFFF" w:themeFill="background1"/>
            <w:vAlign w:val="center"/>
          </w:tcPr>
          <w:p w:rsidR="005D42BF" w:rsidRPr="00F01E3E" w:rsidRDefault="00F01E3E" w:rsidP="0021613B">
            <w:pPr>
              <w:keepNext/>
              <w:spacing w:before="0" w:after="0"/>
              <w:jc w:val="center"/>
              <w:rPr>
                <w:rFonts w:ascii="Times" w:eastAsia="Times New Roman" w:hAnsi="Times" w:cs="Times New Roman"/>
                <w:iCs/>
                <w:sz w:val="20"/>
                <w:highlight w:val="black"/>
              </w:rPr>
            </w:pPr>
            <w:r>
              <w:rPr>
                <w:rFonts w:ascii="Arial Narrow" w:hAnsi="Arial Narrow"/>
                <w:iCs/>
                <w:noProof/>
                <w:color w:val="000000"/>
                <w:sz w:val="20"/>
                <w:highlight w:val="black"/>
              </w:rPr>
              <w:t>'''''''''''''''''</w:t>
            </w:r>
          </w:p>
        </w:tc>
        <w:tc>
          <w:tcPr>
            <w:tcW w:w="838" w:type="pct"/>
            <w:shd w:val="clear" w:color="auto" w:fill="FFFFFF" w:themeFill="background1"/>
            <w:vAlign w:val="center"/>
          </w:tcPr>
          <w:p w:rsidR="005D42BF" w:rsidRPr="00F01E3E" w:rsidRDefault="00F01E3E" w:rsidP="0021613B">
            <w:pPr>
              <w:keepNext/>
              <w:spacing w:before="0" w:after="0"/>
              <w:jc w:val="center"/>
              <w:rPr>
                <w:rFonts w:ascii="Times" w:eastAsia="Times New Roman" w:hAnsi="Times" w:cs="Times New Roman"/>
                <w:iCs/>
                <w:sz w:val="20"/>
                <w:highlight w:val="black"/>
              </w:rPr>
            </w:pPr>
            <w:r>
              <w:rPr>
                <w:rFonts w:ascii="Arial Narrow" w:hAnsi="Arial Narrow"/>
                <w:iCs/>
                <w:noProof/>
                <w:color w:val="000000"/>
                <w:sz w:val="20"/>
                <w:highlight w:val="black"/>
              </w:rPr>
              <w:t>''''''''''''''''''''''</w:t>
            </w:r>
          </w:p>
        </w:tc>
      </w:tr>
      <w:tr w:rsidR="005D42BF" w:rsidRPr="00FE4251" w:rsidTr="0021613B">
        <w:tc>
          <w:tcPr>
            <w:tcW w:w="1529" w:type="pct"/>
            <w:vAlign w:val="center"/>
          </w:tcPr>
          <w:p w:rsidR="005D42BF" w:rsidRPr="00FE4251" w:rsidRDefault="005D42BF" w:rsidP="0021613B">
            <w:pPr>
              <w:keepNext/>
              <w:spacing w:before="0" w:after="0"/>
              <w:rPr>
                <w:rFonts w:ascii="Times" w:eastAsia="Times New Roman" w:hAnsi="Times" w:cs="Times New Roman"/>
                <w:sz w:val="20"/>
              </w:rPr>
            </w:pPr>
            <w:r w:rsidRPr="00FE4251">
              <w:rPr>
                <w:rFonts w:ascii="Arial Narrow" w:hAnsi="Arial Narrow"/>
                <w:sz w:val="20"/>
              </w:rPr>
              <w:t>QALY</w:t>
            </w:r>
          </w:p>
        </w:tc>
        <w:tc>
          <w:tcPr>
            <w:tcW w:w="1359" w:type="pct"/>
            <w:vAlign w:val="center"/>
          </w:tcPr>
          <w:p w:rsidR="005D42BF" w:rsidRPr="00FE4251" w:rsidRDefault="005D42BF" w:rsidP="0021613B">
            <w:pPr>
              <w:keepNext/>
              <w:spacing w:before="0" w:after="0"/>
              <w:jc w:val="center"/>
              <w:rPr>
                <w:rFonts w:ascii="Times" w:eastAsia="Times New Roman" w:hAnsi="Times" w:cs="Times New Roman"/>
                <w:iCs/>
                <w:sz w:val="20"/>
              </w:rPr>
            </w:pPr>
            <w:r w:rsidRPr="009C77A7">
              <w:rPr>
                <w:rFonts w:ascii="Arial Narrow" w:hAnsi="Arial Narrow"/>
                <w:iCs/>
                <w:sz w:val="20"/>
              </w:rPr>
              <w:t>0.1984</w:t>
            </w:r>
          </w:p>
        </w:tc>
        <w:tc>
          <w:tcPr>
            <w:tcW w:w="1274" w:type="pct"/>
            <w:vAlign w:val="center"/>
          </w:tcPr>
          <w:p w:rsidR="005D42BF" w:rsidRPr="00FE4251" w:rsidRDefault="005D42BF" w:rsidP="0021613B">
            <w:pPr>
              <w:keepNext/>
              <w:spacing w:before="0" w:after="0"/>
              <w:jc w:val="center"/>
              <w:rPr>
                <w:rFonts w:ascii="Times" w:eastAsia="Times New Roman" w:hAnsi="Times" w:cs="Times New Roman"/>
                <w:iCs/>
                <w:sz w:val="20"/>
              </w:rPr>
            </w:pPr>
            <w:r w:rsidRPr="009C77A7">
              <w:rPr>
                <w:rFonts w:ascii="Arial Narrow" w:hAnsi="Arial Narrow"/>
                <w:iCs/>
                <w:sz w:val="20"/>
              </w:rPr>
              <w:t>0.1950</w:t>
            </w:r>
          </w:p>
        </w:tc>
        <w:tc>
          <w:tcPr>
            <w:tcW w:w="838" w:type="pct"/>
            <w:vAlign w:val="center"/>
          </w:tcPr>
          <w:p w:rsidR="005D42BF" w:rsidRPr="00FE4251" w:rsidRDefault="005D42BF" w:rsidP="0021613B">
            <w:pPr>
              <w:keepNext/>
              <w:spacing w:before="0" w:after="0"/>
              <w:jc w:val="center"/>
              <w:rPr>
                <w:rFonts w:ascii="Arial Narrow" w:hAnsi="Arial Narrow"/>
                <w:iCs/>
                <w:sz w:val="20"/>
              </w:rPr>
            </w:pPr>
            <w:r w:rsidRPr="009C77A7">
              <w:rPr>
                <w:rFonts w:ascii="Arial Narrow" w:hAnsi="Arial Narrow"/>
                <w:iCs/>
                <w:sz w:val="20"/>
              </w:rPr>
              <w:t>0.0034</w:t>
            </w:r>
          </w:p>
        </w:tc>
      </w:tr>
      <w:tr w:rsidR="005D42BF" w:rsidRPr="00FE4251" w:rsidTr="0021613B">
        <w:tc>
          <w:tcPr>
            <w:tcW w:w="4162" w:type="pct"/>
            <w:gridSpan w:val="3"/>
            <w:vAlign w:val="center"/>
          </w:tcPr>
          <w:p w:rsidR="005D42BF" w:rsidRPr="00FE4251" w:rsidRDefault="005D42BF" w:rsidP="0021613B">
            <w:pPr>
              <w:keepNext/>
              <w:spacing w:before="0" w:after="0"/>
              <w:jc w:val="right"/>
              <w:rPr>
                <w:rFonts w:ascii="Times" w:eastAsia="Times New Roman" w:hAnsi="Times" w:cs="Times New Roman"/>
                <w:sz w:val="20"/>
              </w:rPr>
            </w:pPr>
            <w:r w:rsidRPr="00FE4251">
              <w:rPr>
                <w:rFonts w:ascii="Arial Narrow" w:hAnsi="Arial Narrow"/>
                <w:sz w:val="20"/>
              </w:rPr>
              <w:t>Incremental cost/QALY gained</w:t>
            </w:r>
          </w:p>
        </w:tc>
        <w:tc>
          <w:tcPr>
            <w:tcW w:w="838" w:type="pct"/>
            <w:vAlign w:val="center"/>
          </w:tcPr>
          <w:p w:rsidR="005D42BF" w:rsidRPr="00FE4251" w:rsidRDefault="005D42BF" w:rsidP="0021613B">
            <w:pPr>
              <w:keepNext/>
              <w:spacing w:before="0" w:after="0"/>
              <w:jc w:val="center"/>
              <w:rPr>
                <w:rFonts w:ascii="Times" w:eastAsia="Times New Roman" w:hAnsi="Times" w:cs="Times New Roman"/>
                <w:sz w:val="20"/>
              </w:rPr>
            </w:pPr>
            <w:r w:rsidRPr="00FE4251">
              <w:rPr>
                <w:rFonts w:ascii="Arial Narrow" w:hAnsi="Arial Narrow"/>
                <w:sz w:val="20"/>
              </w:rPr>
              <w:t>Dominant</w:t>
            </w:r>
          </w:p>
        </w:tc>
      </w:tr>
    </w:tbl>
    <w:p w:rsidR="005D42BF" w:rsidRPr="00FE4251" w:rsidRDefault="005D42BF" w:rsidP="005D42BF">
      <w:pPr>
        <w:widowControl w:val="0"/>
        <w:spacing w:before="0" w:after="120"/>
        <w:contextualSpacing/>
        <w:jc w:val="both"/>
        <w:rPr>
          <w:rFonts w:ascii="Arial Narrow" w:eastAsia="Times New Roman" w:hAnsi="Arial Narrow" w:cs="Arial"/>
          <w:iCs/>
          <w:snapToGrid w:val="0"/>
          <w:sz w:val="18"/>
          <w:szCs w:val="20"/>
        </w:rPr>
      </w:pPr>
      <w:r w:rsidRPr="00FE4251">
        <w:rPr>
          <w:rFonts w:ascii="Arial Narrow" w:eastAsia="Times New Roman" w:hAnsi="Arial Narrow" w:cs="Arial"/>
          <w:iCs/>
          <w:snapToGrid w:val="0"/>
          <w:sz w:val="18"/>
          <w:szCs w:val="20"/>
        </w:rPr>
        <w:t xml:space="preserve">Source: Derived from Attachment 13 of the submission: </w:t>
      </w:r>
      <w:proofErr w:type="spellStart"/>
      <w:r w:rsidRPr="00FE4251">
        <w:rPr>
          <w:rFonts w:ascii="Arial Narrow" w:eastAsia="Times New Roman" w:hAnsi="Arial Narrow" w:cs="Arial"/>
          <w:iCs/>
          <w:snapToGrid w:val="0"/>
          <w:sz w:val="18"/>
          <w:szCs w:val="20"/>
        </w:rPr>
        <w:t>Entocort</w:t>
      </w:r>
      <w:proofErr w:type="spellEnd"/>
      <w:r w:rsidRPr="00FE4251">
        <w:rPr>
          <w:rFonts w:ascii="Arial Narrow" w:eastAsia="Times New Roman" w:hAnsi="Arial Narrow" w:cs="Arial"/>
          <w:iCs/>
          <w:snapToGrid w:val="0"/>
          <w:sz w:val="18"/>
          <w:szCs w:val="20"/>
        </w:rPr>
        <w:t xml:space="preserve"> economic model, with adjustments as below.</w:t>
      </w:r>
    </w:p>
    <w:p w:rsidR="005D42BF" w:rsidRPr="00FE4251" w:rsidRDefault="005D42BF" w:rsidP="005D42BF">
      <w:pPr>
        <w:widowControl w:val="0"/>
        <w:spacing w:before="0" w:after="120"/>
        <w:contextualSpacing/>
        <w:jc w:val="both"/>
        <w:rPr>
          <w:rFonts w:ascii="Arial Narrow" w:eastAsia="Times New Roman" w:hAnsi="Arial Narrow" w:cs="Arial"/>
          <w:iCs/>
          <w:snapToGrid w:val="0"/>
          <w:sz w:val="18"/>
          <w:szCs w:val="20"/>
        </w:rPr>
      </w:pPr>
      <w:proofErr w:type="gramStart"/>
      <w:r w:rsidRPr="00FE4251">
        <w:rPr>
          <w:rFonts w:ascii="Arial Narrow" w:eastAsia="Times New Roman" w:hAnsi="Arial Narrow" w:cs="Arial"/>
          <w:iCs/>
          <w:snapToGrid w:val="0"/>
          <w:sz w:val="18"/>
          <w:szCs w:val="20"/>
          <w:vertAlign w:val="superscript"/>
        </w:rPr>
        <w:t>a</w:t>
      </w:r>
      <w:proofErr w:type="gramEnd"/>
      <w:r w:rsidRPr="00FE4251">
        <w:rPr>
          <w:rFonts w:ascii="Arial Narrow" w:eastAsia="Times New Roman" w:hAnsi="Arial Narrow" w:cs="Arial"/>
          <w:iCs/>
          <w:snapToGrid w:val="0"/>
          <w:sz w:val="18"/>
          <w:szCs w:val="20"/>
        </w:rPr>
        <w:t xml:space="preserve"> DPMQs have been used.</w:t>
      </w:r>
    </w:p>
    <w:p w:rsidR="005D42BF" w:rsidRPr="00FE4251" w:rsidRDefault="005D42BF" w:rsidP="005D42BF">
      <w:pPr>
        <w:widowControl w:val="0"/>
        <w:spacing w:before="0" w:after="120"/>
        <w:contextualSpacing/>
        <w:jc w:val="both"/>
        <w:rPr>
          <w:rFonts w:ascii="Arial Narrow" w:eastAsia="Times New Roman" w:hAnsi="Arial Narrow" w:cs="Arial"/>
          <w:snapToGrid w:val="0"/>
          <w:sz w:val="18"/>
          <w:szCs w:val="20"/>
        </w:rPr>
      </w:pPr>
      <w:proofErr w:type="gramStart"/>
      <w:r w:rsidRPr="00FE4251">
        <w:rPr>
          <w:rFonts w:ascii="Arial Narrow" w:eastAsia="Times New Roman" w:hAnsi="Arial Narrow" w:cs="Arial"/>
          <w:iCs/>
          <w:snapToGrid w:val="0"/>
          <w:sz w:val="18"/>
          <w:szCs w:val="20"/>
          <w:vertAlign w:val="superscript"/>
        </w:rPr>
        <w:t>b</w:t>
      </w:r>
      <w:proofErr w:type="gramEnd"/>
      <w:r w:rsidRPr="00FE4251">
        <w:rPr>
          <w:rFonts w:ascii="Arial Narrow" w:eastAsia="Times New Roman" w:hAnsi="Arial Narrow" w:cs="Arial"/>
          <w:iCs/>
          <w:snapToGrid w:val="0"/>
          <w:sz w:val="18"/>
          <w:szCs w:val="20"/>
        </w:rPr>
        <w:t xml:space="preserve"> Adjusted for movement to remission health state at end of period.</w:t>
      </w:r>
    </w:p>
    <w:p w:rsidR="001103C2" w:rsidRPr="00FE4251" w:rsidRDefault="00D9465A" w:rsidP="001D7BAE">
      <w:pPr>
        <w:pStyle w:val="ListParagraph"/>
        <w:numPr>
          <w:ilvl w:val="1"/>
          <w:numId w:val="1"/>
        </w:numPr>
        <w:spacing w:before="0" w:after="120"/>
        <w:ind w:left="567" w:hanging="578"/>
        <w:jc w:val="both"/>
      </w:pPr>
      <w:r w:rsidRPr="00FE4251">
        <w:t xml:space="preserve">The submission’s analysis estimated that budesonide treatment will dominate </w:t>
      </w:r>
      <w:proofErr w:type="spellStart"/>
      <w:r w:rsidRPr="00FE4251">
        <w:t>mesalazine</w:t>
      </w:r>
      <w:proofErr w:type="spellEnd"/>
      <w:r w:rsidRPr="00FE4251">
        <w:t xml:space="preserve"> </w:t>
      </w:r>
      <w:r w:rsidR="0021613B" w:rsidRPr="00FE4251">
        <w:t xml:space="preserve">for induction of remission in </w:t>
      </w:r>
      <w:r w:rsidRPr="00FE4251">
        <w:t xml:space="preserve">mild to moderate CD.  This was driven both by the large cost offsets for </w:t>
      </w:r>
      <w:proofErr w:type="spellStart"/>
      <w:r w:rsidRPr="00FE4251">
        <w:t>mesalazine</w:t>
      </w:r>
      <w:proofErr w:type="spellEnd"/>
      <w:r w:rsidRPr="00FE4251">
        <w:t xml:space="preserve"> and </w:t>
      </w:r>
      <w:r w:rsidR="0021613B" w:rsidRPr="00FE4251">
        <w:t xml:space="preserve">the assumed </w:t>
      </w:r>
      <w:r w:rsidR="004B5811" w:rsidRPr="00FE4251">
        <w:t>superior</w:t>
      </w:r>
      <w:r w:rsidR="0021613B" w:rsidRPr="00FE4251">
        <w:t xml:space="preserve"> efficacy of budesonide versus</w:t>
      </w:r>
      <w:r w:rsidRPr="00FE4251">
        <w:t xml:space="preserve"> </w:t>
      </w:r>
      <w:proofErr w:type="spellStart"/>
      <w:r w:rsidRPr="00FE4251">
        <w:t>mesalazine</w:t>
      </w:r>
      <w:proofErr w:type="spellEnd"/>
      <w:r w:rsidRPr="00FE4251">
        <w:t xml:space="preserve">.  As discussed in </w:t>
      </w:r>
      <w:r w:rsidR="00225DBE" w:rsidRPr="00FE4251">
        <w:t>paragraph 6.</w:t>
      </w:r>
      <w:r w:rsidR="004E3EF2" w:rsidRPr="00FE4251">
        <w:t>11</w:t>
      </w:r>
      <w:r w:rsidR="00225DBE" w:rsidRPr="00FE4251">
        <w:t>, t</w:t>
      </w:r>
      <w:r w:rsidRPr="00FE4251">
        <w:t xml:space="preserve">he results of </w:t>
      </w:r>
      <w:proofErr w:type="spellStart"/>
      <w:r w:rsidRPr="00FE4251">
        <w:t>Tromm</w:t>
      </w:r>
      <w:proofErr w:type="spellEnd"/>
      <w:r w:rsidRPr="00FE4251">
        <w:t xml:space="preserve"> 2011 instead suggested budesonide to be non-inferior to </w:t>
      </w:r>
      <w:proofErr w:type="spellStart"/>
      <w:r w:rsidRPr="00FE4251">
        <w:t>mesalazine</w:t>
      </w:r>
      <w:proofErr w:type="spellEnd"/>
      <w:r w:rsidRPr="00FE4251">
        <w:t xml:space="preserve"> 4.5</w:t>
      </w:r>
      <w:r w:rsidR="00253811" w:rsidRPr="00FE4251">
        <w:t xml:space="preserve"> </w:t>
      </w:r>
      <w:r w:rsidRPr="00FE4251">
        <w:t xml:space="preserve">g/day, if there </w:t>
      </w:r>
      <w:r w:rsidR="0029367F" w:rsidRPr="00FE4251">
        <w:t xml:space="preserve">was </w:t>
      </w:r>
      <w:r w:rsidRPr="00FE4251">
        <w:t xml:space="preserve">no difference </w:t>
      </w:r>
      <w:r w:rsidR="0021613B" w:rsidRPr="00FE4251">
        <w:t xml:space="preserve">in efficacy </w:t>
      </w:r>
      <w:r w:rsidRPr="00FE4251">
        <w:t xml:space="preserve">between budesonide and </w:t>
      </w:r>
      <w:proofErr w:type="spellStart"/>
      <w:r w:rsidRPr="00FE4251">
        <w:t>mesalazine</w:t>
      </w:r>
      <w:proofErr w:type="spellEnd"/>
      <w:r w:rsidRPr="00FE4251">
        <w:t xml:space="preserve"> t</w:t>
      </w:r>
      <w:r w:rsidR="0021613B" w:rsidRPr="00FE4251">
        <w:t>hen the only impact would be a</w:t>
      </w:r>
      <w:r w:rsidRPr="00FE4251">
        <w:t xml:space="preserve"> cost saving of -$</w:t>
      </w:r>
      <w:r w:rsidR="00F01E3E">
        <w:rPr>
          <w:noProof/>
          <w:color w:val="000000"/>
          <w:highlight w:val="black"/>
        </w:rPr>
        <w:t>'''''''''''''</w:t>
      </w:r>
      <w:r w:rsidRPr="00FE4251">
        <w:t xml:space="preserve"> with budesonide</w:t>
      </w:r>
      <w:r w:rsidR="0021613B" w:rsidRPr="00FE4251">
        <w:t xml:space="preserve"> based on the submission’s estimates</w:t>
      </w:r>
      <w:r w:rsidRPr="00FE4251">
        <w:t xml:space="preserve">. </w:t>
      </w:r>
    </w:p>
    <w:p w:rsidR="00D9465A" w:rsidRPr="00FE4251" w:rsidRDefault="00D9465A" w:rsidP="001D7BAE">
      <w:pPr>
        <w:pStyle w:val="ListParagraph"/>
        <w:numPr>
          <w:ilvl w:val="1"/>
          <w:numId w:val="1"/>
        </w:numPr>
        <w:spacing w:before="0" w:after="120"/>
        <w:ind w:left="567" w:hanging="578"/>
        <w:jc w:val="both"/>
        <w:rPr>
          <w:rFonts w:cstheme="minorHAnsi"/>
          <w:szCs w:val="24"/>
        </w:rPr>
      </w:pPr>
      <w:r w:rsidRPr="00FE4251">
        <w:t>T</w:t>
      </w:r>
      <w:r w:rsidR="009F1944" w:rsidRPr="00FE4251">
        <w:t xml:space="preserve">he submission included </w:t>
      </w:r>
      <w:r w:rsidRPr="00FE4251">
        <w:t xml:space="preserve">univariate and multivariate sensitivity analysis </w:t>
      </w:r>
      <w:r w:rsidR="004B5811" w:rsidRPr="00FE4251">
        <w:t xml:space="preserve">and </w:t>
      </w:r>
      <w:r w:rsidRPr="00FE4251">
        <w:t xml:space="preserve">additional analyses </w:t>
      </w:r>
      <w:r w:rsidR="009F1944" w:rsidRPr="00FE4251">
        <w:t xml:space="preserve">were </w:t>
      </w:r>
      <w:r w:rsidRPr="00FE4251">
        <w:t xml:space="preserve">conducted during the evaluation.  The results were sensitive to </w:t>
      </w:r>
      <w:r w:rsidR="00277E9C" w:rsidRPr="00FE4251">
        <w:t xml:space="preserve">the assumed </w:t>
      </w:r>
      <w:r w:rsidRPr="00FE4251">
        <w:t xml:space="preserve">costs </w:t>
      </w:r>
      <w:r w:rsidR="00277E9C" w:rsidRPr="00FE4251">
        <w:t xml:space="preserve">for </w:t>
      </w:r>
      <w:proofErr w:type="spellStart"/>
      <w:r w:rsidR="00277E9C" w:rsidRPr="00FE4251">
        <w:t>mesalazine</w:t>
      </w:r>
      <w:proofErr w:type="spellEnd"/>
      <w:r w:rsidR="00277E9C" w:rsidRPr="00FE4251">
        <w:t xml:space="preserve">, varying dramatically across different brands of </w:t>
      </w:r>
      <w:proofErr w:type="spellStart"/>
      <w:r w:rsidR="00277E9C" w:rsidRPr="00FE4251">
        <w:t>mesalazine</w:t>
      </w:r>
      <w:proofErr w:type="spellEnd"/>
      <w:r w:rsidR="00277E9C" w:rsidRPr="00FE4251">
        <w:t xml:space="preserve"> </w:t>
      </w:r>
      <w:r w:rsidRPr="00FE4251">
        <w:t xml:space="preserve">in </w:t>
      </w:r>
      <w:r w:rsidR="00277E9C" w:rsidRPr="00FE4251">
        <w:t xml:space="preserve">both </w:t>
      </w:r>
      <w:r w:rsidRPr="00FE4251">
        <w:t xml:space="preserve">the 8-week </w:t>
      </w:r>
      <w:r w:rsidR="00277E9C" w:rsidRPr="00FE4251">
        <w:t>and 12-week analyses</w:t>
      </w:r>
      <w:r w:rsidRPr="00FE4251">
        <w:t xml:space="preserve"> </w:t>
      </w:r>
      <w:r w:rsidR="00277E9C" w:rsidRPr="00FE4251">
        <w:t>without</w:t>
      </w:r>
      <w:r w:rsidRPr="00FE4251">
        <w:t xml:space="preserve"> dose tapering.  </w:t>
      </w:r>
      <w:r w:rsidR="007B19A8" w:rsidRPr="00FE4251">
        <w:rPr>
          <w:iCs/>
        </w:rPr>
        <w:t xml:space="preserve">In the 8-week analysis, assuming a 25% reduction in remission rate for budesonide and </w:t>
      </w:r>
      <w:r w:rsidR="00277E9C" w:rsidRPr="00FE4251">
        <w:rPr>
          <w:iCs/>
        </w:rPr>
        <w:t xml:space="preserve">assuming budesonide will only </w:t>
      </w:r>
      <w:r w:rsidR="00763F2D" w:rsidRPr="00FE4251">
        <w:rPr>
          <w:iCs/>
        </w:rPr>
        <w:t>replace</w:t>
      </w:r>
      <w:r w:rsidR="00277E9C" w:rsidRPr="00FE4251">
        <w:rPr>
          <w:iCs/>
        </w:rPr>
        <w:t xml:space="preserve"> the least c</w:t>
      </w:r>
      <w:r w:rsidR="007B19A8" w:rsidRPr="00FE4251">
        <w:rPr>
          <w:iCs/>
        </w:rPr>
        <w:t>ostly formulation</w:t>
      </w:r>
      <w:r w:rsidR="00277E9C" w:rsidRPr="00FE4251">
        <w:rPr>
          <w:iCs/>
        </w:rPr>
        <w:t xml:space="preserve">/brand </w:t>
      </w:r>
      <w:r w:rsidR="007B19A8" w:rsidRPr="00FE4251">
        <w:rPr>
          <w:iCs/>
        </w:rPr>
        <w:t xml:space="preserve">of </w:t>
      </w:r>
      <w:proofErr w:type="spellStart"/>
      <w:r w:rsidR="007B19A8" w:rsidRPr="00FE4251">
        <w:rPr>
          <w:iCs/>
        </w:rPr>
        <w:t>mesalazine</w:t>
      </w:r>
      <w:proofErr w:type="spellEnd"/>
      <w:r w:rsidR="007B19A8" w:rsidRPr="00FE4251">
        <w:rPr>
          <w:iCs/>
        </w:rPr>
        <w:t xml:space="preserve">, </w:t>
      </w:r>
      <w:proofErr w:type="gramStart"/>
      <w:r w:rsidR="0029367F" w:rsidRPr="00FE4251">
        <w:rPr>
          <w:iCs/>
        </w:rPr>
        <w:t>then</w:t>
      </w:r>
      <w:proofErr w:type="gramEnd"/>
      <w:r w:rsidR="0029367F" w:rsidRPr="00FE4251">
        <w:rPr>
          <w:iCs/>
        </w:rPr>
        <w:t xml:space="preserve"> </w:t>
      </w:r>
      <w:proofErr w:type="spellStart"/>
      <w:r w:rsidR="007B19A8" w:rsidRPr="00FE4251">
        <w:rPr>
          <w:iCs/>
        </w:rPr>
        <w:t>mesalazine</w:t>
      </w:r>
      <w:proofErr w:type="spellEnd"/>
      <w:r w:rsidR="007B19A8" w:rsidRPr="00FE4251">
        <w:rPr>
          <w:iCs/>
        </w:rPr>
        <w:t xml:space="preserve"> was less costly than budesonide but with more QALYs, i.e. dominated by </w:t>
      </w:r>
      <w:proofErr w:type="spellStart"/>
      <w:r w:rsidR="007B19A8" w:rsidRPr="00FE4251">
        <w:rPr>
          <w:iCs/>
        </w:rPr>
        <w:t>mesalazine</w:t>
      </w:r>
      <w:proofErr w:type="spellEnd"/>
      <w:r w:rsidR="007B19A8" w:rsidRPr="00FE4251">
        <w:rPr>
          <w:iCs/>
        </w:rPr>
        <w:t xml:space="preserve">.  </w:t>
      </w:r>
      <w:r w:rsidR="003F4BAE" w:rsidRPr="00FE4251">
        <w:rPr>
          <w:iCs/>
        </w:rPr>
        <w:t xml:space="preserve">The model was also sensitive to the assumption of a </w:t>
      </w:r>
      <w:r w:rsidR="0029367F" w:rsidRPr="00FE4251">
        <w:rPr>
          <w:iCs/>
        </w:rPr>
        <w:t>4-</w:t>
      </w:r>
      <w:r w:rsidR="003F4BAE" w:rsidRPr="00FE4251">
        <w:rPr>
          <w:iCs/>
        </w:rPr>
        <w:t>week budesonide dose tapering phase</w:t>
      </w:r>
      <w:r w:rsidR="004B5811" w:rsidRPr="00FE4251">
        <w:rPr>
          <w:iCs/>
        </w:rPr>
        <w:t>;</w:t>
      </w:r>
      <w:r w:rsidR="003F4BAE" w:rsidRPr="00FE4251">
        <w:rPr>
          <w:iCs/>
        </w:rPr>
        <w:t xml:space="preserve"> this assumption </w:t>
      </w:r>
      <w:r w:rsidR="0029367F" w:rsidRPr="00FE4251">
        <w:rPr>
          <w:iCs/>
        </w:rPr>
        <w:t xml:space="preserve">greatly </w:t>
      </w:r>
      <w:r w:rsidR="003F4BAE" w:rsidRPr="00FE4251">
        <w:rPr>
          <w:iCs/>
        </w:rPr>
        <w:t xml:space="preserve">reduced </w:t>
      </w:r>
      <w:r w:rsidR="004B5811" w:rsidRPr="00FE4251">
        <w:rPr>
          <w:iCs/>
        </w:rPr>
        <w:t xml:space="preserve">the </w:t>
      </w:r>
      <w:r w:rsidR="003F4BAE" w:rsidRPr="00FE4251">
        <w:rPr>
          <w:iCs/>
        </w:rPr>
        <w:t>cost</w:t>
      </w:r>
      <w:r w:rsidR="004B5811" w:rsidRPr="00FE4251">
        <w:rPr>
          <w:iCs/>
        </w:rPr>
        <w:t>s</w:t>
      </w:r>
      <w:r w:rsidR="003F4BAE" w:rsidRPr="00FE4251">
        <w:rPr>
          <w:iCs/>
        </w:rPr>
        <w:t xml:space="preserve"> associated with budesonide treatment (contributing to 70.4% of the estimated cost savings versus </w:t>
      </w:r>
      <w:proofErr w:type="spellStart"/>
      <w:r w:rsidR="003F4BAE" w:rsidRPr="00FE4251">
        <w:rPr>
          <w:iCs/>
        </w:rPr>
        <w:t>mesalazine</w:t>
      </w:r>
      <w:proofErr w:type="spellEnd"/>
      <w:r w:rsidR="003F4BAE" w:rsidRPr="00FE4251">
        <w:rPr>
          <w:iCs/>
        </w:rPr>
        <w:t>).  The PI also recommends dose tapering over 2 weeks, which will increase</w:t>
      </w:r>
      <w:r w:rsidR="004B5811" w:rsidRPr="00FE4251">
        <w:rPr>
          <w:iCs/>
        </w:rPr>
        <w:t xml:space="preserve"> the</w:t>
      </w:r>
      <w:r w:rsidR="003F4BAE" w:rsidRPr="00FE4251">
        <w:rPr>
          <w:iCs/>
        </w:rPr>
        <w:t xml:space="preserve"> cost</w:t>
      </w:r>
      <w:r w:rsidR="004B5811" w:rsidRPr="00FE4251">
        <w:rPr>
          <w:iCs/>
        </w:rPr>
        <w:t>s</w:t>
      </w:r>
      <w:r w:rsidR="003F4BAE" w:rsidRPr="00FE4251">
        <w:rPr>
          <w:iCs/>
        </w:rPr>
        <w:t xml:space="preserve"> associated with budesonide.</w:t>
      </w:r>
    </w:p>
    <w:p w:rsidR="003F4BAE" w:rsidRPr="00FE4251" w:rsidRDefault="003F4BAE" w:rsidP="003F4BAE">
      <w:pPr>
        <w:pStyle w:val="Heading7"/>
        <w:rPr>
          <w:rFonts w:cstheme="minorHAnsi"/>
          <w:i w:val="0"/>
        </w:rPr>
      </w:pPr>
      <w:r w:rsidRPr="00FE4251">
        <w:rPr>
          <w:rFonts w:cstheme="minorHAnsi"/>
          <w:i w:val="0"/>
        </w:rPr>
        <w:t>Cost</w:t>
      </w:r>
      <w:r w:rsidR="00813A3F" w:rsidRPr="00FE4251">
        <w:rPr>
          <w:rFonts w:cstheme="minorHAnsi"/>
          <w:i w:val="0"/>
        </w:rPr>
        <w:t>-</w:t>
      </w:r>
      <w:r w:rsidRPr="00FE4251">
        <w:rPr>
          <w:rFonts w:cstheme="minorHAnsi"/>
          <w:i w:val="0"/>
        </w:rPr>
        <w:t>minimisation analysis versus prednisolone</w:t>
      </w:r>
    </w:p>
    <w:p w:rsidR="003F4BAE" w:rsidRPr="00FE4251" w:rsidRDefault="00A0392B" w:rsidP="00A5425D">
      <w:pPr>
        <w:pStyle w:val="ListParagraph"/>
        <w:numPr>
          <w:ilvl w:val="1"/>
          <w:numId w:val="1"/>
        </w:numPr>
        <w:spacing w:before="0" w:after="120"/>
        <w:ind w:left="567" w:hanging="578"/>
        <w:jc w:val="both"/>
      </w:pPr>
      <w:r w:rsidRPr="00FE4251">
        <w:t>The PBAC noted that a</w:t>
      </w:r>
      <w:r w:rsidR="003F4BAE" w:rsidRPr="00FE4251">
        <w:t xml:space="preserve"> cost-minimisation analysis was conducted versus prednisolone during the evaluation to illustrate the uncertain cost effectiveness of budesonide at its requested price.  The analysis should be considered indicative only, since the clinical results </w:t>
      </w:r>
      <w:r w:rsidR="00163544" w:rsidRPr="00FE4251">
        <w:t>discussed in paragraph</w:t>
      </w:r>
      <w:r w:rsidRPr="00FE4251">
        <w:t xml:space="preserve"> </w:t>
      </w:r>
      <w:r w:rsidR="00163544" w:rsidRPr="00FE4251">
        <w:t>6.</w:t>
      </w:r>
      <w:r w:rsidR="008A6F9B" w:rsidRPr="00FE4251">
        <w:t>16</w:t>
      </w:r>
      <w:r w:rsidRPr="00FE4251">
        <w:t xml:space="preserve"> </w:t>
      </w:r>
      <w:r w:rsidR="003F4BAE" w:rsidRPr="00FE4251">
        <w:t>indicate that budesonide might be inferior to prednisolone for induction of remission at week 8 (remission rates were not statistically significantly different between the two treatments, but the results favoured prednisolone with the lower 95%</w:t>
      </w:r>
      <w:r w:rsidR="008E2D23" w:rsidRPr="00FE4251">
        <w:t xml:space="preserve"> </w:t>
      </w:r>
      <w:r w:rsidR="003F4BAE" w:rsidRPr="00FE4251">
        <w:t xml:space="preserve">CI -0.19 exceeding the non-inferiority margin of 10% used in </w:t>
      </w:r>
      <w:proofErr w:type="spellStart"/>
      <w:r w:rsidR="003F4BAE" w:rsidRPr="00FE4251">
        <w:t>Tromm</w:t>
      </w:r>
      <w:proofErr w:type="spellEnd"/>
      <w:r w:rsidR="003F4BAE" w:rsidRPr="00FE4251">
        <w:t xml:space="preserve"> 2011).  </w:t>
      </w:r>
      <w:r w:rsidR="004A2F0D" w:rsidRPr="00FE4251">
        <w:t>The PBAC noted a</w:t>
      </w:r>
      <w:r w:rsidR="003F4BAE" w:rsidRPr="00FE4251">
        <w:t xml:space="preserve"> cost</w:t>
      </w:r>
      <w:r w:rsidR="00813A3F" w:rsidRPr="00FE4251">
        <w:t>-</w:t>
      </w:r>
      <w:r w:rsidR="003F4BAE" w:rsidRPr="00FE4251">
        <w:t xml:space="preserve">minimisation analysis is also not able to take into account the costs and consequence of the </w:t>
      </w:r>
      <w:r w:rsidR="004B5811" w:rsidRPr="00FE4251">
        <w:t>superior</w:t>
      </w:r>
      <w:r w:rsidR="003F4BAE" w:rsidRPr="00FE4251">
        <w:t xml:space="preserve"> safety profile of budesonide</w:t>
      </w:r>
      <w:r w:rsidR="004B5811" w:rsidRPr="00FE4251">
        <w:t xml:space="preserve"> compared with prednisolone</w:t>
      </w:r>
      <w:r w:rsidR="003F4BAE" w:rsidRPr="00FE4251">
        <w:t>.</w:t>
      </w:r>
      <w:r w:rsidR="001103C2" w:rsidRPr="00FE4251">
        <w:t xml:space="preserve"> </w:t>
      </w:r>
      <w:r w:rsidR="009E4453" w:rsidRPr="00FE4251">
        <w:t xml:space="preserve">The PBAC considered that, as outlined in paragraph </w:t>
      </w:r>
      <w:r w:rsidR="00955B84" w:rsidRPr="00FE4251">
        <w:t>6.18</w:t>
      </w:r>
      <w:r w:rsidR="009E4453" w:rsidRPr="00FE4251">
        <w:t>, the reduction in AEs demonstrated in trials of budesonide versus prednisolone may be particularly advantageous in ce</w:t>
      </w:r>
      <w:r w:rsidR="0032105E" w:rsidRPr="00FE4251">
        <w:t>rtain patient groups which may allow offsets against the higher price of budesonide.</w:t>
      </w:r>
    </w:p>
    <w:p w:rsidR="001103C2" w:rsidRPr="00FE4251" w:rsidRDefault="001103C2" w:rsidP="00A5425D">
      <w:pPr>
        <w:pStyle w:val="ListParagraph"/>
        <w:numPr>
          <w:ilvl w:val="1"/>
          <w:numId w:val="1"/>
        </w:numPr>
        <w:spacing w:before="0" w:after="120"/>
        <w:ind w:left="567" w:hanging="578"/>
        <w:jc w:val="both"/>
      </w:pPr>
      <w:r w:rsidRPr="00FE4251">
        <w:t xml:space="preserve">The </w:t>
      </w:r>
      <w:r w:rsidR="00763F2D" w:rsidRPr="00FE4251">
        <w:t xml:space="preserve">treatment doses compared for budesonide and prednisolone, </w:t>
      </w:r>
      <w:r w:rsidR="00E14ADB" w:rsidRPr="00FE4251">
        <w:t xml:space="preserve">over a </w:t>
      </w:r>
      <w:r w:rsidR="00DA6B1F" w:rsidRPr="00FE4251">
        <w:t>12-</w:t>
      </w:r>
      <w:r w:rsidR="00E14ADB" w:rsidRPr="00FE4251">
        <w:t xml:space="preserve">week course were </w:t>
      </w:r>
      <w:r w:rsidRPr="00FE4251">
        <w:t xml:space="preserve">estimated </w:t>
      </w:r>
      <w:r w:rsidR="008C61FF" w:rsidRPr="00FE4251">
        <w:t xml:space="preserve">from the trial doses, </w:t>
      </w:r>
      <w:r w:rsidR="00763F2D" w:rsidRPr="00FE4251">
        <w:t xml:space="preserve">and consisted of: </w:t>
      </w:r>
      <w:r w:rsidR="00E14ADB" w:rsidRPr="00FE4251">
        <w:t xml:space="preserve">budesonide 9 mg/day for 8 weeks, </w:t>
      </w:r>
      <w:r w:rsidR="008C61FF" w:rsidRPr="00FE4251">
        <w:t xml:space="preserve">then tapered to </w:t>
      </w:r>
      <w:r w:rsidR="00E14ADB" w:rsidRPr="00FE4251">
        <w:t>6</w:t>
      </w:r>
      <w:r w:rsidR="00097598" w:rsidRPr="00FE4251">
        <w:t xml:space="preserve"> </w:t>
      </w:r>
      <w:r w:rsidR="00E14ADB" w:rsidRPr="00FE4251">
        <w:t>mg</w:t>
      </w:r>
      <w:r w:rsidR="008C61FF" w:rsidRPr="00FE4251">
        <w:t>/day</w:t>
      </w:r>
      <w:r w:rsidR="00E14ADB" w:rsidRPr="00FE4251">
        <w:t xml:space="preserve"> for 2 weeks then 3</w:t>
      </w:r>
      <w:r w:rsidR="00097598" w:rsidRPr="00FE4251">
        <w:t xml:space="preserve"> </w:t>
      </w:r>
      <w:r w:rsidR="00E14ADB" w:rsidRPr="00FE4251">
        <w:t>mg</w:t>
      </w:r>
      <w:r w:rsidR="008C61FF" w:rsidRPr="00FE4251">
        <w:t xml:space="preserve">/day </w:t>
      </w:r>
      <w:r w:rsidR="00E14ADB" w:rsidRPr="00FE4251">
        <w:t xml:space="preserve">for 2 weeks </w:t>
      </w:r>
      <w:r w:rsidR="008C61FF" w:rsidRPr="00FE4251">
        <w:t xml:space="preserve">versus </w:t>
      </w:r>
      <w:r w:rsidR="00E14ADB" w:rsidRPr="00FE4251">
        <w:t>prednisolone 40</w:t>
      </w:r>
      <w:r w:rsidR="00097598" w:rsidRPr="00FE4251">
        <w:t xml:space="preserve"> </w:t>
      </w:r>
      <w:r w:rsidR="00E14ADB" w:rsidRPr="00FE4251">
        <w:t xml:space="preserve">mg/day </w:t>
      </w:r>
      <w:r w:rsidR="008C61FF" w:rsidRPr="00FE4251">
        <w:t xml:space="preserve">for 2 weeks </w:t>
      </w:r>
      <w:r w:rsidR="00E14ADB" w:rsidRPr="00FE4251">
        <w:t>then tapered to 30</w:t>
      </w:r>
      <w:r w:rsidR="00097598" w:rsidRPr="00FE4251">
        <w:t xml:space="preserve"> </w:t>
      </w:r>
      <w:r w:rsidR="00E14ADB" w:rsidRPr="00FE4251">
        <w:t xml:space="preserve">mg/day after </w:t>
      </w:r>
      <w:r w:rsidR="00DA6B1F" w:rsidRPr="00FE4251">
        <w:t xml:space="preserve">2 </w:t>
      </w:r>
      <w:r w:rsidR="00E14ADB" w:rsidRPr="00FE4251">
        <w:t xml:space="preserve">weeks and then continuously reducing </w:t>
      </w:r>
      <w:r w:rsidR="008C61FF" w:rsidRPr="00FE4251">
        <w:t xml:space="preserve">each week </w:t>
      </w:r>
      <w:r w:rsidR="00977CDD" w:rsidRPr="00FE4251">
        <w:t>by 5</w:t>
      </w:r>
      <w:r w:rsidR="00097598" w:rsidRPr="00FE4251">
        <w:t xml:space="preserve"> </w:t>
      </w:r>
      <w:r w:rsidR="00977CDD" w:rsidRPr="00FE4251">
        <w:t xml:space="preserve">mg per </w:t>
      </w:r>
      <w:r w:rsidR="008C61FF" w:rsidRPr="00FE4251">
        <w:t>week until reaching 5</w:t>
      </w:r>
      <w:r w:rsidR="00097598" w:rsidRPr="00FE4251">
        <w:t xml:space="preserve"> </w:t>
      </w:r>
      <w:r w:rsidR="008C61FF" w:rsidRPr="00FE4251">
        <w:t xml:space="preserve">mg/day after 9 weeks, patients then stayed on this dose for 3 weeks. </w:t>
      </w:r>
    </w:p>
    <w:p w:rsidR="009B6771" w:rsidRPr="00FE4251" w:rsidRDefault="009B6771" w:rsidP="009B6771">
      <w:pPr>
        <w:pStyle w:val="ListParagraph"/>
        <w:numPr>
          <w:ilvl w:val="1"/>
          <w:numId w:val="1"/>
        </w:numPr>
        <w:spacing w:before="0" w:after="120"/>
        <w:ind w:left="567" w:hanging="578"/>
        <w:jc w:val="both"/>
      </w:pPr>
      <w:r w:rsidRPr="00FE4251">
        <w:t>The estimated cost of budesonide versus prednisolone over a 12-week treatment period for a CD flare up is summarised in Table 9.  The analysis estimated cost for prednisolone assuming leftover tablets dispensed in a pack for prednisolone will be discarded (with wastage) or will be used for a later flare up (without wastage). AEMP prices were used in the cost comparisons.</w:t>
      </w:r>
    </w:p>
    <w:p w:rsidR="009B6771" w:rsidRPr="00FE4251" w:rsidRDefault="009B6771" w:rsidP="009B6771">
      <w:pPr>
        <w:pStyle w:val="TableHeading0"/>
      </w:pPr>
      <w:bookmarkStart w:id="42" w:name="_Ref474486625"/>
      <w:bookmarkStart w:id="43" w:name="_Toc476640903"/>
      <w:r w:rsidRPr="00FE4251">
        <w:t xml:space="preserve">Table </w:t>
      </w:r>
      <w:bookmarkEnd w:id="42"/>
      <w:r w:rsidRPr="00FE4251">
        <w:t xml:space="preserve">9: </w:t>
      </w:r>
      <w:bookmarkEnd w:id="43"/>
      <w:r w:rsidRPr="00FE4251">
        <w:t>Cost of budesonide versus prednisolone over 12 weeks (based on AEMPs)</w:t>
      </w:r>
    </w:p>
    <w:tbl>
      <w:tblPr>
        <w:tblStyle w:val="TableGridbeth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Cost of budesonide versus prednisolone over 12 weeks (based on AEMPs)"/>
      </w:tblPr>
      <w:tblGrid>
        <w:gridCol w:w="2487"/>
        <w:gridCol w:w="494"/>
        <w:gridCol w:w="376"/>
        <w:gridCol w:w="780"/>
        <w:gridCol w:w="745"/>
        <w:gridCol w:w="805"/>
        <w:gridCol w:w="1019"/>
        <w:gridCol w:w="956"/>
        <w:gridCol w:w="671"/>
        <w:gridCol w:w="749"/>
      </w:tblGrid>
      <w:tr w:rsidR="009B6771" w:rsidRPr="00FE4251" w:rsidTr="00AE7369">
        <w:trPr>
          <w:cnfStyle w:val="100000000000" w:firstRow="1" w:lastRow="0" w:firstColumn="0" w:lastColumn="0" w:oddVBand="0" w:evenVBand="0" w:oddHBand="0" w:evenHBand="0" w:firstRowFirstColumn="0" w:firstRowLastColumn="0" w:lastRowFirstColumn="0" w:lastRowLastColumn="0"/>
          <w:tblHeader/>
        </w:trPr>
        <w:tc>
          <w:tcPr>
            <w:tcW w:w="1375" w:type="pct"/>
            <w:shd w:val="clear" w:color="auto" w:fill="auto"/>
            <w:tcMar>
              <w:left w:w="28" w:type="dxa"/>
              <w:right w:w="28" w:type="dxa"/>
            </w:tcMar>
            <w:vAlign w:val="center"/>
          </w:tcPr>
          <w:p w:rsidR="009B6771" w:rsidRPr="00FE4251" w:rsidRDefault="009B6771" w:rsidP="00FB4CAF">
            <w:pPr>
              <w:spacing w:before="0"/>
              <w:rPr>
                <w:rFonts w:ascii="Arial Narrow" w:hAnsi="Arial Narrow"/>
                <w:sz w:val="20"/>
                <w:szCs w:val="20"/>
                <w:lang w:val="en-AU"/>
              </w:rPr>
            </w:pPr>
            <w:r w:rsidRPr="00FE4251">
              <w:rPr>
                <w:rFonts w:ascii="Arial Narrow" w:hAnsi="Arial Narrow"/>
                <w:sz w:val="20"/>
                <w:szCs w:val="20"/>
                <w:lang w:val="en-AU"/>
              </w:rPr>
              <w:t>Resource item</w:t>
            </w:r>
          </w:p>
        </w:tc>
        <w:tc>
          <w:tcPr>
            <w:tcW w:w="278"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b w:val="0"/>
                <w:sz w:val="20"/>
                <w:szCs w:val="20"/>
                <w:lang w:val="en-AU"/>
              </w:rPr>
            </w:pPr>
            <w:r w:rsidRPr="00FE4251">
              <w:rPr>
                <w:rFonts w:ascii="Arial Narrow" w:hAnsi="Arial Narrow"/>
                <w:sz w:val="20"/>
                <w:szCs w:val="20"/>
                <w:lang w:val="en-AU"/>
              </w:rPr>
              <w:t>Pack size</w:t>
            </w:r>
          </w:p>
        </w:tc>
        <w:tc>
          <w:tcPr>
            <w:tcW w:w="209"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Max Qty.</w:t>
            </w:r>
          </w:p>
        </w:tc>
        <w:tc>
          <w:tcPr>
            <w:tcW w:w="393"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b w:val="0"/>
                <w:sz w:val="20"/>
                <w:szCs w:val="20"/>
                <w:lang w:val="en-AU"/>
              </w:rPr>
            </w:pPr>
            <w:r w:rsidRPr="00FE4251">
              <w:rPr>
                <w:rFonts w:ascii="Arial Narrow" w:hAnsi="Arial Narrow"/>
                <w:sz w:val="20"/>
                <w:szCs w:val="20"/>
                <w:lang w:val="en-AU"/>
              </w:rPr>
              <w:t>DPMQ</w:t>
            </w:r>
          </w:p>
        </w:tc>
        <w:tc>
          <w:tcPr>
            <w:tcW w:w="398" w:type="pct"/>
            <w:shd w:val="clear" w:color="auto" w:fill="auto"/>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AEMP</w:t>
            </w:r>
          </w:p>
        </w:tc>
        <w:tc>
          <w:tcPr>
            <w:tcW w:w="453" w:type="pct"/>
            <w:shd w:val="clear" w:color="auto" w:fill="auto"/>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Source</w:t>
            </w:r>
          </w:p>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(PBS item no)</w:t>
            </w:r>
          </w:p>
        </w:tc>
        <w:tc>
          <w:tcPr>
            <w:tcW w:w="567"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AEMP per tablet / capsule</w:t>
            </w:r>
          </w:p>
        </w:tc>
        <w:tc>
          <w:tcPr>
            <w:tcW w:w="532"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No. tablets / capsules per 12 weeks</w:t>
            </w:r>
          </w:p>
        </w:tc>
        <w:tc>
          <w:tcPr>
            <w:tcW w:w="375"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bCs/>
                <w:sz w:val="20"/>
                <w:szCs w:val="20"/>
                <w:lang w:val="en-AU"/>
              </w:rPr>
            </w:pPr>
            <w:r w:rsidRPr="00FE4251">
              <w:rPr>
                <w:rFonts w:ascii="Arial Narrow" w:hAnsi="Arial Narrow"/>
                <w:bCs/>
                <w:sz w:val="20"/>
                <w:szCs w:val="20"/>
                <w:lang w:val="en-AU"/>
              </w:rPr>
              <w:t>No. packs per 12 weeks</w:t>
            </w:r>
          </w:p>
        </w:tc>
        <w:tc>
          <w:tcPr>
            <w:tcW w:w="420" w:type="pct"/>
            <w:shd w:val="clear" w:color="auto" w:fill="auto"/>
          </w:tcPr>
          <w:p w:rsidR="009B6771" w:rsidRPr="00FE4251" w:rsidRDefault="009B6771" w:rsidP="00FB4CAF">
            <w:pPr>
              <w:spacing w:before="0"/>
              <w:jc w:val="center"/>
              <w:rPr>
                <w:rFonts w:ascii="Arial Narrow" w:hAnsi="Arial Narrow"/>
                <w:bCs/>
                <w:sz w:val="20"/>
                <w:szCs w:val="20"/>
                <w:lang w:val="en-AU"/>
              </w:rPr>
            </w:pPr>
            <w:r w:rsidRPr="00FE4251">
              <w:rPr>
                <w:rFonts w:ascii="Arial Narrow" w:hAnsi="Arial Narrow"/>
                <w:bCs/>
                <w:sz w:val="20"/>
                <w:szCs w:val="20"/>
                <w:lang w:val="en-AU"/>
              </w:rPr>
              <w:t>Cost per 12 weeks</w:t>
            </w:r>
          </w:p>
        </w:tc>
      </w:tr>
      <w:tr w:rsidR="009B6771" w:rsidRPr="00FE4251" w:rsidTr="00FB4CAF">
        <w:tc>
          <w:tcPr>
            <w:tcW w:w="5000" w:type="pct"/>
            <w:gridSpan w:val="10"/>
            <w:shd w:val="clear" w:color="auto" w:fill="auto"/>
            <w:tcMar>
              <w:left w:w="28" w:type="dxa"/>
              <w:right w:w="28" w:type="dxa"/>
            </w:tcMar>
            <w:vAlign w:val="center"/>
          </w:tcPr>
          <w:p w:rsidR="009B6771" w:rsidRPr="00FE4251" w:rsidRDefault="009B6771" w:rsidP="00FB4CAF">
            <w:pPr>
              <w:spacing w:before="0"/>
              <w:rPr>
                <w:rFonts w:ascii="Arial Narrow" w:hAnsi="Arial Narrow"/>
                <w:sz w:val="20"/>
                <w:szCs w:val="20"/>
                <w:lang w:val="en-AU"/>
              </w:rPr>
            </w:pPr>
            <w:r w:rsidRPr="00FE4251">
              <w:rPr>
                <w:rFonts w:ascii="Arial Narrow" w:hAnsi="Arial Narrow"/>
                <w:b/>
                <w:bCs/>
                <w:sz w:val="20"/>
                <w:szCs w:val="20"/>
                <w:lang w:val="en-AU"/>
              </w:rPr>
              <w:t>With wastage (assumed leftover tablets dispensed in a pack for prednisolone will be discarded)</w:t>
            </w:r>
          </w:p>
        </w:tc>
      </w:tr>
      <w:tr w:rsidR="009B6771" w:rsidRPr="00FE4251" w:rsidTr="00FB4CAF">
        <w:tc>
          <w:tcPr>
            <w:tcW w:w="1375" w:type="pct"/>
            <w:shd w:val="clear" w:color="auto" w:fill="auto"/>
            <w:tcMar>
              <w:left w:w="28" w:type="dxa"/>
              <w:right w:w="28" w:type="dxa"/>
            </w:tcMar>
            <w:vAlign w:val="center"/>
          </w:tcPr>
          <w:p w:rsidR="009B6771" w:rsidRPr="00FE4251" w:rsidRDefault="009B6771" w:rsidP="00FB4CAF">
            <w:pPr>
              <w:spacing w:before="0"/>
              <w:rPr>
                <w:rFonts w:ascii="Arial Narrow" w:hAnsi="Arial Narrow"/>
                <w:sz w:val="20"/>
                <w:szCs w:val="20"/>
                <w:lang w:val="en-AU"/>
              </w:rPr>
            </w:pPr>
            <w:r w:rsidRPr="00FE4251">
              <w:rPr>
                <w:rFonts w:ascii="Arial Narrow" w:hAnsi="Arial Narrow"/>
                <w:sz w:val="20"/>
                <w:szCs w:val="20"/>
                <w:lang w:val="en-AU"/>
              </w:rPr>
              <w:t>Prednisolone 25 mg tablets</w:t>
            </w:r>
          </w:p>
        </w:tc>
        <w:tc>
          <w:tcPr>
            <w:tcW w:w="278"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30</w:t>
            </w:r>
          </w:p>
        </w:tc>
        <w:tc>
          <w:tcPr>
            <w:tcW w:w="209"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1</w:t>
            </w:r>
          </w:p>
        </w:tc>
        <w:tc>
          <w:tcPr>
            <w:tcW w:w="393"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8435E7">
              <w:rPr>
                <w:rFonts w:ascii="Arial Narrow" w:hAnsi="Arial Narrow"/>
                <w:sz w:val="20"/>
                <w:szCs w:val="20"/>
                <w:lang w:val="en-AU"/>
              </w:rPr>
              <w:t>$15.37</w:t>
            </w:r>
          </w:p>
        </w:tc>
        <w:tc>
          <w:tcPr>
            <w:tcW w:w="398" w:type="pct"/>
            <w:shd w:val="clear" w:color="auto" w:fill="auto"/>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w:t>
            </w:r>
            <w:r w:rsidRPr="009C77A7">
              <w:rPr>
                <w:rFonts w:ascii="Arial Narrow" w:hAnsi="Arial Narrow"/>
                <w:sz w:val="20"/>
                <w:szCs w:val="20"/>
                <w:lang w:val="en-AU"/>
              </w:rPr>
              <w:t>3.98</w:t>
            </w:r>
          </w:p>
        </w:tc>
        <w:tc>
          <w:tcPr>
            <w:tcW w:w="453" w:type="pct"/>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 xml:space="preserve"> 1916W</w:t>
            </w:r>
          </w:p>
        </w:tc>
        <w:tc>
          <w:tcPr>
            <w:tcW w:w="567"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w:t>
            </w:r>
            <w:r w:rsidRPr="009C77A7">
              <w:rPr>
                <w:rFonts w:ascii="Arial Narrow" w:hAnsi="Arial Narrow"/>
                <w:sz w:val="20"/>
                <w:szCs w:val="20"/>
                <w:lang w:val="en-AU"/>
              </w:rPr>
              <w:t>0.13</w:t>
            </w:r>
          </w:p>
        </w:tc>
        <w:tc>
          <w:tcPr>
            <w:tcW w:w="532"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42</w:t>
            </w:r>
          </w:p>
        </w:tc>
        <w:tc>
          <w:tcPr>
            <w:tcW w:w="375"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2</w:t>
            </w:r>
          </w:p>
        </w:tc>
        <w:tc>
          <w:tcPr>
            <w:tcW w:w="420" w:type="pct"/>
          </w:tcPr>
          <w:p w:rsidR="009B6771" w:rsidRPr="00FE4251" w:rsidRDefault="009B6771" w:rsidP="00FB4CAF">
            <w:pPr>
              <w:spacing w:before="0"/>
              <w:jc w:val="center"/>
              <w:rPr>
                <w:rFonts w:ascii="Arial Narrow" w:hAnsi="Arial Narrow"/>
                <w:sz w:val="20"/>
                <w:szCs w:val="20"/>
                <w:lang w:val="en-AU"/>
              </w:rPr>
            </w:pPr>
            <w:r w:rsidRPr="008435E7">
              <w:rPr>
                <w:rFonts w:ascii="Arial Narrow" w:hAnsi="Arial Narrow"/>
                <w:sz w:val="20"/>
                <w:szCs w:val="20"/>
                <w:lang w:val="en-AU"/>
              </w:rPr>
              <w:t>$7.96</w:t>
            </w:r>
          </w:p>
        </w:tc>
      </w:tr>
      <w:tr w:rsidR="009B6771" w:rsidRPr="00FE4251" w:rsidTr="00FB4CAF">
        <w:tc>
          <w:tcPr>
            <w:tcW w:w="1375" w:type="pct"/>
            <w:shd w:val="clear" w:color="auto" w:fill="auto"/>
            <w:tcMar>
              <w:left w:w="28" w:type="dxa"/>
              <w:right w:w="28" w:type="dxa"/>
            </w:tcMar>
            <w:vAlign w:val="center"/>
          </w:tcPr>
          <w:p w:rsidR="009B6771" w:rsidRPr="00FE4251" w:rsidRDefault="009B6771" w:rsidP="00FB4CAF">
            <w:pPr>
              <w:spacing w:before="0"/>
              <w:rPr>
                <w:rFonts w:ascii="Arial Narrow" w:hAnsi="Arial Narrow"/>
                <w:sz w:val="20"/>
                <w:szCs w:val="20"/>
                <w:lang w:val="en-AU"/>
              </w:rPr>
            </w:pPr>
            <w:r w:rsidRPr="00FE4251">
              <w:rPr>
                <w:rFonts w:ascii="Arial Narrow" w:hAnsi="Arial Narrow"/>
                <w:sz w:val="20"/>
                <w:szCs w:val="20"/>
                <w:lang w:val="en-AU"/>
              </w:rPr>
              <w:t>Prednisolone 5 mg tablet</w:t>
            </w:r>
          </w:p>
        </w:tc>
        <w:tc>
          <w:tcPr>
            <w:tcW w:w="278"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60</w:t>
            </w:r>
          </w:p>
        </w:tc>
        <w:tc>
          <w:tcPr>
            <w:tcW w:w="209"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1</w:t>
            </w:r>
          </w:p>
        </w:tc>
        <w:tc>
          <w:tcPr>
            <w:tcW w:w="393"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8435E7">
              <w:rPr>
                <w:rFonts w:ascii="Arial Narrow" w:hAnsi="Arial Narrow"/>
                <w:sz w:val="20"/>
                <w:szCs w:val="20"/>
                <w:lang w:val="en-AU"/>
              </w:rPr>
              <w:t>$14.09</w:t>
            </w:r>
          </w:p>
        </w:tc>
        <w:tc>
          <w:tcPr>
            <w:tcW w:w="398" w:type="pct"/>
            <w:shd w:val="clear" w:color="auto" w:fill="auto"/>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w:t>
            </w:r>
            <w:r w:rsidRPr="009C77A7">
              <w:rPr>
                <w:rFonts w:ascii="Arial Narrow" w:hAnsi="Arial Narrow"/>
                <w:sz w:val="20"/>
                <w:szCs w:val="20"/>
                <w:lang w:val="en-AU"/>
              </w:rPr>
              <w:t>2.79</w:t>
            </w:r>
          </w:p>
        </w:tc>
        <w:tc>
          <w:tcPr>
            <w:tcW w:w="453" w:type="pct"/>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1917X</w:t>
            </w:r>
          </w:p>
        </w:tc>
        <w:tc>
          <w:tcPr>
            <w:tcW w:w="567"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w:t>
            </w:r>
            <w:r w:rsidRPr="009C77A7">
              <w:rPr>
                <w:rFonts w:ascii="Arial Narrow" w:hAnsi="Arial Narrow"/>
                <w:sz w:val="20"/>
                <w:szCs w:val="20"/>
                <w:lang w:val="en-AU"/>
              </w:rPr>
              <w:t>0.05</w:t>
            </w:r>
          </w:p>
        </w:tc>
        <w:tc>
          <w:tcPr>
            <w:tcW w:w="532"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140</w:t>
            </w:r>
          </w:p>
        </w:tc>
        <w:tc>
          <w:tcPr>
            <w:tcW w:w="375" w:type="pct"/>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3</w:t>
            </w:r>
          </w:p>
        </w:tc>
        <w:tc>
          <w:tcPr>
            <w:tcW w:w="420" w:type="pct"/>
          </w:tcPr>
          <w:p w:rsidR="009B6771" w:rsidRPr="00FE4251" w:rsidRDefault="009B6771" w:rsidP="00FB4CAF">
            <w:pPr>
              <w:spacing w:before="0"/>
              <w:jc w:val="center"/>
              <w:rPr>
                <w:rFonts w:ascii="Arial Narrow" w:hAnsi="Arial Narrow"/>
                <w:sz w:val="20"/>
                <w:szCs w:val="20"/>
                <w:lang w:val="en-AU"/>
              </w:rPr>
            </w:pPr>
            <w:r w:rsidRPr="008435E7">
              <w:rPr>
                <w:rFonts w:ascii="Arial Narrow" w:hAnsi="Arial Narrow"/>
                <w:sz w:val="20"/>
                <w:szCs w:val="20"/>
                <w:lang w:val="en-AU"/>
              </w:rPr>
              <w:t>$8.37</w:t>
            </w:r>
          </w:p>
        </w:tc>
      </w:tr>
      <w:tr w:rsidR="009B6771" w:rsidRPr="00FE4251" w:rsidTr="00FB4CAF">
        <w:tc>
          <w:tcPr>
            <w:tcW w:w="4580" w:type="pct"/>
            <w:gridSpan w:val="9"/>
            <w:shd w:val="clear" w:color="auto" w:fill="auto"/>
            <w:tcMar>
              <w:left w:w="28" w:type="dxa"/>
              <w:right w:w="28" w:type="dxa"/>
            </w:tcMar>
            <w:vAlign w:val="center"/>
          </w:tcPr>
          <w:p w:rsidR="009B6771" w:rsidRPr="00FE4251" w:rsidRDefault="009B6771" w:rsidP="00FB4CAF">
            <w:pPr>
              <w:spacing w:before="0"/>
              <w:rPr>
                <w:rFonts w:ascii="Arial Narrow" w:hAnsi="Arial Narrow"/>
                <w:sz w:val="20"/>
                <w:szCs w:val="20"/>
                <w:lang w:val="en-AU"/>
              </w:rPr>
            </w:pPr>
            <w:r w:rsidRPr="00FE4251">
              <w:rPr>
                <w:rFonts w:ascii="Arial Narrow" w:hAnsi="Arial Narrow"/>
                <w:sz w:val="20"/>
                <w:szCs w:val="20"/>
                <w:lang w:val="en-AU"/>
              </w:rPr>
              <w:t>Total cost of prednisolone (with wastage)</w:t>
            </w:r>
          </w:p>
        </w:tc>
        <w:tc>
          <w:tcPr>
            <w:tcW w:w="420" w:type="pct"/>
          </w:tcPr>
          <w:p w:rsidR="009B6771" w:rsidRPr="00FE4251" w:rsidRDefault="009B6771" w:rsidP="00FB4CAF">
            <w:pPr>
              <w:spacing w:before="0"/>
              <w:jc w:val="center"/>
              <w:rPr>
                <w:rFonts w:ascii="Arial Narrow" w:hAnsi="Arial Narrow"/>
                <w:b/>
                <w:bCs/>
                <w:sz w:val="20"/>
                <w:szCs w:val="20"/>
                <w:lang w:val="en-AU"/>
              </w:rPr>
            </w:pPr>
            <w:r w:rsidRPr="008435E7">
              <w:rPr>
                <w:rFonts w:ascii="Arial Narrow" w:hAnsi="Arial Narrow"/>
                <w:b/>
                <w:bCs/>
                <w:sz w:val="20"/>
                <w:szCs w:val="20"/>
                <w:lang w:val="en-AU"/>
              </w:rPr>
              <w:t>$16.33</w:t>
            </w:r>
          </w:p>
        </w:tc>
      </w:tr>
      <w:tr w:rsidR="009B6771" w:rsidRPr="00FE4251" w:rsidTr="00FB4CAF">
        <w:tc>
          <w:tcPr>
            <w:tcW w:w="1375" w:type="pct"/>
            <w:shd w:val="clear" w:color="auto" w:fill="auto"/>
            <w:tcMar>
              <w:left w:w="28" w:type="dxa"/>
              <w:right w:w="28" w:type="dxa"/>
            </w:tcMar>
            <w:vAlign w:val="center"/>
          </w:tcPr>
          <w:p w:rsidR="009B6771" w:rsidRPr="00FE4251" w:rsidRDefault="009B6771" w:rsidP="00FB4CAF">
            <w:pPr>
              <w:spacing w:before="0"/>
              <w:rPr>
                <w:rFonts w:ascii="Arial Narrow" w:hAnsi="Arial Narrow"/>
                <w:sz w:val="20"/>
                <w:szCs w:val="20"/>
                <w:lang w:val="en-AU"/>
              </w:rPr>
            </w:pPr>
            <w:r w:rsidRPr="00FE4251">
              <w:rPr>
                <w:rFonts w:ascii="Arial Narrow" w:hAnsi="Arial Narrow"/>
                <w:sz w:val="20"/>
                <w:szCs w:val="20"/>
                <w:lang w:val="en-AU"/>
              </w:rPr>
              <w:t>Budesonide 3 mg capsules</w:t>
            </w:r>
          </w:p>
        </w:tc>
        <w:tc>
          <w:tcPr>
            <w:tcW w:w="278"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90</w:t>
            </w:r>
          </w:p>
        </w:tc>
        <w:tc>
          <w:tcPr>
            <w:tcW w:w="209"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1</w:t>
            </w:r>
          </w:p>
        </w:tc>
        <w:tc>
          <w:tcPr>
            <w:tcW w:w="393" w:type="pct"/>
            <w:shd w:val="clear" w:color="auto" w:fill="FFFFFF" w:themeFill="background1"/>
            <w:tcMar>
              <w:left w:w="28" w:type="dxa"/>
              <w:right w:w="28" w:type="dxa"/>
            </w:tcMar>
            <w:vAlign w:val="center"/>
          </w:tcPr>
          <w:p w:rsidR="009B6771" w:rsidRPr="00F01E3E" w:rsidRDefault="00F01E3E" w:rsidP="00FB4CAF">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398" w:type="pct"/>
            <w:shd w:val="clear" w:color="auto" w:fill="FFFFFF" w:themeFill="background1"/>
            <w:vAlign w:val="center"/>
          </w:tcPr>
          <w:p w:rsidR="009B6771" w:rsidRPr="00FE4251" w:rsidRDefault="00F01E3E" w:rsidP="00FB4CAF">
            <w:pPr>
              <w:spacing w:before="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9B6771" w:rsidRPr="009C77A7">
              <w:rPr>
                <w:rFonts w:ascii="Arial Narrow" w:hAnsi="Arial Narrow"/>
                <w:sz w:val="20"/>
                <w:szCs w:val="20"/>
                <w:vertAlign w:val="superscript"/>
                <w:lang w:val="en-AU"/>
              </w:rPr>
              <w:t>a</w:t>
            </w:r>
          </w:p>
        </w:tc>
        <w:tc>
          <w:tcPr>
            <w:tcW w:w="453" w:type="pct"/>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Proposed</w:t>
            </w:r>
          </w:p>
        </w:tc>
        <w:tc>
          <w:tcPr>
            <w:tcW w:w="567" w:type="pct"/>
            <w:shd w:val="clear" w:color="auto" w:fill="auto"/>
            <w:tcMar>
              <w:left w:w="28" w:type="dxa"/>
              <w:right w:w="28" w:type="dxa"/>
            </w:tcMar>
            <w:vAlign w:val="center"/>
          </w:tcPr>
          <w:p w:rsidR="009B6771" w:rsidRPr="00F01E3E" w:rsidRDefault="00F01E3E" w:rsidP="00FB4CAF">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532"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210</w:t>
            </w:r>
          </w:p>
        </w:tc>
        <w:tc>
          <w:tcPr>
            <w:tcW w:w="375" w:type="pct"/>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3</w:t>
            </w:r>
          </w:p>
        </w:tc>
        <w:tc>
          <w:tcPr>
            <w:tcW w:w="420" w:type="pct"/>
          </w:tcPr>
          <w:p w:rsidR="009B6771" w:rsidRPr="00F01E3E" w:rsidRDefault="00F01E3E" w:rsidP="00FB4CAF">
            <w:pPr>
              <w:spacing w:before="0"/>
              <w:jc w:val="center"/>
              <w:rPr>
                <w:rFonts w:ascii="Arial Narrow" w:hAnsi="Arial Narrow"/>
                <w:sz w:val="20"/>
                <w:szCs w:val="20"/>
                <w:highlight w:val="black"/>
                <w:lang w:val="en-AU"/>
              </w:rPr>
            </w:pPr>
            <w:r>
              <w:rPr>
                <w:rFonts w:ascii="Arial Narrow" w:hAnsi="Arial Narrow"/>
                <w:b/>
                <w:bCs/>
                <w:noProof/>
                <w:color w:val="000000"/>
                <w:sz w:val="20"/>
                <w:szCs w:val="20"/>
                <w:highlight w:val="black"/>
                <w:lang w:val="en-AU"/>
              </w:rPr>
              <w:t>''''''''''''''</w:t>
            </w:r>
          </w:p>
        </w:tc>
      </w:tr>
      <w:tr w:rsidR="009B6771" w:rsidRPr="00FE4251" w:rsidTr="00FB4CAF">
        <w:tc>
          <w:tcPr>
            <w:tcW w:w="5000" w:type="pct"/>
            <w:gridSpan w:val="10"/>
            <w:shd w:val="clear" w:color="auto" w:fill="auto"/>
            <w:tcMar>
              <w:left w:w="28" w:type="dxa"/>
              <w:right w:w="28" w:type="dxa"/>
            </w:tcMar>
            <w:vAlign w:val="center"/>
          </w:tcPr>
          <w:p w:rsidR="009B6771" w:rsidRPr="00FE4251" w:rsidRDefault="009B6771" w:rsidP="00FB4CAF">
            <w:pPr>
              <w:spacing w:before="0"/>
              <w:rPr>
                <w:rFonts w:ascii="Arial Narrow" w:hAnsi="Arial Narrow"/>
                <w:sz w:val="20"/>
                <w:szCs w:val="20"/>
                <w:lang w:val="en-AU"/>
              </w:rPr>
            </w:pPr>
            <w:r w:rsidRPr="00FE4251">
              <w:rPr>
                <w:rFonts w:ascii="Arial Narrow" w:hAnsi="Arial Narrow"/>
                <w:b/>
                <w:bCs/>
                <w:sz w:val="20"/>
                <w:szCs w:val="20"/>
                <w:lang w:val="en-AU"/>
              </w:rPr>
              <w:t>Without wastage (assuming leftover tablets dispensed for prednisolone will get re-used at another flare up)</w:t>
            </w:r>
          </w:p>
        </w:tc>
      </w:tr>
      <w:tr w:rsidR="009B6771" w:rsidRPr="00FE4251" w:rsidTr="00FB4CAF">
        <w:tc>
          <w:tcPr>
            <w:tcW w:w="1375" w:type="pct"/>
            <w:shd w:val="clear" w:color="auto" w:fill="auto"/>
            <w:tcMar>
              <w:left w:w="28" w:type="dxa"/>
              <w:right w:w="28" w:type="dxa"/>
            </w:tcMar>
            <w:vAlign w:val="center"/>
          </w:tcPr>
          <w:p w:rsidR="009B6771" w:rsidRPr="00FE4251" w:rsidRDefault="009B6771" w:rsidP="00FB4CAF">
            <w:pPr>
              <w:spacing w:before="0"/>
              <w:rPr>
                <w:rFonts w:ascii="Arial Narrow" w:hAnsi="Arial Narrow"/>
                <w:sz w:val="20"/>
                <w:szCs w:val="20"/>
                <w:lang w:val="en-AU"/>
              </w:rPr>
            </w:pPr>
            <w:r w:rsidRPr="00FE4251">
              <w:rPr>
                <w:rFonts w:ascii="Arial Narrow" w:hAnsi="Arial Narrow"/>
                <w:sz w:val="20"/>
                <w:szCs w:val="20"/>
                <w:lang w:val="en-AU"/>
              </w:rPr>
              <w:t>Prednisolone 25 mg tablets</w:t>
            </w:r>
          </w:p>
        </w:tc>
        <w:tc>
          <w:tcPr>
            <w:tcW w:w="278"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30</w:t>
            </w:r>
          </w:p>
        </w:tc>
        <w:tc>
          <w:tcPr>
            <w:tcW w:w="209"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1</w:t>
            </w:r>
          </w:p>
        </w:tc>
        <w:tc>
          <w:tcPr>
            <w:tcW w:w="393"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8435E7">
              <w:rPr>
                <w:rFonts w:ascii="Arial Narrow" w:hAnsi="Arial Narrow"/>
                <w:sz w:val="20"/>
                <w:szCs w:val="20"/>
                <w:lang w:val="en-AU"/>
              </w:rPr>
              <w:t>$15.37</w:t>
            </w:r>
          </w:p>
        </w:tc>
        <w:tc>
          <w:tcPr>
            <w:tcW w:w="398" w:type="pct"/>
            <w:shd w:val="clear" w:color="auto" w:fill="auto"/>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w:t>
            </w:r>
            <w:r w:rsidRPr="009C77A7">
              <w:rPr>
                <w:rFonts w:ascii="Arial Narrow" w:hAnsi="Arial Narrow"/>
                <w:sz w:val="20"/>
                <w:szCs w:val="20"/>
                <w:lang w:val="en-AU"/>
              </w:rPr>
              <w:t>3.98</w:t>
            </w:r>
          </w:p>
        </w:tc>
        <w:tc>
          <w:tcPr>
            <w:tcW w:w="453" w:type="pct"/>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 xml:space="preserve"> 1916W</w:t>
            </w:r>
          </w:p>
        </w:tc>
        <w:tc>
          <w:tcPr>
            <w:tcW w:w="567"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w:t>
            </w:r>
            <w:r w:rsidRPr="009C77A7">
              <w:rPr>
                <w:rFonts w:ascii="Arial Narrow" w:hAnsi="Arial Narrow"/>
                <w:sz w:val="20"/>
                <w:szCs w:val="20"/>
                <w:lang w:val="en-AU"/>
              </w:rPr>
              <w:t>0.13</w:t>
            </w:r>
          </w:p>
        </w:tc>
        <w:tc>
          <w:tcPr>
            <w:tcW w:w="532"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42</w:t>
            </w:r>
          </w:p>
        </w:tc>
        <w:tc>
          <w:tcPr>
            <w:tcW w:w="375"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1.4</w:t>
            </w:r>
          </w:p>
        </w:tc>
        <w:tc>
          <w:tcPr>
            <w:tcW w:w="420" w:type="pct"/>
          </w:tcPr>
          <w:p w:rsidR="009B6771" w:rsidRPr="00FE4251" w:rsidRDefault="009B6771" w:rsidP="00FB4CAF">
            <w:pPr>
              <w:spacing w:before="0"/>
              <w:jc w:val="center"/>
              <w:rPr>
                <w:rFonts w:ascii="Arial Narrow" w:hAnsi="Arial Narrow"/>
                <w:sz w:val="20"/>
                <w:szCs w:val="20"/>
                <w:lang w:val="en-AU"/>
              </w:rPr>
            </w:pPr>
            <w:r w:rsidRPr="008435E7">
              <w:rPr>
                <w:rFonts w:ascii="Arial Narrow" w:hAnsi="Arial Narrow"/>
                <w:sz w:val="20"/>
                <w:szCs w:val="20"/>
                <w:lang w:val="en-AU"/>
              </w:rPr>
              <w:t>$5.57</w:t>
            </w:r>
          </w:p>
        </w:tc>
      </w:tr>
      <w:tr w:rsidR="009B6771" w:rsidRPr="00FE4251" w:rsidTr="00FB4CAF">
        <w:tc>
          <w:tcPr>
            <w:tcW w:w="1375" w:type="pct"/>
            <w:shd w:val="clear" w:color="auto" w:fill="auto"/>
            <w:tcMar>
              <w:left w:w="28" w:type="dxa"/>
              <w:right w:w="28" w:type="dxa"/>
            </w:tcMar>
            <w:vAlign w:val="center"/>
          </w:tcPr>
          <w:p w:rsidR="009B6771" w:rsidRPr="00FE4251" w:rsidRDefault="009B6771" w:rsidP="00FB4CAF">
            <w:pPr>
              <w:spacing w:before="0"/>
              <w:rPr>
                <w:rFonts w:ascii="Arial Narrow" w:hAnsi="Arial Narrow"/>
                <w:sz w:val="20"/>
                <w:szCs w:val="20"/>
                <w:lang w:val="en-AU"/>
              </w:rPr>
            </w:pPr>
            <w:r w:rsidRPr="00FE4251">
              <w:rPr>
                <w:rFonts w:ascii="Arial Narrow" w:hAnsi="Arial Narrow"/>
                <w:sz w:val="20"/>
                <w:szCs w:val="20"/>
                <w:lang w:val="en-AU"/>
              </w:rPr>
              <w:t>Prednisolone 5 mg tablet</w:t>
            </w:r>
          </w:p>
        </w:tc>
        <w:tc>
          <w:tcPr>
            <w:tcW w:w="278"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60</w:t>
            </w:r>
          </w:p>
        </w:tc>
        <w:tc>
          <w:tcPr>
            <w:tcW w:w="209"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1</w:t>
            </w:r>
          </w:p>
        </w:tc>
        <w:tc>
          <w:tcPr>
            <w:tcW w:w="393"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8435E7">
              <w:rPr>
                <w:rFonts w:ascii="Arial Narrow" w:hAnsi="Arial Narrow"/>
                <w:sz w:val="20"/>
                <w:szCs w:val="20"/>
                <w:lang w:val="en-AU"/>
              </w:rPr>
              <w:t>$14.09</w:t>
            </w:r>
          </w:p>
        </w:tc>
        <w:tc>
          <w:tcPr>
            <w:tcW w:w="398" w:type="pct"/>
            <w:shd w:val="clear" w:color="auto" w:fill="auto"/>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w:t>
            </w:r>
            <w:r w:rsidRPr="009C77A7">
              <w:rPr>
                <w:rFonts w:ascii="Arial Narrow" w:hAnsi="Arial Narrow"/>
                <w:sz w:val="20"/>
                <w:szCs w:val="20"/>
                <w:lang w:val="en-AU"/>
              </w:rPr>
              <w:t>2.79</w:t>
            </w:r>
          </w:p>
        </w:tc>
        <w:tc>
          <w:tcPr>
            <w:tcW w:w="453" w:type="pct"/>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1917X</w:t>
            </w:r>
          </w:p>
        </w:tc>
        <w:tc>
          <w:tcPr>
            <w:tcW w:w="567"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w:t>
            </w:r>
            <w:r w:rsidRPr="009C77A7">
              <w:rPr>
                <w:rFonts w:ascii="Arial Narrow" w:hAnsi="Arial Narrow"/>
                <w:sz w:val="20"/>
                <w:szCs w:val="20"/>
                <w:lang w:val="en-AU"/>
              </w:rPr>
              <w:t>0.05</w:t>
            </w:r>
          </w:p>
        </w:tc>
        <w:tc>
          <w:tcPr>
            <w:tcW w:w="532"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140</w:t>
            </w:r>
          </w:p>
        </w:tc>
        <w:tc>
          <w:tcPr>
            <w:tcW w:w="375" w:type="pct"/>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2.3</w:t>
            </w:r>
          </w:p>
        </w:tc>
        <w:tc>
          <w:tcPr>
            <w:tcW w:w="420" w:type="pct"/>
          </w:tcPr>
          <w:p w:rsidR="009B6771" w:rsidRPr="00FE4251" w:rsidRDefault="009B6771" w:rsidP="00FB4CAF">
            <w:pPr>
              <w:spacing w:before="0"/>
              <w:jc w:val="center"/>
              <w:rPr>
                <w:rFonts w:ascii="Arial Narrow" w:hAnsi="Arial Narrow"/>
                <w:sz w:val="20"/>
                <w:szCs w:val="20"/>
                <w:lang w:val="en-AU"/>
              </w:rPr>
            </w:pPr>
            <w:r w:rsidRPr="008435E7">
              <w:rPr>
                <w:rFonts w:ascii="Arial Narrow" w:hAnsi="Arial Narrow"/>
                <w:sz w:val="20"/>
                <w:szCs w:val="20"/>
                <w:lang w:val="en-AU"/>
              </w:rPr>
              <w:t>$6.51</w:t>
            </w:r>
          </w:p>
        </w:tc>
      </w:tr>
      <w:tr w:rsidR="009B6771" w:rsidRPr="00FE4251" w:rsidTr="00FB4CAF">
        <w:tc>
          <w:tcPr>
            <w:tcW w:w="4580" w:type="pct"/>
            <w:gridSpan w:val="9"/>
            <w:shd w:val="clear" w:color="auto" w:fill="auto"/>
            <w:tcMar>
              <w:left w:w="28" w:type="dxa"/>
              <w:right w:w="28" w:type="dxa"/>
            </w:tcMar>
            <w:vAlign w:val="center"/>
          </w:tcPr>
          <w:p w:rsidR="009B6771" w:rsidRPr="00FE4251" w:rsidRDefault="009B6771" w:rsidP="00FB4CAF">
            <w:pPr>
              <w:spacing w:before="0"/>
              <w:rPr>
                <w:rFonts w:ascii="Arial Narrow" w:hAnsi="Arial Narrow"/>
                <w:sz w:val="20"/>
                <w:szCs w:val="20"/>
                <w:lang w:val="en-AU"/>
              </w:rPr>
            </w:pPr>
            <w:r w:rsidRPr="00FE4251">
              <w:rPr>
                <w:rFonts w:ascii="Arial Narrow" w:hAnsi="Arial Narrow"/>
                <w:sz w:val="20"/>
                <w:szCs w:val="20"/>
                <w:lang w:val="en-AU"/>
              </w:rPr>
              <w:t>Total cost of prednisolone (with no wastage)</w:t>
            </w:r>
          </w:p>
        </w:tc>
        <w:tc>
          <w:tcPr>
            <w:tcW w:w="420" w:type="pct"/>
          </w:tcPr>
          <w:p w:rsidR="009B6771" w:rsidRPr="008435E7" w:rsidRDefault="009B6771" w:rsidP="00FB4CAF">
            <w:pPr>
              <w:spacing w:before="0"/>
              <w:jc w:val="center"/>
              <w:rPr>
                <w:rFonts w:ascii="Arial Narrow" w:hAnsi="Arial Narrow"/>
                <w:b/>
                <w:bCs/>
                <w:sz w:val="20"/>
                <w:szCs w:val="20"/>
                <w:lang w:val="en-AU"/>
              </w:rPr>
            </w:pPr>
            <w:r w:rsidRPr="008435E7">
              <w:rPr>
                <w:rFonts w:ascii="Arial Narrow" w:hAnsi="Arial Narrow"/>
                <w:b/>
                <w:bCs/>
                <w:sz w:val="20"/>
                <w:szCs w:val="20"/>
                <w:lang w:val="en-AU"/>
              </w:rPr>
              <w:t>$12.08</w:t>
            </w:r>
          </w:p>
        </w:tc>
      </w:tr>
      <w:tr w:rsidR="009B6771" w:rsidRPr="00FE4251" w:rsidTr="00FB4CAF">
        <w:tc>
          <w:tcPr>
            <w:tcW w:w="1375" w:type="pct"/>
            <w:shd w:val="clear" w:color="auto" w:fill="auto"/>
            <w:tcMar>
              <w:left w:w="28" w:type="dxa"/>
              <w:right w:w="28" w:type="dxa"/>
            </w:tcMar>
            <w:vAlign w:val="center"/>
          </w:tcPr>
          <w:p w:rsidR="009B6771" w:rsidRPr="00FE4251" w:rsidRDefault="009B6771" w:rsidP="00FB4CAF">
            <w:pPr>
              <w:spacing w:before="0"/>
              <w:rPr>
                <w:rFonts w:ascii="Arial Narrow" w:hAnsi="Arial Narrow"/>
                <w:sz w:val="20"/>
                <w:szCs w:val="20"/>
                <w:lang w:val="en-AU"/>
              </w:rPr>
            </w:pPr>
            <w:r w:rsidRPr="00FE4251">
              <w:rPr>
                <w:rFonts w:ascii="Arial Narrow" w:hAnsi="Arial Narrow"/>
                <w:sz w:val="20"/>
                <w:szCs w:val="20"/>
                <w:lang w:val="en-AU"/>
              </w:rPr>
              <w:t>Budesonide 3 mg capsules</w:t>
            </w:r>
          </w:p>
        </w:tc>
        <w:tc>
          <w:tcPr>
            <w:tcW w:w="278"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90</w:t>
            </w:r>
          </w:p>
        </w:tc>
        <w:tc>
          <w:tcPr>
            <w:tcW w:w="209"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1</w:t>
            </w:r>
          </w:p>
        </w:tc>
        <w:tc>
          <w:tcPr>
            <w:tcW w:w="395" w:type="pct"/>
            <w:shd w:val="clear" w:color="auto" w:fill="FFFFFF" w:themeFill="background1"/>
            <w:tcMar>
              <w:left w:w="28" w:type="dxa"/>
              <w:right w:w="28" w:type="dxa"/>
            </w:tcMar>
            <w:vAlign w:val="center"/>
          </w:tcPr>
          <w:p w:rsidR="009B6771" w:rsidRPr="00F01E3E" w:rsidRDefault="00F01E3E" w:rsidP="00FB4CAF">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396" w:type="pct"/>
            <w:shd w:val="clear" w:color="auto" w:fill="FFFFFF" w:themeFill="background1"/>
            <w:vAlign w:val="center"/>
          </w:tcPr>
          <w:p w:rsidR="009B6771" w:rsidRPr="00FE4251" w:rsidRDefault="00F01E3E" w:rsidP="00FB4CAF">
            <w:pPr>
              <w:spacing w:before="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9B6771" w:rsidRPr="009C77A7">
              <w:rPr>
                <w:rFonts w:ascii="Arial Narrow" w:hAnsi="Arial Narrow"/>
                <w:sz w:val="20"/>
                <w:szCs w:val="20"/>
                <w:vertAlign w:val="superscript"/>
                <w:lang w:val="en-AU"/>
              </w:rPr>
              <w:t>a</w:t>
            </w:r>
          </w:p>
        </w:tc>
        <w:tc>
          <w:tcPr>
            <w:tcW w:w="453" w:type="pct"/>
          </w:tcPr>
          <w:p w:rsidR="009B6771" w:rsidRPr="00FE4251" w:rsidRDefault="009B6771" w:rsidP="00FB4CAF">
            <w:pPr>
              <w:spacing w:before="0"/>
              <w:rPr>
                <w:rFonts w:ascii="Arial Narrow" w:hAnsi="Arial Narrow"/>
                <w:sz w:val="20"/>
                <w:szCs w:val="20"/>
                <w:lang w:val="en-AU"/>
              </w:rPr>
            </w:pPr>
            <w:r w:rsidRPr="00FE4251">
              <w:rPr>
                <w:rFonts w:ascii="Arial Narrow" w:hAnsi="Arial Narrow"/>
                <w:sz w:val="20"/>
                <w:szCs w:val="20"/>
                <w:lang w:val="en-AU"/>
              </w:rPr>
              <w:t>Proposed</w:t>
            </w:r>
          </w:p>
        </w:tc>
        <w:tc>
          <w:tcPr>
            <w:tcW w:w="567" w:type="pct"/>
            <w:shd w:val="clear" w:color="auto" w:fill="auto"/>
            <w:tcMar>
              <w:left w:w="28" w:type="dxa"/>
              <w:right w:w="28" w:type="dxa"/>
            </w:tcMar>
            <w:vAlign w:val="center"/>
          </w:tcPr>
          <w:p w:rsidR="009B6771" w:rsidRPr="00F01E3E" w:rsidRDefault="00F01E3E" w:rsidP="00FB4CAF">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w:t>
            </w:r>
          </w:p>
        </w:tc>
        <w:tc>
          <w:tcPr>
            <w:tcW w:w="532" w:type="pct"/>
            <w:shd w:val="clear" w:color="auto" w:fill="auto"/>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210</w:t>
            </w:r>
          </w:p>
        </w:tc>
        <w:tc>
          <w:tcPr>
            <w:tcW w:w="375" w:type="pct"/>
            <w:tcMar>
              <w:left w:w="28" w:type="dxa"/>
              <w:right w:w="28" w:type="dxa"/>
            </w:tcMar>
            <w:vAlign w:val="center"/>
          </w:tcPr>
          <w:p w:rsidR="009B6771" w:rsidRPr="00FE4251" w:rsidRDefault="009B6771" w:rsidP="00FB4CAF">
            <w:pPr>
              <w:spacing w:before="0"/>
              <w:jc w:val="center"/>
              <w:rPr>
                <w:rFonts w:ascii="Arial Narrow" w:hAnsi="Arial Narrow"/>
                <w:sz w:val="20"/>
                <w:szCs w:val="20"/>
                <w:lang w:val="en-AU"/>
              </w:rPr>
            </w:pPr>
            <w:r w:rsidRPr="00FE4251">
              <w:rPr>
                <w:rFonts w:ascii="Arial Narrow" w:hAnsi="Arial Narrow"/>
                <w:sz w:val="20"/>
                <w:szCs w:val="20"/>
                <w:lang w:val="en-AU"/>
              </w:rPr>
              <w:t>2.3</w:t>
            </w:r>
          </w:p>
        </w:tc>
        <w:tc>
          <w:tcPr>
            <w:tcW w:w="420" w:type="pct"/>
          </w:tcPr>
          <w:p w:rsidR="009B6771" w:rsidRPr="00F01E3E" w:rsidRDefault="00F01E3E" w:rsidP="00FB4CAF">
            <w:pPr>
              <w:spacing w:before="0"/>
              <w:jc w:val="center"/>
              <w:rPr>
                <w:rFonts w:ascii="Arial Narrow" w:hAnsi="Arial Narrow"/>
                <w:b/>
                <w:bCs/>
                <w:sz w:val="20"/>
                <w:szCs w:val="20"/>
                <w:highlight w:val="black"/>
                <w:lang w:val="en-AU"/>
              </w:rPr>
            </w:pPr>
            <w:r>
              <w:rPr>
                <w:rFonts w:ascii="Arial Narrow" w:hAnsi="Arial Narrow"/>
                <w:b/>
                <w:bCs/>
                <w:noProof/>
                <w:color w:val="000000"/>
                <w:sz w:val="20"/>
                <w:szCs w:val="20"/>
                <w:highlight w:val="black"/>
                <w:lang w:val="en-AU"/>
              </w:rPr>
              <w:t>''''''''''''''''</w:t>
            </w:r>
          </w:p>
        </w:tc>
      </w:tr>
    </w:tbl>
    <w:p w:rsidR="009B6771" w:rsidRPr="00FE4251" w:rsidRDefault="009B6771" w:rsidP="009B6771">
      <w:pPr>
        <w:widowControl w:val="0"/>
        <w:spacing w:before="0" w:after="120"/>
        <w:contextualSpacing/>
        <w:jc w:val="both"/>
        <w:rPr>
          <w:rFonts w:ascii="Arial Narrow" w:eastAsia="Times New Roman" w:hAnsi="Arial Narrow" w:cs="Arial"/>
          <w:iCs/>
          <w:snapToGrid w:val="0"/>
          <w:sz w:val="18"/>
          <w:szCs w:val="20"/>
        </w:rPr>
      </w:pPr>
      <w:r w:rsidRPr="00FE4251">
        <w:rPr>
          <w:rFonts w:ascii="Arial Narrow" w:eastAsia="Times New Roman" w:hAnsi="Arial Narrow" w:cs="Arial"/>
          <w:iCs/>
          <w:snapToGrid w:val="0"/>
          <w:sz w:val="18"/>
          <w:szCs w:val="20"/>
        </w:rPr>
        <w:t>Abbreviations: AEMP = approved ex-manufacturer price; DPMQ = Dispensed price maximum quantity, Max Qty. = maximum quantity.  Source: compiled during the evaluation based on PBS prices and trial dosages</w:t>
      </w:r>
    </w:p>
    <w:p w:rsidR="002005C3" w:rsidRPr="00FE4251" w:rsidRDefault="009B6771" w:rsidP="009B6771">
      <w:pPr>
        <w:widowControl w:val="0"/>
        <w:spacing w:before="0" w:after="120"/>
        <w:contextualSpacing/>
        <w:jc w:val="both"/>
        <w:rPr>
          <w:rFonts w:ascii="Arial Narrow" w:eastAsia="Times New Roman" w:hAnsi="Arial Narrow" w:cs="Arial"/>
          <w:iCs/>
          <w:snapToGrid w:val="0"/>
          <w:sz w:val="18"/>
          <w:szCs w:val="20"/>
        </w:rPr>
      </w:pPr>
      <w:proofErr w:type="gramStart"/>
      <w:r w:rsidRPr="00FE4251">
        <w:rPr>
          <w:rFonts w:ascii="Arial Narrow" w:eastAsia="Times New Roman" w:hAnsi="Arial Narrow" w:cs="Arial"/>
          <w:iCs/>
          <w:snapToGrid w:val="0"/>
          <w:sz w:val="18"/>
          <w:szCs w:val="20"/>
        </w:rPr>
        <w:t>a</w:t>
      </w:r>
      <w:proofErr w:type="gramEnd"/>
      <w:r w:rsidRPr="00FE4251">
        <w:rPr>
          <w:rFonts w:ascii="Arial Narrow" w:eastAsia="Times New Roman" w:hAnsi="Arial Narrow" w:cs="Arial"/>
          <w:iCs/>
          <w:snapToGrid w:val="0"/>
          <w:sz w:val="18"/>
          <w:szCs w:val="20"/>
        </w:rPr>
        <w:tab/>
        <w:t>The PB11 form states that the AEMP is $</w:t>
      </w:r>
      <w:r w:rsidR="00F01E3E">
        <w:rPr>
          <w:rFonts w:ascii="Arial Narrow" w:eastAsia="Times New Roman" w:hAnsi="Arial Narrow" w:cs="Arial"/>
          <w:iCs/>
          <w:noProof/>
          <w:snapToGrid w:val="0"/>
          <w:color w:val="000000"/>
          <w:sz w:val="18"/>
          <w:szCs w:val="20"/>
          <w:highlight w:val="black"/>
        </w:rPr>
        <w:t>''''''''''''''''</w:t>
      </w:r>
      <w:r w:rsidRPr="00FE4251">
        <w:rPr>
          <w:rFonts w:ascii="Arial Narrow" w:eastAsia="Times New Roman" w:hAnsi="Arial Narrow" w:cs="Arial"/>
          <w:iCs/>
          <w:snapToGrid w:val="0"/>
          <w:sz w:val="18"/>
          <w:szCs w:val="20"/>
        </w:rPr>
        <w:t>, this corresponds to DPMQ of $</w:t>
      </w:r>
      <w:r w:rsidR="00F01E3E">
        <w:rPr>
          <w:rFonts w:ascii="Arial Narrow" w:eastAsia="Times New Roman" w:hAnsi="Arial Narrow" w:cs="Arial"/>
          <w:iCs/>
          <w:noProof/>
          <w:snapToGrid w:val="0"/>
          <w:color w:val="000000"/>
          <w:sz w:val="18"/>
          <w:szCs w:val="20"/>
          <w:highlight w:val="black"/>
        </w:rPr>
        <w:t>''''''''''''''''</w:t>
      </w:r>
      <w:r w:rsidRPr="00FE4251">
        <w:rPr>
          <w:rFonts w:ascii="Arial Narrow" w:eastAsia="Times New Roman" w:hAnsi="Arial Narrow" w:cs="Arial"/>
          <w:iCs/>
          <w:snapToGrid w:val="0"/>
          <w:sz w:val="18"/>
          <w:szCs w:val="20"/>
        </w:rPr>
        <w:t>.</w:t>
      </w:r>
    </w:p>
    <w:p w:rsidR="00977CDD" w:rsidRPr="00FE4251" w:rsidRDefault="00977CDD" w:rsidP="00A5425D">
      <w:pPr>
        <w:pStyle w:val="ListParagraph"/>
        <w:numPr>
          <w:ilvl w:val="1"/>
          <w:numId w:val="1"/>
        </w:numPr>
        <w:spacing w:before="0" w:after="120"/>
        <w:ind w:left="567" w:hanging="578"/>
        <w:jc w:val="both"/>
      </w:pPr>
      <w:r w:rsidRPr="00FE4251">
        <w:t xml:space="preserve">The </w:t>
      </w:r>
      <w:r w:rsidR="001E1967" w:rsidRPr="00FE4251">
        <w:t xml:space="preserve">PBAC noted that the </w:t>
      </w:r>
      <w:r w:rsidRPr="00FE4251">
        <w:t>results of the cost</w:t>
      </w:r>
      <w:r w:rsidR="00813A3F" w:rsidRPr="00FE4251">
        <w:t>-</w:t>
      </w:r>
      <w:r w:rsidRPr="00FE4251">
        <w:t>minimisation analysis illustrate that the cost of budesonide at the proposed AEMP price is much higher than the cost of prednisolone, i.e., cost of $</w:t>
      </w:r>
      <w:r w:rsidRPr="009C77A7">
        <w:t>16.33</w:t>
      </w:r>
      <w:r w:rsidRPr="00FE4251">
        <w:t xml:space="preserve"> for prednisolone versus $</w:t>
      </w:r>
      <w:r w:rsidR="00F01E3E">
        <w:rPr>
          <w:noProof/>
          <w:color w:val="000000"/>
          <w:highlight w:val="black"/>
        </w:rPr>
        <w:t>''''''''''''</w:t>
      </w:r>
      <w:r w:rsidRPr="00FE4251">
        <w:t xml:space="preserve"> for budesonide over 12 weeks of treatment, assuming wastage (</w:t>
      </w:r>
      <w:r w:rsidR="00C445E2" w:rsidRPr="00FE4251">
        <w:t>i.e.</w:t>
      </w:r>
      <w:r w:rsidRPr="00FE4251">
        <w:t xml:space="preserve"> leftover tablets from supply will be discarded rather than used for a later flare up).  The cost of budesonide based on the current requested price is therefore at least </w:t>
      </w:r>
      <w:r w:rsidR="00F01E3E">
        <w:rPr>
          <w:noProof/>
          <w:color w:val="000000"/>
          <w:highlight w:val="black"/>
        </w:rPr>
        <w:t>''''''</w:t>
      </w:r>
      <w:r w:rsidRPr="00FE4251">
        <w:t xml:space="preserve"> times higher than the cost of prednisolone.  The AEMP for budesonide would need to be reduced to at least $</w:t>
      </w:r>
      <w:r w:rsidR="00F01E3E">
        <w:rPr>
          <w:noProof/>
          <w:color w:val="000000"/>
          <w:highlight w:val="black"/>
        </w:rPr>
        <w:t>''''''''</w:t>
      </w:r>
      <w:r w:rsidRPr="00FE4251">
        <w:t xml:space="preserve"> to be close to the cost of treatment with prednisolone (assuming wastage).  Even if the costs of managing </w:t>
      </w:r>
      <w:r w:rsidR="004035F7" w:rsidRPr="00FE4251">
        <w:t>AE</w:t>
      </w:r>
      <w:r w:rsidRPr="00FE4251">
        <w:t>s are factored in, it is unlikely</w:t>
      </w:r>
      <w:r w:rsidR="007D2DBB" w:rsidRPr="00FE4251">
        <w:t xml:space="preserve"> </w:t>
      </w:r>
      <w:r w:rsidRPr="00FE4251">
        <w:t xml:space="preserve">that </w:t>
      </w:r>
      <w:r w:rsidR="007D2DBB" w:rsidRPr="00FE4251">
        <w:t>budesonide would be cost effective against prednisolone</w:t>
      </w:r>
      <w:r w:rsidR="004B5811" w:rsidRPr="00FE4251">
        <w:t xml:space="preserve"> at the proposed price</w:t>
      </w:r>
      <w:r w:rsidR="007D2DBB" w:rsidRPr="00FE4251">
        <w:t>.</w:t>
      </w:r>
    </w:p>
    <w:p w:rsidR="001103C2" w:rsidRPr="00FE4251" w:rsidRDefault="007D2DBB" w:rsidP="001103C2">
      <w:pPr>
        <w:pStyle w:val="Heading2"/>
      </w:pPr>
      <w:bookmarkStart w:id="44" w:name="_Toc413139283"/>
      <w:bookmarkStart w:id="45" w:name="_Toc491952259"/>
      <w:bookmarkStart w:id="46" w:name="_Toc491952734"/>
      <w:r w:rsidRPr="00FE4251">
        <w:t>Drug cost/patient/</w:t>
      </w:r>
      <w:r w:rsidR="001103C2" w:rsidRPr="00FE4251">
        <w:t>course</w:t>
      </w:r>
      <w:bookmarkEnd w:id="44"/>
      <w:bookmarkEnd w:id="45"/>
      <w:bookmarkEnd w:id="46"/>
    </w:p>
    <w:p w:rsidR="007D2DBB" w:rsidRPr="00FE4251" w:rsidRDefault="00811431" w:rsidP="00A5425D">
      <w:pPr>
        <w:pStyle w:val="ListParagraph"/>
        <w:numPr>
          <w:ilvl w:val="1"/>
          <w:numId w:val="1"/>
        </w:numPr>
        <w:spacing w:before="0" w:after="120"/>
        <w:ind w:left="567" w:hanging="578"/>
        <w:jc w:val="both"/>
      </w:pPr>
      <w:r w:rsidRPr="00FE4251">
        <w:t xml:space="preserve">The estimated cost for budesonide was </w:t>
      </w:r>
      <w:r w:rsidR="007D2DBB" w:rsidRPr="00FE4251">
        <w:t>$</w:t>
      </w:r>
      <w:r w:rsidR="00F01E3E">
        <w:rPr>
          <w:noProof/>
          <w:color w:val="000000"/>
          <w:highlight w:val="black"/>
        </w:rPr>
        <w:t>''''''''''''''</w:t>
      </w:r>
      <w:r w:rsidR="007D2DBB" w:rsidRPr="00FE4251">
        <w:t xml:space="preserve"> </w:t>
      </w:r>
      <w:r w:rsidR="0055716E" w:rsidRPr="00FE4251">
        <w:t xml:space="preserve">based on DPMQ, </w:t>
      </w:r>
      <w:r w:rsidR="007D2DBB" w:rsidRPr="00FE4251">
        <w:t>assuming a total duration of 12 weeks</w:t>
      </w:r>
      <w:r w:rsidR="0055716E" w:rsidRPr="00FE4251">
        <w:t xml:space="preserve"> (</w:t>
      </w:r>
      <w:r w:rsidR="007D2DBB" w:rsidRPr="00FE4251">
        <w:t xml:space="preserve">inclusive of a </w:t>
      </w:r>
      <w:r w:rsidR="00DA6B1F" w:rsidRPr="00FE4251">
        <w:t>4-</w:t>
      </w:r>
      <w:r w:rsidR="007D2DBB" w:rsidRPr="00FE4251">
        <w:t xml:space="preserve">week dose tapering period at an </w:t>
      </w:r>
      <w:r w:rsidR="0055716E" w:rsidRPr="00FE4251">
        <w:t>average dose of</w:t>
      </w:r>
      <w:r w:rsidR="007D2DBB" w:rsidRPr="00FE4251">
        <w:t xml:space="preserve"> 4.5</w:t>
      </w:r>
      <w:r w:rsidR="00253811" w:rsidRPr="00FE4251">
        <w:t xml:space="preserve"> </w:t>
      </w:r>
      <w:r w:rsidR="007D2DBB" w:rsidRPr="00FE4251">
        <w:t>mg/day</w:t>
      </w:r>
      <w:r w:rsidR="0055716E" w:rsidRPr="00FE4251">
        <w:t>).  Compared with $</w:t>
      </w:r>
      <w:r w:rsidR="0055716E" w:rsidRPr="008435E7">
        <w:t>957.22</w:t>
      </w:r>
      <w:r w:rsidR="0055716E" w:rsidRPr="00FE4251">
        <w:t xml:space="preserve"> (based on DPMQ) for </w:t>
      </w:r>
      <w:proofErr w:type="spellStart"/>
      <w:r w:rsidR="0055716E" w:rsidRPr="00FE4251">
        <w:t>mesalazine</w:t>
      </w:r>
      <w:proofErr w:type="spellEnd"/>
      <w:r w:rsidR="0055716E" w:rsidRPr="00FE4251">
        <w:t xml:space="preserve"> over 12 weeks at an assumed dose of 4</w:t>
      </w:r>
      <w:r w:rsidRPr="00FE4251">
        <w:t xml:space="preserve"> </w:t>
      </w:r>
      <w:r w:rsidR="0055716E" w:rsidRPr="00FE4251">
        <w:t>g/day</w:t>
      </w:r>
      <w:r w:rsidR="00111E57" w:rsidRPr="00FE4251">
        <w:t>.  The evaluation noted</w:t>
      </w:r>
      <w:r w:rsidR="0055716E" w:rsidRPr="00FE4251">
        <w:t xml:space="preserve"> this is a weighted average cost across PBS listed </w:t>
      </w:r>
      <w:proofErr w:type="spellStart"/>
      <w:r w:rsidR="0055716E" w:rsidRPr="00FE4251">
        <w:t>mesalazine</w:t>
      </w:r>
      <w:proofErr w:type="spellEnd"/>
      <w:r w:rsidR="0055716E" w:rsidRPr="00FE4251">
        <w:t xml:space="preserve"> preparations weighted by their utilisations.</w:t>
      </w:r>
      <w:r w:rsidR="002A674A" w:rsidRPr="00FE4251">
        <w:t xml:space="preserve">  </w:t>
      </w:r>
      <w:r w:rsidR="00007BF5" w:rsidRPr="00FE4251">
        <w:t xml:space="preserve">The cost of </w:t>
      </w:r>
      <w:proofErr w:type="spellStart"/>
      <w:r w:rsidR="00007BF5" w:rsidRPr="00FE4251">
        <w:t>mesalazine</w:t>
      </w:r>
      <w:proofErr w:type="spellEnd"/>
      <w:r w:rsidR="00007BF5" w:rsidRPr="00FE4251">
        <w:t xml:space="preserve"> is likely to be less than what was estimated in the submission.  </w:t>
      </w:r>
      <w:proofErr w:type="spellStart"/>
      <w:r w:rsidR="00007BF5" w:rsidRPr="00FE4251">
        <w:t>Mesasal</w:t>
      </w:r>
      <w:proofErr w:type="spellEnd"/>
      <w:r w:rsidR="00007BF5" w:rsidRPr="00FE4251">
        <w:t>®, the most expensive PBS listed preparation</w:t>
      </w:r>
      <w:r w:rsidR="00F24639" w:rsidRPr="00FE4251">
        <w:t>,</w:t>
      </w:r>
      <w:r w:rsidR="00007BF5" w:rsidRPr="00FE4251">
        <w:t xml:space="preserve"> is unlikely to be substituted as its PI </w:t>
      </w:r>
      <w:r w:rsidR="002A674A" w:rsidRPr="00FE4251">
        <w:t>does not recommend doses above 1.5 g/day</w:t>
      </w:r>
      <w:r w:rsidR="00007BF5" w:rsidRPr="00FE4251">
        <w:t>.</w:t>
      </w:r>
    </w:p>
    <w:p w:rsidR="001103C2" w:rsidRPr="00FE4251" w:rsidRDefault="001103C2" w:rsidP="001103C2">
      <w:pPr>
        <w:pStyle w:val="Heading2"/>
      </w:pPr>
      <w:bookmarkStart w:id="47" w:name="_Toc413139284"/>
      <w:bookmarkStart w:id="48" w:name="_Toc491952260"/>
      <w:bookmarkStart w:id="49" w:name="_Toc491952735"/>
      <w:r w:rsidRPr="00FE4251">
        <w:t>Estimated PBS usage &amp; financial implications</w:t>
      </w:r>
      <w:bookmarkEnd w:id="47"/>
      <w:bookmarkEnd w:id="48"/>
      <w:bookmarkEnd w:id="49"/>
    </w:p>
    <w:p w:rsidR="0058390C" w:rsidRPr="00FE4251" w:rsidRDefault="001103C2" w:rsidP="00DA6330">
      <w:pPr>
        <w:pStyle w:val="ListParagraph"/>
        <w:numPr>
          <w:ilvl w:val="1"/>
          <w:numId w:val="1"/>
        </w:numPr>
        <w:spacing w:before="0" w:after="120"/>
        <w:ind w:left="567" w:hanging="578"/>
        <w:jc w:val="both"/>
      </w:pPr>
      <w:r w:rsidRPr="00FE4251">
        <w:t>This submission w</w:t>
      </w:r>
      <w:r w:rsidR="006E67F2" w:rsidRPr="00FE4251">
        <w:t>as</w:t>
      </w:r>
      <w:r w:rsidRPr="00FE4251">
        <w:t xml:space="preserve"> not considered by DUSC.  </w:t>
      </w:r>
      <w:r w:rsidR="0058390C" w:rsidRPr="00FE4251">
        <w:t>The submission used an epidemiological approach with the number of patients with C</w:t>
      </w:r>
      <w:r w:rsidR="00D86615" w:rsidRPr="00FE4251">
        <w:t>D</w:t>
      </w:r>
      <w:r w:rsidR="0058390C" w:rsidRPr="00FE4251">
        <w:t xml:space="preserve"> estimated from prevalence and incidence estimates from Australian studies.  As the incidence of new cases of CD is small relative to prevalent cases, prevalent cases are considered sufficient for estimation of the eligible population in this case, and this was adjusted during the evaluation.</w:t>
      </w:r>
    </w:p>
    <w:p w:rsidR="004E2854" w:rsidRPr="00FE4251" w:rsidRDefault="004E2854" w:rsidP="004E2854">
      <w:pPr>
        <w:keepNext/>
        <w:spacing w:before="0" w:after="60"/>
        <w:rPr>
          <w:rFonts w:ascii="Arial Narrow" w:hAnsi="Arial Narrow"/>
          <w:b/>
          <w:sz w:val="20"/>
        </w:rPr>
      </w:pPr>
      <w:r w:rsidRPr="00FE4251">
        <w:rPr>
          <w:rFonts w:ascii="Arial Narrow" w:hAnsi="Arial Narrow"/>
          <w:b/>
          <w:sz w:val="20"/>
        </w:rPr>
        <w:t>Table</w:t>
      </w:r>
      <w:r w:rsidR="009A6012" w:rsidRPr="00FE4251">
        <w:rPr>
          <w:rFonts w:ascii="Arial Narrow" w:hAnsi="Arial Narrow"/>
          <w:b/>
          <w:sz w:val="20"/>
        </w:rPr>
        <w:t xml:space="preserve"> </w:t>
      </w:r>
      <w:r w:rsidR="000304DD" w:rsidRPr="00FE4251">
        <w:rPr>
          <w:rFonts w:ascii="Arial Narrow" w:hAnsi="Arial Narrow"/>
          <w:b/>
          <w:sz w:val="20"/>
        </w:rPr>
        <w:t>10</w:t>
      </w:r>
      <w:r w:rsidRPr="00FE4251">
        <w:rPr>
          <w:rFonts w:ascii="Arial Narrow" w:hAnsi="Arial Narrow"/>
          <w:b/>
          <w:sz w:val="20"/>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08"/>
        <w:gridCol w:w="1046"/>
        <w:gridCol w:w="1046"/>
        <w:gridCol w:w="1048"/>
        <w:gridCol w:w="1046"/>
        <w:gridCol w:w="1047"/>
        <w:gridCol w:w="1063"/>
      </w:tblGrid>
      <w:tr w:rsidR="004E2854" w:rsidRPr="00FE4251" w:rsidTr="009A6012">
        <w:trPr>
          <w:tblHeader/>
        </w:trPr>
        <w:tc>
          <w:tcPr>
            <w:tcW w:w="1505" w:type="pct"/>
            <w:shd w:val="clear" w:color="auto" w:fill="auto"/>
            <w:vAlign w:val="center"/>
          </w:tcPr>
          <w:p w:rsidR="004E2854" w:rsidRPr="00FE4251" w:rsidRDefault="004E2854" w:rsidP="009A6012">
            <w:pPr>
              <w:keepNext/>
              <w:spacing w:before="0" w:after="0"/>
              <w:rPr>
                <w:rFonts w:ascii="Arial Narrow" w:hAnsi="Arial Narrow"/>
                <w:sz w:val="20"/>
              </w:rPr>
            </w:pPr>
          </w:p>
        </w:tc>
        <w:tc>
          <w:tcPr>
            <w:tcW w:w="582" w:type="pct"/>
            <w:shd w:val="clear" w:color="auto" w:fill="auto"/>
            <w:vAlign w:val="center"/>
          </w:tcPr>
          <w:p w:rsidR="009A6012" w:rsidRPr="00FE4251" w:rsidRDefault="009A6012" w:rsidP="009A6012">
            <w:pPr>
              <w:keepNext/>
              <w:spacing w:before="0" w:after="0"/>
              <w:jc w:val="center"/>
              <w:rPr>
                <w:rFonts w:ascii="Arial Narrow" w:hAnsi="Arial Narrow"/>
                <w:b/>
                <w:sz w:val="20"/>
              </w:rPr>
            </w:pPr>
            <w:r w:rsidRPr="00FE4251">
              <w:rPr>
                <w:rFonts w:ascii="Arial Narrow" w:hAnsi="Arial Narrow"/>
                <w:b/>
                <w:sz w:val="20"/>
              </w:rPr>
              <w:t>2017</w:t>
            </w:r>
          </w:p>
          <w:p w:rsidR="004E2854" w:rsidRPr="00FE4251" w:rsidRDefault="004E2854" w:rsidP="009A6012">
            <w:pPr>
              <w:keepNext/>
              <w:spacing w:before="0" w:after="0"/>
              <w:jc w:val="center"/>
              <w:rPr>
                <w:rFonts w:ascii="Arial Narrow" w:hAnsi="Arial Narrow"/>
                <w:b/>
                <w:sz w:val="20"/>
              </w:rPr>
            </w:pPr>
            <w:r w:rsidRPr="00FE4251">
              <w:rPr>
                <w:rFonts w:ascii="Arial Narrow" w:hAnsi="Arial Narrow"/>
                <w:b/>
                <w:sz w:val="20"/>
              </w:rPr>
              <w:t>Year 1</w:t>
            </w:r>
          </w:p>
        </w:tc>
        <w:tc>
          <w:tcPr>
            <w:tcW w:w="582" w:type="pct"/>
            <w:shd w:val="clear" w:color="auto" w:fill="auto"/>
            <w:vAlign w:val="center"/>
          </w:tcPr>
          <w:p w:rsidR="009A6012" w:rsidRPr="00FE4251" w:rsidRDefault="009A6012" w:rsidP="009A6012">
            <w:pPr>
              <w:keepNext/>
              <w:spacing w:before="0" w:after="0"/>
              <w:jc w:val="center"/>
              <w:rPr>
                <w:rFonts w:ascii="Arial Narrow" w:hAnsi="Arial Narrow"/>
                <w:b/>
                <w:sz w:val="20"/>
              </w:rPr>
            </w:pPr>
            <w:r w:rsidRPr="00FE4251">
              <w:rPr>
                <w:rFonts w:ascii="Arial Narrow" w:hAnsi="Arial Narrow"/>
                <w:b/>
                <w:sz w:val="20"/>
              </w:rPr>
              <w:t>2018</w:t>
            </w:r>
          </w:p>
          <w:p w:rsidR="004E2854" w:rsidRPr="00FE4251" w:rsidRDefault="004E2854" w:rsidP="009A6012">
            <w:pPr>
              <w:keepNext/>
              <w:spacing w:before="0" w:after="0"/>
              <w:jc w:val="center"/>
              <w:rPr>
                <w:rFonts w:ascii="Arial Narrow" w:hAnsi="Arial Narrow"/>
                <w:b/>
                <w:sz w:val="20"/>
              </w:rPr>
            </w:pPr>
            <w:r w:rsidRPr="00FE4251">
              <w:rPr>
                <w:rFonts w:ascii="Arial Narrow" w:hAnsi="Arial Narrow"/>
                <w:b/>
                <w:sz w:val="20"/>
              </w:rPr>
              <w:t>Year 2</w:t>
            </w:r>
          </w:p>
        </w:tc>
        <w:tc>
          <w:tcPr>
            <w:tcW w:w="583" w:type="pct"/>
            <w:shd w:val="clear" w:color="auto" w:fill="auto"/>
            <w:vAlign w:val="center"/>
          </w:tcPr>
          <w:p w:rsidR="009A6012" w:rsidRPr="00FE4251" w:rsidRDefault="009A6012" w:rsidP="009A6012">
            <w:pPr>
              <w:keepNext/>
              <w:spacing w:before="0" w:after="0"/>
              <w:jc w:val="center"/>
              <w:rPr>
                <w:rFonts w:ascii="Arial Narrow" w:hAnsi="Arial Narrow"/>
                <w:b/>
                <w:sz w:val="20"/>
              </w:rPr>
            </w:pPr>
            <w:r w:rsidRPr="00FE4251">
              <w:rPr>
                <w:rFonts w:ascii="Arial Narrow" w:hAnsi="Arial Narrow"/>
                <w:b/>
                <w:sz w:val="20"/>
              </w:rPr>
              <w:t>2019</w:t>
            </w:r>
          </w:p>
          <w:p w:rsidR="004E2854" w:rsidRPr="00FE4251" w:rsidRDefault="004E2854" w:rsidP="009A6012">
            <w:pPr>
              <w:keepNext/>
              <w:spacing w:before="0" w:after="0"/>
              <w:jc w:val="center"/>
              <w:rPr>
                <w:rFonts w:ascii="Arial Narrow" w:hAnsi="Arial Narrow"/>
                <w:b/>
                <w:sz w:val="20"/>
              </w:rPr>
            </w:pPr>
            <w:r w:rsidRPr="00FE4251">
              <w:rPr>
                <w:rFonts w:ascii="Arial Narrow" w:hAnsi="Arial Narrow"/>
                <w:b/>
                <w:sz w:val="20"/>
              </w:rPr>
              <w:t>Year 3</w:t>
            </w:r>
          </w:p>
        </w:tc>
        <w:tc>
          <w:tcPr>
            <w:tcW w:w="582" w:type="pct"/>
            <w:shd w:val="clear" w:color="auto" w:fill="auto"/>
            <w:vAlign w:val="center"/>
          </w:tcPr>
          <w:p w:rsidR="009A6012" w:rsidRPr="00FE4251" w:rsidRDefault="009A6012" w:rsidP="009A6012">
            <w:pPr>
              <w:keepNext/>
              <w:spacing w:before="0" w:after="0"/>
              <w:jc w:val="center"/>
              <w:rPr>
                <w:rFonts w:ascii="Arial Narrow" w:hAnsi="Arial Narrow"/>
                <w:b/>
                <w:sz w:val="20"/>
              </w:rPr>
            </w:pPr>
            <w:r w:rsidRPr="00FE4251">
              <w:rPr>
                <w:rFonts w:ascii="Arial Narrow" w:hAnsi="Arial Narrow"/>
                <w:b/>
                <w:sz w:val="20"/>
              </w:rPr>
              <w:t>2020</w:t>
            </w:r>
          </w:p>
          <w:p w:rsidR="004E2854" w:rsidRPr="00FE4251" w:rsidRDefault="004E2854" w:rsidP="009A6012">
            <w:pPr>
              <w:keepNext/>
              <w:spacing w:before="0" w:after="0"/>
              <w:jc w:val="center"/>
              <w:rPr>
                <w:rFonts w:ascii="Arial Narrow" w:hAnsi="Arial Narrow"/>
                <w:b/>
                <w:sz w:val="20"/>
              </w:rPr>
            </w:pPr>
            <w:r w:rsidRPr="00FE4251">
              <w:rPr>
                <w:rFonts w:ascii="Arial Narrow" w:hAnsi="Arial Narrow"/>
                <w:b/>
                <w:sz w:val="20"/>
              </w:rPr>
              <w:t>Year 4</w:t>
            </w:r>
          </w:p>
        </w:tc>
        <w:tc>
          <w:tcPr>
            <w:tcW w:w="582" w:type="pct"/>
            <w:shd w:val="clear" w:color="auto" w:fill="auto"/>
            <w:vAlign w:val="center"/>
          </w:tcPr>
          <w:p w:rsidR="009A6012" w:rsidRPr="00FE4251" w:rsidRDefault="009A6012" w:rsidP="009A6012">
            <w:pPr>
              <w:keepNext/>
              <w:spacing w:before="0" w:after="0"/>
              <w:jc w:val="center"/>
              <w:rPr>
                <w:rFonts w:ascii="Arial Narrow" w:hAnsi="Arial Narrow"/>
                <w:b/>
                <w:sz w:val="20"/>
              </w:rPr>
            </w:pPr>
            <w:r w:rsidRPr="00FE4251">
              <w:rPr>
                <w:rFonts w:ascii="Arial Narrow" w:hAnsi="Arial Narrow"/>
                <w:b/>
                <w:sz w:val="20"/>
              </w:rPr>
              <w:t>2021</w:t>
            </w:r>
          </w:p>
          <w:p w:rsidR="004E2854" w:rsidRPr="00FE4251" w:rsidRDefault="004E2854" w:rsidP="009A6012">
            <w:pPr>
              <w:keepNext/>
              <w:spacing w:before="0" w:after="0"/>
              <w:jc w:val="center"/>
              <w:rPr>
                <w:rFonts w:ascii="Arial Narrow" w:hAnsi="Arial Narrow"/>
                <w:b/>
                <w:sz w:val="20"/>
              </w:rPr>
            </w:pPr>
            <w:r w:rsidRPr="00FE4251">
              <w:rPr>
                <w:rFonts w:ascii="Arial Narrow" w:hAnsi="Arial Narrow"/>
                <w:b/>
                <w:sz w:val="20"/>
              </w:rPr>
              <w:t>Year 5</w:t>
            </w:r>
          </w:p>
        </w:tc>
        <w:tc>
          <w:tcPr>
            <w:tcW w:w="583" w:type="pct"/>
          </w:tcPr>
          <w:p w:rsidR="009A6012" w:rsidRPr="00FE4251" w:rsidRDefault="009A6012" w:rsidP="009A6012">
            <w:pPr>
              <w:keepNext/>
              <w:spacing w:before="0" w:after="0"/>
              <w:jc w:val="center"/>
              <w:rPr>
                <w:rFonts w:ascii="Arial Narrow" w:hAnsi="Arial Narrow"/>
                <w:b/>
                <w:sz w:val="20"/>
              </w:rPr>
            </w:pPr>
            <w:r w:rsidRPr="00FE4251">
              <w:rPr>
                <w:rFonts w:ascii="Arial Narrow" w:hAnsi="Arial Narrow"/>
                <w:b/>
                <w:sz w:val="20"/>
              </w:rPr>
              <w:t>2022</w:t>
            </w:r>
          </w:p>
          <w:p w:rsidR="004E2854" w:rsidRPr="00FE4251" w:rsidRDefault="004E2854" w:rsidP="009A6012">
            <w:pPr>
              <w:keepNext/>
              <w:spacing w:before="0" w:after="0"/>
              <w:jc w:val="center"/>
              <w:rPr>
                <w:rFonts w:ascii="Arial Narrow" w:hAnsi="Arial Narrow"/>
                <w:b/>
                <w:sz w:val="20"/>
              </w:rPr>
            </w:pPr>
            <w:r w:rsidRPr="00FE4251">
              <w:rPr>
                <w:rFonts w:ascii="Arial Narrow" w:hAnsi="Arial Narrow"/>
                <w:b/>
                <w:sz w:val="20"/>
              </w:rPr>
              <w:t>Year 6</w:t>
            </w:r>
          </w:p>
        </w:tc>
      </w:tr>
      <w:tr w:rsidR="004E2854" w:rsidRPr="00FE4251" w:rsidTr="00A04710">
        <w:tc>
          <w:tcPr>
            <w:tcW w:w="5000" w:type="pct"/>
            <w:gridSpan w:val="7"/>
            <w:shd w:val="clear" w:color="auto" w:fill="auto"/>
            <w:vAlign w:val="center"/>
          </w:tcPr>
          <w:p w:rsidR="004E2854" w:rsidRPr="00FE4251" w:rsidRDefault="004E2854" w:rsidP="009A6012">
            <w:pPr>
              <w:keepNext/>
              <w:spacing w:before="0" w:after="0"/>
              <w:rPr>
                <w:rFonts w:ascii="Arial Narrow" w:hAnsi="Arial Narrow"/>
                <w:b/>
                <w:bCs/>
                <w:color w:val="000000"/>
                <w:sz w:val="20"/>
              </w:rPr>
            </w:pPr>
            <w:r w:rsidRPr="00FE4251">
              <w:rPr>
                <w:rFonts w:ascii="Arial Narrow" w:hAnsi="Arial Narrow"/>
                <w:b/>
                <w:bCs/>
                <w:color w:val="000000"/>
                <w:sz w:val="20"/>
              </w:rPr>
              <w:t>Estimated extent of use</w:t>
            </w:r>
          </w:p>
        </w:tc>
      </w:tr>
      <w:tr w:rsidR="004E2854" w:rsidRPr="00FE4251" w:rsidTr="009A6012">
        <w:tc>
          <w:tcPr>
            <w:tcW w:w="1505" w:type="pct"/>
            <w:shd w:val="clear" w:color="auto" w:fill="auto"/>
            <w:vAlign w:val="center"/>
          </w:tcPr>
          <w:p w:rsidR="004E2854" w:rsidRPr="00FE4251" w:rsidRDefault="004E2854" w:rsidP="009A6012">
            <w:pPr>
              <w:keepNext/>
              <w:spacing w:before="0" w:after="0"/>
              <w:rPr>
                <w:rFonts w:ascii="Times" w:eastAsia="Times New Roman" w:hAnsi="Times" w:cs="Times New Roman"/>
                <w:sz w:val="20"/>
              </w:rPr>
            </w:pPr>
            <w:r w:rsidRPr="00FE4251">
              <w:rPr>
                <w:rFonts w:ascii="Arial Narrow" w:hAnsi="Arial Narrow"/>
                <w:sz w:val="20"/>
              </w:rPr>
              <w:t xml:space="preserve">Number of patients </w:t>
            </w:r>
            <w:proofErr w:type="spellStart"/>
            <w:r w:rsidRPr="00FE4251">
              <w:rPr>
                <w:rFonts w:ascii="Arial Narrow" w:hAnsi="Arial Narrow"/>
                <w:sz w:val="20"/>
              </w:rPr>
              <w:t>treated</w:t>
            </w:r>
            <w:r w:rsidRPr="00FE4251">
              <w:rPr>
                <w:rFonts w:ascii="Arial Narrow" w:hAnsi="Arial Narrow"/>
                <w:sz w:val="20"/>
                <w:vertAlign w:val="superscript"/>
              </w:rPr>
              <w:t>b</w:t>
            </w:r>
            <w:proofErr w:type="spellEnd"/>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3"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3" w:type="pct"/>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4E2854" w:rsidRPr="00FE4251" w:rsidTr="009A6012">
        <w:tc>
          <w:tcPr>
            <w:tcW w:w="1505" w:type="pct"/>
            <w:shd w:val="clear" w:color="auto" w:fill="auto"/>
            <w:vAlign w:val="center"/>
          </w:tcPr>
          <w:p w:rsidR="004E2854" w:rsidRPr="00FE4251" w:rsidRDefault="004E2854" w:rsidP="009A6012">
            <w:pPr>
              <w:keepNext/>
              <w:spacing w:before="0" w:after="0"/>
              <w:rPr>
                <w:rFonts w:ascii="Times" w:eastAsia="Times New Roman" w:hAnsi="Times" w:cs="Times New Roman"/>
                <w:sz w:val="20"/>
              </w:rPr>
            </w:pPr>
            <w:r w:rsidRPr="00FE4251">
              <w:rPr>
                <w:rFonts w:ascii="Arial Narrow" w:hAnsi="Arial Narrow"/>
                <w:sz w:val="20"/>
              </w:rPr>
              <w:t xml:space="preserve">Number of units (packs) </w:t>
            </w:r>
            <w:proofErr w:type="spellStart"/>
            <w:r w:rsidRPr="00FE4251">
              <w:rPr>
                <w:rFonts w:ascii="Arial Narrow" w:hAnsi="Arial Narrow"/>
                <w:sz w:val="20"/>
              </w:rPr>
              <w:t>dispensed</w:t>
            </w:r>
            <w:r w:rsidRPr="00FE4251">
              <w:rPr>
                <w:rFonts w:ascii="Arial Narrow" w:hAnsi="Arial Narrow"/>
                <w:sz w:val="20"/>
                <w:vertAlign w:val="superscript"/>
              </w:rPr>
              <w:t>a</w:t>
            </w:r>
            <w:proofErr w:type="spellEnd"/>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3"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3" w:type="pct"/>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4E2854" w:rsidRPr="00FE4251" w:rsidTr="00A04710">
        <w:tc>
          <w:tcPr>
            <w:tcW w:w="5000" w:type="pct"/>
            <w:gridSpan w:val="7"/>
            <w:shd w:val="clear" w:color="auto" w:fill="auto"/>
            <w:vAlign w:val="center"/>
          </w:tcPr>
          <w:p w:rsidR="004E2854" w:rsidRPr="00FE4251" w:rsidRDefault="004E2854" w:rsidP="009A6012">
            <w:pPr>
              <w:keepNext/>
              <w:spacing w:before="0" w:after="0"/>
              <w:rPr>
                <w:rFonts w:ascii="Arial Narrow" w:hAnsi="Arial Narrow"/>
                <w:b/>
                <w:bCs/>
                <w:color w:val="000000"/>
                <w:sz w:val="20"/>
              </w:rPr>
            </w:pPr>
            <w:r w:rsidRPr="00FE4251">
              <w:rPr>
                <w:rFonts w:ascii="Arial Narrow" w:hAnsi="Arial Narrow"/>
                <w:b/>
                <w:bCs/>
                <w:color w:val="000000"/>
                <w:sz w:val="20"/>
              </w:rPr>
              <w:t>Estimated financial implications of budesonide</w:t>
            </w:r>
          </w:p>
        </w:tc>
      </w:tr>
      <w:tr w:rsidR="004E2854" w:rsidRPr="00FE4251" w:rsidTr="009A6012">
        <w:tc>
          <w:tcPr>
            <w:tcW w:w="1505" w:type="pct"/>
            <w:shd w:val="clear" w:color="auto" w:fill="auto"/>
            <w:vAlign w:val="center"/>
          </w:tcPr>
          <w:p w:rsidR="004E2854" w:rsidRPr="00FE4251" w:rsidRDefault="004E2854" w:rsidP="009A6012">
            <w:pPr>
              <w:keepNext/>
              <w:spacing w:before="0" w:after="0"/>
              <w:rPr>
                <w:rFonts w:ascii="Times" w:eastAsia="Times New Roman" w:hAnsi="Times" w:cs="Times New Roman"/>
                <w:sz w:val="20"/>
              </w:rPr>
            </w:pPr>
            <w:r w:rsidRPr="00FE4251">
              <w:rPr>
                <w:rFonts w:ascii="Arial Narrow" w:hAnsi="Arial Narrow"/>
                <w:sz w:val="19"/>
                <w:szCs w:val="19"/>
              </w:rPr>
              <w:t>Cost to PBS/</w:t>
            </w:r>
            <w:proofErr w:type="spellStart"/>
            <w:r w:rsidRPr="00FE4251">
              <w:rPr>
                <w:rFonts w:ascii="Arial Narrow" w:hAnsi="Arial Narrow"/>
                <w:sz w:val="19"/>
                <w:szCs w:val="19"/>
              </w:rPr>
              <w:t>RPBS</w:t>
            </w:r>
            <w:r w:rsidRPr="00FE4251">
              <w:rPr>
                <w:rFonts w:ascii="Arial Narrow" w:hAnsi="Arial Narrow"/>
                <w:sz w:val="19"/>
                <w:szCs w:val="19"/>
                <w:vertAlign w:val="superscript"/>
              </w:rPr>
              <w:t>c</w:t>
            </w:r>
            <w:proofErr w:type="spellEnd"/>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3"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3"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r>
      <w:tr w:rsidR="004E2854" w:rsidRPr="00FE4251" w:rsidTr="009A6012">
        <w:tc>
          <w:tcPr>
            <w:tcW w:w="1505" w:type="pct"/>
            <w:shd w:val="clear" w:color="auto" w:fill="auto"/>
            <w:vAlign w:val="center"/>
          </w:tcPr>
          <w:p w:rsidR="004E2854" w:rsidRPr="00FE4251" w:rsidRDefault="004E2854" w:rsidP="009A6012">
            <w:pPr>
              <w:keepNext/>
              <w:spacing w:before="0" w:after="0"/>
              <w:rPr>
                <w:rFonts w:ascii="Arial Narrow" w:hAnsi="Arial Narrow"/>
                <w:sz w:val="19"/>
                <w:szCs w:val="19"/>
              </w:rPr>
            </w:pPr>
            <w:proofErr w:type="spellStart"/>
            <w:r w:rsidRPr="00FE4251">
              <w:rPr>
                <w:rFonts w:ascii="Arial Narrow" w:hAnsi="Arial Narrow"/>
                <w:sz w:val="19"/>
                <w:szCs w:val="19"/>
              </w:rPr>
              <w:t>Copayments</w:t>
            </w:r>
            <w:proofErr w:type="spellEnd"/>
          </w:p>
        </w:tc>
        <w:tc>
          <w:tcPr>
            <w:tcW w:w="582" w:type="pct"/>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2" w:type="pct"/>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3" w:type="pct"/>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2" w:type="pct"/>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2" w:type="pct"/>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3" w:type="pct"/>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r>
      <w:tr w:rsidR="004E2854" w:rsidRPr="00FE4251" w:rsidTr="009A6012">
        <w:tc>
          <w:tcPr>
            <w:tcW w:w="1505" w:type="pct"/>
            <w:shd w:val="clear" w:color="auto" w:fill="auto"/>
            <w:vAlign w:val="center"/>
          </w:tcPr>
          <w:p w:rsidR="004E2854" w:rsidRPr="00FE4251" w:rsidRDefault="004E2854" w:rsidP="009A6012">
            <w:pPr>
              <w:keepNext/>
              <w:spacing w:before="0" w:after="0"/>
              <w:rPr>
                <w:rFonts w:ascii="Arial Narrow" w:hAnsi="Arial Narrow"/>
                <w:sz w:val="19"/>
                <w:szCs w:val="19"/>
              </w:rPr>
            </w:pPr>
            <w:r w:rsidRPr="00FE4251">
              <w:rPr>
                <w:rFonts w:ascii="Arial Narrow" w:hAnsi="Arial Narrow"/>
                <w:sz w:val="19"/>
                <w:szCs w:val="19"/>
              </w:rPr>
              <w:t xml:space="preserve">Cost to PBS/RPBS less </w:t>
            </w:r>
            <w:proofErr w:type="spellStart"/>
            <w:r w:rsidRPr="00FE4251">
              <w:rPr>
                <w:rFonts w:ascii="Arial Narrow" w:hAnsi="Arial Narrow"/>
                <w:sz w:val="19"/>
                <w:szCs w:val="19"/>
              </w:rPr>
              <w:t>copayments</w:t>
            </w:r>
            <w:proofErr w:type="spellEnd"/>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3"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3"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r>
      <w:tr w:rsidR="004E2854" w:rsidRPr="00FE4251" w:rsidTr="00A04710">
        <w:tc>
          <w:tcPr>
            <w:tcW w:w="5000" w:type="pct"/>
            <w:gridSpan w:val="7"/>
            <w:shd w:val="clear" w:color="auto" w:fill="auto"/>
            <w:vAlign w:val="center"/>
          </w:tcPr>
          <w:p w:rsidR="004E2854" w:rsidRPr="00FE4251" w:rsidRDefault="004E2854" w:rsidP="009A6012">
            <w:pPr>
              <w:keepNext/>
              <w:spacing w:before="0" w:after="0"/>
              <w:rPr>
                <w:rFonts w:ascii="Arial Narrow" w:hAnsi="Arial Narrow"/>
                <w:bCs/>
                <w:color w:val="000000"/>
                <w:sz w:val="20"/>
              </w:rPr>
            </w:pPr>
            <w:r w:rsidRPr="00FE4251">
              <w:rPr>
                <w:rFonts w:ascii="Arial Narrow" w:hAnsi="Arial Narrow"/>
                <w:b/>
                <w:bCs/>
                <w:color w:val="000000"/>
                <w:sz w:val="20"/>
              </w:rPr>
              <w:t xml:space="preserve">Estimated financial implications for </w:t>
            </w:r>
            <w:proofErr w:type="spellStart"/>
            <w:r w:rsidRPr="00FE4251">
              <w:rPr>
                <w:rFonts w:ascii="Arial Narrow" w:hAnsi="Arial Narrow"/>
                <w:b/>
                <w:bCs/>
                <w:color w:val="000000"/>
                <w:sz w:val="20"/>
              </w:rPr>
              <w:t>mesalazine</w:t>
            </w:r>
            <w:proofErr w:type="spellEnd"/>
          </w:p>
        </w:tc>
      </w:tr>
      <w:tr w:rsidR="004E2854" w:rsidRPr="00FE4251" w:rsidTr="009A6012">
        <w:tc>
          <w:tcPr>
            <w:tcW w:w="1505" w:type="pct"/>
            <w:shd w:val="clear" w:color="auto" w:fill="auto"/>
            <w:vAlign w:val="center"/>
          </w:tcPr>
          <w:p w:rsidR="004E2854" w:rsidRPr="00FE4251" w:rsidRDefault="004E2854" w:rsidP="009A6012">
            <w:pPr>
              <w:keepNext/>
              <w:spacing w:before="0" w:after="0"/>
              <w:rPr>
                <w:rFonts w:ascii="Arial Narrow" w:hAnsi="Arial Narrow"/>
                <w:sz w:val="19"/>
                <w:szCs w:val="19"/>
              </w:rPr>
            </w:pPr>
            <w:r w:rsidRPr="00FE4251">
              <w:rPr>
                <w:rFonts w:ascii="Arial Narrow" w:hAnsi="Arial Narrow"/>
                <w:sz w:val="19"/>
                <w:szCs w:val="19"/>
              </w:rPr>
              <w:t>Cost to PBS/</w:t>
            </w:r>
            <w:proofErr w:type="spellStart"/>
            <w:r w:rsidRPr="00FE4251">
              <w:rPr>
                <w:rFonts w:ascii="Arial Narrow" w:hAnsi="Arial Narrow"/>
                <w:sz w:val="19"/>
                <w:szCs w:val="19"/>
              </w:rPr>
              <w:t>RPBS</w:t>
            </w:r>
            <w:r w:rsidRPr="00FE4251">
              <w:rPr>
                <w:rFonts w:ascii="Arial Narrow" w:hAnsi="Arial Narrow"/>
                <w:sz w:val="19"/>
                <w:szCs w:val="19"/>
                <w:vertAlign w:val="superscript"/>
              </w:rPr>
              <w:t>d</w:t>
            </w:r>
            <w:proofErr w:type="spellEnd"/>
          </w:p>
        </w:tc>
        <w:tc>
          <w:tcPr>
            <w:tcW w:w="582" w:type="pct"/>
            <w:tcBorders>
              <w:bottom w:val="single" w:sz="4" w:space="0" w:color="auto"/>
            </w:tcBorders>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2" w:type="pct"/>
            <w:tcBorders>
              <w:bottom w:val="single" w:sz="4" w:space="0" w:color="auto"/>
            </w:tcBorders>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3" w:type="pct"/>
            <w:tcBorders>
              <w:bottom w:val="single" w:sz="4" w:space="0" w:color="auto"/>
            </w:tcBorders>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2" w:type="pct"/>
            <w:tcBorders>
              <w:bottom w:val="single" w:sz="4" w:space="0" w:color="auto"/>
            </w:tcBorders>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2" w:type="pct"/>
            <w:tcBorders>
              <w:bottom w:val="single" w:sz="4" w:space="0" w:color="auto"/>
            </w:tcBorders>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3" w:type="pct"/>
            <w:tcBorders>
              <w:bottom w:val="single" w:sz="4" w:space="0" w:color="auto"/>
            </w:tcBorders>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r>
      <w:tr w:rsidR="004E2854" w:rsidRPr="00FE4251" w:rsidTr="009A6012">
        <w:tc>
          <w:tcPr>
            <w:tcW w:w="1505" w:type="pct"/>
            <w:shd w:val="clear" w:color="auto" w:fill="auto"/>
            <w:vAlign w:val="center"/>
          </w:tcPr>
          <w:p w:rsidR="004E2854" w:rsidRPr="00FE4251" w:rsidRDefault="004E2854" w:rsidP="009A6012">
            <w:pPr>
              <w:keepNext/>
              <w:spacing w:before="0" w:after="0"/>
              <w:rPr>
                <w:rFonts w:ascii="Arial Narrow" w:hAnsi="Arial Narrow"/>
                <w:sz w:val="19"/>
                <w:szCs w:val="19"/>
              </w:rPr>
            </w:pPr>
            <w:proofErr w:type="spellStart"/>
            <w:r w:rsidRPr="00FE4251">
              <w:rPr>
                <w:rFonts w:ascii="Arial Narrow" w:hAnsi="Arial Narrow"/>
                <w:sz w:val="19"/>
                <w:szCs w:val="19"/>
              </w:rPr>
              <w:t>Copayments</w:t>
            </w:r>
            <w:proofErr w:type="spellEnd"/>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iCs/>
                <w:color w:val="000000"/>
                <w:sz w:val="20"/>
                <w:highlight w:val="black"/>
              </w:rPr>
            </w:pPr>
            <w:r>
              <w:rPr>
                <w:rFonts w:ascii="Arial Narrow" w:hAnsi="Arial Narrow"/>
                <w:bCs/>
                <w:i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iCs/>
                <w:color w:val="000000"/>
                <w:sz w:val="20"/>
                <w:highlight w:val="black"/>
              </w:rPr>
            </w:pPr>
            <w:r>
              <w:rPr>
                <w:rFonts w:ascii="Arial Narrow" w:hAnsi="Arial Narrow"/>
                <w:bCs/>
                <w:iCs/>
                <w:noProof/>
                <w:color w:val="000000"/>
                <w:sz w:val="20"/>
                <w:highlight w:val="black"/>
              </w:rPr>
              <w:t>'''''''''''''''''''''''''</w:t>
            </w:r>
          </w:p>
        </w:tc>
        <w:tc>
          <w:tcPr>
            <w:tcW w:w="583" w:type="pct"/>
            <w:shd w:val="clear" w:color="auto" w:fill="auto"/>
            <w:vAlign w:val="center"/>
          </w:tcPr>
          <w:p w:rsidR="004E2854" w:rsidRPr="00F01E3E" w:rsidRDefault="00F01E3E" w:rsidP="009A6012">
            <w:pPr>
              <w:keepNext/>
              <w:spacing w:before="0" w:after="0"/>
              <w:jc w:val="center"/>
              <w:rPr>
                <w:rFonts w:ascii="Arial Narrow" w:hAnsi="Arial Narrow"/>
                <w:bCs/>
                <w:iCs/>
                <w:color w:val="000000"/>
                <w:sz w:val="20"/>
                <w:highlight w:val="black"/>
              </w:rPr>
            </w:pPr>
            <w:r>
              <w:rPr>
                <w:rFonts w:ascii="Arial Narrow" w:hAnsi="Arial Narrow"/>
                <w:bCs/>
                <w:i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iCs/>
                <w:color w:val="000000"/>
                <w:sz w:val="20"/>
                <w:highlight w:val="black"/>
              </w:rPr>
            </w:pPr>
            <w:r>
              <w:rPr>
                <w:rFonts w:ascii="Arial Narrow" w:hAnsi="Arial Narrow"/>
                <w:bCs/>
                <w:i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iCs/>
                <w:color w:val="000000"/>
                <w:sz w:val="20"/>
                <w:highlight w:val="black"/>
              </w:rPr>
            </w:pPr>
            <w:r>
              <w:rPr>
                <w:rFonts w:ascii="Arial Narrow" w:hAnsi="Arial Narrow"/>
                <w:bCs/>
                <w:iCs/>
                <w:noProof/>
                <w:color w:val="000000"/>
                <w:sz w:val="20"/>
                <w:highlight w:val="black"/>
              </w:rPr>
              <w:t>''''''''''''''''''''''''''</w:t>
            </w:r>
          </w:p>
        </w:tc>
        <w:tc>
          <w:tcPr>
            <w:tcW w:w="583" w:type="pct"/>
          </w:tcPr>
          <w:p w:rsidR="004E2854" w:rsidRPr="00F01E3E" w:rsidRDefault="00F01E3E" w:rsidP="009A6012">
            <w:pPr>
              <w:keepNext/>
              <w:spacing w:before="0" w:after="0"/>
              <w:jc w:val="center"/>
              <w:rPr>
                <w:rFonts w:ascii="Arial Narrow" w:hAnsi="Arial Narrow"/>
                <w:bCs/>
                <w:iCs/>
                <w:color w:val="000000"/>
                <w:sz w:val="20"/>
                <w:highlight w:val="black"/>
              </w:rPr>
            </w:pPr>
            <w:r>
              <w:rPr>
                <w:rFonts w:ascii="Arial Narrow" w:hAnsi="Arial Narrow"/>
                <w:bCs/>
                <w:iCs/>
                <w:noProof/>
                <w:color w:val="000000"/>
                <w:sz w:val="20"/>
                <w:highlight w:val="black"/>
              </w:rPr>
              <w:t>'''''''''''''''''''''''''''</w:t>
            </w:r>
          </w:p>
        </w:tc>
      </w:tr>
      <w:tr w:rsidR="004E2854" w:rsidRPr="00FE4251" w:rsidTr="009A6012">
        <w:tc>
          <w:tcPr>
            <w:tcW w:w="1505" w:type="pct"/>
            <w:shd w:val="clear" w:color="auto" w:fill="auto"/>
            <w:vAlign w:val="center"/>
          </w:tcPr>
          <w:p w:rsidR="004E2854" w:rsidRPr="00FE4251" w:rsidRDefault="004E2854" w:rsidP="009A6012">
            <w:pPr>
              <w:keepNext/>
              <w:spacing w:before="0" w:after="0"/>
              <w:rPr>
                <w:rFonts w:ascii="Arial Narrow" w:hAnsi="Arial Narrow"/>
                <w:sz w:val="19"/>
                <w:szCs w:val="19"/>
              </w:rPr>
            </w:pPr>
            <w:r w:rsidRPr="00FE4251">
              <w:rPr>
                <w:rFonts w:ascii="Arial Narrow" w:hAnsi="Arial Narrow"/>
                <w:sz w:val="19"/>
                <w:szCs w:val="19"/>
              </w:rPr>
              <w:t xml:space="preserve">Cost to PBS/RPBS less </w:t>
            </w:r>
            <w:proofErr w:type="spellStart"/>
            <w:r w:rsidRPr="00FE4251">
              <w:rPr>
                <w:rFonts w:ascii="Arial Narrow" w:hAnsi="Arial Narrow"/>
                <w:sz w:val="19"/>
                <w:szCs w:val="19"/>
              </w:rPr>
              <w:t>copayments</w:t>
            </w:r>
            <w:r w:rsidRPr="00FE4251">
              <w:rPr>
                <w:rFonts w:ascii="Arial Narrow" w:hAnsi="Arial Narrow"/>
                <w:sz w:val="19"/>
                <w:szCs w:val="19"/>
                <w:vertAlign w:val="superscript"/>
              </w:rPr>
              <w:t>e</w:t>
            </w:r>
            <w:proofErr w:type="spellEnd"/>
          </w:p>
        </w:tc>
        <w:tc>
          <w:tcPr>
            <w:tcW w:w="582" w:type="pct"/>
            <w:tcBorders>
              <w:top w:val="single" w:sz="4" w:space="0" w:color="auto"/>
              <w:bottom w:val="single" w:sz="4" w:space="0" w:color="auto"/>
            </w:tcBorders>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2" w:type="pct"/>
            <w:tcBorders>
              <w:top w:val="single" w:sz="4" w:space="0" w:color="auto"/>
              <w:bottom w:val="single" w:sz="4" w:space="0" w:color="auto"/>
            </w:tcBorders>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3" w:type="pct"/>
            <w:tcBorders>
              <w:top w:val="single" w:sz="4" w:space="0" w:color="auto"/>
              <w:bottom w:val="single" w:sz="4" w:space="0" w:color="auto"/>
            </w:tcBorders>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2" w:type="pct"/>
            <w:tcBorders>
              <w:top w:val="single" w:sz="4" w:space="0" w:color="auto"/>
              <w:bottom w:val="single" w:sz="4" w:space="0" w:color="auto"/>
            </w:tcBorders>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2" w:type="pct"/>
            <w:tcBorders>
              <w:top w:val="single" w:sz="4" w:space="0" w:color="auto"/>
              <w:bottom w:val="single" w:sz="4" w:space="0" w:color="auto"/>
            </w:tcBorders>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583" w:type="pct"/>
            <w:tcBorders>
              <w:top w:val="single" w:sz="4" w:space="0" w:color="auto"/>
              <w:bottom w:val="single" w:sz="4" w:space="0" w:color="auto"/>
            </w:tcBorders>
            <w:shd w:val="clear" w:color="auto" w:fill="auto"/>
            <w:vAlign w:val="bottom"/>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iCs/>
                <w:noProof/>
                <w:color w:val="000000"/>
                <w:sz w:val="20"/>
                <w:highlight w:val="black"/>
              </w:rPr>
              <w:t>''''''''''''''''''''''''''</w:t>
            </w:r>
          </w:p>
        </w:tc>
      </w:tr>
      <w:tr w:rsidR="004E2854" w:rsidRPr="00FE4251" w:rsidTr="00A04710">
        <w:tc>
          <w:tcPr>
            <w:tcW w:w="5000" w:type="pct"/>
            <w:gridSpan w:val="7"/>
            <w:shd w:val="clear" w:color="auto" w:fill="auto"/>
            <w:vAlign w:val="center"/>
          </w:tcPr>
          <w:p w:rsidR="004E2854" w:rsidRPr="00FE4251" w:rsidRDefault="004E2854" w:rsidP="009A6012">
            <w:pPr>
              <w:keepNext/>
              <w:spacing w:before="0" w:after="0"/>
              <w:rPr>
                <w:rFonts w:ascii="Arial Narrow" w:hAnsi="Arial Narrow"/>
                <w:b/>
                <w:bCs/>
                <w:color w:val="000000"/>
                <w:sz w:val="20"/>
              </w:rPr>
            </w:pPr>
            <w:r w:rsidRPr="00FE4251">
              <w:rPr>
                <w:rFonts w:ascii="Arial Narrow" w:hAnsi="Arial Narrow"/>
                <w:b/>
                <w:bCs/>
                <w:color w:val="000000"/>
                <w:sz w:val="20"/>
              </w:rPr>
              <w:t>Net financial implications</w:t>
            </w:r>
          </w:p>
        </w:tc>
      </w:tr>
      <w:tr w:rsidR="004E2854" w:rsidRPr="00FE4251" w:rsidTr="009A6012">
        <w:tc>
          <w:tcPr>
            <w:tcW w:w="1505" w:type="pct"/>
            <w:shd w:val="clear" w:color="auto" w:fill="auto"/>
            <w:vAlign w:val="center"/>
          </w:tcPr>
          <w:p w:rsidR="004E2854" w:rsidRPr="00FE4251" w:rsidRDefault="004E2854" w:rsidP="009A6012">
            <w:pPr>
              <w:keepNext/>
              <w:spacing w:before="0" w:after="0"/>
              <w:rPr>
                <w:rFonts w:ascii="Arial Narrow" w:hAnsi="Arial Narrow"/>
                <w:sz w:val="19"/>
                <w:szCs w:val="19"/>
              </w:rPr>
            </w:pPr>
            <w:r w:rsidRPr="00FE4251">
              <w:rPr>
                <w:rFonts w:ascii="Arial Narrow" w:hAnsi="Arial Narrow"/>
                <w:sz w:val="19"/>
                <w:szCs w:val="19"/>
              </w:rPr>
              <w:t>Net cost to PBS/RPBS</w:t>
            </w:r>
          </w:p>
        </w:tc>
        <w:tc>
          <w:tcPr>
            <w:tcW w:w="582" w:type="pct"/>
            <w:tcBorders>
              <w:bottom w:val="single" w:sz="4" w:space="0" w:color="auto"/>
            </w:tcBorders>
            <w:shd w:val="clear" w:color="auto" w:fill="auto"/>
            <w:vAlign w:val="center"/>
          </w:tcPr>
          <w:p w:rsidR="004E2854" w:rsidRPr="00F01E3E" w:rsidRDefault="00F01E3E" w:rsidP="009A6012">
            <w:pPr>
              <w:keepNext/>
              <w:spacing w:before="0" w:after="0"/>
              <w:jc w:val="center"/>
              <w:rPr>
                <w:rFonts w:ascii="Arial Narrow" w:hAnsi="Arial Narrow"/>
                <w:color w:val="000000"/>
                <w:sz w:val="20"/>
                <w:highlight w:val="black"/>
              </w:rPr>
            </w:pPr>
            <w:r>
              <w:rPr>
                <w:rFonts w:ascii="Arial Narrow" w:hAnsi="Arial Narrow"/>
                <w:noProof/>
                <w:color w:val="000000"/>
                <w:sz w:val="20"/>
                <w:szCs w:val="20"/>
                <w:highlight w:val="black"/>
              </w:rPr>
              <w:t>'''''''''''''''''''''''</w:t>
            </w:r>
          </w:p>
        </w:tc>
        <w:tc>
          <w:tcPr>
            <w:tcW w:w="582" w:type="pct"/>
            <w:tcBorders>
              <w:bottom w:val="single" w:sz="4" w:space="0" w:color="auto"/>
            </w:tcBorders>
            <w:shd w:val="clear" w:color="auto" w:fill="auto"/>
            <w:vAlign w:val="center"/>
          </w:tcPr>
          <w:p w:rsidR="004E2854" w:rsidRPr="00F01E3E" w:rsidRDefault="00F01E3E" w:rsidP="009A6012">
            <w:pPr>
              <w:keepNext/>
              <w:spacing w:before="0" w:after="0"/>
              <w:jc w:val="center"/>
              <w:rPr>
                <w:rFonts w:ascii="Arial Narrow" w:hAnsi="Arial Narrow"/>
                <w:color w:val="000000"/>
                <w:sz w:val="20"/>
                <w:highlight w:val="black"/>
              </w:rPr>
            </w:pPr>
            <w:r>
              <w:rPr>
                <w:rFonts w:ascii="Arial Narrow" w:hAnsi="Arial Narrow"/>
                <w:noProof/>
                <w:color w:val="000000"/>
                <w:sz w:val="20"/>
                <w:szCs w:val="20"/>
                <w:highlight w:val="black"/>
              </w:rPr>
              <w:t>''''''''''''''''''''''''''</w:t>
            </w:r>
          </w:p>
        </w:tc>
        <w:tc>
          <w:tcPr>
            <w:tcW w:w="583" w:type="pct"/>
            <w:tcBorders>
              <w:bottom w:val="single" w:sz="4" w:space="0" w:color="auto"/>
            </w:tcBorders>
            <w:shd w:val="clear" w:color="auto" w:fill="auto"/>
            <w:vAlign w:val="center"/>
          </w:tcPr>
          <w:p w:rsidR="004E2854" w:rsidRPr="00F01E3E" w:rsidRDefault="00F01E3E" w:rsidP="009A6012">
            <w:pPr>
              <w:keepNext/>
              <w:spacing w:before="0" w:after="0"/>
              <w:jc w:val="center"/>
              <w:rPr>
                <w:rFonts w:ascii="Arial Narrow" w:hAnsi="Arial Narrow"/>
                <w:color w:val="000000"/>
                <w:sz w:val="20"/>
                <w:highlight w:val="black"/>
              </w:rPr>
            </w:pPr>
            <w:r>
              <w:rPr>
                <w:rFonts w:ascii="Arial Narrow" w:hAnsi="Arial Narrow"/>
                <w:noProof/>
                <w:color w:val="000000"/>
                <w:sz w:val="20"/>
                <w:szCs w:val="20"/>
                <w:highlight w:val="black"/>
              </w:rPr>
              <w:t>'''''''''''''''''''''''''''''</w:t>
            </w:r>
          </w:p>
        </w:tc>
        <w:tc>
          <w:tcPr>
            <w:tcW w:w="582" w:type="pct"/>
            <w:tcBorders>
              <w:bottom w:val="single" w:sz="4" w:space="0" w:color="auto"/>
            </w:tcBorders>
            <w:shd w:val="clear" w:color="auto" w:fill="auto"/>
            <w:vAlign w:val="center"/>
          </w:tcPr>
          <w:p w:rsidR="004E2854" w:rsidRPr="00F01E3E" w:rsidRDefault="00F01E3E" w:rsidP="009A6012">
            <w:pPr>
              <w:keepNext/>
              <w:spacing w:before="0" w:after="0"/>
              <w:jc w:val="center"/>
              <w:rPr>
                <w:rFonts w:ascii="Arial Narrow" w:hAnsi="Arial Narrow"/>
                <w:color w:val="000000"/>
                <w:sz w:val="20"/>
                <w:highlight w:val="black"/>
              </w:rPr>
            </w:pPr>
            <w:r>
              <w:rPr>
                <w:rFonts w:ascii="Arial Narrow" w:hAnsi="Arial Narrow"/>
                <w:noProof/>
                <w:color w:val="000000"/>
                <w:sz w:val="20"/>
                <w:szCs w:val="20"/>
                <w:highlight w:val="black"/>
              </w:rPr>
              <w:t>''''''''''''''''''''''''''''</w:t>
            </w:r>
          </w:p>
        </w:tc>
        <w:tc>
          <w:tcPr>
            <w:tcW w:w="582" w:type="pct"/>
            <w:tcBorders>
              <w:bottom w:val="single" w:sz="4" w:space="0" w:color="auto"/>
            </w:tcBorders>
            <w:shd w:val="clear" w:color="auto" w:fill="auto"/>
            <w:vAlign w:val="center"/>
          </w:tcPr>
          <w:p w:rsidR="004E2854" w:rsidRPr="00F01E3E" w:rsidRDefault="00F01E3E" w:rsidP="009A6012">
            <w:pPr>
              <w:keepNext/>
              <w:spacing w:before="0" w:after="0"/>
              <w:jc w:val="center"/>
              <w:rPr>
                <w:rFonts w:ascii="Arial Narrow" w:hAnsi="Arial Narrow"/>
                <w:color w:val="000000"/>
                <w:sz w:val="20"/>
                <w:highlight w:val="black"/>
              </w:rPr>
            </w:pPr>
            <w:r>
              <w:rPr>
                <w:rFonts w:ascii="Arial Narrow" w:hAnsi="Arial Narrow"/>
                <w:noProof/>
                <w:color w:val="000000"/>
                <w:sz w:val="20"/>
                <w:szCs w:val="20"/>
                <w:highlight w:val="black"/>
              </w:rPr>
              <w:t>''''''''''''''''''''''''''</w:t>
            </w:r>
          </w:p>
        </w:tc>
        <w:tc>
          <w:tcPr>
            <w:tcW w:w="583" w:type="pct"/>
            <w:tcBorders>
              <w:bottom w:val="single" w:sz="4" w:space="0" w:color="auto"/>
            </w:tcBorders>
            <w:shd w:val="clear" w:color="auto" w:fill="auto"/>
            <w:vAlign w:val="center"/>
          </w:tcPr>
          <w:p w:rsidR="004E2854" w:rsidRPr="00F01E3E" w:rsidRDefault="00F01E3E" w:rsidP="009A6012">
            <w:pPr>
              <w:keepNext/>
              <w:spacing w:before="0" w:after="0"/>
              <w:jc w:val="center"/>
              <w:rPr>
                <w:rFonts w:ascii="Arial Narrow" w:hAnsi="Arial Narrow"/>
                <w:color w:val="000000"/>
                <w:sz w:val="20"/>
                <w:highlight w:val="black"/>
              </w:rPr>
            </w:pPr>
            <w:r>
              <w:rPr>
                <w:rFonts w:ascii="Arial Narrow" w:hAnsi="Arial Narrow"/>
                <w:noProof/>
                <w:color w:val="000000"/>
                <w:sz w:val="20"/>
                <w:szCs w:val="20"/>
                <w:highlight w:val="black"/>
              </w:rPr>
              <w:t>''''''''''''''''''''''''''''''</w:t>
            </w:r>
          </w:p>
        </w:tc>
      </w:tr>
      <w:tr w:rsidR="004E2854" w:rsidRPr="00FE4251" w:rsidTr="009A6012">
        <w:tc>
          <w:tcPr>
            <w:tcW w:w="1505" w:type="pct"/>
            <w:shd w:val="clear" w:color="auto" w:fill="auto"/>
            <w:vAlign w:val="center"/>
          </w:tcPr>
          <w:p w:rsidR="004E2854" w:rsidRPr="00FE4251" w:rsidRDefault="004E2854" w:rsidP="009A6012">
            <w:pPr>
              <w:keepNext/>
              <w:spacing w:before="0" w:after="0"/>
              <w:rPr>
                <w:rFonts w:ascii="Times" w:eastAsia="Times New Roman" w:hAnsi="Times" w:cs="Times New Roman"/>
                <w:sz w:val="20"/>
              </w:rPr>
            </w:pPr>
            <w:r w:rsidRPr="00FE4251">
              <w:rPr>
                <w:rFonts w:ascii="Arial Narrow" w:hAnsi="Arial Narrow"/>
                <w:sz w:val="19"/>
                <w:szCs w:val="19"/>
              </w:rPr>
              <w:t>Net cost to MBS</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3"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2"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3" w:type="pct"/>
            <w:shd w:val="clear" w:color="auto" w:fill="auto"/>
            <w:vAlign w:val="center"/>
          </w:tcPr>
          <w:p w:rsidR="004E2854" w:rsidRPr="00F01E3E" w:rsidRDefault="00F01E3E" w:rsidP="009A6012">
            <w:pPr>
              <w:keepNext/>
              <w:spacing w:before="0" w:after="0"/>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4E2854" w:rsidRPr="00FE4251" w:rsidTr="009A6012">
        <w:tc>
          <w:tcPr>
            <w:tcW w:w="1505" w:type="pct"/>
            <w:shd w:val="clear" w:color="auto" w:fill="auto"/>
            <w:vAlign w:val="center"/>
          </w:tcPr>
          <w:p w:rsidR="004E2854" w:rsidRPr="00FE4251" w:rsidRDefault="004E2854" w:rsidP="009A6012">
            <w:pPr>
              <w:keepNext/>
              <w:spacing w:before="0" w:after="0"/>
              <w:rPr>
                <w:rFonts w:ascii="Arial Narrow" w:hAnsi="Arial Narrow"/>
                <w:sz w:val="19"/>
                <w:szCs w:val="19"/>
              </w:rPr>
            </w:pPr>
            <w:r w:rsidRPr="00FE4251">
              <w:rPr>
                <w:rFonts w:ascii="Arial Narrow" w:hAnsi="Arial Narrow"/>
                <w:sz w:val="19"/>
                <w:szCs w:val="19"/>
              </w:rPr>
              <w:t>Net cost to PBS/RPBS/MBS</w:t>
            </w:r>
          </w:p>
        </w:tc>
        <w:tc>
          <w:tcPr>
            <w:tcW w:w="582" w:type="pct"/>
            <w:tcBorders>
              <w:bottom w:val="single" w:sz="4" w:space="0" w:color="auto"/>
            </w:tcBorders>
            <w:shd w:val="clear" w:color="auto" w:fill="auto"/>
            <w:vAlign w:val="center"/>
          </w:tcPr>
          <w:p w:rsidR="004E2854" w:rsidRPr="00F01E3E" w:rsidRDefault="00F01E3E" w:rsidP="009A6012">
            <w:pPr>
              <w:keepNext/>
              <w:spacing w:before="0" w:after="0"/>
              <w:jc w:val="center"/>
              <w:rPr>
                <w:rFonts w:ascii="Arial Narrow" w:hAnsi="Arial Narrow"/>
                <w:b/>
                <w:bCs/>
                <w:color w:val="000000"/>
                <w:sz w:val="20"/>
                <w:highlight w:val="black"/>
              </w:rPr>
            </w:pPr>
            <w:r>
              <w:rPr>
                <w:rFonts w:ascii="Arial Narrow" w:hAnsi="Arial Narrow"/>
                <w:b/>
                <w:bCs/>
                <w:noProof/>
                <w:color w:val="000000"/>
                <w:sz w:val="20"/>
                <w:szCs w:val="20"/>
                <w:highlight w:val="black"/>
              </w:rPr>
              <w:t>''''''''''''''''''</w:t>
            </w:r>
          </w:p>
        </w:tc>
        <w:tc>
          <w:tcPr>
            <w:tcW w:w="582" w:type="pct"/>
            <w:tcBorders>
              <w:bottom w:val="single" w:sz="4" w:space="0" w:color="auto"/>
            </w:tcBorders>
            <w:shd w:val="clear" w:color="auto" w:fill="auto"/>
            <w:vAlign w:val="center"/>
          </w:tcPr>
          <w:p w:rsidR="004E2854" w:rsidRPr="00F01E3E" w:rsidRDefault="00F01E3E" w:rsidP="009A6012">
            <w:pPr>
              <w:keepNext/>
              <w:spacing w:before="0" w:after="0"/>
              <w:jc w:val="center"/>
              <w:rPr>
                <w:rFonts w:ascii="Arial Narrow" w:hAnsi="Arial Narrow"/>
                <w:b/>
                <w:bCs/>
                <w:color w:val="000000"/>
                <w:sz w:val="20"/>
                <w:highlight w:val="black"/>
              </w:rPr>
            </w:pPr>
            <w:r>
              <w:rPr>
                <w:rFonts w:ascii="Arial Narrow" w:hAnsi="Arial Narrow"/>
                <w:b/>
                <w:bCs/>
                <w:noProof/>
                <w:color w:val="000000"/>
                <w:sz w:val="20"/>
                <w:szCs w:val="20"/>
                <w:highlight w:val="black"/>
              </w:rPr>
              <w:t>'''''''''''''''''''''</w:t>
            </w:r>
          </w:p>
        </w:tc>
        <w:tc>
          <w:tcPr>
            <w:tcW w:w="583" w:type="pct"/>
            <w:tcBorders>
              <w:bottom w:val="single" w:sz="4" w:space="0" w:color="auto"/>
            </w:tcBorders>
            <w:shd w:val="clear" w:color="auto" w:fill="auto"/>
            <w:vAlign w:val="center"/>
          </w:tcPr>
          <w:p w:rsidR="004E2854" w:rsidRPr="00F01E3E" w:rsidRDefault="00F01E3E" w:rsidP="009A6012">
            <w:pPr>
              <w:keepNext/>
              <w:spacing w:before="0" w:after="0"/>
              <w:jc w:val="center"/>
              <w:rPr>
                <w:rFonts w:ascii="Arial Narrow" w:hAnsi="Arial Narrow"/>
                <w:b/>
                <w:bCs/>
                <w:color w:val="000000"/>
                <w:sz w:val="20"/>
                <w:highlight w:val="black"/>
              </w:rPr>
            </w:pPr>
            <w:r>
              <w:rPr>
                <w:rFonts w:ascii="Arial Narrow" w:hAnsi="Arial Narrow"/>
                <w:b/>
                <w:bCs/>
                <w:noProof/>
                <w:color w:val="000000"/>
                <w:sz w:val="20"/>
                <w:szCs w:val="20"/>
                <w:highlight w:val="black"/>
              </w:rPr>
              <w:t>''''''''''''''''''''''''</w:t>
            </w:r>
          </w:p>
        </w:tc>
        <w:tc>
          <w:tcPr>
            <w:tcW w:w="582" w:type="pct"/>
            <w:tcBorders>
              <w:bottom w:val="single" w:sz="4" w:space="0" w:color="auto"/>
            </w:tcBorders>
            <w:shd w:val="clear" w:color="auto" w:fill="auto"/>
            <w:vAlign w:val="center"/>
          </w:tcPr>
          <w:p w:rsidR="004E2854" w:rsidRPr="00F01E3E" w:rsidRDefault="00F01E3E" w:rsidP="009A6012">
            <w:pPr>
              <w:keepNext/>
              <w:spacing w:before="0" w:after="0"/>
              <w:jc w:val="center"/>
              <w:rPr>
                <w:rFonts w:ascii="Arial Narrow" w:hAnsi="Arial Narrow"/>
                <w:b/>
                <w:bCs/>
                <w:color w:val="000000"/>
                <w:sz w:val="20"/>
                <w:highlight w:val="black"/>
              </w:rPr>
            </w:pPr>
            <w:r>
              <w:rPr>
                <w:rFonts w:ascii="Arial Narrow" w:hAnsi="Arial Narrow"/>
                <w:b/>
                <w:bCs/>
                <w:noProof/>
                <w:color w:val="000000"/>
                <w:sz w:val="20"/>
                <w:szCs w:val="20"/>
                <w:highlight w:val="black"/>
              </w:rPr>
              <w:t>''''''''''''''''''''''</w:t>
            </w:r>
          </w:p>
        </w:tc>
        <w:tc>
          <w:tcPr>
            <w:tcW w:w="582" w:type="pct"/>
            <w:tcBorders>
              <w:bottom w:val="single" w:sz="4" w:space="0" w:color="auto"/>
            </w:tcBorders>
            <w:shd w:val="clear" w:color="auto" w:fill="auto"/>
            <w:vAlign w:val="center"/>
          </w:tcPr>
          <w:p w:rsidR="004E2854" w:rsidRPr="00F01E3E" w:rsidRDefault="00F01E3E" w:rsidP="009A6012">
            <w:pPr>
              <w:keepNext/>
              <w:spacing w:before="0" w:after="0"/>
              <w:jc w:val="center"/>
              <w:rPr>
                <w:rFonts w:ascii="Arial Narrow" w:hAnsi="Arial Narrow"/>
                <w:b/>
                <w:bCs/>
                <w:color w:val="000000"/>
                <w:sz w:val="20"/>
                <w:highlight w:val="black"/>
              </w:rPr>
            </w:pPr>
            <w:r>
              <w:rPr>
                <w:rFonts w:ascii="Arial Narrow" w:hAnsi="Arial Narrow"/>
                <w:b/>
                <w:bCs/>
                <w:noProof/>
                <w:color w:val="000000"/>
                <w:sz w:val="20"/>
                <w:szCs w:val="20"/>
                <w:highlight w:val="black"/>
              </w:rPr>
              <w:t>''''''''''''''''''''''''</w:t>
            </w:r>
          </w:p>
        </w:tc>
        <w:tc>
          <w:tcPr>
            <w:tcW w:w="583" w:type="pct"/>
            <w:tcBorders>
              <w:bottom w:val="single" w:sz="4" w:space="0" w:color="auto"/>
            </w:tcBorders>
            <w:shd w:val="clear" w:color="auto" w:fill="auto"/>
            <w:vAlign w:val="center"/>
          </w:tcPr>
          <w:p w:rsidR="004E2854" w:rsidRPr="00F01E3E" w:rsidRDefault="00F01E3E" w:rsidP="009A6012">
            <w:pPr>
              <w:keepNext/>
              <w:spacing w:before="0" w:after="0"/>
              <w:jc w:val="center"/>
              <w:rPr>
                <w:rFonts w:ascii="Arial Narrow" w:hAnsi="Arial Narrow"/>
                <w:b/>
                <w:bCs/>
                <w:color w:val="000000"/>
                <w:sz w:val="20"/>
                <w:highlight w:val="black"/>
              </w:rPr>
            </w:pPr>
            <w:r>
              <w:rPr>
                <w:rFonts w:ascii="Arial Narrow" w:hAnsi="Arial Narrow"/>
                <w:b/>
                <w:bCs/>
                <w:noProof/>
                <w:color w:val="000000"/>
                <w:sz w:val="20"/>
                <w:szCs w:val="20"/>
                <w:highlight w:val="black"/>
              </w:rPr>
              <w:t>'''''''''''''''''''''''</w:t>
            </w:r>
          </w:p>
        </w:tc>
      </w:tr>
    </w:tbl>
    <w:p w:rsidR="004E2854" w:rsidRPr="00FE4251" w:rsidRDefault="004E2854" w:rsidP="009A6012">
      <w:pPr>
        <w:widowControl w:val="0"/>
        <w:spacing w:before="0" w:after="120"/>
        <w:ind w:left="170" w:hanging="170"/>
        <w:contextualSpacing/>
        <w:jc w:val="both"/>
        <w:rPr>
          <w:rFonts w:ascii="Arial Narrow" w:eastAsia="Times New Roman" w:hAnsi="Arial Narrow" w:cs="Arial"/>
          <w:snapToGrid w:val="0"/>
          <w:sz w:val="18"/>
          <w:szCs w:val="20"/>
        </w:rPr>
      </w:pPr>
      <w:proofErr w:type="spellStart"/>
      <w:proofErr w:type="gramStart"/>
      <w:r w:rsidRPr="00FE4251">
        <w:rPr>
          <w:rFonts w:ascii="Arial Narrow" w:eastAsia="Times New Roman" w:hAnsi="Arial Narrow" w:cs="Arial"/>
          <w:snapToGrid w:val="0"/>
          <w:sz w:val="18"/>
          <w:szCs w:val="20"/>
          <w:vertAlign w:val="superscript"/>
        </w:rPr>
        <w:t>a</w:t>
      </w:r>
      <w:proofErr w:type="spellEnd"/>
      <w:proofErr w:type="gramEnd"/>
      <w:r w:rsidR="009A6012" w:rsidRPr="00FE4251">
        <w:rPr>
          <w:rFonts w:ascii="Arial Narrow" w:eastAsia="Times New Roman" w:hAnsi="Arial Narrow" w:cs="Arial"/>
          <w:snapToGrid w:val="0"/>
          <w:sz w:val="18"/>
          <w:szCs w:val="20"/>
          <w:vertAlign w:val="superscript"/>
        </w:rPr>
        <w:tab/>
      </w:r>
      <w:r w:rsidRPr="00FE4251">
        <w:rPr>
          <w:rFonts w:ascii="Arial Narrow" w:eastAsia="Times New Roman" w:hAnsi="Arial Narrow" w:cs="Arial"/>
          <w:snapToGrid w:val="0"/>
          <w:sz w:val="18"/>
          <w:szCs w:val="20"/>
        </w:rPr>
        <w:t xml:space="preserve"> Assuming 7 units (packs)</w:t>
      </w:r>
      <w:r w:rsidR="00C445E2" w:rsidRPr="00FE4251">
        <w:rPr>
          <w:rFonts w:ascii="Arial Narrow" w:eastAsia="Times New Roman" w:hAnsi="Arial Narrow" w:cs="Arial"/>
          <w:snapToGrid w:val="0"/>
          <w:sz w:val="18"/>
          <w:szCs w:val="20"/>
        </w:rPr>
        <w:t xml:space="preserve"> </w:t>
      </w:r>
      <w:r w:rsidRPr="00FE4251">
        <w:rPr>
          <w:rFonts w:ascii="Arial Narrow" w:eastAsia="Times New Roman" w:hAnsi="Arial Narrow" w:cs="Arial"/>
          <w:snapToGrid w:val="0"/>
          <w:sz w:val="18"/>
          <w:szCs w:val="20"/>
        </w:rPr>
        <w:t>per year as estimated by the submission; based on assumption of 3 episodes per year and dosage of 9mg/day during the first 8 weeks and 4.5mg/day for the next 4 weeks.</w:t>
      </w:r>
    </w:p>
    <w:p w:rsidR="004E2854" w:rsidRPr="00FE4251" w:rsidRDefault="004E2854" w:rsidP="004E2854">
      <w:pPr>
        <w:widowControl w:val="0"/>
        <w:spacing w:before="0" w:after="120"/>
        <w:contextualSpacing/>
        <w:jc w:val="both"/>
        <w:rPr>
          <w:rFonts w:ascii="Arial Narrow" w:eastAsia="Times New Roman" w:hAnsi="Arial Narrow" w:cs="Arial"/>
          <w:iCs/>
          <w:snapToGrid w:val="0"/>
          <w:sz w:val="18"/>
          <w:szCs w:val="20"/>
        </w:rPr>
      </w:pPr>
      <w:proofErr w:type="gramStart"/>
      <w:r w:rsidRPr="00FE4251">
        <w:rPr>
          <w:rFonts w:ascii="Arial Narrow" w:eastAsia="Times New Roman" w:hAnsi="Arial Narrow" w:cs="Arial"/>
          <w:iCs/>
          <w:snapToGrid w:val="0"/>
          <w:sz w:val="18"/>
          <w:szCs w:val="20"/>
          <w:vertAlign w:val="superscript"/>
        </w:rPr>
        <w:t>b</w:t>
      </w:r>
      <w:proofErr w:type="gramEnd"/>
      <w:r w:rsidR="009A6012" w:rsidRPr="00FE4251">
        <w:rPr>
          <w:rFonts w:ascii="Arial Narrow" w:eastAsia="Times New Roman" w:hAnsi="Arial Narrow" w:cs="Arial"/>
          <w:iCs/>
          <w:snapToGrid w:val="0"/>
          <w:sz w:val="18"/>
          <w:szCs w:val="20"/>
          <w:vertAlign w:val="superscript"/>
        </w:rPr>
        <w:tab/>
      </w:r>
      <w:r w:rsidRPr="00FE4251">
        <w:rPr>
          <w:rFonts w:ascii="Arial Narrow" w:eastAsia="Times New Roman" w:hAnsi="Arial Narrow" w:cs="Arial"/>
          <w:iCs/>
          <w:snapToGrid w:val="0"/>
          <w:sz w:val="18"/>
          <w:szCs w:val="20"/>
        </w:rPr>
        <w:t xml:space="preserve"> Using only prevalence; incidence was excluded.</w:t>
      </w:r>
    </w:p>
    <w:p w:rsidR="004E2854" w:rsidRPr="00FE4251" w:rsidRDefault="004E2854" w:rsidP="004E2854">
      <w:pPr>
        <w:widowControl w:val="0"/>
        <w:spacing w:before="0" w:after="120"/>
        <w:contextualSpacing/>
        <w:jc w:val="both"/>
        <w:rPr>
          <w:rFonts w:ascii="Arial Narrow" w:eastAsia="Times New Roman" w:hAnsi="Arial Narrow" w:cs="Arial"/>
          <w:snapToGrid w:val="0"/>
          <w:sz w:val="18"/>
          <w:szCs w:val="20"/>
        </w:rPr>
      </w:pPr>
      <w:proofErr w:type="gramStart"/>
      <w:r w:rsidRPr="00FE4251">
        <w:rPr>
          <w:rFonts w:ascii="Arial Narrow" w:eastAsia="Times New Roman" w:hAnsi="Arial Narrow" w:cs="Arial"/>
          <w:snapToGrid w:val="0"/>
          <w:sz w:val="18"/>
          <w:szCs w:val="20"/>
          <w:vertAlign w:val="superscript"/>
        </w:rPr>
        <w:t>c</w:t>
      </w:r>
      <w:proofErr w:type="gramEnd"/>
      <w:r w:rsidRPr="00FE4251">
        <w:rPr>
          <w:rFonts w:ascii="Arial Narrow" w:eastAsia="Times New Roman" w:hAnsi="Arial Narrow" w:cs="Arial"/>
          <w:snapToGrid w:val="0"/>
          <w:sz w:val="18"/>
          <w:szCs w:val="20"/>
        </w:rPr>
        <w:t xml:space="preserve"> </w:t>
      </w:r>
      <w:r w:rsidR="009A6012" w:rsidRPr="00FE4251">
        <w:rPr>
          <w:rFonts w:ascii="Arial Narrow" w:eastAsia="Times New Roman" w:hAnsi="Arial Narrow" w:cs="Arial"/>
          <w:snapToGrid w:val="0"/>
          <w:sz w:val="18"/>
          <w:szCs w:val="20"/>
        </w:rPr>
        <w:tab/>
      </w:r>
      <w:r w:rsidRPr="00FE4251">
        <w:rPr>
          <w:rFonts w:ascii="Arial Narrow" w:eastAsia="Times New Roman" w:hAnsi="Arial Narrow" w:cs="Arial"/>
          <w:iCs/>
          <w:snapToGrid w:val="0"/>
          <w:sz w:val="18"/>
          <w:szCs w:val="20"/>
        </w:rPr>
        <w:t>Assumed DPMQ of $</w:t>
      </w:r>
      <w:r w:rsidR="00F01E3E">
        <w:rPr>
          <w:rFonts w:ascii="Arial Narrow" w:eastAsia="Times New Roman" w:hAnsi="Arial Narrow" w:cs="Arial"/>
          <w:iCs/>
          <w:noProof/>
          <w:snapToGrid w:val="0"/>
          <w:color w:val="000000"/>
          <w:sz w:val="18"/>
          <w:szCs w:val="20"/>
          <w:highlight w:val="black"/>
        </w:rPr>
        <w:t>'''''''''''''''''</w:t>
      </w:r>
      <w:r w:rsidRPr="00FE4251">
        <w:rPr>
          <w:rFonts w:ascii="Arial Narrow" w:eastAsia="Times New Roman" w:hAnsi="Arial Narrow" w:cs="Arial"/>
          <w:iCs/>
          <w:snapToGrid w:val="0"/>
          <w:sz w:val="18"/>
          <w:szCs w:val="20"/>
        </w:rPr>
        <w:t xml:space="preserve"> calculated from the quoted ex-man price in the PB11 form.</w:t>
      </w:r>
    </w:p>
    <w:p w:rsidR="004E2854" w:rsidRPr="00FE4251" w:rsidRDefault="004E2854" w:rsidP="004E2854">
      <w:pPr>
        <w:widowControl w:val="0"/>
        <w:spacing w:before="0" w:after="120"/>
        <w:contextualSpacing/>
        <w:jc w:val="both"/>
        <w:rPr>
          <w:rFonts w:ascii="Arial Narrow" w:eastAsia="Times New Roman" w:hAnsi="Arial Narrow" w:cs="Arial"/>
          <w:snapToGrid w:val="0"/>
          <w:sz w:val="18"/>
          <w:szCs w:val="20"/>
        </w:rPr>
      </w:pPr>
      <w:proofErr w:type="gramStart"/>
      <w:r w:rsidRPr="00FE4251">
        <w:rPr>
          <w:rFonts w:ascii="Arial Narrow" w:eastAsia="Times New Roman" w:hAnsi="Arial Narrow" w:cs="Arial"/>
          <w:snapToGrid w:val="0"/>
          <w:sz w:val="18"/>
          <w:szCs w:val="20"/>
          <w:vertAlign w:val="superscript"/>
        </w:rPr>
        <w:t>d</w:t>
      </w:r>
      <w:proofErr w:type="gramEnd"/>
      <w:r w:rsidRPr="00FE4251">
        <w:rPr>
          <w:rFonts w:ascii="Arial Narrow" w:eastAsia="Times New Roman" w:hAnsi="Arial Narrow" w:cs="Arial"/>
          <w:snapToGrid w:val="0"/>
          <w:sz w:val="18"/>
          <w:szCs w:val="20"/>
          <w:vertAlign w:val="superscript"/>
        </w:rPr>
        <w:t xml:space="preserve"> </w:t>
      </w:r>
      <w:r w:rsidR="009A6012" w:rsidRPr="00FE4251">
        <w:rPr>
          <w:rFonts w:ascii="Arial Narrow" w:eastAsia="Times New Roman" w:hAnsi="Arial Narrow" w:cs="Arial"/>
          <w:snapToGrid w:val="0"/>
          <w:sz w:val="18"/>
          <w:szCs w:val="20"/>
          <w:vertAlign w:val="superscript"/>
        </w:rPr>
        <w:tab/>
      </w:r>
      <w:r w:rsidRPr="00FE4251">
        <w:rPr>
          <w:rFonts w:ascii="Arial Narrow" w:eastAsia="Times New Roman" w:hAnsi="Arial Narrow" w:cs="Arial"/>
          <w:snapToGrid w:val="0"/>
          <w:sz w:val="18"/>
          <w:szCs w:val="20"/>
        </w:rPr>
        <w:t xml:space="preserve">Assuming 3 episodes per year and </w:t>
      </w:r>
      <w:proofErr w:type="spellStart"/>
      <w:r w:rsidRPr="00FE4251">
        <w:rPr>
          <w:rFonts w:ascii="Arial Narrow" w:eastAsia="Times New Roman" w:hAnsi="Arial Narrow" w:cs="Arial"/>
          <w:snapToGrid w:val="0"/>
          <w:sz w:val="18"/>
          <w:szCs w:val="20"/>
        </w:rPr>
        <w:t>mesalazine</w:t>
      </w:r>
      <w:proofErr w:type="spellEnd"/>
      <w:r w:rsidRPr="00FE4251">
        <w:rPr>
          <w:rFonts w:ascii="Arial Narrow" w:eastAsia="Times New Roman" w:hAnsi="Arial Narrow" w:cs="Arial"/>
          <w:snapToGrid w:val="0"/>
          <w:sz w:val="18"/>
          <w:szCs w:val="20"/>
        </w:rPr>
        <w:t xml:space="preserve"> dosage of 4 g/day for a duration of 12 weeks per episode.</w:t>
      </w:r>
    </w:p>
    <w:p w:rsidR="004E2854" w:rsidRPr="00FE4251" w:rsidRDefault="004E2854" w:rsidP="009A6012">
      <w:pPr>
        <w:widowControl w:val="0"/>
        <w:spacing w:before="0" w:after="120"/>
        <w:ind w:left="170" w:hanging="170"/>
        <w:contextualSpacing/>
        <w:jc w:val="both"/>
        <w:rPr>
          <w:rFonts w:ascii="Arial Narrow" w:eastAsia="Times New Roman" w:hAnsi="Arial Narrow" w:cs="Arial"/>
          <w:snapToGrid w:val="0"/>
          <w:sz w:val="18"/>
          <w:szCs w:val="20"/>
        </w:rPr>
      </w:pPr>
      <w:proofErr w:type="gramStart"/>
      <w:r w:rsidRPr="00FE4251">
        <w:rPr>
          <w:rFonts w:ascii="Arial Narrow" w:eastAsia="Times New Roman" w:hAnsi="Arial Narrow" w:cs="Arial"/>
          <w:snapToGrid w:val="0"/>
          <w:sz w:val="18"/>
          <w:szCs w:val="20"/>
          <w:vertAlign w:val="superscript"/>
        </w:rPr>
        <w:t>e</w:t>
      </w:r>
      <w:proofErr w:type="gramEnd"/>
      <w:r w:rsidR="009A6012" w:rsidRPr="00FE4251">
        <w:rPr>
          <w:rFonts w:ascii="Arial Narrow" w:eastAsia="Times New Roman" w:hAnsi="Arial Narrow" w:cs="Arial"/>
          <w:snapToGrid w:val="0"/>
          <w:sz w:val="18"/>
          <w:szCs w:val="20"/>
          <w:vertAlign w:val="superscript"/>
        </w:rPr>
        <w:tab/>
      </w:r>
      <w:r w:rsidRPr="00FE4251">
        <w:rPr>
          <w:rFonts w:ascii="Arial Narrow" w:eastAsia="Times New Roman" w:hAnsi="Arial Narrow" w:cs="Arial"/>
          <w:iCs/>
          <w:snapToGrid w:val="0"/>
          <w:sz w:val="18"/>
          <w:szCs w:val="20"/>
        </w:rPr>
        <w:t xml:space="preserve">Revised numbers by correcting an error, i.e., subtracting co-payment costs for </w:t>
      </w:r>
      <w:proofErr w:type="spellStart"/>
      <w:r w:rsidRPr="00FE4251">
        <w:rPr>
          <w:rFonts w:ascii="Arial Narrow" w:eastAsia="Times New Roman" w:hAnsi="Arial Narrow" w:cs="Arial"/>
          <w:iCs/>
          <w:snapToGrid w:val="0"/>
          <w:sz w:val="18"/>
          <w:szCs w:val="20"/>
        </w:rPr>
        <w:t>mesalazine</w:t>
      </w:r>
      <w:proofErr w:type="spellEnd"/>
      <w:r w:rsidRPr="00FE4251">
        <w:rPr>
          <w:rFonts w:ascii="Arial Narrow" w:eastAsia="Times New Roman" w:hAnsi="Arial Narrow" w:cs="Arial"/>
          <w:iCs/>
          <w:snapToGrid w:val="0"/>
          <w:sz w:val="18"/>
          <w:szCs w:val="20"/>
        </w:rPr>
        <w:t xml:space="preserve"> from total cost of </w:t>
      </w:r>
      <w:proofErr w:type="spellStart"/>
      <w:r w:rsidRPr="00FE4251">
        <w:rPr>
          <w:rFonts w:ascii="Arial Narrow" w:eastAsia="Times New Roman" w:hAnsi="Arial Narrow" w:cs="Arial"/>
          <w:iCs/>
          <w:snapToGrid w:val="0"/>
          <w:sz w:val="18"/>
          <w:szCs w:val="20"/>
        </w:rPr>
        <w:t>mesalazine</w:t>
      </w:r>
      <w:proofErr w:type="spellEnd"/>
      <w:r w:rsidRPr="00FE4251">
        <w:rPr>
          <w:rFonts w:ascii="Arial Narrow" w:eastAsia="Times New Roman" w:hAnsi="Arial Narrow" w:cs="Arial"/>
          <w:iCs/>
          <w:snapToGrid w:val="0"/>
          <w:sz w:val="18"/>
          <w:szCs w:val="20"/>
        </w:rPr>
        <w:t xml:space="preserve">, instead of effectively adding co-payment costs for </w:t>
      </w:r>
      <w:proofErr w:type="spellStart"/>
      <w:r w:rsidRPr="00FE4251">
        <w:rPr>
          <w:rFonts w:ascii="Arial Narrow" w:eastAsia="Times New Roman" w:hAnsi="Arial Narrow" w:cs="Arial"/>
          <w:iCs/>
          <w:snapToGrid w:val="0"/>
          <w:sz w:val="18"/>
          <w:szCs w:val="20"/>
        </w:rPr>
        <w:t>mesalazine</w:t>
      </w:r>
      <w:proofErr w:type="spellEnd"/>
      <w:r w:rsidRPr="00FE4251">
        <w:rPr>
          <w:rFonts w:ascii="Arial Narrow" w:eastAsia="Times New Roman" w:hAnsi="Arial Narrow" w:cs="Arial"/>
          <w:iCs/>
          <w:snapToGrid w:val="0"/>
          <w:sz w:val="18"/>
          <w:szCs w:val="20"/>
        </w:rPr>
        <w:t xml:space="preserve"> onto the total cost of </w:t>
      </w:r>
      <w:proofErr w:type="spellStart"/>
      <w:r w:rsidRPr="00FE4251">
        <w:rPr>
          <w:rFonts w:ascii="Arial Narrow" w:eastAsia="Times New Roman" w:hAnsi="Arial Narrow" w:cs="Arial"/>
          <w:iCs/>
          <w:snapToGrid w:val="0"/>
          <w:sz w:val="18"/>
          <w:szCs w:val="20"/>
        </w:rPr>
        <w:t>mesalazine</w:t>
      </w:r>
      <w:proofErr w:type="spellEnd"/>
      <w:r w:rsidRPr="00FE4251">
        <w:rPr>
          <w:rFonts w:ascii="Arial Narrow" w:eastAsia="Times New Roman" w:hAnsi="Arial Narrow" w:cs="Arial"/>
          <w:iCs/>
          <w:snapToGrid w:val="0"/>
          <w:sz w:val="18"/>
          <w:szCs w:val="20"/>
        </w:rPr>
        <w:t xml:space="preserve"> as done in the submission.</w:t>
      </w:r>
    </w:p>
    <w:p w:rsidR="009C77A7" w:rsidRPr="002950CE" w:rsidRDefault="004E2854" w:rsidP="002950CE">
      <w:pPr>
        <w:widowControl w:val="0"/>
        <w:spacing w:before="0" w:after="120"/>
        <w:contextualSpacing/>
        <w:jc w:val="both"/>
        <w:rPr>
          <w:rFonts w:ascii="Arial Narrow" w:eastAsia="Times New Roman" w:hAnsi="Arial Narrow" w:cs="Arial"/>
          <w:iCs/>
          <w:snapToGrid w:val="0"/>
          <w:sz w:val="18"/>
          <w:szCs w:val="20"/>
        </w:rPr>
      </w:pPr>
      <w:r w:rsidRPr="00FE4251">
        <w:rPr>
          <w:rFonts w:ascii="Arial Narrow" w:eastAsia="Times New Roman" w:hAnsi="Arial Narrow" w:cs="Arial"/>
          <w:iCs/>
          <w:snapToGrid w:val="0"/>
          <w:sz w:val="18"/>
          <w:szCs w:val="20"/>
        </w:rPr>
        <w:t xml:space="preserve">Source: constructed during the evaluation based on Excel file </w:t>
      </w:r>
      <w:proofErr w:type="spellStart"/>
      <w:r w:rsidRPr="00FE4251">
        <w:rPr>
          <w:rFonts w:ascii="Arial Narrow" w:eastAsia="Times New Roman" w:hAnsi="Arial Narrow" w:cs="Arial"/>
          <w:iCs/>
          <w:snapToGrid w:val="0"/>
          <w:sz w:val="18"/>
          <w:szCs w:val="20"/>
        </w:rPr>
        <w:t>Entocort</w:t>
      </w:r>
      <w:proofErr w:type="spellEnd"/>
      <w:r w:rsidRPr="00FE4251">
        <w:rPr>
          <w:rFonts w:ascii="Arial Narrow" w:eastAsia="Times New Roman" w:hAnsi="Arial Narrow" w:cs="Arial"/>
          <w:iCs/>
          <w:snapToGrid w:val="0"/>
          <w:sz w:val="18"/>
          <w:szCs w:val="20"/>
        </w:rPr>
        <w:t xml:space="preserve"> Financial Table Workbook</w:t>
      </w:r>
    </w:p>
    <w:p w:rsidR="00955B84" w:rsidRPr="00FE4251" w:rsidRDefault="00665875" w:rsidP="008435E7">
      <w:pPr>
        <w:pStyle w:val="ListParagraph"/>
        <w:numPr>
          <w:ilvl w:val="1"/>
          <w:numId w:val="1"/>
        </w:numPr>
        <w:spacing w:before="0" w:after="120"/>
        <w:jc w:val="both"/>
      </w:pPr>
      <w:r w:rsidRPr="00FE4251">
        <w:t>At year 6, the estimated number of patients was</w:t>
      </w:r>
      <w:r w:rsidR="008435E7">
        <w:t xml:space="preserve"> </w:t>
      </w:r>
      <w:r w:rsidR="008435E7" w:rsidRPr="0059789D">
        <w:rPr>
          <w:rFonts w:eastAsia="Times New Roman" w:cs="Times New Roman"/>
          <w:szCs w:val="24"/>
          <w:lang w:eastAsia="en-AU"/>
        </w:rPr>
        <w:t>less than 10,000 per year</w:t>
      </w:r>
      <w:r w:rsidRPr="00FE4251">
        <w:t xml:space="preserve"> and the net saving to the PBS would be </w:t>
      </w:r>
      <w:r w:rsidR="008435E7" w:rsidRPr="008435E7">
        <w:t>less than $10 million</w:t>
      </w:r>
      <w:r w:rsidR="00EC2ECB" w:rsidRPr="00FE4251">
        <w:t xml:space="preserve">. </w:t>
      </w:r>
      <w:r w:rsidR="00015943" w:rsidRPr="00FE4251">
        <w:t xml:space="preserve">The net savings to the PBS over the 6 year period was estimated to be </w:t>
      </w:r>
      <w:r w:rsidR="008435E7">
        <w:rPr>
          <w:rFonts w:eastAsia="Times New Roman" w:cs="Times New Roman"/>
          <w:szCs w:val="24"/>
          <w:lang w:eastAsia="en-AU"/>
        </w:rPr>
        <w:t xml:space="preserve">less than </w:t>
      </w:r>
      <w:r w:rsidR="008435E7" w:rsidRPr="0059789D">
        <w:rPr>
          <w:rFonts w:eastAsia="Times New Roman" w:cs="Times New Roman"/>
          <w:szCs w:val="24"/>
          <w:lang w:eastAsia="en-AU"/>
        </w:rPr>
        <w:t>$</w:t>
      </w:r>
      <w:r w:rsidR="008435E7">
        <w:rPr>
          <w:rFonts w:eastAsia="Times New Roman" w:cs="Times New Roman"/>
          <w:szCs w:val="24"/>
          <w:lang w:eastAsia="en-AU"/>
        </w:rPr>
        <w:t>1</w:t>
      </w:r>
      <w:r w:rsidR="008435E7" w:rsidRPr="0059789D">
        <w:rPr>
          <w:rFonts w:eastAsia="Times New Roman" w:cs="Times New Roman"/>
          <w:szCs w:val="24"/>
          <w:lang w:eastAsia="en-AU"/>
        </w:rPr>
        <w:t>0 million</w:t>
      </w:r>
      <w:r w:rsidR="00015943" w:rsidRPr="00FE4251">
        <w:t>.</w:t>
      </w:r>
    </w:p>
    <w:p w:rsidR="000304DD" w:rsidRPr="00FE4251" w:rsidRDefault="009A6012" w:rsidP="00EF202C">
      <w:pPr>
        <w:pStyle w:val="ListParagraph"/>
        <w:numPr>
          <w:ilvl w:val="1"/>
          <w:numId w:val="1"/>
        </w:numPr>
        <w:spacing w:before="0" w:after="120"/>
        <w:jc w:val="both"/>
      </w:pPr>
      <w:r w:rsidRPr="00FE4251">
        <w:t xml:space="preserve">Critically, the submission’s estimates </w:t>
      </w:r>
      <w:r w:rsidR="00C33883" w:rsidRPr="00FE4251">
        <w:t xml:space="preserve">assumed budesonide will only replace </w:t>
      </w:r>
      <w:proofErr w:type="spellStart"/>
      <w:r w:rsidR="00C33883" w:rsidRPr="00FE4251">
        <w:t>mesalazine</w:t>
      </w:r>
      <w:proofErr w:type="spellEnd"/>
      <w:r w:rsidR="00C33883" w:rsidRPr="00FE4251">
        <w:t xml:space="preserve">.  </w:t>
      </w:r>
      <w:r w:rsidR="0025058A" w:rsidRPr="00FE4251">
        <w:t>The PBAC considered t</w:t>
      </w:r>
      <w:r w:rsidR="00C33883" w:rsidRPr="00FE4251">
        <w:t xml:space="preserve">his </w:t>
      </w:r>
      <w:r w:rsidR="0025058A" w:rsidRPr="00FE4251">
        <w:t>wa</w:t>
      </w:r>
      <w:r w:rsidR="00C33883" w:rsidRPr="00FE4251">
        <w:t>s unreasonable</w:t>
      </w:r>
      <w:r w:rsidR="004B5811" w:rsidRPr="00FE4251">
        <w:t xml:space="preserve"> as</w:t>
      </w:r>
      <w:r w:rsidR="00C33883" w:rsidRPr="00FE4251">
        <w:t xml:space="preserve"> budesonide is more likely to replace oral prednisolone (</w:t>
      </w:r>
      <w:r w:rsidR="004B5811" w:rsidRPr="00FE4251">
        <w:t>or a similar oral corticosteroid</w:t>
      </w:r>
      <w:r w:rsidR="00C33883" w:rsidRPr="00FE4251">
        <w:t>) if it is</w:t>
      </w:r>
      <w:r w:rsidR="00111D72" w:rsidRPr="00FE4251">
        <w:t xml:space="preserve"> listed on the PBS as requested.  </w:t>
      </w:r>
      <w:r w:rsidRPr="00FE4251">
        <w:t>This has significant im</w:t>
      </w:r>
      <w:r w:rsidR="00111D72" w:rsidRPr="00FE4251">
        <w:t>pact on the financial estimates</w:t>
      </w:r>
      <w:r w:rsidRPr="00FE4251">
        <w:t xml:space="preserve">.  </w:t>
      </w:r>
      <w:r w:rsidR="00111D72" w:rsidRPr="00FE4251">
        <w:t>Instead of net savings, i</w:t>
      </w:r>
      <w:r w:rsidRPr="00FE4251">
        <w:t xml:space="preserve">t is very likely that </w:t>
      </w:r>
      <w:r w:rsidR="00111D72" w:rsidRPr="00FE4251">
        <w:t xml:space="preserve">listing of budesonide will lead to </w:t>
      </w:r>
      <w:r w:rsidRPr="00FE4251">
        <w:t xml:space="preserve">significant net costs to the </w:t>
      </w:r>
      <w:r w:rsidR="00CE6541" w:rsidRPr="00FE4251">
        <w:t>PBS</w:t>
      </w:r>
      <w:r w:rsidR="00111D72" w:rsidRPr="00FE4251">
        <w:t>.  C</w:t>
      </w:r>
      <w:r w:rsidRPr="00FE4251">
        <w:t>ost offsets associated with displacing prednisolone would be negligible</w:t>
      </w:r>
      <w:r w:rsidR="00111D72" w:rsidRPr="00FE4251">
        <w:t xml:space="preserve"> compared to the large</w:t>
      </w:r>
      <w:r w:rsidRPr="00FE4251">
        <w:t xml:space="preserve"> </w:t>
      </w:r>
      <w:r w:rsidR="00111D72" w:rsidRPr="00FE4251">
        <w:t xml:space="preserve">cost </w:t>
      </w:r>
      <w:r w:rsidRPr="00FE4251">
        <w:t xml:space="preserve">offsets </w:t>
      </w:r>
      <w:r w:rsidR="00111D72" w:rsidRPr="00FE4251">
        <w:t xml:space="preserve">assumed for </w:t>
      </w:r>
      <w:proofErr w:type="spellStart"/>
      <w:r w:rsidR="00111D72" w:rsidRPr="00FE4251">
        <w:t>mesalazine</w:t>
      </w:r>
      <w:proofErr w:type="spellEnd"/>
      <w:r w:rsidR="00111D72" w:rsidRPr="00FE4251">
        <w:t xml:space="preserve"> by the submission.  T</w:t>
      </w:r>
      <w:r w:rsidRPr="00FE4251">
        <w:t>he net cost to</w:t>
      </w:r>
      <w:r w:rsidR="00111D72" w:rsidRPr="00FE4251">
        <w:t xml:space="preserve"> the</w:t>
      </w:r>
      <w:r w:rsidRPr="00FE4251">
        <w:t xml:space="preserve"> PB</w:t>
      </w:r>
      <w:r w:rsidR="00111D72" w:rsidRPr="00FE4251">
        <w:t>S</w:t>
      </w:r>
      <w:r w:rsidRPr="00FE4251">
        <w:t xml:space="preserve"> for the first 6 years of listing would be approximately </w:t>
      </w:r>
      <w:r w:rsidR="00EF202C" w:rsidRPr="00EF202C">
        <w:t xml:space="preserve">$30 – $60 million </w:t>
      </w:r>
      <w:r w:rsidRPr="00FE4251">
        <w:t xml:space="preserve">rather than the estimated cost saving of approximately </w:t>
      </w:r>
      <w:r w:rsidR="00EF202C">
        <w:rPr>
          <w:rFonts w:eastAsia="Times New Roman" w:cs="Times New Roman"/>
          <w:szCs w:val="24"/>
          <w:lang w:eastAsia="en-AU"/>
        </w:rPr>
        <w:t xml:space="preserve">less than </w:t>
      </w:r>
      <w:r w:rsidR="00EF202C" w:rsidRPr="0059789D">
        <w:rPr>
          <w:rFonts w:eastAsia="Times New Roman" w:cs="Times New Roman"/>
          <w:szCs w:val="24"/>
          <w:lang w:eastAsia="en-AU"/>
        </w:rPr>
        <w:t>$</w:t>
      </w:r>
      <w:r w:rsidR="00EF202C">
        <w:rPr>
          <w:rFonts w:eastAsia="Times New Roman" w:cs="Times New Roman"/>
          <w:szCs w:val="24"/>
          <w:lang w:eastAsia="en-AU"/>
        </w:rPr>
        <w:t>1</w:t>
      </w:r>
      <w:r w:rsidR="00EF202C" w:rsidRPr="0059789D">
        <w:rPr>
          <w:rFonts w:eastAsia="Times New Roman" w:cs="Times New Roman"/>
          <w:szCs w:val="24"/>
          <w:lang w:eastAsia="en-AU"/>
        </w:rPr>
        <w:t xml:space="preserve">0 </w:t>
      </w:r>
      <w:proofErr w:type="gramStart"/>
      <w:r w:rsidR="00EF202C" w:rsidRPr="0059789D">
        <w:rPr>
          <w:rFonts w:eastAsia="Times New Roman" w:cs="Times New Roman"/>
          <w:szCs w:val="24"/>
          <w:lang w:eastAsia="en-AU"/>
        </w:rPr>
        <w:t>million</w:t>
      </w:r>
      <w:r w:rsidR="00EF202C" w:rsidRPr="00EF202C" w:rsidDel="00EF202C">
        <w:t xml:space="preserve"> </w:t>
      </w:r>
      <w:r w:rsidRPr="00FE4251">
        <w:t>.</w:t>
      </w:r>
      <w:proofErr w:type="gramEnd"/>
      <w:r w:rsidR="004C23BA" w:rsidRPr="00FE4251">
        <w:t xml:space="preserve"> </w:t>
      </w:r>
    </w:p>
    <w:p w:rsidR="001A49DD" w:rsidRPr="00FE4251" w:rsidRDefault="001A49DD" w:rsidP="002F2BCC">
      <w:pPr>
        <w:pStyle w:val="ListParagraph"/>
        <w:spacing w:before="0" w:after="120"/>
        <w:ind w:left="510" w:firstLine="78"/>
        <w:jc w:val="both"/>
        <w:rPr>
          <w:b/>
          <w:i/>
          <w:szCs w:val="24"/>
        </w:rPr>
      </w:pPr>
      <w:r w:rsidRPr="00FE4251">
        <w:rPr>
          <w:i/>
          <w:szCs w:val="24"/>
        </w:rPr>
        <w:t>For more detail on PBAC’s view, see section 7 PBAC outcome</w:t>
      </w:r>
    </w:p>
    <w:p w:rsidR="0066197C" w:rsidRPr="00FE4251" w:rsidRDefault="0066197C" w:rsidP="0066197C">
      <w:pPr>
        <w:pStyle w:val="Heading1"/>
        <w:numPr>
          <w:ilvl w:val="0"/>
          <w:numId w:val="1"/>
        </w:numPr>
        <w:ind w:left="709" w:hanging="709"/>
        <w:rPr>
          <w:rFonts w:cs="Arial"/>
          <w:b w:val="0"/>
          <w:bCs/>
          <w:snapToGrid w:val="0"/>
        </w:rPr>
      </w:pPr>
      <w:r w:rsidRPr="00FE4251">
        <w:t>PBAC</w:t>
      </w:r>
      <w:r w:rsidRPr="00FE4251">
        <w:rPr>
          <w:rFonts w:cs="Arial"/>
          <w:bCs/>
          <w:snapToGrid w:val="0"/>
        </w:rPr>
        <w:t xml:space="preserve"> Outcome</w:t>
      </w:r>
    </w:p>
    <w:p w:rsidR="00604BFD" w:rsidRPr="00FE4251" w:rsidRDefault="00604BFD" w:rsidP="00C71AF6">
      <w:pPr>
        <w:pStyle w:val="ListParagraph"/>
        <w:numPr>
          <w:ilvl w:val="1"/>
          <w:numId w:val="1"/>
        </w:numPr>
        <w:spacing w:before="0" w:after="120"/>
        <w:ind w:left="567" w:hanging="567"/>
        <w:jc w:val="both"/>
        <w:rPr>
          <w:rFonts w:cs="Arial"/>
          <w:bCs/>
          <w:snapToGrid w:val="0"/>
          <w:lang w:val="en-GB"/>
        </w:rPr>
      </w:pPr>
      <w:r w:rsidRPr="00FE4251">
        <w:rPr>
          <w:rFonts w:cs="Arial"/>
          <w:bCs/>
          <w:snapToGrid w:val="0"/>
          <w:lang w:val="en-GB"/>
        </w:rPr>
        <w:t>The PBAC did not recommend the listing</w:t>
      </w:r>
      <w:r w:rsidR="00FA31E3" w:rsidRPr="00FE4251">
        <w:rPr>
          <w:rFonts w:cs="Arial"/>
          <w:bCs/>
          <w:snapToGrid w:val="0"/>
          <w:lang w:val="en-GB"/>
        </w:rPr>
        <w:t xml:space="preserve"> of</w:t>
      </w:r>
      <w:r w:rsidRPr="00FE4251">
        <w:rPr>
          <w:rFonts w:cs="Arial"/>
          <w:bCs/>
          <w:snapToGrid w:val="0"/>
          <w:lang w:val="en-GB"/>
        </w:rPr>
        <w:t xml:space="preserve"> </w:t>
      </w:r>
      <w:r w:rsidR="00FA31E3" w:rsidRPr="00FE4251">
        <w:rPr>
          <w:rFonts w:cs="Arial"/>
          <w:bCs/>
          <w:snapToGrid w:val="0"/>
          <w:lang w:val="en-GB"/>
        </w:rPr>
        <w:t>budesonide</w:t>
      </w:r>
      <w:r w:rsidR="00111E57" w:rsidRPr="00FE4251">
        <w:t xml:space="preserve"> </w:t>
      </w:r>
      <w:r w:rsidR="00111E57" w:rsidRPr="00FE4251">
        <w:rPr>
          <w:rFonts w:cs="Arial"/>
          <w:bCs/>
          <w:snapToGrid w:val="0"/>
          <w:lang w:val="en-GB"/>
        </w:rPr>
        <w:t>capsule (modified release) 3</w:t>
      </w:r>
      <w:r w:rsidR="00C71AF6" w:rsidRPr="00FE4251">
        <w:rPr>
          <w:rFonts w:cs="Arial"/>
          <w:bCs/>
          <w:snapToGrid w:val="0"/>
          <w:lang w:val="en-GB"/>
        </w:rPr>
        <w:t> </w:t>
      </w:r>
      <w:r w:rsidR="00111E57" w:rsidRPr="00FE4251">
        <w:rPr>
          <w:rFonts w:cs="Arial"/>
          <w:bCs/>
          <w:snapToGrid w:val="0"/>
          <w:lang w:val="en-GB"/>
        </w:rPr>
        <w:t>mg</w:t>
      </w:r>
      <w:r w:rsidR="00FA31E3" w:rsidRPr="00FE4251">
        <w:rPr>
          <w:rFonts w:cs="Arial"/>
          <w:bCs/>
          <w:snapToGrid w:val="0"/>
          <w:lang w:val="en-GB"/>
        </w:rPr>
        <w:t xml:space="preserve"> </w:t>
      </w:r>
      <w:r w:rsidR="00E325CA" w:rsidRPr="00FE4251">
        <w:rPr>
          <w:rFonts w:cs="Arial"/>
          <w:bCs/>
          <w:snapToGrid w:val="0"/>
          <w:lang w:val="en-GB"/>
        </w:rPr>
        <w:t>for treatment of mild to moderate CD affecting the ileum and/or the ascending colon on the basis that the nominated comparator was not appropriate</w:t>
      </w:r>
      <w:r w:rsidR="00AD5332" w:rsidRPr="00FE4251">
        <w:rPr>
          <w:rFonts w:cs="Arial"/>
          <w:bCs/>
          <w:snapToGrid w:val="0"/>
          <w:lang w:val="en-GB"/>
        </w:rPr>
        <w:t>, and that cost-effectiveness against the appropriate comparator had not been established</w:t>
      </w:r>
      <w:r w:rsidR="00E325CA" w:rsidRPr="00FE4251">
        <w:rPr>
          <w:rFonts w:cs="Arial"/>
          <w:bCs/>
          <w:snapToGrid w:val="0"/>
          <w:lang w:val="en-GB"/>
        </w:rPr>
        <w:t xml:space="preserve">. </w:t>
      </w:r>
    </w:p>
    <w:p w:rsidR="009C1D68" w:rsidRPr="00FE4251" w:rsidRDefault="00512126" w:rsidP="00996AF5">
      <w:pPr>
        <w:pStyle w:val="ListParagraph"/>
        <w:numPr>
          <w:ilvl w:val="1"/>
          <w:numId w:val="1"/>
        </w:numPr>
        <w:spacing w:before="0" w:after="120"/>
        <w:jc w:val="both"/>
        <w:rPr>
          <w:rFonts w:cs="Arial"/>
          <w:bCs/>
          <w:snapToGrid w:val="0"/>
          <w:lang w:val="en-GB"/>
        </w:rPr>
      </w:pPr>
      <w:r w:rsidRPr="00FE4251">
        <w:rPr>
          <w:rFonts w:cs="Arial"/>
          <w:bCs/>
          <w:snapToGrid w:val="0"/>
          <w:lang w:val="en-GB"/>
        </w:rPr>
        <w:t>The PBAC noted the submission proposed the place of therapy of budesonide is in mild to moderate CD. The PBAC agreed with the submissi</w:t>
      </w:r>
      <w:r w:rsidR="00DE7D5E" w:rsidRPr="00FE4251">
        <w:rPr>
          <w:rFonts w:cs="Arial"/>
          <w:bCs/>
          <w:snapToGrid w:val="0"/>
          <w:lang w:val="en-GB"/>
        </w:rPr>
        <w:t xml:space="preserve">on that </w:t>
      </w:r>
      <w:r w:rsidR="00CB23E7" w:rsidRPr="00FE4251">
        <w:rPr>
          <w:rFonts w:cs="Arial"/>
          <w:bCs/>
          <w:snapToGrid w:val="0"/>
          <w:lang w:val="en-GB"/>
        </w:rPr>
        <w:t xml:space="preserve">budesonide is likely to be used in first or second line treatment of mild to moderate CD. </w:t>
      </w:r>
      <w:r w:rsidR="006C114C" w:rsidRPr="00FE4251">
        <w:rPr>
          <w:rFonts w:cs="Arial"/>
          <w:bCs/>
          <w:snapToGrid w:val="0"/>
          <w:lang w:val="en-GB"/>
        </w:rPr>
        <w:t xml:space="preserve">However, the PBAC considered the submissions assumption that 5-ASAs will be used first, with budesonide tried after sulfasalazine but before </w:t>
      </w:r>
      <w:proofErr w:type="spellStart"/>
      <w:r w:rsidR="006C114C" w:rsidRPr="00FE4251">
        <w:rPr>
          <w:rFonts w:cs="Arial"/>
          <w:bCs/>
          <w:snapToGrid w:val="0"/>
          <w:lang w:val="en-GB"/>
        </w:rPr>
        <w:t>mesalazine</w:t>
      </w:r>
      <w:proofErr w:type="spellEnd"/>
      <w:r w:rsidR="006C114C" w:rsidRPr="00FE4251">
        <w:rPr>
          <w:rFonts w:cs="Arial"/>
          <w:bCs/>
          <w:snapToGrid w:val="0"/>
          <w:lang w:val="en-GB"/>
        </w:rPr>
        <w:t xml:space="preserve">, unlikely to reflect current clinical practice.  </w:t>
      </w:r>
    </w:p>
    <w:p w:rsidR="00391038" w:rsidRPr="00FE4251" w:rsidRDefault="00642957" w:rsidP="00996AF5">
      <w:pPr>
        <w:pStyle w:val="ListParagraph"/>
        <w:numPr>
          <w:ilvl w:val="1"/>
          <w:numId w:val="1"/>
        </w:numPr>
        <w:spacing w:before="0" w:after="120"/>
        <w:jc w:val="both"/>
        <w:rPr>
          <w:rFonts w:cs="Arial"/>
          <w:bCs/>
          <w:snapToGrid w:val="0"/>
          <w:lang w:val="en-GB"/>
        </w:rPr>
      </w:pPr>
      <w:r w:rsidRPr="00FE4251">
        <w:rPr>
          <w:rFonts w:cs="Arial"/>
          <w:bCs/>
          <w:snapToGrid w:val="0"/>
          <w:lang w:val="en-GB"/>
        </w:rPr>
        <w:t>The P</w:t>
      </w:r>
      <w:r w:rsidR="00FA4CFA" w:rsidRPr="00FE4251">
        <w:rPr>
          <w:rFonts w:cs="Arial"/>
          <w:bCs/>
          <w:snapToGrid w:val="0"/>
          <w:lang w:val="en-GB"/>
        </w:rPr>
        <w:t>BAC noted</w:t>
      </w:r>
      <w:r w:rsidRPr="00FE4251">
        <w:rPr>
          <w:rFonts w:cs="Arial"/>
          <w:bCs/>
          <w:snapToGrid w:val="0"/>
          <w:lang w:val="en-GB"/>
        </w:rPr>
        <w:t xml:space="preserve"> that 5-ASAs such as </w:t>
      </w:r>
      <w:proofErr w:type="spellStart"/>
      <w:r w:rsidRPr="00FE4251">
        <w:rPr>
          <w:rFonts w:cs="Arial"/>
          <w:bCs/>
          <w:snapToGrid w:val="0"/>
          <w:lang w:val="en-GB"/>
        </w:rPr>
        <w:t>mesalazine</w:t>
      </w:r>
      <w:proofErr w:type="spellEnd"/>
      <w:r w:rsidRPr="00FE4251">
        <w:rPr>
          <w:rFonts w:cs="Arial"/>
          <w:bCs/>
          <w:snapToGrid w:val="0"/>
          <w:lang w:val="en-GB"/>
        </w:rPr>
        <w:t xml:space="preserve"> were previously used in CD </w:t>
      </w:r>
      <w:r w:rsidR="00D8561B" w:rsidRPr="00FE4251">
        <w:rPr>
          <w:rFonts w:cs="Arial"/>
          <w:bCs/>
          <w:snapToGrid w:val="0"/>
          <w:lang w:val="en-GB"/>
        </w:rPr>
        <w:t>and i</w:t>
      </w:r>
      <w:r w:rsidRPr="00FE4251">
        <w:rPr>
          <w:rFonts w:cs="Arial"/>
          <w:bCs/>
          <w:snapToGrid w:val="0"/>
          <w:lang w:val="en-GB"/>
        </w:rPr>
        <w:t>n 2013 were included in Australian guideline recommendations</w:t>
      </w:r>
      <w:r w:rsidR="00905D0F" w:rsidRPr="00FE4251">
        <w:rPr>
          <w:rFonts w:cs="Arial"/>
          <w:bCs/>
          <w:snapToGrid w:val="0"/>
          <w:lang w:val="en-GB"/>
        </w:rPr>
        <w:t xml:space="preserve">. </w:t>
      </w:r>
      <w:r w:rsidR="00FA4CFA" w:rsidRPr="00FE4251">
        <w:rPr>
          <w:rFonts w:cs="Arial"/>
          <w:bCs/>
          <w:snapToGrid w:val="0"/>
          <w:lang w:val="en-GB"/>
        </w:rPr>
        <w:t xml:space="preserve">However, the PBAC noted that the 2013 guideline </w:t>
      </w:r>
      <w:r w:rsidR="00593A2D" w:rsidRPr="00FE4251">
        <w:rPr>
          <w:rFonts w:cs="Arial"/>
          <w:bCs/>
          <w:snapToGrid w:val="0"/>
          <w:lang w:val="en-GB"/>
        </w:rPr>
        <w:t>is</w:t>
      </w:r>
      <w:r w:rsidR="00FA4CFA" w:rsidRPr="00FE4251">
        <w:rPr>
          <w:rFonts w:cs="Arial"/>
          <w:bCs/>
          <w:snapToGrid w:val="0"/>
          <w:lang w:val="en-GB"/>
        </w:rPr>
        <w:t xml:space="preserve"> due to be updated in 2017. </w:t>
      </w:r>
      <w:r w:rsidR="00391038" w:rsidRPr="00FE4251">
        <w:rPr>
          <w:rFonts w:cs="Arial"/>
          <w:bCs/>
          <w:snapToGrid w:val="0"/>
          <w:lang w:val="en-GB"/>
        </w:rPr>
        <w:t>The PBAC</w:t>
      </w:r>
      <w:r w:rsidR="00FA4CFA" w:rsidRPr="00FE4251">
        <w:rPr>
          <w:rFonts w:cs="Arial"/>
          <w:bCs/>
          <w:snapToGrid w:val="0"/>
          <w:lang w:val="en-GB"/>
        </w:rPr>
        <w:t xml:space="preserve"> also</w:t>
      </w:r>
      <w:r w:rsidR="00391038" w:rsidRPr="00FE4251">
        <w:rPr>
          <w:rFonts w:cs="Arial"/>
          <w:bCs/>
          <w:snapToGrid w:val="0"/>
          <w:lang w:val="en-GB"/>
        </w:rPr>
        <w:t xml:space="preserve"> </w:t>
      </w:r>
      <w:r w:rsidR="00CB23E7" w:rsidRPr="00FE4251">
        <w:rPr>
          <w:rFonts w:cs="Arial"/>
          <w:bCs/>
          <w:snapToGrid w:val="0"/>
          <w:lang w:val="en-GB"/>
        </w:rPr>
        <w:t xml:space="preserve">noted </w:t>
      </w:r>
      <w:r w:rsidR="00FA4CFA" w:rsidRPr="00FE4251">
        <w:rPr>
          <w:rFonts w:cs="Arial"/>
          <w:bCs/>
          <w:snapToGrid w:val="0"/>
          <w:lang w:val="en-GB"/>
        </w:rPr>
        <w:t xml:space="preserve">that </w:t>
      </w:r>
      <w:r w:rsidR="008329F9" w:rsidRPr="00FE4251">
        <w:rPr>
          <w:rFonts w:cs="Arial"/>
          <w:bCs/>
          <w:snapToGrid w:val="0"/>
          <w:lang w:val="en-GB"/>
        </w:rPr>
        <w:t>evidence on lack of effica</w:t>
      </w:r>
      <w:r w:rsidR="00FA4CFA" w:rsidRPr="00FE4251">
        <w:rPr>
          <w:rFonts w:cs="Arial"/>
          <w:bCs/>
          <w:snapToGrid w:val="0"/>
          <w:lang w:val="en-GB"/>
        </w:rPr>
        <w:t>cy of 5-ASAs</w:t>
      </w:r>
      <w:r w:rsidR="008329F9" w:rsidRPr="00FE4251">
        <w:rPr>
          <w:rFonts w:cs="Arial"/>
          <w:bCs/>
          <w:snapToGrid w:val="0"/>
          <w:lang w:val="en-GB"/>
        </w:rPr>
        <w:t xml:space="preserve"> in CD </w:t>
      </w:r>
      <w:r w:rsidR="00FA4CFA" w:rsidRPr="00FE4251">
        <w:rPr>
          <w:rFonts w:cs="Arial"/>
          <w:bCs/>
          <w:snapToGrid w:val="0"/>
          <w:lang w:val="en-GB"/>
        </w:rPr>
        <w:t xml:space="preserve">had emerged in recent years </w:t>
      </w:r>
      <w:r w:rsidR="008329F9" w:rsidRPr="00FE4251">
        <w:rPr>
          <w:rFonts w:cs="Arial"/>
          <w:bCs/>
          <w:snapToGrid w:val="0"/>
          <w:lang w:val="en-GB"/>
        </w:rPr>
        <w:t>(Lim 201</w:t>
      </w:r>
      <w:r w:rsidR="00FA4CFA" w:rsidRPr="00FE4251">
        <w:rPr>
          <w:rFonts w:cs="Arial"/>
          <w:bCs/>
          <w:snapToGrid w:val="0"/>
          <w:lang w:val="en-GB"/>
        </w:rPr>
        <w:t xml:space="preserve">6 Cochrane review) and that they </w:t>
      </w:r>
      <w:r w:rsidR="00F444E4" w:rsidRPr="00FE4251">
        <w:rPr>
          <w:rFonts w:cs="Arial"/>
          <w:bCs/>
          <w:snapToGrid w:val="0"/>
          <w:lang w:val="en-GB"/>
        </w:rPr>
        <w:t xml:space="preserve">were not recommended by </w:t>
      </w:r>
      <w:r w:rsidR="00C4438E" w:rsidRPr="00FE4251">
        <w:rPr>
          <w:rFonts w:cs="Arial"/>
          <w:bCs/>
          <w:snapToGrid w:val="0"/>
          <w:lang w:val="en-GB"/>
        </w:rPr>
        <w:t xml:space="preserve">recent </w:t>
      </w:r>
      <w:r w:rsidR="00F444E4" w:rsidRPr="00FE4251">
        <w:rPr>
          <w:rFonts w:cs="Arial"/>
          <w:bCs/>
          <w:snapToGrid w:val="0"/>
          <w:lang w:val="en-GB"/>
        </w:rPr>
        <w:t>Australian guidelines</w:t>
      </w:r>
      <w:r w:rsidR="008329F9" w:rsidRPr="00FE4251">
        <w:rPr>
          <w:rFonts w:cs="Arial"/>
          <w:bCs/>
          <w:snapToGrid w:val="0"/>
          <w:lang w:val="en-GB"/>
        </w:rPr>
        <w:t xml:space="preserve"> </w:t>
      </w:r>
      <w:r w:rsidR="00F444E4" w:rsidRPr="00FE4251">
        <w:rPr>
          <w:rFonts w:cs="Arial"/>
          <w:bCs/>
          <w:snapToGrid w:val="0"/>
          <w:lang w:val="en-GB"/>
        </w:rPr>
        <w:t>(</w:t>
      </w:r>
      <w:proofErr w:type="spellStart"/>
      <w:r w:rsidR="00F444E4" w:rsidRPr="00FE4251">
        <w:rPr>
          <w:rFonts w:cs="Arial"/>
          <w:bCs/>
          <w:snapToGrid w:val="0"/>
          <w:lang w:val="en-GB"/>
        </w:rPr>
        <w:t>eTG</w:t>
      </w:r>
      <w:proofErr w:type="spellEnd"/>
      <w:r w:rsidR="00F444E4" w:rsidRPr="00FE4251">
        <w:rPr>
          <w:rFonts w:cs="Arial"/>
          <w:bCs/>
          <w:snapToGrid w:val="0"/>
          <w:lang w:val="en-GB"/>
        </w:rPr>
        <w:t xml:space="preserve"> July 2017 edition) </w:t>
      </w:r>
      <w:r w:rsidR="008329F9" w:rsidRPr="00FE4251">
        <w:rPr>
          <w:rFonts w:cs="Arial"/>
          <w:bCs/>
          <w:snapToGrid w:val="0"/>
          <w:lang w:val="en-GB"/>
        </w:rPr>
        <w:t xml:space="preserve">while oral corticosteroids and budesonide were. </w:t>
      </w:r>
      <w:r w:rsidR="006A1BB5" w:rsidRPr="00FE4251">
        <w:rPr>
          <w:rFonts w:cs="Arial"/>
          <w:bCs/>
          <w:snapToGrid w:val="0"/>
          <w:lang w:val="en-GB"/>
        </w:rPr>
        <w:t>The PBAC considered that while the</w:t>
      </w:r>
      <w:r w:rsidR="00943069" w:rsidRPr="00FE4251">
        <w:rPr>
          <w:rFonts w:cs="Arial"/>
          <w:bCs/>
          <w:snapToGrid w:val="0"/>
          <w:lang w:val="en-GB"/>
        </w:rPr>
        <w:t xml:space="preserve"> survey of five gastroenterologists presented in the submission indicates some use of 5-ASAs may continue</w:t>
      </w:r>
      <w:r w:rsidR="005A1D7E" w:rsidRPr="00FE4251">
        <w:rPr>
          <w:rFonts w:cs="Arial"/>
          <w:bCs/>
          <w:snapToGrid w:val="0"/>
          <w:lang w:val="en-GB"/>
        </w:rPr>
        <w:t>,</w:t>
      </w:r>
      <w:r w:rsidR="00943069" w:rsidRPr="00FE4251">
        <w:rPr>
          <w:rFonts w:cs="Arial"/>
          <w:bCs/>
          <w:snapToGrid w:val="0"/>
          <w:lang w:val="en-GB"/>
        </w:rPr>
        <w:t xml:space="preserve"> the recommendations </w:t>
      </w:r>
      <w:r w:rsidR="006A1BB5" w:rsidRPr="00FE4251">
        <w:rPr>
          <w:rFonts w:cs="Arial"/>
          <w:bCs/>
          <w:snapToGrid w:val="0"/>
          <w:lang w:val="en-GB"/>
        </w:rPr>
        <w:t xml:space="preserve">of current Australian </w:t>
      </w:r>
      <w:r w:rsidR="006A1BB5" w:rsidRPr="00FE4251">
        <w:t>guidelines (</w:t>
      </w:r>
      <w:proofErr w:type="spellStart"/>
      <w:r w:rsidR="006A1BB5" w:rsidRPr="00FE4251">
        <w:t>eTG</w:t>
      </w:r>
      <w:proofErr w:type="spellEnd"/>
      <w:r w:rsidR="006A1BB5" w:rsidRPr="00FE4251">
        <w:t xml:space="preserve"> July 2017 edition) </w:t>
      </w:r>
      <w:r w:rsidR="006A1BB5" w:rsidRPr="00FE4251">
        <w:rPr>
          <w:rFonts w:cs="Arial"/>
          <w:bCs/>
          <w:snapToGrid w:val="0"/>
          <w:lang w:val="en-GB"/>
        </w:rPr>
        <w:t>are</w:t>
      </w:r>
      <w:r w:rsidR="00943069" w:rsidRPr="00FE4251">
        <w:rPr>
          <w:rFonts w:cs="Arial"/>
          <w:bCs/>
          <w:snapToGrid w:val="0"/>
          <w:lang w:val="en-GB"/>
        </w:rPr>
        <w:t xml:space="preserve"> more likely t</w:t>
      </w:r>
      <w:r w:rsidR="006A1BB5" w:rsidRPr="00FE4251">
        <w:rPr>
          <w:rFonts w:cs="Arial"/>
          <w:bCs/>
          <w:snapToGrid w:val="0"/>
          <w:lang w:val="en-GB"/>
        </w:rPr>
        <w:t>o reflect contemporary</w:t>
      </w:r>
      <w:r w:rsidR="00943069" w:rsidRPr="00FE4251">
        <w:rPr>
          <w:rFonts w:cs="Arial"/>
          <w:bCs/>
          <w:snapToGrid w:val="0"/>
          <w:lang w:val="en-GB"/>
        </w:rPr>
        <w:t xml:space="preserve"> clinical practice. </w:t>
      </w:r>
    </w:p>
    <w:p w:rsidR="00604BFD" w:rsidRPr="00FE4251" w:rsidRDefault="00943069" w:rsidP="00604BFD">
      <w:pPr>
        <w:pStyle w:val="ListParagraph"/>
        <w:numPr>
          <w:ilvl w:val="1"/>
          <w:numId w:val="1"/>
        </w:numPr>
        <w:spacing w:before="0" w:after="120"/>
        <w:jc w:val="both"/>
        <w:rPr>
          <w:rFonts w:cs="Arial"/>
          <w:bCs/>
          <w:snapToGrid w:val="0"/>
          <w:lang w:val="en-GB"/>
        </w:rPr>
      </w:pPr>
      <w:r w:rsidRPr="00FE4251">
        <w:rPr>
          <w:rFonts w:cs="Arial"/>
          <w:bCs/>
          <w:snapToGrid w:val="0"/>
          <w:lang w:val="en-GB"/>
        </w:rPr>
        <w:t xml:space="preserve">The PBAC considered that </w:t>
      </w:r>
      <w:proofErr w:type="spellStart"/>
      <w:r w:rsidRPr="00FE4251">
        <w:rPr>
          <w:rFonts w:cs="Arial"/>
          <w:bCs/>
          <w:snapToGrid w:val="0"/>
          <w:lang w:val="en-GB"/>
        </w:rPr>
        <w:t>mesalazine</w:t>
      </w:r>
      <w:proofErr w:type="spellEnd"/>
      <w:r w:rsidRPr="00FE4251">
        <w:rPr>
          <w:rFonts w:cs="Arial"/>
          <w:bCs/>
          <w:snapToGrid w:val="0"/>
          <w:lang w:val="en-GB"/>
        </w:rPr>
        <w:t xml:space="preserve"> as the nominated comparator was inappropriate based on current clinical practice. Prednisolone (or a similar oral corticosteroid) is considered by the PBAC as a more appropria</w:t>
      </w:r>
      <w:r w:rsidR="0035049B" w:rsidRPr="00FE4251">
        <w:rPr>
          <w:rFonts w:cs="Arial"/>
          <w:bCs/>
          <w:snapToGrid w:val="0"/>
          <w:lang w:val="en-GB"/>
        </w:rPr>
        <w:t>te comparator for budesonide as it</w:t>
      </w:r>
      <w:r w:rsidRPr="00FE4251">
        <w:rPr>
          <w:rFonts w:cs="Arial"/>
          <w:bCs/>
          <w:snapToGrid w:val="0"/>
          <w:lang w:val="en-GB"/>
        </w:rPr>
        <w:t xml:space="preserve"> is the treatment most likely to be replaced in practice.</w:t>
      </w:r>
      <w:r w:rsidR="003E504F" w:rsidRPr="00FE4251">
        <w:rPr>
          <w:rFonts w:cs="Arial"/>
          <w:bCs/>
          <w:snapToGrid w:val="0"/>
          <w:lang w:val="en-GB"/>
        </w:rPr>
        <w:t xml:space="preserve"> </w:t>
      </w:r>
    </w:p>
    <w:p w:rsidR="00D86567" w:rsidRPr="00FE4251" w:rsidRDefault="00FB48C7">
      <w:pPr>
        <w:pStyle w:val="ListParagraph"/>
        <w:numPr>
          <w:ilvl w:val="1"/>
          <w:numId w:val="1"/>
        </w:numPr>
        <w:spacing w:before="0" w:after="120"/>
        <w:jc w:val="both"/>
        <w:rPr>
          <w:rFonts w:cs="Arial"/>
          <w:bCs/>
          <w:snapToGrid w:val="0"/>
          <w:lang w:val="en-GB"/>
        </w:rPr>
      </w:pPr>
      <w:r w:rsidRPr="00FE4251">
        <w:rPr>
          <w:rFonts w:cs="Arial"/>
          <w:bCs/>
          <w:snapToGrid w:val="0"/>
          <w:lang w:val="en-GB"/>
        </w:rPr>
        <w:t xml:space="preserve">The </w:t>
      </w:r>
      <w:r w:rsidR="00FC718E" w:rsidRPr="00FE4251">
        <w:rPr>
          <w:rFonts w:cs="Arial"/>
          <w:bCs/>
          <w:snapToGrid w:val="0"/>
          <w:lang w:val="en-GB"/>
        </w:rPr>
        <w:t xml:space="preserve">PBAC </w:t>
      </w:r>
      <w:r w:rsidR="00937762" w:rsidRPr="00FE4251">
        <w:rPr>
          <w:rFonts w:cs="Arial"/>
          <w:bCs/>
          <w:snapToGrid w:val="0"/>
          <w:lang w:val="en-GB"/>
        </w:rPr>
        <w:t>considered th</w:t>
      </w:r>
      <w:r w:rsidR="0090590C" w:rsidRPr="00FE4251">
        <w:rPr>
          <w:rFonts w:cs="Arial"/>
          <w:bCs/>
          <w:snapToGrid w:val="0"/>
          <w:lang w:val="en-GB"/>
        </w:rPr>
        <w:t xml:space="preserve">at </w:t>
      </w:r>
      <w:r w:rsidR="007A14CD" w:rsidRPr="00FE4251">
        <w:rPr>
          <w:rFonts w:cs="Arial"/>
          <w:bCs/>
          <w:snapToGrid w:val="0"/>
          <w:lang w:val="en-GB"/>
        </w:rPr>
        <w:t xml:space="preserve">in terms of efficacy budesonide may be slightly inferior to </w:t>
      </w:r>
      <w:r w:rsidR="007A14CD" w:rsidRPr="00FE4251">
        <w:t>prednisolone but that in terms of safety, the trial evidence suggests budesonide to be superior to prednisolone, particularly in terms of glucocorticoid associated AEs</w:t>
      </w:r>
      <w:r w:rsidR="00687F9F" w:rsidRPr="00FE4251">
        <w:t>.</w:t>
      </w:r>
    </w:p>
    <w:p w:rsidR="00D86567" w:rsidRPr="00FE4251" w:rsidRDefault="007D7436" w:rsidP="00604BFD">
      <w:pPr>
        <w:pStyle w:val="ListParagraph"/>
        <w:numPr>
          <w:ilvl w:val="1"/>
          <w:numId w:val="1"/>
        </w:numPr>
        <w:spacing w:before="0" w:after="120"/>
        <w:jc w:val="both"/>
        <w:rPr>
          <w:rFonts w:cs="Arial"/>
          <w:bCs/>
          <w:snapToGrid w:val="0"/>
          <w:lang w:val="en-GB"/>
        </w:rPr>
      </w:pPr>
      <w:r w:rsidRPr="00FE4251">
        <w:rPr>
          <w:rFonts w:cs="Arial"/>
          <w:bCs/>
          <w:snapToGrid w:val="0"/>
          <w:lang w:val="en-GB"/>
        </w:rPr>
        <w:t xml:space="preserve">A cost-minimisation analysis versus prednisolone was conducted during the evaluation. The PBAC considered the results </w:t>
      </w:r>
      <w:r w:rsidR="000A1D35" w:rsidRPr="00FE4251">
        <w:rPr>
          <w:rFonts w:cs="Arial"/>
          <w:bCs/>
          <w:snapToGrid w:val="0"/>
          <w:lang w:val="en-GB"/>
        </w:rPr>
        <w:t xml:space="preserve">of this analysis </w:t>
      </w:r>
      <w:r w:rsidRPr="00FE4251">
        <w:rPr>
          <w:rFonts w:cs="Arial"/>
          <w:bCs/>
          <w:snapToGrid w:val="0"/>
          <w:lang w:val="en-GB"/>
        </w:rPr>
        <w:t>highlight</w:t>
      </w:r>
      <w:r w:rsidR="009B71AF" w:rsidRPr="00FE4251">
        <w:rPr>
          <w:rFonts w:cs="Arial"/>
          <w:bCs/>
          <w:snapToGrid w:val="0"/>
          <w:lang w:val="en-GB"/>
        </w:rPr>
        <w:t>ed</w:t>
      </w:r>
      <w:r w:rsidRPr="00FE4251">
        <w:rPr>
          <w:rFonts w:cs="Arial"/>
          <w:bCs/>
          <w:snapToGrid w:val="0"/>
          <w:lang w:val="en-GB"/>
        </w:rPr>
        <w:t xml:space="preserve"> the substantial price difference between budesonide and prednisolone but noted that offsets related to the superior safety profile of budesonide </w:t>
      </w:r>
      <w:r w:rsidR="000A1D35" w:rsidRPr="00FE4251">
        <w:rPr>
          <w:rFonts w:cs="Arial"/>
          <w:bCs/>
          <w:snapToGrid w:val="0"/>
          <w:lang w:val="en-GB"/>
        </w:rPr>
        <w:t xml:space="preserve">compared with prednisolone </w:t>
      </w:r>
      <w:r w:rsidRPr="00FE4251">
        <w:rPr>
          <w:rFonts w:cs="Arial"/>
          <w:bCs/>
          <w:snapToGrid w:val="0"/>
          <w:lang w:val="en-GB"/>
        </w:rPr>
        <w:t xml:space="preserve">were unable to be factored into such an analysis. </w:t>
      </w:r>
    </w:p>
    <w:p w:rsidR="00604BFD" w:rsidRPr="00FE4251" w:rsidRDefault="0092616B" w:rsidP="00E7766B">
      <w:pPr>
        <w:pStyle w:val="ListParagraph"/>
        <w:numPr>
          <w:ilvl w:val="1"/>
          <w:numId w:val="1"/>
        </w:numPr>
        <w:spacing w:before="0" w:after="120"/>
        <w:jc w:val="both"/>
        <w:rPr>
          <w:rFonts w:cs="Arial"/>
          <w:bCs/>
          <w:snapToGrid w:val="0"/>
          <w:lang w:val="en-GB"/>
        </w:rPr>
      </w:pPr>
      <w:r w:rsidRPr="00FE4251">
        <w:rPr>
          <w:szCs w:val="24"/>
        </w:rPr>
        <w:t xml:space="preserve">The PBAC considered it was unreasonable for the submissions financial estimates to assume budesonide would only replace </w:t>
      </w:r>
      <w:proofErr w:type="spellStart"/>
      <w:r w:rsidRPr="00FE4251">
        <w:rPr>
          <w:szCs w:val="24"/>
        </w:rPr>
        <w:t>mesalazine</w:t>
      </w:r>
      <w:proofErr w:type="spellEnd"/>
      <w:r w:rsidRPr="00FE4251">
        <w:rPr>
          <w:szCs w:val="24"/>
        </w:rPr>
        <w:t xml:space="preserve"> as it is more likely to replace prednisolone (or a </w:t>
      </w:r>
      <w:r w:rsidR="00E7766B" w:rsidRPr="00FE4251">
        <w:rPr>
          <w:szCs w:val="24"/>
        </w:rPr>
        <w:t xml:space="preserve">similar oral corticosteroid). The PBAC concluded that </w:t>
      </w:r>
      <w:r w:rsidR="00EB70AA" w:rsidRPr="00FE4251">
        <w:rPr>
          <w:szCs w:val="24"/>
        </w:rPr>
        <w:t>at the proposed price, a budesonide listing would likely be associated with a significant cost to the P</w:t>
      </w:r>
      <w:r w:rsidR="00FA46A1" w:rsidRPr="00FE4251">
        <w:rPr>
          <w:szCs w:val="24"/>
        </w:rPr>
        <w:t>BS rather than the</w:t>
      </w:r>
      <w:r w:rsidR="00E7766B" w:rsidRPr="00FE4251">
        <w:rPr>
          <w:szCs w:val="24"/>
        </w:rPr>
        <w:t xml:space="preserve"> cost saving</w:t>
      </w:r>
      <w:r w:rsidR="00FA46A1" w:rsidRPr="00FE4251">
        <w:rPr>
          <w:szCs w:val="24"/>
        </w:rPr>
        <w:t xml:space="preserve"> estimated in the submission</w:t>
      </w:r>
      <w:r w:rsidR="00EB70AA" w:rsidRPr="00FE4251">
        <w:rPr>
          <w:szCs w:val="24"/>
        </w:rPr>
        <w:t>.</w:t>
      </w:r>
      <w:r w:rsidR="003E504F" w:rsidRPr="00FE4251">
        <w:rPr>
          <w:szCs w:val="24"/>
        </w:rPr>
        <w:t xml:space="preserve"> </w:t>
      </w:r>
    </w:p>
    <w:p w:rsidR="0014765A" w:rsidRPr="00FE4251" w:rsidRDefault="0014765A" w:rsidP="0014765A">
      <w:pPr>
        <w:pStyle w:val="ListParagraph"/>
        <w:numPr>
          <w:ilvl w:val="1"/>
          <w:numId w:val="1"/>
        </w:numPr>
        <w:spacing w:before="0" w:after="120"/>
        <w:jc w:val="both"/>
        <w:rPr>
          <w:rFonts w:cs="Arial"/>
          <w:bCs/>
          <w:snapToGrid w:val="0"/>
          <w:lang w:val="en-GB"/>
        </w:rPr>
      </w:pPr>
      <w:r w:rsidRPr="00FE4251">
        <w:rPr>
          <w:rFonts w:cs="Arial"/>
          <w:bCs/>
          <w:snapToGrid w:val="0"/>
          <w:lang w:val="en-GB"/>
        </w:rPr>
        <w:t>The PBAC proposed that any future submission would need to clearly establish the place in therapy for budesonide based on contemporary guidelines and clinical practice. The PBAC considered that prednisolone would be an appropriate comparator in such a submission as this is the treatment most likely to be replace</w:t>
      </w:r>
      <w:r w:rsidR="00281BB6" w:rsidRPr="00FE4251">
        <w:rPr>
          <w:rFonts w:cs="Arial"/>
          <w:bCs/>
          <w:snapToGrid w:val="0"/>
          <w:lang w:val="en-GB"/>
        </w:rPr>
        <w:t>d</w:t>
      </w:r>
      <w:r w:rsidRPr="00FE4251">
        <w:rPr>
          <w:rFonts w:cs="Arial"/>
          <w:bCs/>
          <w:snapToGrid w:val="0"/>
          <w:lang w:val="en-GB"/>
        </w:rPr>
        <w:t xml:space="preserve"> in </w:t>
      </w:r>
      <w:r w:rsidR="00281BB6" w:rsidRPr="00FE4251">
        <w:rPr>
          <w:rFonts w:cs="Arial"/>
          <w:bCs/>
          <w:snapToGrid w:val="0"/>
          <w:lang w:val="en-GB"/>
        </w:rPr>
        <w:t xml:space="preserve">clinical </w:t>
      </w:r>
      <w:r w:rsidRPr="00FE4251">
        <w:rPr>
          <w:rFonts w:cs="Arial"/>
          <w:bCs/>
          <w:snapToGrid w:val="0"/>
          <w:lang w:val="en-GB"/>
        </w:rPr>
        <w:t>practice.</w:t>
      </w:r>
    </w:p>
    <w:p w:rsidR="00604BFD" w:rsidRPr="00FE4251" w:rsidRDefault="0066197C" w:rsidP="0025058A">
      <w:pPr>
        <w:pStyle w:val="ListParagraph"/>
        <w:numPr>
          <w:ilvl w:val="1"/>
          <w:numId w:val="1"/>
        </w:numPr>
        <w:spacing w:before="0" w:after="120"/>
        <w:jc w:val="both"/>
        <w:rPr>
          <w:rFonts w:cs="Arial"/>
          <w:bCs/>
          <w:snapToGrid w:val="0"/>
          <w:lang w:val="en-GB"/>
        </w:rPr>
      </w:pPr>
      <w:r w:rsidRPr="00FE4251">
        <w:rPr>
          <w:rFonts w:cs="Arial"/>
          <w:bCs/>
          <w:snapToGrid w:val="0"/>
          <w:lang w:val="en-GB"/>
        </w:rPr>
        <w:t>The PBAC noted</w:t>
      </w:r>
      <w:r w:rsidR="00604BFD" w:rsidRPr="00FE4251">
        <w:rPr>
          <w:rFonts w:cs="Arial"/>
          <w:bCs/>
          <w:snapToGrid w:val="0"/>
          <w:lang w:val="en-GB"/>
        </w:rPr>
        <w:t xml:space="preserve"> that this submission is </w:t>
      </w:r>
      <w:r w:rsidRPr="00FE4251">
        <w:rPr>
          <w:rFonts w:cs="Arial"/>
          <w:bCs/>
          <w:snapToGrid w:val="0"/>
          <w:lang w:val="en-GB"/>
        </w:rPr>
        <w:t>eligible for an Independent Review.</w:t>
      </w:r>
    </w:p>
    <w:p w:rsidR="0066197C" w:rsidRPr="00FE4251" w:rsidRDefault="0066197C" w:rsidP="0066197C">
      <w:pPr>
        <w:spacing w:before="240"/>
        <w:jc w:val="both"/>
        <w:rPr>
          <w:rFonts w:cs="Arial"/>
          <w:b/>
          <w:bCs/>
          <w:snapToGrid w:val="0"/>
          <w:lang w:val="en-GB"/>
        </w:rPr>
      </w:pPr>
      <w:r w:rsidRPr="00FE4251">
        <w:rPr>
          <w:rFonts w:cs="Arial"/>
          <w:b/>
          <w:bCs/>
          <w:snapToGrid w:val="0"/>
          <w:lang w:val="en-GB"/>
        </w:rPr>
        <w:t>Outcome:</w:t>
      </w:r>
    </w:p>
    <w:p w:rsidR="0066197C" w:rsidRPr="00FE4251" w:rsidRDefault="0066197C" w:rsidP="0066197C">
      <w:pPr>
        <w:jc w:val="both"/>
        <w:rPr>
          <w:rFonts w:cs="Arial"/>
          <w:bCs/>
          <w:snapToGrid w:val="0"/>
          <w:lang w:val="en-GB"/>
        </w:rPr>
      </w:pPr>
      <w:r w:rsidRPr="00FE4251">
        <w:rPr>
          <w:rFonts w:cs="Arial"/>
          <w:bCs/>
          <w:snapToGrid w:val="0"/>
          <w:lang w:val="en-GB"/>
        </w:rPr>
        <w:t>Reje</w:t>
      </w:r>
      <w:r w:rsidR="00604BFD" w:rsidRPr="00FE4251">
        <w:rPr>
          <w:rFonts w:cs="Arial"/>
          <w:bCs/>
          <w:snapToGrid w:val="0"/>
          <w:lang w:val="en-GB"/>
        </w:rPr>
        <w:t>cted</w:t>
      </w:r>
    </w:p>
    <w:p w:rsidR="00DB0D07" w:rsidRPr="00DB0D07" w:rsidRDefault="00DB0D07" w:rsidP="00DB0D07">
      <w:pPr>
        <w:pStyle w:val="Heading1"/>
        <w:numPr>
          <w:ilvl w:val="0"/>
          <w:numId w:val="1"/>
        </w:numPr>
        <w:ind w:left="709" w:hanging="709"/>
      </w:pPr>
      <w:r w:rsidRPr="00DB0D07">
        <w:t>Context for Decision</w:t>
      </w:r>
    </w:p>
    <w:p w:rsidR="00DB0D07" w:rsidRPr="00D24BA5" w:rsidRDefault="00DB0D07" w:rsidP="00DB0D07">
      <w:pPr>
        <w:spacing w:after="120"/>
      </w:pPr>
      <w:r w:rsidRPr="00D24BA5">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B0D07" w:rsidRPr="00DB0D07" w:rsidRDefault="00DB0D07" w:rsidP="00DB0D07">
      <w:pPr>
        <w:pStyle w:val="Heading1"/>
        <w:numPr>
          <w:ilvl w:val="0"/>
          <w:numId w:val="1"/>
        </w:numPr>
        <w:ind w:left="709" w:hanging="709"/>
      </w:pPr>
      <w:r w:rsidRPr="00DB0D07">
        <w:t>Sponsor’s Comment</w:t>
      </w:r>
    </w:p>
    <w:p w:rsidR="00BA3306" w:rsidRPr="00AE7369" w:rsidRDefault="00DB0D07" w:rsidP="00AE7369">
      <w:pPr>
        <w:jc w:val="both"/>
        <w:rPr>
          <w:rFonts w:cs="Arial"/>
          <w:snapToGrid w:val="0"/>
          <w:szCs w:val="20"/>
        </w:rPr>
      </w:pPr>
      <w:r w:rsidRPr="00D24BA5">
        <w:rPr>
          <w:rFonts w:cs="Arial"/>
          <w:snapToGrid w:val="0"/>
          <w:szCs w:val="20"/>
        </w:rPr>
        <w:t>The sponsor had no comment.</w:t>
      </w:r>
    </w:p>
    <w:sectPr w:rsidR="00BA3306" w:rsidRPr="00AE7369" w:rsidSect="00DD23FF">
      <w:headerReference w:type="default" r:id="rId15"/>
      <w:footerReference w:type="default" r:id="rId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E756FC" w15:done="0"/>
  <w15:commentEx w15:paraId="5853DC20" w15:done="0"/>
  <w15:commentEx w15:paraId="69EEB43F" w15:done="0"/>
  <w15:commentEx w15:paraId="406272F2" w15:done="0"/>
  <w15:commentEx w15:paraId="06A4CD4B" w15:done="0"/>
  <w15:commentEx w15:paraId="690B3CD9" w15:done="0"/>
  <w15:commentEx w15:paraId="1497270B" w15:done="0"/>
  <w15:commentEx w15:paraId="01DBA33F" w15:done="0"/>
  <w15:commentEx w15:paraId="7E08CAD3" w15:done="0"/>
  <w15:commentEx w15:paraId="39117D5A" w15:paraIdParent="7E08CAD3" w15:done="0"/>
  <w15:commentEx w15:paraId="46E133C5" w15:done="0"/>
  <w15:commentEx w15:paraId="7C0190FE" w15:paraIdParent="46E133C5" w15:done="0"/>
  <w15:commentEx w15:paraId="5E563C12" w15:done="0"/>
  <w15:commentEx w15:paraId="5B100027" w15:done="0"/>
  <w15:commentEx w15:paraId="464774AA" w15:done="0"/>
  <w15:commentEx w15:paraId="2DDB42B7" w15:paraIdParent="464774AA" w15:done="0"/>
  <w15:commentEx w15:paraId="7758DF59" w15:done="0"/>
  <w15:commentEx w15:paraId="3511FB05" w15:paraIdParent="7758DF59" w15:done="0"/>
  <w15:commentEx w15:paraId="6EE14581" w15:done="0"/>
  <w15:commentEx w15:paraId="6785D9CF" w15:done="0"/>
  <w15:commentEx w15:paraId="4A77419B" w15:done="0"/>
  <w15:commentEx w15:paraId="05F48144" w15:done="0"/>
  <w15:commentEx w15:paraId="3D88517A" w15:paraIdParent="05F48144" w15:done="0"/>
  <w15:commentEx w15:paraId="6405DDEA" w15:done="0"/>
  <w15:commentEx w15:paraId="6994C287" w15:paraIdParent="6405DD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E3E" w:rsidRDefault="00F01E3E" w:rsidP="00BA3306">
      <w:pPr>
        <w:spacing w:before="0" w:after="0"/>
      </w:pPr>
      <w:r>
        <w:separator/>
      </w:r>
    </w:p>
  </w:endnote>
  <w:endnote w:type="continuationSeparator" w:id="0">
    <w:p w:rsidR="00F01E3E" w:rsidRDefault="00F01E3E"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abon">
    <w:altName w:val="Constantia"/>
    <w:charset w:val="00"/>
    <w:family w:val="roman"/>
    <w:pitch w:val="variable"/>
    <w:sig w:usb0="00000003" w:usb1="000000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A7" w:rsidRDefault="009C77A7" w:rsidP="0032066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77A7" w:rsidRDefault="009C77A7" w:rsidP="0032066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77A7" w:rsidRDefault="009C7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A7" w:rsidRDefault="009C77A7" w:rsidP="0032066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1E3E">
      <w:rPr>
        <w:rStyle w:val="PageNumber"/>
        <w:noProof/>
      </w:rPr>
      <w:t>3</w:t>
    </w:r>
    <w:r>
      <w:rPr>
        <w:rStyle w:val="PageNumber"/>
      </w:rPr>
      <w:fldChar w:fldCharType="end"/>
    </w:r>
  </w:p>
  <w:p w:rsidR="009C77A7" w:rsidRDefault="009C77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3E" w:rsidRDefault="00F01E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A7" w:rsidRDefault="009C77A7" w:rsidP="0032066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1E3E">
      <w:rPr>
        <w:rStyle w:val="PageNumber"/>
        <w:noProof/>
      </w:rPr>
      <w:t>4</w:t>
    </w:r>
    <w:r>
      <w:rPr>
        <w:rStyle w:val="PageNumber"/>
      </w:rPr>
      <w:fldChar w:fldCharType="end"/>
    </w:r>
  </w:p>
  <w:p w:rsidR="009C77A7" w:rsidRDefault="009C77A7" w:rsidP="002C1D9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E3E" w:rsidRDefault="00F01E3E" w:rsidP="00BA3306">
      <w:pPr>
        <w:spacing w:before="0" w:after="0"/>
      </w:pPr>
      <w:r>
        <w:separator/>
      </w:r>
    </w:p>
  </w:footnote>
  <w:footnote w:type="continuationSeparator" w:id="0">
    <w:p w:rsidR="00F01E3E" w:rsidRDefault="00F01E3E" w:rsidP="00BA3306">
      <w:pPr>
        <w:spacing w:before="0" w:after="0"/>
      </w:pPr>
      <w:r>
        <w:continuationSeparator/>
      </w:r>
    </w:p>
  </w:footnote>
  <w:footnote w:id="1">
    <w:p w:rsidR="009C77A7" w:rsidRDefault="009C77A7" w:rsidP="001103C2">
      <w:pPr>
        <w:pStyle w:val="FootnoteText"/>
      </w:pPr>
      <w:r>
        <w:rPr>
          <w:rStyle w:val="FootnoteReference"/>
        </w:rPr>
        <w:footnoteRef/>
      </w:r>
      <w:r>
        <w:t xml:space="preserve"> Chemist Warehouse prices online, 2017, available from: </w:t>
      </w:r>
      <w:hyperlink r:id="rId1" w:history="1">
        <w:r w:rsidRPr="00DA3893">
          <w:rPr>
            <w:rStyle w:val="Hyperlink"/>
          </w:rPr>
          <w:t>http://www.chemistwarehouse.com.au/buy/20266/Entocort-3mg-Capsules-90</w:t>
        </w:r>
      </w:hyperlink>
      <w:r>
        <w:t>, accessed 11 August 2017.</w:t>
      </w:r>
    </w:p>
  </w:footnote>
  <w:footnote w:id="2">
    <w:p w:rsidR="009C77A7" w:rsidRDefault="009C77A7" w:rsidP="001103C2">
      <w:pPr>
        <w:pStyle w:val="FootnoteText"/>
      </w:pPr>
      <w:r>
        <w:rPr>
          <w:rStyle w:val="FootnoteReference"/>
        </w:rPr>
        <w:footnoteRef/>
      </w:r>
      <w:r>
        <w:t xml:space="preserve"> Chemist Warehouse prices online, 2017, available from </w:t>
      </w:r>
      <w:hyperlink r:id="rId2" w:history="1">
        <w:r w:rsidRPr="009F0C89">
          <w:rPr>
            <w:rStyle w:val="Hyperlink"/>
          </w:rPr>
          <w:t>http://www.chemistwarehouse.com.au/search?searchtext=budenofalk&amp;searchmode=allwords</w:t>
        </w:r>
      </w:hyperlink>
      <w:r>
        <w:t>, accessed 14 August 2017.</w:t>
      </w:r>
    </w:p>
  </w:footnote>
  <w:footnote w:id="3">
    <w:p w:rsidR="009C77A7" w:rsidRDefault="009C77A7" w:rsidP="006E67F2">
      <w:pPr>
        <w:pStyle w:val="FootnoteText"/>
      </w:pPr>
      <w:r>
        <w:rPr>
          <w:rStyle w:val="FootnoteReference"/>
        </w:rPr>
        <w:footnoteRef/>
      </w:r>
      <w:r>
        <w:t xml:space="preserve"> </w:t>
      </w:r>
      <w:proofErr w:type="spellStart"/>
      <w:r w:rsidRPr="007509D1">
        <w:t>Mowat</w:t>
      </w:r>
      <w:proofErr w:type="spellEnd"/>
      <w:r w:rsidRPr="007509D1">
        <w:t xml:space="preserve"> C, Cole A, Windsor A, Ahmad T, Arnott I, Driscoll R, Mitton S, Orchard T, Rutter M, </w:t>
      </w:r>
      <w:proofErr w:type="spellStart"/>
      <w:r w:rsidRPr="007509D1">
        <w:t>Younge</w:t>
      </w:r>
      <w:proofErr w:type="spellEnd"/>
      <w:r w:rsidRPr="007509D1">
        <w:t xml:space="preserve"> L, Lees C, </w:t>
      </w:r>
      <w:proofErr w:type="spellStart"/>
      <w:r w:rsidRPr="007509D1">
        <w:t>Ho</w:t>
      </w:r>
      <w:proofErr w:type="spellEnd"/>
      <w:r w:rsidRPr="007509D1">
        <w:t xml:space="preserve"> GT, </w:t>
      </w:r>
      <w:proofErr w:type="spellStart"/>
      <w:r w:rsidRPr="007509D1">
        <w:t>Satsangi</w:t>
      </w:r>
      <w:proofErr w:type="spellEnd"/>
      <w:r w:rsidRPr="007509D1">
        <w:t xml:space="preserve"> J, Bloom S, IBD Section of the British Society of Gastroenterology</w:t>
      </w:r>
      <w:r>
        <w:t>, Guidelines for the management of inflammatory bowel disease in adults., Gut. 2011</w:t>
      </w:r>
      <w:proofErr w:type="gramStart"/>
      <w:r>
        <w:t>;60</w:t>
      </w:r>
      <w:proofErr w:type="gramEnd"/>
      <w:r>
        <w:t xml:space="preserve">(5):571. </w:t>
      </w:r>
    </w:p>
  </w:footnote>
  <w:footnote w:id="4">
    <w:p w:rsidR="009C77A7" w:rsidRDefault="009C77A7" w:rsidP="006E67F2">
      <w:pPr>
        <w:pStyle w:val="FootnoteText"/>
      </w:pPr>
      <w:r>
        <w:rPr>
          <w:rStyle w:val="FootnoteReference"/>
        </w:rPr>
        <w:footnoteRef/>
      </w:r>
      <w:r>
        <w:t xml:space="preserve"> </w:t>
      </w:r>
      <w:proofErr w:type="spellStart"/>
      <w:r w:rsidRPr="00710904">
        <w:t>Hanauer</w:t>
      </w:r>
      <w:proofErr w:type="spellEnd"/>
      <w:r w:rsidRPr="00710904">
        <w:t xml:space="preserve"> SB, </w:t>
      </w:r>
      <w:proofErr w:type="spellStart"/>
      <w:r w:rsidRPr="00710904">
        <w:t>Sandborn</w:t>
      </w:r>
      <w:proofErr w:type="spellEnd"/>
      <w:r w:rsidRPr="00710904">
        <w:t xml:space="preserve"> W, Practice Parameters Committee of the American College of Gastroenterology</w:t>
      </w:r>
      <w:r>
        <w:t>,</w:t>
      </w:r>
      <w:r w:rsidRPr="00710904">
        <w:t xml:space="preserve"> </w:t>
      </w:r>
      <w:r>
        <w:t xml:space="preserve">Management of Crohn's disease in adults. </w:t>
      </w:r>
      <w:proofErr w:type="gramStart"/>
      <w:r w:rsidRPr="00AD3BE1">
        <w:t xml:space="preserve">Am J </w:t>
      </w:r>
      <w:proofErr w:type="spellStart"/>
      <w:r w:rsidRPr="00AD3BE1">
        <w:t>Gastroenterol</w:t>
      </w:r>
      <w:proofErr w:type="spellEnd"/>
      <w:r w:rsidRPr="00AD3BE1">
        <w:t>.</w:t>
      </w:r>
      <w:proofErr w:type="gramEnd"/>
      <w:r w:rsidRPr="00AD3BE1">
        <w:t xml:space="preserve"> 2001</w:t>
      </w:r>
      <w:proofErr w:type="gramStart"/>
      <w:r w:rsidRPr="00AD3BE1">
        <w:t>;96</w:t>
      </w:r>
      <w:proofErr w:type="gramEnd"/>
      <w:r w:rsidRPr="00AD3BE1">
        <w:t>(3):635.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3E" w:rsidRDefault="00F01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A7" w:rsidRPr="00290727" w:rsidRDefault="009C77A7" w:rsidP="00290727">
    <w:pPr>
      <w:pStyle w:val="Header"/>
      <w:ind w:left="360"/>
      <w:jc w:val="center"/>
      <w:rPr>
        <w:rFonts w:cs="Arial"/>
        <w:i/>
        <w:color w:val="808080"/>
        <w:sz w:val="22"/>
      </w:rPr>
    </w:pPr>
    <w:r>
      <w:rPr>
        <w:rFonts w:cs="Arial"/>
        <w:i/>
        <w:color w:val="808080"/>
        <w:sz w:val="22"/>
      </w:rPr>
      <w:t>Public Summary Document</w:t>
    </w:r>
    <w:r w:rsidRPr="00F90A91">
      <w:rPr>
        <w:rFonts w:cs="Arial"/>
        <w:i/>
        <w:color w:val="808080"/>
        <w:sz w:val="22"/>
      </w:rPr>
      <w:t xml:space="preserve"> – </w:t>
    </w:r>
    <w:r>
      <w:rPr>
        <w:rFonts w:cs="Arial"/>
        <w:i/>
        <w:color w:val="808080"/>
        <w:sz w:val="22"/>
      </w:rPr>
      <w:t>November 2017</w:t>
    </w:r>
    <w:r w:rsidRPr="00F90A91">
      <w:rPr>
        <w:rFonts w:cs="Arial"/>
        <w:i/>
        <w:color w:val="808080"/>
        <w:sz w:val="22"/>
      </w:rPr>
      <w:t xml:space="preserve">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3E" w:rsidRDefault="00F01E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A7" w:rsidRPr="00F90A91" w:rsidRDefault="009C77A7" w:rsidP="00E7374A">
    <w:pPr>
      <w:pStyle w:val="Header"/>
      <w:ind w:left="360"/>
      <w:jc w:val="center"/>
      <w:rPr>
        <w:rFonts w:cs="Arial"/>
        <w:i/>
        <w:color w:val="808080"/>
        <w:sz w:val="22"/>
      </w:rPr>
    </w:pPr>
    <w:r>
      <w:rPr>
        <w:rFonts w:cs="Arial"/>
        <w:i/>
        <w:color w:val="808080"/>
        <w:sz w:val="22"/>
      </w:rPr>
      <w:t xml:space="preserve">Public Summary Document </w:t>
    </w:r>
    <w:r w:rsidRPr="00F90A91">
      <w:rPr>
        <w:rFonts w:cs="Arial"/>
        <w:i/>
        <w:color w:val="808080"/>
        <w:sz w:val="22"/>
      </w:rPr>
      <w:t xml:space="preserve">– </w:t>
    </w:r>
    <w:r>
      <w:rPr>
        <w:rFonts w:cs="Arial"/>
        <w:i/>
        <w:color w:val="808080"/>
        <w:sz w:val="22"/>
      </w:rPr>
      <w:t>November 2017</w:t>
    </w:r>
    <w:r w:rsidRPr="00F90A91">
      <w:rPr>
        <w:rFonts w:cs="Arial"/>
        <w:i/>
        <w:color w:val="808080"/>
        <w:sz w:val="22"/>
      </w:rPr>
      <w:t xml:space="preserve"> PBAC Meeting</w:t>
    </w:r>
  </w:p>
  <w:p w:rsidR="009C77A7" w:rsidRDefault="009C77A7" w:rsidP="00C317F3">
    <w:pPr>
      <w:pStyle w:val="Header"/>
      <w:tabs>
        <w:tab w:val="left" w:pos="1725"/>
        <w:tab w:val="left" w:pos="77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B30D4D"/>
    <w:multiLevelType w:val="multilevel"/>
    <w:tmpl w:val="EF0400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A0F10"/>
    <w:multiLevelType w:val="hybridMultilevel"/>
    <w:tmpl w:val="C04A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A55010"/>
    <w:multiLevelType w:val="multilevel"/>
    <w:tmpl w:val="006C9AF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AF2B48"/>
    <w:multiLevelType w:val="hybridMultilevel"/>
    <w:tmpl w:val="3170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A321A"/>
    <w:multiLevelType w:val="hybridMultilevel"/>
    <w:tmpl w:val="883E5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073D18"/>
    <w:multiLevelType w:val="hybridMultilevel"/>
    <w:tmpl w:val="F52C39AE"/>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A9B541F"/>
    <w:multiLevelType w:val="hybridMultilevel"/>
    <w:tmpl w:val="DF94B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B776D20"/>
    <w:multiLevelType w:val="hybridMultilevel"/>
    <w:tmpl w:val="6206054C"/>
    <w:lvl w:ilvl="0" w:tplc="9D78AB28">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0533698"/>
    <w:multiLevelType w:val="hybridMultilevel"/>
    <w:tmpl w:val="29A28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FD5430"/>
    <w:multiLevelType w:val="hybridMultilevel"/>
    <w:tmpl w:val="E0DE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D1757D"/>
    <w:multiLevelType w:val="hybridMultilevel"/>
    <w:tmpl w:val="086084C2"/>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84E6825"/>
    <w:multiLevelType w:val="multilevel"/>
    <w:tmpl w:val="9A7056FC"/>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b w:val="0"/>
        <w:bCs/>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C8283C"/>
    <w:multiLevelType w:val="hybridMultilevel"/>
    <w:tmpl w:val="A568F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9107C83"/>
    <w:multiLevelType w:val="hybridMultilevel"/>
    <w:tmpl w:val="07048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3504C81"/>
    <w:multiLevelType w:val="hybridMultilevel"/>
    <w:tmpl w:val="D3564AC6"/>
    <w:lvl w:ilvl="0" w:tplc="04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19F8C356">
      <w:start w:val="9"/>
      <w:numFmt w:val="bullet"/>
      <w:lvlText w:val=""/>
      <w:lvlJc w:val="left"/>
      <w:pPr>
        <w:ind w:left="2160" w:hanging="360"/>
      </w:pPr>
      <w:rPr>
        <w:rFonts w:ascii="Wingdings" w:eastAsiaTheme="minorHAnsi" w:hAnsi="Wingding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BC43BF"/>
    <w:multiLevelType w:val="hybridMultilevel"/>
    <w:tmpl w:val="948A1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564335"/>
    <w:multiLevelType w:val="hybridMultilevel"/>
    <w:tmpl w:val="3AFC3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18A1790"/>
    <w:multiLevelType w:val="hybridMultilevel"/>
    <w:tmpl w:val="2572E714"/>
    <w:lvl w:ilvl="0" w:tplc="B018371A">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20B6ECC"/>
    <w:multiLevelType w:val="hybridMultilevel"/>
    <w:tmpl w:val="560095D8"/>
    <w:lvl w:ilvl="0" w:tplc="ED1E5F1E">
      <w:start w:val="1"/>
      <w:numFmt w:val="bullet"/>
      <w:pStyle w:val="NormalBullets"/>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87E4D1D6">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24">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54552C"/>
    <w:multiLevelType w:val="multilevel"/>
    <w:tmpl w:val="0EC87CBC"/>
    <w:lvl w:ilvl="0">
      <w:start w:val="2"/>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2666140"/>
    <w:multiLevelType w:val="hybridMultilevel"/>
    <w:tmpl w:val="2FB22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B56875"/>
    <w:multiLevelType w:val="multilevel"/>
    <w:tmpl w:val="3AE4C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55D6305"/>
    <w:multiLevelType w:val="hybridMultilevel"/>
    <w:tmpl w:val="E38A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6910FCA"/>
    <w:multiLevelType w:val="hybridMultilevel"/>
    <w:tmpl w:val="F3407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057392"/>
    <w:multiLevelType w:val="hybridMultilevel"/>
    <w:tmpl w:val="2A80C3C2"/>
    <w:lvl w:ilvl="0" w:tplc="7248C74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9ED7432"/>
    <w:multiLevelType w:val="hybridMultilevel"/>
    <w:tmpl w:val="9B14E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700119"/>
    <w:multiLevelType w:val="hybridMultilevel"/>
    <w:tmpl w:val="99D27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EF91405"/>
    <w:multiLevelType w:val="multilevel"/>
    <w:tmpl w:val="4434F0D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84D033C"/>
    <w:multiLevelType w:val="multilevel"/>
    <w:tmpl w:val="13CA770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AC065AB"/>
    <w:multiLevelType w:val="multilevel"/>
    <w:tmpl w:val="C390F9AC"/>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C727235"/>
    <w:multiLevelType w:val="multilevel"/>
    <w:tmpl w:val="33384B2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4"/>
  </w:num>
  <w:num w:numId="3">
    <w:abstractNumId w:val="2"/>
  </w:num>
  <w:num w:numId="4">
    <w:abstractNumId w:val="36"/>
  </w:num>
  <w:num w:numId="5">
    <w:abstractNumId w:val="1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8"/>
  </w:num>
  <w:num w:numId="9">
    <w:abstractNumId w:val="38"/>
  </w:num>
  <w:num w:numId="10">
    <w:abstractNumId w:val="37"/>
  </w:num>
  <w:num w:numId="11">
    <w:abstractNumId w:val="29"/>
  </w:num>
  <w:num w:numId="12">
    <w:abstractNumId w:val="1"/>
  </w:num>
  <w:num w:numId="13">
    <w:abstractNumId w:val="35"/>
  </w:num>
  <w:num w:numId="14">
    <w:abstractNumId w:val="5"/>
  </w:num>
  <w:num w:numId="15">
    <w:abstractNumId w:val="31"/>
  </w:num>
  <w:num w:numId="16">
    <w:abstractNumId w:val="26"/>
  </w:num>
  <w:num w:numId="17">
    <w:abstractNumId w:val="33"/>
  </w:num>
  <w:num w:numId="18">
    <w:abstractNumId w:val="17"/>
  </w:num>
  <w:num w:numId="19">
    <w:abstractNumId w:val="34"/>
  </w:num>
  <w:num w:numId="20">
    <w:abstractNumId w:val="23"/>
  </w:num>
  <w:num w:numId="21">
    <w:abstractNumId w:val="25"/>
  </w:num>
  <w:num w:numId="22">
    <w:abstractNumId w:val="9"/>
  </w:num>
  <w:num w:numId="23">
    <w:abstractNumId w:val="20"/>
  </w:num>
  <w:num w:numId="24">
    <w:abstractNumId w:val="12"/>
  </w:num>
  <w:num w:numId="25">
    <w:abstractNumId w:val="21"/>
  </w:num>
  <w:num w:numId="26">
    <w:abstractNumId w:val="11"/>
  </w:num>
  <w:num w:numId="27">
    <w:abstractNumId w:val="30"/>
  </w:num>
  <w:num w:numId="28">
    <w:abstractNumId w:val="3"/>
  </w:num>
  <w:num w:numId="29">
    <w:abstractNumId w:val="13"/>
  </w:num>
  <w:num w:numId="30">
    <w:abstractNumId w:val="22"/>
  </w:num>
  <w:num w:numId="31">
    <w:abstractNumId w:val="15"/>
  </w:num>
  <w:num w:numId="32">
    <w:abstractNumId w:val="32"/>
  </w:num>
  <w:num w:numId="33">
    <w:abstractNumId w:val="10"/>
  </w:num>
  <w:num w:numId="34">
    <w:abstractNumId w:val="8"/>
  </w:num>
  <w:num w:numId="35">
    <w:abstractNumId w:val="7"/>
  </w:num>
  <w:num w:numId="36">
    <w:abstractNumId w:val="6"/>
  </w:num>
  <w:num w:numId="37">
    <w:abstractNumId w:val="16"/>
  </w:num>
  <w:num w:numId="38">
    <w:abstractNumId w:val="15"/>
  </w:num>
  <w:num w:numId="39">
    <w:abstractNumId w:val="27"/>
  </w:num>
  <w:num w:numId="40">
    <w:abstractNumId w:val="4"/>
  </w:num>
  <w:num w:numId="41">
    <w:abstractNumId w:val="0"/>
  </w:num>
  <w:num w:numId="42">
    <w:abstractNumId w:val="14"/>
  </w:num>
  <w:num w:numId="43">
    <w:abstractNumId w:val="15"/>
  </w:num>
  <w:num w:numId="44">
    <w:abstractNumId w:val="15"/>
  </w:num>
  <w:numIdMacAtCleanup w:val="3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lie Easton">
    <w15:presenceInfo w15:providerId="Windows Live" w15:userId="dd0024c87543b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0E82"/>
    <w:rsid w:val="000011B2"/>
    <w:rsid w:val="0000133C"/>
    <w:rsid w:val="000015B0"/>
    <w:rsid w:val="00001AB4"/>
    <w:rsid w:val="00002104"/>
    <w:rsid w:val="0000253A"/>
    <w:rsid w:val="000028CD"/>
    <w:rsid w:val="00002F3F"/>
    <w:rsid w:val="00003434"/>
    <w:rsid w:val="00006713"/>
    <w:rsid w:val="00006AA5"/>
    <w:rsid w:val="00006C0C"/>
    <w:rsid w:val="0000702D"/>
    <w:rsid w:val="000070E0"/>
    <w:rsid w:val="0000737D"/>
    <w:rsid w:val="00007BF5"/>
    <w:rsid w:val="0001066F"/>
    <w:rsid w:val="0001067E"/>
    <w:rsid w:val="00011308"/>
    <w:rsid w:val="00011B15"/>
    <w:rsid w:val="00012F81"/>
    <w:rsid w:val="00013222"/>
    <w:rsid w:val="000134BA"/>
    <w:rsid w:val="00014773"/>
    <w:rsid w:val="000149EC"/>
    <w:rsid w:val="000154F4"/>
    <w:rsid w:val="00015943"/>
    <w:rsid w:val="00015D32"/>
    <w:rsid w:val="000176A0"/>
    <w:rsid w:val="000176C7"/>
    <w:rsid w:val="0002095B"/>
    <w:rsid w:val="00021545"/>
    <w:rsid w:val="00021836"/>
    <w:rsid w:val="00021C7B"/>
    <w:rsid w:val="00023CC8"/>
    <w:rsid w:val="000240AF"/>
    <w:rsid w:val="000249BB"/>
    <w:rsid w:val="0002545E"/>
    <w:rsid w:val="00025BDD"/>
    <w:rsid w:val="0002694A"/>
    <w:rsid w:val="000304DD"/>
    <w:rsid w:val="0003065A"/>
    <w:rsid w:val="00030729"/>
    <w:rsid w:val="00030D2F"/>
    <w:rsid w:val="000313D3"/>
    <w:rsid w:val="000333FA"/>
    <w:rsid w:val="00034404"/>
    <w:rsid w:val="00034510"/>
    <w:rsid w:val="00034CBC"/>
    <w:rsid w:val="000355D8"/>
    <w:rsid w:val="0003660C"/>
    <w:rsid w:val="0003673C"/>
    <w:rsid w:val="000367DE"/>
    <w:rsid w:val="00037BA8"/>
    <w:rsid w:val="00037E90"/>
    <w:rsid w:val="00040377"/>
    <w:rsid w:val="0004183A"/>
    <w:rsid w:val="0004187D"/>
    <w:rsid w:val="00041B24"/>
    <w:rsid w:val="000438A6"/>
    <w:rsid w:val="0004441A"/>
    <w:rsid w:val="00044659"/>
    <w:rsid w:val="000446D1"/>
    <w:rsid w:val="00044C6E"/>
    <w:rsid w:val="00045461"/>
    <w:rsid w:val="000461CF"/>
    <w:rsid w:val="000464F7"/>
    <w:rsid w:val="00046A16"/>
    <w:rsid w:val="00046D7B"/>
    <w:rsid w:val="00050AB2"/>
    <w:rsid w:val="000525CC"/>
    <w:rsid w:val="000560B2"/>
    <w:rsid w:val="0005611D"/>
    <w:rsid w:val="00056794"/>
    <w:rsid w:val="00056B82"/>
    <w:rsid w:val="00056E36"/>
    <w:rsid w:val="00056E62"/>
    <w:rsid w:val="00057845"/>
    <w:rsid w:val="00057F71"/>
    <w:rsid w:val="00060007"/>
    <w:rsid w:val="00060117"/>
    <w:rsid w:val="00060428"/>
    <w:rsid w:val="000605BE"/>
    <w:rsid w:val="000606DB"/>
    <w:rsid w:val="00060EC1"/>
    <w:rsid w:val="000611C7"/>
    <w:rsid w:val="00062067"/>
    <w:rsid w:val="00063821"/>
    <w:rsid w:val="00063B25"/>
    <w:rsid w:val="00063F65"/>
    <w:rsid w:val="0006407A"/>
    <w:rsid w:val="00064509"/>
    <w:rsid w:val="000651F4"/>
    <w:rsid w:val="000652B2"/>
    <w:rsid w:val="00065C62"/>
    <w:rsid w:val="00065CDE"/>
    <w:rsid w:val="00065F4A"/>
    <w:rsid w:val="000667A8"/>
    <w:rsid w:val="0006705B"/>
    <w:rsid w:val="000677D7"/>
    <w:rsid w:val="00067F83"/>
    <w:rsid w:val="000707D9"/>
    <w:rsid w:val="00070BB7"/>
    <w:rsid w:val="00071485"/>
    <w:rsid w:val="00071C5B"/>
    <w:rsid w:val="000721E4"/>
    <w:rsid w:val="000724FC"/>
    <w:rsid w:val="000735FE"/>
    <w:rsid w:val="00073845"/>
    <w:rsid w:val="00073C40"/>
    <w:rsid w:val="00074118"/>
    <w:rsid w:val="000749E6"/>
    <w:rsid w:val="00074F11"/>
    <w:rsid w:val="00074F87"/>
    <w:rsid w:val="00075BE8"/>
    <w:rsid w:val="00075C75"/>
    <w:rsid w:val="00077421"/>
    <w:rsid w:val="00077F37"/>
    <w:rsid w:val="0008095C"/>
    <w:rsid w:val="00080FF3"/>
    <w:rsid w:val="00081FDF"/>
    <w:rsid w:val="00082DD9"/>
    <w:rsid w:val="00083772"/>
    <w:rsid w:val="000838D0"/>
    <w:rsid w:val="00083E56"/>
    <w:rsid w:val="000847FE"/>
    <w:rsid w:val="000851D7"/>
    <w:rsid w:val="000856E2"/>
    <w:rsid w:val="00085E9C"/>
    <w:rsid w:val="00085FB8"/>
    <w:rsid w:val="000860DF"/>
    <w:rsid w:val="00086133"/>
    <w:rsid w:val="00086C93"/>
    <w:rsid w:val="000873E6"/>
    <w:rsid w:val="00087AEA"/>
    <w:rsid w:val="00087DC2"/>
    <w:rsid w:val="00090451"/>
    <w:rsid w:val="00090699"/>
    <w:rsid w:val="000906F7"/>
    <w:rsid w:val="00090A9A"/>
    <w:rsid w:val="00090E42"/>
    <w:rsid w:val="000915FB"/>
    <w:rsid w:val="00091B82"/>
    <w:rsid w:val="000931DC"/>
    <w:rsid w:val="00094433"/>
    <w:rsid w:val="00094D6F"/>
    <w:rsid w:val="00095AFB"/>
    <w:rsid w:val="00095B1D"/>
    <w:rsid w:val="00095CF0"/>
    <w:rsid w:val="00095F7E"/>
    <w:rsid w:val="00096716"/>
    <w:rsid w:val="0009685B"/>
    <w:rsid w:val="00096EF7"/>
    <w:rsid w:val="00097598"/>
    <w:rsid w:val="00097A2D"/>
    <w:rsid w:val="00097CD7"/>
    <w:rsid w:val="000A0C41"/>
    <w:rsid w:val="000A11BF"/>
    <w:rsid w:val="000A1568"/>
    <w:rsid w:val="000A15DC"/>
    <w:rsid w:val="000A1D35"/>
    <w:rsid w:val="000A1F2E"/>
    <w:rsid w:val="000A1F46"/>
    <w:rsid w:val="000A2694"/>
    <w:rsid w:val="000A2A00"/>
    <w:rsid w:val="000A2EF1"/>
    <w:rsid w:val="000A4608"/>
    <w:rsid w:val="000A48A4"/>
    <w:rsid w:val="000A5979"/>
    <w:rsid w:val="000A5BF5"/>
    <w:rsid w:val="000A5BF6"/>
    <w:rsid w:val="000A61B7"/>
    <w:rsid w:val="000A6BF4"/>
    <w:rsid w:val="000A6FBD"/>
    <w:rsid w:val="000A76AE"/>
    <w:rsid w:val="000B0475"/>
    <w:rsid w:val="000B078A"/>
    <w:rsid w:val="000B0CC3"/>
    <w:rsid w:val="000B1781"/>
    <w:rsid w:val="000B2E74"/>
    <w:rsid w:val="000B4929"/>
    <w:rsid w:val="000B4990"/>
    <w:rsid w:val="000B56CD"/>
    <w:rsid w:val="000B5A83"/>
    <w:rsid w:val="000B5CB2"/>
    <w:rsid w:val="000B5D24"/>
    <w:rsid w:val="000B5DE6"/>
    <w:rsid w:val="000B6412"/>
    <w:rsid w:val="000B6B69"/>
    <w:rsid w:val="000B6F37"/>
    <w:rsid w:val="000C0142"/>
    <w:rsid w:val="000C1EEE"/>
    <w:rsid w:val="000C1FCE"/>
    <w:rsid w:val="000C2FA5"/>
    <w:rsid w:val="000C4035"/>
    <w:rsid w:val="000C470D"/>
    <w:rsid w:val="000C5034"/>
    <w:rsid w:val="000C5D5E"/>
    <w:rsid w:val="000C60DC"/>
    <w:rsid w:val="000C6593"/>
    <w:rsid w:val="000C6A40"/>
    <w:rsid w:val="000C6A75"/>
    <w:rsid w:val="000C734A"/>
    <w:rsid w:val="000C7C8B"/>
    <w:rsid w:val="000D0023"/>
    <w:rsid w:val="000D0AE7"/>
    <w:rsid w:val="000D0FB9"/>
    <w:rsid w:val="000D156C"/>
    <w:rsid w:val="000D203E"/>
    <w:rsid w:val="000D213D"/>
    <w:rsid w:val="000D2CC0"/>
    <w:rsid w:val="000D2E92"/>
    <w:rsid w:val="000D32C8"/>
    <w:rsid w:val="000D3522"/>
    <w:rsid w:val="000D35B5"/>
    <w:rsid w:val="000D3822"/>
    <w:rsid w:val="000D393D"/>
    <w:rsid w:val="000D453E"/>
    <w:rsid w:val="000D468A"/>
    <w:rsid w:val="000D480A"/>
    <w:rsid w:val="000D4D37"/>
    <w:rsid w:val="000D4E22"/>
    <w:rsid w:val="000D5908"/>
    <w:rsid w:val="000D68DE"/>
    <w:rsid w:val="000D78F8"/>
    <w:rsid w:val="000E02D7"/>
    <w:rsid w:val="000E26FB"/>
    <w:rsid w:val="000E3D9B"/>
    <w:rsid w:val="000E425B"/>
    <w:rsid w:val="000E4566"/>
    <w:rsid w:val="000E4641"/>
    <w:rsid w:val="000E51D0"/>
    <w:rsid w:val="000E5CB9"/>
    <w:rsid w:val="000E6435"/>
    <w:rsid w:val="000E6456"/>
    <w:rsid w:val="000E663F"/>
    <w:rsid w:val="000E698C"/>
    <w:rsid w:val="000E753F"/>
    <w:rsid w:val="000E76B1"/>
    <w:rsid w:val="000E774B"/>
    <w:rsid w:val="000E7758"/>
    <w:rsid w:val="000E7AF0"/>
    <w:rsid w:val="000F0DEB"/>
    <w:rsid w:val="000F1917"/>
    <w:rsid w:val="000F19EE"/>
    <w:rsid w:val="000F1F90"/>
    <w:rsid w:val="000F2376"/>
    <w:rsid w:val="000F2534"/>
    <w:rsid w:val="000F2C97"/>
    <w:rsid w:val="000F3652"/>
    <w:rsid w:val="000F36CC"/>
    <w:rsid w:val="000F3A8B"/>
    <w:rsid w:val="000F3D6E"/>
    <w:rsid w:val="000F40DA"/>
    <w:rsid w:val="000F410C"/>
    <w:rsid w:val="000F47F4"/>
    <w:rsid w:val="000F4EE9"/>
    <w:rsid w:val="000F4FE5"/>
    <w:rsid w:val="000F66EA"/>
    <w:rsid w:val="000F6DE9"/>
    <w:rsid w:val="000F7B23"/>
    <w:rsid w:val="000F7CFB"/>
    <w:rsid w:val="0010069A"/>
    <w:rsid w:val="00100E4A"/>
    <w:rsid w:val="00101005"/>
    <w:rsid w:val="001018BF"/>
    <w:rsid w:val="00101EBB"/>
    <w:rsid w:val="001020B1"/>
    <w:rsid w:val="00102853"/>
    <w:rsid w:val="0010297A"/>
    <w:rsid w:val="00102D77"/>
    <w:rsid w:val="00104114"/>
    <w:rsid w:val="00105535"/>
    <w:rsid w:val="00105967"/>
    <w:rsid w:val="00105B59"/>
    <w:rsid w:val="00105BE8"/>
    <w:rsid w:val="00105CCE"/>
    <w:rsid w:val="00106AA7"/>
    <w:rsid w:val="00107053"/>
    <w:rsid w:val="00107331"/>
    <w:rsid w:val="00107B53"/>
    <w:rsid w:val="001102C4"/>
    <w:rsid w:val="001103C2"/>
    <w:rsid w:val="00111A3C"/>
    <w:rsid w:val="00111D72"/>
    <w:rsid w:val="00111E57"/>
    <w:rsid w:val="0011257F"/>
    <w:rsid w:val="001138ED"/>
    <w:rsid w:val="00113ED5"/>
    <w:rsid w:val="0011452E"/>
    <w:rsid w:val="00115540"/>
    <w:rsid w:val="001161B0"/>
    <w:rsid w:val="001163C3"/>
    <w:rsid w:val="00117748"/>
    <w:rsid w:val="00117B20"/>
    <w:rsid w:val="001205D2"/>
    <w:rsid w:val="00120B90"/>
    <w:rsid w:val="00120F80"/>
    <w:rsid w:val="00121CFA"/>
    <w:rsid w:val="00121F7D"/>
    <w:rsid w:val="0012232A"/>
    <w:rsid w:val="00124EF3"/>
    <w:rsid w:val="00124FEF"/>
    <w:rsid w:val="001257F2"/>
    <w:rsid w:val="00125F44"/>
    <w:rsid w:val="0012691B"/>
    <w:rsid w:val="00126F3E"/>
    <w:rsid w:val="00126FE6"/>
    <w:rsid w:val="0012701F"/>
    <w:rsid w:val="00127075"/>
    <w:rsid w:val="00127430"/>
    <w:rsid w:val="001279AE"/>
    <w:rsid w:val="001301FD"/>
    <w:rsid w:val="0013092C"/>
    <w:rsid w:val="00130A50"/>
    <w:rsid w:val="00130DC3"/>
    <w:rsid w:val="001318C4"/>
    <w:rsid w:val="001325A5"/>
    <w:rsid w:val="00132FC6"/>
    <w:rsid w:val="0013332F"/>
    <w:rsid w:val="0013492F"/>
    <w:rsid w:val="00134C76"/>
    <w:rsid w:val="00136240"/>
    <w:rsid w:val="00136E76"/>
    <w:rsid w:val="00136E8B"/>
    <w:rsid w:val="00141921"/>
    <w:rsid w:val="00141B1B"/>
    <w:rsid w:val="00142560"/>
    <w:rsid w:val="001429D2"/>
    <w:rsid w:val="00143A07"/>
    <w:rsid w:val="00144323"/>
    <w:rsid w:val="00145019"/>
    <w:rsid w:val="00145B8D"/>
    <w:rsid w:val="00145E59"/>
    <w:rsid w:val="001468C6"/>
    <w:rsid w:val="00146BBE"/>
    <w:rsid w:val="00146C47"/>
    <w:rsid w:val="0014765A"/>
    <w:rsid w:val="00147EF5"/>
    <w:rsid w:val="00151A59"/>
    <w:rsid w:val="00151B13"/>
    <w:rsid w:val="00151C00"/>
    <w:rsid w:val="00152BFE"/>
    <w:rsid w:val="00153699"/>
    <w:rsid w:val="0015422A"/>
    <w:rsid w:val="00154451"/>
    <w:rsid w:val="00154DD7"/>
    <w:rsid w:val="00155002"/>
    <w:rsid w:val="00156889"/>
    <w:rsid w:val="00156987"/>
    <w:rsid w:val="00157192"/>
    <w:rsid w:val="001579CB"/>
    <w:rsid w:val="0016093E"/>
    <w:rsid w:val="00161037"/>
    <w:rsid w:val="0016113B"/>
    <w:rsid w:val="001622B3"/>
    <w:rsid w:val="00162B7A"/>
    <w:rsid w:val="00163544"/>
    <w:rsid w:val="001644E8"/>
    <w:rsid w:val="0016476B"/>
    <w:rsid w:val="00164EDA"/>
    <w:rsid w:val="001657A7"/>
    <w:rsid w:val="00165A49"/>
    <w:rsid w:val="00165D66"/>
    <w:rsid w:val="0016682B"/>
    <w:rsid w:val="0017027F"/>
    <w:rsid w:val="00171206"/>
    <w:rsid w:val="001715FE"/>
    <w:rsid w:val="00172289"/>
    <w:rsid w:val="001722AD"/>
    <w:rsid w:val="0017312F"/>
    <w:rsid w:val="00173577"/>
    <w:rsid w:val="001738FB"/>
    <w:rsid w:val="001741C3"/>
    <w:rsid w:val="00174750"/>
    <w:rsid w:val="00174B75"/>
    <w:rsid w:val="00175160"/>
    <w:rsid w:val="0017531B"/>
    <w:rsid w:val="0017535F"/>
    <w:rsid w:val="00175E6C"/>
    <w:rsid w:val="0017638E"/>
    <w:rsid w:val="00176AA5"/>
    <w:rsid w:val="00176DD6"/>
    <w:rsid w:val="0017720E"/>
    <w:rsid w:val="00177893"/>
    <w:rsid w:val="001779B4"/>
    <w:rsid w:val="00177DF9"/>
    <w:rsid w:val="00180909"/>
    <w:rsid w:val="001813D6"/>
    <w:rsid w:val="001813DB"/>
    <w:rsid w:val="00181442"/>
    <w:rsid w:val="001816BD"/>
    <w:rsid w:val="001818FE"/>
    <w:rsid w:val="00181D09"/>
    <w:rsid w:val="00182B8B"/>
    <w:rsid w:val="00182D1C"/>
    <w:rsid w:val="00183398"/>
    <w:rsid w:val="00183C5B"/>
    <w:rsid w:val="00184221"/>
    <w:rsid w:val="0018449A"/>
    <w:rsid w:val="00184E45"/>
    <w:rsid w:val="00185721"/>
    <w:rsid w:val="00186177"/>
    <w:rsid w:val="00186307"/>
    <w:rsid w:val="00186EBC"/>
    <w:rsid w:val="001870D8"/>
    <w:rsid w:val="001874EF"/>
    <w:rsid w:val="0018790D"/>
    <w:rsid w:val="001879D6"/>
    <w:rsid w:val="00187FAB"/>
    <w:rsid w:val="00190000"/>
    <w:rsid w:val="00190165"/>
    <w:rsid w:val="00190C67"/>
    <w:rsid w:val="00191205"/>
    <w:rsid w:val="00191BA6"/>
    <w:rsid w:val="0019224A"/>
    <w:rsid w:val="00192AF6"/>
    <w:rsid w:val="00193018"/>
    <w:rsid w:val="00194751"/>
    <w:rsid w:val="00194D7F"/>
    <w:rsid w:val="00195D54"/>
    <w:rsid w:val="00195DA4"/>
    <w:rsid w:val="00195E49"/>
    <w:rsid w:val="00196505"/>
    <w:rsid w:val="001A0142"/>
    <w:rsid w:val="001A02B2"/>
    <w:rsid w:val="001A032C"/>
    <w:rsid w:val="001A0CFB"/>
    <w:rsid w:val="001A234B"/>
    <w:rsid w:val="001A26BD"/>
    <w:rsid w:val="001A2897"/>
    <w:rsid w:val="001A4559"/>
    <w:rsid w:val="001A4700"/>
    <w:rsid w:val="001A48B1"/>
    <w:rsid w:val="001A49DD"/>
    <w:rsid w:val="001A51BD"/>
    <w:rsid w:val="001A68B2"/>
    <w:rsid w:val="001A6A06"/>
    <w:rsid w:val="001A78EE"/>
    <w:rsid w:val="001B00CE"/>
    <w:rsid w:val="001B043A"/>
    <w:rsid w:val="001B0D68"/>
    <w:rsid w:val="001B1048"/>
    <w:rsid w:val="001B16D1"/>
    <w:rsid w:val="001B1AA8"/>
    <w:rsid w:val="001B3BAA"/>
    <w:rsid w:val="001B542D"/>
    <w:rsid w:val="001B5746"/>
    <w:rsid w:val="001B5AA4"/>
    <w:rsid w:val="001B6389"/>
    <w:rsid w:val="001B6B85"/>
    <w:rsid w:val="001B7ACF"/>
    <w:rsid w:val="001C04CC"/>
    <w:rsid w:val="001C051E"/>
    <w:rsid w:val="001C1292"/>
    <w:rsid w:val="001C2250"/>
    <w:rsid w:val="001C2889"/>
    <w:rsid w:val="001C31B8"/>
    <w:rsid w:val="001C33D9"/>
    <w:rsid w:val="001C36FC"/>
    <w:rsid w:val="001C3E12"/>
    <w:rsid w:val="001C4912"/>
    <w:rsid w:val="001C5352"/>
    <w:rsid w:val="001C53B9"/>
    <w:rsid w:val="001C53D2"/>
    <w:rsid w:val="001C7C1B"/>
    <w:rsid w:val="001D031C"/>
    <w:rsid w:val="001D053F"/>
    <w:rsid w:val="001D120B"/>
    <w:rsid w:val="001D155E"/>
    <w:rsid w:val="001D17BA"/>
    <w:rsid w:val="001D1D11"/>
    <w:rsid w:val="001D1E27"/>
    <w:rsid w:val="001D1F78"/>
    <w:rsid w:val="001D206F"/>
    <w:rsid w:val="001D2619"/>
    <w:rsid w:val="001D3A64"/>
    <w:rsid w:val="001D3FE1"/>
    <w:rsid w:val="001D462B"/>
    <w:rsid w:val="001D4789"/>
    <w:rsid w:val="001D5422"/>
    <w:rsid w:val="001D5479"/>
    <w:rsid w:val="001D5502"/>
    <w:rsid w:val="001D55A5"/>
    <w:rsid w:val="001D5622"/>
    <w:rsid w:val="001D5A46"/>
    <w:rsid w:val="001D5DE3"/>
    <w:rsid w:val="001D79FD"/>
    <w:rsid w:val="001D7BAE"/>
    <w:rsid w:val="001E0082"/>
    <w:rsid w:val="001E1967"/>
    <w:rsid w:val="001E30FD"/>
    <w:rsid w:val="001E419E"/>
    <w:rsid w:val="001E4361"/>
    <w:rsid w:val="001E4812"/>
    <w:rsid w:val="001E56E4"/>
    <w:rsid w:val="001E5918"/>
    <w:rsid w:val="001E766F"/>
    <w:rsid w:val="001F051A"/>
    <w:rsid w:val="001F073C"/>
    <w:rsid w:val="001F0D62"/>
    <w:rsid w:val="001F13F3"/>
    <w:rsid w:val="001F19C3"/>
    <w:rsid w:val="001F1DAB"/>
    <w:rsid w:val="001F1F50"/>
    <w:rsid w:val="001F2912"/>
    <w:rsid w:val="001F3643"/>
    <w:rsid w:val="001F3BF5"/>
    <w:rsid w:val="001F4096"/>
    <w:rsid w:val="001F4330"/>
    <w:rsid w:val="001F44E1"/>
    <w:rsid w:val="001F50EB"/>
    <w:rsid w:val="001F55F5"/>
    <w:rsid w:val="001F5B6E"/>
    <w:rsid w:val="001F6497"/>
    <w:rsid w:val="001F6C6B"/>
    <w:rsid w:val="001F6F3D"/>
    <w:rsid w:val="001F74BE"/>
    <w:rsid w:val="001F79D1"/>
    <w:rsid w:val="001F7A37"/>
    <w:rsid w:val="002001C6"/>
    <w:rsid w:val="00200296"/>
    <w:rsid w:val="002005C3"/>
    <w:rsid w:val="002008E6"/>
    <w:rsid w:val="00201ADB"/>
    <w:rsid w:val="00203DAF"/>
    <w:rsid w:val="00203F6E"/>
    <w:rsid w:val="00205105"/>
    <w:rsid w:val="002058BA"/>
    <w:rsid w:val="002058E5"/>
    <w:rsid w:val="00206926"/>
    <w:rsid w:val="00206C95"/>
    <w:rsid w:val="002103B7"/>
    <w:rsid w:val="002108F5"/>
    <w:rsid w:val="00210FAA"/>
    <w:rsid w:val="00212DCD"/>
    <w:rsid w:val="002143B9"/>
    <w:rsid w:val="00214D04"/>
    <w:rsid w:val="0021514B"/>
    <w:rsid w:val="0021529E"/>
    <w:rsid w:val="002153EE"/>
    <w:rsid w:val="00215683"/>
    <w:rsid w:val="00215B1D"/>
    <w:rsid w:val="0021613B"/>
    <w:rsid w:val="00216472"/>
    <w:rsid w:val="00216DB4"/>
    <w:rsid w:val="00216DC9"/>
    <w:rsid w:val="00217592"/>
    <w:rsid w:val="00220316"/>
    <w:rsid w:val="0022124F"/>
    <w:rsid w:val="00221AFC"/>
    <w:rsid w:val="0022249B"/>
    <w:rsid w:val="00222BE2"/>
    <w:rsid w:val="00223360"/>
    <w:rsid w:val="0022346C"/>
    <w:rsid w:val="002234A6"/>
    <w:rsid w:val="002239A8"/>
    <w:rsid w:val="002242E5"/>
    <w:rsid w:val="00224C6E"/>
    <w:rsid w:val="00224EF4"/>
    <w:rsid w:val="00225910"/>
    <w:rsid w:val="00225DBE"/>
    <w:rsid w:val="0022622F"/>
    <w:rsid w:val="00227027"/>
    <w:rsid w:val="002278EE"/>
    <w:rsid w:val="00230243"/>
    <w:rsid w:val="0023148A"/>
    <w:rsid w:val="00232839"/>
    <w:rsid w:val="0023303F"/>
    <w:rsid w:val="00233055"/>
    <w:rsid w:val="00233598"/>
    <w:rsid w:val="0023461F"/>
    <w:rsid w:val="00234687"/>
    <w:rsid w:val="002350DC"/>
    <w:rsid w:val="00235381"/>
    <w:rsid w:val="002355E9"/>
    <w:rsid w:val="00235838"/>
    <w:rsid w:val="00235C0D"/>
    <w:rsid w:val="00236A2D"/>
    <w:rsid w:val="00237A1D"/>
    <w:rsid w:val="00237C7F"/>
    <w:rsid w:val="00240AD6"/>
    <w:rsid w:val="00240C7C"/>
    <w:rsid w:val="00241FF5"/>
    <w:rsid w:val="002425EA"/>
    <w:rsid w:val="00242EA0"/>
    <w:rsid w:val="00243685"/>
    <w:rsid w:val="00243A94"/>
    <w:rsid w:val="00243DCF"/>
    <w:rsid w:val="00245386"/>
    <w:rsid w:val="002471C3"/>
    <w:rsid w:val="00247828"/>
    <w:rsid w:val="002479BB"/>
    <w:rsid w:val="0025058A"/>
    <w:rsid w:val="002508FC"/>
    <w:rsid w:val="00250B60"/>
    <w:rsid w:val="00250C73"/>
    <w:rsid w:val="00250E58"/>
    <w:rsid w:val="00251056"/>
    <w:rsid w:val="00251120"/>
    <w:rsid w:val="002517B0"/>
    <w:rsid w:val="002523BB"/>
    <w:rsid w:val="00253811"/>
    <w:rsid w:val="00253B81"/>
    <w:rsid w:val="00254054"/>
    <w:rsid w:val="00254853"/>
    <w:rsid w:val="00255623"/>
    <w:rsid w:val="0025613F"/>
    <w:rsid w:val="002564F5"/>
    <w:rsid w:val="0026041A"/>
    <w:rsid w:val="00260592"/>
    <w:rsid w:val="00260C39"/>
    <w:rsid w:val="00261039"/>
    <w:rsid w:val="00261DC6"/>
    <w:rsid w:val="002623A6"/>
    <w:rsid w:val="002627DE"/>
    <w:rsid w:val="0026317F"/>
    <w:rsid w:val="00264188"/>
    <w:rsid w:val="00264623"/>
    <w:rsid w:val="00264BE8"/>
    <w:rsid w:val="0026618F"/>
    <w:rsid w:val="002669CA"/>
    <w:rsid w:val="002672A2"/>
    <w:rsid w:val="00267981"/>
    <w:rsid w:val="00267D74"/>
    <w:rsid w:val="00270543"/>
    <w:rsid w:val="00270D33"/>
    <w:rsid w:val="00271624"/>
    <w:rsid w:val="00271711"/>
    <w:rsid w:val="00272B46"/>
    <w:rsid w:val="00273C92"/>
    <w:rsid w:val="00274436"/>
    <w:rsid w:val="0027496E"/>
    <w:rsid w:val="00275CA7"/>
    <w:rsid w:val="00275D9B"/>
    <w:rsid w:val="00275E51"/>
    <w:rsid w:val="0027729D"/>
    <w:rsid w:val="00277E9C"/>
    <w:rsid w:val="00280375"/>
    <w:rsid w:val="00280A4D"/>
    <w:rsid w:val="00280A7D"/>
    <w:rsid w:val="00280B5B"/>
    <w:rsid w:val="00280F0E"/>
    <w:rsid w:val="00281665"/>
    <w:rsid w:val="00281BB6"/>
    <w:rsid w:val="002820C9"/>
    <w:rsid w:val="00282D1F"/>
    <w:rsid w:val="00283055"/>
    <w:rsid w:val="002836DF"/>
    <w:rsid w:val="00284DCB"/>
    <w:rsid w:val="002864A3"/>
    <w:rsid w:val="0028667C"/>
    <w:rsid w:val="00287191"/>
    <w:rsid w:val="00290727"/>
    <w:rsid w:val="002916DE"/>
    <w:rsid w:val="0029178D"/>
    <w:rsid w:val="00291B65"/>
    <w:rsid w:val="00291B88"/>
    <w:rsid w:val="0029201F"/>
    <w:rsid w:val="002928F4"/>
    <w:rsid w:val="00292904"/>
    <w:rsid w:val="002930B2"/>
    <w:rsid w:val="0029363F"/>
    <w:rsid w:val="0029367F"/>
    <w:rsid w:val="00293A19"/>
    <w:rsid w:val="00293F85"/>
    <w:rsid w:val="002942C6"/>
    <w:rsid w:val="00294E92"/>
    <w:rsid w:val="00294FC4"/>
    <w:rsid w:val="002950CE"/>
    <w:rsid w:val="00295353"/>
    <w:rsid w:val="002953BB"/>
    <w:rsid w:val="00295F19"/>
    <w:rsid w:val="002960CE"/>
    <w:rsid w:val="002962D9"/>
    <w:rsid w:val="002974AB"/>
    <w:rsid w:val="002A13AB"/>
    <w:rsid w:val="002A15BC"/>
    <w:rsid w:val="002A162B"/>
    <w:rsid w:val="002A2181"/>
    <w:rsid w:val="002A26DD"/>
    <w:rsid w:val="002A2979"/>
    <w:rsid w:val="002A2A08"/>
    <w:rsid w:val="002A2A3F"/>
    <w:rsid w:val="002A2D93"/>
    <w:rsid w:val="002A368C"/>
    <w:rsid w:val="002A422C"/>
    <w:rsid w:val="002A4503"/>
    <w:rsid w:val="002A4A96"/>
    <w:rsid w:val="002A4B6B"/>
    <w:rsid w:val="002A4EC0"/>
    <w:rsid w:val="002A674A"/>
    <w:rsid w:val="002A68D4"/>
    <w:rsid w:val="002B03F1"/>
    <w:rsid w:val="002B04E3"/>
    <w:rsid w:val="002B14EE"/>
    <w:rsid w:val="002B1D57"/>
    <w:rsid w:val="002B29C2"/>
    <w:rsid w:val="002B4941"/>
    <w:rsid w:val="002B55C5"/>
    <w:rsid w:val="002B5D74"/>
    <w:rsid w:val="002B5E2C"/>
    <w:rsid w:val="002B6488"/>
    <w:rsid w:val="002B6E3C"/>
    <w:rsid w:val="002B7ADB"/>
    <w:rsid w:val="002B7C14"/>
    <w:rsid w:val="002B7D4C"/>
    <w:rsid w:val="002C1D2F"/>
    <w:rsid w:val="002C1D91"/>
    <w:rsid w:val="002C22C8"/>
    <w:rsid w:val="002C24FC"/>
    <w:rsid w:val="002C25B6"/>
    <w:rsid w:val="002C2797"/>
    <w:rsid w:val="002C2BFD"/>
    <w:rsid w:val="002C4DE0"/>
    <w:rsid w:val="002C6E9D"/>
    <w:rsid w:val="002C735D"/>
    <w:rsid w:val="002C756A"/>
    <w:rsid w:val="002C77DB"/>
    <w:rsid w:val="002C78B5"/>
    <w:rsid w:val="002C7EF6"/>
    <w:rsid w:val="002D0930"/>
    <w:rsid w:val="002D0FC3"/>
    <w:rsid w:val="002D15FE"/>
    <w:rsid w:val="002D1F86"/>
    <w:rsid w:val="002D2FCA"/>
    <w:rsid w:val="002D34C2"/>
    <w:rsid w:val="002D431D"/>
    <w:rsid w:val="002D5AEB"/>
    <w:rsid w:val="002D5B30"/>
    <w:rsid w:val="002D64C3"/>
    <w:rsid w:val="002D7823"/>
    <w:rsid w:val="002D7EF3"/>
    <w:rsid w:val="002E111C"/>
    <w:rsid w:val="002E41D0"/>
    <w:rsid w:val="002E41DF"/>
    <w:rsid w:val="002E4227"/>
    <w:rsid w:val="002E42FD"/>
    <w:rsid w:val="002E4397"/>
    <w:rsid w:val="002E4646"/>
    <w:rsid w:val="002E4BC7"/>
    <w:rsid w:val="002E4C2D"/>
    <w:rsid w:val="002E4D6D"/>
    <w:rsid w:val="002E4EC2"/>
    <w:rsid w:val="002E5DEA"/>
    <w:rsid w:val="002E6FC2"/>
    <w:rsid w:val="002E724A"/>
    <w:rsid w:val="002E72D6"/>
    <w:rsid w:val="002E7D7E"/>
    <w:rsid w:val="002F0CC4"/>
    <w:rsid w:val="002F2BCC"/>
    <w:rsid w:val="002F311E"/>
    <w:rsid w:val="002F5C68"/>
    <w:rsid w:val="002F621E"/>
    <w:rsid w:val="002F639E"/>
    <w:rsid w:val="002F71B8"/>
    <w:rsid w:val="002F7C6F"/>
    <w:rsid w:val="00300067"/>
    <w:rsid w:val="0030057F"/>
    <w:rsid w:val="00301EA1"/>
    <w:rsid w:val="003022BC"/>
    <w:rsid w:val="00302745"/>
    <w:rsid w:val="00302FCC"/>
    <w:rsid w:val="00303484"/>
    <w:rsid w:val="00303C94"/>
    <w:rsid w:val="00304524"/>
    <w:rsid w:val="003062AE"/>
    <w:rsid w:val="0030662C"/>
    <w:rsid w:val="00306E14"/>
    <w:rsid w:val="00307CC1"/>
    <w:rsid w:val="00307E1B"/>
    <w:rsid w:val="00310614"/>
    <w:rsid w:val="00310C19"/>
    <w:rsid w:val="00311002"/>
    <w:rsid w:val="00312313"/>
    <w:rsid w:val="00312A12"/>
    <w:rsid w:val="0031316D"/>
    <w:rsid w:val="00313B31"/>
    <w:rsid w:val="0031436F"/>
    <w:rsid w:val="00314622"/>
    <w:rsid w:val="003147C0"/>
    <w:rsid w:val="003152DB"/>
    <w:rsid w:val="003153C0"/>
    <w:rsid w:val="00315514"/>
    <w:rsid w:val="00316878"/>
    <w:rsid w:val="00316D77"/>
    <w:rsid w:val="00316EF3"/>
    <w:rsid w:val="00317387"/>
    <w:rsid w:val="00317A95"/>
    <w:rsid w:val="0032066F"/>
    <w:rsid w:val="00320D3D"/>
    <w:rsid w:val="0032105E"/>
    <w:rsid w:val="003211DF"/>
    <w:rsid w:val="003214BF"/>
    <w:rsid w:val="00321626"/>
    <w:rsid w:val="00321D8E"/>
    <w:rsid w:val="0032221F"/>
    <w:rsid w:val="003223B8"/>
    <w:rsid w:val="0032304A"/>
    <w:rsid w:val="00324F8C"/>
    <w:rsid w:val="003253CB"/>
    <w:rsid w:val="003261A7"/>
    <w:rsid w:val="0032653B"/>
    <w:rsid w:val="003270CC"/>
    <w:rsid w:val="003271EB"/>
    <w:rsid w:val="00330446"/>
    <w:rsid w:val="003312FF"/>
    <w:rsid w:val="0033164E"/>
    <w:rsid w:val="0033226D"/>
    <w:rsid w:val="0033310E"/>
    <w:rsid w:val="003332D1"/>
    <w:rsid w:val="00333526"/>
    <w:rsid w:val="00333639"/>
    <w:rsid w:val="00333833"/>
    <w:rsid w:val="00333CC8"/>
    <w:rsid w:val="00333E56"/>
    <w:rsid w:val="00334ACF"/>
    <w:rsid w:val="00336D01"/>
    <w:rsid w:val="00340593"/>
    <w:rsid w:val="00340C70"/>
    <w:rsid w:val="00341610"/>
    <w:rsid w:val="00341A14"/>
    <w:rsid w:val="0034214F"/>
    <w:rsid w:val="0034223D"/>
    <w:rsid w:val="00342E61"/>
    <w:rsid w:val="00343F37"/>
    <w:rsid w:val="00344CD4"/>
    <w:rsid w:val="00344F9E"/>
    <w:rsid w:val="003451C5"/>
    <w:rsid w:val="003457E3"/>
    <w:rsid w:val="00347620"/>
    <w:rsid w:val="00347DE2"/>
    <w:rsid w:val="00347FBE"/>
    <w:rsid w:val="0035049B"/>
    <w:rsid w:val="00350A4B"/>
    <w:rsid w:val="00351381"/>
    <w:rsid w:val="00352AC5"/>
    <w:rsid w:val="003530A6"/>
    <w:rsid w:val="00353627"/>
    <w:rsid w:val="0035397A"/>
    <w:rsid w:val="00354513"/>
    <w:rsid w:val="00355451"/>
    <w:rsid w:val="00355F72"/>
    <w:rsid w:val="003565CE"/>
    <w:rsid w:val="003567DB"/>
    <w:rsid w:val="00356AD7"/>
    <w:rsid w:val="00356FAE"/>
    <w:rsid w:val="0035704E"/>
    <w:rsid w:val="00357657"/>
    <w:rsid w:val="00357EC9"/>
    <w:rsid w:val="00360058"/>
    <w:rsid w:val="00362893"/>
    <w:rsid w:val="00363770"/>
    <w:rsid w:val="003639A6"/>
    <w:rsid w:val="00364469"/>
    <w:rsid w:val="00365D3D"/>
    <w:rsid w:val="003668E4"/>
    <w:rsid w:val="0036773B"/>
    <w:rsid w:val="003679AE"/>
    <w:rsid w:val="00370435"/>
    <w:rsid w:val="003704BD"/>
    <w:rsid w:val="003704D9"/>
    <w:rsid w:val="00370AE6"/>
    <w:rsid w:val="00370E5A"/>
    <w:rsid w:val="00371175"/>
    <w:rsid w:val="00371661"/>
    <w:rsid w:val="00372F3B"/>
    <w:rsid w:val="00373276"/>
    <w:rsid w:val="0037331D"/>
    <w:rsid w:val="00373B76"/>
    <w:rsid w:val="00373B94"/>
    <w:rsid w:val="003745A5"/>
    <w:rsid w:val="0037591C"/>
    <w:rsid w:val="00375EB3"/>
    <w:rsid w:val="003762F3"/>
    <w:rsid w:val="003765A5"/>
    <w:rsid w:val="003805D6"/>
    <w:rsid w:val="00381085"/>
    <w:rsid w:val="0038281C"/>
    <w:rsid w:val="0038410F"/>
    <w:rsid w:val="00384774"/>
    <w:rsid w:val="003851FE"/>
    <w:rsid w:val="00385A64"/>
    <w:rsid w:val="0038631A"/>
    <w:rsid w:val="00386D07"/>
    <w:rsid w:val="00386D1A"/>
    <w:rsid w:val="00390245"/>
    <w:rsid w:val="003902EE"/>
    <w:rsid w:val="0039057E"/>
    <w:rsid w:val="00390900"/>
    <w:rsid w:val="00390913"/>
    <w:rsid w:val="00391038"/>
    <w:rsid w:val="00391288"/>
    <w:rsid w:val="00391ABF"/>
    <w:rsid w:val="00391D11"/>
    <w:rsid w:val="003938B0"/>
    <w:rsid w:val="00393ADB"/>
    <w:rsid w:val="00393E03"/>
    <w:rsid w:val="00393EB4"/>
    <w:rsid w:val="003944D9"/>
    <w:rsid w:val="00394EA1"/>
    <w:rsid w:val="0039537C"/>
    <w:rsid w:val="00396203"/>
    <w:rsid w:val="00396900"/>
    <w:rsid w:val="00396A2F"/>
    <w:rsid w:val="00396DFD"/>
    <w:rsid w:val="00397170"/>
    <w:rsid w:val="00397AA8"/>
    <w:rsid w:val="003A0A20"/>
    <w:rsid w:val="003A0D7D"/>
    <w:rsid w:val="003A0FE8"/>
    <w:rsid w:val="003A135C"/>
    <w:rsid w:val="003A2BF7"/>
    <w:rsid w:val="003A2F0E"/>
    <w:rsid w:val="003A32D2"/>
    <w:rsid w:val="003A3433"/>
    <w:rsid w:val="003A4236"/>
    <w:rsid w:val="003A454F"/>
    <w:rsid w:val="003A537E"/>
    <w:rsid w:val="003A5526"/>
    <w:rsid w:val="003A5E15"/>
    <w:rsid w:val="003A6267"/>
    <w:rsid w:val="003A641D"/>
    <w:rsid w:val="003A660F"/>
    <w:rsid w:val="003A7984"/>
    <w:rsid w:val="003A7A80"/>
    <w:rsid w:val="003B095E"/>
    <w:rsid w:val="003B171D"/>
    <w:rsid w:val="003B237E"/>
    <w:rsid w:val="003B3B41"/>
    <w:rsid w:val="003B41C7"/>
    <w:rsid w:val="003B427E"/>
    <w:rsid w:val="003B4D16"/>
    <w:rsid w:val="003B5ACA"/>
    <w:rsid w:val="003B6211"/>
    <w:rsid w:val="003B6861"/>
    <w:rsid w:val="003B7723"/>
    <w:rsid w:val="003C01C7"/>
    <w:rsid w:val="003C0595"/>
    <w:rsid w:val="003C0B16"/>
    <w:rsid w:val="003C0BF9"/>
    <w:rsid w:val="003C0EAF"/>
    <w:rsid w:val="003C13D8"/>
    <w:rsid w:val="003C1A9F"/>
    <w:rsid w:val="003C259E"/>
    <w:rsid w:val="003C4C61"/>
    <w:rsid w:val="003C5F28"/>
    <w:rsid w:val="003C5F54"/>
    <w:rsid w:val="003C62AB"/>
    <w:rsid w:val="003C6E65"/>
    <w:rsid w:val="003C6FF9"/>
    <w:rsid w:val="003C7B8D"/>
    <w:rsid w:val="003D057C"/>
    <w:rsid w:val="003D11A9"/>
    <w:rsid w:val="003D1C29"/>
    <w:rsid w:val="003D20C7"/>
    <w:rsid w:val="003D2A37"/>
    <w:rsid w:val="003D2E56"/>
    <w:rsid w:val="003D3456"/>
    <w:rsid w:val="003D3F5E"/>
    <w:rsid w:val="003D4971"/>
    <w:rsid w:val="003D50A9"/>
    <w:rsid w:val="003D532A"/>
    <w:rsid w:val="003D580B"/>
    <w:rsid w:val="003D69EF"/>
    <w:rsid w:val="003D70F1"/>
    <w:rsid w:val="003D79C7"/>
    <w:rsid w:val="003D7F8C"/>
    <w:rsid w:val="003E0510"/>
    <w:rsid w:val="003E0BB4"/>
    <w:rsid w:val="003E0EDB"/>
    <w:rsid w:val="003E1B69"/>
    <w:rsid w:val="003E1B73"/>
    <w:rsid w:val="003E2EAD"/>
    <w:rsid w:val="003E332D"/>
    <w:rsid w:val="003E34B1"/>
    <w:rsid w:val="003E4100"/>
    <w:rsid w:val="003E41C3"/>
    <w:rsid w:val="003E504F"/>
    <w:rsid w:val="003E5C9F"/>
    <w:rsid w:val="003E5F74"/>
    <w:rsid w:val="003E5FED"/>
    <w:rsid w:val="003E60DD"/>
    <w:rsid w:val="003E616C"/>
    <w:rsid w:val="003E634A"/>
    <w:rsid w:val="003E6475"/>
    <w:rsid w:val="003E6598"/>
    <w:rsid w:val="003E74F0"/>
    <w:rsid w:val="003E7595"/>
    <w:rsid w:val="003E7896"/>
    <w:rsid w:val="003E7B06"/>
    <w:rsid w:val="003F0110"/>
    <w:rsid w:val="003F098F"/>
    <w:rsid w:val="003F105A"/>
    <w:rsid w:val="003F283D"/>
    <w:rsid w:val="003F3855"/>
    <w:rsid w:val="003F4ACB"/>
    <w:rsid w:val="003F4BAE"/>
    <w:rsid w:val="003F4C66"/>
    <w:rsid w:val="003F5375"/>
    <w:rsid w:val="003F6199"/>
    <w:rsid w:val="003F6D76"/>
    <w:rsid w:val="003F75BE"/>
    <w:rsid w:val="003F7D4A"/>
    <w:rsid w:val="00400E1B"/>
    <w:rsid w:val="0040107B"/>
    <w:rsid w:val="00401A78"/>
    <w:rsid w:val="00401CBB"/>
    <w:rsid w:val="004020D0"/>
    <w:rsid w:val="004022E1"/>
    <w:rsid w:val="004033BF"/>
    <w:rsid w:val="004035F7"/>
    <w:rsid w:val="00403A1F"/>
    <w:rsid w:val="00403ACE"/>
    <w:rsid w:val="00405019"/>
    <w:rsid w:val="0040530C"/>
    <w:rsid w:val="00405A3E"/>
    <w:rsid w:val="00405D46"/>
    <w:rsid w:val="00406BA4"/>
    <w:rsid w:val="00406EDA"/>
    <w:rsid w:val="00407A98"/>
    <w:rsid w:val="004100B2"/>
    <w:rsid w:val="004102F5"/>
    <w:rsid w:val="00410466"/>
    <w:rsid w:val="00410D3E"/>
    <w:rsid w:val="004111EA"/>
    <w:rsid w:val="00411615"/>
    <w:rsid w:val="00411A30"/>
    <w:rsid w:val="00412268"/>
    <w:rsid w:val="004124B3"/>
    <w:rsid w:val="00413399"/>
    <w:rsid w:val="00413620"/>
    <w:rsid w:val="004141AC"/>
    <w:rsid w:val="00414E91"/>
    <w:rsid w:val="00415514"/>
    <w:rsid w:val="00415711"/>
    <w:rsid w:val="00417EBF"/>
    <w:rsid w:val="00420871"/>
    <w:rsid w:val="0042119C"/>
    <w:rsid w:val="00421450"/>
    <w:rsid w:val="00421B35"/>
    <w:rsid w:val="0042287E"/>
    <w:rsid w:val="00422BA8"/>
    <w:rsid w:val="00423355"/>
    <w:rsid w:val="00423A60"/>
    <w:rsid w:val="004244B8"/>
    <w:rsid w:val="00425109"/>
    <w:rsid w:val="0042549D"/>
    <w:rsid w:val="00425A15"/>
    <w:rsid w:val="00425EFB"/>
    <w:rsid w:val="00426248"/>
    <w:rsid w:val="0042700C"/>
    <w:rsid w:val="00427135"/>
    <w:rsid w:val="00427CE1"/>
    <w:rsid w:val="00427E55"/>
    <w:rsid w:val="00427F59"/>
    <w:rsid w:val="00430039"/>
    <w:rsid w:val="0043010A"/>
    <w:rsid w:val="0043025D"/>
    <w:rsid w:val="004339B8"/>
    <w:rsid w:val="00433F95"/>
    <w:rsid w:val="0043439E"/>
    <w:rsid w:val="004347B4"/>
    <w:rsid w:val="004350E0"/>
    <w:rsid w:val="00435DF5"/>
    <w:rsid w:val="0043787D"/>
    <w:rsid w:val="00437BB5"/>
    <w:rsid w:val="00440B4A"/>
    <w:rsid w:val="00440C81"/>
    <w:rsid w:val="00441505"/>
    <w:rsid w:val="004438B5"/>
    <w:rsid w:val="00443E5A"/>
    <w:rsid w:val="00443E7C"/>
    <w:rsid w:val="00445855"/>
    <w:rsid w:val="00445E55"/>
    <w:rsid w:val="00445F07"/>
    <w:rsid w:val="0044623C"/>
    <w:rsid w:val="004465ED"/>
    <w:rsid w:val="00446781"/>
    <w:rsid w:val="00446A23"/>
    <w:rsid w:val="00447F3E"/>
    <w:rsid w:val="00450676"/>
    <w:rsid w:val="00450DD9"/>
    <w:rsid w:val="00450E17"/>
    <w:rsid w:val="00450F89"/>
    <w:rsid w:val="00451B57"/>
    <w:rsid w:val="004533BE"/>
    <w:rsid w:val="0045364E"/>
    <w:rsid w:val="00453875"/>
    <w:rsid w:val="00453BAE"/>
    <w:rsid w:val="00453C18"/>
    <w:rsid w:val="00453D59"/>
    <w:rsid w:val="00454493"/>
    <w:rsid w:val="0045488B"/>
    <w:rsid w:val="00455CAB"/>
    <w:rsid w:val="004561EA"/>
    <w:rsid w:val="004573E6"/>
    <w:rsid w:val="00457B40"/>
    <w:rsid w:val="00457ECB"/>
    <w:rsid w:val="004619BB"/>
    <w:rsid w:val="00461E60"/>
    <w:rsid w:val="004635DC"/>
    <w:rsid w:val="00463E97"/>
    <w:rsid w:val="00464927"/>
    <w:rsid w:val="00464992"/>
    <w:rsid w:val="004658B8"/>
    <w:rsid w:val="00465D3F"/>
    <w:rsid w:val="00465F26"/>
    <w:rsid w:val="004661D2"/>
    <w:rsid w:val="0046621E"/>
    <w:rsid w:val="00466A0B"/>
    <w:rsid w:val="004675C4"/>
    <w:rsid w:val="00470B05"/>
    <w:rsid w:val="00471454"/>
    <w:rsid w:val="00472D4D"/>
    <w:rsid w:val="00473077"/>
    <w:rsid w:val="00473833"/>
    <w:rsid w:val="004742CE"/>
    <w:rsid w:val="00474978"/>
    <w:rsid w:val="004749A8"/>
    <w:rsid w:val="00475AAD"/>
    <w:rsid w:val="00475B1F"/>
    <w:rsid w:val="00475D26"/>
    <w:rsid w:val="00475D5E"/>
    <w:rsid w:val="00475F7D"/>
    <w:rsid w:val="00477061"/>
    <w:rsid w:val="004773E3"/>
    <w:rsid w:val="00477D0A"/>
    <w:rsid w:val="0048094B"/>
    <w:rsid w:val="00480CFE"/>
    <w:rsid w:val="0048162E"/>
    <w:rsid w:val="004827A7"/>
    <w:rsid w:val="0048435A"/>
    <w:rsid w:val="0048493E"/>
    <w:rsid w:val="00484A1C"/>
    <w:rsid w:val="00484A5D"/>
    <w:rsid w:val="004854A2"/>
    <w:rsid w:val="004855AC"/>
    <w:rsid w:val="004865BD"/>
    <w:rsid w:val="00486715"/>
    <w:rsid w:val="004877BF"/>
    <w:rsid w:val="004877C0"/>
    <w:rsid w:val="00490BA8"/>
    <w:rsid w:val="004919DD"/>
    <w:rsid w:val="00491FF8"/>
    <w:rsid w:val="0049330A"/>
    <w:rsid w:val="0049336D"/>
    <w:rsid w:val="0049366D"/>
    <w:rsid w:val="004936AD"/>
    <w:rsid w:val="0049398E"/>
    <w:rsid w:val="00494F7C"/>
    <w:rsid w:val="004961B9"/>
    <w:rsid w:val="00496B14"/>
    <w:rsid w:val="00497D75"/>
    <w:rsid w:val="004A0715"/>
    <w:rsid w:val="004A0959"/>
    <w:rsid w:val="004A0B6C"/>
    <w:rsid w:val="004A0D71"/>
    <w:rsid w:val="004A1ACC"/>
    <w:rsid w:val="004A2DF5"/>
    <w:rsid w:val="004A2F0D"/>
    <w:rsid w:val="004A3976"/>
    <w:rsid w:val="004A4754"/>
    <w:rsid w:val="004A4EF3"/>
    <w:rsid w:val="004A563E"/>
    <w:rsid w:val="004A5641"/>
    <w:rsid w:val="004A5BCA"/>
    <w:rsid w:val="004A5CCD"/>
    <w:rsid w:val="004A61B6"/>
    <w:rsid w:val="004A676F"/>
    <w:rsid w:val="004A7AE7"/>
    <w:rsid w:val="004B01A7"/>
    <w:rsid w:val="004B100E"/>
    <w:rsid w:val="004B2B04"/>
    <w:rsid w:val="004B3963"/>
    <w:rsid w:val="004B3C00"/>
    <w:rsid w:val="004B3CAC"/>
    <w:rsid w:val="004B3E3F"/>
    <w:rsid w:val="004B3F29"/>
    <w:rsid w:val="004B406E"/>
    <w:rsid w:val="004B44FE"/>
    <w:rsid w:val="004B514F"/>
    <w:rsid w:val="004B5811"/>
    <w:rsid w:val="004B5E1A"/>
    <w:rsid w:val="004B6248"/>
    <w:rsid w:val="004B662C"/>
    <w:rsid w:val="004B682B"/>
    <w:rsid w:val="004B728A"/>
    <w:rsid w:val="004C0699"/>
    <w:rsid w:val="004C0B28"/>
    <w:rsid w:val="004C1215"/>
    <w:rsid w:val="004C14A3"/>
    <w:rsid w:val="004C1E55"/>
    <w:rsid w:val="004C23BA"/>
    <w:rsid w:val="004C2410"/>
    <w:rsid w:val="004C2B47"/>
    <w:rsid w:val="004C34BF"/>
    <w:rsid w:val="004C3B0A"/>
    <w:rsid w:val="004C4150"/>
    <w:rsid w:val="004C4841"/>
    <w:rsid w:val="004C5226"/>
    <w:rsid w:val="004C5279"/>
    <w:rsid w:val="004C5F63"/>
    <w:rsid w:val="004C6091"/>
    <w:rsid w:val="004C6B2D"/>
    <w:rsid w:val="004C6CD8"/>
    <w:rsid w:val="004C6E47"/>
    <w:rsid w:val="004C747B"/>
    <w:rsid w:val="004C7B75"/>
    <w:rsid w:val="004D00EB"/>
    <w:rsid w:val="004D0982"/>
    <w:rsid w:val="004D0994"/>
    <w:rsid w:val="004D1006"/>
    <w:rsid w:val="004D174A"/>
    <w:rsid w:val="004D1A91"/>
    <w:rsid w:val="004D2ED9"/>
    <w:rsid w:val="004D2EDF"/>
    <w:rsid w:val="004D30C7"/>
    <w:rsid w:val="004D34C5"/>
    <w:rsid w:val="004D4380"/>
    <w:rsid w:val="004D4452"/>
    <w:rsid w:val="004D44E7"/>
    <w:rsid w:val="004D45DF"/>
    <w:rsid w:val="004D47C3"/>
    <w:rsid w:val="004D49BB"/>
    <w:rsid w:val="004D4C99"/>
    <w:rsid w:val="004D61BC"/>
    <w:rsid w:val="004D6805"/>
    <w:rsid w:val="004D716C"/>
    <w:rsid w:val="004E0C0B"/>
    <w:rsid w:val="004E11E9"/>
    <w:rsid w:val="004E13BB"/>
    <w:rsid w:val="004E2125"/>
    <w:rsid w:val="004E25E4"/>
    <w:rsid w:val="004E2761"/>
    <w:rsid w:val="004E2854"/>
    <w:rsid w:val="004E3735"/>
    <w:rsid w:val="004E3EF2"/>
    <w:rsid w:val="004E40CE"/>
    <w:rsid w:val="004E52E3"/>
    <w:rsid w:val="004E5541"/>
    <w:rsid w:val="004E5643"/>
    <w:rsid w:val="004E58E5"/>
    <w:rsid w:val="004E7966"/>
    <w:rsid w:val="004E7D40"/>
    <w:rsid w:val="004F0254"/>
    <w:rsid w:val="004F08E9"/>
    <w:rsid w:val="004F0FD8"/>
    <w:rsid w:val="004F1563"/>
    <w:rsid w:val="004F1CAF"/>
    <w:rsid w:val="004F255F"/>
    <w:rsid w:val="004F29BA"/>
    <w:rsid w:val="004F2E1B"/>
    <w:rsid w:val="004F3688"/>
    <w:rsid w:val="004F3772"/>
    <w:rsid w:val="004F3AAE"/>
    <w:rsid w:val="004F3F54"/>
    <w:rsid w:val="004F4415"/>
    <w:rsid w:val="004F45BF"/>
    <w:rsid w:val="004F4BDE"/>
    <w:rsid w:val="004F5169"/>
    <w:rsid w:val="004F5B7F"/>
    <w:rsid w:val="004F6163"/>
    <w:rsid w:val="004F6BE1"/>
    <w:rsid w:val="004F7A6E"/>
    <w:rsid w:val="004F7CAC"/>
    <w:rsid w:val="005004B1"/>
    <w:rsid w:val="0050150F"/>
    <w:rsid w:val="00502A31"/>
    <w:rsid w:val="00502A52"/>
    <w:rsid w:val="005030C1"/>
    <w:rsid w:val="005036D2"/>
    <w:rsid w:val="00503DCA"/>
    <w:rsid w:val="00504287"/>
    <w:rsid w:val="00504771"/>
    <w:rsid w:val="00504BCF"/>
    <w:rsid w:val="0050589D"/>
    <w:rsid w:val="00505975"/>
    <w:rsid w:val="00505E4C"/>
    <w:rsid w:val="0050686B"/>
    <w:rsid w:val="00507576"/>
    <w:rsid w:val="00507713"/>
    <w:rsid w:val="00507BA7"/>
    <w:rsid w:val="00507BDA"/>
    <w:rsid w:val="005105DE"/>
    <w:rsid w:val="00511141"/>
    <w:rsid w:val="00511320"/>
    <w:rsid w:val="00511E35"/>
    <w:rsid w:val="00512126"/>
    <w:rsid w:val="00512308"/>
    <w:rsid w:val="005126F9"/>
    <w:rsid w:val="00512CDE"/>
    <w:rsid w:val="0051429A"/>
    <w:rsid w:val="005142E3"/>
    <w:rsid w:val="005143F9"/>
    <w:rsid w:val="005148F9"/>
    <w:rsid w:val="00514D50"/>
    <w:rsid w:val="00514E90"/>
    <w:rsid w:val="00516566"/>
    <w:rsid w:val="00516A88"/>
    <w:rsid w:val="00517A51"/>
    <w:rsid w:val="0052028A"/>
    <w:rsid w:val="00520F05"/>
    <w:rsid w:val="00521666"/>
    <w:rsid w:val="00521785"/>
    <w:rsid w:val="005218C3"/>
    <w:rsid w:val="0052222D"/>
    <w:rsid w:val="00522734"/>
    <w:rsid w:val="00522A01"/>
    <w:rsid w:val="00523344"/>
    <w:rsid w:val="00523738"/>
    <w:rsid w:val="005249C5"/>
    <w:rsid w:val="00525054"/>
    <w:rsid w:val="00525617"/>
    <w:rsid w:val="00525ADD"/>
    <w:rsid w:val="00525C17"/>
    <w:rsid w:val="00527C23"/>
    <w:rsid w:val="00530017"/>
    <w:rsid w:val="00531732"/>
    <w:rsid w:val="00531C11"/>
    <w:rsid w:val="00532877"/>
    <w:rsid w:val="00532BB7"/>
    <w:rsid w:val="00532CCF"/>
    <w:rsid w:val="00533163"/>
    <w:rsid w:val="0053318A"/>
    <w:rsid w:val="005337AE"/>
    <w:rsid w:val="00534CE2"/>
    <w:rsid w:val="00534F80"/>
    <w:rsid w:val="0053590E"/>
    <w:rsid w:val="00535A40"/>
    <w:rsid w:val="00535C74"/>
    <w:rsid w:val="00535DD1"/>
    <w:rsid w:val="005360FC"/>
    <w:rsid w:val="005361AB"/>
    <w:rsid w:val="00536C9A"/>
    <w:rsid w:val="00536CCA"/>
    <w:rsid w:val="005371B5"/>
    <w:rsid w:val="00537330"/>
    <w:rsid w:val="00537B22"/>
    <w:rsid w:val="0054080E"/>
    <w:rsid w:val="0054133B"/>
    <w:rsid w:val="00541D43"/>
    <w:rsid w:val="00542068"/>
    <w:rsid w:val="00542A8A"/>
    <w:rsid w:val="00542B3F"/>
    <w:rsid w:val="00543AF9"/>
    <w:rsid w:val="005458E3"/>
    <w:rsid w:val="00546294"/>
    <w:rsid w:val="00546C0D"/>
    <w:rsid w:val="00546E0C"/>
    <w:rsid w:val="00547F5A"/>
    <w:rsid w:val="005501DD"/>
    <w:rsid w:val="00552E4B"/>
    <w:rsid w:val="00554449"/>
    <w:rsid w:val="0055467C"/>
    <w:rsid w:val="00554824"/>
    <w:rsid w:val="00554AC1"/>
    <w:rsid w:val="00554E28"/>
    <w:rsid w:val="0055532F"/>
    <w:rsid w:val="005554D1"/>
    <w:rsid w:val="005558A9"/>
    <w:rsid w:val="005569CF"/>
    <w:rsid w:val="0055716E"/>
    <w:rsid w:val="0055765B"/>
    <w:rsid w:val="0056014B"/>
    <w:rsid w:val="00560583"/>
    <w:rsid w:val="00561D24"/>
    <w:rsid w:val="005625E6"/>
    <w:rsid w:val="00564EFC"/>
    <w:rsid w:val="005658E6"/>
    <w:rsid w:val="00565E5C"/>
    <w:rsid w:val="00566001"/>
    <w:rsid w:val="00566FD6"/>
    <w:rsid w:val="00567D5A"/>
    <w:rsid w:val="005704E4"/>
    <w:rsid w:val="00570733"/>
    <w:rsid w:val="00570C28"/>
    <w:rsid w:val="00571567"/>
    <w:rsid w:val="00571E8E"/>
    <w:rsid w:val="00572643"/>
    <w:rsid w:val="00572679"/>
    <w:rsid w:val="00573176"/>
    <w:rsid w:val="00573AA3"/>
    <w:rsid w:val="0057460A"/>
    <w:rsid w:val="00575BA7"/>
    <w:rsid w:val="00576054"/>
    <w:rsid w:val="00576ADE"/>
    <w:rsid w:val="00576D22"/>
    <w:rsid w:val="005777D0"/>
    <w:rsid w:val="00577CFD"/>
    <w:rsid w:val="00577DEF"/>
    <w:rsid w:val="005807E2"/>
    <w:rsid w:val="00580D2F"/>
    <w:rsid w:val="0058149D"/>
    <w:rsid w:val="00581834"/>
    <w:rsid w:val="00581869"/>
    <w:rsid w:val="00582E84"/>
    <w:rsid w:val="005835A4"/>
    <w:rsid w:val="0058390C"/>
    <w:rsid w:val="00584C01"/>
    <w:rsid w:val="00585553"/>
    <w:rsid w:val="00585A4E"/>
    <w:rsid w:val="00585CFC"/>
    <w:rsid w:val="00586428"/>
    <w:rsid w:val="00586D54"/>
    <w:rsid w:val="00586F85"/>
    <w:rsid w:val="00587023"/>
    <w:rsid w:val="00590B36"/>
    <w:rsid w:val="00591595"/>
    <w:rsid w:val="005924A7"/>
    <w:rsid w:val="00592921"/>
    <w:rsid w:val="00593A2D"/>
    <w:rsid w:val="00593F1B"/>
    <w:rsid w:val="00593FE7"/>
    <w:rsid w:val="00593FED"/>
    <w:rsid w:val="00594268"/>
    <w:rsid w:val="00594300"/>
    <w:rsid w:val="005948F6"/>
    <w:rsid w:val="00594FC9"/>
    <w:rsid w:val="00595432"/>
    <w:rsid w:val="00596972"/>
    <w:rsid w:val="00597972"/>
    <w:rsid w:val="005A052D"/>
    <w:rsid w:val="005A1D7E"/>
    <w:rsid w:val="005A1E09"/>
    <w:rsid w:val="005A4E3F"/>
    <w:rsid w:val="005A506E"/>
    <w:rsid w:val="005A51A6"/>
    <w:rsid w:val="005A616E"/>
    <w:rsid w:val="005A7427"/>
    <w:rsid w:val="005A7EA7"/>
    <w:rsid w:val="005B01AF"/>
    <w:rsid w:val="005B0816"/>
    <w:rsid w:val="005B0BA7"/>
    <w:rsid w:val="005B0C56"/>
    <w:rsid w:val="005B1692"/>
    <w:rsid w:val="005B62DC"/>
    <w:rsid w:val="005B675E"/>
    <w:rsid w:val="005B6885"/>
    <w:rsid w:val="005B6C2D"/>
    <w:rsid w:val="005B70C4"/>
    <w:rsid w:val="005B74EC"/>
    <w:rsid w:val="005B7641"/>
    <w:rsid w:val="005B7928"/>
    <w:rsid w:val="005C106F"/>
    <w:rsid w:val="005C2D72"/>
    <w:rsid w:val="005C3BD2"/>
    <w:rsid w:val="005C4838"/>
    <w:rsid w:val="005C6285"/>
    <w:rsid w:val="005C6738"/>
    <w:rsid w:val="005C684D"/>
    <w:rsid w:val="005C710D"/>
    <w:rsid w:val="005C7E37"/>
    <w:rsid w:val="005C7F4A"/>
    <w:rsid w:val="005D0239"/>
    <w:rsid w:val="005D17CD"/>
    <w:rsid w:val="005D1DB1"/>
    <w:rsid w:val="005D25F5"/>
    <w:rsid w:val="005D297C"/>
    <w:rsid w:val="005D42BF"/>
    <w:rsid w:val="005D58A8"/>
    <w:rsid w:val="005D5BA1"/>
    <w:rsid w:val="005D5C0F"/>
    <w:rsid w:val="005D5F01"/>
    <w:rsid w:val="005D602C"/>
    <w:rsid w:val="005D622B"/>
    <w:rsid w:val="005D622E"/>
    <w:rsid w:val="005D7677"/>
    <w:rsid w:val="005D78F3"/>
    <w:rsid w:val="005E195B"/>
    <w:rsid w:val="005E2829"/>
    <w:rsid w:val="005E2EBE"/>
    <w:rsid w:val="005E30F8"/>
    <w:rsid w:val="005E3BB1"/>
    <w:rsid w:val="005E442E"/>
    <w:rsid w:val="005E467E"/>
    <w:rsid w:val="005E46A8"/>
    <w:rsid w:val="005E46F1"/>
    <w:rsid w:val="005E4836"/>
    <w:rsid w:val="005E49B2"/>
    <w:rsid w:val="005E4EFD"/>
    <w:rsid w:val="005E5D8D"/>
    <w:rsid w:val="005E65E2"/>
    <w:rsid w:val="005E6C78"/>
    <w:rsid w:val="005E709A"/>
    <w:rsid w:val="005E75D9"/>
    <w:rsid w:val="005E7709"/>
    <w:rsid w:val="005F0AE8"/>
    <w:rsid w:val="005F0D22"/>
    <w:rsid w:val="005F1AC1"/>
    <w:rsid w:val="005F2556"/>
    <w:rsid w:val="005F2A6B"/>
    <w:rsid w:val="005F31FE"/>
    <w:rsid w:val="005F40C1"/>
    <w:rsid w:val="005F4E73"/>
    <w:rsid w:val="005F615E"/>
    <w:rsid w:val="005F70A5"/>
    <w:rsid w:val="005F7215"/>
    <w:rsid w:val="005F7A29"/>
    <w:rsid w:val="006007C2"/>
    <w:rsid w:val="0060170C"/>
    <w:rsid w:val="00601D26"/>
    <w:rsid w:val="00601D7E"/>
    <w:rsid w:val="006024D3"/>
    <w:rsid w:val="00602508"/>
    <w:rsid w:val="0060255D"/>
    <w:rsid w:val="00604039"/>
    <w:rsid w:val="00604104"/>
    <w:rsid w:val="00604BFD"/>
    <w:rsid w:val="006059C6"/>
    <w:rsid w:val="00605D23"/>
    <w:rsid w:val="00605EE9"/>
    <w:rsid w:val="00606C61"/>
    <w:rsid w:val="00606EF9"/>
    <w:rsid w:val="0060706A"/>
    <w:rsid w:val="006070C4"/>
    <w:rsid w:val="006071C5"/>
    <w:rsid w:val="00607758"/>
    <w:rsid w:val="006078B5"/>
    <w:rsid w:val="00610D5E"/>
    <w:rsid w:val="006110E8"/>
    <w:rsid w:val="00612D2F"/>
    <w:rsid w:val="00613467"/>
    <w:rsid w:val="006138BB"/>
    <w:rsid w:val="006145A9"/>
    <w:rsid w:val="006147AC"/>
    <w:rsid w:val="00614B86"/>
    <w:rsid w:val="00615D35"/>
    <w:rsid w:val="00616E2A"/>
    <w:rsid w:val="00616F60"/>
    <w:rsid w:val="006171BE"/>
    <w:rsid w:val="00617E2E"/>
    <w:rsid w:val="0062074B"/>
    <w:rsid w:val="006208D9"/>
    <w:rsid w:val="00620B62"/>
    <w:rsid w:val="00621E6C"/>
    <w:rsid w:val="0062203D"/>
    <w:rsid w:val="006223B3"/>
    <w:rsid w:val="00622CF2"/>
    <w:rsid w:val="006237BE"/>
    <w:rsid w:val="00623B29"/>
    <w:rsid w:val="00623D22"/>
    <w:rsid w:val="00624315"/>
    <w:rsid w:val="0062458E"/>
    <w:rsid w:val="00624BB9"/>
    <w:rsid w:val="0062519F"/>
    <w:rsid w:val="006251B7"/>
    <w:rsid w:val="006252E5"/>
    <w:rsid w:val="0062545B"/>
    <w:rsid w:val="0062552A"/>
    <w:rsid w:val="00625A9A"/>
    <w:rsid w:val="00625BA5"/>
    <w:rsid w:val="006267B8"/>
    <w:rsid w:val="00626C5F"/>
    <w:rsid w:val="00626DB1"/>
    <w:rsid w:val="0062762D"/>
    <w:rsid w:val="00627932"/>
    <w:rsid w:val="0063005E"/>
    <w:rsid w:val="006303B8"/>
    <w:rsid w:val="00630754"/>
    <w:rsid w:val="00631A4E"/>
    <w:rsid w:val="00631D55"/>
    <w:rsid w:val="0063280A"/>
    <w:rsid w:val="00632C0D"/>
    <w:rsid w:val="00632C8C"/>
    <w:rsid w:val="00632CCB"/>
    <w:rsid w:val="00633124"/>
    <w:rsid w:val="006331A9"/>
    <w:rsid w:val="006332BE"/>
    <w:rsid w:val="00633A4B"/>
    <w:rsid w:val="00634101"/>
    <w:rsid w:val="0063460C"/>
    <w:rsid w:val="0063545A"/>
    <w:rsid w:val="0063547A"/>
    <w:rsid w:val="0063649E"/>
    <w:rsid w:val="00636A0F"/>
    <w:rsid w:val="00636E50"/>
    <w:rsid w:val="0063773E"/>
    <w:rsid w:val="006377E2"/>
    <w:rsid w:val="00637EDC"/>
    <w:rsid w:val="0064001D"/>
    <w:rsid w:val="006408C3"/>
    <w:rsid w:val="006416C1"/>
    <w:rsid w:val="0064245D"/>
    <w:rsid w:val="00642957"/>
    <w:rsid w:val="00642B6C"/>
    <w:rsid w:val="00642C1B"/>
    <w:rsid w:val="0064358B"/>
    <w:rsid w:val="00643E19"/>
    <w:rsid w:val="00644942"/>
    <w:rsid w:val="00644CB9"/>
    <w:rsid w:val="00644F36"/>
    <w:rsid w:val="0064572B"/>
    <w:rsid w:val="00645D7A"/>
    <w:rsid w:val="0064620D"/>
    <w:rsid w:val="0064689C"/>
    <w:rsid w:val="00647403"/>
    <w:rsid w:val="00647CC2"/>
    <w:rsid w:val="00647D74"/>
    <w:rsid w:val="00647F05"/>
    <w:rsid w:val="00650291"/>
    <w:rsid w:val="00650523"/>
    <w:rsid w:val="006505D7"/>
    <w:rsid w:val="00650607"/>
    <w:rsid w:val="0065153F"/>
    <w:rsid w:val="00652279"/>
    <w:rsid w:val="006528A7"/>
    <w:rsid w:val="006530E1"/>
    <w:rsid w:val="006535B7"/>
    <w:rsid w:val="006538F1"/>
    <w:rsid w:val="00653BCB"/>
    <w:rsid w:val="00654AAF"/>
    <w:rsid w:val="00655198"/>
    <w:rsid w:val="006564A5"/>
    <w:rsid w:val="00657754"/>
    <w:rsid w:val="00660400"/>
    <w:rsid w:val="00660ADD"/>
    <w:rsid w:val="00661286"/>
    <w:rsid w:val="0066135B"/>
    <w:rsid w:val="0066197C"/>
    <w:rsid w:val="00661C37"/>
    <w:rsid w:val="0066248D"/>
    <w:rsid w:val="00662763"/>
    <w:rsid w:val="0066283D"/>
    <w:rsid w:val="00662DFF"/>
    <w:rsid w:val="00662F19"/>
    <w:rsid w:val="0066388F"/>
    <w:rsid w:val="00664356"/>
    <w:rsid w:val="00665875"/>
    <w:rsid w:val="006658CE"/>
    <w:rsid w:val="00665B7F"/>
    <w:rsid w:val="00665EDF"/>
    <w:rsid w:val="006663A3"/>
    <w:rsid w:val="00667491"/>
    <w:rsid w:val="0066773D"/>
    <w:rsid w:val="00667A17"/>
    <w:rsid w:val="00667D3F"/>
    <w:rsid w:val="0067022D"/>
    <w:rsid w:val="00672120"/>
    <w:rsid w:val="00672529"/>
    <w:rsid w:val="00672BEC"/>
    <w:rsid w:val="00672C4A"/>
    <w:rsid w:val="006731F2"/>
    <w:rsid w:val="00673583"/>
    <w:rsid w:val="00673C8F"/>
    <w:rsid w:val="00673D15"/>
    <w:rsid w:val="006741B6"/>
    <w:rsid w:val="006743C1"/>
    <w:rsid w:val="00675A3E"/>
    <w:rsid w:val="006762E8"/>
    <w:rsid w:val="00676B70"/>
    <w:rsid w:val="00676DC2"/>
    <w:rsid w:val="006776A9"/>
    <w:rsid w:val="006800D9"/>
    <w:rsid w:val="006800E2"/>
    <w:rsid w:val="00680945"/>
    <w:rsid w:val="006815EB"/>
    <w:rsid w:val="00681E11"/>
    <w:rsid w:val="006824B2"/>
    <w:rsid w:val="00682968"/>
    <w:rsid w:val="00682A2F"/>
    <w:rsid w:val="00682AEE"/>
    <w:rsid w:val="006838F8"/>
    <w:rsid w:val="0068589C"/>
    <w:rsid w:val="00685A83"/>
    <w:rsid w:val="00685B46"/>
    <w:rsid w:val="00685E29"/>
    <w:rsid w:val="00685EAD"/>
    <w:rsid w:val="00687F1F"/>
    <w:rsid w:val="00687F9F"/>
    <w:rsid w:val="006904E1"/>
    <w:rsid w:val="00690ABB"/>
    <w:rsid w:val="00690EF9"/>
    <w:rsid w:val="006910E5"/>
    <w:rsid w:val="00691456"/>
    <w:rsid w:val="00691737"/>
    <w:rsid w:val="00691913"/>
    <w:rsid w:val="00691B2D"/>
    <w:rsid w:val="00692D55"/>
    <w:rsid w:val="00692FB3"/>
    <w:rsid w:val="00693731"/>
    <w:rsid w:val="00693902"/>
    <w:rsid w:val="00693DCC"/>
    <w:rsid w:val="00694736"/>
    <w:rsid w:val="0069566C"/>
    <w:rsid w:val="00695F09"/>
    <w:rsid w:val="00695F66"/>
    <w:rsid w:val="006971D9"/>
    <w:rsid w:val="006974B4"/>
    <w:rsid w:val="00697C7A"/>
    <w:rsid w:val="006A0AF9"/>
    <w:rsid w:val="006A11EF"/>
    <w:rsid w:val="006A138B"/>
    <w:rsid w:val="006A1AF2"/>
    <w:rsid w:val="006A1BB5"/>
    <w:rsid w:val="006A23B1"/>
    <w:rsid w:val="006A28C9"/>
    <w:rsid w:val="006A30E4"/>
    <w:rsid w:val="006A3AA6"/>
    <w:rsid w:val="006A3BF7"/>
    <w:rsid w:val="006A3F07"/>
    <w:rsid w:val="006A4524"/>
    <w:rsid w:val="006A4EF3"/>
    <w:rsid w:val="006A4F8B"/>
    <w:rsid w:val="006A53B7"/>
    <w:rsid w:val="006A54CF"/>
    <w:rsid w:val="006A5F47"/>
    <w:rsid w:val="006A67A0"/>
    <w:rsid w:val="006A7190"/>
    <w:rsid w:val="006A7BF7"/>
    <w:rsid w:val="006B051F"/>
    <w:rsid w:val="006B0D21"/>
    <w:rsid w:val="006B0FD8"/>
    <w:rsid w:val="006B140A"/>
    <w:rsid w:val="006B17D0"/>
    <w:rsid w:val="006B1BDB"/>
    <w:rsid w:val="006B1C24"/>
    <w:rsid w:val="006B2741"/>
    <w:rsid w:val="006B30CB"/>
    <w:rsid w:val="006B4251"/>
    <w:rsid w:val="006B4445"/>
    <w:rsid w:val="006B6C8D"/>
    <w:rsid w:val="006B6CF3"/>
    <w:rsid w:val="006B71DB"/>
    <w:rsid w:val="006C0567"/>
    <w:rsid w:val="006C065C"/>
    <w:rsid w:val="006C0C17"/>
    <w:rsid w:val="006C114C"/>
    <w:rsid w:val="006C119B"/>
    <w:rsid w:val="006C12C8"/>
    <w:rsid w:val="006C165E"/>
    <w:rsid w:val="006C1CA0"/>
    <w:rsid w:val="006C3318"/>
    <w:rsid w:val="006C442E"/>
    <w:rsid w:val="006C4906"/>
    <w:rsid w:val="006C4AAE"/>
    <w:rsid w:val="006C57D8"/>
    <w:rsid w:val="006C5D78"/>
    <w:rsid w:val="006C5FA7"/>
    <w:rsid w:val="006C6198"/>
    <w:rsid w:val="006C6DBA"/>
    <w:rsid w:val="006D016D"/>
    <w:rsid w:val="006D1112"/>
    <w:rsid w:val="006D1697"/>
    <w:rsid w:val="006D1867"/>
    <w:rsid w:val="006D1FAD"/>
    <w:rsid w:val="006D2893"/>
    <w:rsid w:val="006D2AD6"/>
    <w:rsid w:val="006D2E27"/>
    <w:rsid w:val="006D3271"/>
    <w:rsid w:val="006D40E3"/>
    <w:rsid w:val="006D4333"/>
    <w:rsid w:val="006D4645"/>
    <w:rsid w:val="006D46C9"/>
    <w:rsid w:val="006D5913"/>
    <w:rsid w:val="006D7996"/>
    <w:rsid w:val="006D7BFF"/>
    <w:rsid w:val="006E0BBE"/>
    <w:rsid w:val="006E0C24"/>
    <w:rsid w:val="006E27CF"/>
    <w:rsid w:val="006E2816"/>
    <w:rsid w:val="006E2FF5"/>
    <w:rsid w:val="006E4036"/>
    <w:rsid w:val="006E4523"/>
    <w:rsid w:val="006E4953"/>
    <w:rsid w:val="006E544D"/>
    <w:rsid w:val="006E595F"/>
    <w:rsid w:val="006E67F2"/>
    <w:rsid w:val="006E6A2F"/>
    <w:rsid w:val="006E6B52"/>
    <w:rsid w:val="006E7302"/>
    <w:rsid w:val="006E7815"/>
    <w:rsid w:val="006F022E"/>
    <w:rsid w:val="006F0636"/>
    <w:rsid w:val="006F097C"/>
    <w:rsid w:val="006F0CEA"/>
    <w:rsid w:val="006F161E"/>
    <w:rsid w:val="006F2124"/>
    <w:rsid w:val="006F21CC"/>
    <w:rsid w:val="006F292E"/>
    <w:rsid w:val="006F2C13"/>
    <w:rsid w:val="006F4CE6"/>
    <w:rsid w:val="006F4F5F"/>
    <w:rsid w:val="006F5533"/>
    <w:rsid w:val="006F561E"/>
    <w:rsid w:val="006F61D7"/>
    <w:rsid w:val="006F75DF"/>
    <w:rsid w:val="006F790E"/>
    <w:rsid w:val="006F7EC0"/>
    <w:rsid w:val="006F7F3E"/>
    <w:rsid w:val="007000E9"/>
    <w:rsid w:val="00700748"/>
    <w:rsid w:val="00702098"/>
    <w:rsid w:val="00702C2E"/>
    <w:rsid w:val="00703A8B"/>
    <w:rsid w:val="00704073"/>
    <w:rsid w:val="00704868"/>
    <w:rsid w:val="00704E2F"/>
    <w:rsid w:val="00704EA3"/>
    <w:rsid w:val="00705AE0"/>
    <w:rsid w:val="00706584"/>
    <w:rsid w:val="007066CC"/>
    <w:rsid w:val="007069BA"/>
    <w:rsid w:val="00706C3A"/>
    <w:rsid w:val="0070707D"/>
    <w:rsid w:val="00707082"/>
    <w:rsid w:val="00707556"/>
    <w:rsid w:val="00707A14"/>
    <w:rsid w:val="00707E44"/>
    <w:rsid w:val="007103A3"/>
    <w:rsid w:val="00712061"/>
    <w:rsid w:val="0071260D"/>
    <w:rsid w:val="00712C73"/>
    <w:rsid w:val="00712FD3"/>
    <w:rsid w:val="0071468B"/>
    <w:rsid w:val="00715546"/>
    <w:rsid w:val="00716EB3"/>
    <w:rsid w:val="00717A9D"/>
    <w:rsid w:val="007201F9"/>
    <w:rsid w:val="00720441"/>
    <w:rsid w:val="007204AD"/>
    <w:rsid w:val="00720825"/>
    <w:rsid w:val="007210AE"/>
    <w:rsid w:val="007212C1"/>
    <w:rsid w:val="00721338"/>
    <w:rsid w:val="00722D94"/>
    <w:rsid w:val="007237B4"/>
    <w:rsid w:val="00723A8A"/>
    <w:rsid w:val="00723AB1"/>
    <w:rsid w:val="00723E1E"/>
    <w:rsid w:val="00724142"/>
    <w:rsid w:val="00725633"/>
    <w:rsid w:val="00725A35"/>
    <w:rsid w:val="007265A0"/>
    <w:rsid w:val="007304E3"/>
    <w:rsid w:val="00730518"/>
    <w:rsid w:val="00730CCB"/>
    <w:rsid w:val="00730DD0"/>
    <w:rsid w:val="007313BC"/>
    <w:rsid w:val="00731525"/>
    <w:rsid w:val="0073267C"/>
    <w:rsid w:val="00732727"/>
    <w:rsid w:val="00732DC6"/>
    <w:rsid w:val="007334E3"/>
    <w:rsid w:val="0073476E"/>
    <w:rsid w:val="00734D86"/>
    <w:rsid w:val="0073583D"/>
    <w:rsid w:val="00735BDD"/>
    <w:rsid w:val="00737505"/>
    <w:rsid w:val="00737B2C"/>
    <w:rsid w:val="00740CBE"/>
    <w:rsid w:val="00741051"/>
    <w:rsid w:val="00741C9B"/>
    <w:rsid w:val="007422CA"/>
    <w:rsid w:val="007432F4"/>
    <w:rsid w:val="00743663"/>
    <w:rsid w:val="0074439E"/>
    <w:rsid w:val="007443FA"/>
    <w:rsid w:val="007472A5"/>
    <w:rsid w:val="00747333"/>
    <w:rsid w:val="007502F0"/>
    <w:rsid w:val="007506F8"/>
    <w:rsid w:val="007509A6"/>
    <w:rsid w:val="00750B5A"/>
    <w:rsid w:val="00751068"/>
    <w:rsid w:val="00751984"/>
    <w:rsid w:val="00751C50"/>
    <w:rsid w:val="0075285B"/>
    <w:rsid w:val="007536F5"/>
    <w:rsid w:val="0075379C"/>
    <w:rsid w:val="0075393D"/>
    <w:rsid w:val="00754C6E"/>
    <w:rsid w:val="007550EA"/>
    <w:rsid w:val="007554A0"/>
    <w:rsid w:val="00755FAE"/>
    <w:rsid w:val="00756391"/>
    <w:rsid w:val="00756CAC"/>
    <w:rsid w:val="00756E6E"/>
    <w:rsid w:val="007570A6"/>
    <w:rsid w:val="00757D44"/>
    <w:rsid w:val="00757EFB"/>
    <w:rsid w:val="00760F3C"/>
    <w:rsid w:val="00760FCB"/>
    <w:rsid w:val="00762EFB"/>
    <w:rsid w:val="007633B0"/>
    <w:rsid w:val="00763F2D"/>
    <w:rsid w:val="007648BA"/>
    <w:rsid w:val="007648F9"/>
    <w:rsid w:val="00764E16"/>
    <w:rsid w:val="0076572D"/>
    <w:rsid w:val="00765E74"/>
    <w:rsid w:val="0076659E"/>
    <w:rsid w:val="007667A7"/>
    <w:rsid w:val="00766CF0"/>
    <w:rsid w:val="00767A34"/>
    <w:rsid w:val="00767D58"/>
    <w:rsid w:val="00770B4E"/>
    <w:rsid w:val="0077103C"/>
    <w:rsid w:val="007715D2"/>
    <w:rsid w:val="007716FD"/>
    <w:rsid w:val="00771D17"/>
    <w:rsid w:val="00772501"/>
    <w:rsid w:val="00772C70"/>
    <w:rsid w:val="00773225"/>
    <w:rsid w:val="00775B9E"/>
    <w:rsid w:val="00776446"/>
    <w:rsid w:val="007766FE"/>
    <w:rsid w:val="0077755F"/>
    <w:rsid w:val="007779CD"/>
    <w:rsid w:val="00777D1F"/>
    <w:rsid w:val="0078054F"/>
    <w:rsid w:val="00780A86"/>
    <w:rsid w:val="00780BB3"/>
    <w:rsid w:val="007811E7"/>
    <w:rsid w:val="007812CE"/>
    <w:rsid w:val="00783884"/>
    <w:rsid w:val="007844D0"/>
    <w:rsid w:val="007847FA"/>
    <w:rsid w:val="0078489A"/>
    <w:rsid w:val="00784E8A"/>
    <w:rsid w:val="007855FD"/>
    <w:rsid w:val="00786118"/>
    <w:rsid w:val="007865D4"/>
    <w:rsid w:val="007867AB"/>
    <w:rsid w:val="007870D3"/>
    <w:rsid w:val="00790910"/>
    <w:rsid w:val="00790CB4"/>
    <w:rsid w:val="00791A5D"/>
    <w:rsid w:val="00791C44"/>
    <w:rsid w:val="00791DE1"/>
    <w:rsid w:val="007920E4"/>
    <w:rsid w:val="00794CDD"/>
    <w:rsid w:val="00794E54"/>
    <w:rsid w:val="00794FE8"/>
    <w:rsid w:val="007958A2"/>
    <w:rsid w:val="00795BF5"/>
    <w:rsid w:val="00795C73"/>
    <w:rsid w:val="00796E1B"/>
    <w:rsid w:val="007A03D8"/>
    <w:rsid w:val="007A0AB0"/>
    <w:rsid w:val="007A0E1F"/>
    <w:rsid w:val="007A0E2B"/>
    <w:rsid w:val="007A14CD"/>
    <w:rsid w:val="007A2718"/>
    <w:rsid w:val="007A3A8C"/>
    <w:rsid w:val="007A42E4"/>
    <w:rsid w:val="007A4B62"/>
    <w:rsid w:val="007A500C"/>
    <w:rsid w:val="007A56AD"/>
    <w:rsid w:val="007A5C2F"/>
    <w:rsid w:val="007A5F14"/>
    <w:rsid w:val="007A6AD1"/>
    <w:rsid w:val="007A6AF1"/>
    <w:rsid w:val="007B0718"/>
    <w:rsid w:val="007B0E0C"/>
    <w:rsid w:val="007B0F1B"/>
    <w:rsid w:val="007B1362"/>
    <w:rsid w:val="007B13DE"/>
    <w:rsid w:val="007B169E"/>
    <w:rsid w:val="007B1918"/>
    <w:rsid w:val="007B19A8"/>
    <w:rsid w:val="007B20A7"/>
    <w:rsid w:val="007B2164"/>
    <w:rsid w:val="007B42DE"/>
    <w:rsid w:val="007B4D9C"/>
    <w:rsid w:val="007B5115"/>
    <w:rsid w:val="007B5A6F"/>
    <w:rsid w:val="007B5C0C"/>
    <w:rsid w:val="007B5C6A"/>
    <w:rsid w:val="007B67FB"/>
    <w:rsid w:val="007B6FC3"/>
    <w:rsid w:val="007B7D96"/>
    <w:rsid w:val="007B7ED2"/>
    <w:rsid w:val="007C09C2"/>
    <w:rsid w:val="007C1137"/>
    <w:rsid w:val="007C1DFA"/>
    <w:rsid w:val="007C26E5"/>
    <w:rsid w:val="007C2FD0"/>
    <w:rsid w:val="007C3809"/>
    <w:rsid w:val="007C4BD7"/>
    <w:rsid w:val="007C5177"/>
    <w:rsid w:val="007C5A2D"/>
    <w:rsid w:val="007C5C2D"/>
    <w:rsid w:val="007C6C66"/>
    <w:rsid w:val="007C720A"/>
    <w:rsid w:val="007C75CF"/>
    <w:rsid w:val="007C7B91"/>
    <w:rsid w:val="007D0EAE"/>
    <w:rsid w:val="007D1092"/>
    <w:rsid w:val="007D13D3"/>
    <w:rsid w:val="007D1D13"/>
    <w:rsid w:val="007D1E3A"/>
    <w:rsid w:val="007D1FFC"/>
    <w:rsid w:val="007D2621"/>
    <w:rsid w:val="007D2DBB"/>
    <w:rsid w:val="007D36B4"/>
    <w:rsid w:val="007D406D"/>
    <w:rsid w:val="007D472D"/>
    <w:rsid w:val="007D58AD"/>
    <w:rsid w:val="007D62E4"/>
    <w:rsid w:val="007D6956"/>
    <w:rsid w:val="007D6C86"/>
    <w:rsid w:val="007D7436"/>
    <w:rsid w:val="007E068D"/>
    <w:rsid w:val="007E0B2F"/>
    <w:rsid w:val="007E1217"/>
    <w:rsid w:val="007E1E89"/>
    <w:rsid w:val="007E2192"/>
    <w:rsid w:val="007E22AA"/>
    <w:rsid w:val="007E273A"/>
    <w:rsid w:val="007E2914"/>
    <w:rsid w:val="007E295A"/>
    <w:rsid w:val="007E3562"/>
    <w:rsid w:val="007E4387"/>
    <w:rsid w:val="007E501C"/>
    <w:rsid w:val="007E6580"/>
    <w:rsid w:val="007F08CA"/>
    <w:rsid w:val="007F2A16"/>
    <w:rsid w:val="007F2F91"/>
    <w:rsid w:val="007F3A78"/>
    <w:rsid w:val="007F3B6E"/>
    <w:rsid w:val="007F40A1"/>
    <w:rsid w:val="007F6790"/>
    <w:rsid w:val="007F6A5C"/>
    <w:rsid w:val="007F6CCD"/>
    <w:rsid w:val="007F79D6"/>
    <w:rsid w:val="007F7A41"/>
    <w:rsid w:val="008009FB"/>
    <w:rsid w:val="008016C6"/>
    <w:rsid w:val="00802516"/>
    <w:rsid w:val="008033F4"/>
    <w:rsid w:val="00803473"/>
    <w:rsid w:val="0080558A"/>
    <w:rsid w:val="008058E8"/>
    <w:rsid w:val="0080592E"/>
    <w:rsid w:val="00805F25"/>
    <w:rsid w:val="00806434"/>
    <w:rsid w:val="00806C22"/>
    <w:rsid w:val="00807646"/>
    <w:rsid w:val="0080780E"/>
    <w:rsid w:val="00807CE5"/>
    <w:rsid w:val="008111BE"/>
    <w:rsid w:val="00811431"/>
    <w:rsid w:val="008120CF"/>
    <w:rsid w:val="00813288"/>
    <w:rsid w:val="00813A3F"/>
    <w:rsid w:val="00814430"/>
    <w:rsid w:val="008156C9"/>
    <w:rsid w:val="00815B47"/>
    <w:rsid w:val="00816501"/>
    <w:rsid w:val="00816A51"/>
    <w:rsid w:val="00816F8A"/>
    <w:rsid w:val="00820995"/>
    <w:rsid w:val="00821164"/>
    <w:rsid w:val="00821A04"/>
    <w:rsid w:val="00821A29"/>
    <w:rsid w:val="00821AB9"/>
    <w:rsid w:val="00823233"/>
    <w:rsid w:val="008238FC"/>
    <w:rsid w:val="00823C98"/>
    <w:rsid w:val="0082419D"/>
    <w:rsid w:val="00824426"/>
    <w:rsid w:val="008249FE"/>
    <w:rsid w:val="008263FE"/>
    <w:rsid w:val="008265FC"/>
    <w:rsid w:val="00826EE2"/>
    <w:rsid w:val="0082714B"/>
    <w:rsid w:val="00830234"/>
    <w:rsid w:val="008309A6"/>
    <w:rsid w:val="00830E38"/>
    <w:rsid w:val="00830E52"/>
    <w:rsid w:val="00831218"/>
    <w:rsid w:val="00831412"/>
    <w:rsid w:val="00831A51"/>
    <w:rsid w:val="008321DE"/>
    <w:rsid w:val="0083232E"/>
    <w:rsid w:val="008324E3"/>
    <w:rsid w:val="008329F9"/>
    <w:rsid w:val="00832D6E"/>
    <w:rsid w:val="00832D77"/>
    <w:rsid w:val="0083332A"/>
    <w:rsid w:val="00833B17"/>
    <w:rsid w:val="0083430A"/>
    <w:rsid w:val="00834332"/>
    <w:rsid w:val="00834D48"/>
    <w:rsid w:val="00834DD9"/>
    <w:rsid w:val="00835B74"/>
    <w:rsid w:val="008361BA"/>
    <w:rsid w:val="0083685C"/>
    <w:rsid w:val="00836919"/>
    <w:rsid w:val="00836E8D"/>
    <w:rsid w:val="00837423"/>
    <w:rsid w:val="008407E7"/>
    <w:rsid w:val="008420DF"/>
    <w:rsid w:val="008424E6"/>
    <w:rsid w:val="008435E7"/>
    <w:rsid w:val="00843890"/>
    <w:rsid w:val="008439DB"/>
    <w:rsid w:val="00845014"/>
    <w:rsid w:val="00845915"/>
    <w:rsid w:val="00845946"/>
    <w:rsid w:val="00845A0F"/>
    <w:rsid w:val="00846770"/>
    <w:rsid w:val="00846A8D"/>
    <w:rsid w:val="00846CB6"/>
    <w:rsid w:val="00846EF7"/>
    <w:rsid w:val="008476A0"/>
    <w:rsid w:val="00847AA4"/>
    <w:rsid w:val="00847CC5"/>
    <w:rsid w:val="00850BF0"/>
    <w:rsid w:val="008515C8"/>
    <w:rsid w:val="00851EA3"/>
    <w:rsid w:val="00852F38"/>
    <w:rsid w:val="00853323"/>
    <w:rsid w:val="008542C0"/>
    <w:rsid w:val="0085465F"/>
    <w:rsid w:val="00854A21"/>
    <w:rsid w:val="00854C36"/>
    <w:rsid w:val="00854CA8"/>
    <w:rsid w:val="00854FA0"/>
    <w:rsid w:val="008550DC"/>
    <w:rsid w:val="00855491"/>
    <w:rsid w:val="00856C34"/>
    <w:rsid w:val="00856D6A"/>
    <w:rsid w:val="00857307"/>
    <w:rsid w:val="008627A5"/>
    <w:rsid w:val="0086347A"/>
    <w:rsid w:val="00864231"/>
    <w:rsid w:val="008642B5"/>
    <w:rsid w:val="0086492B"/>
    <w:rsid w:val="00864A2D"/>
    <w:rsid w:val="00864BCC"/>
    <w:rsid w:val="00864D7D"/>
    <w:rsid w:val="0086528D"/>
    <w:rsid w:val="00865DC1"/>
    <w:rsid w:val="008662D4"/>
    <w:rsid w:val="0086674D"/>
    <w:rsid w:val="00866E3B"/>
    <w:rsid w:val="008670EC"/>
    <w:rsid w:val="00870089"/>
    <w:rsid w:val="008711E9"/>
    <w:rsid w:val="00872487"/>
    <w:rsid w:val="008724EA"/>
    <w:rsid w:val="00873473"/>
    <w:rsid w:val="00873C9D"/>
    <w:rsid w:val="00873E27"/>
    <w:rsid w:val="008750F9"/>
    <w:rsid w:val="00875341"/>
    <w:rsid w:val="0087536F"/>
    <w:rsid w:val="00875619"/>
    <w:rsid w:val="00880A40"/>
    <w:rsid w:val="00880D9F"/>
    <w:rsid w:val="00882481"/>
    <w:rsid w:val="00883350"/>
    <w:rsid w:val="008840BF"/>
    <w:rsid w:val="008869F4"/>
    <w:rsid w:val="00887016"/>
    <w:rsid w:val="00887528"/>
    <w:rsid w:val="00887F45"/>
    <w:rsid w:val="008902E7"/>
    <w:rsid w:val="0089230D"/>
    <w:rsid w:val="00892C18"/>
    <w:rsid w:val="00893192"/>
    <w:rsid w:val="00893979"/>
    <w:rsid w:val="00893DE0"/>
    <w:rsid w:val="00893EEF"/>
    <w:rsid w:val="00895793"/>
    <w:rsid w:val="00896158"/>
    <w:rsid w:val="008966D4"/>
    <w:rsid w:val="00896BAE"/>
    <w:rsid w:val="008979EE"/>
    <w:rsid w:val="008A0BDA"/>
    <w:rsid w:val="008A0D18"/>
    <w:rsid w:val="008A1365"/>
    <w:rsid w:val="008A1654"/>
    <w:rsid w:val="008A27C9"/>
    <w:rsid w:val="008A2895"/>
    <w:rsid w:val="008A2DB8"/>
    <w:rsid w:val="008A312D"/>
    <w:rsid w:val="008A37C7"/>
    <w:rsid w:val="008A3C58"/>
    <w:rsid w:val="008A41A1"/>
    <w:rsid w:val="008A4880"/>
    <w:rsid w:val="008A52B1"/>
    <w:rsid w:val="008A6C6A"/>
    <w:rsid w:val="008A6DC7"/>
    <w:rsid w:val="008A6F9B"/>
    <w:rsid w:val="008A77CD"/>
    <w:rsid w:val="008A7810"/>
    <w:rsid w:val="008A799C"/>
    <w:rsid w:val="008B0403"/>
    <w:rsid w:val="008B12C6"/>
    <w:rsid w:val="008B2599"/>
    <w:rsid w:val="008B26D1"/>
    <w:rsid w:val="008B394C"/>
    <w:rsid w:val="008B4265"/>
    <w:rsid w:val="008B52A9"/>
    <w:rsid w:val="008B559C"/>
    <w:rsid w:val="008B585D"/>
    <w:rsid w:val="008B5B32"/>
    <w:rsid w:val="008B6A80"/>
    <w:rsid w:val="008B7682"/>
    <w:rsid w:val="008B76A7"/>
    <w:rsid w:val="008B7D6B"/>
    <w:rsid w:val="008C3D9A"/>
    <w:rsid w:val="008C4782"/>
    <w:rsid w:val="008C4D9A"/>
    <w:rsid w:val="008C61FF"/>
    <w:rsid w:val="008C70F0"/>
    <w:rsid w:val="008C714B"/>
    <w:rsid w:val="008C7487"/>
    <w:rsid w:val="008C7523"/>
    <w:rsid w:val="008D10E6"/>
    <w:rsid w:val="008D1651"/>
    <w:rsid w:val="008D19A6"/>
    <w:rsid w:val="008D1C2A"/>
    <w:rsid w:val="008D2208"/>
    <w:rsid w:val="008D259C"/>
    <w:rsid w:val="008D2A1E"/>
    <w:rsid w:val="008D450C"/>
    <w:rsid w:val="008D5C09"/>
    <w:rsid w:val="008D61B5"/>
    <w:rsid w:val="008D62A0"/>
    <w:rsid w:val="008D6A89"/>
    <w:rsid w:val="008D75B3"/>
    <w:rsid w:val="008D78FF"/>
    <w:rsid w:val="008D7912"/>
    <w:rsid w:val="008E0081"/>
    <w:rsid w:val="008E07BB"/>
    <w:rsid w:val="008E1125"/>
    <w:rsid w:val="008E1B12"/>
    <w:rsid w:val="008E1CD6"/>
    <w:rsid w:val="008E1E33"/>
    <w:rsid w:val="008E2D23"/>
    <w:rsid w:val="008E3CD8"/>
    <w:rsid w:val="008E4656"/>
    <w:rsid w:val="008E5643"/>
    <w:rsid w:val="008E59A4"/>
    <w:rsid w:val="008E67A6"/>
    <w:rsid w:val="008E776A"/>
    <w:rsid w:val="008E78E4"/>
    <w:rsid w:val="008E78FA"/>
    <w:rsid w:val="008E7AFC"/>
    <w:rsid w:val="008F0051"/>
    <w:rsid w:val="008F092A"/>
    <w:rsid w:val="008F1547"/>
    <w:rsid w:val="008F1EA9"/>
    <w:rsid w:val="008F2A08"/>
    <w:rsid w:val="008F2F13"/>
    <w:rsid w:val="008F3B71"/>
    <w:rsid w:val="008F3C6B"/>
    <w:rsid w:val="008F4144"/>
    <w:rsid w:val="008F4173"/>
    <w:rsid w:val="008F4CB9"/>
    <w:rsid w:val="008F5408"/>
    <w:rsid w:val="008F5FD7"/>
    <w:rsid w:val="008F61D2"/>
    <w:rsid w:val="008F711B"/>
    <w:rsid w:val="008F7975"/>
    <w:rsid w:val="0090008D"/>
    <w:rsid w:val="00900BA4"/>
    <w:rsid w:val="00901535"/>
    <w:rsid w:val="00901964"/>
    <w:rsid w:val="00901D0B"/>
    <w:rsid w:val="00902502"/>
    <w:rsid w:val="00902DB5"/>
    <w:rsid w:val="0090342C"/>
    <w:rsid w:val="00903455"/>
    <w:rsid w:val="00903A79"/>
    <w:rsid w:val="0090590C"/>
    <w:rsid w:val="00905C11"/>
    <w:rsid w:val="00905D0F"/>
    <w:rsid w:val="00906961"/>
    <w:rsid w:val="00910092"/>
    <w:rsid w:val="009100EC"/>
    <w:rsid w:val="009109A4"/>
    <w:rsid w:val="00910A88"/>
    <w:rsid w:val="009110F6"/>
    <w:rsid w:val="00912A1F"/>
    <w:rsid w:val="00913119"/>
    <w:rsid w:val="009131F4"/>
    <w:rsid w:val="00913301"/>
    <w:rsid w:val="00913BF4"/>
    <w:rsid w:val="009141CB"/>
    <w:rsid w:val="00914416"/>
    <w:rsid w:val="00914DA7"/>
    <w:rsid w:val="00915D9C"/>
    <w:rsid w:val="00915F63"/>
    <w:rsid w:val="009174D8"/>
    <w:rsid w:val="0091752B"/>
    <w:rsid w:val="009177E9"/>
    <w:rsid w:val="0092094C"/>
    <w:rsid w:val="0092137A"/>
    <w:rsid w:val="0092189C"/>
    <w:rsid w:val="00921FD8"/>
    <w:rsid w:val="00924534"/>
    <w:rsid w:val="00924EEC"/>
    <w:rsid w:val="009250CC"/>
    <w:rsid w:val="00925372"/>
    <w:rsid w:val="0092596C"/>
    <w:rsid w:val="0092606A"/>
    <w:rsid w:val="0092616B"/>
    <w:rsid w:val="0092694A"/>
    <w:rsid w:val="00927045"/>
    <w:rsid w:val="00927100"/>
    <w:rsid w:val="0092715C"/>
    <w:rsid w:val="009275C6"/>
    <w:rsid w:val="0092783E"/>
    <w:rsid w:val="00930B0C"/>
    <w:rsid w:val="00930FEC"/>
    <w:rsid w:val="0093129C"/>
    <w:rsid w:val="00932D04"/>
    <w:rsid w:val="0093317A"/>
    <w:rsid w:val="009331CF"/>
    <w:rsid w:val="009334AC"/>
    <w:rsid w:val="00933E32"/>
    <w:rsid w:val="00933EBC"/>
    <w:rsid w:val="009346A1"/>
    <w:rsid w:val="0093578D"/>
    <w:rsid w:val="00935F41"/>
    <w:rsid w:val="00937762"/>
    <w:rsid w:val="009377D0"/>
    <w:rsid w:val="0093784B"/>
    <w:rsid w:val="00937B1D"/>
    <w:rsid w:val="00937FB4"/>
    <w:rsid w:val="00941C4E"/>
    <w:rsid w:val="00942010"/>
    <w:rsid w:val="00943069"/>
    <w:rsid w:val="0094320A"/>
    <w:rsid w:val="0094382F"/>
    <w:rsid w:val="00943D45"/>
    <w:rsid w:val="00944199"/>
    <w:rsid w:val="00944BEB"/>
    <w:rsid w:val="00945756"/>
    <w:rsid w:val="0094587C"/>
    <w:rsid w:val="009468E6"/>
    <w:rsid w:val="00947460"/>
    <w:rsid w:val="009476F8"/>
    <w:rsid w:val="0095110B"/>
    <w:rsid w:val="0095170D"/>
    <w:rsid w:val="00951FD1"/>
    <w:rsid w:val="00952811"/>
    <w:rsid w:val="00952C54"/>
    <w:rsid w:val="0095307F"/>
    <w:rsid w:val="009531E1"/>
    <w:rsid w:val="00953513"/>
    <w:rsid w:val="00954728"/>
    <w:rsid w:val="009548BC"/>
    <w:rsid w:val="00954CBB"/>
    <w:rsid w:val="009551AE"/>
    <w:rsid w:val="00955526"/>
    <w:rsid w:val="009557B8"/>
    <w:rsid w:val="00955B81"/>
    <w:rsid w:val="00955B84"/>
    <w:rsid w:val="00956F7A"/>
    <w:rsid w:val="009572AD"/>
    <w:rsid w:val="00957E45"/>
    <w:rsid w:val="00957F1F"/>
    <w:rsid w:val="00960139"/>
    <w:rsid w:val="009617B7"/>
    <w:rsid w:val="00961B29"/>
    <w:rsid w:val="00961D24"/>
    <w:rsid w:val="009636EB"/>
    <w:rsid w:val="00963784"/>
    <w:rsid w:val="00963872"/>
    <w:rsid w:val="0096490B"/>
    <w:rsid w:val="00965B4D"/>
    <w:rsid w:val="009663A5"/>
    <w:rsid w:val="009663E1"/>
    <w:rsid w:val="00966C09"/>
    <w:rsid w:val="00966F4F"/>
    <w:rsid w:val="009671AE"/>
    <w:rsid w:val="009701C7"/>
    <w:rsid w:val="009701CF"/>
    <w:rsid w:val="00970D09"/>
    <w:rsid w:val="00971A10"/>
    <w:rsid w:val="00972515"/>
    <w:rsid w:val="00972996"/>
    <w:rsid w:val="00972D9B"/>
    <w:rsid w:val="00972DE6"/>
    <w:rsid w:val="0097392C"/>
    <w:rsid w:val="00974606"/>
    <w:rsid w:val="00974DB1"/>
    <w:rsid w:val="0097535F"/>
    <w:rsid w:val="009764E0"/>
    <w:rsid w:val="00976515"/>
    <w:rsid w:val="0097665F"/>
    <w:rsid w:val="00976F71"/>
    <w:rsid w:val="00977CDD"/>
    <w:rsid w:val="009802B3"/>
    <w:rsid w:val="00980C83"/>
    <w:rsid w:val="009812E2"/>
    <w:rsid w:val="009813A5"/>
    <w:rsid w:val="00981EB9"/>
    <w:rsid w:val="00982809"/>
    <w:rsid w:val="00982841"/>
    <w:rsid w:val="00982ED6"/>
    <w:rsid w:val="00983D90"/>
    <w:rsid w:val="00983F46"/>
    <w:rsid w:val="009842C4"/>
    <w:rsid w:val="00984441"/>
    <w:rsid w:val="009844CF"/>
    <w:rsid w:val="00984AF0"/>
    <w:rsid w:val="00984DD8"/>
    <w:rsid w:val="00984E44"/>
    <w:rsid w:val="00984F21"/>
    <w:rsid w:val="009855FF"/>
    <w:rsid w:val="00985F4A"/>
    <w:rsid w:val="0098712C"/>
    <w:rsid w:val="0098726D"/>
    <w:rsid w:val="00987482"/>
    <w:rsid w:val="00987A83"/>
    <w:rsid w:val="0099036D"/>
    <w:rsid w:val="0099085F"/>
    <w:rsid w:val="009908CD"/>
    <w:rsid w:val="00992108"/>
    <w:rsid w:val="00992198"/>
    <w:rsid w:val="0099247B"/>
    <w:rsid w:val="009925DB"/>
    <w:rsid w:val="00993586"/>
    <w:rsid w:val="00993813"/>
    <w:rsid w:val="00993CC9"/>
    <w:rsid w:val="009943E2"/>
    <w:rsid w:val="00994452"/>
    <w:rsid w:val="00994555"/>
    <w:rsid w:val="009957F6"/>
    <w:rsid w:val="00995C13"/>
    <w:rsid w:val="009960A9"/>
    <w:rsid w:val="009960CC"/>
    <w:rsid w:val="00996823"/>
    <w:rsid w:val="00996AF5"/>
    <w:rsid w:val="00996DD6"/>
    <w:rsid w:val="00997646"/>
    <w:rsid w:val="009978DC"/>
    <w:rsid w:val="00997CDD"/>
    <w:rsid w:val="009A086D"/>
    <w:rsid w:val="009A1048"/>
    <w:rsid w:val="009A1053"/>
    <w:rsid w:val="009A1085"/>
    <w:rsid w:val="009A139A"/>
    <w:rsid w:val="009A14D3"/>
    <w:rsid w:val="009A1675"/>
    <w:rsid w:val="009A17FD"/>
    <w:rsid w:val="009A1AD2"/>
    <w:rsid w:val="009A23CE"/>
    <w:rsid w:val="009A2FBC"/>
    <w:rsid w:val="009A31FD"/>
    <w:rsid w:val="009A4061"/>
    <w:rsid w:val="009A5983"/>
    <w:rsid w:val="009A5BC1"/>
    <w:rsid w:val="009A5CD4"/>
    <w:rsid w:val="009A6012"/>
    <w:rsid w:val="009A6CA9"/>
    <w:rsid w:val="009A6D36"/>
    <w:rsid w:val="009A6F74"/>
    <w:rsid w:val="009B0468"/>
    <w:rsid w:val="009B0646"/>
    <w:rsid w:val="009B0E92"/>
    <w:rsid w:val="009B11D5"/>
    <w:rsid w:val="009B1B75"/>
    <w:rsid w:val="009B2951"/>
    <w:rsid w:val="009B2C3B"/>
    <w:rsid w:val="009B376D"/>
    <w:rsid w:val="009B383A"/>
    <w:rsid w:val="009B504E"/>
    <w:rsid w:val="009B54F2"/>
    <w:rsid w:val="009B59F6"/>
    <w:rsid w:val="009B5BDC"/>
    <w:rsid w:val="009B5C3F"/>
    <w:rsid w:val="009B6771"/>
    <w:rsid w:val="009B71AF"/>
    <w:rsid w:val="009B7AA8"/>
    <w:rsid w:val="009C1D68"/>
    <w:rsid w:val="009C2C6C"/>
    <w:rsid w:val="009C4001"/>
    <w:rsid w:val="009C490F"/>
    <w:rsid w:val="009C4CA3"/>
    <w:rsid w:val="009C52CC"/>
    <w:rsid w:val="009C587E"/>
    <w:rsid w:val="009C5F93"/>
    <w:rsid w:val="009C77A7"/>
    <w:rsid w:val="009C7999"/>
    <w:rsid w:val="009D07B4"/>
    <w:rsid w:val="009D1565"/>
    <w:rsid w:val="009D3628"/>
    <w:rsid w:val="009D3B2A"/>
    <w:rsid w:val="009D3E56"/>
    <w:rsid w:val="009D4C2A"/>
    <w:rsid w:val="009D4DF1"/>
    <w:rsid w:val="009D5009"/>
    <w:rsid w:val="009D5B51"/>
    <w:rsid w:val="009D5E7D"/>
    <w:rsid w:val="009D60CE"/>
    <w:rsid w:val="009D6914"/>
    <w:rsid w:val="009D79B5"/>
    <w:rsid w:val="009D7CF5"/>
    <w:rsid w:val="009D7EFA"/>
    <w:rsid w:val="009E03BA"/>
    <w:rsid w:val="009E0A91"/>
    <w:rsid w:val="009E10B4"/>
    <w:rsid w:val="009E1804"/>
    <w:rsid w:val="009E1C22"/>
    <w:rsid w:val="009E1DB1"/>
    <w:rsid w:val="009E2481"/>
    <w:rsid w:val="009E26C4"/>
    <w:rsid w:val="009E2780"/>
    <w:rsid w:val="009E3082"/>
    <w:rsid w:val="009E4384"/>
    <w:rsid w:val="009E4453"/>
    <w:rsid w:val="009E45AC"/>
    <w:rsid w:val="009E48B2"/>
    <w:rsid w:val="009E4C3E"/>
    <w:rsid w:val="009E5195"/>
    <w:rsid w:val="009E5807"/>
    <w:rsid w:val="009E5EFE"/>
    <w:rsid w:val="009E6075"/>
    <w:rsid w:val="009E6361"/>
    <w:rsid w:val="009E63C0"/>
    <w:rsid w:val="009E68A0"/>
    <w:rsid w:val="009E6F8D"/>
    <w:rsid w:val="009E6FB6"/>
    <w:rsid w:val="009E7100"/>
    <w:rsid w:val="009E7E7B"/>
    <w:rsid w:val="009E7F85"/>
    <w:rsid w:val="009F0B5F"/>
    <w:rsid w:val="009F105A"/>
    <w:rsid w:val="009F115D"/>
    <w:rsid w:val="009F1944"/>
    <w:rsid w:val="009F1B83"/>
    <w:rsid w:val="009F20EF"/>
    <w:rsid w:val="009F2B28"/>
    <w:rsid w:val="009F3631"/>
    <w:rsid w:val="009F3790"/>
    <w:rsid w:val="009F3F33"/>
    <w:rsid w:val="009F527D"/>
    <w:rsid w:val="009F5F2D"/>
    <w:rsid w:val="009F6275"/>
    <w:rsid w:val="009F6301"/>
    <w:rsid w:val="009F676F"/>
    <w:rsid w:val="009F7CEB"/>
    <w:rsid w:val="00A00AB3"/>
    <w:rsid w:val="00A01010"/>
    <w:rsid w:val="00A01408"/>
    <w:rsid w:val="00A01579"/>
    <w:rsid w:val="00A01CFE"/>
    <w:rsid w:val="00A02178"/>
    <w:rsid w:val="00A03352"/>
    <w:rsid w:val="00A0392B"/>
    <w:rsid w:val="00A040FD"/>
    <w:rsid w:val="00A0426A"/>
    <w:rsid w:val="00A04710"/>
    <w:rsid w:val="00A04C0D"/>
    <w:rsid w:val="00A05372"/>
    <w:rsid w:val="00A05B92"/>
    <w:rsid w:val="00A05F1F"/>
    <w:rsid w:val="00A060F1"/>
    <w:rsid w:val="00A062F9"/>
    <w:rsid w:val="00A064A2"/>
    <w:rsid w:val="00A06F64"/>
    <w:rsid w:val="00A07629"/>
    <w:rsid w:val="00A079E2"/>
    <w:rsid w:val="00A07A7F"/>
    <w:rsid w:val="00A07E36"/>
    <w:rsid w:val="00A104F3"/>
    <w:rsid w:val="00A10952"/>
    <w:rsid w:val="00A11454"/>
    <w:rsid w:val="00A11680"/>
    <w:rsid w:val="00A11C65"/>
    <w:rsid w:val="00A12640"/>
    <w:rsid w:val="00A12983"/>
    <w:rsid w:val="00A12B4E"/>
    <w:rsid w:val="00A12C68"/>
    <w:rsid w:val="00A13095"/>
    <w:rsid w:val="00A1477C"/>
    <w:rsid w:val="00A152F3"/>
    <w:rsid w:val="00A155E8"/>
    <w:rsid w:val="00A15606"/>
    <w:rsid w:val="00A17A7D"/>
    <w:rsid w:val="00A17C14"/>
    <w:rsid w:val="00A204F8"/>
    <w:rsid w:val="00A205E4"/>
    <w:rsid w:val="00A20991"/>
    <w:rsid w:val="00A20B1A"/>
    <w:rsid w:val="00A20C47"/>
    <w:rsid w:val="00A20D3A"/>
    <w:rsid w:val="00A21B65"/>
    <w:rsid w:val="00A22A39"/>
    <w:rsid w:val="00A22DD8"/>
    <w:rsid w:val="00A23988"/>
    <w:rsid w:val="00A2499A"/>
    <w:rsid w:val="00A25367"/>
    <w:rsid w:val="00A25C7D"/>
    <w:rsid w:val="00A260CF"/>
    <w:rsid w:val="00A2640A"/>
    <w:rsid w:val="00A26841"/>
    <w:rsid w:val="00A26CFD"/>
    <w:rsid w:val="00A26E6B"/>
    <w:rsid w:val="00A27E27"/>
    <w:rsid w:val="00A27ED0"/>
    <w:rsid w:val="00A307AD"/>
    <w:rsid w:val="00A30DAA"/>
    <w:rsid w:val="00A30EBC"/>
    <w:rsid w:val="00A3123B"/>
    <w:rsid w:val="00A31290"/>
    <w:rsid w:val="00A313C2"/>
    <w:rsid w:val="00A31A78"/>
    <w:rsid w:val="00A31B4C"/>
    <w:rsid w:val="00A3228D"/>
    <w:rsid w:val="00A33682"/>
    <w:rsid w:val="00A33E81"/>
    <w:rsid w:val="00A33E93"/>
    <w:rsid w:val="00A342DC"/>
    <w:rsid w:val="00A351AB"/>
    <w:rsid w:val="00A35CBD"/>
    <w:rsid w:val="00A35D62"/>
    <w:rsid w:val="00A36370"/>
    <w:rsid w:val="00A365AC"/>
    <w:rsid w:val="00A37DF6"/>
    <w:rsid w:val="00A40186"/>
    <w:rsid w:val="00A4027F"/>
    <w:rsid w:val="00A40A0F"/>
    <w:rsid w:val="00A41B61"/>
    <w:rsid w:val="00A41E5D"/>
    <w:rsid w:val="00A4226D"/>
    <w:rsid w:val="00A43BFB"/>
    <w:rsid w:val="00A44580"/>
    <w:rsid w:val="00A45942"/>
    <w:rsid w:val="00A461CB"/>
    <w:rsid w:val="00A46611"/>
    <w:rsid w:val="00A469FE"/>
    <w:rsid w:val="00A46AE1"/>
    <w:rsid w:val="00A47B9E"/>
    <w:rsid w:val="00A507FD"/>
    <w:rsid w:val="00A50B22"/>
    <w:rsid w:val="00A50B62"/>
    <w:rsid w:val="00A511C9"/>
    <w:rsid w:val="00A51DB2"/>
    <w:rsid w:val="00A527AD"/>
    <w:rsid w:val="00A535FB"/>
    <w:rsid w:val="00A53AAF"/>
    <w:rsid w:val="00A5425D"/>
    <w:rsid w:val="00A552C3"/>
    <w:rsid w:val="00A5563B"/>
    <w:rsid w:val="00A55C78"/>
    <w:rsid w:val="00A56E94"/>
    <w:rsid w:val="00A57113"/>
    <w:rsid w:val="00A57874"/>
    <w:rsid w:val="00A57AE7"/>
    <w:rsid w:val="00A57B99"/>
    <w:rsid w:val="00A57BEB"/>
    <w:rsid w:val="00A608DB"/>
    <w:rsid w:val="00A61A75"/>
    <w:rsid w:val="00A62608"/>
    <w:rsid w:val="00A63135"/>
    <w:rsid w:val="00A6374D"/>
    <w:rsid w:val="00A63903"/>
    <w:rsid w:val="00A64BEE"/>
    <w:rsid w:val="00A64F18"/>
    <w:rsid w:val="00A651D8"/>
    <w:rsid w:val="00A667F6"/>
    <w:rsid w:val="00A669B1"/>
    <w:rsid w:val="00A6706A"/>
    <w:rsid w:val="00A675EE"/>
    <w:rsid w:val="00A67FA9"/>
    <w:rsid w:val="00A7131B"/>
    <w:rsid w:val="00A730C7"/>
    <w:rsid w:val="00A7312F"/>
    <w:rsid w:val="00A73DBC"/>
    <w:rsid w:val="00A74014"/>
    <w:rsid w:val="00A74486"/>
    <w:rsid w:val="00A74BDE"/>
    <w:rsid w:val="00A74F94"/>
    <w:rsid w:val="00A76EC6"/>
    <w:rsid w:val="00A775CC"/>
    <w:rsid w:val="00A77B13"/>
    <w:rsid w:val="00A80260"/>
    <w:rsid w:val="00A803F9"/>
    <w:rsid w:val="00A81174"/>
    <w:rsid w:val="00A81A52"/>
    <w:rsid w:val="00A81D5A"/>
    <w:rsid w:val="00A81F82"/>
    <w:rsid w:val="00A82E08"/>
    <w:rsid w:val="00A82F24"/>
    <w:rsid w:val="00A830A5"/>
    <w:rsid w:val="00A84114"/>
    <w:rsid w:val="00A841B0"/>
    <w:rsid w:val="00A84429"/>
    <w:rsid w:val="00A85780"/>
    <w:rsid w:val="00A858A1"/>
    <w:rsid w:val="00A85A2B"/>
    <w:rsid w:val="00A85C20"/>
    <w:rsid w:val="00A866AA"/>
    <w:rsid w:val="00A874C4"/>
    <w:rsid w:val="00A8797E"/>
    <w:rsid w:val="00A903DD"/>
    <w:rsid w:val="00A91527"/>
    <w:rsid w:val="00A91546"/>
    <w:rsid w:val="00A91D76"/>
    <w:rsid w:val="00A93543"/>
    <w:rsid w:val="00A94092"/>
    <w:rsid w:val="00A9464D"/>
    <w:rsid w:val="00A94EFC"/>
    <w:rsid w:val="00A95D38"/>
    <w:rsid w:val="00A95F5C"/>
    <w:rsid w:val="00A9626E"/>
    <w:rsid w:val="00A96604"/>
    <w:rsid w:val="00A96D01"/>
    <w:rsid w:val="00A96F79"/>
    <w:rsid w:val="00A97F05"/>
    <w:rsid w:val="00AA03A0"/>
    <w:rsid w:val="00AA068E"/>
    <w:rsid w:val="00AA07AF"/>
    <w:rsid w:val="00AA1335"/>
    <w:rsid w:val="00AA1681"/>
    <w:rsid w:val="00AA232E"/>
    <w:rsid w:val="00AA2AFC"/>
    <w:rsid w:val="00AA2FA1"/>
    <w:rsid w:val="00AA3720"/>
    <w:rsid w:val="00AA51C1"/>
    <w:rsid w:val="00AA51F4"/>
    <w:rsid w:val="00AA5AD9"/>
    <w:rsid w:val="00AA6156"/>
    <w:rsid w:val="00AA6589"/>
    <w:rsid w:val="00AA65DB"/>
    <w:rsid w:val="00AA6BBD"/>
    <w:rsid w:val="00AA73AC"/>
    <w:rsid w:val="00AA7B77"/>
    <w:rsid w:val="00AA7F97"/>
    <w:rsid w:val="00AB0F4E"/>
    <w:rsid w:val="00AB187A"/>
    <w:rsid w:val="00AB1BD0"/>
    <w:rsid w:val="00AB2B56"/>
    <w:rsid w:val="00AB514A"/>
    <w:rsid w:val="00AB5B95"/>
    <w:rsid w:val="00AC0846"/>
    <w:rsid w:val="00AC0B67"/>
    <w:rsid w:val="00AC115F"/>
    <w:rsid w:val="00AC13C2"/>
    <w:rsid w:val="00AC1947"/>
    <w:rsid w:val="00AC292B"/>
    <w:rsid w:val="00AC2BE5"/>
    <w:rsid w:val="00AC2ED3"/>
    <w:rsid w:val="00AC43A4"/>
    <w:rsid w:val="00AC4638"/>
    <w:rsid w:val="00AC4A6E"/>
    <w:rsid w:val="00AC50E3"/>
    <w:rsid w:val="00AC5C33"/>
    <w:rsid w:val="00AC7C6C"/>
    <w:rsid w:val="00AD0347"/>
    <w:rsid w:val="00AD11A5"/>
    <w:rsid w:val="00AD12C0"/>
    <w:rsid w:val="00AD1EB4"/>
    <w:rsid w:val="00AD2649"/>
    <w:rsid w:val="00AD2965"/>
    <w:rsid w:val="00AD2E44"/>
    <w:rsid w:val="00AD30D0"/>
    <w:rsid w:val="00AD3BE1"/>
    <w:rsid w:val="00AD3E56"/>
    <w:rsid w:val="00AD436A"/>
    <w:rsid w:val="00AD51C9"/>
    <w:rsid w:val="00AD5332"/>
    <w:rsid w:val="00AD6112"/>
    <w:rsid w:val="00AD61FF"/>
    <w:rsid w:val="00AD684D"/>
    <w:rsid w:val="00AD770E"/>
    <w:rsid w:val="00AE10CE"/>
    <w:rsid w:val="00AE1BE4"/>
    <w:rsid w:val="00AE2A68"/>
    <w:rsid w:val="00AE2E8B"/>
    <w:rsid w:val="00AE3157"/>
    <w:rsid w:val="00AE33D9"/>
    <w:rsid w:val="00AE366F"/>
    <w:rsid w:val="00AE3973"/>
    <w:rsid w:val="00AE4D8F"/>
    <w:rsid w:val="00AE513E"/>
    <w:rsid w:val="00AE5299"/>
    <w:rsid w:val="00AE6921"/>
    <w:rsid w:val="00AE6F4E"/>
    <w:rsid w:val="00AE7369"/>
    <w:rsid w:val="00AE7AA8"/>
    <w:rsid w:val="00AE7D22"/>
    <w:rsid w:val="00AF0099"/>
    <w:rsid w:val="00AF0A00"/>
    <w:rsid w:val="00AF0DF9"/>
    <w:rsid w:val="00AF1596"/>
    <w:rsid w:val="00AF16C5"/>
    <w:rsid w:val="00AF1E24"/>
    <w:rsid w:val="00AF2558"/>
    <w:rsid w:val="00AF2AD2"/>
    <w:rsid w:val="00AF316D"/>
    <w:rsid w:val="00AF42BC"/>
    <w:rsid w:val="00AF461D"/>
    <w:rsid w:val="00AF4BE4"/>
    <w:rsid w:val="00AF4FE2"/>
    <w:rsid w:val="00AF5161"/>
    <w:rsid w:val="00AF66B5"/>
    <w:rsid w:val="00AF6721"/>
    <w:rsid w:val="00AF6B12"/>
    <w:rsid w:val="00AF7188"/>
    <w:rsid w:val="00AF7647"/>
    <w:rsid w:val="00AF7FC3"/>
    <w:rsid w:val="00B00C52"/>
    <w:rsid w:val="00B0102E"/>
    <w:rsid w:val="00B013B9"/>
    <w:rsid w:val="00B01C6A"/>
    <w:rsid w:val="00B02E37"/>
    <w:rsid w:val="00B03E40"/>
    <w:rsid w:val="00B05232"/>
    <w:rsid w:val="00B056FA"/>
    <w:rsid w:val="00B05A6C"/>
    <w:rsid w:val="00B05B25"/>
    <w:rsid w:val="00B06247"/>
    <w:rsid w:val="00B06722"/>
    <w:rsid w:val="00B069A9"/>
    <w:rsid w:val="00B07101"/>
    <w:rsid w:val="00B07277"/>
    <w:rsid w:val="00B07CFD"/>
    <w:rsid w:val="00B10166"/>
    <w:rsid w:val="00B10595"/>
    <w:rsid w:val="00B11018"/>
    <w:rsid w:val="00B11EA0"/>
    <w:rsid w:val="00B11EA4"/>
    <w:rsid w:val="00B11F70"/>
    <w:rsid w:val="00B13DBD"/>
    <w:rsid w:val="00B14246"/>
    <w:rsid w:val="00B143A6"/>
    <w:rsid w:val="00B145AE"/>
    <w:rsid w:val="00B14A38"/>
    <w:rsid w:val="00B14B8F"/>
    <w:rsid w:val="00B14E62"/>
    <w:rsid w:val="00B1522A"/>
    <w:rsid w:val="00B15648"/>
    <w:rsid w:val="00B16976"/>
    <w:rsid w:val="00B17065"/>
    <w:rsid w:val="00B17E4B"/>
    <w:rsid w:val="00B17FDB"/>
    <w:rsid w:val="00B200DF"/>
    <w:rsid w:val="00B20F93"/>
    <w:rsid w:val="00B21319"/>
    <w:rsid w:val="00B216DB"/>
    <w:rsid w:val="00B21BB1"/>
    <w:rsid w:val="00B21D3A"/>
    <w:rsid w:val="00B22D09"/>
    <w:rsid w:val="00B22ED7"/>
    <w:rsid w:val="00B23143"/>
    <w:rsid w:val="00B231F0"/>
    <w:rsid w:val="00B2369A"/>
    <w:rsid w:val="00B23CB3"/>
    <w:rsid w:val="00B24D53"/>
    <w:rsid w:val="00B24EAF"/>
    <w:rsid w:val="00B25512"/>
    <w:rsid w:val="00B258F4"/>
    <w:rsid w:val="00B25D68"/>
    <w:rsid w:val="00B25D7A"/>
    <w:rsid w:val="00B26526"/>
    <w:rsid w:val="00B265F4"/>
    <w:rsid w:val="00B2777B"/>
    <w:rsid w:val="00B27F27"/>
    <w:rsid w:val="00B306C2"/>
    <w:rsid w:val="00B3103A"/>
    <w:rsid w:val="00B3174E"/>
    <w:rsid w:val="00B31EE2"/>
    <w:rsid w:val="00B31FA9"/>
    <w:rsid w:val="00B3239F"/>
    <w:rsid w:val="00B33420"/>
    <w:rsid w:val="00B3390C"/>
    <w:rsid w:val="00B34BB5"/>
    <w:rsid w:val="00B360F5"/>
    <w:rsid w:val="00B36CC4"/>
    <w:rsid w:val="00B3771C"/>
    <w:rsid w:val="00B379D9"/>
    <w:rsid w:val="00B40941"/>
    <w:rsid w:val="00B40E03"/>
    <w:rsid w:val="00B40E95"/>
    <w:rsid w:val="00B4397D"/>
    <w:rsid w:val="00B445D8"/>
    <w:rsid w:val="00B47052"/>
    <w:rsid w:val="00B477DE"/>
    <w:rsid w:val="00B50FF8"/>
    <w:rsid w:val="00B5108C"/>
    <w:rsid w:val="00B51E28"/>
    <w:rsid w:val="00B52D7C"/>
    <w:rsid w:val="00B53095"/>
    <w:rsid w:val="00B532CB"/>
    <w:rsid w:val="00B539FB"/>
    <w:rsid w:val="00B53C14"/>
    <w:rsid w:val="00B54825"/>
    <w:rsid w:val="00B56B75"/>
    <w:rsid w:val="00B573BB"/>
    <w:rsid w:val="00B60950"/>
    <w:rsid w:val="00B60CEC"/>
    <w:rsid w:val="00B610AE"/>
    <w:rsid w:val="00B611FE"/>
    <w:rsid w:val="00B621CD"/>
    <w:rsid w:val="00B62CB0"/>
    <w:rsid w:val="00B6367E"/>
    <w:rsid w:val="00B63B06"/>
    <w:rsid w:val="00B63FF3"/>
    <w:rsid w:val="00B64A39"/>
    <w:rsid w:val="00B64B0E"/>
    <w:rsid w:val="00B64DA5"/>
    <w:rsid w:val="00B652FC"/>
    <w:rsid w:val="00B6610A"/>
    <w:rsid w:val="00B66812"/>
    <w:rsid w:val="00B66C37"/>
    <w:rsid w:val="00B67119"/>
    <w:rsid w:val="00B67AFE"/>
    <w:rsid w:val="00B67BDC"/>
    <w:rsid w:val="00B70A11"/>
    <w:rsid w:val="00B7138F"/>
    <w:rsid w:val="00B71675"/>
    <w:rsid w:val="00B71B62"/>
    <w:rsid w:val="00B7259C"/>
    <w:rsid w:val="00B72884"/>
    <w:rsid w:val="00B72E83"/>
    <w:rsid w:val="00B75241"/>
    <w:rsid w:val="00B7557D"/>
    <w:rsid w:val="00B75BC0"/>
    <w:rsid w:val="00B763FD"/>
    <w:rsid w:val="00B76816"/>
    <w:rsid w:val="00B772DA"/>
    <w:rsid w:val="00B77776"/>
    <w:rsid w:val="00B7796D"/>
    <w:rsid w:val="00B80AA4"/>
    <w:rsid w:val="00B80B83"/>
    <w:rsid w:val="00B81A5A"/>
    <w:rsid w:val="00B81D7F"/>
    <w:rsid w:val="00B8254B"/>
    <w:rsid w:val="00B82AB7"/>
    <w:rsid w:val="00B83C38"/>
    <w:rsid w:val="00B85953"/>
    <w:rsid w:val="00B86291"/>
    <w:rsid w:val="00B863A0"/>
    <w:rsid w:val="00B86B8D"/>
    <w:rsid w:val="00B91061"/>
    <w:rsid w:val="00B914FE"/>
    <w:rsid w:val="00B915A4"/>
    <w:rsid w:val="00B915D3"/>
    <w:rsid w:val="00B91923"/>
    <w:rsid w:val="00B919E9"/>
    <w:rsid w:val="00B91A63"/>
    <w:rsid w:val="00B91C68"/>
    <w:rsid w:val="00B92AE8"/>
    <w:rsid w:val="00B933F6"/>
    <w:rsid w:val="00B93F58"/>
    <w:rsid w:val="00B940C8"/>
    <w:rsid w:val="00B95D42"/>
    <w:rsid w:val="00B95DCA"/>
    <w:rsid w:val="00B9659A"/>
    <w:rsid w:val="00B97232"/>
    <w:rsid w:val="00BA01AB"/>
    <w:rsid w:val="00BA0A0A"/>
    <w:rsid w:val="00BA0A59"/>
    <w:rsid w:val="00BA0C01"/>
    <w:rsid w:val="00BA0E84"/>
    <w:rsid w:val="00BA1335"/>
    <w:rsid w:val="00BA13CB"/>
    <w:rsid w:val="00BA1554"/>
    <w:rsid w:val="00BA188B"/>
    <w:rsid w:val="00BA1DAE"/>
    <w:rsid w:val="00BA3306"/>
    <w:rsid w:val="00BA3A98"/>
    <w:rsid w:val="00BA4722"/>
    <w:rsid w:val="00BA4CB5"/>
    <w:rsid w:val="00BA4E9A"/>
    <w:rsid w:val="00BA5936"/>
    <w:rsid w:val="00BA59EF"/>
    <w:rsid w:val="00BA6614"/>
    <w:rsid w:val="00BA6A52"/>
    <w:rsid w:val="00BA73EE"/>
    <w:rsid w:val="00BA7CE4"/>
    <w:rsid w:val="00BA7FFC"/>
    <w:rsid w:val="00BB001B"/>
    <w:rsid w:val="00BB008B"/>
    <w:rsid w:val="00BB029C"/>
    <w:rsid w:val="00BB07E8"/>
    <w:rsid w:val="00BB0A2B"/>
    <w:rsid w:val="00BB12D6"/>
    <w:rsid w:val="00BB14EE"/>
    <w:rsid w:val="00BB171D"/>
    <w:rsid w:val="00BB1BE6"/>
    <w:rsid w:val="00BB27EE"/>
    <w:rsid w:val="00BB3753"/>
    <w:rsid w:val="00BB4FCE"/>
    <w:rsid w:val="00BB6836"/>
    <w:rsid w:val="00BB72C4"/>
    <w:rsid w:val="00BB7F00"/>
    <w:rsid w:val="00BC0FB5"/>
    <w:rsid w:val="00BC3067"/>
    <w:rsid w:val="00BC6715"/>
    <w:rsid w:val="00BC77A4"/>
    <w:rsid w:val="00BC7B25"/>
    <w:rsid w:val="00BC7FCB"/>
    <w:rsid w:val="00BD03EC"/>
    <w:rsid w:val="00BD1FF4"/>
    <w:rsid w:val="00BD26B7"/>
    <w:rsid w:val="00BD29EA"/>
    <w:rsid w:val="00BD2D02"/>
    <w:rsid w:val="00BD307F"/>
    <w:rsid w:val="00BD5D3F"/>
    <w:rsid w:val="00BD6A8B"/>
    <w:rsid w:val="00BD733C"/>
    <w:rsid w:val="00BD7B91"/>
    <w:rsid w:val="00BE08ED"/>
    <w:rsid w:val="00BE175D"/>
    <w:rsid w:val="00BE1B69"/>
    <w:rsid w:val="00BE1DE9"/>
    <w:rsid w:val="00BE1EA9"/>
    <w:rsid w:val="00BE33B7"/>
    <w:rsid w:val="00BE37DB"/>
    <w:rsid w:val="00BE3CAA"/>
    <w:rsid w:val="00BE3E5F"/>
    <w:rsid w:val="00BE477F"/>
    <w:rsid w:val="00BE49FB"/>
    <w:rsid w:val="00BE583A"/>
    <w:rsid w:val="00BE6D02"/>
    <w:rsid w:val="00BE6F46"/>
    <w:rsid w:val="00BE7B79"/>
    <w:rsid w:val="00BE7BB3"/>
    <w:rsid w:val="00BF05FB"/>
    <w:rsid w:val="00BF0E8F"/>
    <w:rsid w:val="00BF1DCE"/>
    <w:rsid w:val="00BF2007"/>
    <w:rsid w:val="00BF24DE"/>
    <w:rsid w:val="00BF35A4"/>
    <w:rsid w:val="00BF3B18"/>
    <w:rsid w:val="00C00AEB"/>
    <w:rsid w:val="00C01701"/>
    <w:rsid w:val="00C01B3C"/>
    <w:rsid w:val="00C0233B"/>
    <w:rsid w:val="00C02387"/>
    <w:rsid w:val="00C03416"/>
    <w:rsid w:val="00C0348A"/>
    <w:rsid w:val="00C03C6E"/>
    <w:rsid w:val="00C043B2"/>
    <w:rsid w:val="00C04B29"/>
    <w:rsid w:val="00C06418"/>
    <w:rsid w:val="00C0641F"/>
    <w:rsid w:val="00C067D4"/>
    <w:rsid w:val="00C0718C"/>
    <w:rsid w:val="00C07323"/>
    <w:rsid w:val="00C07417"/>
    <w:rsid w:val="00C07BBA"/>
    <w:rsid w:val="00C104C2"/>
    <w:rsid w:val="00C10836"/>
    <w:rsid w:val="00C10BA6"/>
    <w:rsid w:val="00C10D7B"/>
    <w:rsid w:val="00C11033"/>
    <w:rsid w:val="00C1173C"/>
    <w:rsid w:val="00C117A6"/>
    <w:rsid w:val="00C1226B"/>
    <w:rsid w:val="00C13D07"/>
    <w:rsid w:val="00C13D80"/>
    <w:rsid w:val="00C14816"/>
    <w:rsid w:val="00C15C02"/>
    <w:rsid w:val="00C15DE0"/>
    <w:rsid w:val="00C16394"/>
    <w:rsid w:val="00C1692D"/>
    <w:rsid w:val="00C176D5"/>
    <w:rsid w:val="00C17932"/>
    <w:rsid w:val="00C20A0D"/>
    <w:rsid w:val="00C20CA1"/>
    <w:rsid w:val="00C216A6"/>
    <w:rsid w:val="00C21A9E"/>
    <w:rsid w:val="00C21E75"/>
    <w:rsid w:val="00C22CBA"/>
    <w:rsid w:val="00C23093"/>
    <w:rsid w:val="00C2342E"/>
    <w:rsid w:val="00C2386B"/>
    <w:rsid w:val="00C23A5E"/>
    <w:rsid w:val="00C23FEA"/>
    <w:rsid w:val="00C2405F"/>
    <w:rsid w:val="00C245A8"/>
    <w:rsid w:val="00C25299"/>
    <w:rsid w:val="00C262F9"/>
    <w:rsid w:val="00C26327"/>
    <w:rsid w:val="00C302C0"/>
    <w:rsid w:val="00C30C97"/>
    <w:rsid w:val="00C31436"/>
    <w:rsid w:val="00C317F3"/>
    <w:rsid w:val="00C31A6A"/>
    <w:rsid w:val="00C31F4A"/>
    <w:rsid w:val="00C32F15"/>
    <w:rsid w:val="00C33883"/>
    <w:rsid w:val="00C33982"/>
    <w:rsid w:val="00C341BF"/>
    <w:rsid w:val="00C3471D"/>
    <w:rsid w:val="00C34CC7"/>
    <w:rsid w:val="00C35509"/>
    <w:rsid w:val="00C36782"/>
    <w:rsid w:val="00C370A8"/>
    <w:rsid w:val="00C37723"/>
    <w:rsid w:val="00C37B39"/>
    <w:rsid w:val="00C37FA1"/>
    <w:rsid w:val="00C404FF"/>
    <w:rsid w:val="00C41438"/>
    <w:rsid w:val="00C41D5B"/>
    <w:rsid w:val="00C429D4"/>
    <w:rsid w:val="00C4426B"/>
    <w:rsid w:val="00C4438E"/>
    <w:rsid w:val="00C445E2"/>
    <w:rsid w:val="00C44C37"/>
    <w:rsid w:val="00C46AE5"/>
    <w:rsid w:val="00C47654"/>
    <w:rsid w:val="00C47E56"/>
    <w:rsid w:val="00C47FD0"/>
    <w:rsid w:val="00C50E47"/>
    <w:rsid w:val="00C51293"/>
    <w:rsid w:val="00C513C9"/>
    <w:rsid w:val="00C52ACF"/>
    <w:rsid w:val="00C52C13"/>
    <w:rsid w:val="00C52E9D"/>
    <w:rsid w:val="00C5320B"/>
    <w:rsid w:val="00C53468"/>
    <w:rsid w:val="00C53501"/>
    <w:rsid w:val="00C5555A"/>
    <w:rsid w:val="00C5737C"/>
    <w:rsid w:val="00C5766B"/>
    <w:rsid w:val="00C57BDE"/>
    <w:rsid w:val="00C57C41"/>
    <w:rsid w:val="00C57CF0"/>
    <w:rsid w:val="00C57E4D"/>
    <w:rsid w:val="00C603A2"/>
    <w:rsid w:val="00C6139F"/>
    <w:rsid w:val="00C62582"/>
    <w:rsid w:val="00C626E2"/>
    <w:rsid w:val="00C6271A"/>
    <w:rsid w:val="00C627BF"/>
    <w:rsid w:val="00C628C8"/>
    <w:rsid w:val="00C62D4D"/>
    <w:rsid w:val="00C639F0"/>
    <w:rsid w:val="00C6439C"/>
    <w:rsid w:val="00C651D7"/>
    <w:rsid w:val="00C65A1D"/>
    <w:rsid w:val="00C66BDD"/>
    <w:rsid w:val="00C67EA7"/>
    <w:rsid w:val="00C712FB"/>
    <w:rsid w:val="00C71875"/>
    <w:rsid w:val="00C71AF6"/>
    <w:rsid w:val="00C71C9C"/>
    <w:rsid w:val="00C72469"/>
    <w:rsid w:val="00C732CD"/>
    <w:rsid w:val="00C7347D"/>
    <w:rsid w:val="00C750B4"/>
    <w:rsid w:val="00C7519E"/>
    <w:rsid w:val="00C759D3"/>
    <w:rsid w:val="00C759E3"/>
    <w:rsid w:val="00C77807"/>
    <w:rsid w:val="00C8066D"/>
    <w:rsid w:val="00C8105C"/>
    <w:rsid w:val="00C81A12"/>
    <w:rsid w:val="00C820ED"/>
    <w:rsid w:val="00C8269C"/>
    <w:rsid w:val="00C83278"/>
    <w:rsid w:val="00C83CCA"/>
    <w:rsid w:val="00C8435D"/>
    <w:rsid w:val="00C846BA"/>
    <w:rsid w:val="00C846BE"/>
    <w:rsid w:val="00C848F5"/>
    <w:rsid w:val="00C84D12"/>
    <w:rsid w:val="00C84F49"/>
    <w:rsid w:val="00C86768"/>
    <w:rsid w:val="00C876C3"/>
    <w:rsid w:val="00C878CC"/>
    <w:rsid w:val="00C90A97"/>
    <w:rsid w:val="00C915E2"/>
    <w:rsid w:val="00C9160B"/>
    <w:rsid w:val="00C932F3"/>
    <w:rsid w:val="00C94409"/>
    <w:rsid w:val="00C95504"/>
    <w:rsid w:val="00C95B29"/>
    <w:rsid w:val="00C95DF1"/>
    <w:rsid w:val="00C96268"/>
    <w:rsid w:val="00C962A1"/>
    <w:rsid w:val="00C963DE"/>
    <w:rsid w:val="00C9649F"/>
    <w:rsid w:val="00C97317"/>
    <w:rsid w:val="00C974A0"/>
    <w:rsid w:val="00C974F6"/>
    <w:rsid w:val="00C978CB"/>
    <w:rsid w:val="00C97964"/>
    <w:rsid w:val="00C97B8B"/>
    <w:rsid w:val="00CA089D"/>
    <w:rsid w:val="00CA08D6"/>
    <w:rsid w:val="00CA0B2C"/>
    <w:rsid w:val="00CA0C26"/>
    <w:rsid w:val="00CA0EB9"/>
    <w:rsid w:val="00CA118B"/>
    <w:rsid w:val="00CA1211"/>
    <w:rsid w:val="00CA15CB"/>
    <w:rsid w:val="00CA4588"/>
    <w:rsid w:val="00CA509A"/>
    <w:rsid w:val="00CA51EE"/>
    <w:rsid w:val="00CA530F"/>
    <w:rsid w:val="00CA5CED"/>
    <w:rsid w:val="00CA667E"/>
    <w:rsid w:val="00CA6E89"/>
    <w:rsid w:val="00CA750C"/>
    <w:rsid w:val="00CA75D2"/>
    <w:rsid w:val="00CB07A8"/>
    <w:rsid w:val="00CB0E50"/>
    <w:rsid w:val="00CB14A1"/>
    <w:rsid w:val="00CB1EBB"/>
    <w:rsid w:val="00CB23E7"/>
    <w:rsid w:val="00CB3553"/>
    <w:rsid w:val="00CB3F8E"/>
    <w:rsid w:val="00CB443E"/>
    <w:rsid w:val="00CB444C"/>
    <w:rsid w:val="00CB5389"/>
    <w:rsid w:val="00CB56A2"/>
    <w:rsid w:val="00CB6613"/>
    <w:rsid w:val="00CB6C17"/>
    <w:rsid w:val="00CC0371"/>
    <w:rsid w:val="00CC049C"/>
    <w:rsid w:val="00CC0993"/>
    <w:rsid w:val="00CC0C6E"/>
    <w:rsid w:val="00CC10E1"/>
    <w:rsid w:val="00CC2CDD"/>
    <w:rsid w:val="00CC3118"/>
    <w:rsid w:val="00CC3190"/>
    <w:rsid w:val="00CC3195"/>
    <w:rsid w:val="00CC343B"/>
    <w:rsid w:val="00CC4170"/>
    <w:rsid w:val="00CC4A1B"/>
    <w:rsid w:val="00CC4E54"/>
    <w:rsid w:val="00CC4F1E"/>
    <w:rsid w:val="00CC5028"/>
    <w:rsid w:val="00CC62BC"/>
    <w:rsid w:val="00CC6A96"/>
    <w:rsid w:val="00CC70C7"/>
    <w:rsid w:val="00CC73CC"/>
    <w:rsid w:val="00CC75CA"/>
    <w:rsid w:val="00CC7807"/>
    <w:rsid w:val="00CD12E3"/>
    <w:rsid w:val="00CD224A"/>
    <w:rsid w:val="00CD2F2A"/>
    <w:rsid w:val="00CD32C4"/>
    <w:rsid w:val="00CD3DC4"/>
    <w:rsid w:val="00CD3F1D"/>
    <w:rsid w:val="00CD4D05"/>
    <w:rsid w:val="00CD50E7"/>
    <w:rsid w:val="00CD5112"/>
    <w:rsid w:val="00CD559A"/>
    <w:rsid w:val="00CD5B1E"/>
    <w:rsid w:val="00CD62C6"/>
    <w:rsid w:val="00CD6327"/>
    <w:rsid w:val="00CD6478"/>
    <w:rsid w:val="00CD6A31"/>
    <w:rsid w:val="00CD76EA"/>
    <w:rsid w:val="00CD7B8E"/>
    <w:rsid w:val="00CD7C98"/>
    <w:rsid w:val="00CD7FE0"/>
    <w:rsid w:val="00CE0C2C"/>
    <w:rsid w:val="00CE2211"/>
    <w:rsid w:val="00CE2299"/>
    <w:rsid w:val="00CE2B78"/>
    <w:rsid w:val="00CE4543"/>
    <w:rsid w:val="00CE4F56"/>
    <w:rsid w:val="00CE50C5"/>
    <w:rsid w:val="00CE52DD"/>
    <w:rsid w:val="00CE53CE"/>
    <w:rsid w:val="00CE5FD2"/>
    <w:rsid w:val="00CE6541"/>
    <w:rsid w:val="00CE730B"/>
    <w:rsid w:val="00CE74A3"/>
    <w:rsid w:val="00CE780B"/>
    <w:rsid w:val="00CF0599"/>
    <w:rsid w:val="00CF05C3"/>
    <w:rsid w:val="00CF15A1"/>
    <w:rsid w:val="00CF1629"/>
    <w:rsid w:val="00CF2DFE"/>
    <w:rsid w:val="00CF357E"/>
    <w:rsid w:val="00CF38F9"/>
    <w:rsid w:val="00CF3964"/>
    <w:rsid w:val="00CF3B53"/>
    <w:rsid w:val="00CF5B51"/>
    <w:rsid w:val="00CF5BE4"/>
    <w:rsid w:val="00CF61FD"/>
    <w:rsid w:val="00CF658D"/>
    <w:rsid w:val="00CF6B42"/>
    <w:rsid w:val="00CF70B7"/>
    <w:rsid w:val="00CF7522"/>
    <w:rsid w:val="00CF7992"/>
    <w:rsid w:val="00D021E3"/>
    <w:rsid w:val="00D0237D"/>
    <w:rsid w:val="00D02C01"/>
    <w:rsid w:val="00D034B1"/>
    <w:rsid w:val="00D034C2"/>
    <w:rsid w:val="00D034DD"/>
    <w:rsid w:val="00D03D0C"/>
    <w:rsid w:val="00D04952"/>
    <w:rsid w:val="00D04D70"/>
    <w:rsid w:val="00D053DA"/>
    <w:rsid w:val="00D05D5F"/>
    <w:rsid w:val="00D05DDD"/>
    <w:rsid w:val="00D05E2A"/>
    <w:rsid w:val="00D0624E"/>
    <w:rsid w:val="00D063E8"/>
    <w:rsid w:val="00D06A16"/>
    <w:rsid w:val="00D06AE5"/>
    <w:rsid w:val="00D077B6"/>
    <w:rsid w:val="00D07A70"/>
    <w:rsid w:val="00D1078F"/>
    <w:rsid w:val="00D10D78"/>
    <w:rsid w:val="00D10E60"/>
    <w:rsid w:val="00D11A4C"/>
    <w:rsid w:val="00D11B48"/>
    <w:rsid w:val="00D12007"/>
    <w:rsid w:val="00D1259B"/>
    <w:rsid w:val="00D128B8"/>
    <w:rsid w:val="00D12CD2"/>
    <w:rsid w:val="00D13750"/>
    <w:rsid w:val="00D1430C"/>
    <w:rsid w:val="00D14642"/>
    <w:rsid w:val="00D14659"/>
    <w:rsid w:val="00D14CA3"/>
    <w:rsid w:val="00D14D23"/>
    <w:rsid w:val="00D14D24"/>
    <w:rsid w:val="00D150BA"/>
    <w:rsid w:val="00D15186"/>
    <w:rsid w:val="00D15D8B"/>
    <w:rsid w:val="00D15E1A"/>
    <w:rsid w:val="00D15F71"/>
    <w:rsid w:val="00D17769"/>
    <w:rsid w:val="00D17984"/>
    <w:rsid w:val="00D20590"/>
    <w:rsid w:val="00D20913"/>
    <w:rsid w:val="00D21A55"/>
    <w:rsid w:val="00D21B62"/>
    <w:rsid w:val="00D22B36"/>
    <w:rsid w:val="00D22EF7"/>
    <w:rsid w:val="00D241EE"/>
    <w:rsid w:val="00D24B9F"/>
    <w:rsid w:val="00D24DAD"/>
    <w:rsid w:val="00D25590"/>
    <w:rsid w:val="00D256B1"/>
    <w:rsid w:val="00D258BE"/>
    <w:rsid w:val="00D25916"/>
    <w:rsid w:val="00D25D18"/>
    <w:rsid w:val="00D25F2E"/>
    <w:rsid w:val="00D26955"/>
    <w:rsid w:val="00D26DD4"/>
    <w:rsid w:val="00D27A1E"/>
    <w:rsid w:val="00D3013F"/>
    <w:rsid w:val="00D306DA"/>
    <w:rsid w:val="00D31668"/>
    <w:rsid w:val="00D31969"/>
    <w:rsid w:val="00D31DD3"/>
    <w:rsid w:val="00D329E6"/>
    <w:rsid w:val="00D33E6E"/>
    <w:rsid w:val="00D342AD"/>
    <w:rsid w:val="00D34784"/>
    <w:rsid w:val="00D3512C"/>
    <w:rsid w:val="00D361FC"/>
    <w:rsid w:val="00D366D0"/>
    <w:rsid w:val="00D368D3"/>
    <w:rsid w:val="00D37972"/>
    <w:rsid w:val="00D37AB2"/>
    <w:rsid w:val="00D37D4E"/>
    <w:rsid w:val="00D37DD4"/>
    <w:rsid w:val="00D40896"/>
    <w:rsid w:val="00D40B99"/>
    <w:rsid w:val="00D41534"/>
    <w:rsid w:val="00D42387"/>
    <w:rsid w:val="00D429A2"/>
    <w:rsid w:val="00D4304A"/>
    <w:rsid w:val="00D4337C"/>
    <w:rsid w:val="00D43FB3"/>
    <w:rsid w:val="00D43FFA"/>
    <w:rsid w:val="00D44B21"/>
    <w:rsid w:val="00D44E3B"/>
    <w:rsid w:val="00D451FC"/>
    <w:rsid w:val="00D45684"/>
    <w:rsid w:val="00D45804"/>
    <w:rsid w:val="00D45ACF"/>
    <w:rsid w:val="00D45BBE"/>
    <w:rsid w:val="00D47DFF"/>
    <w:rsid w:val="00D503D1"/>
    <w:rsid w:val="00D50D56"/>
    <w:rsid w:val="00D521EF"/>
    <w:rsid w:val="00D52F23"/>
    <w:rsid w:val="00D53621"/>
    <w:rsid w:val="00D53801"/>
    <w:rsid w:val="00D544A7"/>
    <w:rsid w:val="00D54602"/>
    <w:rsid w:val="00D55FD3"/>
    <w:rsid w:val="00D562E1"/>
    <w:rsid w:val="00D565B8"/>
    <w:rsid w:val="00D6001A"/>
    <w:rsid w:val="00D609C2"/>
    <w:rsid w:val="00D61482"/>
    <w:rsid w:val="00D616A4"/>
    <w:rsid w:val="00D618C7"/>
    <w:rsid w:val="00D631EE"/>
    <w:rsid w:val="00D6353D"/>
    <w:rsid w:val="00D63C48"/>
    <w:rsid w:val="00D64289"/>
    <w:rsid w:val="00D65023"/>
    <w:rsid w:val="00D6667B"/>
    <w:rsid w:val="00D6679D"/>
    <w:rsid w:val="00D667F9"/>
    <w:rsid w:val="00D671CC"/>
    <w:rsid w:val="00D707A0"/>
    <w:rsid w:val="00D70921"/>
    <w:rsid w:val="00D70D06"/>
    <w:rsid w:val="00D71400"/>
    <w:rsid w:val="00D71C61"/>
    <w:rsid w:val="00D71F22"/>
    <w:rsid w:val="00D72176"/>
    <w:rsid w:val="00D721E9"/>
    <w:rsid w:val="00D72267"/>
    <w:rsid w:val="00D72578"/>
    <w:rsid w:val="00D72C23"/>
    <w:rsid w:val="00D73CBA"/>
    <w:rsid w:val="00D73E8E"/>
    <w:rsid w:val="00D75EEA"/>
    <w:rsid w:val="00D76B0F"/>
    <w:rsid w:val="00D7788E"/>
    <w:rsid w:val="00D779C5"/>
    <w:rsid w:val="00D81474"/>
    <w:rsid w:val="00D81537"/>
    <w:rsid w:val="00D81B15"/>
    <w:rsid w:val="00D81EF8"/>
    <w:rsid w:val="00D82E7F"/>
    <w:rsid w:val="00D83063"/>
    <w:rsid w:val="00D83E56"/>
    <w:rsid w:val="00D84093"/>
    <w:rsid w:val="00D8435D"/>
    <w:rsid w:val="00D84D30"/>
    <w:rsid w:val="00D84DE5"/>
    <w:rsid w:val="00D84F3D"/>
    <w:rsid w:val="00D8561B"/>
    <w:rsid w:val="00D8589D"/>
    <w:rsid w:val="00D85FE8"/>
    <w:rsid w:val="00D86213"/>
    <w:rsid w:val="00D86567"/>
    <w:rsid w:val="00D86615"/>
    <w:rsid w:val="00D8725D"/>
    <w:rsid w:val="00D8737D"/>
    <w:rsid w:val="00D87468"/>
    <w:rsid w:val="00D87FA9"/>
    <w:rsid w:val="00D90990"/>
    <w:rsid w:val="00D90AAA"/>
    <w:rsid w:val="00D90BD9"/>
    <w:rsid w:val="00D91869"/>
    <w:rsid w:val="00D91BF1"/>
    <w:rsid w:val="00D92DAB"/>
    <w:rsid w:val="00D934B7"/>
    <w:rsid w:val="00D93822"/>
    <w:rsid w:val="00D93AE0"/>
    <w:rsid w:val="00D93B4E"/>
    <w:rsid w:val="00D93B55"/>
    <w:rsid w:val="00D93DA5"/>
    <w:rsid w:val="00D93F60"/>
    <w:rsid w:val="00D9465A"/>
    <w:rsid w:val="00D95394"/>
    <w:rsid w:val="00D95D99"/>
    <w:rsid w:val="00D96140"/>
    <w:rsid w:val="00D968F9"/>
    <w:rsid w:val="00D969E3"/>
    <w:rsid w:val="00D970E7"/>
    <w:rsid w:val="00DA032B"/>
    <w:rsid w:val="00DA0456"/>
    <w:rsid w:val="00DA155B"/>
    <w:rsid w:val="00DA165C"/>
    <w:rsid w:val="00DA16A3"/>
    <w:rsid w:val="00DA17EC"/>
    <w:rsid w:val="00DA254A"/>
    <w:rsid w:val="00DA29BC"/>
    <w:rsid w:val="00DA2AA1"/>
    <w:rsid w:val="00DA2C7E"/>
    <w:rsid w:val="00DA320B"/>
    <w:rsid w:val="00DA4B1F"/>
    <w:rsid w:val="00DA4E69"/>
    <w:rsid w:val="00DA4FAA"/>
    <w:rsid w:val="00DA55BB"/>
    <w:rsid w:val="00DA6330"/>
    <w:rsid w:val="00DA660F"/>
    <w:rsid w:val="00DA6904"/>
    <w:rsid w:val="00DA6A6B"/>
    <w:rsid w:val="00DA6B1F"/>
    <w:rsid w:val="00DA73EE"/>
    <w:rsid w:val="00DB0D07"/>
    <w:rsid w:val="00DB3B1A"/>
    <w:rsid w:val="00DB3F5C"/>
    <w:rsid w:val="00DB4204"/>
    <w:rsid w:val="00DB52DF"/>
    <w:rsid w:val="00DB571B"/>
    <w:rsid w:val="00DB663C"/>
    <w:rsid w:val="00DB6B59"/>
    <w:rsid w:val="00DB7813"/>
    <w:rsid w:val="00DC1743"/>
    <w:rsid w:val="00DC1AD6"/>
    <w:rsid w:val="00DC1ED9"/>
    <w:rsid w:val="00DC1F73"/>
    <w:rsid w:val="00DC2A52"/>
    <w:rsid w:val="00DC34D0"/>
    <w:rsid w:val="00DC3B3A"/>
    <w:rsid w:val="00DC409A"/>
    <w:rsid w:val="00DC4544"/>
    <w:rsid w:val="00DC4C03"/>
    <w:rsid w:val="00DC4CC9"/>
    <w:rsid w:val="00DC5CD5"/>
    <w:rsid w:val="00DC6223"/>
    <w:rsid w:val="00DC6272"/>
    <w:rsid w:val="00DC6791"/>
    <w:rsid w:val="00DC6FE8"/>
    <w:rsid w:val="00DC7746"/>
    <w:rsid w:val="00DD0986"/>
    <w:rsid w:val="00DD0A74"/>
    <w:rsid w:val="00DD0DC3"/>
    <w:rsid w:val="00DD1440"/>
    <w:rsid w:val="00DD1F66"/>
    <w:rsid w:val="00DD21E5"/>
    <w:rsid w:val="00DD23FF"/>
    <w:rsid w:val="00DD3049"/>
    <w:rsid w:val="00DD3105"/>
    <w:rsid w:val="00DD3A91"/>
    <w:rsid w:val="00DD3E4C"/>
    <w:rsid w:val="00DD3EAA"/>
    <w:rsid w:val="00DD461D"/>
    <w:rsid w:val="00DD4A92"/>
    <w:rsid w:val="00DD5E03"/>
    <w:rsid w:val="00DD6121"/>
    <w:rsid w:val="00DD6676"/>
    <w:rsid w:val="00DD6D25"/>
    <w:rsid w:val="00DD6DB3"/>
    <w:rsid w:val="00DD75E6"/>
    <w:rsid w:val="00DD7EC9"/>
    <w:rsid w:val="00DE094E"/>
    <w:rsid w:val="00DE0D34"/>
    <w:rsid w:val="00DE0E8F"/>
    <w:rsid w:val="00DE2426"/>
    <w:rsid w:val="00DE2D19"/>
    <w:rsid w:val="00DE30E2"/>
    <w:rsid w:val="00DE3261"/>
    <w:rsid w:val="00DE370B"/>
    <w:rsid w:val="00DE39F4"/>
    <w:rsid w:val="00DE3A9A"/>
    <w:rsid w:val="00DE3F7A"/>
    <w:rsid w:val="00DE4B57"/>
    <w:rsid w:val="00DE4C1A"/>
    <w:rsid w:val="00DE53AF"/>
    <w:rsid w:val="00DE5E12"/>
    <w:rsid w:val="00DE6421"/>
    <w:rsid w:val="00DE6A3C"/>
    <w:rsid w:val="00DE6BC5"/>
    <w:rsid w:val="00DE7099"/>
    <w:rsid w:val="00DE7BB0"/>
    <w:rsid w:val="00DE7D5E"/>
    <w:rsid w:val="00DF06E9"/>
    <w:rsid w:val="00DF11BA"/>
    <w:rsid w:val="00DF1699"/>
    <w:rsid w:val="00DF16C0"/>
    <w:rsid w:val="00DF32B4"/>
    <w:rsid w:val="00DF3BFC"/>
    <w:rsid w:val="00DF4374"/>
    <w:rsid w:val="00DF4B4E"/>
    <w:rsid w:val="00DF4FCA"/>
    <w:rsid w:val="00DF548B"/>
    <w:rsid w:val="00DF6AD4"/>
    <w:rsid w:val="00DF6F05"/>
    <w:rsid w:val="00DF772B"/>
    <w:rsid w:val="00DF7EFD"/>
    <w:rsid w:val="00DF7F5E"/>
    <w:rsid w:val="00E01324"/>
    <w:rsid w:val="00E01F6A"/>
    <w:rsid w:val="00E02597"/>
    <w:rsid w:val="00E029B1"/>
    <w:rsid w:val="00E04CCA"/>
    <w:rsid w:val="00E04FDD"/>
    <w:rsid w:val="00E05FBC"/>
    <w:rsid w:val="00E06676"/>
    <w:rsid w:val="00E07BE6"/>
    <w:rsid w:val="00E10B7D"/>
    <w:rsid w:val="00E11279"/>
    <w:rsid w:val="00E1156F"/>
    <w:rsid w:val="00E115E8"/>
    <w:rsid w:val="00E11F35"/>
    <w:rsid w:val="00E126C0"/>
    <w:rsid w:val="00E12E11"/>
    <w:rsid w:val="00E1300F"/>
    <w:rsid w:val="00E13C18"/>
    <w:rsid w:val="00E1426D"/>
    <w:rsid w:val="00E14ADB"/>
    <w:rsid w:val="00E150ED"/>
    <w:rsid w:val="00E1557D"/>
    <w:rsid w:val="00E15ACF"/>
    <w:rsid w:val="00E15D1C"/>
    <w:rsid w:val="00E15F1C"/>
    <w:rsid w:val="00E15FB7"/>
    <w:rsid w:val="00E17C17"/>
    <w:rsid w:val="00E204CA"/>
    <w:rsid w:val="00E20C9B"/>
    <w:rsid w:val="00E21CC9"/>
    <w:rsid w:val="00E227EA"/>
    <w:rsid w:val="00E23660"/>
    <w:rsid w:val="00E23944"/>
    <w:rsid w:val="00E24353"/>
    <w:rsid w:val="00E247AF"/>
    <w:rsid w:val="00E24F38"/>
    <w:rsid w:val="00E25334"/>
    <w:rsid w:val="00E25FEC"/>
    <w:rsid w:val="00E26156"/>
    <w:rsid w:val="00E262BD"/>
    <w:rsid w:val="00E27417"/>
    <w:rsid w:val="00E2761D"/>
    <w:rsid w:val="00E27739"/>
    <w:rsid w:val="00E27D84"/>
    <w:rsid w:val="00E30853"/>
    <w:rsid w:val="00E30D4B"/>
    <w:rsid w:val="00E31A1E"/>
    <w:rsid w:val="00E31B3A"/>
    <w:rsid w:val="00E31D93"/>
    <w:rsid w:val="00E320A9"/>
    <w:rsid w:val="00E325CA"/>
    <w:rsid w:val="00E333BD"/>
    <w:rsid w:val="00E34484"/>
    <w:rsid w:val="00E346FD"/>
    <w:rsid w:val="00E34F70"/>
    <w:rsid w:val="00E36942"/>
    <w:rsid w:val="00E37424"/>
    <w:rsid w:val="00E374CB"/>
    <w:rsid w:val="00E37D03"/>
    <w:rsid w:val="00E4041E"/>
    <w:rsid w:val="00E404F3"/>
    <w:rsid w:val="00E40747"/>
    <w:rsid w:val="00E40751"/>
    <w:rsid w:val="00E41DDD"/>
    <w:rsid w:val="00E42069"/>
    <w:rsid w:val="00E420D3"/>
    <w:rsid w:val="00E435AB"/>
    <w:rsid w:val="00E43B49"/>
    <w:rsid w:val="00E4468E"/>
    <w:rsid w:val="00E45180"/>
    <w:rsid w:val="00E45305"/>
    <w:rsid w:val="00E4634C"/>
    <w:rsid w:val="00E46AC9"/>
    <w:rsid w:val="00E477CB"/>
    <w:rsid w:val="00E479AC"/>
    <w:rsid w:val="00E47C3D"/>
    <w:rsid w:val="00E502BC"/>
    <w:rsid w:val="00E5042B"/>
    <w:rsid w:val="00E504E4"/>
    <w:rsid w:val="00E5087A"/>
    <w:rsid w:val="00E508B7"/>
    <w:rsid w:val="00E51360"/>
    <w:rsid w:val="00E52A46"/>
    <w:rsid w:val="00E53B87"/>
    <w:rsid w:val="00E53DB6"/>
    <w:rsid w:val="00E53DC8"/>
    <w:rsid w:val="00E5493C"/>
    <w:rsid w:val="00E54F0C"/>
    <w:rsid w:val="00E54FB3"/>
    <w:rsid w:val="00E55904"/>
    <w:rsid w:val="00E55A91"/>
    <w:rsid w:val="00E55E72"/>
    <w:rsid w:val="00E573A7"/>
    <w:rsid w:val="00E57B57"/>
    <w:rsid w:val="00E61CE7"/>
    <w:rsid w:val="00E61E1B"/>
    <w:rsid w:val="00E61E65"/>
    <w:rsid w:val="00E626A5"/>
    <w:rsid w:val="00E62F56"/>
    <w:rsid w:val="00E643AC"/>
    <w:rsid w:val="00E649DB"/>
    <w:rsid w:val="00E657E2"/>
    <w:rsid w:val="00E658FC"/>
    <w:rsid w:val="00E65A4A"/>
    <w:rsid w:val="00E664EC"/>
    <w:rsid w:val="00E66614"/>
    <w:rsid w:val="00E667B8"/>
    <w:rsid w:val="00E679EE"/>
    <w:rsid w:val="00E67B57"/>
    <w:rsid w:val="00E70416"/>
    <w:rsid w:val="00E70423"/>
    <w:rsid w:val="00E70DC0"/>
    <w:rsid w:val="00E71112"/>
    <w:rsid w:val="00E717B9"/>
    <w:rsid w:val="00E71A54"/>
    <w:rsid w:val="00E72592"/>
    <w:rsid w:val="00E729AC"/>
    <w:rsid w:val="00E733CA"/>
    <w:rsid w:val="00E7374A"/>
    <w:rsid w:val="00E73889"/>
    <w:rsid w:val="00E739D8"/>
    <w:rsid w:val="00E73A49"/>
    <w:rsid w:val="00E73F8B"/>
    <w:rsid w:val="00E74681"/>
    <w:rsid w:val="00E74786"/>
    <w:rsid w:val="00E747F9"/>
    <w:rsid w:val="00E74DEC"/>
    <w:rsid w:val="00E750D8"/>
    <w:rsid w:val="00E75C86"/>
    <w:rsid w:val="00E75D0A"/>
    <w:rsid w:val="00E761FF"/>
    <w:rsid w:val="00E77158"/>
    <w:rsid w:val="00E773DF"/>
    <w:rsid w:val="00E7766B"/>
    <w:rsid w:val="00E808D1"/>
    <w:rsid w:val="00E808D2"/>
    <w:rsid w:val="00E819ED"/>
    <w:rsid w:val="00E82646"/>
    <w:rsid w:val="00E8269B"/>
    <w:rsid w:val="00E8320A"/>
    <w:rsid w:val="00E843D7"/>
    <w:rsid w:val="00E847F9"/>
    <w:rsid w:val="00E84886"/>
    <w:rsid w:val="00E85BDC"/>
    <w:rsid w:val="00E85D22"/>
    <w:rsid w:val="00E87452"/>
    <w:rsid w:val="00E879B0"/>
    <w:rsid w:val="00E904F6"/>
    <w:rsid w:val="00E91C17"/>
    <w:rsid w:val="00E930FA"/>
    <w:rsid w:val="00E93FD4"/>
    <w:rsid w:val="00E94CAB"/>
    <w:rsid w:val="00E9522E"/>
    <w:rsid w:val="00E95759"/>
    <w:rsid w:val="00E95B4F"/>
    <w:rsid w:val="00E95F8D"/>
    <w:rsid w:val="00E968D1"/>
    <w:rsid w:val="00E96B47"/>
    <w:rsid w:val="00E96EF0"/>
    <w:rsid w:val="00E97017"/>
    <w:rsid w:val="00E97FA0"/>
    <w:rsid w:val="00EA1B29"/>
    <w:rsid w:val="00EA30A7"/>
    <w:rsid w:val="00EA3CFC"/>
    <w:rsid w:val="00EA5094"/>
    <w:rsid w:val="00EA66E6"/>
    <w:rsid w:val="00EA6C9A"/>
    <w:rsid w:val="00EA73E6"/>
    <w:rsid w:val="00EA772F"/>
    <w:rsid w:val="00EA7784"/>
    <w:rsid w:val="00EA792D"/>
    <w:rsid w:val="00EA7953"/>
    <w:rsid w:val="00EA7CD6"/>
    <w:rsid w:val="00EB0287"/>
    <w:rsid w:val="00EB100E"/>
    <w:rsid w:val="00EB1378"/>
    <w:rsid w:val="00EB15CD"/>
    <w:rsid w:val="00EB169A"/>
    <w:rsid w:val="00EB1E51"/>
    <w:rsid w:val="00EB20FA"/>
    <w:rsid w:val="00EB2FAC"/>
    <w:rsid w:val="00EB357E"/>
    <w:rsid w:val="00EB364C"/>
    <w:rsid w:val="00EB3F3E"/>
    <w:rsid w:val="00EB426B"/>
    <w:rsid w:val="00EB5E6D"/>
    <w:rsid w:val="00EB60A8"/>
    <w:rsid w:val="00EB67C0"/>
    <w:rsid w:val="00EB68F0"/>
    <w:rsid w:val="00EB70AA"/>
    <w:rsid w:val="00EB7E03"/>
    <w:rsid w:val="00EC0209"/>
    <w:rsid w:val="00EC0E1D"/>
    <w:rsid w:val="00EC14F4"/>
    <w:rsid w:val="00EC184B"/>
    <w:rsid w:val="00EC1AA9"/>
    <w:rsid w:val="00EC1C8C"/>
    <w:rsid w:val="00EC25AE"/>
    <w:rsid w:val="00EC2ECB"/>
    <w:rsid w:val="00EC3E5C"/>
    <w:rsid w:val="00EC5B76"/>
    <w:rsid w:val="00EC5EFD"/>
    <w:rsid w:val="00EC65E8"/>
    <w:rsid w:val="00EC6AC0"/>
    <w:rsid w:val="00EC6E8F"/>
    <w:rsid w:val="00EC7378"/>
    <w:rsid w:val="00ED2918"/>
    <w:rsid w:val="00ED2A2D"/>
    <w:rsid w:val="00ED3D3E"/>
    <w:rsid w:val="00ED4F2B"/>
    <w:rsid w:val="00ED51D5"/>
    <w:rsid w:val="00ED53D8"/>
    <w:rsid w:val="00ED59AE"/>
    <w:rsid w:val="00ED60ED"/>
    <w:rsid w:val="00ED63BB"/>
    <w:rsid w:val="00ED6986"/>
    <w:rsid w:val="00ED7808"/>
    <w:rsid w:val="00ED7947"/>
    <w:rsid w:val="00ED7EA4"/>
    <w:rsid w:val="00EE077C"/>
    <w:rsid w:val="00EE180F"/>
    <w:rsid w:val="00EE18A0"/>
    <w:rsid w:val="00EE1923"/>
    <w:rsid w:val="00EE2308"/>
    <w:rsid w:val="00EE399A"/>
    <w:rsid w:val="00EE3C0C"/>
    <w:rsid w:val="00EE46AB"/>
    <w:rsid w:val="00EE49FD"/>
    <w:rsid w:val="00EE5A0A"/>
    <w:rsid w:val="00EE7149"/>
    <w:rsid w:val="00EE7949"/>
    <w:rsid w:val="00EF03BF"/>
    <w:rsid w:val="00EF0864"/>
    <w:rsid w:val="00EF0980"/>
    <w:rsid w:val="00EF10E8"/>
    <w:rsid w:val="00EF1448"/>
    <w:rsid w:val="00EF1E30"/>
    <w:rsid w:val="00EF1EA5"/>
    <w:rsid w:val="00EF202C"/>
    <w:rsid w:val="00EF21C9"/>
    <w:rsid w:val="00EF3278"/>
    <w:rsid w:val="00EF4FD4"/>
    <w:rsid w:val="00EF5924"/>
    <w:rsid w:val="00EF62E9"/>
    <w:rsid w:val="00EF65AB"/>
    <w:rsid w:val="00EF756D"/>
    <w:rsid w:val="00EF768C"/>
    <w:rsid w:val="00F015CB"/>
    <w:rsid w:val="00F01E3E"/>
    <w:rsid w:val="00F02167"/>
    <w:rsid w:val="00F03999"/>
    <w:rsid w:val="00F03CFB"/>
    <w:rsid w:val="00F04453"/>
    <w:rsid w:val="00F0478B"/>
    <w:rsid w:val="00F04960"/>
    <w:rsid w:val="00F049EC"/>
    <w:rsid w:val="00F04BBA"/>
    <w:rsid w:val="00F05AB7"/>
    <w:rsid w:val="00F068E3"/>
    <w:rsid w:val="00F06BCA"/>
    <w:rsid w:val="00F0719F"/>
    <w:rsid w:val="00F072D0"/>
    <w:rsid w:val="00F07E36"/>
    <w:rsid w:val="00F10188"/>
    <w:rsid w:val="00F10E3E"/>
    <w:rsid w:val="00F11156"/>
    <w:rsid w:val="00F12FA9"/>
    <w:rsid w:val="00F13147"/>
    <w:rsid w:val="00F14402"/>
    <w:rsid w:val="00F151FB"/>
    <w:rsid w:val="00F1779A"/>
    <w:rsid w:val="00F20096"/>
    <w:rsid w:val="00F2027C"/>
    <w:rsid w:val="00F20B60"/>
    <w:rsid w:val="00F223F2"/>
    <w:rsid w:val="00F22D10"/>
    <w:rsid w:val="00F22FDA"/>
    <w:rsid w:val="00F232C5"/>
    <w:rsid w:val="00F24639"/>
    <w:rsid w:val="00F24713"/>
    <w:rsid w:val="00F24F13"/>
    <w:rsid w:val="00F2521F"/>
    <w:rsid w:val="00F25971"/>
    <w:rsid w:val="00F259A5"/>
    <w:rsid w:val="00F25DC9"/>
    <w:rsid w:val="00F260F0"/>
    <w:rsid w:val="00F26466"/>
    <w:rsid w:val="00F26B4B"/>
    <w:rsid w:val="00F26D72"/>
    <w:rsid w:val="00F2706C"/>
    <w:rsid w:val="00F2739E"/>
    <w:rsid w:val="00F3094A"/>
    <w:rsid w:val="00F30AC7"/>
    <w:rsid w:val="00F3162E"/>
    <w:rsid w:val="00F31F35"/>
    <w:rsid w:val="00F32BD8"/>
    <w:rsid w:val="00F32D23"/>
    <w:rsid w:val="00F33324"/>
    <w:rsid w:val="00F349F8"/>
    <w:rsid w:val="00F3500D"/>
    <w:rsid w:val="00F3507A"/>
    <w:rsid w:val="00F3591A"/>
    <w:rsid w:val="00F363F4"/>
    <w:rsid w:val="00F37644"/>
    <w:rsid w:val="00F40402"/>
    <w:rsid w:val="00F40B8D"/>
    <w:rsid w:val="00F40F07"/>
    <w:rsid w:val="00F410CC"/>
    <w:rsid w:val="00F414BE"/>
    <w:rsid w:val="00F419C5"/>
    <w:rsid w:val="00F41A80"/>
    <w:rsid w:val="00F425A7"/>
    <w:rsid w:val="00F4284D"/>
    <w:rsid w:val="00F4337D"/>
    <w:rsid w:val="00F43A14"/>
    <w:rsid w:val="00F43BB3"/>
    <w:rsid w:val="00F43F5B"/>
    <w:rsid w:val="00F43F82"/>
    <w:rsid w:val="00F444E4"/>
    <w:rsid w:val="00F44CF2"/>
    <w:rsid w:val="00F44EFB"/>
    <w:rsid w:val="00F451EE"/>
    <w:rsid w:val="00F45D08"/>
    <w:rsid w:val="00F45F42"/>
    <w:rsid w:val="00F462F9"/>
    <w:rsid w:val="00F465AB"/>
    <w:rsid w:val="00F4729B"/>
    <w:rsid w:val="00F4736D"/>
    <w:rsid w:val="00F50207"/>
    <w:rsid w:val="00F50EB0"/>
    <w:rsid w:val="00F5178F"/>
    <w:rsid w:val="00F5209D"/>
    <w:rsid w:val="00F5320C"/>
    <w:rsid w:val="00F53E31"/>
    <w:rsid w:val="00F540BA"/>
    <w:rsid w:val="00F548E8"/>
    <w:rsid w:val="00F54DDE"/>
    <w:rsid w:val="00F55068"/>
    <w:rsid w:val="00F552AB"/>
    <w:rsid w:val="00F554DC"/>
    <w:rsid w:val="00F56314"/>
    <w:rsid w:val="00F56365"/>
    <w:rsid w:val="00F572B9"/>
    <w:rsid w:val="00F579A6"/>
    <w:rsid w:val="00F608DD"/>
    <w:rsid w:val="00F60CD3"/>
    <w:rsid w:val="00F60DAC"/>
    <w:rsid w:val="00F6119A"/>
    <w:rsid w:val="00F61EFC"/>
    <w:rsid w:val="00F62955"/>
    <w:rsid w:val="00F633D1"/>
    <w:rsid w:val="00F634E2"/>
    <w:rsid w:val="00F63E67"/>
    <w:rsid w:val="00F63FE4"/>
    <w:rsid w:val="00F64214"/>
    <w:rsid w:val="00F6499D"/>
    <w:rsid w:val="00F650DF"/>
    <w:rsid w:val="00F663C6"/>
    <w:rsid w:val="00F6777D"/>
    <w:rsid w:val="00F701A1"/>
    <w:rsid w:val="00F70527"/>
    <w:rsid w:val="00F71C52"/>
    <w:rsid w:val="00F71D24"/>
    <w:rsid w:val="00F71D4D"/>
    <w:rsid w:val="00F72B42"/>
    <w:rsid w:val="00F72C6B"/>
    <w:rsid w:val="00F72CAF"/>
    <w:rsid w:val="00F72E02"/>
    <w:rsid w:val="00F72E63"/>
    <w:rsid w:val="00F73011"/>
    <w:rsid w:val="00F733F3"/>
    <w:rsid w:val="00F73A39"/>
    <w:rsid w:val="00F73E89"/>
    <w:rsid w:val="00F75512"/>
    <w:rsid w:val="00F75D3A"/>
    <w:rsid w:val="00F75F6F"/>
    <w:rsid w:val="00F75FC4"/>
    <w:rsid w:val="00F75FEC"/>
    <w:rsid w:val="00F762C9"/>
    <w:rsid w:val="00F76DFC"/>
    <w:rsid w:val="00F80139"/>
    <w:rsid w:val="00F80DD5"/>
    <w:rsid w:val="00F81490"/>
    <w:rsid w:val="00F818EB"/>
    <w:rsid w:val="00F81B25"/>
    <w:rsid w:val="00F826A1"/>
    <w:rsid w:val="00F83164"/>
    <w:rsid w:val="00F83AA9"/>
    <w:rsid w:val="00F83C63"/>
    <w:rsid w:val="00F84FA9"/>
    <w:rsid w:val="00F85ADF"/>
    <w:rsid w:val="00F863B2"/>
    <w:rsid w:val="00F877CD"/>
    <w:rsid w:val="00F87C31"/>
    <w:rsid w:val="00F9134B"/>
    <w:rsid w:val="00F916C9"/>
    <w:rsid w:val="00F9212E"/>
    <w:rsid w:val="00F92981"/>
    <w:rsid w:val="00F941E0"/>
    <w:rsid w:val="00F96030"/>
    <w:rsid w:val="00F966DB"/>
    <w:rsid w:val="00F96CF3"/>
    <w:rsid w:val="00F97180"/>
    <w:rsid w:val="00F97208"/>
    <w:rsid w:val="00F972CE"/>
    <w:rsid w:val="00F9783F"/>
    <w:rsid w:val="00FA006D"/>
    <w:rsid w:val="00FA0329"/>
    <w:rsid w:val="00FA0416"/>
    <w:rsid w:val="00FA0637"/>
    <w:rsid w:val="00FA06D1"/>
    <w:rsid w:val="00FA0CEF"/>
    <w:rsid w:val="00FA0F61"/>
    <w:rsid w:val="00FA17A9"/>
    <w:rsid w:val="00FA1847"/>
    <w:rsid w:val="00FA186C"/>
    <w:rsid w:val="00FA2AEE"/>
    <w:rsid w:val="00FA31E3"/>
    <w:rsid w:val="00FA3D9A"/>
    <w:rsid w:val="00FA460C"/>
    <w:rsid w:val="00FA46A1"/>
    <w:rsid w:val="00FA4CFA"/>
    <w:rsid w:val="00FA5E07"/>
    <w:rsid w:val="00FA651F"/>
    <w:rsid w:val="00FA67D6"/>
    <w:rsid w:val="00FA681D"/>
    <w:rsid w:val="00FA6C4D"/>
    <w:rsid w:val="00FA70CF"/>
    <w:rsid w:val="00FA7BD3"/>
    <w:rsid w:val="00FB05A8"/>
    <w:rsid w:val="00FB089D"/>
    <w:rsid w:val="00FB121D"/>
    <w:rsid w:val="00FB224E"/>
    <w:rsid w:val="00FB366A"/>
    <w:rsid w:val="00FB38B1"/>
    <w:rsid w:val="00FB39E6"/>
    <w:rsid w:val="00FB48C7"/>
    <w:rsid w:val="00FB49ED"/>
    <w:rsid w:val="00FB4CAF"/>
    <w:rsid w:val="00FB57DB"/>
    <w:rsid w:val="00FB61AD"/>
    <w:rsid w:val="00FB6238"/>
    <w:rsid w:val="00FB632A"/>
    <w:rsid w:val="00FB6EE3"/>
    <w:rsid w:val="00FB7386"/>
    <w:rsid w:val="00FB7DA8"/>
    <w:rsid w:val="00FC000D"/>
    <w:rsid w:val="00FC06E3"/>
    <w:rsid w:val="00FC17F0"/>
    <w:rsid w:val="00FC22AB"/>
    <w:rsid w:val="00FC249F"/>
    <w:rsid w:val="00FC2979"/>
    <w:rsid w:val="00FC2AE0"/>
    <w:rsid w:val="00FC3DD1"/>
    <w:rsid w:val="00FC4EB5"/>
    <w:rsid w:val="00FC5215"/>
    <w:rsid w:val="00FC594B"/>
    <w:rsid w:val="00FC6143"/>
    <w:rsid w:val="00FC718E"/>
    <w:rsid w:val="00FC78D9"/>
    <w:rsid w:val="00FC7BB4"/>
    <w:rsid w:val="00FD0729"/>
    <w:rsid w:val="00FD0DA5"/>
    <w:rsid w:val="00FD108C"/>
    <w:rsid w:val="00FD1198"/>
    <w:rsid w:val="00FD163C"/>
    <w:rsid w:val="00FD286D"/>
    <w:rsid w:val="00FD2F5F"/>
    <w:rsid w:val="00FD30D0"/>
    <w:rsid w:val="00FD3935"/>
    <w:rsid w:val="00FD3B02"/>
    <w:rsid w:val="00FD51FF"/>
    <w:rsid w:val="00FD5E3F"/>
    <w:rsid w:val="00FD5FC0"/>
    <w:rsid w:val="00FD61B6"/>
    <w:rsid w:val="00FD71D5"/>
    <w:rsid w:val="00FD7791"/>
    <w:rsid w:val="00FD7841"/>
    <w:rsid w:val="00FE07F6"/>
    <w:rsid w:val="00FE0AF7"/>
    <w:rsid w:val="00FE1066"/>
    <w:rsid w:val="00FE1468"/>
    <w:rsid w:val="00FE15FC"/>
    <w:rsid w:val="00FE1669"/>
    <w:rsid w:val="00FE1BC2"/>
    <w:rsid w:val="00FE1CE1"/>
    <w:rsid w:val="00FE2431"/>
    <w:rsid w:val="00FE37CA"/>
    <w:rsid w:val="00FE4251"/>
    <w:rsid w:val="00FE42A2"/>
    <w:rsid w:val="00FE4C1C"/>
    <w:rsid w:val="00FE4C58"/>
    <w:rsid w:val="00FE6123"/>
    <w:rsid w:val="00FE63D1"/>
    <w:rsid w:val="00FE6659"/>
    <w:rsid w:val="00FE6746"/>
    <w:rsid w:val="00FE7264"/>
    <w:rsid w:val="00FE79DD"/>
    <w:rsid w:val="00FE7B61"/>
    <w:rsid w:val="00FF11A0"/>
    <w:rsid w:val="00FF19E5"/>
    <w:rsid w:val="00FF1D39"/>
    <w:rsid w:val="00FF22EE"/>
    <w:rsid w:val="00FF2550"/>
    <w:rsid w:val="00FF2F91"/>
    <w:rsid w:val="00FF4851"/>
    <w:rsid w:val="00FF52CD"/>
    <w:rsid w:val="00FF57EB"/>
    <w:rsid w:val="00FF5CB7"/>
    <w:rsid w:val="00FF610D"/>
    <w:rsid w:val="00FF638A"/>
    <w:rsid w:val="00FF6C45"/>
    <w:rsid w:val="00FF7060"/>
    <w:rsid w:val="00FF7220"/>
    <w:rsid w:val="00FF75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D09"/>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3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DE3F7A"/>
    <w:pPr>
      <w:widowControl w:val="0"/>
      <w:tabs>
        <w:tab w:val="left" w:pos="880"/>
        <w:tab w:val="right" w:leader="dot" w:pos="9016"/>
      </w:tabs>
      <w:spacing w:after="0"/>
      <w:ind w:left="220"/>
    </w:pPr>
    <w:rPr>
      <w:rFonts w:asciiTheme="majorHAnsi" w:eastAsiaTheme="majorEastAsia" w:hAnsiTheme="majorHAnsi" w:cstheme="majorBidi"/>
      <w:b/>
      <w:bCs/>
      <w:iCs/>
      <w:noProof/>
      <w:snapToGrid w:val="0"/>
      <w:szCs w:val="20"/>
    </w:rPr>
  </w:style>
  <w:style w:type="paragraph" w:styleId="TOC1">
    <w:name w:val="toc 1"/>
    <w:aliases w:val="TOC2"/>
    <w:basedOn w:val="Normal"/>
    <w:next w:val="Normal"/>
    <w:autoRedefine/>
    <w:uiPriority w:val="39"/>
    <w:rsid w:val="00AC292B"/>
    <w:pPr>
      <w:widowControl w:val="0"/>
      <w:spacing w:before="240" w:after="120"/>
    </w:pPr>
    <w:rPr>
      <w:rFonts w:asciiTheme="majorHAnsi" w:eastAsia="Times New Roman" w:hAnsiTheme="majorHAnsi" w:cs="Arial"/>
      <w:bCs/>
      <w:snapToGrid w:val="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qFormat/>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455CAB"/>
    <w:pPr>
      <w:widowControl w:val="0"/>
      <w:spacing w:before="0" w:after="0"/>
      <w:ind w:left="440"/>
    </w:pPr>
    <w:rPr>
      <w:rFonts w:asciiTheme="majorHAnsi" w:eastAsia="Times New Roman" w:hAnsiTheme="majorHAnsi" w:cs="Arial"/>
      <w:snapToGrid w:val="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qFormat/>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11"/>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table" w:customStyle="1" w:styleId="Summarybox6">
    <w:name w:val="Summary box6"/>
    <w:basedOn w:val="TableNormal"/>
    <w:next w:val="TableGrid"/>
    <w:uiPriority w:val="59"/>
    <w:rsid w:val="00AE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ft">
    <w:name w:val="Table Left"/>
    <w:basedOn w:val="Normal"/>
    <w:link w:val="TableLeftChar"/>
    <w:uiPriority w:val="99"/>
    <w:qFormat/>
    <w:rsid w:val="00CE5FD2"/>
    <w:pPr>
      <w:spacing w:before="0" w:after="0"/>
    </w:pPr>
    <w:rPr>
      <w:rFonts w:ascii="Arial Narrow" w:eastAsiaTheme="majorEastAsia" w:hAnsi="Arial Narrow" w:cstheme="majorBidi"/>
      <w:sz w:val="20"/>
      <w:lang w:bidi="en-US"/>
    </w:rPr>
  </w:style>
  <w:style w:type="character" w:customStyle="1" w:styleId="TableLeftChar">
    <w:name w:val="Table Left Char"/>
    <w:basedOn w:val="DefaultParagraphFont"/>
    <w:link w:val="TableLeft"/>
    <w:uiPriority w:val="99"/>
    <w:locked/>
    <w:rsid w:val="00CE5FD2"/>
    <w:rPr>
      <w:rFonts w:ascii="Arial Narrow" w:eastAsiaTheme="majorEastAsia" w:hAnsi="Arial Narrow" w:cstheme="majorBidi"/>
      <w:sz w:val="20"/>
      <w:lang w:bidi="en-US"/>
    </w:rPr>
  </w:style>
  <w:style w:type="table" w:customStyle="1" w:styleId="TableGrid1">
    <w:name w:val="Table Grid1"/>
    <w:basedOn w:val="TableNormal"/>
    <w:next w:val="TableGrid"/>
    <w:uiPriority w:val="59"/>
    <w:rsid w:val="00CE5FD2"/>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
    <w:name w:val="Font"/>
    <w:basedOn w:val="DefaultParagraphFont"/>
    <w:uiPriority w:val="1"/>
    <w:qFormat/>
    <w:rsid w:val="00676B70"/>
    <w:rPr>
      <w:rFonts w:ascii="Sabon" w:hAnsi="Sabon"/>
      <w:sz w:val="22"/>
      <w:lang w:val="en-AU"/>
    </w:rPr>
  </w:style>
  <w:style w:type="paragraph" w:customStyle="1" w:styleId="NormalBullets">
    <w:name w:val="Normal Bullets"/>
    <w:basedOn w:val="Normal"/>
    <w:uiPriority w:val="3"/>
    <w:qFormat/>
    <w:rsid w:val="00676B70"/>
    <w:pPr>
      <w:numPr>
        <w:numId w:val="20"/>
      </w:numPr>
      <w:spacing w:before="0" w:after="240" w:line="276" w:lineRule="auto"/>
      <w:contextualSpacing/>
    </w:pPr>
    <w:rPr>
      <w:rFonts w:ascii="Sabon" w:eastAsiaTheme="majorEastAsia" w:hAnsi="Sabon" w:cstheme="majorBidi"/>
      <w:sz w:val="22"/>
      <w:lang w:bidi="en-US"/>
    </w:rPr>
  </w:style>
  <w:style w:type="table" w:customStyle="1" w:styleId="TableGrid11">
    <w:name w:val="Table Grid11"/>
    <w:basedOn w:val="TableNormal"/>
    <w:next w:val="TableGrid"/>
    <w:uiPriority w:val="59"/>
    <w:rsid w:val="00A8797E"/>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1">
    <w:name w:val="Table Grid Light11"/>
    <w:basedOn w:val="TableNormal"/>
    <w:uiPriority w:val="40"/>
    <w:rsid w:val="008870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beth1">
    <w:name w:val="Table Gridbeth1"/>
    <w:basedOn w:val="TableNormal"/>
    <w:next w:val="TableGrid"/>
    <w:uiPriority w:val="39"/>
    <w:rsid w:val="00C2529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character" w:customStyle="1" w:styleId="TableTextChar">
    <w:name w:val="Table Text Char"/>
    <w:basedOn w:val="DefaultParagraphFont"/>
    <w:link w:val="TableText"/>
    <w:rsid w:val="007B0718"/>
    <w:rPr>
      <w:rFonts w:ascii="Arial Narrow" w:hAnsi="Arial Narrow"/>
      <w:sz w:val="20"/>
    </w:rPr>
  </w:style>
  <w:style w:type="table" w:customStyle="1" w:styleId="Summarybox61">
    <w:name w:val="Summary box61"/>
    <w:basedOn w:val="TableNormal"/>
    <w:next w:val="TableGrid"/>
    <w:uiPriority w:val="59"/>
    <w:rsid w:val="008D2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D2208"/>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11">
    <w:name w:val="Table Grid Light111"/>
    <w:basedOn w:val="TableNormal"/>
    <w:uiPriority w:val="40"/>
    <w:rsid w:val="008D22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beth2">
    <w:name w:val="Table Gridbeth2"/>
    <w:basedOn w:val="TableNormal"/>
    <w:next w:val="TableGrid"/>
    <w:uiPriority w:val="39"/>
    <w:rsid w:val="00F5178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13">
    <w:name w:val="Table Grid13"/>
    <w:basedOn w:val="TableNormal"/>
    <w:next w:val="TableGrid"/>
    <w:uiPriority w:val="59"/>
    <w:rsid w:val="00071C5B"/>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211">
    <w:name w:val="Plain Table 211"/>
    <w:basedOn w:val="TableNormal"/>
    <w:uiPriority w:val="42"/>
    <w:rsid w:val="00CF65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beth3">
    <w:name w:val="Table Gridbeth3"/>
    <w:basedOn w:val="TableNormal"/>
    <w:next w:val="TableGrid"/>
    <w:uiPriority w:val="39"/>
    <w:rsid w:val="00737B2C"/>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beth4">
    <w:name w:val="Table Gridbeth4"/>
    <w:basedOn w:val="TableNormal"/>
    <w:next w:val="TableGrid"/>
    <w:uiPriority w:val="59"/>
    <w:rsid w:val="00AF718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62">
    <w:name w:val="Summary box62"/>
    <w:basedOn w:val="TableNormal"/>
    <w:next w:val="TableGrid"/>
    <w:uiPriority w:val="59"/>
    <w:rsid w:val="00D15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972DE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beth5">
    <w:name w:val="Table Gridbeth5"/>
    <w:basedOn w:val="TableNormal"/>
    <w:next w:val="TableGrid"/>
    <w:uiPriority w:val="59"/>
    <w:rsid w:val="001103C2"/>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14">
    <w:name w:val="Table Grid14"/>
    <w:basedOn w:val="TableNormal"/>
    <w:next w:val="TableGrid"/>
    <w:uiPriority w:val="59"/>
    <w:rsid w:val="001103C2"/>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3A6267"/>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3A6267"/>
    <w:rPr>
      <w:rFonts w:ascii="Times New Roman" w:hAnsi="Times New Roman" w:cs="Times New Roman"/>
      <w:sz w:val="24"/>
      <w:szCs w:val="24"/>
    </w:rPr>
  </w:style>
  <w:style w:type="paragraph" w:customStyle="1" w:styleId="drugtext">
    <w:name w:val="drugtext"/>
    <w:basedOn w:val="Normal"/>
    <w:rsid w:val="00F25971"/>
    <w:pPr>
      <w:spacing w:before="100" w:beforeAutospacing="1" w:after="100" w:afterAutospacing="1"/>
    </w:pPr>
    <w:rPr>
      <w:rFonts w:ascii="Times New Roman" w:hAnsi="Times New Roman" w:cs="Times New Roman"/>
      <w:szCs w:val="24"/>
      <w:lang w:val="en-US"/>
    </w:rPr>
  </w:style>
  <w:style w:type="character" w:customStyle="1" w:styleId="apple-converted-space">
    <w:name w:val="apple-converted-space"/>
    <w:basedOn w:val="DefaultParagraphFont"/>
    <w:rsid w:val="00F25971"/>
  </w:style>
  <w:style w:type="paragraph" w:customStyle="1" w:styleId="p1">
    <w:name w:val="p1"/>
    <w:basedOn w:val="Normal"/>
    <w:rsid w:val="00F40402"/>
    <w:pPr>
      <w:spacing w:before="0" w:after="0"/>
    </w:pPr>
    <w:rPr>
      <w:rFonts w:ascii="Helvetica Neue" w:hAnsi="Helvetica Neue" w:cs="Times New Roman"/>
      <w:color w:val="454545"/>
      <w:sz w:val="18"/>
      <w:szCs w:val="18"/>
      <w:lang w:val="en-GB" w:eastAsia="en-GB"/>
    </w:rPr>
  </w:style>
  <w:style w:type="character" w:styleId="PageNumber">
    <w:name w:val="page number"/>
    <w:basedOn w:val="DefaultParagraphFont"/>
    <w:uiPriority w:val="99"/>
    <w:semiHidden/>
    <w:unhideWhenUsed/>
    <w:rsid w:val="00254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D09"/>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3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DE3F7A"/>
    <w:pPr>
      <w:widowControl w:val="0"/>
      <w:tabs>
        <w:tab w:val="left" w:pos="880"/>
        <w:tab w:val="right" w:leader="dot" w:pos="9016"/>
      </w:tabs>
      <w:spacing w:after="0"/>
      <w:ind w:left="220"/>
    </w:pPr>
    <w:rPr>
      <w:rFonts w:asciiTheme="majorHAnsi" w:eastAsiaTheme="majorEastAsia" w:hAnsiTheme="majorHAnsi" w:cstheme="majorBidi"/>
      <w:b/>
      <w:bCs/>
      <w:iCs/>
      <w:noProof/>
      <w:snapToGrid w:val="0"/>
      <w:szCs w:val="20"/>
    </w:rPr>
  </w:style>
  <w:style w:type="paragraph" w:styleId="TOC1">
    <w:name w:val="toc 1"/>
    <w:aliases w:val="TOC2"/>
    <w:basedOn w:val="Normal"/>
    <w:next w:val="Normal"/>
    <w:autoRedefine/>
    <w:uiPriority w:val="39"/>
    <w:rsid w:val="00AC292B"/>
    <w:pPr>
      <w:widowControl w:val="0"/>
      <w:spacing w:before="240" w:after="120"/>
    </w:pPr>
    <w:rPr>
      <w:rFonts w:asciiTheme="majorHAnsi" w:eastAsia="Times New Roman" w:hAnsiTheme="majorHAnsi" w:cs="Arial"/>
      <w:bCs/>
      <w:snapToGrid w:val="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qFormat/>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455CAB"/>
    <w:pPr>
      <w:widowControl w:val="0"/>
      <w:spacing w:before="0" w:after="0"/>
      <w:ind w:left="440"/>
    </w:pPr>
    <w:rPr>
      <w:rFonts w:asciiTheme="majorHAnsi" w:eastAsia="Times New Roman" w:hAnsiTheme="majorHAnsi" w:cs="Arial"/>
      <w:snapToGrid w:val="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qFormat/>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11"/>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table" w:customStyle="1" w:styleId="Summarybox6">
    <w:name w:val="Summary box6"/>
    <w:basedOn w:val="TableNormal"/>
    <w:next w:val="TableGrid"/>
    <w:uiPriority w:val="59"/>
    <w:rsid w:val="00AE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ft">
    <w:name w:val="Table Left"/>
    <w:basedOn w:val="Normal"/>
    <w:link w:val="TableLeftChar"/>
    <w:uiPriority w:val="99"/>
    <w:qFormat/>
    <w:rsid w:val="00CE5FD2"/>
    <w:pPr>
      <w:spacing w:before="0" w:after="0"/>
    </w:pPr>
    <w:rPr>
      <w:rFonts w:ascii="Arial Narrow" w:eastAsiaTheme="majorEastAsia" w:hAnsi="Arial Narrow" w:cstheme="majorBidi"/>
      <w:sz w:val="20"/>
      <w:lang w:bidi="en-US"/>
    </w:rPr>
  </w:style>
  <w:style w:type="character" w:customStyle="1" w:styleId="TableLeftChar">
    <w:name w:val="Table Left Char"/>
    <w:basedOn w:val="DefaultParagraphFont"/>
    <w:link w:val="TableLeft"/>
    <w:uiPriority w:val="99"/>
    <w:locked/>
    <w:rsid w:val="00CE5FD2"/>
    <w:rPr>
      <w:rFonts w:ascii="Arial Narrow" w:eastAsiaTheme="majorEastAsia" w:hAnsi="Arial Narrow" w:cstheme="majorBidi"/>
      <w:sz w:val="20"/>
      <w:lang w:bidi="en-US"/>
    </w:rPr>
  </w:style>
  <w:style w:type="table" w:customStyle="1" w:styleId="TableGrid1">
    <w:name w:val="Table Grid1"/>
    <w:basedOn w:val="TableNormal"/>
    <w:next w:val="TableGrid"/>
    <w:uiPriority w:val="59"/>
    <w:rsid w:val="00CE5FD2"/>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
    <w:name w:val="Font"/>
    <w:basedOn w:val="DefaultParagraphFont"/>
    <w:uiPriority w:val="1"/>
    <w:qFormat/>
    <w:rsid w:val="00676B70"/>
    <w:rPr>
      <w:rFonts w:ascii="Sabon" w:hAnsi="Sabon"/>
      <w:sz w:val="22"/>
      <w:lang w:val="en-AU"/>
    </w:rPr>
  </w:style>
  <w:style w:type="paragraph" w:customStyle="1" w:styleId="NormalBullets">
    <w:name w:val="Normal Bullets"/>
    <w:basedOn w:val="Normal"/>
    <w:uiPriority w:val="3"/>
    <w:qFormat/>
    <w:rsid w:val="00676B70"/>
    <w:pPr>
      <w:numPr>
        <w:numId w:val="20"/>
      </w:numPr>
      <w:spacing w:before="0" w:after="240" w:line="276" w:lineRule="auto"/>
      <w:contextualSpacing/>
    </w:pPr>
    <w:rPr>
      <w:rFonts w:ascii="Sabon" w:eastAsiaTheme="majorEastAsia" w:hAnsi="Sabon" w:cstheme="majorBidi"/>
      <w:sz w:val="22"/>
      <w:lang w:bidi="en-US"/>
    </w:rPr>
  </w:style>
  <w:style w:type="table" w:customStyle="1" w:styleId="TableGrid11">
    <w:name w:val="Table Grid11"/>
    <w:basedOn w:val="TableNormal"/>
    <w:next w:val="TableGrid"/>
    <w:uiPriority w:val="59"/>
    <w:rsid w:val="00A8797E"/>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1">
    <w:name w:val="Table Grid Light11"/>
    <w:basedOn w:val="TableNormal"/>
    <w:uiPriority w:val="40"/>
    <w:rsid w:val="008870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beth1">
    <w:name w:val="Table Gridbeth1"/>
    <w:basedOn w:val="TableNormal"/>
    <w:next w:val="TableGrid"/>
    <w:uiPriority w:val="39"/>
    <w:rsid w:val="00C2529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character" w:customStyle="1" w:styleId="TableTextChar">
    <w:name w:val="Table Text Char"/>
    <w:basedOn w:val="DefaultParagraphFont"/>
    <w:link w:val="TableText"/>
    <w:rsid w:val="007B0718"/>
    <w:rPr>
      <w:rFonts w:ascii="Arial Narrow" w:hAnsi="Arial Narrow"/>
      <w:sz w:val="20"/>
    </w:rPr>
  </w:style>
  <w:style w:type="table" w:customStyle="1" w:styleId="Summarybox61">
    <w:name w:val="Summary box61"/>
    <w:basedOn w:val="TableNormal"/>
    <w:next w:val="TableGrid"/>
    <w:uiPriority w:val="59"/>
    <w:rsid w:val="008D2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D2208"/>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11">
    <w:name w:val="Table Grid Light111"/>
    <w:basedOn w:val="TableNormal"/>
    <w:uiPriority w:val="40"/>
    <w:rsid w:val="008D22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beth2">
    <w:name w:val="Table Gridbeth2"/>
    <w:basedOn w:val="TableNormal"/>
    <w:next w:val="TableGrid"/>
    <w:uiPriority w:val="39"/>
    <w:rsid w:val="00F5178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13">
    <w:name w:val="Table Grid13"/>
    <w:basedOn w:val="TableNormal"/>
    <w:next w:val="TableGrid"/>
    <w:uiPriority w:val="59"/>
    <w:rsid w:val="00071C5B"/>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211">
    <w:name w:val="Plain Table 211"/>
    <w:basedOn w:val="TableNormal"/>
    <w:uiPriority w:val="42"/>
    <w:rsid w:val="00CF65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beth3">
    <w:name w:val="Table Gridbeth3"/>
    <w:basedOn w:val="TableNormal"/>
    <w:next w:val="TableGrid"/>
    <w:uiPriority w:val="39"/>
    <w:rsid w:val="00737B2C"/>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beth4">
    <w:name w:val="Table Gridbeth4"/>
    <w:basedOn w:val="TableNormal"/>
    <w:next w:val="TableGrid"/>
    <w:uiPriority w:val="59"/>
    <w:rsid w:val="00AF718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Summarybox62">
    <w:name w:val="Summary box62"/>
    <w:basedOn w:val="TableNormal"/>
    <w:next w:val="TableGrid"/>
    <w:uiPriority w:val="59"/>
    <w:rsid w:val="00D15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972DE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beth5">
    <w:name w:val="Table Gridbeth5"/>
    <w:basedOn w:val="TableNormal"/>
    <w:next w:val="TableGrid"/>
    <w:uiPriority w:val="59"/>
    <w:rsid w:val="001103C2"/>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TableGrid14">
    <w:name w:val="Table Grid14"/>
    <w:basedOn w:val="TableNormal"/>
    <w:next w:val="TableGrid"/>
    <w:uiPriority w:val="59"/>
    <w:rsid w:val="001103C2"/>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3A6267"/>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3A6267"/>
    <w:rPr>
      <w:rFonts w:ascii="Times New Roman" w:hAnsi="Times New Roman" w:cs="Times New Roman"/>
      <w:sz w:val="24"/>
      <w:szCs w:val="24"/>
    </w:rPr>
  </w:style>
  <w:style w:type="paragraph" w:customStyle="1" w:styleId="drugtext">
    <w:name w:val="drugtext"/>
    <w:basedOn w:val="Normal"/>
    <w:rsid w:val="00F25971"/>
    <w:pPr>
      <w:spacing w:before="100" w:beforeAutospacing="1" w:after="100" w:afterAutospacing="1"/>
    </w:pPr>
    <w:rPr>
      <w:rFonts w:ascii="Times New Roman" w:hAnsi="Times New Roman" w:cs="Times New Roman"/>
      <w:szCs w:val="24"/>
      <w:lang w:val="en-US"/>
    </w:rPr>
  </w:style>
  <w:style w:type="character" w:customStyle="1" w:styleId="apple-converted-space">
    <w:name w:val="apple-converted-space"/>
    <w:basedOn w:val="DefaultParagraphFont"/>
    <w:rsid w:val="00F25971"/>
  </w:style>
  <w:style w:type="paragraph" w:customStyle="1" w:styleId="p1">
    <w:name w:val="p1"/>
    <w:basedOn w:val="Normal"/>
    <w:rsid w:val="00F40402"/>
    <w:pPr>
      <w:spacing w:before="0" w:after="0"/>
    </w:pPr>
    <w:rPr>
      <w:rFonts w:ascii="Helvetica Neue" w:hAnsi="Helvetica Neue" w:cs="Times New Roman"/>
      <w:color w:val="454545"/>
      <w:sz w:val="18"/>
      <w:szCs w:val="18"/>
      <w:lang w:val="en-GB" w:eastAsia="en-GB"/>
    </w:rPr>
  </w:style>
  <w:style w:type="character" w:styleId="PageNumber">
    <w:name w:val="page number"/>
    <w:basedOn w:val="DefaultParagraphFont"/>
    <w:uiPriority w:val="99"/>
    <w:semiHidden/>
    <w:unhideWhenUsed/>
    <w:rsid w:val="00254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9048">
      <w:bodyDiv w:val="1"/>
      <w:marLeft w:val="0"/>
      <w:marRight w:val="0"/>
      <w:marTop w:val="0"/>
      <w:marBottom w:val="0"/>
      <w:divBdr>
        <w:top w:val="none" w:sz="0" w:space="0" w:color="auto"/>
        <w:left w:val="none" w:sz="0" w:space="0" w:color="auto"/>
        <w:bottom w:val="none" w:sz="0" w:space="0" w:color="auto"/>
        <w:right w:val="none" w:sz="0" w:space="0" w:color="auto"/>
      </w:divBdr>
    </w:div>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36618847">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82742213">
      <w:bodyDiv w:val="1"/>
      <w:marLeft w:val="0"/>
      <w:marRight w:val="0"/>
      <w:marTop w:val="0"/>
      <w:marBottom w:val="0"/>
      <w:divBdr>
        <w:top w:val="none" w:sz="0" w:space="0" w:color="auto"/>
        <w:left w:val="none" w:sz="0" w:space="0" w:color="auto"/>
        <w:bottom w:val="none" w:sz="0" w:space="0" w:color="auto"/>
        <w:right w:val="none" w:sz="0" w:space="0" w:color="auto"/>
      </w:divBdr>
    </w:div>
    <w:div w:id="544757627">
      <w:bodyDiv w:val="1"/>
      <w:marLeft w:val="0"/>
      <w:marRight w:val="0"/>
      <w:marTop w:val="0"/>
      <w:marBottom w:val="0"/>
      <w:divBdr>
        <w:top w:val="none" w:sz="0" w:space="0" w:color="auto"/>
        <w:left w:val="none" w:sz="0" w:space="0" w:color="auto"/>
        <w:bottom w:val="none" w:sz="0" w:space="0" w:color="auto"/>
        <w:right w:val="none" w:sz="0" w:space="0" w:color="auto"/>
      </w:divBdr>
    </w:div>
    <w:div w:id="672881589">
      <w:bodyDiv w:val="1"/>
      <w:marLeft w:val="0"/>
      <w:marRight w:val="0"/>
      <w:marTop w:val="0"/>
      <w:marBottom w:val="0"/>
      <w:divBdr>
        <w:top w:val="none" w:sz="0" w:space="0" w:color="auto"/>
        <w:left w:val="none" w:sz="0" w:space="0" w:color="auto"/>
        <w:bottom w:val="none" w:sz="0" w:space="0" w:color="auto"/>
        <w:right w:val="none" w:sz="0" w:space="0" w:color="auto"/>
      </w:divBdr>
    </w:div>
    <w:div w:id="793407555">
      <w:bodyDiv w:val="1"/>
      <w:marLeft w:val="0"/>
      <w:marRight w:val="0"/>
      <w:marTop w:val="0"/>
      <w:marBottom w:val="0"/>
      <w:divBdr>
        <w:top w:val="none" w:sz="0" w:space="0" w:color="auto"/>
        <w:left w:val="none" w:sz="0" w:space="0" w:color="auto"/>
        <w:bottom w:val="none" w:sz="0" w:space="0" w:color="auto"/>
        <w:right w:val="none" w:sz="0" w:space="0" w:color="auto"/>
      </w:divBdr>
    </w:div>
    <w:div w:id="859078254">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57060691">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5297494">
      <w:bodyDiv w:val="1"/>
      <w:marLeft w:val="0"/>
      <w:marRight w:val="0"/>
      <w:marTop w:val="0"/>
      <w:marBottom w:val="0"/>
      <w:divBdr>
        <w:top w:val="none" w:sz="0" w:space="0" w:color="auto"/>
        <w:left w:val="none" w:sz="0" w:space="0" w:color="auto"/>
        <w:bottom w:val="none" w:sz="0" w:space="0" w:color="auto"/>
        <w:right w:val="none" w:sz="0" w:space="0" w:color="auto"/>
      </w:divBdr>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626348409">
      <w:bodyDiv w:val="1"/>
      <w:marLeft w:val="0"/>
      <w:marRight w:val="0"/>
      <w:marTop w:val="0"/>
      <w:marBottom w:val="0"/>
      <w:divBdr>
        <w:top w:val="none" w:sz="0" w:space="0" w:color="auto"/>
        <w:left w:val="none" w:sz="0" w:space="0" w:color="auto"/>
        <w:bottom w:val="none" w:sz="0" w:space="0" w:color="auto"/>
        <w:right w:val="none" w:sz="0" w:space="0" w:color="auto"/>
      </w:divBdr>
    </w:div>
    <w:div w:id="1646616725">
      <w:bodyDiv w:val="1"/>
      <w:marLeft w:val="0"/>
      <w:marRight w:val="0"/>
      <w:marTop w:val="0"/>
      <w:marBottom w:val="0"/>
      <w:divBdr>
        <w:top w:val="none" w:sz="0" w:space="0" w:color="auto"/>
        <w:left w:val="none" w:sz="0" w:space="0" w:color="auto"/>
        <w:bottom w:val="none" w:sz="0" w:space="0" w:color="auto"/>
        <w:right w:val="none" w:sz="0" w:space="0" w:color="auto"/>
      </w:divBdr>
    </w:div>
    <w:div w:id="1685403744">
      <w:bodyDiv w:val="1"/>
      <w:marLeft w:val="0"/>
      <w:marRight w:val="0"/>
      <w:marTop w:val="0"/>
      <w:marBottom w:val="0"/>
      <w:divBdr>
        <w:top w:val="none" w:sz="0" w:space="0" w:color="auto"/>
        <w:left w:val="none" w:sz="0" w:space="0" w:color="auto"/>
        <w:bottom w:val="none" w:sz="0" w:space="0" w:color="auto"/>
        <w:right w:val="none" w:sz="0" w:space="0" w:color="auto"/>
      </w:divBdr>
    </w:div>
    <w:div w:id="2049646121">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chemistwarehouse.com.au/search?searchtext=budenofalk&amp;searchmode=allwords" TargetMode="External"/><Relationship Id="rId1" Type="http://schemas.openxmlformats.org/officeDocument/2006/relationships/hyperlink" Target="http://www.chemistwarehouse.com.au/buy/20266/Entocort-3mg-Capsules-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17BD7-AAE6-43BA-9E04-19C909AD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7542</Words>
  <Characters>42992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2018-01-30T23:23:00Z</dcterms:created>
  <dcterms:modified xsi:type="dcterms:W3CDTF">2018-01-30T23:27:00Z</dcterms:modified>
</cp:coreProperties>
</file>