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B623DB" w:rsidRDefault="009649A4" w:rsidP="00233D88">
      <w:pPr>
        <w:ind w:left="992" w:hanging="992"/>
        <w:outlineLvl w:val="0"/>
        <w:rPr>
          <w:b/>
          <w:sz w:val="36"/>
          <w:szCs w:val="36"/>
        </w:rPr>
      </w:pPr>
      <w:r w:rsidRPr="00B623DB">
        <w:rPr>
          <w:b/>
          <w:sz w:val="36"/>
          <w:szCs w:val="36"/>
        </w:rPr>
        <w:t>6.01</w:t>
      </w:r>
      <w:r w:rsidR="00C317F3" w:rsidRPr="00B623DB">
        <w:rPr>
          <w:b/>
          <w:sz w:val="36"/>
          <w:szCs w:val="36"/>
        </w:rPr>
        <w:tab/>
      </w:r>
      <w:r w:rsidR="003848B3" w:rsidRPr="00B623DB">
        <w:rPr>
          <w:b/>
          <w:sz w:val="36"/>
          <w:szCs w:val="36"/>
        </w:rPr>
        <w:t>CANAKINUMAB</w:t>
      </w:r>
      <w:r w:rsidR="00C317F3" w:rsidRPr="00B623DB">
        <w:rPr>
          <w:b/>
          <w:sz w:val="36"/>
          <w:szCs w:val="36"/>
        </w:rPr>
        <w:t>,</w:t>
      </w:r>
      <w:r w:rsidR="009D4C2A" w:rsidRPr="00B623DB">
        <w:rPr>
          <w:b/>
          <w:sz w:val="36"/>
          <w:szCs w:val="36"/>
        </w:rPr>
        <w:br/>
      </w:r>
      <w:r w:rsidRPr="00B623DB">
        <w:rPr>
          <w:b/>
          <w:sz w:val="36"/>
          <w:szCs w:val="36"/>
        </w:rPr>
        <w:t>Powder for injection 150 mg  with solvent</w:t>
      </w:r>
      <w:r w:rsidRPr="00B623DB">
        <w:rPr>
          <w:b/>
          <w:sz w:val="36"/>
          <w:szCs w:val="36"/>
        </w:rPr>
        <w:br/>
        <w:t>Solution for injection 150 mg in 1 mL,</w:t>
      </w:r>
      <w:r w:rsidR="009D4C2A" w:rsidRPr="00B623DB">
        <w:rPr>
          <w:b/>
          <w:sz w:val="36"/>
          <w:szCs w:val="36"/>
        </w:rPr>
        <w:br/>
      </w:r>
      <w:r w:rsidR="003848B3" w:rsidRPr="00B623DB">
        <w:rPr>
          <w:b/>
          <w:sz w:val="36"/>
          <w:szCs w:val="36"/>
        </w:rPr>
        <w:t>Ilaris</w:t>
      </w:r>
      <w:r w:rsidR="00C317F3" w:rsidRPr="00B623DB">
        <w:rPr>
          <w:b/>
          <w:sz w:val="36"/>
          <w:szCs w:val="36"/>
        </w:rPr>
        <w:t xml:space="preserve">®, </w:t>
      </w:r>
      <w:r w:rsidR="00473D7E">
        <w:rPr>
          <w:b/>
          <w:sz w:val="36"/>
          <w:szCs w:val="36"/>
        </w:rPr>
        <w:t>Novartis Pharmaceuticals Austr</w:t>
      </w:r>
      <w:bookmarkStart w:id="0" w:name="_GoBack"/>
      <w:bookmarkEnd w:id="0"/>
      <w:r w:rsidR="00473D7E">
        <w:rPr>
          <w:b/>
          <w:sz w:val="36"/>
          <w:szCs w:val="36"/>
        </w:rPr>
        <w:t>alia Pty Ltd</w:t>
      </w:r>
    </w:p>
    <w:p w:rsidR="00C317F3" w:rsidRPr="00B623DB" w:rsidRDefault="00C317F3" w:rsidP="002001C6">
      <w:pPr>
        <w:pStyle w:val="Heading1"/>
        <w:ind w:left="709" w:hanging="709"/>
      </w:pPr>
      <w:bookmarkStart w:id="1" w:name="_Toc413139271"/>
      <w:bookmarkStart w:id="2" w:name="_Toc492307649"/>
      <w:r w:rsidRPr="00B623DB">
        <w:t xml:space="preserve">Purpose of </w:t>
      </w:r>
      <w:r w:rsidR="00661286" w:rsidRPr="00B623DB">
        <w:t>a</w:t>
      </w:r>
      <w:r w:rsidRPr="00B623DB">
        <w:t>pplication</w:t>
      </w:r>
      <w:bookmarkEnd w:id="1"/>
      <w:bookmarkEnd w:id="2"/>
    </w:p>
    <w:p w:rsidR="00C317F3" w:rsidRPr="00B623DB" w:rsidRDefault="007A77BF" w:rsidP="00C42C16">
      <w:pPr>
        <w:pStyle w:val="ListParagraph"/>
        <w:numPr>
          <w:ilvl w:val="1"/>
          <w:numId w:val="2"/>
        </w:numPr>
        <w:spacing w:before="0" w:after="120"/>
        <w:jc w:val="both"/>
      </w:pPr>
      <w:r w:rsidRPr="00B623DB">
        <w:t xml:space="preserve">The submission requested a </w:t>
      </w:r>
      <w:r w:rsidR="00C317F3" w:rsidRPr="00B623DB">
        <w:t>Section 100</w:t>
      </w:r>
      <w:r w:rsidR="0085663E" w:rsidRPr="00B623DB">
        <w:t xml:space="preserve"> Streamlined Authority listing for </w:t>
      </w:r>
      <w:r w:rsidR="00CB70C3" w:rsidRPr="00B623DB">
        <w:t>canakinumab</w:t>
      </w:r>
      <w:r w:rsidR="00C317F3" w:rsidRPr="00B623DB">
        <w:t xml:space="preserve"> for </w:t>
      </w:r>
      <w:r w:rsidR="00F73358" w:rsidRPr="00B623DB">
        <w:t xml:space="preserve">the </w:t>
      </w:r>
      <w:r w:rsidR="00C317F3" w:rsidRPr="00B623DB">
        <w:t xml:space="preserve">treatment of </w:t>
      </w:r>
      <w:r w:rsidR="00CB70C3" w:rsidRPr="00B623DB">
        <w:t xml:space="preserve">adults and children with moderate to severe </w:t>
      </w:r>
      <w:r w:rsidRPr="00B623DB">
        <w:t>c</w:t>
      </w:r>
      <w:r w:rsidR="00CB70C3" w:rsidRPr="00B623DB">
        <w:t xml:space="preserve">ryopyrin </w:t>
      </w:r>
      <w:r w:rsidRPr="00B623DB">
        <w:t>a</w:t>
      </w:r>
      <w:r w:rsidR="00CB70C3" w:rsidRPr="00B623DB">
        <w:t xml:space="preserve">ssociated </w:t>
      </w:r>
      <w:r w:rsidRPr="00B623DB">
        <w:t>p</w:t>
      </w:r>
      <w:r w:rsidR="00CB70C3" w:rsidRPr="00B623DB">
        <w:t xml:space="preserve">eriodic </w:t>
      </w:r>
      <w:r w:rsidRPr="00B623DB">
        <w:t>s</w:t>
      </w:r>
      <w:r w:rsidR="00CB70C3" w:rsidRPr="00B623DB">
        <w:t>yndrome</w:t>
      </w:r>
      <w:r w:rsidRPr="00B623DB">
        <w:t>s</w:t>
      </w:r>
      <w:r w:rsidR="00CB70C3" w:rsidRPr="00B623DB">
        <w:t xml:space="preserve"> (CAPS).</w:t>
      </w:r>
      <w:r w:rsidR="00C317F3" w:rsidRPr="00B623DB">
        <w:t xml:space="preserve"> </w:t>
      </w:r>
      <w:r w:rsidR="00CB70C3" w:rsidRPr="00B623DB">
        <w:t>Canakinumab has not been considered by the PBAC previously for this indication.</w:t>
      </w:r>
    </w:p>
    <w:p w:rsidR="00F44EFB" w:rsidRPr="00B623DB" w:rsidRDefault="00C76AE1" w:rsidP="00C42C16">
      <w:pPr>
        <w:pStyle w:val="ListParagraph"/>
        <w:numPr>
          <w:ilvl w:val="1"/>
          <w:numId w:val="2"/>
        </w:numPr>
        <w:spacing w:before="0" w:after="120"/>
        <w:jc w:val="both"/>
      </w:pPr>
      <w:r w:rsidRPr="00B623DB">
        <w:t>The submission requested listing for canakinumab on a cost-minimisation basis to anakinra, based on a claim of equivalent effectiveness and safety.</w:t>
      </w:r>
      <w:r w:rsidR="00F44EFB" w:rsidRPr="00B623DB">
        <w:t xml:space="preserve"> </w:t>
      </w:r>
    </w:p>
    <w:p w:rsidR="00AE513E" w:rsidRPr="00B623DB" w:rsidRDefault="00AE513E" w:rsidP="00C76AE1">
      <w:pPr>
        <w:keepNext/>
        <w:spacing w:before="0" w:after="60"/>
        <w:jc w:val="both"/>
        <w:rPr>
          <w:b/>
        </w:rPr>
      </w:pPr>
      <w:r w:rsidRPr="00B623DB">
        <w:rPr>
          <w:rFonts w:ascii="Arial Narrow" w:hAnsi="Arial Narrow"/>
          <w:b/>
          <w:sz w:val="20"/>
          <w:szCs w:val="20"/>
        </w:rPr>
        <w:t xml:space="preserve">Table </w:t>
      </w:r>
      <w:r w:rsidR="00C76AE1" w:rsidRPr="00B623DB">
        <w:rPr>
          <w:rFonts w:ascii="Arial Narrow" w:hAnsi="Arial Narrow"/>
          <w:b/>
          <w:sz w:val="20"/>
          <w:szCs w:val="20"/>
        </w:rPr>
        <w:t>1</w:t>
      </w:r>
      <w:r w:rsidRPr="00B623DB">
        <w:rPr>
          <w:rFonts w:ascii="Arial Narrow" w:hAnsi="Arial Narrow"/>
          <w:b/>
          <w:sz w:val="20"/>
          <w:szCs w:val="20"/>
        </w:rPr>
        <w:t>: Key components of the clinical issue addressed by the submission</w:t>
      </w:r>
    </w:p>
    <w:tbl>
      <w:tblPr>
        <w:tblStyle w:val="TableGrid"/>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32"/>
        <w:gridCol w:w="7503"/>
      </w:tblGrid>
      <w:tr w:rsidR="00C76AE1" w:rsidRPr="00B623DB" w:rsidTr="007A77BF">
        <w:trPr>
          <w:cnfStyle w:val="100000000000" w:firstRow="1" w:lastRow="0" w:firstColumn="0" w:lastColumn="0" w:oddVBand="0" w:evenVBand="0" w:oddHBand="0" w:evenHBand="0" w:firstRowFirstColumn="0" w:firstRowLastColumn="0" w:lastRowFirstColumn="0" w:lastRowLastColumn="0"/>
          <w:cantSplit/>
          <w:tblHeader/>
        </w:trPr>
        <w:tc>
          <w:tcPr>
            <w:tcW w:w="893" w:type="pct"/>
            <w:shd w:val="clear" w:color="auto" w:fill="auto"/>
          </w:tcPr>
          <w:p w:rsidR="00C76AE1" w:rsidRPr="00B623DB" w:rsidRDefault="00C76AE1" w:rsidP="002A3156">
            <w:pPr>
              <w:pStyle w:val="TableText"/>
              <w:rPr>
                <w:b w:val="0"/>
                <w:lang w:val="en-AU"/>
              </w:rPr>
            </w:pPr>
            <w:bookmarkStart w:id="3" w:name="_Toc413139272"/>
            <w:r w:rsidRPr="00B623DB">
              <w:rPr>
                <w:lang w:val="en-AU"/>
              </w:rPr>
              <w:t>Component</w:t>
            </w:r>
          </w:p>
        </w:tc>
        <w:tc>
          <w:tcPr>
            <w:tcW w:w="4107" w:type="pct"/>
            <w:shd w:val="clear" w:color="auto" w:fill="auto"/>
          </w:tcPr>
          <w:p w:rsidR="00C76AE1" w:rsidRPr="00B623DB" w:rsidRDefault="00C76AE1" w:rsidP="002A3156">
            <w:pPr>
              <w:pStyle w:val="TableText"/>
              <w:rPr>
                <w:b w:val="0"/>
                <w:lang w:val="en-AU"/>
              </w:rPr>
            </w:pPr>
            <w:r w:rsidRPr="00B623DB">
              <w:rPr>
                <w:lang w:val="en-AU"/>
              </w:rPr>
              <w:t>Description</w:t>
            </w:r>
          </w:p>
        </w:tc>
      </w:tr>
      <w:tr w:rsidR="00C76AE1" w:rsidRPr="00B623DB" w:rsidTr="007A77BF">
        <w:trPr>
          <w:cantSplit/>
        </w:trPr>
        <w:tc>
          <w:tcPr>
            <w:tcW w:w="893" w:type="pct"/>
          </w:tcPr>
          <w:p w:rsidR="00C76AE1" w:rsidRPr="00B623DB" w:rsidRDefault="00C76AE1" w:rsidP="002A3156">
            <w:pPr>
              <w:pStyle w:val="TableText"/>
              <w:rPr>
                <w:lang w:val="en-AU"/>
              </w:rPr>
            </w:pPr>
            <w:r w:rsidRPr="00B623DB">
              <w:rPr>
                <w:lang w:val="en-AU"/>
              </w:rPr>
              <w:t>Population</w:t>
            </w:r>
          </w:p>
        </w:tc>
        <w:tc>
          <w:tcPr>
            <w:tcW w:w="4107" w:type="pct"/>
          </w:tcPr>
          <w:p w:rsidR="00C76AE1" w:rsidRPr="00B623DB" w:rsidRDefault="00C76AE1" w:rsidP="007A77BF">
            <w:pPr>
              <w:pStyle w:val="TableText"/>
              <w:rPr>
                <w:rFonts w:ascii="Times" w:eastAsia="Times New Roman" w:hAnsi="Times" w:cs="Times New Roman"/>
                <w:lang w:val="en-AU"/>
              </w:rPr>
            </w:pPr>
            <w:r w:rsidRPr="00B623DB">
              <w:rPr>
                <w:lang w:val="en-AU"/>
              </w:rPr>
              <w:t>Patients with CAPS (</w:t>
            </w:r>
            <w:r w:rsidR="007A77BF" w:rsidRPr="00B623DB">
              <w:rPr>
                <w:lang w:val="en-AU"/>
              </w:rPr>
              <w:t>familial cold autoinflammatory syndrome</w:t>
            </w:r>
            <w:r w:rsidRPr="00B623DB">
              <w:rPr>
                <w:lang w:val="en-AU"/>
              </w:rPr>
              <w:t>, M</w:t>
            </w:r>
            <w:r w:rsidR="007A77BF" w:rsidRPr="00B623DB">
              <w:rPr>
                <w:lang w:val="en-AU"/>
              </w:rPr>
              <w:t>uckle-</w:t>
            </w:r>
            <w:r w:rsidRPr="00B623DB">
              <w:rPr>
                <w:lang w:val="en-AU"/>
              </w:rPr>
              <w:t>W</w:t>
            </w:r>
            <w:r w:rsidR="007A77BF" w:rsidRPr="00B623DB">
              <w:rPr>
                <w:lang w:val="en-AU"/>
              </w:rPr>
              <w:t>ells syndrome</w:t>
            </w:r>
            <w:r w:rsidRPr="00B623DB">
              <w:rPr>
                <w:lang w:val="en-AU"/>
              </w:rPr>
              <w:t xml:space="preserve">, </w:t>
            </w:r>
            <w:r w:rsidR="007A77BF" w:rsidRPr="00B623DB">
              <w:rPr>
                <w:lang w:val="en-AU"/>
              </w:rPr>
              <w:t>neonatal-onset multisystem inflammatory disease)</w:t>
            </w:r>
          </w:p>
        </w:tc>
      </w:tr>
      <w:tr w:rsidR="00C76AE1" w:rsidRPr="00B623DB" w:rsidTr="007A77BF">
        <w:trPr>
          <w:cantSplit/>
        </w:trPr>
        <w:tc>
          <w:tcPr>
            <w:tcW w:w="893" w:type="pct"/>
          </w:tcPr>
          <w:p w:rsidR="00C76AE1" w:rsidRPr="00B623DB" w:rsidRDefault="00C76AE1" w:rsidP="002A3156">
            <w:pPr>
              <w:pStyle w:val="TableText"/>
              <w:rPr>
                <w:rFonts w:ascii="Times" w:eastAsia="Times New Roman" w:hAnsi="Times" w:cs="Times New Roman"/>
                <w:lang w:val="en-AU"/>
              </w:rPr>
            </w:pPr>
            <w:r w:rsidRPr="00B623DB">
              <w:rPr>
                <w:lang w:val="en-AU"/>
              </w:rPr>
              <w:t>Intervention</w:t>
            </w:r>
          </w:p>
        </w:tc>
        <w:tc>
          <w:tcPr>
            <w:tcW w:w="4107" w:type="pct"/>
          </w:tcPr>
          <w:p w:rsidR="00C76AE1" w:rsidRPr="00B623DB" w:rsidRDefault="00C76AE1" w:rsidP="002A3156">
            <w:pPr>
              <w:pStyle w:val="TableText"/>
              <w:rPr>
                <w:rFonts w:ascii="Times" w:eastAsia="Times New Roman" w:hAnsi="Times" w:cs="Times New Roman"/>
                <w:lang w:val="en-AU"/>
              </w:rPr>
            </w:pPr>
            <w:r w:rsidRPr="00B623DB">
              <w:rPr>
                <w:lang w:val="en-AU"/>
              </w:rPr>
              <w:t>Canakinumab, subcutaneous injection once every 8 weeks</w:t>
            </w:r>
          </w:p>
        </w:tc>
      </w:tr>
      <w:tr w:rsidR="00C76AE1" w:rsidRPr="00B623DB" w:rsidTr="007A77BF">
        <w:trPr>
          <w:cantSplit/>
        </w:trPr>
        <w:tc>
          <w:tcPr>
            <w:tcW w:w="893" w:type="pct"/>
          </w:tcPr>
          <w:p w:rsidR="00C76AE1" w:rsidRPr="00B623DB" w:rsidRDefault="00C76AE1" w:rsidP="002A3156">
            <w:pPr>
              <w:pStyle w:val="TableText"/>
              <w:rPr>
                <w:rFonts w:ascii="Times" w:eastAsia="Times New Roman" w:hAnsi="Times" w:cs="Times New Roman"/>
                <w:lang w:val="en-AU"/>
              </w:rPr>
            </w:pPr>
            <w:r w:rsidRPr="00B623DB">
              <w:rPr>
                <w:lang w:val="en-AU"/>
              </w:rPr>
              <w:t>Comparator</w:t>
            </w:r>
          </w:p>
        </w:tc>
        <w:tc>
          <w:tcPr>
            <w:tcW w:w="4107" w:type="pct"/>
          </w:tcPr>
          <w:p w:rsidR="00C76AE1" w:rsidRPr="00B623DB" w:rsidRDefault="00C76AE1" w:rsidP="002A3156">
            <w:pPr>
              <w:pStyle w:val="TableText"/>
              <w:rPr>
                <w:rFonts w:ascii="Times" w:eastAsia="Times New Roman" w:hAnsi="Times" w:cs="Times New Roman"/>
                <w:lang w:val="en-AU"/>
              </w:rPr>
            </w:pPr>
            <w:r w:rsidRPr="00B623DB">
              <w:rPr>
                <w:lang w:val="en-AU"/>
              </w:rPr>
              <w:t>Anakinra, subcutaneous injection once daily</w:t>
            </w:r>
          </w:p>
        </w:tc>
      </w:tr>
      <w:tr w:rsidR="00C76AE1" w:rsidRPr="00B623DB" w:rsidTr="007A77BF">
        <w:trPr>
          <w:cantSplit/>
        </w:trPr>
        <w:tc>
          <w:tcPr>
            <w:tcW w:w="893" w:type="pct"/>
          </w:tcPr>
          <w:p w:rsidR="00C76AE1" w:rsidRPr="00B623DB" w:rsidRDefault="00C76AE1" w:rsidP="002A3156">
            <w:pPr>
              <w:pStyle w:val="TableText"/>
              <w:rPr>
                <w:rFonts w:ascii="Times" w:eastAsia="Times New Roman" w:hAnsi="Times" w:cs="Times New Roman"/>
                <w:lang w:val="en-AU"/>
              </w:rPr>
            </w:pPr>
            <w:r w:rsidRPr="00B623DB">
              <w:rPr>
                <w:lang w:val="en-AU"/>
              </w:rPr>
              <w:t>Outcomes</w:t>
            </w:r>
          </w:p>
        </w:tc>
        <w:tc>
          <w:tcPr>
            <w:tcW w:w="4107" w:type="pct"/>
          </w:tcPr>
          <w:p w:rsidR="00C76AE1" w:rsidRPr="00B623DB" w:rsidRDefault="00C76AE1" w:rsidP="002A3156">
            <w:pPr>
              <w:pStyle w:val="TableText"/>
              <w:rPr>
                <w:rFonts w:ascii="Times" w:eastAsia="Times New Roman" w:hAnsi="Times" w:cs="Times New Roman"/>
                <w:lang w:val="en-AU"/>
              </w:rPr>
            </w:pPr>
            <w:r w:rsidRPr="00B623DB">
              <w:rPr>
                <w:lang w:val="en-AU"/>
              </w:rPr>
              <w:t>Disease remission, flare, relapse and symptom scores</w:t>
            </w:r>
          </w:p>
        </w:tc>
      </w:tr>
      <w:tr w:rsidR="00C76AE1" w:rsidRPr="00B623DB" w:rsidTr="007A77BF">
        <w:trPr>
          <w:cantSplit/>
        </w:trPr>
        <w:tc>
          <w:tcPr>
            <w:tcW w:w="893" w:type="pct"/>
          </w:tcPr>
          <w:p w:rsidR="00C76AE1" w:rsidRPr="00B623DB" w:rsidRDefault="00C76AE1" w:rsidP="002A3156">
            <w:pPr>
              <w:pStyle w:val="TableText"/>
              <w:rPr>
                <w:rFonts w:ascii="Times" w:eastAsia="Times New Roman" w:hAnsi="Times" w:cs="Times New Roman"/>
                <w:lang w:val="en-AU"/>
              </w:rPr>
            </w:pPr>
            <w:r w:rsidRPr="00B623DB">
              <w:rPr>
                <w:lang w:val="en-AU"/>
              </w:rPr>
              <w:t>Clinical claim</w:t>
            </w:r>
          </w:p>
        </w:tc>
        <w:tc>
          <w:tcPr>
            <w:tcW w:w="4107" w:type="pct"/>
          </w:tcPr>
          <w:p w:rsidR="00C76AE1" w:rsidRPr="00B623DB" w:rsidRDefault="00C76AE1" w:rsidP="007A77BF">
            <w:pPr>
              <w:pStyle w:val="TableText"/>
              <w:rPr>
                <w:rFonts w:ascii="Times" w:eastAsia="Times New Roman" w:hAnsi="Times" w:cs="Times New Roman"/>
                <w:lang w:val="en-AU"/>
              </w:rPr>
            </w:pPr>
            <w:r w:rsidRPr="00B623DB">
              <w:rPr>
                <w:lang w:val="en-AU"/>
              </w:rPr>
              <w:t xml:space="preserve">In patients with CAPS, canakinumab is as effective as </w:t>
            </w:r>
            <w:r w:rsidR="007A77BF" w:rsidRPr="00B623DB">
              <w:rPr>
                <w:lang w:val="en-AU"/>
              </w:rPr>
              <w:t>a</w:t>
            </w:r>
            <w:r w:rsidRPr="00B623DB">
              <w:rPr>
                <w:lang w:val="en-AU"/>
              </w:rPr>
              <w:t>nakinra in reducing flare</w:t>
            </w:r>
            <w:r w:rsidR="007A77BF" w:rsidRPr="00B623DB">
              <w:rPr>
                <w:lang w:val="en-AU"/>
              </w:rPr>
              <w:t>s and reducing symptoms with a</w:t>
            </w:r>
            <w:r w:rsidRPr="00B623DB">
              <w:rPr>
                <w:lang w:val="en-AU"/>
              </w:rPr>
              <w:t xml:space="preserve"> reduced burden of injection administration.</w:t>
            </w:r>
          </w:p>
        </w:tc>
      </w:tr>
    </w:tbl>
    <w:p w:rsidR="00C76AE1" w:rsidRPr="00B623DB" w:rsidRDefault="00C76AE1" w:rsidP="00C76AE1">
      <w:pPr>
        <w:pStyle w:val="TableFooter"/>
      </w:pPr>
      <w:r w:rsidRPr="00B623DB">
        <w:t xml:space="preserve">Abbreviations: CAPS, </w:t>
      </w:r>
      <w:r w:rsidR="007A77BF" w:rsidRPr="00B623DB">
        <w:t>c</w:t>
      </w:r>
      <w:r w:rsidRPr="00B623DB">
        <w:t>ryopyr</w:t>
      </w:r>
      <w:r w:rsidR="007A77BF" w:rsidRPr="00B623DB">
        <w:t>in-associated periodic syndrome</w:t>
      </w:r>
      <w:r w:rsidRPr="00B623DB">
        <w:t>.</w:t>
      </w:r>
    </w:p>
    <w:p w:rsidR="00C76AE1" w:rsidRDefault="00C76AE1" w:rsidP="00C76AE1">
      <w:pPr>
        <w:pStyle w:val="TableFooter"/>
      </w:pPr>
      <w:r w:rsidRPr="00B623DB">
        <w:t>Source: Table 1.1, p22 of the submission</w:t>
      </w:r>
    </w:p>
    <w:p w:rsidR="00D3375D" w:rsidRDefault="00D3375D" w:rsidP="00C76AE1">
      <w:pPr>
        <w:pStyle w:val="TableFooter"/>
      </w:pPr>
    </w:p>
    <w:p w:rsidR="00D3375D" w:rsidRPr="00C270D8" w:rsidRDefault="00D3375D" w:rsidP="00D3375D">
      <w:pPr>
        <w:pStyle w:val="Heading1"/>
        <w:ind w:left="709" w:hanging="709"/>
      </w:pPr>
      <w:bookmarkStart w:id="4" w:name="_Toc492310391"/>
      <w:r w:rsidRPr="00C270D8">
        <w:t>Requested listing</w:t>
      </w:r>
      <w:bookmarkEnd w:id="4"/>
      <w:r w:rsidRPr="00C270D8">
        <w:t xml:space="preserve"> </w:t>
      </w:r>
    </w:p>
    <w:p w:rsidR="00D3375D" w:rsidRPr="00B623DB" w:rsidRDefault="00D3375D" w:rsidP="00C76AE1">
      <w:pPr>
        <w:pStyle w:val="TableFooter"/>
      </w:pPr>
    </w:p>
    <w:p w:rsidR="0019248F" w:rsidRPr="006E783C" w:rsidRDefault="00C317F3" w:rsidP="006E783C">
      <w:pPr>
        <w:pStyle w:val="ListParagraph"/>
        <w:numPr>
          <w:ilvl w:val="0"/>
          <w:numId w:val="2"/>
        </w:numPr>
        <w:spacing w:before="200" w:after="120"/>
        <w:rPr>
          <w:rFonts w:eastAsia="Times New Roman" w:cs="Arial"/>
          <w:b/>
          <w:snapToGrid w:val="0"/>
          <w:vanish/>
          <w:sz w:val="32"/>
          <w:szCs w:val="32"/>
        </w:rPr>
      </w:pPr>
      <w:bookmarkStart w:id="5" w:name="_Toc492307650"/>
      <w:r w:rsidRPr="006E783C">
        <w:rPr>
          <w:rFonts w:eastAsia="Times New Roman" w:cs="Arial"/>
          <w:b/>
          <w:snapToGrid w:val="0"/>
          <w:vanish/>
          <w:sz w:val="32"/>
          <w:szCs w:val="32"/>
        </w:rPr>
        <w:t>Requested listing</w:t>
      </w:r>
      <w:bookmarkEnd w:id="3"/>
      <w:bookmarkEnd w:id="5"/>
      <w:r w:rsidR="005C6285" w:rsidRPr="006E783C">
        <w:rPr>
          <w:rFonts w:eastAsia="Times New Roman" w:cs="Arial"/>
          <w:b/>
          <w:snapToGrid w:val="0"/>
          <w:vanish/>
          <w:sz w:val="32"/>
          <w:szCs w:val="32"/>
        </w:rPr>
        <w:t xml:space="preserve"> </w:t>
      </w:r>
      <w:bookmarkStart w:id="6" w:name="_Toc492307653"/>
    </w:p>
    <w:tbl>
      <w:tblPr>
        <w:tblW w:w="5010" w:type="pct"/>
        <w:tblCellMar>
          <w:left w:w="28" w:type="dxa"/>
          <w:right w:w="28" w:type="dxa"/>
        </w:tblCellMar>
        <w:tblLook w:val="0000" w:firstRow="0" w:lastRow="0" w:firstColumn="0" w:lastColumn="0" w:noHBand="0" w:noVBand="0"/>
      </w:tblPr>
      <w:tblGrid>
        <w:gridCol w:w="26"/>
        <w:gridCol w:w="1982"/>
        <w:gridCol w:w="1369"/>
        <w:gridCol w:w="764"/>
        <w:gridCol w:w="923"/>
        <w:gridCol w:w="1656"/>
        <w:gridCol w:w="2364"/>
        <w:gridCol w:w="16"/>
      </w:tblGrid>
      <w:tr w:rsidR="0019248F" w:rsidRPr="00B623DB" w:rsidTr="00E71458">
        <w:trPr>
          <w:gridAfter w:val="1"/>
          <w:wAfter w:w="9" w:type="pct"/>
          <w:cantSplit/>
          <w:trHeight w:val="463"/>
        </w:trPr>
        <w:tc>
          <w:tcPr>
            <w:tcW w:w="1855" w:type="pct"/>
            <w:gridSpan w:val="3"/>
            <w:tcBorders>
              <w:bottom w:val="single" w:sz="4" w:space="0" w:color="auto"/>
            </w:tcBorders>
            <w:vAlign w:val="center"/>
          </w:tcPr>
          <w:p w:rsidR="0019248F" w:rsidRPr="00B623DB" w:rsidRDefault="0019248F" w:rsidP="00E71458">
            <w:pPr>
              <w:pStyle w:val="TableText"/>
              <w:rPr>
                <w:b/>
              </w:rPr>
            </w:pPr>
            <w:r w:rsidRPr="00B623DB">
              <w:rPr>
                <w:b/>
              </w:rPr>
              <w:t>Name, Restriction,</w:t>
            </w:r>
          </w:p>
          <w:p w:rsidR="0019248F" w:rsidRPr="00B623DB" w:rsidRDefault="0019248F" w:rsidP="00E71458">
            <w:pPr>
              <w:pStyle w:val="TableText"/>
              <w:rPr>
                <w:b/>
              </w:rPr>
            </w:pPr>
            <w:r w:rsidRPr="00B623DB">
              <w:rPr>
                <w:b/>
              </w:rPr>
              <w:t>Manner of administration and form</w:t>
            </w:r>
          </w:p>
        </w:tc>
        <w:tc>
          <w:tcPr>
            <w:tcW w:w="420" w:type="pct"/>
            <w:tcBorders>
              <w:bottom w:val="single" w:sz="4" w:space="0" w:color="auto"/>
            </w:tcBorders>
            <w:vAlign w:val="center"/>
          </w:tcPr>
          <w:p w:rsidR="0019248F" w:rsidRPr="00B623DB" w:rsidRDefault="0019248F" w:rsidP="00E71458">
            <w:pPr>
              <w:pStyle w:val="TableText"/>
              <w:rPr>
                <w:b/>
              </w:rPr>
            </w:pPr>
            <w:r w:rsidRPr="00B623DB">
              <w:rPr>
                <w:b/>
              </w:rPr>
              <w:t>Max.</w:t>
            </w:r>
          </w:p>
          <w:p w:rsidR="0019248F" w:rsidRPr="00B623DB" w:rsidRDefault="0019248F" w:rsidP="00E71458">
            <w:pPr>
              <w:pStyle w:val="TableText"/>
              <w:rPr>
                <w:b/>
              </w:rPr>
            </w:pPr>
            <w:r w:rsidRPr="00B623DB">
              <w:rPr>
                <w:b/>
              </w:rPr>
              <w:t>Qty</w:t>
            </w:r>
          </w:p>
        </w:tc>
        <w:tc>
          <w:tcPr>
            <w:tcW w:w="507" w:type="pct"/>
            <w:tcBorders>
              <w:bottom w:val="single" w:sz="4" w:space="0" w:color="auto"/>
            </w:tcBorders>
            <w:vAlign w:val="center"/>
          </w:tcPr>
          <w:p w:rsidR="0019248F" w:rsidRPr="00B623DB" w:rsidRDefault="0019248F" w:rsidP="00E71458">
            <w:pPr>
              <w:pStyle w:val="TableText"/>
              <w:rPr>
                <w:b/>
              </w:rPr>
            </w:pPr>
            <w:r w:rsidRPr="00B623DB">
              <w:rPr>
                <w:b/>
              </w:rPr>
              <w:t>№.of</w:t>
            </w:r>
          </w:p>
          <w:p w:rsidR="0019248F" w:rsidRPr="00B623DB" w:rsidRDefault="0019248F" w:rsidP="00E71458">
            <w:pPr>
              <w:pStyle w:val="TableText"/>
              <w:rPr>
                <w:b/>
              </w:rPr>
            </w:pPr>
            <w:r w:rsidRPr="00B623DB">
              <w:rPr>
                <w:b/>
              </w:rPr>
              <w:t>Rpts</w:t>
            </w:r>
          </w:p>
        </w:tc>
        <w:tc>
          <w:tcPr>
            <w:tcW w:w="910" w:type="pct"/>
            <w:tcBorders>
              <w:bottom w:val="single" w:sz="4" w:space="0" w:color="auto"/>
            </w:tcBorders>
            <w:vAlign w:val="center"/>
          </w:tcPr>
          <w:p w:rsidR="0019248F" w:rsidRPr="00B623DB" w:rsidRDefault="0019248F" w:rsidP="00E71458">
            <w:pPr>
              <w:pStyle w:val="TableText"/>
              <w:rPr>
                <w:b/>
              </w:rPr>
            </w:pPr>
            <w:r w:rsidRPr="00B623DB">
              <w:rPr>
                <w:b/>
              </w:rPr>
              <w:t>Dispensed Price for Max. Qty</w:t>
            </w:r>
          </w:p>
        </w:tc>
        <w:tc>
          <w:tcPr>
            <w:tcW w:w="1299" w:type="pct"/>
            <w:tcBorders>
              <w:bottom w:val="single" w:sz="4" w:space="0" w:color="auto"/>
            </w:tcBorders>
            <w:vAlign w:val="center"/>
          </w:tcPr>
          <w:p w:rsidR="0019248F" w:rsidRPr="00B623DB" w:rsidRDefault="0019248F" w:rsidP="00E71458">
            <w:pPr>
              <w:pStyle w:val="TableText"/>
              <w:rPr>
                <w:b/>
              </w:rPr>
            </w:pPr>
            <w:r w:rsidRPr="00B623DB">
              <w:rPr>
                <w:b/>
              </w:rPr>
              <w:t>Proprietary Name and Manufacturer</w:t>
            </w:r>
          </w:p>
        </w:tc>
      </w:tr>
      <w:tr w:rsidR="0019248F" w:rsidRPr="00B623DB" w:rsidTr="00E71458">
        <w:trPr>
          <w:gridAfter w:val="1"/>
          <w:wAfter w:w="9" w:type="pct"/>
          <w:cantSplit/>
          <w:trHeight w:val="567"/>
        </w:trPr>
        <w:tc>
          <w:tcPr>
            <w:tcW w:w="1855" w:type="pct"/>
            <w:gridSpan w:val="3"/>
          </w:tcPr>
          <w:p w:rsidR="0019248F" w:rsidRPr="00B623DB" w:rsidRDefault="0019248F" w:rsidP="00E71458">
            <w:pPr>
              <w:pStyle w:val="TableText"/>
            </w:pPr>
            <w:r w:rsidRPr="00B623DB">
              <w:rPr>
                <w:b/>
              </w:rPr>
              <w:t>Canakinumab, 150 mg/1 mL, white solid lyophilisate powder 150 mg for subcutaneous injection</w:t>
            </w:r>
          </w:p>
        </w:tc>
        <w:tc>
          <w:tcPr>
            <w:tcW w:w="420" w:type="pct"/>
          </w:tcPr>
          <w:p w:rsidR="0019248F" w:rsidRPr="00B623DB" w:rsidRDefault="0019248F" w:rsidP="00E71458">
            <w:pPr>
              <w:pStyle w:val="TableText"/>
            </w:pPr>
            <w:r w:rsidRPr="00B623DB">
              <w:t>1</w:t>
            </w:r>
          </w:p>
        </w:tc>
        <w:tc>
          <w:tcPr>
            <w:tcW w:w="507" w:type="pct"/>
          </w:tcPr>
          <w:p w:rsidR="0019248F" w:rsidRPr="00B623DB" w:rsidRDefault="0019248F" w:rsidP="00E71458">
            <w:pPr>
              <w:pStyle w:val="TableText"/>
            </w:pPr>
            <w:r w:rsidRPr="00B623DB">
              <w:t>2</w:t>
            </w:r>
          </w:p>
        </w:tc>
        <w:tc>
          <w:tcPr>
            <w:tcW w:w="910" w:type="pct"/>
          </w:tcPr>
          <w:p w:rsidR="0019248F" w:rsidRPr="00B623DB" w:rsidRDefault="0019248F" w:rsidP="00E71458">
            <w:pPr>
              <w:pStyle w:val="TableText"/>
            </w:pPr>
            <w:r w:rsidRPr="00B623DB">
              <w:t>Public: $</w:t>
            </w:r>
            <w:r w:rsidR="00EA0C20">
              <w:rPr>
                <w:noProof/>
                <w:color w:val="000000"/>
                <w:highlight w:val="black"/>
              </w:rPr>
              <w:t>'''''''''''''''''''</w:t>
            </w:r>
          </w:p>
          <w:p w:rsidR="0019248F" w:rsidRPr="00B623DB" w:rsidRDefault="0019248F" w:rsidP="00E71458">
            <w:pPr>
              <w:pStyle w:val="TableText"/>
            </w:pPr>
            <w:r w:rsidRPr="00B623DB">
              <w:t>Private: $</w:t>
            </w:r>
            <w:r w:rsidR="00EA0C20">
              <w:rPr>
                <w:noProof/>
                <w:color w:val="000000"/>
                <w:highlight w:val="black"/>
              </w:rPr>
              <w:t>'''''''''''''''''</w:t>
            </w:r>
          </w:p>
        </w:tc>
        <w:tc>
          <w:tcPr>
            <w:tcW w:w="1299" w:type="pct"/>
          </w:tcPr>
          <w:p w:rsidR="0019248F" w:rsidRPr="00B623DB" w:rsidRDefault="0019248F" w:rsidP="00E71458">
            <w:pPr>
              <w:pStyle w:val="Tabletext0"/>
            </w:pPr>
            <w:r w:rsidRPr="00B623DB">
              <w:t xml:space="preserve">Ilaris </w:t>
            </w:r>
            <w:r w:rsidRPr="00B623DB">
              <w:rPr>
                <w:vertAlign w:val="superscript"/>
              </w:rPr>
              <w:t>®</w:t>
            </w:r>
          </w:p>
          <w:p w:rsidR="0019248F" w:rsidRPr="00B623DB" w:rsidRDefault="0019248F" w:rsidP="00E71458">
            <w:pPr>
              <w:pStyle w:val="TableText"/>
            </w:pPr>
            <w:r w:rsidRPr="00B623DB">
              <w:t>Novartis Pharmaceuticals</w:t>
            </w:r>
          </w:p>
        </w:tc>
      </w:tr>
      <w:tr w:rsidR="0019248F" w:rsidRPr="00B623DB" w:rsidTr="00E7145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19248F" w:rsidRPr="00B623DB" w:rsidRDefault="0019248F" w:rsidP="00E71458">
            <w:pPr>
              <w:pStyle w:val="TableText"/>
            </w:pPr>
            <w:r w:rsidRPr="00B623DB">
              <w:t>Category / Program:</w:t>
            </w:r>
          </w:p>
        </w:tc>
        <w:tc>
          <w:tcPr>
            <w:tcW w:w="3897" w:type="pct"/>
            <w:gridSpan w:val="6"/>
            <w:tcBorders>
              <w:top w:val="single" w:sz="4" w:space="0" w:color="auto"/>
              <w:left w:val="single" w:sz="4" w:space="0" w:color="auto"/>
              <w:bottom w:val="single" w:sz="4" w:space="0" w:color="auto"/>
              <w:right w:val="single" w:sz="4" w:space="0" w:color="auto"/>
            </w:tcBorders>
          </w:tcPr>
          <w:p w:rsidR="0019248F" w:rsidRPr="00B623DB" w:rsidRDefault="0019248F" w:rsidP="00E71458">
            <w:pPr>
              <w:pStyle w:val="TableText"/>
            </w:pPr>
            <w:r w:rsidRPr="00B623DB">
              <w:t>Section 100 (Highly Specialised Drugs Program)</w:t>
            </w:r>
          </w:p>
        </w:tc>
      </w:tr>
      <w:tr w:rsidR="0019248F" w:rsidRPr="00B623DB" w:rsidTr="00E7145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19248F" w:rsidRPr="00B623DB" w:rsidRDefault="0019248F" w:rsidP="00E71458">
            <w:pPr>
              <w:pStyle w:val="TableText"/>
              <w:rPr>
                <w:rFonts w:ascii="Times" w:eastAsia="Times New Roman" w:hAnsi="Times" w:cs="Times New Roman"/>
                <w:szCs w:val="20"/>
              </w:rPr>
            </w:pPr>
            <w:r w:rsidRPr="00B623DB">
              <w:t>PBS Indication:</w:t>
            </w:r>
          </w:p>
        </w:tc>
        <w:tc>
          <w:tcPr>
            <w:tcW w:w="3897" w:type="pct"/>
            <w:gridSpan w:val="6"/>
            <w:tcBorders>
              <w:top w:val="single" w:sz="4" w:space="0" w:color="auto"/>
              <w:left w:val="single" w:sz="4" w:space="0" w:color="auto"/>
              <w:bottom w:val="single" w:sz="4" w:space="0" w:color="auto"/>
              <w:right w:val="single" w:sz="4" w:space="0" w:color="auto"/>
            </w:tcBorders>
          </w:tcPr>
          <w:p w:rsidR="0019248F" w:rsidRPr="00B623DB" w:rsidRDefault="0019248F" w:rsidP="00E71458">
            <w:pPr>
              <w:pStyle w:val="TableText"/>
            </w:pPr>
            <w:r w:rsidRPr="00B623DB">
              <w:t>Moderate to severe cryopyrin associated periodic syndromes</w:t>
            </w:r>
          </w:p>
        </w:tc>
      </w:tr>
      <w:tr w:rsidR="0019248F" w:rsidRPr="00B623DB" w:rsidTr="00E7145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19248F" w:rsidRPr="00B623DB" w:rsidRDefault="0019248F" w:rsidP="00E71458">
            <w:pPr>
              <w:pStyle w:val="TableText"/>
            </w:pPr>
            <w:r w:rsidRPr="00B623DB">
              <w:t>Restriction:</w:t>
            </w:r>
          </w:p>
        </w:tc>
        <w:tc>
          <w:tcPr>
            <w:tcW w:w="3897" w:type="pct"/>
            <w:gridSpan w:val="6"/>
            <w:tcBorders>
              <w:top w:val="single" w:sz="4" w:space="0" w:color="auto"/>
              <w:left w:val="single" w:sz="4" w:space="0" w:color="auto"/>
              <w:bottom w:val="single" w:sz="4" w:space="0" w:color="auto"/>
              <w:right w:val="single" w:sz="4" w:space="0" w:color="auto"/>
            </w:tcBorders>
          </w:tcPr>
          <w:p w:rsidR="0019248F" w:rsidRPr="00B623DB" w:rsidRDefault="0019248F" w:rsidP="00E71458">
            <w:pPr>
              <w:pStyle w:val="TableText"/>
            </w:pPr>
            <w:r w:rsidRPr="00B623DB">
              <w:t>Authority required (STREAMLINED)</w:t>
            </w:r>
          </w:p>
        </w:tc>
      </w:tr>
      <w:tr w:rsidR="0019248F" w:rsidRPr="00B623DB" w:rsidTr="00E7145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19248F" w:rsidRPr="00B623DB" w:rsidRDefault="0019248F" w:rsidP="00E71458">
            <w:pPr>
              <w:pStyle w:val="TableText"/>
              <w:rPr>
                <w:rFonts w:ascii="Times" w:eastAsia="Times New Roman" w:hAnsi="Times" w:cs="Times New Roman"/>
                <w:szCs w:val="20"/>
              </w:rPr>
            </w:pPr>
            <w:r w:rsidRPr="00B623DB">
              <w:t>Treatment criteria:</w:t>
            </w:r>
          </w:p>
        </w:tc>
        <w:tc>
          <w:tcPr>
            <w:tcW w:w="3897" w:type="pct"/>
            <w:gridSpan w:val="6"/>
            <w:tcBorders>
              <w:top w:val="single" w:sz="4" w:space="0" w:color="auto"/>
              <w:left w:val="single" w:sz="4" w:space="0" w:color="auto"/>
              <w:bottom w:val="single" w:sz="4" w:space="0" w:color="auto"/>
              <w:right w:val="single" w:sz="4" w:space="0" w:color="auto"/>
            </w:tcBorders>
          </w:tcPr>
          <w:p w:rsidR="0019248F" w:rsidRPr="00B623DB" w:rsidRDefault="0019248F" w:rsidP="0019248F">
            <w:pPr>
              <w:pStyle w:val="NormalWeb"/>
              <w:numPr>
                <w:ilvl w:val="0"/>
                <w:numId w:val="14"/>
              </w:numPr>
              <w:spacing w:before="0" w:after="0"/>
              <w:ind w:left="0" w:hanging="357"/>
              <w:contextualSpacing/>
              <w:rPr>
                <w:rFonts w:ascii="Arial Narrow" w:hAnsi="Arial Narrow" w:cs="Arial"/>
                <w:color w:val="000000" w:themeColor="text1"/>
                <w:sz w:val="20"/>
                <w:lang w:val="en-AU"/>
              </w:rPr>
            </w:pPr>
            <w:r w:rsidRPr="00B623DB">
              <w:rPr>
                <w:rFonts w:ascii="Arial Narrow" w:hAnsi="Arial Narrow" w:cs="Arial"/>
                <w:color w:val="000000" w:themeColor="text1"/>
                <w:sz w:val="20"/>
                <w:lang w:val="en-AU"/>
              </w:rPr>
              <w:t>Must be treated by a rheumatologist or in consultation with a rheumatologist; OR</w:t>
            </w:r>
          </w:p>
          <w:p w:rsidR="0019248F" w:rsidRPr="00B623DB" w:rsidRDefault="0019248F" w:rsidP="0019248F">
            <w:pPr>
              <w:pStyle w:val="NormalWeb"/>
              <w:numPr>
                <w:ilvl w:val="0"/>
                <w:numId w:val="14"/>
              </w:numPr>
              <w:spacing w:before="0" w:after="0"/>
              <w:ind w:left="0" w:hanging="357"/>
              <w:rPr>
                <w:rFonts w:ascii="Arial Narrow" w:hAnsi="Arial Narrow" w:cs="Arial"/>
                <w:color w:val="000000" w:themeColor="text1"/>
                <w:sz w:val="20"/>
                <w:lang w:val="en-AU"/>
              </w:rPr>
            </w:pPr>
            <w:r w:rsidRPr="00B623DB">
              <w:rPr>
                <w:rFonts w:ascii="Arial Narrow" w:hAnsi="Arial Narrow" w:cs="Arial"/>
                <w:color w:val="000000" w:themeColor="text1"/>
                <w:sz w:val="20"/>
                <w:lang w:val="en-AU"/>
              </w:rPr>
              <w:t>Must be treated by a clinical immunologist or in consultation with a clinical immunologist.</w:t>
            </w:r>
          </w:p>
          <w:p w:rsidR="0019248F" w:rsidRPr="00B623DB" w:rsidRDefault="0019248F" w:rsidP="00E71458">
            <w:pPr>
              <w:pStyle w:val="TableText"/>
              <w:spacing w:before="0" w:after="0"/>
            </w:pPr>
            <w:r w:rsidRPr="00B623DB">
              <w:rPr>
                <w:rFonts w:cs="Arial"/>
                <w:color w:val="000000" w:themeColor="text1"/>
              </w:rPr>
              <w:t>A diagnosis of CAPS must be documented in the patient's medical records.</w:t>
            </w:r>
          </w:p>
        </w:tc>
      </w:tr>
    </w:tbl>
    <w:p w:rsidR="0019248F" w:rsidRPr="00B623DB" w:rsidRDefault="0019248F" w:rsidP="0019248F">
      <w:pPr>
        <w:spacing w:before="0" w:after="120"/>
      </w:pPr>
    </w:p>
    <w:p w:rsidR="0019248F" w:rsidRPr="00B623DB" w:rsidRDefault="0019248F" w:rsidP="0048457C">
      <w:pPr>
        <w:pStyle w:val="ListParagraph"/>
        <w:numPr>
          <w:ilvl w:val="1"/>
          <w:numId w:val="2"/>
        </w:numPr>
        <w:spacing w:before="0" w:after="120"/>
        <w:jc w:val="both"/>
      </w:pPr>
      <w:r w:rsidRPr="00B623DB">
        <w:t xml:space="preserve">The requested listing was based on the current PBS listing for the comparator, anakinra, with the restriction limiting use to patients with moderate to severe CAPS. </w:t>
      </w:r>
      <w:r w:rsidRPr="00B623DB">
        <w:lastRenderedPageBreak/>
        <w:t xml:space="preserve">No means of identifying patients with moderate to severe disease was proposed in the submission. The ESC recalled that at its November 2014 meeting, the PBAC did not recommend incorporating any diagnostic criteria to the anakinra listing for the treatment of moderate to severe CAPS. The PBAC noted that there was currently no MBS listing for genetic testing to determine CAPS and that a significant proportion (30-50%) of patients who present clinically with </w:t>
      </w:r>
      <w:r w:rsidR="0048457C" w:rsidRPr="00B623DB">
        <w:t>Cutaneous, Articular Syndrome (</w:t>
      </w:r>
      <w:r w:rsidRPr="00B623DB">
        <w:t>CINCA</w:t>
      </w:r>
      <w:r w:rsidR="0048457C" w:rsidRPr="00B623DB">
        <w:t>)</w:t>
      </w:r>
      <w:r w:rsidRPr="00B623DB">
        <w:t>/</w:t>
      </w:r>
      <w:r w:rsidR="0048457C" w:rsidRPr="00B623DB">
        <w:t xml:space="preserve"> Neonatal Onset Multisystem Inflammatory Disease (</w:t>
      </w:r>
      <w:r w:rsidRPr="00B623DB">
        <w:t>NOMID</w:t>
      </w:r>
      <w:r w:rsidR="0048457C" w:rsidRPr="00B623DB">
        <w:t>)</w:t>
      </w:r>
      <w:r w:rsidRPr="00B623DB">
        <w:t xml:space="preserve"> and respond favourable to therapy with IL-1 blocking agents are negative for mutations in the relevant gene. The ESC therefore considered that consistent with anakinra, it would be more appropriate to manage any risk of use beyond the restriction through risk sharing arrangements. </w:t>
      </w:r>
    </w:p>
    <w:p w:rsidR="0019248F" w:rsidRPr="00B623DB" w:rsidRDefault="0019248F" w:rsidP="0019248F">
      <w:pPr>
        <w:pStyle w:val="ListParagraph"/>
        <w:numPr>
          <w:ilvl w:val="1"/>
          <w:numId w:val="2"/>
        </w:numPr>
        <w:spacing w:before="0" w:after="120"/>
        <w:jc w:val="both"/>
      </w:pPr>
      <w:r w:rsidRPr="00B623DB">
        <w:t>The proposed maximum quantity of one pack (150 mg powder for injection) with two repeats provides approximately 24 weeks (6 months) of treatment for adult and child patients &gt; 40kg. The proposed maximum quantities in the restriction may not be sufficient for treatment of patients requiring higher doses (up to 600 mg every 8 weeks) as specified in the canakinumab Product Information.</w:t>
      </w:r>
    </w:p>
    <w:p w:rsidR="000576B9" w:rsidRPr="00B623DB" w:rsidRDefault="000576B9" w:rsidP="000576B9">
      <w:pPr>
        <w:pStyle w:val="ListParagraph"/>
        <w:spacing w:before="0" w:after="120"/>
        <w:jc w:val="both"/>
      </w:pPr>
      <w:r w:rsidRPr="00B623DB">
        <w:rPr>
          <w:rFonts w:ascii="Calibri" w:eastAsia="Times New Roman" w:hAnsi="Calibri" w:cs="Times New Roman"/>
          <w:i/>
          <w:szCs w:val="24"/>
        </w:rPr>
        <w:t>For more detail on PBAC’s view, see section 7 PBAC outcome.</w:t>
      </w:r>
    </w:p>
    <w:p w:rsidR="006E783C" w:rsidRPr="006E783C" w:rsidRDefault="006E783C" w:rsidP="00D3375D">
      <w:pPr>
        <w:pStyle w:val="PBACHeading1"/>
        <w:outlineLvl w:val="0"/>
        <w:rPr>
          <w:rFonts w:asciiTheme="minorHAnsi" w:hAnsiTheme="minorHAnsi"/>
          <w:sz w:val="32"/>
          <w:szCs w:val="32"/>
        </w:rPr>
      </w:pPr>
      <w:r w:rsidRPr="006E783C">
        <w:rPr>
          <w:rFonts w:asciiTheme="minorHAnsi" w:hAnsiTheme="minorHAnsi"/>
          <w:sz w:val="32"/>
          <w:szCs w:val="32"/>
        </w:rPr>
        <w:t xml:space="preserve">Background </w:t>
      </w:r>
    </w:p>
    <w:p w:rsidR="006E783C" w:rsidRPr="00B623DB" w:rsidRDefault="006E783C" w:rsidP="006E783C">
      <w:pPr>
        <w:pStyle w:val="Heading2"/>
        <w:numPr>
          <w:ilvl w:val="0"/>
          <w:numId w:val="0"/>
        </w:numPr>
      </w:pPr>
      <w:bookmarkStart w:id="7" w:name="_Toc492307652"/>
      <w:r w:rsidRPr="00B623DB">
        <w:t>Registration status</w:t>
      </w:r>
      <w:bookmarkEnd w:id="7"/>
    </w:p>
    <w:p w:rsidR="0019248F" w:rsidRPr="00B623DB" w:rsidRDefault="0019248F" w:rsidP="0019248F">
      <w:pPr>
        <w:pStyle w:val="ListParagraph"/>
        <w:numPr>
          <w:ilvl w:val="1"/>
          <w:numId w:val="2"/>
        </w:numPr>
      </w:pPr>
      <w:r w:rsidRPr="00B623DB">
        <w:t>TGA status: Canakinumab was approved by the TGA for use in CAPS on 10 May 2010.</w:t>
      </w:r>
    </w:p>
    <w:p w:rsidR="0019248F" w:rsidRPr="00B623DB" w:rsidRDefault="0019248F" w:rsidP="0019248F">
      <w:pPr>
        <w:pStyle w:val="Heading2"/>
        <w:numPr>
          <w:ilvl w:val="0"/>
          <w:numId w:val="0"/>
        </w:numPr>
      </w:pPr>
      <w:r w:rsidRPr="00B623DB">
        <w:t>Previous PBAC consideration</w:t>
      </w:r>
    </w:p>
    <w:p w:rsidR="0019248F" w:rsidRPr="00B623DB" w:rsidRDefault="0019248F" w:rsidP="0019248F">
      <w:pPr>
        <w:pStyle w:val="ListParagraph"/>
        <w:numPr>
          <w:ilvl w:val="1"/>
          <w:numId w:val="2"/>
        </w:numPr>
        <w:spacing w:before="0" w:after="120"/>
        <w:jc w:val="both"/>
      </w:pPr>
      <w:r w:rsidRPr="00B623DB">
        <w:t>At the July 2017 PBAC meeting, the PBAC did not recommend amending the Authority Required (STREAMLINED) listing of anakinra for treatment of patients with moderate to severe cryopyrin associated periodic syndromes (CAPS) to be an Authority Required listing. This PBAC outcome does not impact this submission for canakinumab.</w:t>
      </w:r>
    </w:p>
    <w:p w:rsidR="000576B9" w:rsidRDefault="000576B9" w:rsidP="000576B9">
      <w:pPr>
        <w:pStyle w:val="ListParagraph"/>
        <w:spacing w:before="0" w:after="120"/>
        <w:jc w:val="both"/>
        <w:rPr>
          <w:rFonts w:ascii="Calibri" w:eastAsia="Times New Roman" w:hAnsi="Calibri" w:cs="Times New Roman"/>
          <w:i/>
          <w:szCs w:val="24"/>
        </w:rPr>
      </w:pPr>
      <w:r w:rsidRPr="00B623DB">
        <w:rPr>
          <w:rFonts w:ascii="Calibri" w:eastAsia="Times New Roman" w:hAnsi="Calibri" w:cs="Times New Roman"/>
          <w:i/>
          <w:szCs w:val="24"/>
        </w:rPr>
        <w:t>For more detail on PBAC’s view, see section 7 PBAC outcome.</w:t>
      </w:r>
    </w:p>
    <w:p w:rsidR="00190EC9" w:rsidRPr="00190EC9" w:rsidRDefault="00190EC9" w:rsidP="00190EC9">
      <w:pPr>
        <w:pStyle w:val="PBACHeading1"/>
        <w:outlineLvl w:val="0"/>
        <w:rPr>
          <w:rFonts w:asciiTheme="minorHAnsi" w:hAnsiTheme="minorHAnsi"/>
          <w:sz w:val="32"/>
          <w:szCs w:val="32"/>
        </w:rPr>
      </w:pPr>
      <w:r>
        <w:rPr>
          <w:rFonts w:asciiTheme="minorHAnsi" w:hAnsiTheme="minorHAnsi"/>
          <w:sz w:val="32"/>
          <w:szCs w:val="32"/>
        </w:rPr>
        <w:t>Population and Disease</w:t>
      </w:r>
    </w:p>
    <w:bookmarkEnd w:id="6"/>
    <w:p w:rsidR="00C317F3" w:rsidRPr="00B623DB" w:rsidRDefault="001119B4" w:rsidP="009126CD">
      <w:pPr>
        <w:pStyle w:val="ListParagraph"/>
        <w:numPr>
          <w:ilvl w:val="1"/>
          <w:numId w:val="2"/>
        </w:numPr>
        <w:spacing w:before="0" w:after="120"/>
        <w:jc w:val="both"/>
      </w:pPr>
      <w:r w:rsidRPr="00B623DB">
        <w:t>Cryopyrin-Associated Periodic Syndrome (CAPS) consists of a group of very rare hereditary autoinflammatory diseases, specifically Familial Cold Autoinflammatory Syndrome (FCAS), Muckle-Wells Syndrome (MWS) and Neonatal Onset Multisystem Inflammatory Disease (NOMID, also known as Chronic Infantile Neurological, Cutaneous, Articular Syndrome or CINCA). CAPS is a life-long condition, with recurrent fever episodes accompanied by differing degrees of systemic inflammation. Intermittent, disruptive exacerbations or flares can be triggered at any time by exposure to cool temperatures, stress, exercise or other stimuli. Flares can include fever, fatigue, rash, arthralgia, myalgia, headache and in more severe cases, can lead to serious complications such as hearing loss, blindness and amyloidosis resulting in kidney failure.</w:t>
      </w:r>
    </w:p>
    <w:p w:rsidR="00C317F3" w:rsidRPr="00B623DB" w:rsidRDefault="001119B4" w:rsidP="00C42C16">
      <w:pPr>
        <w:pStyle w:val="ListParagraph"/>
        <w:numPr>
          <w:ilvl w:val="1"/>
          <w:numId w:val="2"/>
        </w:numPr>
        <w:spacing w:before="0" w:after="120"/>
        <w:jc w:val="both"/>
      </w:pPr>
      <w:r w:rsidRPr="00B623DB">
        <w:lastRenderedPageBreak/>
        <w:t>The submission positioned canakinumab as an alternative first-line treatment to anakinra. As anakinra is PBS-listed for the treatment of moderate to severe CAPS, the submission proposed that canakinumab would also be restricted to patients with moderate to severe disease, but did not specify a means of identifying those patients from the total patient pool.</w:t>
      </w:r>
      <w:r w:rsidR="00DD68E2" w:rsidRPr="00B623DB">
        <w:t xml:space="preserve"> The different CAPS phenotypes tend to be considered as increasing in severity of symptoms from FCAS, to MWS, with NOMID generally the most severe disease. However, the submission cautioned that differentiation of severity based on diagnosis should be made on an individual basis and not on phenotype categorisation.</w:t>
      </w:r>
    </w:p>
    <w:p w:rsidR="000576B9" w:rsidRPr="00B623DB" w:rsidRDefault="000576B9" w:rsidP="000576B9">
      <w:pPr>
        <w:pStyle w:val="ListParagraph"/>
        <w:spacing w:before="0" w:after="120"/>
        <w:jc w:val="both"/>
      </w:pPr>
      <w:r w:rsidRPr="00B623DB">
        <w:rPr>
          <w:rFonts w:ascii="Calibri" w:eastAsia="Times New Roman" w:hAnsi="Calibri" w:cs="Times New Roman"/>
          <w:i/>
          <w:szCs w:val="24"/>
        </w:rPr>
        <w:t>For more detail on PBAC’s view, see section 7 PBAC outcome.</w:t>
      </w:r>
    </w:p>
    <w:p w:rsidR="00C317F3" w:rsidRPr="006E783C" w:rsidRDefault="00C317F3" w:rsidP="009126CD">
      <w:pPr>
        <w:pStyle w:val="PBACHeading1"/>
        <w:outlineLvl w:val="0"/>
        <w:rPr>
          <w:rFonts w:asciiTheme="minorHAnsi" w:hAnsiTheme="minorHAnsi"/>
          <w:sz w:val="32"/>
          <w:szCs w:val="32"/>
        </w:rPr>
      </w:pPr>
      <w:bookmarkStart w:id="8" w:name="_Toc413139275"/>
      <w:bookmarkStart w:id="9" w:name="_Toc492307654"/>
      <w:r w:rsidRPr="006E783C">
        <w:rPr>
          <w:rFonts w:asciiTheme="minorHAnsi" w:hAnsiTheme="minorHAnsi"/>
          <w:sz w:val="32"/>
          <w:szCs w:val="32"/>
        </w:rPr>
        <w:t>Comparator</w:t>
      </w:r>
      <w:bookmarkEnd w:id="8"/>
      <w:bookmarkEnd w:id="9"/>
    </w:p>
    <w:p w:rsidR="000576B9" w:rsidRPr="00B623DB" w:rsidRDefault="00720680" w:rsidP="006255A9">
      <w:pPr>
        <w:pStyle w:val="ListParagraph"/>
        <w:numPr>
          <w:ilvl w:val="1"/>
          <w:numId w:val="2"/>
        </w:numPr>
        <w:jc w:val="both"/>
      </w:pPr>
      <w:r w:rsidRPr="00B623DB">
        <w:t xml:space="preserve">The submission nominated anakinra as the comparator, as it is the only therapy PBS-listed for treatment of CAPS. </w:t>
      </w:r>
      <w:r w:rsidR="009555E7" w:rsidRPr="00B623DB">
        <w:t>The ESC considered that anakinra is the appropriate comparator</w:t>
      </w:r>
      <w:r w:rsidR="00C55F68" w:rsidRPr="00B623DB">
        <w:t xml:space="preserve">. </w:t>
      </w:r>
    </w:p>
    <w:p w:rsidR="0095170D" w:rsidRPr="00B623DB" w:rsidRDefault="009925DB" w:rsidP="000576B9">
      <w:pPr>
        <w:pStyle w:val="ListParagraph"/>
      </w:pPr>
      <w:r w:rsidRPr="00B623DB">
        <w:t xml:space="preserve"> </w:t>
      </w:r>
      <w:r w:rsidR="000576B9" w:rsidRPr="00B623DB">
        <w:rPr>
          <w:rFonts w:ascii="Calibri" w:eastAsia="Times New Roman" w:hAnsi="Calibri" w:cs="Times New Roman"/>
          <w:i/>
          <w:szCs w:val="24"/>
        </w:rPr>
        <w:t>For more detail on PBAC’s view, see section 7 PBAC outcome.</w:t>
      </w:r>
    </w:p>
    <w:p w:rsidR="006255A9" w:rsidRPr="006E783C" w:rsidRDefault="00C317F3" w:rsidP="009126CD">
      <w:pPr>
        <w:pStyle w:val="PBACHeading1"/>
        <w:outlineLvl w:val="0"/>
        <w:rPr>
          <w:rFonts w:asciiTheme="minorHAnsi" w:hAnsiTheme="minorHAnsi"/>
          <w:sz w:val="32"/>
          <w:szCs w:val="32"/>
        </w:rPr>
      </w:pPr>
      <w:bookmarkStart w:id="10" w:name="_Toc413139276"/>
      <w:bookmarkStart w:id="11" w:name="_Toc492307655"/>
      <w:r w:rsidRPr="006E783C">
        <w:rPr>
          <w:rFonts w:asciiTheme="minorHAnsi" w:hAnsiTheme="minorHAnsi"/>
          <w:sz w:val="32"/>
          <w:szCs w:val="32"/>
        </w:rPr>
        <w:t>Consideration of the evidence</w:t>
      </w:r>
      <w:bookmarkEnd w:id="10"/>
      <w:bookmarkEnd w:id="11"/>
    </w:p>
    <w:p w:rsidR="006255A9" w:rsidRPr="00B623DB" w:rsidRDefault="006255A9" w:rsidP="009126CD">
      <w:pPr>
        <w:widowControl w:val="0"/>
        <w:spacing w:before="0" w:after="120"/>
        <w:jc w:val="both"/>
        <w:outlineLvl w:val="1"/>
        <w:rPr>
          <w:rFonts w:cs="Arial"/>
          <w:b/>
          <w:bCs/>
          <w:snapToGrid w:val="0"/>
          <w:sz w:val="28"/>
          <w:szCs w:val="28"/>
        </w:rPr>
      </w:pPr>
      <w:r w:rsidRPr="00B623DB">
        <w:rPr>
          <w:rFonts w:cs="Arial"/>
          <w:b/>
          <w:bCs/>
          <w:snapToGrid w:val="0"/>
          <w:sz w:val="28"/>
          <w:szCs w:val="28"/>
        </w:rPr>
        <w:t>Sponsor hearing</w:t>
      </w:r>
    </w:p>
    <w:p w:rsidR="006255A9" w:rsidRPr="00B623DB" w:rsidRDefault="006255A9" w:rsidP="006255A9">
      <w:pPr>
        <w:pStyle w:val="ListParagraph"/>
        <w:numPr>
          <w:ilvl w:val="1"/>
          <w:numId w:val="2"/>
        </w:numPr>
        <w:jc w:val="both"/>
        <w:rPr>
          <w:rFonts w:cs="Arial"/>
          <w:bCs/>
          <w:snapToGrid w:val="0"/>
        </w:rPr>
      </w:pPr>
      <w:r w:rsidRPr="00B623DB">
        <w:rPr>
          <w:rFonts w:cs="Arial"/>
          <w:bCs/>
          <w:snapToGrid w:val="0"/>
        </w:rPr>
        <w:t>There was no hearing for this item.</w:t>
      </w:r>
    </w:p>
    <w:p w:rsidR="006255A9" w:rsidRPr="00B623DB" w:rsidRDefault="006255A9" w:rsidP="009126CD">
      <w:pPr>
        <w:pStyle w:val="PBACHeading1"/>
        <w:numPr>
          <w:ilvl w:val="0"/>
          <w:numId w:val="0"/>
        </w:numPr>
        <w:ind w:left="720" w:hanging="720"/>
        <w:outlineLvl w:val="1"/>
        <w:rPr>
          <w:rFonts w:asciiTheme="minorHAnsi" w:eastAsiaTheme="minorHAnsi" w:hAnsiTheme="minorHAnsi"/>
          <w:bCs/>
          <w:sz w:val="28"/>
          <w:szCs w:val="28"/>
        </w:rPr>
      </w:pPr>
      <w:r w:rsidRPr="00B623DB">
        <w:rPr>
          <w:rFonts w:asciiTheme="minorHAnsi" w:eastAsiaTheme="minorHAnsi" w:hAnsiTheme="minorHAnsi"/>
          <w:bCs/>
          <w:sz w:val="28"/>
          <w:szCs w:val="28"/>
        </w:rPr>
        <w:t>Consumer comments</w:t>
      </w:r>
    </w:p>
    <w:p w:rsidR="006255A9" w:rsidRPr="00B623DB" w:rsidRDefault="006255A9" w:rsidP="006255A9">
      <w:pPr>
        <w:widowControl w:val="0"/>
        <w:numPr>
          <w:ilvl w:val="1"/>
          <w:numId w:val="2"/>
        </w:numPr>
        <w:spacing w:before="0" w:after="120"/>
        <w:jc w:val="both"/>
        <w:rPr>
          <w:rFonts w:cs="Arial"/>
          <w:bCs/>
          <w:snapToGrid w:val="0"/>
        </w:rPr>
      </w:pPr>
      <w:r w:rsidRPr="00B623DB">
        <w:rPr>
          <w:rFonts w:cs="Arial"/>
          <w:bCs/>
          <w:snapToGrid w:val="0"/>
        </w:rPr>
        <w:t>The PBAC noted that no consumer comments were received for this item.</w:t>
      </w:r>
    </w:p>
    <w:p w:rsidR="006255A9" w:rsidRPr="00B623DB" w:rsidRDefault="006255A9" w:rsidP="006255A9">
      <w:pPr>
        <w:pStyle w:val="Heading2"/>
        <w:numPr>
          <w:ilvl w:val="0"/>
          <w:numId w:val="0"/>
        </w:numPr>
        <w:rPr>
          <w:i w:val="0"/>
        </w:rPr>
      </w:pPr>
      <w:bookmarkStart w:id="12" w:name="_Toc413139277"/>
      <w:bookmarkStart w:id="13" w:name="_Toc492307656"/>
      <w:r w:rsidRPr="00B623DB">
        <w:rPr>
          <w:i w:val="0"/>
        </w:rPr>
        <w:t>Clinical trials</w:t>
      </w:r>
      <w:bookmarkEnd w:id="12"/>
      <w:bookmarkEnd w:id="13"/>
    </w:p>
    <w:p w:rsidR="00C317F3" w:rsidRPr="00B623DB" w:rsidRDefault="00657D86" w:rsidP="006255A9">
      <w:pPr>
        <w:pStyle w:val="ListParagraph"/>
        <w:numPr>
          <w:ilvl w:val="1"/>
          <w:numId w:val="2"/>
        </w:numPr>
        <w:jc w:val="both"/>
      </w:pPr>
      <w:r w:rsidRPr="00B623DB">
        <w:t>N</w:t>
      </w:r>
      <w:r w:rsidR="009C6437" w:rsidRPr="00B623DB">
        <w:t xml:space="preserve">o head-to-head trials of canakinumab and anakinra </w:t>
      </w:r>
      <w:r w:rsidRPr="00B623DB">
        <w:t>were identified</w:t>
      </w:r>
      <w:r w:rsidR="009C6437" w:rsidRPr="00B623DB">
        <w:t xml:space="preserve"> during the submission; nor were there any studies with a common comparator to enable an indirect comparison. The submission is therefore based on a naive comparison of one </w:t>
      </w:r>
      <w:r w:rsidRPr="00B623DB">
        <w:t xml:space="preserve">randomised </w:t>
      </w:r>
      <w:r w:rsidR="009C6437" w:rsidRPr="00B623DB">
        <w:t xml:space="preserve">placebo-controlled trial of canakinumab (Trial D2304), eight nonrandomised canakinumab studies and </w:t>
      </w:r>
      <w:r w:rsidR="00F72E83" w:rsidRPr="00B623DB">
        <w:t>six</w:t>
      </w:r>
      <w:r w:rsidR="009C6437" w:rsidRPr="00B623DB">
        <w:t xml:space="preserve"> nonrandomised anakinra studies</w:t>
      </w:r>
      <w:r w:rsidR="00F72E83" w:rsidRPr="00B623DB">
        <w:t xml:space="preserve"> (three of which were associated with the same clinical trial number)</w:t>
      </w:r>
      <w:r w:rsidR="009C6437" w:rsidRPr="00B623DB">
        <w:t xml:space="preserve">. </w:t>
      </w:r>
      <w:r w:rsidRPr="00B623DB">
        <w:t xml:space="preserve">The submission also presented a pooled analysis of efficacy and safety of some of the canakinumab studies. The included anakinra studies were previously considered by the PBAC in the November 2014 anakinra submission for treatment of CAPS. </w:t>
      </w:r>
      <w:r w:rsidR="009C6437" w:rsidRPr="00B623DB">
        <w:t>An additional three non-randomised, non-comparative studies incorporating patients taking canakinumab or anakinra were also presented.</w:t>
      </w:r>
      <w:r w:rsidR="00C317F3" w:rsidRPr="00B623DB">
        <w:t xml:space="preserve"> </w:t>
      </w:r>
    </w:p>
    <w:p w:rsidR="00C317F3" w:rsidRPr="00B623DB" w:rsidRDefault="00C317F3" w:rsidP="00C42C16">
      <w:pPr>
        <w:pStyle w:val="ListParagraph"/>
        <w:numPr>
          <w:ilvl w:val="1"/>
          <w:numId w:val="2"/>
        </w:numPr>
        <w:spacing w:before="0" w:after="120"/>
        <w:jc w:val="both"/>
      </w:pPr>
      <w:r w:rsidRPr="00B623DB">
        <w:t>Details of the trials presented in the submission are provided in the table below</w:t>
      </w:r>
      <w:r w:rsidR="00C55F68" w:rsidRPr="00B623DB">
        <w:t xml:space="preserve">. </w:t>
      </w:r>
    </w:p>
    <w:p w:rsidR="00C317F3" w:rsidRPr="00B623DB" w:rsidRDefault="00C317F3" w:rsidP="00772501">
      <w:pPr>
        <w:pStyle w:val="TableHeading0"/>
      </w:pPr>
      <w:r w:rsidRPr="00B623DB">
        <w:t xml:space="preserve">Table </w:t>
      </w:r>
      <w:r w:rsidR="00026699" w:rsidRPr="00B623DB">
        <w:t>2: Tr</w:t>
      </w:r>
      <w:r w:rsidRPr="00B623DB">
        <w:t>ials and associated reports presented in the submission</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28" w:type="dxa"/>
          <w:right w:w="28" w:type="dxa"/>
        </w:tblCellMar>
        <w:tblLook w:val="01E0" w:firstRow="1" w:lastRow="1" w:firstColumn="1" w:lastColumn="1" w:noHBand="0" w:noVBand="0"/>
      </w:tblPr>
      <w:tblGrid>
        <w:gridCol w:w="1733"/>
        <w:gridCol w:w="3564"/>
        <w:gridCol w:w="3785"/>
      </w:tblGrid>
      <w:tr w:rsidR="00026699" w:rsidRPr="00B623DB" w:rsidTr="00F94B7D">
        <w:trPr>
          <w:tblHeader/>
        </w:trPr>
        <w:tc>
          <w:tcPr>
            <w:tcW w:w="954" w:type="pct"/>
          </w:tcPr>
          <w:p w:rsidR="00026699" w:rsidRPr="00B623DB" w:rsidRDefault="00026699" w:rsidP="002A3156">
            <w:pPr>
              <w:pStyle w:val="TableText"/>
              <w:rPr>
                <w:b/>
              </w:rPr>
            </w:pPr>
            <w:r w:rsidRPr="00B623DB">
              <w:rPr>
                <w:b/>
              </w:rPr>
              <w:t>Trial ID</w:t>
            </w:r>
          </w:p>
        </w:tc>
        <w:tc>
          <w:tcPr>
            <w:tcW w:w="1962" w:type="pct"/>
          </w:tcPr>
          <w:p w:rsidR="00026699" w:rsidRPr="00B623DB" w:rsidRDefault="00026699" w:rsidP="002A3156">
            <w:pPr>
              <w:pStyle w:val="TableText"/>
              <w:rPr>
                <w:b/>
              </w:rPr>
            </w:pPr>
            <w:r w:rsidRPr="00B623DB">
              <w:rPr>
                <w:b/>
              </w:rPr>
              <w:t>Protocol title/ Publication title</w:t>
            </w:r>
          </w:p>
        </w:tc>
        <w:tc>
          <w:tcPr>
            <w:tcW w:w="2084" w:type="pct"/>
          </w:tcPr>
          <w:p w:rsidR="00026699" w:rsidRPr="00B623DB" w:rsidRDefault="00026699" w:rsidP="002A3156">
            <w:pPr>
              <w:pStyle w:val="TableText"/>
              <w:rPr>
                <w:b/>
              </w:rPr>
            </w:pPr>
            <w:r w:rsidRPr="00B623DB">
              <w:rPr>
                <w:b/>
              </w:rPr>
              <w:t>Publication citation</w:t>
            </w:r>
          </w:p>
        </w:tc>
      </w:tr>
      <w:tr w:rsidR="00026699" w:rsidRPr="00B623DB" w:rsidTr="00F94B7D">
        <w:tc>
          <w:tcPr>
            <w:tcW w:w="5000" w:type="pct"/>
            <w:gridSpan w:val="3"/>
          </w:tcPr>
          <w:p w:rsidR="00026699" w:rsidRPr="00B623DB" w:rsidRDefault="00026699" w:rsidP="002A3156">
            <w:pPr>
              <w:pStyle w:val="TableText"/>
              <w:rPr>
                <w:b/>
              </w:rPr>
            </w:pPr>
            <w:r w:rsidRPr="00B623DB">
              <w:rPr>
                <w:b/>
              </w:rPr>
              <w:t>Canakinumab randomised trials</w:t>
            </w:r>
          </w:p>
        </w:tc>
      </w:tr>
      <w:tr w:rsidR="00026699" w:rsidRPr="00B623DB" w:rsidTr="00F94B7D">
        <w:tc>
          <w:tcPr>
            <w:tcW w:w="954" w:type="pct"/>
          </w:tcPr>
          <w:p w:rsidR="00026699" w:rsidRPr="00B623DB" w:rsidRDefault="00026699" w:rsidP="002A3156">
            <w:pPr>
              <w:pStyle w:val="TableText"/>
            </w:pPr>
            <w:r w:rsidRPr="00B623DB">
              <w:t>D2304</w:t>
            </w:r>
          </w:p>
        </w:tc>
        <w:tc>
          <w:tcPr>
            <w:tcW w:w="1962" w:type="pct"/>
          </w:tcPr>
          <w:p w:rsidR="00026699" w:rsidRPr="00B623DB" w:rsidRDefault="00026699" w:rsidP="00026699">
            <w:pPr>
              <w:pStyle w:val="TableText"/>
              <w:spacing w:before="0" w:after="0"/>
            </w:pPr>
            <w:r w:rsidRPr="00B623DB">
              <w:t>A three part multi-centre study, with a randomized, double-blind, placebo controlled, withdrawal design in Part II to assess efficacy, safety and tolerability of ACZ885 (interleukin 1β monoclonal antibody) in patients with Muckle-Wells syndrome. 2009. NCT00465985</w:t>
            </w:r>
          </w:p>
          <w:p w:rsidR="00026699" w:rsidRPr="00B623DB" w:rsidRDefault="00026699" w:rsidP="00026699">
            <w:pPr>
              <w:pStyle w:val="TableText"/>
              <w:spacing w:before="0" w:after="0"/>
            </w:pPr>
          </w:p>
        </w:tc>
        <w:tc>
          <w:tcPr>
            <w:tcW w:w="2084" w:type="pct"/>
          </w:tcPr>
          <w:p w:rsidR="00026699" w:rsidRPr="00B623DB" w:rsidRDefault="00026699" w:rsidP="00026699">
            <w:pPr>
              <w:pStyle w:val="TableText"/>
              <w:spacing w:before="0" w:after="0"/>
            </w:pPr>
            <w:r w:rsidRPr="00B623DB">
              <w:t>Clinical Trial Report, 2009</w:t>
            </w:r>
          </w:p>
        </w:tc>
      </w:tr>
      <w:tr w:rsidR="00026699" w:rsidRPr="00B623DB" w:rsidTr="00F94B7D">
        <w:tc>
          <w:tcPr>
            <w:tcW w:w="954" w:type="pct"/>
          </w:tcPr>
          <w:p w:rsidR="00026699" w:rsidRPr="00B623DB" w:rsidRDefault="00026699" w:rsidP="002A3156">
            <w:pPr>
              <w:pStyle w:val="TableText"/>
            </w:pPr>
          </w:p>
        </w:tc>
        <w:tc>
          <w:tcPr>
            <w:tcW w:w="1962" w:type="pct"/>
          </w:tcPr>
          <w:p w:rsidR="00026699" w:rsidRPr="00B623DB" w:rsidRDefault="00026699" w:rsidP="002A3156">
            <w:pPr>
              <w:pStyle w:val="TableText"/>
              <w:spacing w:before="0" w:after="0"/>
            </w:pPr>
            <w:r w:rsidRPr="00B623DB">
              <w:t xml:space="preserve">Lachmann et al. Use of canakinumab in the cryopyrin-associated periodic syndrome. </w:t>
            </w:r>
          </w:p>
          <w:p w:rsidR="00026699" w:rsidRPr="00B623DB" w:rsidRDefault="00026699" w:rsidP="002A3156">
            <w:pPr>
              <w:pStyle w:val="TableText"/>
              <w:spacing w:before="0" w:after="0"/>
            </w:pPr>
          </w:p>
        </w:tc>
        <w:tc>
          <w:tcPr>
            <w:tcW w:w="2084" w:type="pct"/>
          </w:tcPr>
          <w:p w:rsidR="00026699" w:rsidRPr="00B623DB" w:rsidRDefault="00026699" w:rsidP="00026699">
            <w:pPr>
              <w:pStyle w:val="TableText"/>
              <w:spacing w:before="0" w:after="0"/>
            </w:pPr>
            <w:r w:rsidRPr="00B623DB">
              <w:t>NEJM 2009; 360(23): 2416-2425</w:t>
            </w:r>
          </w:p>
          <w:p w:rsidR="00026699" w:rsidRPr="00B623DB" w:rsidRDefault="00026699" w:rsidP="002A3156">
            <w:pPr>
              <w:pStyle w:val="TableText"/>
              <w:spacing w:before="0" w:after="0"/>
            </w:pPr>
          </w:p>
        </w:tc>
      </w:tr>
      <w:tr w:rsidR="00026699" w:rsidRPr="00B623DB" w:rsidTr="00F94B7D">
        <w:tc>
          <w:tcPr>
            <w:tcW w:w="954" w:type="pct"/>
          </w:tcPr>
          <w:p w:rsidR="00026699" w:rsidRPr="00B623DB" w:rsidRDefault="00026699" w:rsidP="002A3156">
            <w:pPr>
              <w:pStyle w:val="TableText"/>
            </w:pPr>
          </w:p>
        </w:tc>
        <w:tc>
          <w:tcPr>
            <w:tcW w:w="1962" w:type="pct"/>
          </w:tcPr>
          <w:p w:rsidR="00026699" w:rsidRPr="00B623DB" w:rsidRDefault="00026699" w:rsidP="002A3156">
            <w:pPr>
              <w:pStyle w:val="TableText"/>
              <w:spacing w:before="0" w:after="0"/>
            </w:pPr>
            <w:r w:rsidRPr="00B623DB">
              <w:t xml:space="preserve">Curran. Canakinumab: in patients with cryopyrin-associated periodic syndromes. </w:t>
            </w:r>
          </w:p>
          <w:p w:rsidR="00026699" w:rsidRPr="00B623DB" w:rsidRDefault="00026699" w:rsidP="002A3156">
            <w:pPr>
              <w:pStyle w:val="TableText"/>
              <w:spacing w:before="0" w:after="0"/>
            </w:pPr>
          </w:p>
        </w:tc>
        <w:tc>
          <w:tcPr>
            <w:tcW w:w="2084" w:type="pct"/>
          </w:tcPr>
          <w:p w:rsidR="00026699" w:rsidRPr="00B623DB" w:rsidRDefault="00026699" w:rsidP="00026699">
            <w:pPr>
              <w:pStyle w:val="TableText"/>
              <w:spacing w:before="0" w:after="0"/>
            </w:pPr>
            <w:r w:rsidRPr="00B623DB">
              <w:t>BioDrugs 2012; 26(1) 52-9</w:t>
            </w:r>
          </w:p>
          <w:p w:rsidR="00026699" w:rsidRPr="00B623DB" w:rsidRDefault="00026699" w:rsidP="002A3156">
            <w:pPr>
              <w:pStyle w:val="TableText"/>
              <w:spacing w:before="0" w:after="0"/>
            </w:pPr>
          </w:p>
        </w:tc>
      </w:tr>
      <w:tr w:rsidR="00026699" w:rsidRPr="00B623DB" w:rsidTr="00F94B7D">
        <w:tc>
          <w:tcPr>
            <w:tcW w:w="5000" w:type="pct"/>
            <w:gridSpan w:val="3"/>
          </w:tcPr>
          <w:p w:rsidR="00026699" w:rsidRPr="00B623DB" w:rsidRDefault="00026699" w:rsidP="002A3156">
            <w:pPr>
              <w:pStyle w:val="TableText"/>
              <w:rPr>
                <w:b/>
              </w:rPr>
            </w:pPr>
            <w:r w:rsidRPr="00B623DB">
              <w:rPr>
                <w:b/>
              </w:rPr>
              <w:t>Canakinumab nonrandomised trials</w:t>
            </w:r>
          </w:p>
        </w:tc>
      </w:tr>
      <w:tr w:rsidR="00026699" w:rsidRPr="00B623DB" w:rsidTr="00F94B7D">
        <w:tc>
          <w:tcPr>
            <w:tcW w:w="954" w:type="pct"/>
          </w:tcPr>
          <w:p w:rsidR="00026699" w:rsidRPr="00B623DB" w:rsidRDefault="00026699" w:rsidP="002A3156">
            <w:pPr>
              <w:pStyle w:val="TableText"/>
            </w:pPr>
            <w:r w:rsidRPr="00B623DB">
              <w:t>D2306</w:t>
            </w:r>
          </w:p>
        </w:tc>
        <w:tc>
          <w:tcPr>
            <w:tcW w:w="1962" w:type="pct"/>
          </w:tcPr>
          <w:p w:rsidR="00026699" w:rsidRPr="00B623DB" w:rsidRDefault="00026699" w:rsidP="00026699">
            <w:pPr>
              <w:pStyle w:val="TableText"/>
              <w:spacing w:before="0" w:after="0"/>
            </w:pPr>
            <w:r w:rsidRPr="00B623DB">
              <w:t>An open label, long-term safety and efficacy study of ACZ885 (interleukin-1β monoclonal antibody) administered for at least 6 months in patients with the following Cryopyrin-associated periodic syndromes: Familial Cold Auto Inflammatory Syndrome, Muckle-Wells Syndrome or Neonatal Onset Multisystem Inflammatory Disease.</w:t>
            </w:r>
          </w:p>
          <w:p w:rsidR="00026699" w:rsidRPr="00B623DB" w:rsidRDefault="00026699" w:rsidP="00026699">
            <w:pPr>
              <w:pStyle w:val="TableText"/>
              <w:spacing w:before="0" w:after="0"/>
            </w:pPr>
          </w:p>
        </w:tc>
        <w:tc>
          <w:tcPr>
            <w:tcW w:w="2084" w:type="pct"/>
          </w:tcPr>
          <w:p w:rsidR="00026699" w:rsidRPr="00B623DB" w:rsidRDefault="00026699" w:rsidP="00026699">
            <w:pPr>
              <w:pStyle w:val="TableText"/>
              <w:spacing w:before="0" w:after="0"/>
            </w:pPr>
            <w:r w:rsidRPr="00B623DB">
              <w:t>Clinical Study Report, 2010</w:t>
            </w:r>
          </w:p>
        </w:tc>
      </w:tr>
      <w:tr w:rsidR="00026699" w:rsidRPr="00B623DB" w:rsidTr="00F94B7D">
        <w:tc>
          <w:tcPr>
            <w:tcW w:w="954" w:type="pct"/>
          </w:tcPr>
          <w:p w:rsidR="00026699" w:rsidRPr="00B623DB" w:rsidRDefault="00026699" w:rsidP="002A3156">
            <w:pPr>
              <w:pStyle w:val="TableText"/>
            </w:pPr>
          </w:p>
        </w:tc>
        <w:tc>
          <w:tcPr>
            <w:tcW w:w="1962" w:type="pct"/>
          </w:tcPr>
          <w:p w:rsidR="00026699" w:rsidRPr="00B623DB" w:rsidRDefault="00026699" w:rsidP="00026699">
            <w:pPr>
              <w:pStyle w:val="TableText"/>
              <w:spacing w:before="0" w:after="0"/>
            </w:pPr>
            <w:r w:rsidRPr="00B623DB">
              <w:t>Efficacy and Safety of ACZ885 in Patients With the Following Cryopyrin-associated Periodic Syndromes: Familial Cold Autoinflammatory Syndrome, Muckle-Wells Syndrome, or Neonatal Onset Multisystem Inflammatory Disease. NCT00685373</w:t>
            </w:r>
          </w:p>
          <w:p w:rsidR="00026699" w:rsidRPr="00B623DB" w:rsidRDefault="00026699" w:rsidP="002A3156">
            <w:pPr>
              <w:pStyle w:val="TableText"/>
              <w:spacing w:before="0" w:after="0"/>
            </w:pPr>
          </w:p>
        </w:tc>
        <w:tc>
          <w:tcPr>
            <w:tcW w:w="2084" w:type="pct"/>
          </w:tcPr>
          <w:p w:rsidR="00026699" w:rsidRPr="00B623DB" w:rsidRDefault="00026699" w:rsidP="00026699">
            <w:pPr>
              <w:pStyle w:val="TableText"/>
              <w:spacing w:before="0" w:after="0"/>
            </w:pPr>
            <w:r w:rsidRPr="00B623DB">
              <w:t>Clinicaltrials.gov</w:t>
            </w:r>
          </w:p>
          <w:p w:rsidR="00026699" w:rsidRPr="00B623DB" w:rsidRDefault="00026699" w:rsidP="002A3156">
            <w:pPr>
              <w:pStyle w:val="TableText"/>
              <w:spacing w:before="0" w:after="0"/>
            </w:pPr>
          </w:p>
        </w:tc>
      </w:tr>
      <w:tr w:rsidR="00026699" w:rsidRPr="00B623DB" w:rsidTr="00F94B7D">
        <w:tc>
          <w:tcPr>
            <w:tcW w:w="954" w:type="pct"/>
          </w:tcPr>
          <w:p w:rsidR="00026699" w:rsidRPr="00B623DB" w:rsidRDefault="00026699" w:rsidP="002A3156">
            <w:pPr>
              <w:pStyle w:val="TableText"/>
            </w:pPr>
          </w:p>
        </w:tc>
        <w:tc>
          <w:tcPr>
            <w:tcW w:w="1962" w:type="pct"/>
          </w:tcPr>
          <w:p w:rsidR="00026699" w:rsidRPr="00B623DB" w:rsidRDefault="00026699" w:rsidP="002A3156">
            <w:pPr>
              <w:pStyle w:val="TableText"/>
              <w:spacing w:before="0" w:after="0"/>
            </w:pPr>
            <w:r w:rsidRPr="00B623DB">
              <w:t>Kuemmerle-Deschner et al. Two-year results from an open-label, multicentre, phase III study evaluating the safety and efficacy of canakinumab in patients with cryopyrin-associated periodic syndrome across different severity phenotypes.</w:t>
            </w:r>
          </w:p>
        </w:tc>
        <w:tc>
          <w:tcPr>
            <w:tcW w:w="2084" w:type="pct"/>
          </w:tcPr>
          <w:p w:rsidR="00026699" w:rsidRPr="00B623DB" w:rsidRDefault="00026699" w:rsidP="00026699">
            <w:pPr>
              <w:pStyle w:val="TableText"/>
              <w:spacing w:before="0" w:after="0"/>
            </w:pPr>
            <w:r w:rsidRPr="00B623DB">
              <w:t>Annals of the Rheumatic Diseases 2011; 70: 2095-2102</w:t>
            </w:r>
          </w:p>
          <w:p w:rsidR="00026699" w:rsidRPr="00B623DB" w:rsidRDefault="00026699" w:rsidP="002A3156">
            <w:pPr>
              <w:pStyle w:val="TableText"/>
              <w:spacing w:before="0" w:after="0"/>
            </w:pPr>
          </w:p>
        </w:tc>
      </w:tr>
      <w:tr w:rsidR="00026699" w:rsidRPr="00B623DB" w:rsidTr="00F94B7D">
        <w:tc>
          <w:tcPr>
            <w:tcW w:w="954" w:type="pct"/>
          </w:tcPr>
          <w:p w:rsidR="00026699" w:rsidRPr="00B623DB" w:rsidRDefault="00026699" w:rsidP="002A3156">
            <w:pPr>
              <w:pStyle w:val="TableText"/>
            </w:pPr>
            <w:r w:rsidRPr="00B623DB">
              <w:t>D2307</w:t>
            </w:r>
          </w:p>
        </w:tc>
        <w:tc>
          <w:tcPr>
            <w:tcW w:w="1962" w:type="pct"/>
          </w:tcPr>
          <w:p w:rsidR="00026699" w:rsidRPr="00B623DB" w:rsidRDefault="00026699" w:rsidP="002A3156">
            <w:pPr>
              <w:pStyle w:val="TableText"/>
              <w:spacing w:before="0" w:after="0"/>
            </w:pPr>
            <w:r w:rsidRPr="00B623DB">
              <w:t>A one-year open label, multicentre trial to assess efficacy, safety and tolerability of canakinumab (ACZ885) and the efficacy and safety of childhood vaccinations in patients aged 4 years or younger with Cryopyrin Associated Periodic Syndromes (CAPS). NCT01302860</w:t>
            </w:r>
          </w:p>
          <w:p w:rsidR="00026699" w:rsidRPr="00B623DB" w:rsidRDefault="00026699" w:rsidP="002A3156">
            <w:pPr>
              <w:pStyle w:val="TableText"/>
              <w:spacing w:before="0" w:after="0"/>
            </w:pPr>
          </w:p>
        </w:tc>
        <w:tc>
          <w:tcPr>
            <w:tcW w:w="2084" w:type="pct"/>
          </w:tcPr>
          <w:p w:rsidR="00026699" w:rsidRPr="00B623DB" w:rsidRDefault="00026699" w:rsidP="002A3156">
            <w:pPr>
              <w:pStyle w:val="TableText"/>
              <w:spacing w:before="0" w:after="0"/>
            </w:pPr>
            <w:r w:rsidRPr="00B623DB">
              <w:t>Clinical Study Report, 2015</w:t>
            </w:r>
          </w:p>
          <w:p w:rsidR="00026699" w:rsidRPr="00B623DB" w:rsidRDefault="00026699" w:rsidP="00026699">
            <w:pPr>
              <w:pStyle w:val="TableText"/>
              <w:spacing w:before="0" w:after="0"/>
              <w:rPr>
                <w:b/>
              </w:rPr>
            </w:pPr>
          </w:p>
        </w:tc>
      </w:tr>
      <w:tr w:rsidR="00026699" w:rsidRPr="00B623DB" w:rsidTr="00F94B7D">
        <w:tc>
          <w:tcPr>
            <w:tcW w:w="954" w:type="pct"/>
          </w:tcPr>
          <w:p w:rsidR="00026699" w:rsidRPr="00B623DB" w:rsidRDefault="00026699" w:rsidP="002A3156">
            <w:pPr>
              <w:pStyle w:val="TableText"/>
            </w:pPr>
          </w:p>
        </w:tc>
        <w:tc>
          <w:tcPr>
            <w:tcW w:w="1962" w:type="pct"/>
          </w:tcPr>
          <w:p w:rsidR="00026699" w:rsidRPr="00B623DB" w:rsidRDefault="00026699" w:rsidP="00026699">
            <w:pPr>
              <w:pStyle w:val="TableText"/>
              <w:spacing w:before="0" w:after="0"/>
            </w:pPr>
            <w:r w:rsidRPr="00B623DB">
              <w:t>A study to check how safe, beneficial and tolerable the drug canakinumab along with childhood vaccines is for patients with cryopyrin associated periodic syndromes.</w:t>
            </w:r>
          </w:p>
          <w:p w:rsidR="00026699" w:rsidRPr="00B623DB" w:rsidRDefault="00026699" w:rsidP="002A3156">
            <w:pPr>
              <w:pStyle w:val="TableText"/>
              <w:spacing w:before="0" w:after="0"/>
            </w:pPr>
          </w:p>
        </w:tc>
        <w:tc>
          <w:tcPr>
            <w:tcW w:w="2084" w:type="pct"/>
          </w:tcPr>
          <w:p w:rsidR="00026699" w:rsidRPr="00B623DB" w:rsidRDefault="00026699" w:rsidP="00026699">
            <w:pPr>
              <w:pStyle w:val="TableText"/>
              <w:spacing w:before="0" w:after="0"/>
            </w:pPr>
            <w:r w:rsidRPr="00B623DB">
              <w:t>European Clinical Trials Register</w:t>
            </w:r>
          </w:p>
          <w:p w:rsidR="00026699" w:rsidRPr="00B623DB" w:rsidRDefault="00026699" w:rsidP="002A3156">
            <w:pPr>
              <w:pStyle w:val="TableText"/>
              <w:spacing w:before="0" w:after="0"/>
            </w:pPr>
          </w:p>
        </w:tc>
      </w:tr>
      <w:tr w:rsidR="00026699" w:rsidRPr="00B623DB" w:rsidTr="00F94B7D">
        <w:tc>
          <w:tcPr>
            <w:tcW w:w="954" w:type="pct"/>
          </w:tcPr>
          <w:p w:rsidR="00026699" w:rsidRPr="00B623DB" w:rsidRDefault="00026699" w:rsidP="002A3156">
            <w:pPr>
              <w:pStyle w:val="TableText"/>
            </w:pPr>
            <w:r w:rsidRPr="00B623DB">
              <w:t>D2307E1</w:t>
            </w:r>
          </w:p>
        </w:tc>
        <w:tc>
          <w:tcPr>
            <w:tcW w:w="1962" w:type="pct"/>
          </w:tcPr>
          <w:p w:rsidR="00026699" w:rsidRPr="00B623DB" w:rsidRDefault="00026699" w:rsidP="002A3156">
            <w:pPr>
              <w:pStyle w:val="TableText"/>
              <w:spacing w:before="0" w:after="0"/>
            </w:pPr>
            <w:r w:rsidRPr="00B623DB">
              <w:t xml:space="preserve">An open-label extension study to assess efficacy, safety and tolerability of canakinumab and the efficacy and safety of childhood vaccinations in patients with Cryopyrin Associated Periodic Syndromes (CAPS). </w:t>
            </w:r>
          </w:p>
          <w:p w:rsidR="00026699" w:rsidRPr="00B623DB" w:rsidRDefault="00181F08" w:rsidP="002A3156">
            <w:pPr>
              <w:pStyle w:val="TableText"/>
              <w:spacing w:before="0" w:after="0"/>
            </w:pPr>
            <w:r w:rsidRPr="00B623DB">
              <w:t>NCT01576367</w:t>
            </w:r>
          </w:p>
          <w:p w:rsidR="00026699" w:rsidRPr="00B623DB" w:rsidRDefault="00026699" w:rsidP="002A3156">
            <w:pPr>
              <w:pStyle w:val="TableText"/>
              <w:spacing w:before="0" w:after="0"/>
            </w:pPr>
          </w:p>
        </w:tc>
        <w:tc>
          <w:tcPr>
            <w:tcW w:w="2084" w:type="pct"/>
          </w:tcPr>
          <w:p w:rsidR="00026699" w:rsidRPr="00B623DB" w:rsidRDefault="00026699" w:rsidP="002A3156">
            <w:pPr>
              <w:pStyle w:val="TableText"/>
              <w:spacing w:before="0" w:after="0"/>
            </w:pPr>
            <w:r w:rsidRPr="00B623DB">
              <w:t>Clinical Study Report, 2016</w:t>
            </w:r>
          </w:p>
          <w:p w:rsidR="00026699" w:rsidRPr="00B623DB" w:rsidRDefault="00026699" w:rsidP="00181F08">
            <w:pPr>
              <w:pStyle w:val="TableText"/>
              <w:spacing w:before="0" w:after="0"/>
              <w:rPr>
                <w:b/>
              </w:rPr>
            </w:pPr>
          </w:p>
        </w:tc>
      </w:tr>
      <w:tr w:rsidR="00181F08" w:rsidRPr="00B623DB" w:rsidTr="00F94B7D">
        <w:tc>
          <w:tcPr>
            <w:tcW w:w="954" w:type="pct"/>
          </w:tcPr>
          <w:p w:rsidR="00181F08" w:rsidRPr="00B623DB" w:rsidRDefault="00181F08" w:rsidP="002A3156">
            <w:pPr>
              <w:pStyle w:val="TableText"/>
            </w:pPr>
          </w:p>
        </w:tc>
        <w:tc>
          <w:tcPr>
            <w:tcW w:w="1962" w:type="pct"/>
          </w:tcPr>
          <w:p w:rsidR="00181F08" w:rsidRPr="00B623DB" w:rsidRDefault="00181F08" w:rsidP="00181F08">
            <w:pPr>
              <w:pStyle w:val="TableText"/>
              <w:spacing w:before="0" w:after="0"/>
            </w:pPr>
            <w:r w:rsidRPr="00B623DB">
              <w:t>Brogan et al. Efficacy and safety of canakinumab in patients aged one to six years with cryopyrin-associated periodic syndromes: results of an open-label, phase III extension study.</w:t>
            </w:r>
          </w:p>
          <w:p w:rsidR="00181F08" w:rsidRPr="00B623DB" w:rsidRDefault="00181F08" w:rsidP="002A3156">
            <w:pPr>
              <w:pStyle w:val="TableText"/>
              <w:spacing w:before="0" w:after="0"/>
            </w:pPr>
          </w:p>
        </w:tc>
        <w:tc>
          <w:tcPr>
            <w:tcW w:w="2084" w:type="pct"/>
          </w:tcPr>
          <w:p w:rsidR="00181F08" w:rsidRPr="00B623DB" w:rsidRDefault="00181F08" w:rsidP="00181F08">
            <w:pPr>
              <w:pStyle w:val="TableText"/>
              <w:spacing w:before="0" w:after="0"/>
            </w:pPr>
            <w:r w:rsidRPr="00B623DB">
              <w:t>Arthritis and Rheumatology 2017; 68: 3106 – 3108</w:t>
            </w:r>
          </w:p>
          <w:p w:rsidR="00181F08" w:rsidRPr="00B623DB" w:rsidRDefault="00181F08" w:rsidP="002A3156">
            <w:pPr>
              <w:pStyle w:val="TableText"/>
              <w:spacing w:before="0" w:after="0"/>
            </w:pPr>
          </w:p>
        </w:tc>
      </w:tr>
      <w:tr w:rsidR="00181F08" w:rsidRPr="00B623DB" w:rsidTr="00F94B7D">
        <w:tc>
          <w:tcPr>
            <w:tcW w:w="954" w:type="pct"/>
          </w:tcPr>
          <w:p w:rsidR="00181F08" w:rsidRPr="00B623DB" w:rsidRDefault="00181F08" w:rsidP="002A3156">
            <w:pPr>
              <w:pStyle w:val="TableText"/>
            </w:pPr>
          </w:p>
        </w:tc>
        <w:tc>
          <w:tcPr>
            <w:tcW w:w="1962" w:type="pct"/>
          </w:tcPr>
          <w:p w:rsidR="00181F08" w:rsidRPr="00B623DB" w:rsidRDefault="00181F08" w:rsidP="00181F08">
            <w:pPr>
              <w:pStyle w:val="TableText"/>
              <w:spacing w:before="0" w:after="0"/>
            </w:pPr>
            <w:r w:rsidRPr="00B623DB">
              <w:t>Brogan et al. Effectiveness of childhood vaccinations in CAPS patients treated with canakinumab: results from an open-label phase III extension study.</w:t>
            </w:r>
          </w:p>
          <w:p w:rsidR="00181F08" w:rsidRPr="00B623DB" w:rsidRDefault="00181F08" w:rsidP="002A3156">
            <w:pPr>
              <w:pStyle w:val="TableText"/>
              <w:spacing w:before="0" w:after="0"/>
            </w:pPr>
          </w:p>
        </w:tc>
        <w:tc>
          <w:tcPr>
            <w:tcW w:w="2084" w:type="pct"/>
          </w:tcPr>
          <w:p w:rsidR="00181F08" w:rsidRPr="00B623DB" w:rsidRDefault="00181F08" w:rsidP="00181F08">
            <w:pPr>
              <w:pStyle w:val="TableText"/>
              <w:spacing w:before="0" w:after="0"/>
            </w:pPr>
            <w:r w:rsidRPr="00B623DB">
              <w:t>Arthritis and Rheumatology 2017; 68: 4287 – 4288</w:t>
            </w:r>
          </w:p>
          <w:p w:rsidR="00181F08" w:rsidRPr="00B623DB" w:rsidRDefault="00181F08" w:rsidP="002A3156">
            <w:pPr>
              <w:pStyle w:val="TableText"/>
              <w:spacing w:before="0" w:after="0"/>
            </w:pPr>
          </w:p>
        </w:tc>
      </w:tr>
      <w:tr w:rsidR="00181F08" w:rsidRPr="00B623DB" w:rsidTr="00F94B7D">
        <w:tc>
          <w:tcPr>
            <w:tcW w:w="954" w:type="pct"/>
          </w:tcPr>
          <w:p w:rsidR="00181F08" w:rsidRPr="00B623DB" w:rsidRDefault="00181F08" w:rsidP="002A3156">
            <w:pPr>
              <w:pStyle w:val="TableText"/>
            </w:pPr>
          </w:p>
        </w:tc>
        <w:tc>
          <w:tcPr>
            <w:tcW w:w="1962" w:type="pct"/>
          </w:tcPr>
          <w:p w:rsidR="00181F08" w:rsidRPr="00B623DB" w:rsidRDefault="00181F08" w:rsidP="00181F08">
            <w:pPr>
              <w:pStyle w:val="TableText"/>
              <w:spacing w:before="0" w:after="0"/>
            </w:pPr>
            <w:r w:rsidRPr="00B623DB">
              <w:t>Brogan et al. Efficacy and safety of canakinumab in patients with cryopyrin associated periodic syndromes: an open-label phase III extension study.</w:t>
            </w:r>
          </w:p>
          <w:p w:rsidR="00181F08" w:rsidRPr="00B623DB" w:rsidRDefault="00181F08" w:rsidP="002A3156">
            <w:pPr>
              <w:pStyle w:val="TableText"/>
              <w:spacing w:before="0" w:after="0"/>
            </w:pPr>
          </w:p>
        </w:tc>
        <w:tc>
          <w:tcPr>
            <w:tcW w:w="2084" w:type="pct"/>
          </w:tcPr>
          <w:p w:rsidR="00181F08" w:rsidRPr="00B623DB" w:rsidRDefault="00181F08" w:rsidP="00181F08">
            <w:pPr>
              <w:pStyle w:val="TableText"/>
              <w:spacing w:before="0" w:after="0"/>
            </w:pPr>
            <w:r w:rsidRPr="00B623DB">
              <w:t>Annals of the Rheumatic Diseases 2016; 75: 620-621</w:t>
            </w:r>
          </w:p>
          <w:p w:rsidR="00181F08" w:rsidRPr="00B623DB" w:rsidRDefault="00181F08" w:rsidP="002A3156">
            <w:pPr>
              <w:pStyle w:val="TableText"/>
              <w:spacing w:before="0" w:after="0"/>
            </w:pPr>
          </w:p>
        </w:tc>
      </w:tr>
      <w:tr w:rsidR="00181F08" w:rsidRPr="00B623DB" w:rsidTr="00F94B7D">
        <w:tc>
          <w:tcPr>
            <w:tcW w:w="954" w:type="pct"/>
          </w:tcPr>
          <w:p w:rsidR="00181F08" w:rsidRPr="00B623DB" w:rsidRDefault="00181F08" w:rsidP="00181F08">
            <w:pPr>
              <w:pStyle w:val="TableText"/>
            </w:pPr>
            <w:r w:rsidRPr="00B623DB">
              <w:t>D2201</w:t>
            </w:r>
          </w:p>
        </w:tc>
        <w:tc>
          <w:tcPr>
            <w:tcW w:w="1962" w:type="pct"/>
          </w:tcPr>
          <w:p w:rsidR="00181F08" w:rsidRPr="00B623DB" w:rsidRDefault="00181F08" w:rsidP="00181F08">
            <w:pPr>
              <w:pStyle w:val="TableText"/>
              <w:spacing w:before="0" w:after="0"/>
            </w:pPr>
            <w:r w:rsidRPr="00B623DB">
              <w:t>A multi-center, open label, 24-month treatment study to establish the safety, tolerability, efficacy, pharmacokinetics and pharmacodynamics of canakinumab (anti-IL-1 beta antibody) in patients with NOMID / CINCA syndrome</w:t>
            </w:r>
          </w:p>
          <w:p w:rsidR="00181F08" w:rsidRPr="00B623DB" w:rsidRDefault="00181F08" w:rsidP="00181F08">
            <w:pPr>
              <w:pStyle w:val="TableText"/>
              <w:spacing w:before="0" w:after="0"/>
            </w:pPr>
          </w:p>
        </w:tc>
        <w:tc>
          <w:tcPr>
            <w:tcW w:w="2084" w:type="pct"/>
          </w:tcPr>
          <w:p w:rsidR="00181F08" w:rsidRPr="00B623DB" w:rsidRDefault="00181F08" w:rsidP="00181F08">
            <w:pPr>
              <w:pStyle w:val="TableText"/>
              <w:spacing w:before="0" w:after="0"/>
            </w:pPr>
            <w:r w:rsidRPr="00B623DB">
              <w:t>Clinical Study Report, 2012</w:t>
            </w:r>
          </w:p>
        </w:tc>
      </w:tr>
      <w:tr w:rsidR="00181F08" w:rsidRPr="00B623DB" w:rsidTr="00F94B7D">
        <w:tc>
          <w:tcPr>
            <w:tcW w:w="954" w:type="pct"/>
          </w:tcPr>
          <w:p w:rsidR="00181F08" w:rsidRPr="00B623DB" w:rsidRDefault="00181F08" w:rsidP="00181F08">
            <w:pPr>
              <w:pStyle w:val="TableText"/>
            </w:pPr>
          </w:p>
        </w:tc>
        <w:tc>
          <w:tcPr>
            <w:tcW w:w="1962" w:type="pct"/>
          </w:tcPr>
          <w:p w:rsidR="00181F08" w:rsidRPr="00B623DB" w:rsidRDefault="00181F08" w:rsidP="00181F08">
            <w:pPr>
              <w:pStyle w:val="TableText"/>
              <w:spacing w:before="0" w:after="0"/>
            </w:pPr>
            <w:r w:rsidRPr="00B623DB">
              <w:t>Ilaris (canakinumab) efficacy and safety in CAPS patients without confirmed mutation on exon 3 of gene CIAS1 and young CAPS patients with severe neurological (CINCA) phenotype.</w:t>
            </w:r>
          </w:p>
          <w:p w:rsidR="00181F08" w:rsidRPr="00B623DB" w:rsidRDefault="00181F08" w:rsidP="00181F08">
            <w:pPr>
              <w:pStyle w:val="TableText"/>
              <w:spacing w:before="0" w:after="0"/>
            </w:pPr>
          </w:p>
        </w:tc>
        <w:tc>
          <w:tcPr>
            <w:tcW w:w="2084" w:type="pct"/>
          </w:tcPr>
          <w:p w:rsidR="00181F08" w:rsidRPr="00B623DB" w:rsidRDefault="00181F08" w:rsidP="00181F08">
            <w:pPr>
              <w:pStyle w:val="TableText"/>
              <w:spacing w:before="0" w:after="0"/>
            </w:pPr>
            <w:r w:rsidRPr="00B623DB">
              <w:t>EU Clinical Trials Register</w:t>
            </w:r>
          </w:p>
          <w:p w:rsidR="00181F08" w:rsidRPr="00B623DB" w:rsidRDefault="00181F08" w:rsidP="00181F08">
            <w:pPr>
              <w:pStyle w:val="TableText"/>
              <w:spacing w:before="0" w:after="0"/>
            </w:pPr>
          </w:p>
        </w:tc>
      </w:tr>
      <w:tr w:rsidR="00C73C90" w:rsidRPr="00B623DB" w:rsidTr="00F94B7D">
        <w:tc>
          <w:tcPr>
            <w:tcW w:w="954" w:type="pct"/>
          </w:tcPr>
          <w:p w:rsidR="00C73C90" w:rsidRPr="00B623DB" w:rsidRDefault="00C73C90" w:rsidP="00C73C90">
            <w:pPr>
              <w:pStyle w:val="TableText"/>
            </w:pPr>
            <w:r w:rsidRPr="00B623DB">
              <w:t>D2401</w:t>
            </w:r>
          </w:p>
        </w:tc>
        <w:tc>
          <w:tcPr>
            <w:tcW w:w="1962" w:type="pct"/>
          </w:tcPr>
          <w:p w:rsidR="00C73C90" w:rsidRPr="00B623DB" w:rsidRDefault="00C73C90" w:rsidP="00C73C90">
            <w:pPr>
              <w:pStyle w:val="TableText"/>
              <w:spacing w:before="0" w:after="0"/>
            </w:pPr>
            <w:r w:rsidRPr="00B623DB">
              <w:t xml:space="preserve">β-Confident – Clinical outcomes and safety: A registry study of Ilaris® (canakinumab) patients. </w:t>
            </w:r>
          </w:p>
          <w:p w:rsidR="00C73C90" w:rsidRPr="00B623DB" w:rsidRDefault="00C73C90" w:rsidP="00C73C90">
            <w:pPr>
              <w:pStyle w:val="TableText"/>
              <w:spacing w:before="0" w:after="0"/>
            </w:pPr>
          </w:p>
        </w:tc>
        <w:tc>
          <w:tcPr>
            <w:tcW w:w="2084" w:type="pct"/>
          </w:tcPr>
          <w:p w:rsidR="00C73C90" w:rsidRPr="00B623DB" w:rsidRDefault="00C73C90" w:rsidP="00C73C90">
            <w:pPr>
              <w:pStyle w:val="TableText"/>
              <w:spacing w:before="0" w:after="0"/>
            </w:pPr>
            <w:r w:rsidRPr="00B623DB">
              <w:t>Clinical Study Report, June 2016</w:t>
            </w:r>
          </w:p>
          <w:p w:rsidR="00C73C90" w:rsidRPr="00B623DB" w:rsidRDefault="00C73C90" w:rsidP="00C73C90">
            <w:pPr>
              <w:pStyle w:val="TableText"/>
              <w:spacing w:before="0" w:after="0"/>
            </w:pPr>
          </w:p>
        </w:tc>
      </w:tr>
      <w:tr w:rsidR="00C73C90" w:rsidRPr="00B623DB" w:rsidTr="00F94B7D">
        <w:tc>
          <w:tcPr>
            <w:tcW w:w="954" w:type="pct"/>
          </w:tcPr>
          <w:p w:rsidR="00C73C90" w:rsidRPr="00B623DB" w:rsidRDefault="00C73C90" w:rsidP="00C73C90">
            <w:pPr>
              <w:pStyle w:val="TableText"/>
            </w:pPr>
          </w:p>
        </w:tc>
        <w:tc>
          <w:tcPr>
            <w:tcW w:w="1962" w:type="pct"/>
          </w:tcPr>
          <w:p w:rsidR="00C73C90" w:rsidRPr="00B623DB" w:rsidRDefault="00C73C90" w:rsidP="00C73C90">
            <w:pPr>
              <w:pStyle w:val="TableText"/>
              <w:spacing w:before="0" w:after="0"/>
            </w:pPr>
            <w:r w:rsidRPr="00B623DB">
              <w:t>Clinical Outcomes and Safety: A registry study of Ilaris (canakinumab) patients. NCT01213641</w:t>
            </w:r>
          </w:p>
          <w:p w:rsidR="00C73C90" w:rsidRPr="00B623DB" w:rsidRDefault="00C73C90" w:rsidP="00C73C90">
            <w:pPr>
              <w:pStyle w:val="TableText"/>
              <w:spacing w:before="0" w:after="0"/>
            </w:pPr>
          </w:p>
        </w:tc>
        <w:tc>
          <w:tcPr>
            <w:tcW w:w="2084" w:type="pct"/>
          </w:tcPr>
          <w:p w:rsidR="00C73C90" w:rsidRPr="00B623DB" w:rsidRDefault="00C73C90" w:rsidP="00C73C90">
            <w:pPr>
              <w:pStyle w:val="TableText"/>
              <w:spacing w:before="0" w:after="0"/>
            </w:pPr>
            <w:r w:rsidRPr="00B623DB">
              <w:t>Clinicaltrials.gov</w:t>
            </w:r>
          </w:p>
          <w:p w:rsidR="00C73C90" w:rsidRPr="00B623DB" w:rsidRDefault="00C73C90" w:rsidP="00C73C90">
            <w:pPr>
              <w:pStyle w:val="TableText"/>
              <w:spacing w:before="0" w:after="0"/>
            </w:pPr>
          </w:p>
        </w:tc>
      </w:tr>
      <w:tr w:rsidR="00C73C90" w:rsidRPr="00B623DB" w:rsidTr="00F94B7D">
        <w:tc>
          <w:tcPr>
            <w:tcW w:w="954" w:type="pct"/>
          </w:tcPr>
          <w:p w:rsidR="00C73C90" w:rsidRPr="00B623DB" w:rsidRDefault="00C73C90" w:rsidP="00C73C90">
            <w:pPr>
              <w:pStyle w:val="TableText"/>
            </w:pPr>
          </w:p>
        </w:tc>
        <w:tc>
          <w:tcPr>
            <w:tcW w:w="1962" w:type="pct"/>
          </w:tcPr>
          <w:p w:rsidR="00C73C90" w:rsidRPr="00B623DB" w:rsidRDefault="00C73C90" w:rsidP="00C73C90">
            <w:pPr>
              <w:pStyle w:val="TableText"/>
              <w:spacing w:before="0" w:after="0"/>
            </w:pPr>
            <w:r w:rsidRPr="00B623DB">
              <w:t>Tilson et al. Methodological challenges in monitoring new treatments for rare diseases: lessons from the cryopyrin-associated periodic syndrome registry.</w:t>
            </w:r>
          </w:p>
          <w:p w:rsidR="00C73C90" w:rsidRPr="00B623DB" w:rsidRDefault="00C73C90" w:rsidP="00C73C90">
            <w:pPr>
              <w:pStyle w:val="TableText"/>
              <w:spacing w:before="0" w:after="0"/>
            </w:pPr>
          </w:p>
        </w:tc>
        <w:tc>
          <w:tcPr>
            <w:tcW w:w="2084" w:type="pct"/>
          </w:tcPr>
          <w:p w:rsidR="00C73C90" w:rsidRPr="00B623DB" w:rsidRDefault="00C73C90" w:rsidP="00C73C90">
            <w:pPr>
              <w:pStyle w:val="TableText"/>
              <w:spacing w:before="0" w:after="0"/>
            </w:pPr>
            <w:r w:rsidRPr="00B623DB">
              <w:t>Orphanet Journal of Rare Diseases 2013; 8:139</w:t>
            </w:r>
          </w:p>
          <w:p w:rsidR="00C73C90" w:rsidRPr="00B623DB" w:rsidRDefault="00C73C90" w:rsidP="00C73C90">
            <w:pPr>
              <w:pStyle w:val="TableText"/>
              <w:spacing w:before="0" w:after="0"/>
            </w:pPr>
          </w:p>
        </w:tc>
      </w:tr>
      <w:tr w:rsidR="00C73C90" w:rsidRPr="00B623DB" w:rsidTr="00F94B7D">
        <w:tc>
          <w:tcPr>
            <w:tcW w:w="954" w:type="pct"/>
          </w:tcPr>
          <w:p w:rsidR="00C73C90" w:rsidRPr="00B623DB" w:rsidRDefault="007D347C" w:rsidP="00C73C90">
            <w:pPr>
              <w:pStyle w:val="TableText"/>
            </w:pPr>
            <w:r w:rsidRPr="00B623DB">
              <w:t>D2308</w:t>
            </w:r>
          </w:p>
        </w:tc>
        <w:tc>
          <w:tcPr>
            <w:tcW w:w="1962" w:type="pct"/>
          </w:tcPr>
          <w:p w:rsidR="007D347C" w:rsidRPr="00B623DB" w:rsidRDefault="007D347C" w:rsidP="007D347C">
            <w:pPr>
              <w:pStyle w:val="TableText"/>
              <w:spacing w:before="0" w:after="0"/>
            </w:pPr>
            <w:r w:rsidRPr="00B623DB">
              <w:t>An open-label, efficacy and safety study of canakinumab (anti-interleukin-1β monoclonal antibody) administered for 6 months (24 weeks) in Japanese patients with the following cryopyrin-associated periodic syndromes: Familial cold inflammatory Syndrome; Muckle-Wells Syndrome or Neonatal Onset Multisystem Inflammatory Disease, followed by an extension phase to provide canakinumab to study patients until it is approved for marketing in Japan.</w:t>
            </w:r>
          </w:p>
          <w:p w:rsidR="00C73C90" w:rsidRPr="00B623DB" w:rsidRDefault="00C73C90" w:rsidP="00C73C90">
            <w:pPr>
              <w:pStyle w:val="TableText"/>
              <w:spacing w:before="0" w:after="0"/>
            </w:pPr>
          </w:p>
        </w:tc>
        <w:tc>
          <w:tcPr>
            <w:tcW w:w="2084" w:type="pct"/>
          </w:tcPr>
          <w:p w:rsidR="007D347C" w:rsidRPr="00B623DB" w:rsidRDefault="007D347C" w:rsidP="007D347C">
            <w:pPr>
              <w:pStyle w:val="TableText"/>
              <w:spacing w:before="0" w:after="0"/>
            </w:pPr>
            <w:r w:rsidRPr="00B623DB">
              <w:t>Clinical Study Report, August 2012</w:t>
            </w:r>
          </w:p>
          <w:p w:rsidR="00C73C90" w:rsidRPr="00B623DB" w:rsidRDefault="00C73C90" w:rsidP="00C73C90">
            <w:pPr>
              <w:pStyle w:val="TableText"/>
              <w:spacing w:before="0" w:after="0"/>
            </w:pPr>
          </w:p>
        </w:tc>
      </w:tr>
      <w:tr w:rsidR="00C73C90" w:rsidRPr="00B623DB" w:rsidTr="00F94B7D">
        <w:tc>
          <w:tcPr>
            <w:tcW w:w="954" w:type="pct"/>
          </w:tcPr>
          <w:p w:rsidR="00C73C90" w:rsidRPr="00B623DB" w:rsidRDefault="00C73C90" w:rsidP="00C73C90">
            <w:pPr>
              <w:pStyle w:val="TableText"/>
            </w:pPr>
          </w:p>
        </w:tc>
        <w:tc>
          <w:tcPr>
            <w:tcW w:w="1962" w:type="pct"/>
          </w:tcPr>
          <w:p w:rsidR="007D347C" w:rsidRPr="00B623DB" w:rsidRDefault="007D347C" w:rsidP="00C73C90">
            <w:pPr>
              <w:pStyle w:val="TableText"/>
              <w:spacing w:before="0" w:after="0"/>
            </w:pPr>
            <w:r w:rsidRPr="00B623DB">
              <w:t>Imagawa et al. Safety and efficacy of canakinumab in Japanese patients with phenotypes of cryopyrin-associated periodic syndrome as established in the first open-label phase 3 pivotal study (24-week results).</w:t>
            </w:r>
          </w:p>
        </w:tc>
        <w:tc>
          <w:tcPr>
            <w:tcW w:w="2084" w:type="pct"/>
          </w:tcPr>
          <w:p w:rsidR="00C73C90" w:rsidRPr="00B623DB" w:rsidRDefault="007D347C" w:rsidP="00C73C90">
            <w:pPr>
              <w:pStyle w:val="TableText"/>
              <w:spacing w:before="0" w:after="0"/>
            </w:pPr>
            <w:r w:rsidRPr="00B623DB">
              <w:t>Pediatric Rheumatology 2013; 31: 302-309</w:t>
            </w:r>
          </w:p>
        </w:tc>
      </w:tr>
      <w:tr w:rsidR="00C73C90" w:rsidRPr="00B623DB" w:rsidTr="00F94B7D">
        <w:tc>
          <w:tcPr>
            <w:tcW w:w="954" w:type="pct"/>
          </w:tcPr>
          <w:p w:rsidR="00C73C90" w:rsidRPr="00B623DB" w:rsidRDefault="007D347C" w:rsidP="00C73C90">
            <w:pPr>
              <w:pStyle w:val="TableText"/>
            </w:pPr>
            <w:r w:rsidRPr="00B623DB">
              <w:t>Kuemmerle-Deschner 2016</w:t>
            </w:r>
          </w:p>
        </w:tc>
        <w:tc>
          <w:tcPr>
            <w:tcW w:w="1962" w:type="pct"/>
          </w:tcPr>
          <w:p w:rsidR="007D347C" w:rsidRPr="00B623DB" w:rsidRDefault="007D347C" w:rsidP="007D347C">
            <w:pPr>
              <w:pStyle w:val="TableText"/>
              <w:spacing w:before="0" w:after="0"/>
            </w:pPr>
            <w:r w:rsidRPr="00B623DB">
              <w:t xml:space="preserve">Kuemmerle-Deschner et al. Real-life effectiveness of canakinumab in cryopyrin-associated periodic syndrome. </w:t>
            </w:r>
          </w:p>
          <w:p w:rsidR="00C73C90" w:rsidRPr="00B623DB" w:rsidRDefault="00C73C90" w:rsidP="00C73C90">
            <w:pPr>
              <w:pStyle w:val="TableText"/>
              <w:spacing w:before="0" w:after="0"/>
            </w:pPr>
          </w:p>
        </w:tc>
        <w:tc>
          <w:tcPr>
            <w:tcW w:w="2084" w:type="pct"/>
          </w:tcPr>
          <w:p w:rsidR="007D347C" w:rsidRPr="00B623DB" w:rsidRDefault="007D347C" w:rsidP="007D347C">
            <w:pPr>
              <w:pStyle w:val="TableText"/>
              <w:spacing w:before="0" w:after="0"/>
            </w:pPr>
            <w:r w:rsidRPr="00B623DB">
              <w:t>Rheumatology 2016; 55: 689 – 696</w:t>
            </w:r>
          </w:p>
          <w:p w:rsidR="00C73C90" w:rsidRPr="00B623DB" w:rsidRDefault="00C73C90" w:rsidP="00C73C90">
            <w:pPr>
              <w:pStyle w:val="TableText"/>
              <w:spacing w:before="0" w:after="0"/>
            </w:pPr>
          </w:p>
        </w:tc>
      </w:tr>
      <w:tr w:rsidR="00C73C90" w:rsidRPr="00B623DB" w:rsidTr="00F94B7D">
        <w:tc>
          <w:tcPr>
            <w:tcW w:w="954" w:type="pct"/>
          </w:tcPr>
          <w:p w:rsidR="00C73C90" w:rsidRPr="00B623DB" w:rsidRDefault="00C73C90" w:rsidP="00C73C90">
            <w:pPr>
              <w:pStyle w:val="TableText"/>
            </w:pPr>
          </w:p>
        </w:tc>
        <w:tc>
          <w:tcPr>
            <w:tcW w:w="1962" w:type="pct"/>
          </w:tcPr>
          <w:p w:rsidR="00C73C90" w:rsidRPr="00B623DB" w:rsidRDefault="00C73C90" w:rsidP="00C73C90">
            <w:pPr>
              <w:pStyle w:val="TableText"/>
              <w:spacing w:before="0" w:after="0"/>
            </w:pPr>
            <w:r w:rsidRPr="00B623DB">
              <w:t xml:space="preserve">Kuemmerle-Deschner et al. Canakinumab treat-to-target strategies increase complete response rate in CAPS. </w:t>
            </w:r>
          </w:p>
          <w:p w:rsidR="00C73C90" w:rsidRPr="00B623DB" w:rsidRDefault="00C73C90" w:rsidP="00C73C90">
            <w:pPr>
              <w:pStyle w:val="TableText"/>
              <w:spacing w:before="0" w:after="0"/>
            </w:pPr>
          </w:p>
        </w:tc>
        <w:tc>
          <w:tcPr>
            <w:tcW w:w="2084" w:type="pct"/>
          </w:tcPr>
          <w:p w:rsidR="00C73C90" w:rsidRPr="00B623DB" w:rsidRDefault="00C73C90" w:rsidP="00C73C90">
            <w:pPr>
              <w:pStyle w:val="TableText"/>
              <w:spacing w:before="0" w:after="0"/>
            </w:pPr>
            <w:r w:rsidRPr="00B623DB">
              <w:t>Pediatric Rheumatology 2015; 13: 249</w:t>
            </w:r>
          </w:p>
          <w:p w:rsidR="00C73C90" w:rsidRPr="00B623DB" w:rsidRDefault="00C73C90" w:rsidP="007D347C">
            <w:pPr>
              <w:pStyle w:val="TableText"/>
              <w:spacing w:before="0" w:after="0"/>
            </w:pPr>
          </w:p>
        </w:tc>
      </w:tr>
      <w:tr w:rsidR="00C73C90" w:rsidRPr="00B623DB" w:rsidTr="00F94B7D">
        <w:tc>
          <w:tcPr>
            <w:tcW w:w="954" w:type="pct"/>
          </w:tcPr>
          <w:p w:rsidR="00C73C90" w:rsidRPr="00EA0C20" w:rsidRDefault="00EA0C20" w:rsidP="00C73C90">
            <w:pPr>
              <w:pStyle w:val="TableText"/>
              <w:rPr>
                <w:highlight w:val="black"/>
              </w:rPr>
            </w:pPr>
            <w:r>
              <w:rPr>
                <w:noProof/>
                <w:color w:val="000000"/>
                <w:highlight w:val="black"/>
              </w:rPr>
              <w:t>''''''''''''''''</w:t>
            </w:r>
          </w:p>
        </w:tc>
        <w:tc>
          <w:tcPr>
            <w:tcW w:w="1962" w:type="pct"/>
          </w:tcPr>
          <w:p w:rsidR="00C73C90" w:rsidRPr="00EA0C20" w:rsidRDefault="00EA0C20" w:rsidP="00C73C90">
            <w:pPr>
              <w:pStyle w:val="TableText"/>
              <w:spacing w:before="0" w:after="0"/>
              <w:rPr>
                <w:highlight w:val="black"/>
              </w:rPr>
            </w:pPr>
            <w:r>
              <w:rPr>
                <w:noProof/>
                <w:color w:val="000000"/>
                <w:highlight w:val="black"/>
              </w:rPr>
              <w:t>'''''''' '''''''''''''''''''''''''' ''''''''''''''' ''' '''''''''''' '''''''''''''''' ''''''''''''' '''' ''''''''''''''''''' '''''''''''''''''''' '''''''''''''''''''''''' ''''''''''''''''''''''''''' '''''''''''''''''''' '''' '''''''''''''''''' '''''''' '''''''''''''''' ''''''''''''''''''''' ''''''''''''''''' ''''''''''''''''''''''''''''''''''''''''''''' '''''''''' '''''''''''''''''''''''''''''''''''''''''' '''' ''''''''''''''''' ''''''''' '''''''''''''''' '''''''''''''''''''''''</w:t>
            </w:r>
          </w:p>
        </w:tc>
        <w:tc>
          <w:tcPr>
            <w:tcW w:w="2084" w:type="pct"/>
          </w:tcPr>
          <w:p w:rsidR="00C73C90" w:rsidRPr="00EA0C20" w:rsidRDefault="00EA0C20" w:rsidP="00C73C90">
            <w:pPr>
              <w:pStyle w:val="TableText"/>
              <w:spacing w:before="0" w:after="0"/>
              <w:rPr>
                <w:highlight w:val="black"/>
              </w:rPr>
            </w:pPr>
            <w:r>
              <w:rPr>
                <w:noProof/>
                <w:color w:val="000000"/>
                <w:highlight w:val="black"/>
              </w:rPr>
              <w:t>'''''''''''''''''' ''''''''''''' ''''''''''''''''''' '''''''''' ''''''''''''</w:t>
            </w:r>
          </w:p>
        </w:tc>
      </w:tr>
      <w:tr w:rsidR="00C73C90" w:rsidRPr="00B623DB" w:rsidTr="00F94B7D">
        <w:tc>
          <w:tcPr>
            <w:tcW w:w="5000" w:type="pct"/>
            <w:gridSpan w:val="3"/>
          </w:tcPr>
          <w:p w:rsidR="00C73C90" w:rsidRPr="00B623DB" w:rsidRDefault="00C73C90" w:rsidP="00C73C90">
            <w:pPr>
              <w:pStyle w:val="TableText"/>
              <w:rPr>
                <w:b/>
              </w:rPr>
            </w:pPr>
            <w:r w:rsidRPr="00B623DB">
              <w:rPr>
                <w:b/>
              </w:rPr>
              <w:t>Meta-analysis of nonrandomised canakinumab studies</w:t>
            </w:r>
          </w:p>
        </w:tc>
      </w:tr>
      <w:tr w:rsidR="00C73C90" w:rsidRPr="00B623DB" w:rsidTr="00F94B7D">
        <w:tc>
          <w:tcPr>
            <w:tcW w:w="954" w:type="pct"/>
          </w:tcPr>
          <w:p w:rsidR="00C73C90" w:rsidRPr="00B623DB" w:rsidRDefault="00C73C90" w:rsidP="00C73C90">
            <w:pPr>
              <w:pStyle w:val="TableText"/>
            </w:pPr>
            <w:r w:rsidRPr="00B623DB">
              <w:t>Lachmann 2012</w:t>
            </w:r>
          </w:p>
        </w:tc>
        <w:tc>
          <w:tcPr>
            <w:tcW w:w="1962" w:type="pct"/>
          </w:tcPr>
          <w:p w:rsidR="007D347C" w:rsidRPr="00B623DB" w:rsidRDefault="00C73C90" w:rsidP="00C73C90">
            <w:pPr>
              <w:pStyle w:val="TableText"/>
            </w:pPr>
            <w:r w:rsidRPr="00B623DB">
              <w:t>Lachmann et al. Efficacy and safety of canakinumab patients with cryopyrin associated periodic syndromes. Results fr</w:t>
            </w:r>
            <w:r w:rsidR="007D347C" w:rsidRPr="00B623DB">
              <w:t>om meta-analysis of 5 studies.</w:t>
            </w:r>
          </w:p>
          <w:p w:rsidR="00C73C90" w:rsidRPr="00B623DB" w:rsidRDefault="00C73C90" w:rsidP="00C73C90">
            <w:pPr>
              <w:pStyle w:val="TableText"/>
            </w:pPr>
          </w:p>
        </w:tc>
        <w:tc>
          <w:tcPr>
            <w:tcW w:w="2084" w:type="pct"/>
          </w:tcPr>
          <w:p w:rsidR="00C73C90" w:rsidRPr="00B623DB" w:rsidRDefault="00C73C90" w:rsidP="00C73C90">
            <w:pPr>
              <w:pStyle w:val="TableText"/>
            </w:pPr>
            <w:r w:rsidRPr="00B623DB">
              <w:t>Arthritis and Rheumatism 2012; 64: S321-S322.</w:t>
            </w:r>
          </w:p>
          <w:p w:rsidR="00C73C90" w:rsidRPr="00B623DB" w:rsidRDefault="00C73C90" w:rsidP="00C73C90">
            <w:pPr>
              <w:pStyle w:val="TableText"/>
            </w:pPr>
          </w:p>
        </w:tc>
      </w:tr>
      <w:tr w:rsidR="007D347C" w:rsidRPr="00B623DB" w:rsidTr="00F94B7D">
        <w:tc>
          <w:tcPr>
            <w:tcW w:w="954" w:type="pct"/>
          </w:tcPr>
          <w:p w:rsidR="007D347C" w:rsidRPr="00B623DB" w:rsidRDefault="007D347C" w:rsidP="00C73C90">
            <w:pPr>
              <w:pStyle w:val="TableText"/>
            </w:pPr>
          </w:p>
        </w:tc>
        <w:tc>
          <w:tcPr>
            <w:tcW w:w="1962" w:type="pct"/>
          </w:tcPr>
          <w:p w:rsidR="007D347C" w:rsidRPr="00B623DB" w:rsidRDefault="007D347C" w:rsidP="00C73C90">
            <w:pPr>
              <w:pStyle w:val="TableText"/>
            </w:pPr>
            <w:r w:rsidRPr="00B623DB">
              <w:t>Meta-analysis report of CAPS studies A2102, D2201, D2304, D2306 and D2308.</w:t>
            </w:r>
          </w:p>
        </w:tc>
        <w:tc>
          <w:tcPr>
            <w:tcW w:w="2084" w:type="pct"/>
          </w:tcPr>
          <w:p w:rsidR="007D347C" w:rsidRPr="00B623DB" w:rsidRDefault="007D347C" w:rsidP="00C73C90">
            <w:pPr>
              <w:pStyle w:val="TableText"/>
            </w:pPr>
            <w:r w:rsidRPr="00B623DB">
              <w:t>Internal Novartis Report</w:t>
            </w:r>
          </w:p>
        </w:tc>
      </w:tr>
      <w:tr w:rsidR="00C73C90" w:rsidRPr="00B623DB" w:rsidTr="00F94B7D">
        <w:tc>
          <w:tcPr>
            <w:tcW w:w="5000" w:type="pct"/>
            <w:gridSpan w:val="3"/>
          </w:tcPr>
          <w:p w:rsidR="00C73C90" w:rsidRPr="00B623DB" w:rsidRDefault="00C73C90" w:rsidP="00C73C90">
            <w:pPr>
              <w:pStyle w:val="TableText"/>
              <w:rPr>
                <w:b/>
              </w:rPr>
            </w:pPr>
            <w:r w:rsidRPr="00B623DB">
              <w:rPr>
                <w:b/>
              </w:rPr>
              <w:t>Studies with canakinumab and anakinra patients (non-comparative)</w:t>
            </w:r>
          </w:p>
        </w:tc>
      </w:tr>
      <w:tr w:rsidR="00C73C90" w:rsidRPr="00B623DB" w:rsidTr="00F94B7D">
        <w:tc>
          <w:tcPr>
            <w:tcW w:w="954" w:type="pct"/>
          </w:tcPr>
          <w:p w:rsidR="00C73C90" w:rsidRPr="00B623DB" w:rsidRDefault="00C73C90" w:rsidP="00C73C90">
            <w:pPr>
              <w:pStyle w:val="TableText"/>
            </w:pPr>
            <w:r w:rsidRPr="00B623DB">
              <w:t>Kuemmerle-Deschner 2013</w:t>
            </w:r>
          </w:p>
        </w:tc>
        <w:tc>
          <w:tcPr>
            <w:tcW w:w="1962" w:type="pct"/>
          </w:tcPr>
          <w:p w:rsidR="00C73C90" w:rsidRPr="00B623DB" w:rsidRDefault="00C73C90" w:rsidP="00C73C90">
            <w:pPr>
              <w:pStyle w:val="TableText"/>
            </w:pPr>
            <w:r w:rsidRPr="00B623DB">
              <w:t>Kuemmerle-Deschner et al. Treatment of Muckle-Wells syndrome: Analysis of two IL-1-blocking regimens.</w:t>
            </w:r>
            <w:r w:rsidRPr="00B623DB">
              <w:tab/>
            </w:r>
          </w:p>
        </w:tc>
        <w:tc>
          <w:tcPr>
            <w:tcW w:w="2084" w:type="pct"/>
          </w:tcPr>
          <w:p w:rsidR="00C73C90" w:rsidRPr="00B623DB" w:rsidRDefault="00C73C90" w:rsidP="00C73C90">
            <w:pPr>
              <w:pStyle w:val="TableText"/>
            </w:pPr>
            <w:r w:rsidRPr="00B623DB">
              <w:t>Arthritis Research and Therapy 2013; 15(3)</w:t>
            </w:r>
          </w:p>
        </w:tc>
      </w:tr>
      <w:tr w:rsidR="00C73C90" w:rsidRPr="00B623DB" w:rsidTr="00F94B7D">
        <w:tc>
          <w:tcPr>
            <w:tcW w:w="954" w:type="pct"/>
          </w:tcPr>
          <w:p w:rsidR="00C73C90" w:rsidRPr="00B623DB" w:rsidRDefault="00C73C90" w:rsidP="00C73C90">
            <w:pPr>
              <w:pStyle w:val="TableText"/>
            </w:pPr>
            <w:r w:rsidRPr="00B623DB">
              <w:t>Vitale 2017</w:t>
            </w:r>
          </w:p>
        </w:tc>
        <w:tc>
          <w:tcPr>
            <w:tcW w:w="1962" w:type="pct"/>
          </w:tcPr>
          <w:p w:rsidR="00C73C90" w:rsidRPr="00B623DB" w:rsidRDefault="00C73C90" w:rsidP="00C73C90">
            <w:pPr>
              <w:pStyle w:val="TableText"/>
            </w:pPr>
            <w:r w:rsidRPr="00B623DB">
              <w:t xml:space="preserve">Vitale et al. A snapshot on the on-label and off-label use of the interleukin-1 inhibitors in Italy among rheumatologists and pediatric rheumatologists: a nationwide multi-center retrospective observational study. </w:t>
            </w:r>
          </w:p>
        </w:tc>
        <w:tc>
          <w:tcPr>
            <w:tcW w:w="2084" w:type="pct"/>
          </w:tcPr>
          <w:p w:rsidR="00C73C90" w:rsidRPr="00B623DB" w:rsidRDefault="00C73C90" w:rsidP="00C73C90">
            <w:pPr>
              <w:pStyle w:val="TableText"/>
            </w:pPr>
            <w:r w:rsidRPr="00B623DB">
              <w:t>Frontiers in Pharmacology 2017; 7,  DOI: 10.3389/fphar.2016.00380</w:t>
            </w:r>
          </w:p>
        </w:tc>
      </w:tr>
      <w:tr w:rsidR="00C73C90" w:rsidRPr="00B623DB" w:rsidTr="00F94B7D">
        <w:tc>
          <w:tcPr>
            <w:tcW w:w="954" w:type="pct"/>
          </w:tcPr>
          <w:p w:rsidR="00C73C90" w:rsidRPr="00B623DB" w:rsidRDefault="00C73C90" w:rsidP="00C73C90">
            <w:pPr>
              <w:pStyle w:val="TableText"/>
            </w:pPr>
            <w:r w:rsidRPr="00B623DB">
              <w:t>Wittkowski 2011</w:t>
            </w:r>
          </w:p>
        </w:tc>
        <w:tc>
          <w:tcPr>
            <w:tcW w:w="1962" w:type="pct"/>
          </w:tcPr>
          <w:p w:rsidR="00C73C90" w:rsidRPr="00B623DB" w:rsidRDefault="00C73C90" w:rsidP="00C73C90">
            <w:pPr>
              <w:pStyle w:val="TableText"/>
            </w:pPr>
            <w:r w:rsidRPr="00B623DB">
              <w:t xml:space="preserve">Wittkowski et al. MRP8 and MRP14, phagocyte-specific danger signals, are sensitive biomarkers of disease activity in cryopyrin-associated periodic syndromes. </w:t>
            </w:r>
          </w:p>
        </w:tc>
        <w:tc>
          <w:tcPr>
            <w:tcW w:w="2084" w:type="pct"/>
          </w:tcPr>
          <w:p w:rsidR="00C73C90" w:rsidRPr="00B623DB" w:rsidRDefault="00C73C90" w:rsidP="00C73C90">
            <w:pPr>
              <w:pStyle w:val="TableText"/>
            </w:pPr>
            <w:r w:rsidRPr="00B623DB">
              <w:t>Annals of the Rheumatic Diseases 2011; 770(12): 2075-2081</w:t>
            </w:r>
          </w:p>
        </w:tc>
      </w:tr>
      <w:tr w:rsidR="00C73C90" w:rsidRPr="00B623DB" w:rsidTr="00F94B7D">
        <w:tc>
          <w:tcPr>
            <w:tcW w:w="5000" w:type="pct"/>
            <w:gridSpan w:val="3"/>
          </w:tcPr>
          <w:p w:rsidR="00C73C90" w:rsidRPr="00B623DB" w:rsidRDefault="00C73C90" w:rsidP="00C73C90">
            <w:pPr>
              <w:pStyle w:val="TableText"/>
              <w:rPr>
                <w:b/>
              </w:rPr>
            </w:pPr>
            <w:r w:rsidRPr="00B623DB">
              <w:rPr>
                <w:b/>
              </w:rPr>
              <w:t>Anakinra nonrandomised studies</w:t>
            </w:r>
          </w:p>
        </w:tc>
      </w:tr>
      <w:tr w:rsidR="00C73C90" w:rsidRPr="00B623DB" w:rsidTr="00F94B7D">
        <w:tc>
          <w:tcPr>
            <w:tcW w:w="954" w:type="pct"/>
          </w:tcPr>
          <w:p w:rsidR="00C73C90" w:rsidRPr="00B623DB" w:rsidRDefault="00C73C90" w:rsidP="00C73C90">
            <w:pPr>
              <w:pStyle w:val="TableText"/>
            </w:pPr>
            <w:r w:rsidRPr="00B623DB">
              <w:t>Goldbach-Mansky 2006</w:t>
            </w:r>
          </w:p>
          <w:p w:rsidR="00C73C90" w:rsidRPr="00B623DB" w:rsidRDefault="00C73C90" w:rsidP="00C73C90">
            <w:pPr>
              <w:pStyle w:val="TableText"/>
            </w:pPr>
            <w:r w:rsidRPr="00B623DB">
              <w:t>(NCT00069329)</w:t>
            </w:r>
          </w:p>
          <w:p w:rsidR="00C73C90" w:rsidRPr="00B623DB" w:rsidRDefault="00C73C90" w:rsidP="00C73C90">
            <w:pPr>
              <w:pStyle w:val="TableText"/>
            </w:pPr>
          </w:p>
        </w:tc>
        <w:tc>
          <w:tcPr>
            <w:tcW w:w="1962" w:type="pct"/>
          </w:tcPr>
          <w:p w:rsidR="00C73C90" w:rsidRPr="00B623DB" w:rsidRDefault="00C73C90" w:rsidP="00C73C90">
            <w:pPr>
              <w:pStyle w:val="TableText"/>
              <w:spacing w:before="0" w:after="0"/>
            </w:pPr>
            <w:r w:rsidRPr="00B623DB">
              <w:t xml:space="preserve">Goldbach-Mansky et al. 2006. Neonatal-onset multisystem inflammatory disease responsive to interleukin-1β inhibition. </w:t>
            </w:r>
          </w:p>
          <w:p w:rsidR="00C73C90" w:rsidRPr="00B623DB" w:rsidRDefault="00C73C90" w:rsidP="00F72E83">
            <w:pPr>
              <w:pStyle w:val="TableText"/>
              <w:spacing w:before="0" w:after="0"/>
            </w:pPr>
          </w:p>
        </w:tc>
        <w:tc>
          <w:tcPr>
            <w:tcW w:w="2084" w:type="pct"/>
          </w:tcPr>
          <w:p w:rsidR="00C73C90" w:rsidRPr="00B623DB" w:rsidRDefault="00F72E83" w:rsidP="00C73C90">
            <w:pPr>
              <w:pStyle w:val="TableText"/>
              <w:spacing w:before="0" w:after="0"/>
            </w:pPr>
            <w:r w:rsidRPr="00B623DB">
              <w:t>NEJM 2006; 355(6): 581 – 592</w:t>
            </w:r>
          </w:p>
          <w:p w:rsidR="00C73C90" w:rsidRPr="00B623DB" w:rsidRDefault="00C73C90" w:rsidP="00C73C90">
            <w:pPr>
              <w:pStyle w:val="TableText"/>
              <w:spacing w:before="0" w:after="0"/>
              <w:rPr>
                <w:b/>
              </w:rPr>
            </w:pPr>
          </w:p>
        </w:tc>
      </w:tr>
      <w:tr w:rsidR="00F72E83" w:rsidRPr="00B623DB" w:rsidTr="00F94B7D">
        <w:tc>
          <w:tcPr>
            <w:tcW w:w="954" w:type="pct"/>
          </w:tcPr>
          <w:p w:rsidR="00F72E83" w:rsidRPr="00B623DB" w:rsidRDefault="00F72E83" w:rsidP="00F72E83">
            <w:pPr>
              <w:pStyle w:val="TableText"/>
            </w:pPr>
          </w:p>
        </w:tc>
        <w:tc>
          <w:tcPr>
            <w:tcW w:w="1962" w:type="pct"/>
          </w:tcPr>
          <w:p w:rsidR="00F72E83" w:rsidRPr="00B623DB" w:rsidRDefault="00F72E83" w:rsidP="00F72E83">
            <w:pPr>
              <w:pStyle w:val="TableText"/>
              <w:spacing w:before="0" w:after="0"/>
            </w:pPr>
            <w:r w:rsidRPr="00B623DB">
              <w:t xml:space="preserve">Anakinra to Treat Patients with Neonatal Onset Multisystem Inflammatory Disease. NCT00069329. </w:t>
            </w:r>
          </w:p>
          <w:p w:rsidR="00F72E83" w:rsidRPr="00B623DB" w:rsidRDefault="00F72E83" w:rsidP="00F72E83">
            <w:pPr>
              <w:pStyle w:val="TableText"/>
              <w:spacing w:before="0" w:after="0"/>
            </w:pPr>
          </w:p>
        </w:tc>
        <w:tc>
          <w:tcPr>
            <w:tcW w:w="2084" w:type="pct"/>
          </w:tcPr>
          <w:p w:rsidR="00F72E83" w:rsidRPr="00B623DB" w:rsidRDefault="00F72E83" w:rsidP="00F72E83">
            <w:pPr>
              <w:pStyle w:val="TableText"/>
              <w:spacing w:before="0" w:after="0"/>
            </w:pPr>
            <w:r w:rsidRPr="00B623DB">
              <w:t>Clinicaltrials.gov</w:t>
            </w:r>
          </w:p>
          <w:p w:rsidR="00F72E83" w:rsidRPr="00B623DB" w:rsidRDefault="00F72E83" w:rsidP="00F72E83">
            <w:pPr>
              <w:pStyle w:val="TableText"/>
              <w:spacing w:before="0" w:after="0"/>
            </w:pPr>
          </w:p>
        </w:tc>
      </w:tr>
      <w:tr w:rsidR="00F72E83" w:rsidRPr="00B623DB" w:rsidTr="00F94B7D">
        <w:tc>
          <w:tcPr>
            <w:tcW w:w="954" w:type="pct"/>
          </w:tcPr>
          <w:p w:rsidR="00F72E83" w:rsidRPr="00B623DB" w:rsidRDefault="00F72E83" w:rsidP="00F72E83">
            <w:pPr>
              <w:pStyle w:val="TableText"/>
            </w:pPr>
          </w:p>
        </w:tc>
        <w:tc>
          <w:tcPr>
            <w:tcW w:w="1962" w:type="pct"/>
          </w:tcPr>
          <w:p w:rsidR="00F72E83" w:rsidRPr="00B623DB" w:rsidRDefault="00F72E83" w:rsidP="00F72E83">
            <w:pPr>
              <w:pStyle w:val="TableText"/>
              <w:spacing w:before="0" w:after="0"/>
            </w:pPr>
            <w:r w:rsidRPr="00B623DB">
              <w:t xml:space="preserve">Olivecrona et al. Kineret® (anakinra) controls disease symptoms in patients with severe cryopyrin-associated periodic syndromes (CAPS) up to 5–year follow–up data. </w:t>
            </w:r>
          </w:p>
          <w:p w:rsidR="00F72E83" w:rsidRPr="00B623DB" w:rsidRDefault="00F72E83" w:rsidP="00F72E83">
            <w:pPr>
              <w:pStyle w:val="TableText"/>
              <w:spacing w:before="0" w:after="0"/>
            </w:pPr>
          </w:p>
        </w:tc>
        <w:tc>
          <w:tcPr>
            <w:tcW w:w="2084" w:type="pct"/>
          </w:tcPr>
          <w:p w:rsidR="00F72E83" w:rsidRPr="00B623DB" w:rsidRDefault="00F72E83" w:rsidP="00F72E83">
            <w:pPr>
              <w:pStyle w:val="TableText"/>
              <w:spacing w:before="0" w:after="0"/>
            </w:pPr>
            <w:r w:rsidRPr="00B623DB">
              <w:t>Annals of the Rheumatic Diseases 2013; 72 (Suppl 3).</w:t>
            </w:r>
          </w:p>
          <w:p w:rsidR="00F72E83" w:rsidRPr="00B623DB" w:rsidRDefault="00F72E83" w:rsidP="00F72E83">
            <w:pPr>
              <w:pStyle w:val="TableText"/>
              <w:spacing w:before="0" w:after="0"/>
            </w:pPr>
          </w:p>
        </w:tc>
      </w:tr>
      <w:tr w:rsidR="00F72E83" w:rsidRPr="00B623DB" w:rsidTr="00F94B7D">
        <w:tc>
          <w:tcPr>
            <w:tcW w:w="954" w:type="pct"/>
          </w:tcPr>
          <w:p w:rsidR="00F72E83" w:rsidRPr="00B623DB" w:rsidRDefault="00F72E83" w:rsidP="00F72E83">
            <w:pPr>
              <w:pStyle w:val="TableText"/>
            </w:pPr>
            <w:r w:rsidRPr="00B623DB">
              <w:t xml:space="preserve">Sibley 2012 </w:t>
            </w:r>
          </w:p>
          <w:p w:rsidR="00F72E83" w:rsidRPr="00B623DB" w:rsidRDefault="00F72E83" w:rsidP="00F72E83">
            <w:pPr>
              <w:pStyle w:val="TableText"/>
            </w:pPr>
            <w:r w:rsidRPr="00B623DB">
              <w:t>(NCT00069329)</w:t>
            </w:r>
          </w:p>
          <w:p w:rsidR="00F72E83" w:rsidRPr="00B623DB" w:rsidRDefault="00F72E83" w:rsidP="00F72E83">
            <w:pPr>
              <w:pStyle w:val="TableText"/>
            </w:pPr>
          </w:p>
        </w:tc>
        <w:tc>
          <w:tcPr>
            <w:tcW w:w="1962" w:type="pct"/>
          </w:tcPr>
          <w:p w:rsidR="00F72E83" w:rsidRPr="00B623DB" w:rsidRDefault="00F72E83" w:rsidP="00F72E83">
            <w:pPr>
              <w:pStyle w:val="TableText"/>
              <w:spacing w:before="0" w:after="0"/>
            </w:pPr>
            <w:r w:rsidRPr="00B623DB">
              <w:t>Sibley et al. 2012. Sustained response and prevention of damage progression in patients with neonatal-onset multisystem inflammatory disease treated with anakinra. A cohort study to determine three and five – year outcomes.</w:t>
            </w:r>
          </w:p>
          <w:p w:rsidR="00F72E83" w:rsidRPr="00B623DB" w:rsidRDefault="00F72E83" w:rsidP="00F72E83">
            <w:pPr>
              <w:pStyle w:val="TableText"/>
              <w:spacing w:before="0" w:after="0"/>
            </w:pPr>
          </w:p>
        </w:tc>
        <w:tc>
          <w:tcPr>
            <w:tcW w:w="2084" w:type="pct"/>
          </w:tcPr>
          <w:p w:rsidR="00F72E83" w:rsidRPr="00B623DB" w:rsidRDefault="00F72E83" w:rsidP="00F72E83">
            <w:pPr>
              <w:pStyle w:val="TableText"/>
              <w:spacing w:before="0" w:after="0"/>
            </w:pPr>
            <w:r w:rsidRPr="00B623DB">
              <w:t>Arthritis &amp; Rheumatism 2012; 64(7): 2375 – 2386</w:t>
            </w:r>
          </w:p>
        </w:tc>
      </w:tr>
      <w:tr w:rsidR="00F72E83" w:rsidRPr="00B623DB" w:rsidTr="00F94B7D">
        <w:tc>
          <w:tcPr>
            <w:tcW w:w="954" w:type="pct"/>
          </w:tcPr>
          <w:p w:rsidR="00F72E83" w:rsidRPr="00B623DB" w:rsidRDefault="00F72E83" w:rsidP="00F72E83">
            <w:pPr>
              <w:pStyle w:val="TableText"/>
            </w:pPr>
            <w:r w:rsidRPr="00B623DB">
              <w:t>Kullenberg 2016</w:t>
            </w:r>
          </w:p>
          <w:p w:rsidR="00F72E83" w:rsidRPr="00B623DB" w:rsidRDefault="00F72E83" w:rsidP="00F72E83">
            <w:pPr>
              <w:pStyle w:val="TableText"/>
            </w:pPr>
            <w:r w:rsidRPr="00B623DB">
              <w:t>(NCT00069329)</w:t>
            </w:r>
          </w:p>
          <w:p w:rsidR="00F72E83" w:rsidRPr="00B623DB" w:rsidRDefault="00F72E83" w:rsidP="00F72E83">
            <w:pPr>
              <w:pStyle w:val="TableText"/>
            </w:pPr>
          </w:p>
        </w:tc>
        <w:tc>
          <w:tcPr>
            <w:tcW w:w="1962" w:type="pct"/>
          </w:tcPr>
          <w:p w:rsidR="00F72E83" w:rsidRPr="00B623DB" w:rsidRDefault="00F72E83" w:rsidP="00F72E83">
            <w:pPr>
              <w:pStyle w:val="TableText"/>
              <w:spacing w:before="0" w:after="0"/>
            </w:pPr>
            <w:r w:rsidRPr="00B623DB">
              <w:t>Kullenberg et al. Long-term safety profile of anakinra in patients with severe cryopyrin-associated periodic syndromes.</w:t>
            </w:r>
          </w:p>
          <w:p w:rsidR="00F72E83" w:rsidRPr="00B623DB" w:rsidRDefault="00F72E83" w:rsidP="00F72E83">
            <w:pPr>
              <w:pStyle w:val="TableText"/>
              <w:spacing w:before="0" w:after="0"/>
            </w:pPr>
          </w:p>
        </w:tc>
        <w:tc>
          <w:tcPr>
            <w:tcW w:w="2084" w:type="pct"/>
          </w:tcPr>
          <w:p w:rsidR="00F72E83" w:rsidRPr="00B623DB" w:rsidRDefault="00F72E83" w:rsidP="00F72E83">
            <w:pPr>
              <w:pStyle w:val="TableText"/>
              <w:spacing w:before="0" w:after="0"/>
            </w:pPr>
            <w:r w:rsidRPr="00B623DB">
              <w:t>Rheumatology 2016; 55: 1499–1506</w:t>
            </w:r>
          </w:p>
          <w:p w:rsidR="00F72E83" w:rsidRPr="00B623DB" w:rsidRDefault="00F72E83" w:rsidP="00F72E83">
            <w:pPr>
              <w:pStyle w:val="TableText"/>
              <w:spacing w:before="0" w:after="0"/>
            </w:pPr>
          </w:p>
        </w:tc>
      </w:tr>
      <w:tr w:rsidR="00F72E83" w:rsidRPr="00B623DB" w:rsidTr="00F94B7D">
        <w:tc>
          <w:tcPr>
            <w:tcW w:w="954" w:type="pct"/>
          </w:tcPr>
          <w:p w:rsidR="00F72E83" w:rsidRPr="00B623DB" w:rsidRDefault="00F72E83" w:rsidP="00F72E83">
            <w:pPr>
              <w:pStyle w:val="TableText"/>
            </w:pPr>
          </w:p>
        </w:tc>
        <w:tc>
          <w:tcPr>
            <w:tcW w:w="1962" w:type="pct"/>
          </w:tcPr>
          <w:p w:rsidR="00F72E83" w:rsidRPr="00B623DB" w:rsidRDefault="00F72E83" w:rsidP="00F72E83">
            <w:pPr>
              <w:pStyle w:val="TableText"/>
              <w:spacing w:before="0" w:after="0"/>
            </w:pPr>
            <w:r w:rsidRPr="00B623DB">
              <w:t>Kullenberg et al. Steroid-sparing effect of anakinra (Kineret®) in the treatment of patients with severe cryopyrin-associated periodic syndromes.</w:t>
            </w:r>
          </w:p>
        </w:tc>
        <w:tc>
          <w:tcPr>
            <w:tcW w:w="2084" w:type="pct"/>
          </w:tcPr>
          <w:p w:rsidR="00F72E83" w:rsidRPr="00B623DB" w:rsidRDefault="00F72E83" w:rsidP="00F72E83">
            <w:pPr>
              <w:pStyle w:val="TableText"/>
              <w:spacing w:before="0" w:after="0"/>
            </w:pPr>
            <w:r w:rsidRPr="00B623DB">
              <w:t>Annals of Rheumatic Disease 2015; 74: 607</w:t>
            </w:r>
          </w:p>
        </w:tc>
      </w:tr>
      <w:tr w:rsidR="00F72E83" w:rsidRPr="00B623DB" w:rsidTr="00F94B7D">
        <w:tc>
          <w:tcPr>
            <w:tcW w:w="954" w:type="pct"/>
          </w:tcPr>
          <w:p w:rsidR="00F72E83" w:rsidRPr="00B623DB" w:rsidRDefault="00F72E83" w:rsidP="00F72E83">
            <w:pPr>
              <w:pStyle w:val="TableText"/>
            </w:pPr>
            <w:r w:rsidRPr="00B623DB">
              <w:t>Ross 2008</w:t>
            </w:r>
          </w:p>
        </w:tc>
        <w:tc>
          <w:tcPr>
            <w:tcW w:w="1962" w:type="pct"/>
          </w:tcPr>
          <w:p w:rsidR="00F72E83" w:rsidRPr="00B623DB" w:rsidRDefault="00F72E83" w:rsidP="00F72E83">
            <w:pPr>
              <w:pStyle w:val="TableText"/>
            </w:pPr>
            <w:r w:rsidRPr="00B623DB">
              <w:t xml:space="preserve">Ross et al. Use of anakinra (Kineret®) in the treatment of familial cold autoinflammatory syndrome with a 16-month follow-up. </w:t>
            </w:r>
          </w:p>
        </w:tc>
        <w:tc>
          <w:tcPr>
            <w:tcW w:w="2084" w:type="pct"/>
          </w:tcPr>
          <w:p w:rsidR="00F72E83" w:rsidRPr="00B623DB" w:rsidRDefault="00F72E83" w:rsidP="00F72E83">
            <w:pPr>
              <w:pStyle w:val="TableText"/>
            </w:pPr>
            <w:r w:rsidRPr="00B623DB">
              <w:t>Journal of Cutaneous Medicine and Surgery 2008; 12(1): 8–16</w:t>
            </w:r>
          </w:p>
        </w:tc>
      </w:tr>
      <w:tr w:rsidR="00F72E83" w:rsidRPr="00B623DB" w:rsidTr="00F94B7D">
        <w:tc>
          <w:tcPr>
            <w:tcW w:w="954" w:type="pct"/>
          </w:tcPr>
          <w:p w:rsidR="00F72E83" w:rsidRPr="00B623DB" w:rsidRDefault="00F72E83" w:rsidP="00F72E83">
            <w:pPr>
              <w:pStyle w:val="TableText"/>
            </w:pPr>
            <w:r w:rsidRPr="00B623DB">
              <w:t>Lepore 2010</w:t>
            </w:r>
          </w:p>
        </w:tc>
        <w:tc>
          <w:tcPr>
            <w:tcW w:w="1962" w:type="pct"/>
          </w:tcPr>
          <w:p w:rsidR="00F72E83" w:rsidRPr="00B623DB" w:rsidRDefault="00F72E83" w:rsidP="00F72E83">
            <w:pPr>
              <w:pStyle w:val="TableText"/>
              <w:spacing w:before="0" w:after="0"/>
            </w:pPr>
            <w:r w:rsidRPr="00B623DB">
              <w:t xml:space="preserve">Lepore et al. Follow-up and quality of life of patients with cryopyrin-associated periodic syndromes treated with anakinra. </w:t>
            </w:r>
          </w:p>
          <w:p w:rsidR="00F72E83" w:rsidRPr="00B623DB" w:rsidRDefault="00F72E83" w:rsidP="00F72E83">
            <w:pPr>
              <w:pStyle w:val="TableText"/>
              <w:spacing w:before="0" w:after="0"/>
            </w:pPr>
          </w:p>
        </w:tc>
        <w:tc>
          <w:tcPr>
            <w:tcW w:w="2084" w:type="pct"/>
          </w:tcPr>
          <w:p w:rsidR="00F72E83" w:rsidRPr="00B623DB" w:rsidRDefault="00F72E83" w:rsidP="00F72E83">
            <w:pPr>
              <w:pStyle w:val="TableText"/>
              <w:spacing w:before="0" w:after="0"/>
            </w:pPr>
            <w:r w:rsidRPr="00B623DB">
              <w:t>The Journal of Pediatrics 2010; 157(2):310–315</w:t>
            </w:r>
          </w:p>
        </w:tc>
      </w:tr>
      <w:tr w:rsidR="00F72E83" w:rsidRPr="00B623DB" w:rsidTr="00F94B7D">
        <w:tc>
          <w:tcPr>
            <w:tcW w:w="954" w:type="pct"/>
          </w:tcPr>
          <w:p w:rsidR="00F72E83" w:rsidRPr="00B623DB" w:rsidRDefault="00F72E83" w:rsidP="00F72E83">
            <w:pPr>
              <w:pStyle w:val="TableText"/>
            </w:pPr>
          </w:p>
        </w:tc>
        <w:tc>
          <w:tcPr>
            <w:tcW w:w="1962" w:type="pct"/>
          </w:tcPr>
          <w:p w:rsidR="00F72E83" w:rsidRPr="00B623DB" w:rsidRDefault="00F72E83" w:rsidP="00F72E83">
            <w:pPr>
              <w:pStyle w:val="TableText"/>
              <w:spacing w:before="0" w:after="0"/>
            </w:pPr>
            <w:r w:rsidRPr="00B623DB">
              <w:t xml:space="preserve">Lasiglie et al. Role of IL-1 beta in the development of human TH17 cells: Lessons from NLPR3 mutated patients. </w:t>
            </w:r>
          </w:p>
          <w:p w:rsidR="00F72E83" w:rsidRPr="00B623DB" w:rsidRDefault="00F72E83" w:rsidP="00F72E83">
            <w:pPr>
              <w:pStyle w:val="TableText"/>
              <w:spacing w:before="0" w:after="0"/>
            </w:pPr>
          </w:p>
        </w:tc>
        <w:tc>
          <w:tcPr>
            <w:tcW w:w="2084" w:type="pct"/>
          </w:tcPr>
          <w:p w:rsidR="00F72E83" w:rsidRPr="00B623DB" w:rsidRDefault="00F72E83" w:rsidP="00F72E83">
            <w:pPr>
              <w:pStyle w:val="TableText"/>
              <w:spacing w:before="0" w:after="0"/>
            </w:pPr>
            <w:r w:rsidRPr="00B623DB">
              <w:t>PloS ONE 2011; 6(5): e200014</w:t>
            </w:r>
          </w:p>
          <w:p w:rsidR="00F72E83" w:rsidRPr="00B623DB" w:rsidRDefault="00F72E83" w:rsidP="00F72E83">
            <w:pPr>
              <w:pStyle w:val="TableText"/>
              <w:spacing w:before="0" w:after="0"/>
            </w:pPr>
          </w:p>
        </w:tc>
      </w:tr>
      <w:tr w:rsidR="00F72E83" w:rsidRPr="00B623DB" w:rsidTr="00F94B7D">
        <w:tc>
          <w:tcPr>
            <w:tcW w:w="954" w:type="pct"/>
          </w:tcPr>
          <w:p w:rsidR="00F72E83" w:rsidRPr="00B623DB" w:rsidRDefault="00F72E83" w:rsidP="00F72E83">
            <w:pPr>
              <w:pStyle w:val="TableText"/>
            </w:pPr>
          </w:p>
        </w:tc>
        <w:tc>
          <w:tcPr>
            <w:tcW w:w="1962" w:type="pct"/>
          </w:tcPr>
          <w:p w:rsidR="00F72E83" w:rsidRPr="00B623DB" w:rsidRDefault="00F72E83" w:rsidP="00F72E83">
            <w:pPr>
              <w:pStyle w:val="TableText"/>
              <w:spacing w:before="0" w:after="0"/>
            </w:pPr>
            <w:r w:rsidRPr="00B623DB">
              <w:t xml:space="preserve">Caroli et al. Clinical and genetic characterization of Italian patients affected by CINCA syndrome. </w:t>
            </w:r>
          </w:p>
          <w:p w:rsidR="00F72E83" w:rsidRPr="00B623DB" w:rsidRDefault="00F72E83" w:rsidP="00F72E83">
            <w:pPr>
              <w:pStyle w:val="TableText"/>
              <w:spacing w:before="0" w:after="0"/>
            </w:pPr>
          </w:p>
        </w:tc>
        <w:tc>
          <w:tcPr>
            <w:tcW w:w="2084" w:type="pct"/>
          </w:tcPr>
          <w:p w:rsidR="00F72E83" w:rsidRPr="00B623DB" w:rsidRDefault="00F72E83" w:rsidP="00F72E83">
            <w:pPr>
              <w:pStyle w:val="TableText"/>
              <w:spacing w:before="0" w:after="0"/>
            </w:pPr>
            <w:r w:rsidRPr="00B623DB">
              <w:t>Rheumatology 2007; 46: 473–478</w:t>
            </w:r>
          </w:p>
          <w:p w:rsidR="00F72E83" w:rsidRPr="00B623DB" w:rsidRDefault="00F72E83" w:rsidP="00F72E83">
            <w:pPr>
              <w:pStyle w:val="TableText"/>
              <w:spacing w:before="0" w:after="0"/>
            </w:pPr>
          </w:p>
        </w:tc>
      </w:tr>
      <w:tr w:rsidR="00F72E83" w:rsidRPr="00B623DB" w:rsidTr="00F94B7D">
        <w:tc>
          <w:tcPr>
            <w:tcW w:w="954" w:type="pct"/>
          </w:tcPr>
          <w:p w:rsidR="00F72E83" w:rsidRPr="00B623DB" w:rsidRDefault="00F72E83" w:rsidP="00F72E83">
            <w:pPr>
              <w:pStyle w:val="TableText"/>
            </w:pPr>
          </w:p>
        </w:tc>
        <w:tc>
          <w:tcPr>
            <w:tcW w:w="1962" w:type="pct"/>
          </w:tcPr>
          <w:p w:rsidR="00F72E83" w:rsidRPr="00B623DB" w:rsidRDefault="00F72E83" w:rsidP="00F72E83">
            <w:pPr>
              <w:pStyle w:val="TableText"/>
              <w:spacing w:before="0" w:after="0"/>
            </w:pPr>
            <w:r w:rsidRPr="00B623DB">
              <w:t>Gattorno et al. Pattern of interleukin–1β secretion in response to lipopolysaccharide and ATP before and after interleukin-1 blockade in patients with CIAS1 mutations.</w:t>
            </w:r>
          </w:p>
        </w:tc>
        <w:tc>
          <w:tcPr>
            <w:tcW w:w="2084" w:type="pct"/>
          </w:tcPr>
          <w:p w:rsidR="00F72E83" w:rsidRPr="00B623DB" w:rsidRDefault="00F72E83" w:rsidP="00F72E83">
            <w:pPr>
              <w:pStyle w:val="TableText"/>
              <w:spacing w:before="0" w:after="0"/>
            </w:pPr>
            <w:r w:rsidRPr="00B623DB">
              <w:t>Arthritis and Rheumatism 2007; 56(9): 3138–3148</w:t>
            </w:r>
          </w:p>
        </w:tc>
      </w:tr>
      <w:tr w:rsidR="00F72E83" w:rsidRPr="00B623DB" w:rsidTr="00F94B7D">
        <w:tc>
          <w:tcPr>
            <w:tcW w:w="954" w:type="pct"/>
          </w:tcPr>
          <w:p w:rsidR="00F72E83" w:rsidRPr="00B623DB" w:rsidRDefault="00F72E83" w:rsidP="00F72E83">
            <w:pPr>
              <w:pStyle w:val="TableText"/>
              <w:spacing w:before="0" w:after="0"/>
            </w:pPr>
            <w:r w:rsidRPr="00B623DB">
              <w:t>Kuemmerle-Deschner 2011</w:t>
            </w:r>
          </w:p>
        </w:tc>
        <w:tc>
          <w:tcPr>
            <w:tcW w:w="1962" w:type="pct"/>
          </w:tcPr>
          <w:p w:rsidR="00F72E83" w:rsidRPr="00B623DB" w:rsidRDefault="00F72E83" w:rsidP="00F72E83">
            <w:pPr>
              <w:pStyle w:val="TableText"/>
              <w:spacing w:before="0" w:after="0"/>
            </w:pPr>
            <w:r w:rsidRPr="00B623DB">
              <w:t xml:space="preserve">Kuemmerle-Deschner et al. Efficacy and safety of anakinra therapy in pediatric and adult patients with the autoinflammatory Muckle-Wells syndrome. </w:t>
            </w:r>
          </w:p>
        </w:tc>
        <w:tc>
          <w:tcPr>
            <w:tcW w:w="2084" w:type="pct"/>
          </w:tcPr>
          <w:p w:rsidR="00F72E83" w:rsidRPr="00B623DB" w:rsidRDefault="00F72E83" w:rsidP="00F72E83">
            <w:pPr>
              <w:pStyle w:val="TableText"/>
              <w:spacing w:before="0" w:after="0"/>
            </w:pPr>
            <w:r w:rsidRPr="00B623DB">
              <w:t>Arthritis and Rheumatism 2011; 63(3) 840–849</w:t>
            </w:r>
          </w:p>
        </w:tc>
      </w:tr>
    </w:tbl>
    <w:p w:rsidR="00026699" w:rsidRPr="00B623DB" w:rsidRDefault="00026699" w:rsidP="00772501">
      <w:pPr>
        <w:pStyle w:val="TableFooter"/>
      </w:pPr>
      <w:r w:rsidRPr="00B623DB">
        <w:t>Source: Table 2.5, pp39-44 of the submission</w:t>
      </w:r>
    </w:p>
    <w:p w:rsidR="00C317F3" w:rsidRPr="00B623DB" w:rsidRDefault="00C317F3" w:rsidP="00C42C16">
      <w:pPr>
        <w:pStyle w:val="ListParagraph"/>
        <w:numPr>
          <w:ilvl w:val="1"/>
          <w:numId w:val="2"/>
        </w:numPr>
        <w:spacing w:before="0" w:after="120"/>
        <w:jc w:val="both"/>
      </w:pPr>
      <w:r w:rsidRPr="00B623DB">
        <w:t xml:space="preserve">The key features of the </w:t>
      </w:r>
      <w:r w:rsidR="00F72E83" w:rsidRPr="00B623DB">
        <w:t>canakinumab randomised trial</w:t>
      </w:r>
      <w:r w:rsidR="009D3F0A" w:rsidRPr="00B623DB">
        <w:t xml:space="preserve"> (Trial D2304)</w:t>
      </w:r>
      <w:r w:rsidR="00F72E83" w:rsidRPr="00B623DB">
        <w:t xml:space="preserve"> and the nonrandomised studies</w:t>
      </w:r>
      <w:r w:rsidRPr="00B623DB">
        <w:t xml:space="preserve"> are summarised in the table below. </w:t>
      </w:r>
      <w:r w:rsidR="00D148B7" w:rsidRPr="00B623DB">
        <w:t>The primary outcome for the randomised part of Trial D2304 was the proportion of patients with disease flare, defined as C-reactive protein and/or serum amyloid A values &gt;30 mg/L; and either physician global assessment of autoinflammatory disease activity &gt; minimal; or physician global assessment of autoinflammatory disease activity = minimal, and assessment of skin disease &gt; minimal.</w:t>
      </w:r>
    </w:p>
    <w:p w:rsidR="00C317F3" w:rsidRPr="00B623DB" w:rsidRDefault="00C317F3" w:rsidP="00772501">
      <w:pPr>
        <w:pStyle w:val="TableHeading0"/>
      </w:pPr>
      <w:r w:rsidRPr="00B623DB">
        <w:t xml:space="preserve">Table </w:t>
      </w:r>
      <w:r w:rsidR="000C6F34" w:rsidRPr="00B623DB">
        <w:t>3</w:t>
      </w:r>
      <w:r w:rsidRPr="00B623DB">
        <w:t>: Key features of the included evidence</w:t>
      </w:r>
      <w:r w:rsidR="00624315" w:rsidRPr="00B623DB">
        <w:t xml:space="preserve">, </w:t>
      </w:r>
      <w:r w:rsidR="000C6F34" w:rsidRPr="00B623DB">
        <w:t>canakinumab and anakinra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1"/>
        <w:gridCol w:w="774"/>
        <w:gridCol w:w="2002"/>
        <w:gridCol w:w="1077"/>
        <w:gridCol w:w="1889"/>
        <w:gridCol w:w="2109"/>
      </w:tblGrid>
      <w:tr w:rsidR="00866DAF" w:rsidRPr="00B623DB" w:rsidTr="00021C1E">
        <w:tc>
          <w:tcPr>
            <w:tcW w:w="678" w:type="pct"/>
            <w:shd w:val="clear" w:color="auto" w:fill="auto"/>
            <w:vAlign w:val="center"/>
          </w:tcPr>
          <w:p w:rsidR="00866DAF" w:rsidRPr="00B623DB" w:rsidRDefault="00866DAF" w:rsidP="00772501">
            <w:pPr>
              <w:pStyle w:val="TableText"/>
              <w:rPr>
                <w:b/>
              </w:rPr>
            </w:pPr>
            <w:r w:rsidRPr="00B623DB">
              <w:rPr>
                <w:b/>
              </w:rPr>
              <w:t>Trial</w:t>
            </w:r>
          </w:p>
        </w:tc>
        <w:tc>
          <w:tcPr>
            <w:tcW w:w="426" w:type="pct"/>
            <w:shd w:val="clear" w:color="auto" w:fill="auto"/>
            <w:vAlign w:val="center"/>
          </w:tcPr>
          <w:p w:rsidR="00866DAF" w:rsidRPr="00B623DB" w:rsidRDefault="00866DAF" w:rsidP="009F458B">
            <w:pPr>
              <w:pStyle w:val="TableText"/>
              <w:jc w:val="center"/>
              <w:rPr>
                <w:b/>
              </w:rPr>
            </w:pPr>
            <w:r w:rsidRPr="00B623DB">
              <w:rPr>
                <w:b/>
              </w:rPr>
              <w:t>N</w:t>
            </w:r>
          </w:p>
        </w:tc>
        <w:tc>
          <w:tcPr>
            <w:tcW w:w="1102" w:type="pct"/>
            <w:shd w:val="clear" w:color="auto" w:fill="auto"/>
            <w:vAlign w:val="center"/>
          </w:tcPr>
          <w:p w:rsidR="00866DAF" w:rsidRPr="00B623DB" w:rsidRDefault="00866DAF" w:rsidP="00772501">
            <w:pPr>
              <w:pStyle w:val="TableText"/>
              <w:rPr>
                <w:b/>
              </w:rPr>
            </w:pPr>
            <w:r w:rsidRPr="00B623DB">
              <w:rPr>
                <w:b/>
              </w:rPr>
              <w:t>Design/ duration of follow-up</w:t>
            </w:r>
          </w:p>
        </w:tc>
        <w:tc>
          <w:tcPr>
            <w:tcW w:w="593" w:type="pct"/>
            <w:shd w:val="clear" w:color="auto" w:fill="auto"/>
            <w:vAlign w:val="center"/>
          </w:tcPr>
          <w:p w:rsidR="00866DAF" w:rsidRPr="00B623DB" w:rsidRDefault="00866DAF" w:rsidP="00772501">
            <w:pPr>
              <w:pStyle w:val="TableText"/>
              <w:rPr>
                <w:b/>
              </w:rPr>
            </w:pPr>
            <w:r w:rsidRPr="00B623DB">
              <w:rPr>
                <w:b/>
              </w:rPr>
              <w:t>Risk of bias</w:t>
            </w:r>
          </w:p>
        </w:tc>
        <w:tc>
          <w:tcPr>
            <w:tcW w:w="1040" w:type="pct"/>
            <w:shd w:val="clear" w:color="auto" w:fill="auto"/>
            <w:vAlign w:val="center"/>
          </w:tcPr>
          <w:p w:rsidR="00866DAF" w:rsidRPr="00B623DB" w:rsidRDefault="00866DAF" w:rsidP="00772501">
            <w:pPr>
              <w:pStyle w:val="TableText"/>
              <w:rPr>
                <w:b/>
              </w:rPr>
            </w:pPr>
            <w:r w:rsidRPr="00B623DB">
              <w:rPr>
                <w:b/>
              </w:rPr>
              <w:t>Patient population</w:t>
            </w:r>
          </w:p>
        </w:tc>
        <w:tc>
          <w:tcPr>
            <w:tcW w:w="1161" w:type="pct"/>
            <w:shd w:val="clear" w:color="auto" w:fill="auto"/>
            <w:vAlign w:val="center"/>
          </w:tcPr>
          <w:p w:rsidR="00866DAF" w:rsidRPr="00B623DB" w:rsidRDefault="004C344A" w:rsidP="00772501">
            <w:pPr>
              <w:pStyle w:val="TableText"/>
              <w:rPr>
                <w:b/>
              </w:rPr>
            </w:pPr>
            <w:r w:rsidRPr="00B623DB">
              <w:rPr>
                <w:b/>
              </w:rPr>
              <w:t>Outcomes</w:t>
            </w:r>
          </w:p>
        </w:tc>
      </w:tr>
      <w:tr w:rsidR="00021C1E" w:rsidRPr="00B623DB" w:rsidTr="00021C1E">
        <w:tc>
          <w:tcPr>
            <w:tcW w:w="5000" w:type="pct"/>
            <w:gridSpan w:val="6"/>
            <w:shd w:val="clear" w:color="auto" w:fill="auto"/>
            <w:vAlign w:val="center"/>
          </w:tcPr>
          <w:p w:rsidR="00021C1E" w:rsidRPr="00B623DB" w:rsidRDefault="00021C1E" w:rsidP="009F458B">
            <w:pPr>
              <w:pStyle w:val="TableText"/>
              <w:rPr>
                <w:b/>
              </w:rPr>
            </w:pPr>
            <w:r w:rsidRPr="00B623DB">
              <w:rPr>
                <w:b/>
              </w:rPr>
              <w:t>Canakinumab randomised trial</w:t>
            </w:r>
          </w:p>
        </w:tc>
      </w:tr>
      <w:tr w:rsidR="00866DAF" w:rsidRPr="00B623DB" w:rsidTr="00021C1E">
        <w:tc>
          <w:tcPr>
            <w:tcW w:w="678" w:type="pct"/>
            <w:shd w:val="clear" w:color="auto" w:fill="auto"/>
            <w:vAlign w:val="center"/>
          </w:tcPr>
          <w:p w:rsidR="00866DAF" w:rsidRPr="00B623DB" w:rsidRDefault="000F46D3" w:rsidP="00772501">
            <w:pPr>
              <w:pStyle w:val="TableText"/>
            </w:pPr>
            <w:r w:rsidRPr="00B623DB">
              <w:t>D2304</w:t>
            </w:r>
          </w:p>
        </w:tc>
        <w:tc>
          <w:tcPr>
            <w:tcW w:w="426" w:type="pct"/>
            <w:shd w:val="clear" w:color="auto" w:fill="auto"/>
            <w:vAlign w:val="center"/>
          </w:tcPr>
          <w:p w:rsidR="00866DAF" w:rsidRPr="00B623DB" w:rsidRDefault="00021C1E" w:rsidP="009F458B">
            <w:pPr>
              <w:pStyle w:val="TableText"/>
              <w:jc w:val="center"/>
            </w:pPr>
            <w:r w:rsidRPr="00B623DB">
              <w:t>31</w:t>
            </w:r>
          </w:p>
        </w:tc>
        <w:tc>
          <w:tcPr>
            <w:tcW w:w="1102" w:type="pct"/>
            <w:shd w:val="clear" w:color="auto" w:fill="auto"/>
            <w:vAlign w:val="center"/>
          </w:tcPr>
          <w:p w:rsidR="00866DAF" w:rsidRPr="00B623DB" w:rsidRDefault="00021C1E" w:rsidP="00772501">
            <w:pPr>
              <w:pStyle w:val="TableText"/>
            </w:pPr>
            <w:r w:rsidRPr="00B623DB">
              <w:t>3 Stage trial:</w:t>
            </w:r>
          </w:p>
          <w:p w:rsidR="00021C1E" w:rsidRPr="00B623DB" w:rsidRDefault="00021C1E" w:rsidP="00772501">
            <w:pPr>
              <w:pStyle w:val="TableText"/>
            </w:pPr>
            <w:r w:rsidRPr="00B623DB">
              <w:t>Part I: responder phase 8 weeks</w:t>
            </w:r>
          </w:p>
          <w:p w:rsidR="00021C1E" w:rsidRPr="00B623DB" w:rsidRDefault="00021C1E" w:rsidP="00772501">
            <w:pPr>
              <w:pStyle w:val="TableText"/>
            </w:pPr>
            <w:r w:rsidRPr="00B623DB">
              <w:t>Part II: Responders from Part I only; randomised, placebo-controlled</w:t>
            </w:r>
            <w:r w:rsidR="00D63D0A" w:rsidRPr="00B623DB">
              <w:t>, double-blind trial</w:t>
            </w:r>
          </w:p>
          <w:p w:rsidR="00021C1E" w:rsidRPr="00B623DB" w:rsidRDefault="00021C1E" w:rsidP="00772501">
            <w:pPr>
              <w:pStyle w:val="TableText"/>
            </w:pPr>
            <w:r w:rsidRPr="00B623DB">
              <w:t>Part III: open-label canakinumab</w:t>
            </w:r>
          </w:p>
        </w:tc>
        <w:tc>
          <w:tcPr>
            <w:tcW w:w="593" w:type="pct"/>
            <w:shd w:val="clear" w:color="auto" w:fill="auto"/>
            <w:vAlign w:val="center"/>
          </w:tcPr>
          <w:p w:rsidR="00866DAF" w:rsidRPr="00B623DB" w:rsidRDefault="00021C1E" w:rsidP="00772501">
            <w:pPr>
              <w:pStyle w:val="TableText"/>
            </w:pPr>
            <w:r w:rsidRPr="00B623DB">
              <w:t>Low (Part II)</w:t>
            </w:r>
          </w:p>
        </w:tc>
        <w:tc>
          <w:tcPr>
            <w:tcW w:w="1040" w:type="pct"/>
            <w:shd w:val="clear" w:color="auto" w:fill="auto"/>
            <w:vAlign w:val="center"/>
          </w:tcPr>
          <w:p w:rsidR="00866DAF" w:rsidRPr="00B623DB" w:rsidRDefault="00021C1E" w:rsidP="00772501">
            <w:pPr>
              <w:pStyle w:val="TableText"/>
            </w:pPr>
            <w:r w:rsidRPr="00B623DB">
              <w:t>MWS, treatment naïve or experienced</w:t>
            </w:r>
            <w:r w:rsidR="00D63D0A" w:rsidRPr="00B623DB">
              <w:t>. Only responders to canakinumab were allowed to continue into Part II (randomised phase) of the trial.</w:t>
            </w:r>
          </w:p>
        </w:tc>
        <w:tc>
          <w:tcPr>
            <w:tcW w:w="1161" w:type="pct"/>
            <w:shd w:val="clear" w:color="auto" w:fill="auto"/>
            <w:vAlign w:val="center"/>
          </w:tcPr>
          <w:p w:rsidR="00866DAF" w:rsidRPr="00B623DB" w:rsidRDefault="00021C1E" w:rsidP="00772501">
            <w:pPr>
              <w:pStyle w:val="TableText"/>
            </w:pPr>
            <w:r w:rsidRPr="00B623DB">
              <w:t>Disease flare, response</w:t>
            </w:r>
          </w:p>
        </w:tc>
      </w:tr>
      <w:tr w:rsidR="00021C1E" w:rsidRPr="00B623DB" w:rsidTr="00021C1E">
        <w:tc>
          <w:tcPr>
            <w:tcW w:w="5000" w:type="pct"/>
            <w:gridSpan w:val="6"/>
            <w:shd w:val="clear" w:color="auto" w:fill="auto"/>
            <w:vAlign w:val="center"/>
          </w:tcPr>
          <w:p w:rsidR="00021C1E" w:rsidRPr="00B623DB" w:rsidRDefault="00021C1E" w:rsidP="009F458B">
            <w:pPr>
              <w:pStyle w:val="TableText"/>
              <w:rPr>
                <w:b/>
              </w:rPr>
            </w:pPr>
            <w:r w:rsidRPr="00B623DB">
              <w:rPr>
                <w:b/>
              </w:rPr>
              <w:t>Canakinumab nonrandomised studies</w:t>
            </w:r>
          </w:p>
        </w:tc>
      </w:tr>
      <w:tr w:rsidR="00866DAF" w:rsidRPr="00B623DB" w:rsidTr="00021C1E">
        <w:tc>
          <w:tcPr>
            <w:tcW w:w="678" w:type="pct"/>
            <w:shd w:val="clear" w:color="auto" w:fill="auto"/>
            <w:vAlign w:val="center"/>
          </w:tcPr>
          <w:p w:rsidR="00866DAF" w:rsidRPr="00B623DB" w:rsidRDefault="00021C1E" w:rsidP="00772501">
            <w:pPr>
              <w:pStyle w:val="TableText"/>
            </w:pPr>
            <w:r w:rsidRPr="00B623DB">
              <w:t>D2306</w:t>
            </w:r>
          </w:p>
        </w:tc>
        <w:tc>
          <w:tcPr>
            <w:tcW w:w="426" w:type="pct"/>
            <w:shd w:val="clear" w:color="auto" w:fill="auto"/>
            <w:vAlign w:val="center"/>
          </w:tcPr>
          <w:p w:rsidR="00866DAF" w:rsidRPr="00B623DB" w:rsidRDefault="00021C1E" w:rsidP="009F458B">
            <w:pPr>
              <w:pStyle w:val="TableText"/>
              <w:jc w:val="center"/>
              <w:rPr>
                <w:rFonts w:ascii="Times" w:eastAsia="Times New Roman" w:hAnsi="Times" w:cs="Times New Roman"/>
              </w:rPr>
            </w:pPr>
            <w:r w:rsidRPr="00B623DB">
              <w:t>165</w:t>
            </w:r>
          </w:p>
        </w:tc>
        <w:tc>
          <w:tcPr>
            <w:tcW w:w="1102" w:type="pct"/>
            <w:shd w:val="clear" w:color="auto" w:fill="auto"/>
            <w:vAlign w:val="center"/>
          </w:tcPr>
          <w:p w:rsidR="00866DAF" w:rsidRPr="00B623DB" w:rsidRDefault="00021C1E" w:rsidP="00D63D0A">
            <w:pPr>
              <w:pStyle w:val="TableText"/>
            </w:pPr>
            <w:r w:rsidRPr="00B623DB">
              <w:t>Single-arm</w:t>
            </w:r>
            <w:r w:rsidR="00D63D0A" w:rsidRPr="00B623DB">
              <w:t xml:space="preserve"> open-label, long term safety and efficacy </w:t>
            </w:r>
            <w:r w:rsidRPr="00B623DB">
              <w:t>study, 169 days</w:t>
            </w:r>
          </w:p>
        </w:tc>
        <w:tc>
          <w:tcPr>
            <w:tcW w:w="593" w:type="pct"/>
            <w:shd w:val="clear" w:color="auto" w:fill="auto"/>
            <w:vAlign w:val="center"/>
          </w:tcPr>
          <w:p w:rsidR="00866DAF" w:rsidRPr="00B623DB" w:rsidRDefault="00021C1E" w:rsidP="00772501">
            <w:pPr>
              <w:pStyle w:val="TableText"/>
            </w:pPr>
            <w:r w:rsidRPr="00B623DB">
              <w:t>High</w:t>
            </w:r>
          </w:p>
        </w:tc>
        <w:tc>
          <w:tcPr>
            <w:tcW w:w="1040" w:type="pct"/>
            <w:shd w:val="clear" w:color="auto" w:fill="auto"/>
            <w:vAlign w:val="center"/>
          </w:tcPr>
          <w:p w:rsidR="00866DAF" w:rsidRPr="00B623DB" w:rsidRDefault="00021C1E" w:rsidP="00772501">
            <w:pPr>
              <w:pStyle w:val="TableText"/>
            </w:pPr>
            <w:r w:rsidRPr="00B623DB">
              <w:t>FCAS, MWS, NOMID aged ≥3 years</w:t>
            </w:r>
          </w:p>
        </w:tc>
        <w:tc>
          <w:tcPr>
            <w:tcW w:w="1161" w:type="pct"/>
            <w:shd w:val="clear" w:color="auto" w:fill="auto"/>
            <w:vAlign w:val="center"/>
          </w:tcPr>
          <w:p w:rsidR="00866DAF" w:rsidRPr="00B623DB" w:rsidRDefault="00021C1E" w:rsidP="00772501">
            <w:pPr>
              <w:pStyle w:val="TableText"/>
            </w:pPr>
            <w:r w:rsidRPr="00B623DB">
              <w:t>Response, relapse</w:t>
            </w:r>
          </w:p>
        </w:tc>
      </w:tr>
      <w:tr w:rsidR="00866DAF" w:rsidRPr="00B623DB" w:rsidTr="00021C1E">
        <w:tc>
          <w:tcPr>
            <w:tcW w:w="678" w:type="pct"/>
            <w:shd w:val="clear" w:color="auto" w:fill="auto"/>
            <w:vAlign w:val="center"/>
          </w:tcPr>
          <w:p w:rsidR="00866DAF" w:rsidRPr="00B623DB" w:rsidRDefault="00021C1E" w:rsidP="00772501">
            <w:pPr>
              <w:pStyle w:val="TableText"/>
            </w:pPr>
            <w:r w:rsidRPr="00B623DB">
              <w:t>D2307</w:t>
            </w:r>
          </w:p>
        </w:tc>
        <w:tc>
          <w:tcPr>
            <w:tcW w:w="426" w:type="pct"/>
            <w:shd w:val="clear" w:color="auto" w:fill="auto"/>
            <w:vAlign w:val="center"/>
          </w:tcPr>
          <w:p w:rsidR="00866DAF" w:rsidRPr="00B623DB" w:rsidRDefault="005E7C51" w:rsidP="009F458B">
            <w:pPr>
              <w:pStyle w:val="TableText"/>
              <w:jc w:val="center"/>
            </w:pPr>
            <w:r w:rsidRPr="00B623DB">
              <w:t>17</w:t>
            </w:r>
          </w:p>
        </w:tc>
        <w:tc>
          <w:tcPr>
            <w:tcW w:w="1102" w:type="pct"/>
            <w:shd w:val="clear" w:color="auto" w:fill="auto"/>
            <w:vAlign w:val="center"/>
          </w:tcPr>
          <w:p w:rsidR="00866DAF" w:rsidRPr="00B623DB" w:rsidRDefault="005E7C51" w:rsidP="00D63D0A">
            <w:pPr>
              <w:pStyle w:val="TableText"/>
            </w:pPr>
            <w:r w:rsidRPr="00B623DB">
              <w:t>Single-arm open</w:t>
            </w:r>
            <w:r w:rsidR="00D63D0A" w:rsidRPr="00B623DB">
              <w:t>-</w:t>
            </w:r>
            <w:r w:rsidRPr="00B623DB">
              <w:t>label study, 56 weeks</w:t>
            </w:r>
          </w:p>
        </w:tc>
        <w:tc>
          <w:tcPr>
            <w:tcW w:w="593" w:type="pct"/>
            <w:shd w:val="clear" w:color="auto" w:fill="auto"/>
            <w:vAlign w:val="center"/>
          </w:tcPr>
          <w:p w:rsidR="00866DAF" w:rsidRPr="00B623DB" w:rsidRDefault="005E7C51" w:rsidP="00772501">
            <w:pPr>
              <w:pStyle w:val="TableText"/>
            </w:pPr>
            <w:r w:rsidRPr="00B623DB">
              <w:t>High</w:t>
            </w:r>
          </w:p>
        </w:tc>
        <w:tc>
          <w:tcPr>
            <w:tcW w:w="1040" w:type="pct"/>
            <w:shd w:val="clear" w:color="auto" w:fill="auto"/>
            <w:vAlign w:val="center"/>
          </w:tcPr>
          <w:p w:rsidR="00866DAF" w:rsidRPr="00B623DB" w:rsidRDefault="004330CA" w:rsidP="00772501">
            <w:pPr>
              <w:pStyle w:val="TableText"/>
            </w:pPr>
            <w:r w:rsidRPr="00B623DB">
              <w:t>FCAS, MWS, NOMID, aged 1 month to 4 yrs</w:t>
            </w:r>
          </w:p>
        </w:tc>
        <w:tc>
          <w:tcPr>
            <w:tcW w:w="1161" w:type="pct"/>
            <w:shd w:val="clear" w:color="auto" w:fill="auto"/>
            <w:vAlign w:val="center"/>
          </w:tcPr>
          <w:p w:rsidR="00866DAF" w:rsidRPr="00B623DB" w:rsidRDefault="005E7C51" w:rsidP="00772501">
            <w:pPr>
              <w:pStyle w:val="TableText"/>
            </w:pPr>
            <w:r w:rsidRPr="00B623DB">
              <w:t>Response</w:t>
            </w:r>
          </w:p>
        </w:tc>
      </w:tr>
      <w:tr w:rsidR="00866DAF" w:rsidRPr="00B623DB" w:rsidTr="00021C1E">
        <w:tc>
          <w:tcPr>
            <w:tcW w:w="678" w:type="pct"/>
            <w:shd w:val="clear" w:color="auto" w:fill="auto"/>
            <w:vAlign w:val="center"/>
          </w:tcPr>
          <w:p w:rsidR="00866DAF" w:rsidRPr="00B623DB" w:rsidRDefault="00021C1E" w:rsidP="00772501">
            <w:pPr>
              <w:pStyle w:val="TableText"/>
            </w:pPr>
            <w:r w:rsidRPr="00B623DB">
              <w:t>D2307E1</w:t>
            </w:r>
          </w:p>
        </w:tc>
        <w:tc>
          <w:tcPr>
            <w:tcW w:w="426" w:type="pct"/>
            <w:shd w:val="clear" w:color="auto" w:fill="auto"/>
            <w:vAlign w:val="center"/>
          </w:tcPr>
          <w:p w:rsidR="00866DAF" w:rsidRPr="00B623DB" w:rsidRDefault="005E7C51" w:rsidP="009F458B">
            <w:pPr>
              <w:pStyle w:val="TableText"/>
              <w:jc w:val="center"/>
            </w:pPr>
            <w:r w:rsidRPr="00B623DB">
              <w:t>17</w:t>
            </w:r>
          </w:p>
        </w:tc>
        <w:tc>
          <w:tcPr>
            <w:tcW w:w="1102" w:type="pct"/>
            <w:shd w:val="clear" w:color="auto" w:fill="auto"/>
            <w:vAlign w:val="center"/>
          </w:tcPr>
          <w:p w:rsidR="00866DAF" w:rsidRPr="00B623DB" w:rsidRDefault="005E7C51" w:rsidP="00D63D0A">
            <w:pPr>
              <w:pStyle w:val="TableText"/>
            </w:pPr>
            <w:r w:rsidRPr="00B623DB">
              <w:t xml:space="preserve">Single-arm </w:t>
            </w:r>
            <w:r w:rsidR="00D63D0A" w:rsidRPr="00B623DB">
              <w:t xml:space="preserve">open-label </w:t>
            </w:r>
            <w:r w:rsidRPr="00B623DB">
              <w:t>extension study, up to 96 weeks</w:t>
            </w:r>
          </w:p>
        </w:tc>
        <w:tc>
          <w:tcPr>
            <w:tcW w:w="593" w:type="pct"/>
            <w:shd w:val="clear" w:color="auto" w:fill="auto"/>
            <w:vAlign w:val="center"/>
          </w:tcPr>
          <w:p w:rsidR="00866DAF" w:rsidRPr="00B623DB" w:rsidRDefault="005E7C51" w:rsidP="00772501">
            <w:pPr>
              <w:pStyle w:val="TableText"/>
            </w:pPr>
            <w:r w:rsidRPr="00B623DB">
              <w:t>High</w:t>
            </w:r>
          </w:p>
        </w:tc>
        <w:tc>
          <w:tcPr>
            <w:tcW w:w="1040" w:type="pct"/>
            <w:shd w:val="clear" w:color="auto" w:fill="auto"/>
            <w:vAlign w:val="center"/>
          </w:tcPr>
          <w:p w:rsidR="00866DAF" w:rsidRPr="00B623DB" w:rsidRDefault="005E7C51" w:rsidP="00772501">
            <w:pPr>
              <w:pStyle w:val="TableText"/>
            </w:pPr>
            <w:r w:rsidRPr="00B623DB">
              <w:t>FCAS, MWS, NOMID, aged 1 year or older, completed study D2307</w:t>
            </w:r>
          </w:p>
        </w:tc>
        <w:tc>
          <w:tcPr>
            <w:tcW w:w="1161" w:type="pct"/>
            <w:shd w:val="clear" w:color="auto" w:fill="auto"/>
            <w:vAlign w:val="center"/>
          </w:tcPr>
          <w:p w:rsidR="00866DAF" w:rsidRPr="00B623DB" w:rsidRDefault="005E7C51" w:rsidP="00772501">
            <w:pPr>
              <w:pStyle w:val="TableText"/>
            </w:pPr>
            <w:r w:rsidRPr="00B623DB">
              <w:t>Relapse</w:t>
            </w:r>
          </w:p>
        </w:tc>
      </w:tr>
      <w:tr w:rsidR="00866DAF" w:rsidRPr="00B623DB" w:rsidTr="00021C1E">
        <w:tc>
          <w:tcPr>
            <w:tcW w:w="678" w:type="pct"/>
            <w:shd w:val="clear" w:color="auto" w:fill="auto"/>
            <w:vAlign w:val="center"/>
          </w:tcPr>
          <w:p w:rsidR="00866DAF" w:rsidRPr="00B623DB" w:rsidRDefault="00021C1E" w:rsidP="00772501">
            <w:pPr>
              <w:pStyle w:val="TableText"/>
            </w:pPr>
            <w:r w:rsidRPr="00B623DB">
              <w:t>D2308</w:t>
            </w:r>
          </w:p>
        </w:tc>
        <w:tc>
          <w:tcPr>
            <w:tcW w:w="426" w:type="pct"/>
            <w:shd w:val="clear" w:color="auto" w:fill="auto"/>
            <w:vAlign w:val="center"/>
          </w:tcPr>
          <w:p w:rsidR="00866DAF" w:rsidRPr="00B623DB" w:rsidRDefault="009F458B" w:rsidP="009F458B">
            <w:pPr>
              <w:pStyle w:val="TableText"/>
              <w:jc w:val="center"/>
            </w:pPr>
            <w:r w:rsidRPr="00B623DB">
              <w:t>19</w:t>
            </w:r>
          </w:p>
        </w:tc>
        <w:tc>
          <w:tcPr>
            <w:tcW w:w="1102" w:type="pct"/>
            <w:shd w:val="clear" w:color="auto" w:fill="auto"/>
            <w:vAlign w:val="center"/>
          </w:tcPr>
          <w:p w:rsidR="00866DAF" w:rsidRPr="00B623DB" w:rsidRDefault="009F458B" w:rsidP="007B5B4B">
            <w:pPr>
              <w:pStyle w:val="TableText"/>
            </w:pPr>
            <w:r w:rsidRPr="00B623DB">
              <w:t>Single-arm open</w:t>
            </w:r>
            <w:r w:rsidR="00D63D0A" w:rsidRPr="00B623DB">
              <w:t>-</w:t>
            </w:r>
            <w:r w:rsidRPr="00B623DB">
              <w:t xml:space="preserve">label study, </w:t>
            </w:r>
            <w:r w:rsidR="007B5B4B" w:rsidRPr="00B623DB">
              <w:t>up to 48 weeks</w:t>
            </w:r>
          </w:p>
        </w:tc>
        <w:tc>
          <w:tcPr>
            <w:tcW w:w="593" w:type="pct"/>
            <w:shd w:val="clear" w:color="auto" w:fill="auto"/>
            <w:vAlign w:val="center"/>
          </w:tcPr>
          <w:p w:rsidR="00866DAF" w:rsidRPr="00B623DB" w:rsidRDefault="009F458B" w:rsidP="00772501">
            <w:pPr>
              <w:pStyle w:val="TableText"/>
            </w:pPr>
            <w:r w:rsidRPr="00B623DB">
              <w:t>High</w:t>
            </w:r>
          </w:p>
        </w:tc>
        <w:tc>
          <w:tcPr>
            <w:tcW w:w="1040" w:type="pct"/>
            <w:shd w:val="clear" w:color="auto" w:fill="auto"/>
            <w:vAlign w:val="center"/>
          </w:tcPr>
          <w:p w:rsidR="00866DAF" w:rsidRPr="00B623DB" w:rsidRDefault="002A3156" w:rsidP="00772501">
            <w:pPr>
              <w:pStyle w:val="TableText"/>
            </w:pPr>
            <w:r w:rsidRPr="00B623DB">
              <w:t>MWS, NOMID, Japanese patients aged ≥2 y</w:t>
            </w:r>
            <w:r w:rsidR="009F458B" w:rsidRPr="00B623DB">
              <w:t>ea</w:t>
            </w:r>
            <w:r w:rsidRPr="00B623DB">
              <w:t>rs.</w:t>
            </w:r>
          </w:p>
        </w:tc>
        <w:tc>
          <w:tcPr>
            <w:tcW w:w="1161" w:type="pct"/>
            <w:shd w:val="clear" w:color="auto" w:fill="auto"/>
            <w:vAlign w:val="center"/>
          </w:tcPr>
          <w:p w:rsidR="00866DAF" w:rsidRPr="00B623DB" w:rsidRDefault="009F458B" w:rsidP="00772501">
            <w:pPr>
              <w:pStyle w:val="TableText"/>
            </w:pPr>
            <w:r w:rsidRPr="00B623DB">
              <w:t>Relapse</w:t>
            </w:r>
          </w:p>
        </w:tc>
      </w:tr>
      <w:tr w:rsidR="00866DAF" w:rsidRPr="00B623DB" w:rsidTr="00021C1E">
        <w:tc>
          <w:tcPr>
            <w:tcW w:w="678" w:type="pct"/>
            <w:shd w:val="clear" w:color="auto" w:fill="auto"/>
            <w:vAlign w:val="center"/>
          </w:tcPr>
          <w:p w:rsidR="00866DAF" w:rsidRPr="00B623DB" w:rsidRDefault="009F458B" w:rsidP="00772501">
            <w:pPr>
              <w:pStyle w:val="TableText"/>
            </w:pPr>
            <w:r w:rsidRPr="00B623DB">
              <w:t>D2201</w:t>
            </w:r>
          </w:p>
        </w:tc>
        <w:tc>
          <w:tcPr>
            <w:tcW w:w="426" w:type="pct"/>
            <w:shd w:val="clear" w:color="auto" w:fill="auto"/>
            <w:vAlign w:val="center"/>
          </w:tcPr>
          <w:p w:rsidR="00866DAF" w:rsidRPr="00B623DB" w:rsidRDefault="009F458B" w:rsidP="009F458B">
            <w:pPr>
              <w:pStyle w:val="TableText"/>
              <w:jc w:val="center"/>
            </w:pPr>
            <w:r w:rsidRPr="00B623DB">
              <w:t>6</w:t>
            </w:r>
          </w:p>
        </w:tc>
        <w:tc>
          <w:tcPr>
            <w:tcW w:w="1102" w:type="pct"/>
            <w:shd w:val="clear" w:color="auto" w:fill="auto"/>
            <w:vAlign w:val="center"/>
          </w:tcPr>
          <w:p w:rsidR="00866DAF" w:rsidRPr="00B623DB" w:rsidRDefault="009F458B" w:rsidP="00D63D0A">
            <w:pPr>
              <w:pStyle w:val="TableText"/>
            </w:pPr>
            <w:r w:rsidRPr="00B623DB">
              <w:t>Single-arm open</w:t>
            </w:r>
            <w:r w:rsidR="00D63D0A" w:rsidRPr="00B623DB">
              <w:t>-</w:t>
            </w:r>
            <w:r w:rsidRPr="00B623DB">
              <w:t xml:space="preserve">label study, </w:t>
            </w:r>
            <w:r w:rsidR="00D63D0A" w:rsidRPr="00B623DB">
              <w:t>2 years</w:t>
            </w:r>
          </w:p>
        </w:tc>
        <w:tc>
          <w:tcPr>
            <w:tcW w:w="593" w:type="pct"/>
            <w:shd w:val="clear" w:color="auto" w:fill="auto"/>
            <w:vAlign w:val="center"/>
          </w:tcPr>
          <w:p w:rsidR="00866DAF" w:rsidRPr="00B623DB" w:rsidRDefault="005A4917" w:rsidP="00772501">
            <w:pPr>
              <w:pStyle w:val="TableText"/>
            </w:pPr>
            <w:r w:rsidRPr="00B623DB">
              <w:t>High</w:t>
            </w:r>
          </w:p>
        </w:tc>
        <w:tc>
          <w:tcPr>
            <w:tcW w:w="1040" w:type="pct"/>
            <w:shd w:val="clear" w:color="auto" w:fill="auto"/>
            <w:vAlign w:val="center"/>
          </w:tcPr>
          <w:p w:rsidR="00866DAF" w:rsidRPr="00B623DB" w:rsidRDefault="009F458B" w:rsidP="00772501">
            <w:pPr>
              <w:pStyle w:val="TableText"/>
            </w:pPr>
            <w:r w:rsidRPr="00B623DB">
              <w:t>NOMID with CNS involvement, aged ≥2 years</w:t>
            </w:r>
          </w:p>
        </w:tc>
        <w:tc>
          <w:tcPr>
            <w:tcW w:w="1161" w:type="pct"/>
            <w:shd w:val="clear" w:color="auto" w:fill="auto"/>
            <w:vAlign w:val="center"/>
          </w:tcPr>
          <w:p w:rsidR="00866DAF" w:rsidRPr="00B623DB" w:rsidRDefault="009F458B" w:rsidP="00772501">
            <w:pPr>
              <w:pStyle w:val="TableText"/>
            </w:pPr>
            <w:r w:rsidRPr="00B623DB">
              <w:t>CNS or inflammatory relapse</w:t>
            </w:r>
          </w:p>
        </w:tc>
      </w:tr>
      <w:tr w:rsidR="00866DAF" w:rsidRPr="00B623DB" w:rsidTr="00021C1E">
        <w:tc>
          <w:tcPr>
            <w:tcW w:w="678" w:type="pct"/>
            <w:shd w:val="clear" w:color="auto" w:fill="auto"/>
            <w:vAlign w:val="center"/>
          </w:tcPr>
          <w:p w:rsidR="00866DAF" w:rsidRPr="00B623DB" w:rsidRDefault="009F458B" w:rsidP="00772501">
            <w:pPr>
              <w:pStyle w:val="TableText"/>
            </w:pPr>
            <w:r w:rsidRPr="00B623DB">
              <w:t>D2401</w:t>
            </w:r>
          </w:p>
        </w:tc>
        <w:tc>
          <w:tcPr>
            <w:tcW w:w="426" w:type="pct"/>
            <w:shd w:val="clear" w:color="auto" w:fill="auto"/>
            <w:vAlign w:val="center"/>
          </w:tcPr>
          <w:p w:rsidR="00866DAF" w:rsidRPr="00B623DB" w:rsidRDefault="009F458B" w:rsidP="009F458B">
            <w:pPr>
              <w:pStyle w:val="TableText"/>
              <w:jc w:val="center"/>
            </w:pPr>
            <w:r w:rsidRPr="00B623DB">
              <w:t>243</w:t>
            </w:r>
          </w:p>
        </w:tc>
        <w:tc>
          <w:tcPr>
            <w:tcW w:w="1102" w:type="pct"/>
            <w:shd w:val="clear" w:color="auto" w:fill="auto"/>
            <w:vAlign w:val="center"/>
          </w:tcPr>
          <w:p w:rsidR="00866DAF" w:rsidRPr="00B623DB" w:rsidRDefault="009F458B" w:rsidP="00772501">
            <w:pPr>
              <w:pStyle w:val="TableText"/>
              <w:rPr>
                <w:rFonts w:ascii="Times" w:eastAsia="Times New Roman" w:hAnsi="Times" w:cs="Times New Roman"/>
              </w:rPr>
            </w:pPr>
            <w:r w:rsidRPr="00B623DB">
              <w:t>Registry study of exposure to canakinumab in routine clinical practice</w:t>
            </w:r>
            <w:r w:rsidR="007B5B4B" w:rsidRPr="00B623DB">
              <w:t>, 72 months</w:t>
            </w:r>
          </w:p>
        </w:tc>
        <w:tc>
          <w:tcPr>
            <w:tcW w:w="593" w:type="pct"/>
            <w:shd w:val="clear" w:color="auto" w:fill="auto"/>
            <w:vAlign w:val="center"/>
          </w:tcPr>
          <w:p w:rsidR="00866DAF" w:rsidRPr="00B623DB" w:rsidRDefault="009F458B" w:rsidP="00772501">
            <w:pPr>
              <w:pStyle w:val="TableText"/>
              <w:rPr>
                <w:rFonts w:ascii="Times" w:eastAsia="Times New Roman" w:hAnsi="Times" w:cs="Times New Roman"/>
              </w:rPr>
            </w:pPr>
            <w:r w:rsidRPr="00B623DB">
              <w:t>High</w:t>
            </w:r>
          </w:p>
        </w:tc>
        <w:tc>
          <w:tcPr>
            <w:tcW w:w="1040" w:type="pct"/>
            <w:shd w:val="clear" w:color="auto" w:fill="auto"/>
            <w:vAlign w:val="center"/>
          </w:tcPr>
          <w:p w:rsidR="00866DAF" w:rsidRPr="00B623DB" w:rsidRDefault="009F458B" w:rsidP="00772501">
            <w:pPr>
              <w:pStyle w:val="TableText"/>
              <w:rPr>
                <w:rFonts w:ascii="Times" w:eastAsia="Times New Roman" w:hAnsi="Times" w:cs="Times New Roman"/>
              </w:rPr>
            </w:pPr>
            <w:r w:rsidRPr="00B623DB">
              <w:t>FCAS, MWS, NOMID</w:t>
            </w:r>
          </w:p>
        </w:tc>
        <w:tc>
          <w:tcPr>
            <w:tcW w:w="1161" w:type="pct"/>
            <w:shd w:val="clear" w:color="auto" w:fill="auto"/>
            <w:vAlign w:val="center"/>
          </w:tcPr>
          <w:p w:rsidR="00866DAF" w:rsidRPr="00B623DB" w:rsidRDefault="009F458B" w:rsidP="00772501">
            <w:pPr>
              <w:pStyle w:val="TableText"/>
              <w:rPr>
                <w:rFonts w:ascii="Times" w:eastAsia="Times New Roman" w:hAnsi="Times" w:cs="Times New Roman"/>
              </w:rPr>
            </w:pPr>
            <w:r w:rsidRPr="00B623DB">
              <w:t>Safety</w:t>
            </w:r>
          </w:p>
        </w:tc>
      </w:tr>
      <w:tr w:rsidR="00866DAF" w:rsidRPr="00B623DB" w:rsidTr="00021C1E">
        <w:tc>
          <w:tcPr>
            <w:tcW w:w="678" w:type="pct"/>
            <w:shd w:val="clear" w:color="auto" w:fill="auto"/>
            <w:vAlign w:val="center"/>
          </w:tcPr>
          <w:p w:rsidR="00866DAF" w:rsidRPr="00B623DB" w:rsidRDefault="009F458B" w:rsidP="00772501">
            <w:pPr>
              <w:pStyle w:val="TableText"/>
            </w:pPr>
            <w:r w:rsidRPr="00B623DB">
              <w:t>Kuemmerle-Deschner 2016</w:t>
            </w:r>
          </w:p>
        </w:tc>
        <w:tc>
          <w:tcPr>
            <w:tcW w:w="426" w:type="pct"/>
            <w:shd w:val="clear" w:color="auto" w:fill="auto"/>
            <w:vAlign w:val="center"/>
          </w:tcPr>
          <w:p w:rsidR="00866DAF" w:rsidRPr="00B623DB" w:rsidRDefault="009F458B" w:rsidP="009F458B">
            <w:pPr>
              <w:pStyle w:val="TableText"/>
              <w:jc w:val="center"/>
            </w:pPr>
            <w:r w:rsidRPr="00B623DB">
              <w:t>68</w:t>
            </w:r>
          </w:p>
        </w:tc>
        <w:tc>
          <w:tcPr>
            <w:tcW w:w="1102" w:type="pct"/>
            <w:shd w:val="clear" w:color="auto" w:fill="auto"/>
            <w:vAlign w:val="center"/>
          </w:tcPr>
          <w:p w:rsidR="00866DAF" w:rsidRPr="00B623DB" w:rsidRDefault="009F458B" w:rsidP="00772501">
            <w:pPr>
              <w:pStyle w:val="TableText"/>
              <w:rPr>
                <w:rFonts w:ascii="Times" w:eastAsia="Times New Roman" w:hAnsi="Times" w:cs="Times New Roman"/>
              </w:rPr>
            </w:pPr>
            <w:r w:rsidRPr="00B623DB">
              <w:t>Prospective observational study</w:t>
            </w:r>
            <w:r w:rsidR="007B5B4B" w:rsidRPr="00B623DB">
              <w:t>, up to 65 months</w:t>
            </w:r>
          </w:p>
        </w:tc>
        <w:tc>
          <w:tcPr>
            <w:tcW w:w="593" w:type="pct"/>
            <w:shd w:val="clear" w:color="auto" w:fill="auto"/>
            <w:vAlign w:val="center"/>
          </w:tcPr>
          <w:p w:rsidR="00866DAF" w:rsidRPr="00B623DB" w:rsidRDefault="00866DAF" w:rsidP="00772501">
            <w:pPr>
              <w:pStyle w:val="TableText"/>
              <w:rPr>
                <w:rFonts w:ascii="Times" w:eastAsia="Times New Roman" w:hAnsi="Times" w:cs="Times New Roman"/>
              </w:rPr>
            </w:pPr>
            <w:r w:rsidRPr="00B623DB">
              <w:t>High</w:t>
            </w:r>
          </w:p>
        </w:tc>
        <w:tc>
          <w:tcPr>
            <w:tcW w:w="1040" w:type="pct"/>
            <w:shd w:val="clear" w:color="auto" w:fill="auto"/>
            <w:vAlign w:val="center"/>
          </w:tcPr>
          <w:p w:rsidR="00866DAF" w:rsidRPr="00B623DB" w:rsidRDefault="009F458B" w:rsidP="00772501">
            <w:pPr>
              <w:pStyle w:val="TableText"/>
              <w:rPr>
                <w:rFonts w:ascii="Times" w:eastAsia="Times New Roman" w:hAnsi="Times" w:cs="Times New Roman"/>
              </w:rPr>
            </w:pPr>
            <w:r w:rsidRPr="00B623DB">
              <w:t>FCAS, MWS, NOMID</w:t>
            </w:r>
          </w:p>
        </w:tc>
        <w:tc>
          <w:tcPr>
            <w:tcW w:w="1161" w:type="pct"/>
            <w:shd w:val="clear" w:color="auto" w:fill="auto"/>
            <w:vAlign w:val="center"/>
          </w:tcPr>
          <w:p w:rsidR="00866DAF" w:rsidRPr="00B623DB" w:rsidRDefault="009F458B" w:rsidP="00772501">
            <w:pPr>
              <w:pStyle w:val="TableText"/>
              <w:rPr>
                <w:rFonts w:ascii="Times" w:eastAsia="Times New Roman" w:hAnsi="Times" w:cs="Times New Roman"/>
              </w:rPr>
            </w:pPr>
            <w:r w:rsidRPr="00B623DB">
              <w:t>Complete response</w:t>
            </w:r>
          </w:p>
        </w:tc>
      </w:tr>
      <w:tr w:rsidR="00866DAF" w:rsidRPr="00B623DB" w:rsidTr="00021C1E">
        <w:tc>
          <w:tcPr>
            <w:tcW w:w="678" w:type="pct"/>
            <w:shd w:val="clear" w:color="auto" w:fill="auto"/>
            <w:vAlign w:val="center"/>
          </w:tcPr>
          <w:p w:rsidR="00866DAF" w:rsidRPr="00EA0C20" w:rsidRDefault="00EA0C20" w:rsidP="00772501">
            <w:pPr>
              <w:pStyle w:val="TableText"/>
              <w:rPr>
                <w:highlight w:val="black"/>
              </w:rPr>
            </w:pPr>
            <w:r>
              <w:rPr>
                <w:noProof/>
                <w:color w:val="000000"/>
                <w:highlight w:val="black"/>
              </w:rPr>
              <w:t>'''''''''''''''</w:t>
            </w:r>
          </w:p>
        </w:tc>
        <w:tc>
          <w:tcPr>
            <w:tcW w:w="426" w:type="pct"/>
            <w:shd w:val="clear" w:color="auto" w:fill="auto"/>
            <w:vAlign w:val="center"/>
          </w:tcPr>
          <w:p w:rsidR="00866DAF" w:rsidRPr="00EA0C20" w:rsidRDefault="00EA0C20" w:rsidP="009F458B">
            <w:pPr>
              <w:pStyle w:val="TableText"/>
              <w:jc w:val="center"/>
              <w:rPr>
                <w:highlight w:val="black"/>
              </w:rPr>
            </w:pPr>
            <w:r>
              <w:rPr>
                <w:noProof/>
                <w:color w:val="000000"/>
                <w:highlight w:val="black"/>
              </w:rPr>
              <w:t>'''''''</w:t>
            </w:r>
          </w:p>
        </w:tc>
        <w:tc>
          <w:tcPr>
            <w:tcW w:w="1102" w:type="pct"/>
            <w:shd w:val="clear" w:color="auto" w:fill="auto"/>
            <w:vAlign w:val="center"/>
          </w:tcPr>
          <w:p w:rsidR="00866DAF" w:rsidRPr="00EA0C20" w:rsidRDefault="00EA0C20" w:rsidP="00772501">
            <w:pPr>
              <w:pStyle w:val="TableText"/>
              <w:rPr>
                <w:rFonts w:ascii="Times" w:eastAsia="Times New Roman" w:hAnsi="Times" w:cs="Times New Roman"/>
                <w:highlight w:val="black"/>
              </w:rPr>
            </w:pPr>
            <w:r>
              <w:rPr>
                <w:noProof/>
                <w:color w:val="000000"/>
                <w:highlight w:val="black"/>
              </w:rPr>
              <w:t>''''''''''''''''''''''''''' '''''''''''''''''''''''' '''''''''''''''' '''' ''''''''''' '''''''''''''''''' ''''''''''''''' ''''' ''''''''''</w:t>
            </w:r>
          </w:p>
        </w:tc>
        <w:tc>
          <w:tcPr>
            <w:tcW w:w="593" w:type="pct"/>
            <w:shd w:val="clear" w:color="auto" w:fill="auto"/>
            <w:vAlign w:val="center"/>
          </w:tcPr>
          <w:p w:rsidR="00866DAF" w:rsidRPr="00EA0C20" w:rsidRDefault="00EA0C20" w:rsidP="00772501">
            <w:pPr>
              <w:pStyle w:val="TableText"/>
              <w:rPr>
                <w:rFonts w:ascii="Times" w:eastAsia="Times New Roman" w:hAnsi="Times" w:cs="Times New Roman"/>
                <w:highlight w:val="black"/>
              </w:rPr>
            </w:pPr>
            <w:r>
              <w:rPr>
                <w:noProof/>
                <w:color w:val="000000"/>
                <w:highlight w:val="black"/>
              </w:rPr>
              <w:t>'''''''''''</w:t>
            </w:r>
          </w:p>
        </w:tc>
        <w:tc>
          <w:tcPr>
            <w:tcW w:w="1040" w:type="pct"/>
            <w:shd w:val="clear" w:color="auto" w:fill="auto"/>
            <w:vAlign w:val="center"/>
          </w:tcPr>
          <w:p w:rsidR="00866DAF" w:rsidRPr="00EA0C20" w:rsidRDefault="00EA0C20" w:rsidP="00772501">
            <w:pPr>
              <w:pStyle w:val="TableText"/>
              <w:rPr>
                <w:rFonts w:ascii="Times" w:eastAsia="Times New Roman" w:hAnsi="Times" w:cs="Times New Roman"/>
                <w:highlight w:val="black"/>
              </w:rPr>
            </w:pPr>
            <w:r>
              <w:rPr>
                <w:noProof/>
                <w:color w:val="000000"/>
                <w:highlight w:val="black"/>
              </w:rPr>
              <w:t>''''''''''''''' ''''''''''''''' ''''''''''''''''''''' '''''''''''''''''''''''''''''''''' ''''''''''' ''''''''''' '''''''''''''</w:t>
            </w:r>
          </w:p>
        </w:tc>
        <w:tc>
          <w:tcPr>
            <w:tcW w:w="1161" w:type="pct"/>
            <w:shd w:val="clear" w:color="auto" w:fill="auto"/>
            <w:vAlign w:val="center"/>
          </w:tcPr>
          <w:p w:rsidR="00866DAF" w:rsidRPr="00EA0C20" w:rsidRDefault="00EA0C20" w:rsidP="00772501">
            <w:pPr>
              <w:pStyle w:val="TableText"/>
              <w:rPr>
                <w:rFonts w:ascii="Times" w:eastAsia="Times New Roman" w:hAnsi="Times" w:cs="Times New Roman"/>
                <w:highlight w:val="black"/>
              </w:rPr>
            </w:pPr>
            <w:r>
              <w:rPr>
                <w:noProof/>
                <w:color w:val="000000"/>
                <w:highlight w:val="black"/>
              </w:rPr>
              <w:t>'''''''''' '''' ''''''''''''''''</w:t>
            </w:r>
          </w:p>
        </w:tc>
      </w:tr>
      <w:tr w:rsidR="00866DAF" w:rsidRPr="00B623DB" w:rsidTr="00021C1E">
        <w:tc>
          <w:tcPr>
            <w:tcW w:w="678" w:type="pct"/>
            <w:shd w:val="clear" w:color="auto" w:fill="auto"/>
            <w:vAlign w:val="center"/>
          </w:tcPr>
          <w:p w:rsidR="00866DAF" w:rsidRPr="00B623DB" w:rsidRDefault="00866DAF" w:rsidP="00772501">
            <w:pPr>
              <w:pStyle w:val="TableText"/>
              <w:rPr>
                <w:rFonts w:ascii="Times" w:eastAsia="Times New Roman" w:hAnsi="Times" w:cs="Times New Roman"/>
              </w:rPr>
            </w:pPr>
            <w:r w:rsidRPr="00B623DB">
              <w:t>Meta-analysis</w:t>
            </w:r>
          </w:p>
        </w:tc>
        <w:tc>
          <w:tcPr>
            <w:tcW w:w="426" w:type="pct"/>
            <w:shd w:val="clear" w:color="auto" w:fill="auto"/>
            <w:vAlign w:val="center"/>
          </w:tcPr>
          <w:p w:rsidR="00866DAF" w:rsidRPr="00B623DB" w:rsidRDefault="00866DAF" w:rsidP="009F458B">
            <w:pPr>
              <w:pStyle w:val="TableText"/>
              <w:jc w:val="center"/>
            </w:pPr>
          </w:p>
        </w:tc>
        <w:tc>
          <w:tcPr>
            <w:tcW w:w="3896" w:type="pct"/>
            <w:gridSpan w:val="4"/>
            <w:shd w:val="clear" w:color="auto" w:fill="auto"/>
            <w:vAlign w:val="center"/>
          </w:tcPr>
          <w:p w:rsidR="00866DAF" w:rsidRPr="00B623DB" w:rsidRDefault="00866DAF" w:rsidP="00D63D0A">
            <w:pPr>
              <w:pStyle w:val="TableText"/>
              <w:rPr>
                <w:rFonts w:ascii="Times" w:eastAsia="Times New Roman" w:hAnsi="Times" w:cs="Times New Roman"/>
              </w:rPr>
            </w:pPr>
            <w:r w:rsidRPr="00B623DB">
              <w:t xml:space="preserve">Included </w:t>
            </w:r>
            <w:r w:rsidR="00F0019E" w:rsidRPr="00B623DB">
              <w:t>D230</w:t>
            </w:r>
            <w:r w:rsidR="00D63D0A" w:rsidRPr="00B623DB">
              <w:t>6</w:t>
            </w:r>
            <w:r w:rsidR="009F458B" w:rsidRPr="00B623DB">
              <w:t xml:space="preserve"> and </w:t>
            </w:r>
            <w:r w:rsidR="00F0019E" w:rsidRPr="00B623DB">
              <w:t>D230</w:t>
            </w:r>
            <w:r w:rsidR="00D63D0A" w:rsidRPr="00B623DB">
              <w:t>8</w:t>
            </w:r>
            <w:r w:rsidR="009F458B" w:rsidRPr="00B623DB">
              <w:t xml:space="preserve"> in efficacy analysis; </w:t>
            </w:r>
            <w:r w:rsidR="006C22DD" w:rsidRPr="00B623DB">
              <w:t>and D2304, D2306, D2308 (48 week results), D2201, A2102</w:t>
            </w:r>
            <w:r w:rsidR="009F458B" w:rsidRPr="00B623DB">
              <w:t xml:space="preserve"> in safety analysis.</w:t>
            </w:r>
          </w:p>
        </w:tc>
      </w:tr>
      <w:tr w:rsidR="00021C1E" w:rsidRPr="00B623DB" w:rsidTr="00021C1E">
        <w:tc>
          <w:tcPr>
            <w:tcW w:w="5000" w:type="pct"/>
            <w:gridSpan w:val="6"/>
            <w:shd w:val="clear" w:color="auto" w:fill="auto"/>
            <w:vAlign w:val="center"/>
          </w:tcPr>
          <w:p w:rsidR="00021C1E" w:rsidRPr="00B623DB" w:rsidRDefault="00021C1E" w:rsidP="009F458B">
            <w:pPr>
              <w:pStyle w:val="TableText"/>
              <w:rPr>
                <w:b/>
              </w:rPr>
            </w:pPr>
            <w:r w:rsidRPr="00B623DB">
              <w:rPr>
                <w:b/>
              </w:rPr>
              <w:t>Anakinra nonrandomised studies</w:t>
            </w:r>
          </w:p>
        </w:tc>
      </w:tr>
      <w:tr w:rsidR="00021C1E" w:rsidRPr="00B623DB" w:rsidTr="00021C1E">
        <w:tc>
          <w:tcPr>
            <w:tcW w:w="678" w:type="pct"/>
            <w:shd w:val="clear" w:color="auto" w:fill="auto"/>
            <w:vAlign w:val="center"/>
          </w:tcPr>
          <w:p w:rsidR="00021C1E" w:rsidRPr="00B623DB" w:rsidRDefault="00C577FD" w:rsidP="00772501">
            <w:pPr>
              <w:pStyle w:val="TableText"/>
            </w:pPr>
            <w:r w:rsidRPr="00B623DB">
              <w:t>Goldbach-Mansky 2006</w:t>
            </w:r>
          </w:p>
        </w:tc>
        <w:tc>
          <w:tcPr>
            <w:tcW w:w="426" w:type="pct"/>
            <w:shd w:val="clear" w:color="auto" w:fill="auto"/>
            <w:vAlign w:val="center"/>
          </w:tcPr>
          <w:p w:rsidR="00021C1E" w:rsidRPr="00B623DB" w:rsidRDefault="00C577FD" w:rsidP="009F458B">
            <w:pPr>
              <w:pStyle w:val="TableText"/>
              <w:jc w:val="center"/>
            </w:pPr>
            <w:r w:rsidRPr="00B623DB">
              <w:t>18</w:t>
            </w:r>
          </w:p>
        </w:tc>
        <w:tc>
          <w:tcPr>
            <w:tcW w:w="1102" w:type="pct"/>
            <w:shd w:val="clear" w:color="auto" w:fill="auto"/>
            <w:vAlign w:val="center"/>
          </w:tcPr>
          <w:p w:rsidR="00021C1E" w:rsidRPr="00B623DB" w:rsidRDefault="00C577FD" w:rsidP="00D63D0A">
            <w:pPr>
              <w:pStyle w:val="TableText"/>
            </w:pPr>
            <w:r w:rsidRPr="00B623DB">
              <w:t>Single arm</w:t>
            </w:r>
            <w:r w:rsidR="00F0019E" w:rsidRPr="00B623DB">
              <w:t xml:space="preserve"> open</w:t>
            </w:r>
            <w:r w:rsidR="00D63D0A" w:rsidRPr="00B623DB">
              <w:t>-</w:t>
            </w:r>
            <w:r w:rsidR="00F0019E" w:rsidRPr="00B623DB">
              <w:t>label study</w:t>
            </w:r>
            <w:r w:rsidR="007B5B4B" w:rsidRPr="00B623DB">
              <w:t>, 6 months</w:t>
            </w:r>
          </w:p>
        </w:tc>
        <w:tc>
          <w:tcPr>
            <w:tcW w:w="593" w:type="pct"/>
            <w:shd w:val="clear" w:color="auto" w:fill="auto"/>
            <w:vAlign w:val="center"/>
          </w:tcPr>
          <w:p w:rsidR="00021C1E" w:rsidRPr="00B623DB" w:rsidRDefault="00C577FD" w:rsidP="00772501">
            <w:pPr>
              <w:pStyle w:val="TableText"/>
            </w:pPr>
            <w:r w:rsidRPr="00B623DB">
              <w:t>High</w:t>
            </w:r>
          </w:p>
        </w:tc>
        <w:tc>
          <w:tcPr>
            <w:tcW w:w="1040" w:type="pct"/>
            <w:shd w:val="clear" w:color="auto" w:fill="auto"/>
            <w:vAlign w:val="center"/>
          </w:tcPr>
          <w:p w:rsidR="00021C1E" w:rsidRPr="00B623DB" w:rsidRDefault="00C577FD" w:rsidP="00772501">
            <w:pPr>
              <w:pStyle w:val="TableText"/>
            </w:pPr>
            <w:r w:rsidRPr="00B623DB">
              <w:t>NOMID aged4-32 years</w:t>
            </w:r>
          </w:p>
        </w:tc>
        <w:tc>
          <w:tcPr>
            <w:tcW w:w="1161" w:type="pct"/>
            <w:shd w:val="clear" w:color="auto" w:fill="auto"/>
            <w:vAlign w:val="center"/>
          </w:tcPr>
          <w:p w:rsidR="00021C1E" w:rsidRPr="00B623DB" w:rsidRDefault="00C577FD" w:rsidP="00772501">
            <w:pPr>
              <w:pStyle w:val="TableText"/>
            </w:pPr>
            <w:r w:rsidRPr="00B623DB">
              <w:t>Change from baseline in symptoms</w:t>
            </w:r>
          </w:p>
        </w:tc>
      </w:tr>
      <w:tr w:rsidR="00021C1E" w:rsidRPr="00B623DB" w:rsidTr="00021C1E">
        <w:tc>
          <w:tcPr>
            <w:tcW w:w="678" w:type="pct"/>
            <w:shd w:val="clear" w:color="auto" w:fill="auto"/>
            <w:vAlign w:val="center"/>
          </w:tcPr>
          <w:p w:rsidR="00021C1E" w:rsidRPr="00B623DB" w:rsidRDefault="00C577FD" w:rsidP="00772501">
            <w:pPr>
              <w:pStyle w:val="TableText"/>
            </w:pPr>
            <w:r w:rsidRPr="00B623DB">
              <w:t>Sibley 2012</w:t>
            </w:r>
          </w:p>
        </w:tc>
        <w:tc>
          <w:tcPr>
            <w:tcW w:w="426" w:type="pct"/>
            <w:shd w:val="clear" w:color="auto" w:fill="auto"/>
            <w:vAlign w:val="center"/>
          </w:tcPr>
          <w:p w:rsidR="00021C1E" w:rsidRPr="00B623DB" w:rsidRDefault="00C577FD" w:rsidP="009F458B">
            <w:pPr>
              <w:pStyle w:val="TableText"/>
              <w:jc w:val="center"/>
            </w:pPr>
            <w:r w:rsidRPr="00B623DB">
              <w:t>26</w:t>
            </w:r>
          </w:p>
        </w:tc>
        <w:tc>
          <w:tcPr>
            <w:tcW w:w="1102" w:type="pct"/>
            <w:shd w:val="clear" w:color="auto" w:fill="auto"/>
            <w:vAlign w:val="center"/>
          </w:tcPr>
          <w:p w:rsidR="00021C1E" w:rsidRPr="00B623DB" w:rsidRDefault="00C577FD" w:rsidP="00D63D0A">
            <w:pPr>
              <w:pStyle w:val="TableText"/>
            </w:pPr>
            <w:r w:rsidRPr="00B623DB">
              <w:t>Single arm</w:t>
            </w:r>
            <w:r w:rsidR="00F0019E" w:rsidRPr="00B623DB">
              <w:t xml:space="preserve"> open</w:t>
            </w:r>
            <w:r w:rsidR="00D63D0A" w:rsidRPr="00B623DB">
              <w:t>-</w:t>
            </w:r>
            <w:r w:rsidR="00F0019E" w:rsidRPr="00B623DB">
              <w:t xml:space="preserve">label </w:t>
            </w:r>
            <w:r w:rsidR="00D63D0A" w:rsidRPr="00B623DB">
              <w:t xml:space="preserve">long term </w:t>
            </w:r>
            <w:r w:rsidR="00F0019E" w:rsidRPr="00B623DB">
              <w:t>study</w:t>
            </w:r>
            <w:r w:rsidR="00D63D0A" w:rsidRPr="00B623DB">
              <w:t xml:space="preserve">, 3 and 5 year outcomes </w:t>
            </w:r>
          </w:p>
        </w:tc>
        <w:tc>
          <w:tcPr>
            <w:tcW w:w="593" w:type="pct"/>
            <w:shd w:val="clear" w:color="auto" w:fill="auto"/>
            <w:vAlign w:val="center"/>
          </w:tcPr>
          <w:p w:rsidR="00021C1E" w:rsidRPr="00B623DB" w:rsidRDefault="00C577FD" w:rsidP="00772501">
            <w:pPr>
              <w:pStyle w:val="TableText"/>
            </w:pPr>
            <w:r w:rsidRPr="00B623DB">
              <w:t>High</w:t>
            </w:r>
          </w:p>
        </w:tc>
        <w:tc>
          <w:tcPr>
            <w:tcW w:w="1040" w:type="pct"/>
            <w:shd w:val="clear" w:color="auto" w:fill="auto"/>
            <w:vAlign w:val="center"/>
          </w:tcPr>
          <w:p w:rsidR="00021C1E" w:rsidRPr="00B623DB" w:rsidRDefault="00C577FD" w:rsidP="00772501">
            <w:pPr>
              <w:pStyle w:val="TableText"/>
            </w:pPr>
            <w:r w:rsidRPr="00B623DB">
              <w:t>NOMID</w:t>
            </w:r>
          </w:p>
        </w:tc>
        <w:tc>
          <w:tcPr>
            <w:tcW w:w="1161" w:type="pct"/>
            <w:shd w:val="clear" w:color="auto" w:fill="auto"/>
            <w:vAlign w:val="center"/>
          </w:tcPr>
          <w:p w:rsidR="00021C1E" w:rsidRPr="00B623DB" w:rsidRDefault="00C577FD" w:rsidP="00772501">
            <w:pPr>
              <w:pStyle w:val="TableText"/>
            </w:pPr>
            <w:r w:rsidRPr="00B623DB">
              <w:t>Change from baseline in symptoms</w:t>
            </w:r>
          </w:p>
        </w:tc>
      </w:tr>
      <w:tr w:rsidR="00021C1E" w:rsidRPr="00B623DB" w:rsidTr="00021C1E">
        <w:tc>
          <w:tcPr>
            <w:tcW w:w="678" w:type="pct"/>
            <w:shd w:val="clear" w:color="auto" w:fill="auto"/>
            <w:vAlign w:val="center"/>
          </w:tcPr>
          <w:p w:rsidR="00021C1E" w:rsidRPr="00B623DB" w:rsidRDefault="00C577FD" w:rsidP="00772501">
            <w:pPr>
              <w:pStyle w:val="TableText"/>
            </w:pPr>
            <w:r w:rsidRPr="00B623DB">
              <w:t>Kullenberg 2016</w:t>
            </w:r>
          </w:p>
        </w:tc>
        <w:tc>
          <w:tcPr>
            <w:tcW w:w="426" w:type="pct"/>
            <w:shd w:val="clear" w:color="auto" w:fill="auto"/>
            <w:vAlign w:val="center"/>
          </w:tcPr>
          <w:p w:rsidR="00021C1E" w:rsidRPr="00B623DB" w:rsidRDefault="00C577FD" w:rsidP="009F458B">
            <w:pPr>
              <w:pStyle w:val="TableText"/>
              <w:jc w:val="center"/>
            </w:pPr>
            <w:r w:rsidRPr="00B623DB">
              <w:t>43</w:t>
            </w:r>
          </w:p>
        </w:tc>
        <w:tc>
          <w:tcPr>
            <w:tcW w:w="1102" w:type="pct"/>
            <w:shd w:val="clear" w:color="auto" w:fill="auto"/>
            <w:vAlign w:val="center"/>
          </w:tcPr>
          <w:p w:rsidR="00021C1E" w:rsidRPr="00B623DB" w:rsidRDefault="00C53127" w:rsidP="00772501">
            <w:pPr>
              <w:pStyle w:val="TableText"/>
            </w:pPr>
            <w:r w:rsidRPr="00B623DB">
              <w:t>Single arm</w:t>
            </w:r>
            <w:r w:rsidR="00D63D0A" w:rsidRPr="00B623DB">
              <w:t xml:space="preserve"> long-term safety study</w:t>
            </w:r>
            <w:r w:rsidR="007B5B4B" w:rsidRPr="00B623DB">
              <w:t>. 5 years</w:t>
            </w:r>
          </w:p>
        </w:tc>
        <w:tc>
          <w:tcPr>
            <w:tcW w:w="593" w:type="pct"/>
            <w:shd w:val="clear" w:color="auto" w:fill="auto"/>
            <w:vAlign w:val="center"/>
          </w:tcPr>
          <w:p w:rsidR="00021C1E" w:rsidRPr="00B623DB" w:rsidRDefault="00C577FD" w:rsidP="00772501">
            <w:pPr>
              <w:pStyle w:val="TableText"/>
            </w:pPr>
            <w:r w:rsidRPr="00B623DB">
              <w:t>High</w:t>
            </w:r>
          </w:p>
        </w:tc>
        <w:tc>
          <w:tcPr>
            <w:tcW w:w="1040" w:type="pct"/>
            <w:shd w:val="clear" w:color="auto" w:fill="auto"/>
            <w:vAlign w:val="center"/>
          </w:tcPr>
          <w:p w:rsidR="00021C1E" w:rsidRPr="00B623DB" w:rsidRDefault="00C577FD" w:rsidP="00772501">
            <w:pPr>
              <w:pStyle w:val="TableText"/>
            </w:pPr>
            <w:r w:rsidRPr="00B623DB">
              <w:t>NOMID, MWS/NOMID</w:t>
            </w:r>
          </w:p>
        </w:tc>
        <w:tc>
          <w:tcPr>
            <w:tcW w:w="1161" w:type="pct"/>
            <w:shd w:val="clear" w:color="auto" w:fill="auto"/>
            <w:vAlign w:val="center"/>
          </w:tcPr>
          <w:p w:rsidR="00021C1E" w:rsidRPr="00B623DB" w:rsidRDefault="00C577FD" w:rsidP="00772501">
            <w:pPr>
              <w:pStyle w:val="TableText"/>
            </w:pPr>
            <w:r w:rsidRPr="00B623DB">
              <w:t>Safety</w:t>
            </w:r>
          </w:p>
        </w:tc>
      </w:tr>
      <w:tr w:rsidR="00866DAF" w:rsidRPr="00B623DB" w:rsidTr="00021C1E">
        <w:tc>
          <w:tcPr>
            <w:tcW w:w="678" w:type="pct"/>
            <w:shd w:val="clear" w:color="auto" w:fill="auto"/>
            <w:vAlign w:val="center"/>
          </w:tcPr>
          <w:p w:rsidR="00866DAF" w:rsidRPr="00B623DB" w:rsidRDefault="00C577FD" w:rsidP="00772501">
            <w:pPr>
              <w:pStyle w:val="TableText"/>
              <w:rPr>
                <w:rFonts w:ascii="Times" w:eastAsia="Times New Roman" w:hAnsi="Times" w:cs="Times New Roman"/>
              </w:rPr>
            </w:pPr>
            <w:r w:rsidRPr="00B623DB">
              <w:t>Ross 2008</w:t>
            </w:r>
          </w:p>
        </w:tc>
        <w:tc>
          <w:tcPr>
            <w:tcW w:w="426" w:type="pct"/>
            <w:shd w:val="clear" w:color="auto" w:fill="auto"/>
            <w:vAlign w:val="center"/>
          </w:tcPr>
          <w:p w:rsidR="00866DAF" w:rsidRPr="00B623DB" w:rsidRDefault="00C577FD" w:rsidP="009F458B">
            <w:pPr>
              <w:pStyle w:val="TableText"/>
              <w:jc w:val="center"/>
            </w:pPr>
            <w:r w:rsidRPr="00B623DB">
              <w:t>8</w:t>
            </w:r>
          </w:p>
        </w:tc>
        <w:tc>
          <w:tcPr>
            <w:tcW w:w="1102" w:type="pct"/>
            <w:shd w:val="clear" w:color="auto" w:fill="auto"/>
            <w:vAlign w:val="center"/>
          </w:tcPr>
          <w:p w:rsidR="00866DAF" w:rsidRPr="00B623DB" w:rsidRDefault="00D63D0A" w:rsidP="007B5B4B">
            <w:pPr>
              <w:pStyle w:val="TableText"/>
            </w:pPr>
            <w:r w:rsidRPr="00B623DB">
              <w:t xml:space="preserve">Single family study, </w:t>
            </w:r>
            <w:r w:rsidR="007B5B4B" w:rsidRPr="00B623DB">
              <w:t xml:space="preserve">4 </w:t>
            </w:r>
            <w:r w:rsidRPr="00B623DB">
              <w:t>week</w:t>
            </w:r>
            <w:r w:rsidR="007B5B4B" w:rsidRPr="00B623DB">
              <w:t>s treatment</w:t>
            </w:r>
            <w:r w:rsidRPr="00B623DB">
              <w:t xml:space="preserve">, 16 months </w:t>
            </w:r>
            <w:r w:rsidR="00DE1D1E" w:rsidRPr="00B623DB">
              <w:t>follow-up</w:t>
            </w:r>
          </w:p>
        </w:tc>
        <w:tc>
          <w:tcPr>
            <w:tcW w:w="593" w:type="pct"/>
            <w:shd w:val="clear" w:color="auto" w:fill="auto"/>
            <w:vAlign w:val="center"/>
          </w:tcPr>
          <w:p w:rsidR="00866DAF" w:rsidRPr="00B623DB" w:rsidRDefault="00C53127" w:rsidP="00772501">
            <w:pPr>
              <w:pStyle w:val="TableText"/>
            </w:pPr>
            <w:r w:rsidRPr="00B623DB">
              <w:t>High</w:t>
            </w:r>
          </w:p>
        </w:tc>
        <w:tc>
          <w:tcPr>
            <w:tcW w:w="1040" w:type="pct"/>
            <w:shd w:val="clear" w:color="auto" w:fill="auto"/>
            <w:vAlign w:val="center"/>
          </w:tcPr>
          <w:p w:rsidR="00866DAF" w:rsidRPr="00B623DB" w:rsidRDefault="00C577FD" w:rsidP="00772501">
            <w:pPr>
              <w:pStyle w:val="TableText"/>
            </w:pPr>
            <w:r w:rsidRPr="00B623DB">
              <w:t>FCAS, members of same family 29-77 years</w:t>
            </w:r>
          </w:p>
        </w:tc>
        <w:tc>
          <w:tcPr>
            <w:tcW w:w="1161" w:type="pct"/>
            <w:shd w:val="clear" w:color="auto" w:fill="auto"/>
            <w:vAlign w:val="center"/>
          </w:tcPr>
          <w:p w:rsidR="00866DAF" w:rsidRPr="00B623DB" w:rsidRDefault="00C577FD" w:rsidP="00772501">
            <w:pPr>
              <w:pStyle w:val="TableText"/>
            </w:pPr>
            <w:r w:rsidRPr="00B623DB">
              <w:t>Symptom analysis</w:t>
            </w:r>
          </w:p>
        </w:tc>
      </w:tr>
      <w:tr w:rsidR="00866DAF" w:rsidRPr="00B623DB" w:rsidTr="00021C1E">
        <w:tc>
          <w:tcPr>
            <w:tcW w:w="678" w:type="pct"/>
            <w:shd w:val="clear" w:color="auto" w:fill="auto"/>
            <w:vAlign w:val="center"/>
          </w:tcPr>
          <w:p w:rsidR="00866DAF" w:rsidRPr="00B623DB" w:rsidRDefault="00A93D73" w:rsidP="00772501">
            <w:pPr>
              <w:pStyle w:val="TableText"/>
              <w:rPr>
                <w:rFonts w:ascii="Times" w:eastAsia="Times New Roman" w:hAnsi="Times" w:cs="Times New Roman"/>
              </w:rPr>
            </w:pPr>
            <w:r w:rsidRPr="00B623DB">
              <w:t>Lepore 2010</w:t>
            </w:r>
          </w:p>
        </w:tc>
        <w:tc>
          <w:tcPr>
            <w:tcW w:w="426" w:type="pct"/>
            <w:shd w:val="clear" w:color="auto" w:fill="auto"/>
            <w:vAlign w:val="center"/>
          </w:tcPr>
          <w:p w:rsidR="00866DAF" w:rsidRPr="00B623DB" w:rsidRDefault="00C53127" w:rsidP="009F458B">
            <w:pPr>
              <w:pStyle w:val="TableText"/>
              <w:jc w:val="center"/>
            </w:pPr>
            <w:r w:rsidRPr="00B623DB">
              <w:t>20</w:t>
            </w:r>
          </w:p>
        </w:tc>
        <w:tc>
          <w:tcPr>
            <w:tcW w:w="1102" w:type="pct"/>
            <w:shd w:val="clear" w:color="auto" w:fill="auto"/>
            <w:vAlign w:val="center"/>
          </w:tcPr>
          <w:p w:rsidR="00866DAF" w:rsidRPr="00B623DB" w:rsidRDefault="00C53127" w:rsidP="00772501">
            <w:pPr>
              <w:pStyle w:val="TableText"/>
            </w:pPr>
            <w:r w:rsidRPr="00B623DB">
              <w:t>Registry study, 14 patients treated with anakinra, median 37.5 months</w:t>
            </w:r>
          </w:p>
        </w:tc>
        <w:tc>
          <w:tcPr>
            <w:tcW w:w="593" w:type="pct"/>
            <w:shd w:val="clear" w:color="auto" w:fill="auto"/>
            <w:vAlign w:val="center"/>
          </w:tcPr>
          <w:p w:rsidR="00866DAF" w:rsidRPr="00B623DB" w:rsidRDefault="00C53127" w:rsidP="00772501">
            <w:pPr>
              <w:pStyle w:val="TableText"/>
            </w:pPr>
            <w:r w:rsidRPr="00B623DB">
              <w:t>High</w:t>
            </w:r>
          </w:p>
        </w:tc>
        <w:tc>
          <w:tcPr>
            <w:tcW w:w="1040" w:type="pct"/>
            <w:shd w:val="clear" w:color="auto" w:fill="auto"/>
            <w:vAlign w:val="center"/>
          </w:tcPr>
          <w:p w:rsidR="00866DAF" w:rsidRPr="00B623DB" w:rsidRDefault="00C53127" w:rsidP="00772501">
            <w:pPr>
              <w:pStyle w:val="TableText"/>
            </w:pPr>
            <w:r w:rsidRPr="00B623DB">
              <w:t>MWS/NOMID, Italian patients aged 2-43</w:t>
            </w:r>
          </w:p>
        </w:tc>
        <w:tc>
          <w:tcPr>
            <w:tcW w:w="1161" w:type="pct"/>
            <w:shd w:val="clear" w:color="auto" w:fill="auto"/>
            <w:vAlign w:val="center"/>
          </w:tcPr>
          <w:p w:rsidR="00866DAF" w:rsidRPr="00B623DB" w:rsidRDefault="00C53127" w:rsidP="00772501">
            <w:pPr>
              <w:pStyle w:val="TableText"/>
            </w:pPr>
            <w:r w:rsidRPr="00B623DB">
              <w:t>Disease progression, health related quality of life</w:t>
            </w:r>
          </w:p>
        </w:tc>
      </w:tr>
      <w:tr w:rsidR="00C53127" w:rsidRPr="00B623DB" w:rsidTr="00021C1E">
        <w:tc>
          <w:tcPr>
            <w:tcW w:w="678" w:type="pct"/>
            <w:shd w:val="clear" w:color="auto" w:fill="auto"/>
            <w:vAlign w:val="center"/>
          </w:tcPr>
          <w:p w:rsidR="00C53127" w:rsidRPr="00B623DB" w:rsidRDefault="00C53127" w:rsidP="00772501">
            <w:pPr>
              <w:pStyle w:val="TableText"/>
            </w:pPr>
            <w:r w:rsidRPr="00B623DB">
              <w:t>Kuemmerle-Deschner 2011</w:t>
            </w:r>
          </w:p>
        </w:tc>
        <w:tc>
          <w:tcPr>
            <w:tcW w:w="426" w:type="pct"/>
            <w:shd w:val="clear" w:color="auto" w:fill="auto"/>
            <w:vAlign w:val="center"/>
          </w:tcPr>
          <w:p w:rsidR="00C53127" w:rsidRPr="00B623DB" w:rsidRDefault="00C53127" w:rsidP="009F458B">
            <w:pPr>
              <w:pStyle w:val="TableText"/>
              <w:jc w:val="center"/>
            </w:pPr>
            <w:r w:rsidRPr="00B623DB">
              <w:t>12</w:t>
            </w:r>
          </w:p>
        </w:tc>
        <w:tc>
          <w:tcPr>
            <w:tcW w:w="1102" w:type="pct"/>
            <w:shd w:val="clear" w:color="auto" w:fill="auto"/>
            <w:vAlign w:val="center"/>
          </w:tcPr>
          <w:p w:rsidR="00C53127" w:rsidRPr="00B623DB" w:rsidRDefault="00C53127" w:rsidP="00772501">
            <w:pPr>
              <w:pStyle w:val="TableText"/>
            </w:pPr>
            <w:r w:rsidRPr="00B623DB">
              <w:t>Single arm</w:t>
            </w:r>
            <w:r w:rsidR="00D63D0A" w:rsidRPr="00B623DB">
              <w:t xml:space="preserve"> observational study</w:t>
            </w:r>
            <w:r w:rsidR="007B5B4B" w:rsidRPr="00B623DB">
              <w:t>, 2 weeks</w:t>
            </w:r>
          </w:p>
        </w:tc>
        <w:tc>
          <w:tcPr>
            <w:tcW w:w="593" w:type="pct"/>
            <w:shd w:val="clear" w:color="auto" w:fill="auto"/>
            <w:vAlign w:val="center"/>
          </w:tcPr>
          <w:p w:rsidR="00C53127" w:rsidRPr="00B623DB" w:rsidRDefault="00C53127" w:rsidP="00772501">
            <w:pPr>
              <w:pStyle w:val="TableText"/>
            </w:pPr>
            <w:r w:rsidRPr="00B623DB">
              <w:t>High</w:t>
            </w:r>
          </w:p>
        </w:tc>
        <w:tc>
          <w:tcPr>
            <w:tcW w:w="1040" w:type="pct"/>
            <w:shd w:val="clear" w:color="auto" w:fill="auto"/>
            <w:vAlign w:val="center"/>
          </w:tcPr>
          <w:p w:rsidR="00C53127" w:rsidRPr="00B623DB" w:rsidRDefault="00C53127" w:rsidP="00772501">
            <w:pPr>
              <w:pStyle w:val="TableText"/>
            </w:pPr>
            <w:r w:rsidRPr="00B623DB">
              <w:t>Severe MWS</w:t>
            </w:r>
          </w:p>
        </w:tc>
        <w:tc>
          <w:tcPr>
            <w:tcW w:w="1161" w:type="pct"/>
            <w:shd w:val="clear" w:color="auto" w:fill="auto"/>
            <w:vAlign w:val="center"/>
          </w:tcPr>
          <w:p w:rsidR="00C53127" w:rsidRPr="00B623DB" w:rsidRDefault="00C53127" w:rsidP="00772501">
            <w:pPr>
              <w:pStyle w:val="TableText"/>
            </w:pPr>
            <w:r w:rsidRPr="00B623DB">
              <w:t>Response</w:t>
            </w:r>
          </w:p>
        </w:tc>
      </w:tr>
    </w:tbl>
    <w:p w:rsidR="00FC4B09" w:rsidRPr="00B623DB" w:rsidRDefault="00F11D72" w:rsidP="00772501">
      <w:pPr>
        <w:pStyle w:val="TableFooter"/>
      </w:pPr>
      <w:r w:rsidRPr="00B623DB">
        <w:t>Abbreviations: CAPS, Cryopyrin-Associated Periodic Syndromes;</w:t>
      </w:r>
      <w:r w:rsidR="00FC4B09" w:rsidRPr="00B623DB">
        <w:t xml:space="preserve"> CNS, central nervous system;</w:t>
      </w:r>
      <w:r w:rsidRPr="00B623DB">
        <w:t xml:space="preserve"> FCAS, Familial Cold Autoinflammatory Syndrome</w:t>
      </w:r>
      <w:r w:rsidR="00FC4B09" w:rsidRPr="00B623DB">
        <w:t xml:space="preserve">; </w:t>
      </w:r>
      <w:r w:rsidRPr="00B623DB">
        <w:t>MWS, Muckle-Wells Syndrome; NOMID, Neonatal-Onset Multisystem Inflammatory Disease</w:t>
      </w:r>
    </w:p>
    <w:p w:rsidR="00C317F3" w:rsidRPr="00B623DB" w:rsidRDefault="00C317F3" w:rsidP="00772501">
      <w:pPr>
        <w:pStyle w:val="TableFooter"/>
      </w:pPr>
      <w:r w:rsidRPr="00B623DB">
        <w:t>Source: compiled during the evaluation</w:t>
      </w:r>
      <w:r w:rsidR="00021C1E" w:rsidRPr="00B623DB">
        <w:t xml:space="preserve"> from </w:t>
      </w:r>
      <w:r w:rsidR="00F0019E" w:rsidRPr="00B623DB">
        <w:t>relevant study reports and publications</w:t>
      </w:r>
    </w:p>
    <w:p w:rsidR="00021C1E" w:rsidRPr="00B623DB" w:rsidRDefault="00CE3EFB" w:rsidP="00C42C16">
      <w:pPr>
        <w:pStyle w:val="ListParagraph"/>
        <w:numPr>
          <w:ilvl w:val="1"/>
          <w:numId w:val="2"/>
        </w:numPr>
        <w:spacing w:before="0" w:after="120"/>
        <w:jc w:val="both"/>
      </w:pPr>
      <w:r w:rsidRPr="00B623DB">
        <w:t>With the exception of</w:t>
      </w:r>
      <w:r w:rsidR="005A4917" w:rsidRPr="00B623DB">
        <w:t xml:space="preserve"> the randomised, placebo-controlled phase of Trial D2304, all included studies had a high risk of bias, given their single-arm, open-label design.</w:t>
      </w:r>
      <w:r w:rsidR="00A04E99" w:rsidRPr="00B623DB">
        <w:rPr>
          <w:i/>
        </w:rPr>
        <w:t xml:space="preserve"> </w:t>
      </w:r>
      <w:r w:rsidR="00A04E99" w:rsidRPr="00B623DB">
        <w:t>Although the ESC agreed there was a high risk of bias, the ESC considered that the risk of bias may be partially mitigated due to the studies’ objective</w:t>
      </w:r>
      <w:r w:rsidR="00BF755A" w:rsidRPr="00B623DB">
        <w:t xml:space="preserve"> inflammatory</w:t>
      </w:r>
      <w:r w:rsidR="00A04E99" w:rsidRPr="00B623DB">
        <w:t xml:space="preserve"> biomarker assessments (i.e C-reactive protein and serum amyloid A levels).</w:t>
      </w:r>
      <w:r w:rsidR="00A04E99" w:rsidRPr="00B623DB">
        <w:rPr>
          <w:i/>
        </w:rPr>
        <w:t xml:space="preserve"> </w:t>
      </w:r>
    </w:p>
    <w:p w:rsidR="004C344A" w:rsidRPr="00B623DB" w:rsidRDefault="004C344A" w:rsidP="00C42C16">
      <w:pPr>
        <w:pStyle w:val="ListParagraph"/>
        <w:numPr>
          <w:ilvl w:val="1"/>
          <w:numId w:val="2"/>
        </w:numPr>
        <w:spacing w:before="0" w:after="120"/>
        <w:jc w:val="both"/>
      </w:pPr>
      <w:r w:rsidRPr="00B623DB">
        <w:t>The included canakinumab studies incorporated a greater number of patients with the generally less severe FCAS and MWS phenotypes compared to the anakinra studies.</w:t>
      </w:r>
    </w:p>
    <w:p w:rsidR="00C317F3" w:rsidRPr="00B623DB" w:rsidRDefault="00C317F3" w:rsidP="00233BBF">
      <w:pPr>
        <w:pStyle w:val="Heading2"/>
        <w:numPr>
          <w:ilvl w:val="0"/>
          <w:numId w:val="0"/>
        </w:numPr>
        <w:rPr>
          <w:i w:val="0"/>
        </w:rPr>
      </w:pPr>
      <w:bookmarkStart w:id="14" w:name="_Toc413139278"/>
      <w:bookmarkStart w:id="15" w:name="_Toc492307657"/>
      <w:r w:rsidRPr="00B623DB">
        <w:rPr>
          <w:i w:val="0"/>
        </w:rPr>
        <w:t>Comparative effectiveness</w:t>
      </w:r>
      <w:bookmarkEnd w:id="14"/>
      <w:bookmarkEnd w:id="15"/>
      <w:r w:rsidRPr="00B623DB">
        <w:rPr>
          <w:i w:val="0"/>
        </w:rPr>
        <w:t xml:space="preserve"> </w:t>
      </w:r>
    </w:p>
    <w:p w:rsidR="00065F4A" w:rsidRPr="00B623DB" w:rsidRDefault="00CE3EFB" w:rsidP="00C42C16">
      <w:pPr>
        <w:pStyle w:val="ListParagraph"/>
        <w:numPr>
          <w:ilvl w:val="1"/>
          <w:numId w:val="2"/>
        </w:numPr>
        <w:spacing w:before="0" w:after="120"/>
        <w:jc w:val="both"/>
      </w:pPr>
      <w:r w:rsidRPr="00B623DB">
        <w:t>Results are presented below for the key canakinumab Trial D2304 and a summary of key outcomes for the nonrandomised ca</w:t>
      </w:r>
      <w:r w:rsidR="00D148B7" w:rsidRPr="00B623DB">
        <w:t>nakinumab and anakinra studies.</w:t>
      </w:r>
    </w:p>
    <w:p w:rsidR="00657D86" w:rsidRPr="00B623DB" w:rsidRDefault="00A02686" w:rsidP="00C42C16">
      <w:pPr>
        <w:pStyle w:val="ListParagraph"/>
        <w:numPr>
          <w:ilvl w:val="1"/>
          <w:numId w:val="2"/>
        </w:numPr>
        <w:spacing w:before="0" w:after="120"/>
        <w:jc w:val="both"/>
        <w:rPr>
          <w:color w:val="4472C4" w:themeColor="accent5"/>
        </w:rPr>
      </w:pPr>
      <w:r w:rsidRPr="00B623DB">
        <w:t>In the randomised phase of Trial D2304, no</w:t>
      </w:r>
      <w:r w:rsidR="0096029D" w:rsidRPr="00B623DB">
        <w:t xml:space="preserve"> patients in the canakinumab group experienced disease flare, versus 13/16 (81.3%) in the placebo group.</w:t>
      </w:r>
      <w:r w:rsidR="00884694" w:rsidRPr="00B623DB">
        <w:t xml:space="preserve"> Ten patients in the placebo group met the criteria for clinical relapse, and </w:t>
      </w:r>
      <w:r w:rsidR="00F30E3D" w:rsidRPr="00B623DB">
        <w:t>12/16 (</w:t>
      </w:r>
      <w:r w:rsidR="00884694" w:rsidRPr="00B623DB">
        <w:t>75</w:t>
      </w:r>
      <w:r w:rsidR="00F30E3D" w:rsidRPr="00B623DB">
        <w:t>.0</w:t>
      </w:r>
      <w:r w:rsidR="00884694" w:rsidRPr="00B623DB">
        <w:t>%</w:t>
      </w:r>
      <w:r w:rsidR="00F30E3D" w:rsidRPr="00B623DB">
        <w:t>)</w:t>
      </w:r>
      <w:r w:rsidR="00884694" w:rsidRPr="00B623DB">
        <w:t xml:space="preserve"> of placebo group patients discontinued from the randomised phase (and moved to open-label canakinumab in Part III of the study) due to unsatisfactory therapeutic effect.</w:t>
      </w:r>
      <w:r w:rsidR="0096029D" w:rsidRPr="00B623DB">
        <w:t xml:space="preserve"> </w:t>
      </w:r>
      <w:r w:rsidR="00884694" w:rsidRPr="00B623DB">
        <w:t>At the end of Part III of the study (open-label canakinumab for all participants), 96.8% of patients were without disease relapse.</w:t>
      </w:r>
      <w:r w:rsidR="00534973" w:rsidRPr="00B623DB">
        <w:t xml:space="preserve"> </w:t>
      </w:r>
    </w:p>
    <w:p w:rsidR="00C317F3" w:rsidRPr="00B623DB" w:rsidRDefault="00534973" w:rsidP="00C42C16">
      <w:pPr>
        <w:pStyle w:val="ListParagraph"/>
        <w:numPr>
          <w:ilvl w:val="1"/>
          <w:numId w:val="2"/>
        </w:numPr>
        <w:spacing w:before="0" w:after="120"/>
        <w:jc w:val="both"/>
        <w:rPr>
          <w:color w:val="4472C4" w:themeColor="accent5"/>
        </w:rPr>
      </w:pPr>
      <w:r w:rsidRPr="00B623DB">
        <w:t xml:space="preserve">Change from the start of the randomised phase (Week 8) of Trial D2304 in inflammatory markers (C-reactive protein and </w:t>
      </w:r>
      <w:r w:rsidR="00EA688C" w:rsidRPr="00B623DB">
        <w:t>serum</w:t>
      </w:r>
      <w:r w:rsidRPr="00B623DB">
        <w:t xml:space="preserve"> Amylo</w:t>
      </w:r>
      <w:r w:rsidR="00D148B7" w:rsidRPr="00B623DB">
        <w:t>id A) are presented in Table 4</w:t>
      </w:r>
      <w:r w:rsidRPr="00B623DB">
        <w:t>.</w:t>
      </w:r>
      <w:r w:rsidR="001661FB" w:rsidRPr="00B623DB">
        <w:t xml:space="preserve"> </w:t>
      </w:r>
      <w:r w:rsidR="00657D86" w:rsidRPr="00B623DB">
        <w:t>Both treatment groups had increased inflammatory markers from Week 8 to the end of Part II, but the change was statistically significantly smaller in the canakinumab treatment group.</w:t>
      </w:r>
    </w:p>
    <w:p w:rsidR="00534973" w:rsidRPr="00B623DB" w:rsidRDefault="00534973" w:rsidP="00534973">
      <w:pPr>
        <w:pStyle w:val="TableHeading0"/>
      </w:pPr>
      <w:r w:rsidRPr="00B623DB">
        <w:t xml:space="preserve">Table </w:t>
      </w:r>
      <w:r w:rsidR="00D148B7" w:rsidRPr="00B623DB">
        <w:t>4</w:t>
      </w:r>
      <w:r w:rsidRPr="00B623DB">
        <w:t xml:space="preserve">: Change from start of Part II (week 8) to last assessment in serum protein levels, Trial D2304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89"/>
        <w:gridCol w:w="1191"/>
        <w:gridCol w:w="1191"/>
        <w:gridCol w:w="1193"/>
        <w:gridCol w:w="1191"/>
        <w:gridCol w:w="1191"/>
        <w:gridCol w:w="1195"/>
        <w:gridCol w:w="837"/>
      </w:tblGrid>
      <w:tr w:rsidR="00534973" w:rsidRPr="00B623DB" w:rsidTr="00D148B7">
        <w:trPr>
          <w:tblHeader/>
        </w:trPr>
        <w:tc>
          <w:tcPr>
            <w:tcW w:w="600" w:type="pct"/>
            <w:vMerge w:val="restart"/>
            <w:vAlign w:val="center"/>
          </w:tcPr>
          <w:p w:rsidR="00534973" w:rsidRPr="00B623DB" w:rsidRDefault="00534973" w:rsidP="00D148B7">
            <w:pPr>
              <w:pStyle w:val="TableText"/>
              <w:rPr>
                <w:b/>
              </w:rPr>
            </w:pPr>
            <w:r w:rsidRPr="00B623DB">
              <w:rPr>
                <w:b/>
              </w:rPr>
              <w:t>Trial D2304</w:t>
            </w:r>
          </w:p>
        </w:tc>
        <w:tc>
          <w:tcPr>
            <w:tcW w:w="1969" w:type="pct"/>
            <w:gridSpan w:val="3"/>
            <w:vAlign w:val="center"/>
          </w:tcPr>
          <w:p w:rsidR="00534973" w:rsidRPr="00B623DB" w:rsidRDefault="00534973" w:rsidP="00D148B7">
            <w:pPr>
              <w:pStyle w:val="TableText"/>
              <w:jc w:val="center"/>
              <w:rPr>
                <w:b/>
                <w:iCs/>
                <w:szCs w:val="24"/>
              </w:rPr>
            </w:pPr>
            <w:r w:rsidRPr="00B623DB">
              <w:rPr>
                <w:b/>
                <w:iCs/>
                <w:szCs w:val="24"/>
              </w:rPr>
              <w:t>Canakinumab N=15</w:t>
            </w:r>
          </w:p>
        </w:tc>
        <w:tc>
          <w:tcPr>
            <w:tcW w:w="1970" w:type="pct"/>
            <w:gridSpan w:val="3"/>
            <w:vAlign w:val="center"/>
          </w:tcPr>
          <w:p w:rsidR="00534973" w:rsidRPr="00B623DB" w:rsidRDefault="00534973" w:rsidP="00D148B7">
            <w:pPr>
              <w:pStyle w:val="TableText"/>
              <w:jc w:val="center"/>
              <w:rPr>
                <w:b/>
                <w:iCs/>
                <w:szCs w:val="24"/>
              </w:rPr>
            </w:pPr>
            <w:r w:rsidRPr="00B623DB">
              <w:rPr>
                <w:b/>
                <w:iCs/>
                <w:szCs w:val="24"/>
              </w:rPr>
              <w:t>Placebo N=16</w:t>
            </w:r>
          </w:p>
        </w:tc>
        <w:tc>
          <w:tcPr>
            <w:tcW w:w="461" w:type="pct"/>
            <w:vMerge w:val="restart"/>
            <w:vAlign w:val="center"/>
          </w:tcPr>
          <w:p w:rsidR="00534973" w:rsidRPr="00B623DB" w:rsidRDefault="00534973" w:rsidP="00D148B7">
            <w:pPr>
              <w:pStyle w:val="TableText"/>
              <w:jc w:val="center"/>
              <w:rPr>
                <w:b/>
                <w:iCs/>
                <w:szCs w:val="24"/>
              </w:rPr>
            </w:pPr>
            <w:r w:rsidRPr="00B623DB">
              <w:rPr>
                <w:b/>
                <w:iCs/>
                <w:szCs w:val="24"/>
              </w:rPr>
              <w:t xml:space="preserve">P-value </w:t>
            </w:r>
            <w:r w:rsidRPr="00B623DB">
              <w:rPr>
                <w:b/>
                <w:iCs/>
                <w:szCs w:val="24"/>
                <w:vertAlign w:val="superscript"/>
              </w:rPr>
              <w:t>a</w:t>
            </w:r>
          </w:p>
        </w:tc>
      </w:tr>
      <w:tr w:rsidR="00534973" w:rsidRPr="00B623DB" w:rsidTr="00D148B7">
        <w:trPr>
          <w:tblHeader/>
        </w:trPr>
        <w:tc>
          <w:tcPr>
            <w:tcW w:w="600" w:type="pct"/>
            <w:vMerge/>
            <w:vAlign w:val="center"/>
          </w:tcPr>
          <w:p w:rsidR="00534973" w:rsidRPr="00B623DB" w:rsidRDefault="00534973" w:rsidP="00D148B7">
            <w:pPr>
              <w:pStyle w:val="TableText"/>
              <w:rPr>
                <w:b/>
              </w:rPr>
            </w:pPr>
          </w:p>
        </w:tc>
        <w:tc>
          <w:tcPr>
            <w:tcW w:w="656" w:type="pct"/>
            <w:vAlign w:val="center"/>
          </w:tcPr>
          <w:p w:rsidR="00534973" w:rsidRPr="00B623DB" w:rsidRDefault="00534973" w:rsidP="00D148B7">
            <w:pPr>
              <w:pStyle w:val="TableText"/>
              <w:jc w:val="center"/>
              <w:rPr>
                <w:b/>
                <w:iCs/>
                <w:szCs w:val="24"/>
              </w:rPr>
            </w:pPr>
            <w:r w:rsidRPr="00B623DB">
              <w:rPr>
                <w:b/>
                <w:iCs/>
                <w:szCs w:val="24"/>
              </w:rPr>
              <w:t>Week 8</w:t>
            </w:r>
          </w:p>
        </w:tc>
        <w:tc>
          <w:tcPr>
            <w:tcW w:w="656" w:type="pct"/>
            <w:vAlign w:val="center"/>
          </w:tcPr>
          <w:p w:rsidR="00534973" w:rsidRPr="00B623DB" w:rsidRDefault="00534973" w:rsidP="00D148B7">
            <w:pPr>
              <w:pStyle w:val="TableText"/>
              <w:jc w:val="center"/>
              <w:rPr>
                <w:szCs w:val="24"/>
              </w:rPr>
            </w:pPr>
            <w:r w:rsidRPr="00B623DB">
              <w:rPr>
                <w:b/>
                <w:iCs/>
                <w:szCs w:val="24"/>
              </w:rPr>
              <w:t>Last Assessment Part II</w:t>
            </w:r>
          </w:p>
        </w:tc>
        <w:tc>
          <w:tcPr>
            <w:tcW w:w="657" w:type="pct"/>
            <w:vAlign w:val="center"/>
          </w:tcPr>
          <w:p w:rsidR="00534973" w:rsidRPr="00B623DB" w:rsidRDefault="00534973" w:rsidP="00D148B7">
            <w:pPr>
              <w:pStyle w:val="TableText"/>
              <w:jc w:val="center"/>
              <w:rPr>
                <w:szCs w:val="24"/>
              </w:rPr>
            </w:pPr>
            <w:r w:rsidRPr="00B623DB">
              <w:rPr>
                <w:b/>
                <w:iCs/>
                <w:szCs w:val="24"/>
              </w:rPr>
              <w:t>Change from week 8</w:t>
            </w:r>
          </w:p>
        </w:tc>
        <w:tc>
          <w:tcPr>
            <w:tcW w:w="656" w:type="pct"/>
            <w:vAlign w:val="center"/>
          </w:tcPr>
          <w:p w:rsidR="00534973" w:rsidRPr="00B623DB" w:rsidRDefault="00534973" w:rsidP="00D148B7">
            <w:pPr>
              <w:pStyle w:val="TableText"/>
              <w:jc w:val="center"/>
              <w:rPr>
                <w:szCs w:val="24"/>
              </w:rPr>
            </w:pPr>
            <w:r w:rsidRPr="00B623DB">
              <w:rPr>
                <w:b/>
                <w:iCs/>
                <w:szCs w:val="24"/>
              </w:rPr>
              <w:t>Week 8</w:t>
            </w:r>
          </w:p>
        </w:tc>
        <w:tc>
          <w:tcPr>
            <w:tcW w:w="656" w:type="pct"/>
            <w:vAlign w:val="center"/>
          </w:tcPr>
          <w:p w:rsidR="00534973" w:rsidRPr="00B623DB" w:rsidRDefault="00534973" w:rsidP="00D148B7">
            <w:pPr>
              <w:pStyle w:val="TableText"/>
              <w:jc w:val="center"/>
              <w:rPr>
                <w:szCs w:val="24"/>
              </w:rPr>
            </w:pPr>
            <w:r w:rsidRPr="00B623DB">
              <w:rPr>
                <w:b/>
                <w:iCs/>
                <w:szCs w:val="24"/>
              </w:rPr>
              <w:t>Last Assessment Part II</w:t>
            </w:r>
          </w:p>
        </w:tc>
        <w:tc>
          <w:tcPr>
            <w:tcW w:w="658" w:type="pct"/>
            <w:vAlign w:val="center"/>
          </w:tcPr>
          <w:p w:rsidR="00534973" w:rsidRPr="00B623DB" w:rsidRDefault="00534973" w:rsidP="00D148B7">
            <w:pPr>
              <w:pStyle w:val="TableText"/>
              <w:jc w:val="center"/>
              <w:rPr>
                <w:szCs w:val="24"/>
              </w:rPr>
            </w:pPr>
            <w:r w:rsidRPr="00B623DB">
              <w:rPr>
                <w:b/>
                <w:iCs/>
                <w:szCs w:val="24"/>
              </w:rPr>
              <w:t>Change from week 8</w:t>
            </w:r>
          </w:p>
        </w:tc>
        <w:tc>
          <w:tcPr>
            <w:tcW w:w="461" w:type="pct"/>
            <w:vMerge/>
            <w:vAlign w:val="center"/>
          </w:tcPr>
          <w:p w:rsidR="00534973" w:rsidRPr="00B623DB" w:rsidRDefault="00534973" w:rsidP="00D148B7">
            <w:pPr>
              <w:pStyle w:val="TableText"/>
              <w:jc w:val="center"/>
              <w:rPr>
                <w:szCs w:val="24"/>
                <w:vertAlign w:val="superscript"/>
              </w:rPr>
            </w:pPr>
          </w:p>
        </w:tc>
      </w:tr>
      <w:tr w:rsidR="00534973" w:rsidRPr="00B623DB" w:rsidTr="00D148B7">
        <w:tc>
          <w:tcPr>
            <w:tcW w:w="600" w:type="pct"/>
          </w:tcPr>
          <w:p w:rsidR="00534973" w:rsidRPr="00B623DB" w:rsidRDefault="00534973" w:rsidP="00D148B7">
            <w:pPr>
              <w:pStyle w:val="TableText"/>
            </w:pPr>
            <w:r w:rsidRPr="00B623DB">
              <w:t>CRP, mean (SD)</w:t>
            </w:r>
          </w:p>
        </w:tc>
        <w:tc>
          <w:tcPr>
            <w:tcW w:w="656" w:type="pct"/>
            <w:vAlign w:val="center"/>
          </w:tcPr>
          <w:p w:rsidR="00534973" w:rsidRPr="00B623DB" w:rsidRDefault="00534973" w:rsidP="00D148B7">
            <w:pPr>
              <w:pStyle w:val="TableText"/>
              <w:jc w:val="center"/>
            </w:pPr>
            <w:r w:rsidRPr="00B623DB">
              <w:t>2.79 (2.18)</w:t>
            </w:r>
          </w:p>
        </w:tc>
        <w:tc>
          <w:tcPr>
            <w:tcW w:w="656" w:type="pct"/>
            <w:vAlign w:val="center"/>
          </w:tcPr>
          <w:p w:rsidR="00534973" w:rsidRPr="00B623DB" w:rsidRDefault="00534973" w:rsidP="00D148B7">
            <w:pPr>
              <w:pStyle w:val="TableText"/>
              <w:jc w:val="center"/>
            </w:pPr>
            <w:r w:rsidRPr="00B623DB">
              <w:t>3.89 (4.36)</w:t>
            </w:r>
          </w:p>
        </w:tc>
        <w:tc>
          <w:tcPr>
            <w:tcW w:w="657" w:type="pct"/>
            <w:vAlign w:val="center"/>
          </w:tcPr>
          <w:p w:rsidR="00534973" w:rsidRPr="00B623DB" w:rsidRDefault="00534973" w:rsidP="00D148B7">
            <w:pPr>
              <w:pStyle w:val="TableText"/>
              <w:jc w:val="center"/>
            </w:pPr>
            <w:r w:rsidRPr="00B623DB">
              <w:t>1.10 (3.09)</w:t>
            </w:r>
          </w:p>
        </w:tc>
        <w:tc>
          <w:tcPr>
            <w:tcW w:w="656" w:type="pct"/>
            <w:vAlign w:val="center"/>
          </w:tcPr>
          <w:p w:rsidR="00534973" w:rsidRPr="00B623DB" w:rsidRDefault="00534973" w:rsidP="00D148B7">
            <w:pPr>
              <w:pStyle w:val="TableText"/>
              <w:jc w:val="center"/>
            </w:pPr>
            <w:r w:rsidRPr="00B623DB">
              <w:t>9.23 (10.67)</w:t>
            </w:r>
          </w:p>
        </w:tc>
        <w:tc>
          <w:tcPr>
            <w:tcW w:w="656" w:type="pct"/>
            <w:vAlign w:val="center"/>
          </w:tcPr>
          <w:p w:rsidR="00534973" w:rsidRPr="00B623DB" w:rsidRDefault="00534973" w:rsidP="00D148B7">
            <w:pPr>
              <w:pStyle w:val="TableText"/>
              <w:jc w:val="center"/>
            </w:pPr>
            <w:r w:rsidRPr="00B623DB">
              <w:t>29.16 (29.09)</w:t>
            </w:r>
          </w:p>
        </w:tc>
        <w:tc>
          <w:tcPr>
            <w:tcW w:w="658" w:type="pct"/>
            <w:vAlign w:val="center"/>
          </w:tcPr>
          <w:p w:rsidR="00534973" w:rsidRPr="00B623DB" w:rsidRDefault="00534973" w:rsidP="00D148B7">
            <w:pPr>
              <w:pStyle w:val="TableText"/>
              <w:jc w:val="center"/>
            </w:pPr>
            <w:r w:rsidRPr="00B623DB">
              <w:t>19.93 (24.18)</w:t>
            </w:r>
          </w:p>
        </w:tc>
        <w:tc>
          <w:tcPr>
            <w:tcW w:w="461" w:type="pct"/>
            <w:vAlign w:val="center"/>
          </w:tcPr>
          <w:p w:rsidR="00534973" w:rsidRPr="00B623DB" w:rsidRDefault="00534973" w:rsidP="00D148B7">
            <w:pPr>
              <w:pStyle w:val="TableText"/>
              <w:jc w:val="center"/>
              <w:rPr>
                <w:rFonts w:ascii="Times" w:eastAsia="Times New Roman" w:hAnsi="Times" w:cs="Times New Roman"/>
              </w:rPr>
            </w:pPr>
            <w:r w:rsidRPr="00B623DB">
              <w:t>&lt;0.001</w:t>
            </w:r>
          </w:p>
        </w:tc>
      </w:tr>
      <w:tr w:rsidR="00534973" w:rsidRPr="00B623DB" w:rsidTr="00D148B7">
        <w:tc>
          <w:tcPr>
            <w:tcW w:w="600" w:type="pct"/>
          </w:tcPr>
          <w:p w:rsidR="00534973" w:rsidRPr="00B623DB" w:rsidRDefault="00534973" w:rsidP="00D148B7">
            <w:pPr>
              <w:pStyle w:val="TableText"/>
            </w:pPr>
            <w:r w:rsidRPr="00B623DB">
              <w:t>SAA, mean (SD)</w:t>
            </w:r>
          </w:p>
        </w:tc>
        <w:tc>
          <w:tcPr>
            <w:tcW w:w="656" w:type="pct"/>
            <w:vAlign w:val="center"/>
          </w:tcPr>
          <w:p w:rsidR="00534973" w:rsidRPr="00B623DB" w:rsidRDefault="00534973" w:rsidP="00D148B7">
            <w:pPr>
              <w:pStyle w:val="TableText"/>
              <w:jc w:val="center"/>
            </w:pPr>
            <w:r w:rsidRPr="00B623DB">
              <w:t>7.63 (8.32)</w:t>
            </w:r>
          </w:p>
        </w:tc>
        <w:tc>
          <w:tcPr>
            <w:tcW w:w="656" w:type="pct"/>
            <w:vAlign w:val="center"/>
          </w:tcPr>
          <w:p w:rsidR="00534973" w:rsidRPr="00B623DB" w:rsidRDefault="00534973" w:rsidP="00D148B7">
            <w:pPr>
              <w:pStyle w:val="TableText"/>
              <w:jc w:val="center"/>
            </w:pPr>
            <w:r w:rsidRPr="00B623DB">
              <w:t>9.90 (11.42)</w:t>
            </w:r>
          </w:p>
        </w:tc>
        <w:tc>
          <w:tcPr>
            <w:tcW w:w="657" w:type="pct"/>
            <w:vAlign w:val="center"/>
          </w:tcPr>
          <w:p w:rsidR="00534973" w:rsidRPr="00B623DB" w:rsidRDefault="00534973" w:rsidP="00D148B7">
            <w:pPr>
              <w:pStyle w:val="TableText"/>
              <w:jc w:val="center"/>
            </w:pPr>
            <w:r w:rsidRPr="00B623DB">
              <w:t>2.27 (8.60)</w:t>
            </w:r>
          </w:p>
        </w:tc>
        <w:tc>
          <w:tcPr>
            <w:tcW w:w="656" w:type="pct"/>
            <w:vAlign w:val="center"/>
          </w:tcPr>
          <w:p w:rsidR="00534973" w:rsidRPr="00B623DB" w:rsidRDefault="00534973" w:rsidP="00D148B7">
            <w:pPr>
              <w:pStyle w:val="TableText"/>
              <w:jc w:val="center"/>
            </w:pPr>
            <w:r w:rsidRPr="00B623DB">
              <w:t>23.76 (37.79)</w:t>
            </w:r>
          </w:p>
        </w:tc>
        <w:tc>
          <w:tcPr>
            <w:tcW w:w="656" w:type="pct"/>
            <w:vAlign w:val="center"/>
          </w:tcPr>
          <w:p w:rsidR="00534973" w:rsidRPr="00B623DB" w:rsidRDefault="00534973" w:rsidP="00D148B7">
            <w:pPr>
              <w:pStyle w:val="TableText"/>
              <w:jc w:val="center"/>
            </w:pPr>
            <w:r w:rsidRPr="00B623DB">
              <w:t>94.85 (141.90)</w:t>
            </w:r>
          </w:p>
        </w:tc>
        <w:tc>
          <w:tcPr>
            <w:tcW w:w="658" w:type="pct"/>
            <w:vAlign w:val="center"/>
          </w:tcPr>
          <w:p w:rsidR="00534973" w:rsidRPr="00B623DB" w:rsidRDefault="00534973" w:rsidP="00D148B7">
            <w:pPr>
              <w:pStyle w:val="TableText"/>
              <w:jc w:val="center"/>
            </w:pPr>
            <w:r w:rsidRPr="00B623DB">
              <w:t>71.09 (135.64)</w:t>
            </w:r>
          </w:p>
        </w:tc>
        <w:tc>
          <w:tcPr>
            <w:tcW w:w="461" w:type="pct"/>
            <w:vAlign w:val="center"/>
          </w:tcPr>
          <w:p w:rsidR="00534973" w:rsidRPr="00B623DB" w:rsidRDefault="00534973" w:rsidP="00D148B7">
            <w:pPr>
              <w:pStyle w:val="TableText"/>
              <w:jc w:val="center"/>
            </w:pPr>
            <w:r w:rsidRPr="00B623DB">
              <w:t>0.002</w:t>
            </w:r>
          </w:p>
        </w:tc>
      </w:tr>
    </w:tbl>
    <w:p w:rsidR="00534973" w:rsidRPr="00B623DB" w:rsidRDefault="00534973" w:rsidP="00534973">
      <w:pPr>
        <w:pStyle w:val="TableFooter"/>
      </w:pPr>
      <w:r w:rsidRPr="00B623DB">
        <w:rPr>
          <w:vertAlign w:val="superscript"/>
        </w:rPr>
        <w:t>a</w:t>
      </w:r>
      <w:r w:rsidRPr="00B623DB">
        <w:t xml:space="preserve"> p-value is derived from stratified Wilcoxon rank sum test, stratified by cohort for the change from Week 8 (start of Part II). Analysis uses last observation carried forward, intent to treat population.</w:t>
      </w:r>
    </w:p>
    <w:p w:rsidR="00534973" w:rsidRPr="00B623DB" w:rsidRDefault="00534973" w:rsidP="00534973">
      <w:pPr>
        <w:pStyle w:val="TableFooter"/>
      </w:pPr>
      <w:r w:rsidRPr="00B623DB">
        <w:t>Abbreviations: CRP, C-reactive protein; SAA, serum amyloid A</w:t>
      </w:r>
      <w:r w:rsidR="00657D86" w:rsidRPr="00B623DB">
        <w:t>; SD, standard deviation</w:t>
      </w:r>
    </w:p>
    <w:p w:rsidR="00534973" w:rsidRPr="00B623DB" w:rsidRDefault="00534973" w:rsidP="00534973">
      <w:pPr>
        <w:pStyle w:val="TableFooter"/>
      </w:pPr>
      <w:r w:rsidRPr="00B623DB">
        <w:t>Source: Table 2.26, p80; Table 2.27, p82 of the submission.</w:t>
      </w:r>
    </w:p>
    <w:p w:rsidR="001829FC" w:rsidRPr="00B623DB" w:rsidRDefault="001661FB" w:rsidP="00C42C16">
      <w:pPr>
        <w:pStyle w:val="ListParagraph"/>
        <w:numPr>
          <w:ilvl w:val="1"/>
          <w:numId w:val="2"/>
        </w:numPr>
        <w:spacing w:before="0" w:after="120"/>
        <w:jc w:val="both"/>
      </w:pPr>
      <w:r w:rsidRPr="00B623DB">
        <w:t xml:space="preserve">Change in disease symptoms </w:t>
      </w:r>
      <w:r w:rsidR="00657D86" w:rsidRPr="00B623DB">
        <w:t xml:space="preserve">during Part II of the trial </w:t>
      </w:r>
      <w:r w:rsidRPr="00B623DB">
        <w:t xml:space="preserve">are presented in Table </w:t>
      </w:r>
      <w:r w:rsidR="00D148B7" w:rsidRPr="00B623DB">
        <w:t>5</w:t>
      </w:r>
      <w:r w:rsidRPr="00B623DB">
        <w:t>. The physician’s global assessment of auto-inflammatory disease activity included arthralgia, myalgia, headache/migraine, conjunctivitis, fatigue/malaise and other symptoms related to auto-inflammatory syndrome</w:t>
      </w:r>
      <w:r w:rsidR="001829FC" w:rsidRPr="00B623DB">
        <w:t>, and was generally better at the last assessment in Part II for those patients treated with canakinumab compared to patients treated with placebo. Almost all canakinumab-treated patients reported absence of skin disease at the last assessment in Part II (93.3%) compared to only 31.3% of placebo-treated patients. In Part III of the study (canakinumab treatment), physicians rated all patients’ symptoms as ‘minimal’ or less, regardless of treatment allocation in Part II.</w:t>
      </w:r>
    </w:p>
    <w:p w:rsidR="001661FB" w:rsidRPr="00B623DB" w:rsidRDefault="001829FC" w:rsidP="00C42C16">
      <w:pPr>
        <w:pStyle w:val="ListParagraph"/>
        <w:numPr>
          <w:ilvl w:val="1"/>
          <w:numId w:val="2"/>
        </w:numPr>
        <w:spacing w:before="0" w:after="120"/>
        <w:jc w:val="both"/>
        <w:rPr>
          <w:color w:val="4472C4" w:themeColor="accent5"/>
        </w:rPr>
      </w:pPr>
      <w:r w:rsidRPr="00B623DB">
        <w:t>The patient’s global assessment of symptoms, assessed by a single question, tended to worsen in Part II of the trial for both treatment groups. At the end of Part II, 66.7% of canakinumab treated patients assessed their symptoms as absent or minimal, compared to 31.3% of placebo-treated patients. However, there were 4 patients in the canakinumab-treated group (26.7%) who reported their symptoms as severe at the end of Part II. In Part III of the study (canakinumab treatment), 86.7% of patients rated their symptoms as absent or minimal.</w:t>
      </w:r>
      <w:r w:rsidR="006315BE" w:rsidRPr="00B623DB">
        <w:rPr>
          <w:i/>
        </w:rPr>
        <w:t xml:space="preserve"> </w:t>
      </w:r>
      <w:r w:rsidR="006315BE" w:rsidRPr="00B623DB">
        <w:t>The ESC noted that while there was significant difference in change to physicians’ assessment of disease activity between canakinumab and placebo in trial D2304, there was no significant difference in patients’ assessment of their own symptoms</w:t>
      </w:r>
      <w:r w:rsidR="006F3FC6" w:rsidRPr="00B623DB">
        <w:t>.</w:t>
      </w:r>
      <w:r w:rsidR="005E6361" w:rsidRPr="00B623DB">
        <w:t xml:space="preserve"> </w:t>
      </w:r>
      <w:r w:rsidR="00CD1275" w:rsidRPr="00B623DB">
        <w:t>However, t</w:t>
      </w:r>
      <w:r w:rsidR="005E6361" w:rsidRPr="00B623DB">
        <w:t xml:space="preserve">he ESC considered that the discrepancy between these </w:t>
      </w:r>
      <w:r w:rsidR="00CD1275" w:rsidRPr="00B623DB">
        <w:t>outcomes</w:t>
      </w:r>
      <w:r w:rsidR="005E6361" w:rsidRPr="00B623DB">
        <w:t xml:space="preserve"> were difficult to interpret due to the small number of patients. </w:t>
      </w:r>
    </w:p>
    <w:p w:rsidR="001661FB" w:rsidRPr="00B623DB" w:rsidRDefault="001661FB" w:rsidP="001661FB">
      <w:pPr>
        <w:pStyle w:val="TableHeading0"/>
      </w:pPr>
      <w:r w:rsidRPr="00B623DB">
        <w:t xml:space="preserve">Table </w:t>
      </w:r>
      <w:r w:rsidR="00D148B7" w:rsidRPr="00B623DB">
        <w:t>5</w:t>
      </w:r>
      <w:r w:rsidRPr="00B623DB">
        <w:t xml:space="preserve">: Global assessment of symptoms, Part II of Trial D2304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596"/>
        <w:gridCol w:w="1595"/>
        <w:gridCol w:w="1595"/>
        <w:gridCol w:w="1595"/>
        <w:gridCol w:w="846"/>
      </w:tblGrid>
      <w:tr w:rsidR="001661FB" w:rsidRPr="00B623DB" w:rsidTr="00D148B7">
        <w:trPr>
          <w:tblHeader/>
        </w:trPr>
        <w:tc>
          <w:tcPr>
            <w:tcW w:w="1063" w:type="pct"/>
            <w:vMerge w:val="restart"/>
            <w:vAlign w:val="center"/>
          </w:tcPr>
          <w:p w:rsidR="001661FB" w:rsidRPr="00B623DB" w:rsidRDefault="001661FB" w:rsidP="00D148B7">
            <w:pPr>
              <w:pStyle w:val="TableText"/>
              <w:rPr>
                <w:b/>
              </w:rPr>
            </w:pPr>
            <w:r w:rsidRPr="00B623DB">
              <w:rPr>
                <w:b/>
              </w:rPr>
              <w:t>Trial D2304</w:t>
            </w:r>
          </w:p>
        </w:tc>
        <w:tc>
          <w:tcPr>
            <w:tcW w:w="1738" w:type="pct"/>
            <w:gridSpan w:val="2"/>
            <w:vAlign w:val="center"/>
          </w:tcPr>
          <w:p w:rsidR="001661FB" w:rsidRPr="00B623DB" w:rsidRDefault="001661FB" w:rsidP="00D148B7">
            <w:pPr>
              <w:pStyle w:val="TableText"/>
              <w:jc w:val="center"/>
              <w:rPr>
                <w:b/>
                <w:iCs/>
                <w:szCs w:val="24"/>
              </w:rPr>
            </w:pPr>
            <w:r w:rsidRPr="00B623DB">
              <w:rPr>
                <w:b/>
                <w:iCs/>
                <w:szCs w:val="24"/>
              </w:rPr>
              <w:t>Canakinumab N=15</w:t>
            </w:r>
          </w:p>
        </w:tc>
        <w:tc>
          <w:tcPr>
            <w:tcW w:w="1738" w:type="pct"/>
            <w:gridSpan w:val="2"/>
            <w:vAlign w:val="center"/>
          </w:tcPr>
          <w:p w:rsidR="001661FB" w:rsidRPr="00B623DB" w:rsidRDefault="001661FB" w:rsidP="00D148B7">
            <w:pPr>
              <w:pStyle w:val="TableText"/>
              <w:jc w:val="center"/>
              <w:rPr>
                <w:b/>
                <w:iCs/>
                <w:szCs w:val="24"/>
              </w:rPr>
            </w:pPr>
            <w:r w:rsidRPr="00B623DB">
              <w:rPr>
                <w:b/>
                <w:iCs/>
                <w:szCs w:val="24"/>
              </w:rPr>
              <w:t>Placebo N=16</w:t>
            </w:r>
          </w:p>
        </w:tc>
        <w:tc>
          <w:tcPr>
            <w:tcW w:w="461" w:type="pct"/>
            <w:vMerge w:val="restart"/>
            <w:vAlign w:val="center"/>
          </w:tcPr>
          <w:p w:rsidR="001661FB" w:rsidRPr="00B623DB" w:rsidRDefault="001661FB" w:rsidP="00D148B7">
            <w:pPr>
              <w:pStyle w:val="TableText"/>
              <w:jc w:val="center"/>
              <w:rPr>
                <w:b/>
                <w:iCs/>
                <w:szCs w:val="24"/>
              </w:rPr>
            </w:pPr>
            <w:r w:rsidRPr="00B623DB">
              <w:rPr>
                <w:b/>
                <w:iCs/>
                <w:szCs w:val="24"/>
              </w:rPr>
              <w:t xml:space="preserve">P-value </w:t>
            </w:r>
            <w:r w:rsidRPr="00B623DB">
              <w:rPr>
                <w:b/>
                <w:iCs/>
                <w:szCs w:val="24"/>
                <w:vertAlign w:val="superscript"/>
              </w:rPr>
              <w:t>a</w:t>
            </w:r>
          </w:p>
        </w:tc>
      </w:tr>
      <w:tr w:rsidR="001661FB" w:rsidRPr="00B623DB" w:rsidTr="00D148B7">
        <w:trPr>
          <w:tblHeader/>
        </w:trPr>
        <w:tc>
          <w:tcPr>
            <w:tcW w:w="1063" w:type="pct"/>
            <w:vMerge/>
            <w:vAlign w:val="center"/>
          </w:tcPr>
          <w:p w:rsidR="001661FB" w:rsidRPr="00B623DB" w:rsidRDefault="001661FB" w:rsidP="00D148B7">
            <w:pPr>
              <w:pStyle w:val="TableText"/>
              <w:rPr>
                <w:b/>
              </w:rPr>
            </w:pPr>
          </w:p>
        </w:tc>
        <w:tc>
          <w:tcPr>
            <w:tcW w:w="869" w:type="pct"/>
            <w:vAlign w:val="center"/>
          </w:tcPr>
          <w:p w:rsidR="001661FB" w:rsidRPr="00B623DB" w:rsidRDefault="001661FB" w:rsidP="00D148B7">
            <w:pPr>
              <w:pStyle w:val="TableText"/>
              <w:jc w:val="center"/>
              <w:rPr>
                <w:b/>
                <w:iCs/>
                <w:szCs w:val="24"/>
              </w:rPr>
            </w:pPr>
            <w:r w:rsidRPr="00B623DB">
              <w:rPr>
                <w:b/>
                <w:iCs/>
                <w:szCs w:val="24"/>
              </w:rPr>
              <w:t>Week 8</w:t>
            </w:r>
          </w:p>
        </w:tc>
        <w:tc>
          <w:tcPr>
            <w:tcW w:w="869" w:type="pct"/>
            <w:vAlign w:val="center"/>
          </w:tcPr>
          <w:p w:rsidR="001661FB" w:rsidRPr="00B623DB" w:rsidRDefault="001661FB" w:rsidP="00D148B7">
            <w:pPr>
              <w:pStyle w:val="TableText"/>
              <w:jc w:val="center"/>
              <w:rPr>
                <w:szCs w:val="24"/>
              </w:rPr>
            </w:pPr>
            <w:r w:rsidRPr="00B623DB">
              <w:rPr>
                <w:b/>
                <w:iCs/>
                <w:szCs w:val="24"/>
              </w:rPr>
              <w:t>Last Assessment Part II</w:t>
            </w:r>
          </w:p>
        </w:tc>
        <w:tc>
          <w:tcPr>
            <w:tcW w:w="869" w:type="pct"/>
            <w:vAlign w:val="center"/>
          </w:tcPr>
          <w:p w:rsidR="001661FB" w:rsidRPr="00B623DB" w:rsidRDefault="001661FB" w:rsidP="00D148B7">
            <w:pPr>
              <w:pStyle w:val="TableText"/>
              <w:jc w:val="center"/>
              <w:rPr>
                <w:szCs w:val="24"/>
              </w:rPr>
            </w:pPr>
            <w:r w:rsidRPr="00B623DB">
              <w:rPr>
                <w:b/>
                <w:iCs/>
                <w:szCs w:val="24"/>
              </w:rPr>
              <w:t>Week 8</w:t>
            </w:r>
          </w:p>
        </w:tc>
        <w:tc>
          <w:tcPr>
            <w:tcW w:w="869" w:type="pct"/>
            <w:vAlign w:val="center"/>
          </w:tcPr>
          <w:p w:rsidR="001661FB" w:rsidRPr="00B623DB" w:rsidRDefault="001661FB" w:rsidP="00D148B7">
            <w:pPr>
              <w:pStyle w:val="TableText"/>
              <w:jc w:val="center"/>
              <w:rPr>
                <w:szCs w:val="24"/>
              </w:rPr>
            </w:pPr>
            <w:r w:rsidRPr="00B623DB">
              <w:rPr>
                <w:b/>
                <w:iCs/>
                <w:szCs w:val="24"/>
              </w:rPr>
              <w:t>Last Assessment Part II</w:t>
            </w:r>
          </w:p>
        </w:tc>
        <w:tc>
          <w:tcPr>
            <w:tcW w:w="461" w:type="pct"/>
            <w:vMerge/>
            <w:vAlign w:val="center"/>
          </w:tcPr>
          <w:p w:rsidR="001661FB" w:rsidRPr="00B623DB" w:rsidRDefault="001661FB" w:rsidP="00D148B7">
            <w:pPr>
              <w:pStyle w:val="TableText"/>
              <w:jc w:val="center"/>
              <w:rPr>
                <w:szCs w:val="24"/>
                <w:vertAlign w:val="superscript"/>
              </w:rPr>
            </w:pPr>
          </w:p>
        </w:tc>
      </w:tr>
      <w:tr w:rsidR="001661FB" w:rsidRPr="00B623DB" w:rsidTr="00D148B7">
        <w:tc>
          <w:tcPr>
            <w:tcW w:w="5000" w:type="pct"/>
            <w:gridSpan w:val="6"/>
            <w:vAlign w:val="center"/>
          </w:tcPr>
          <w:p w:rsidR="001661FB" w:rsidRPr="00B623DB" w:rsidRDefault="001661FB" w:rsidP="00D148B7">
            <w:pPr>
              <w:pStyle w:val="TableText"/>
              <w:rPr>
                <w:b/>
              </w:rPr>
            </w:pPr>
            <w:r w:rsidRPr="00B623DB">
              <w:rPr>
                <w:b/>
              </w:rPr>
              <w:t>Physician’s global assessment of auto-inflammatory disease activity n (%)</w:t>
            </w:r>
          </w:p>
        </w:tc>
      </w:tr>
      <w:tr w:rsidR="001661FB" w:rsidRPr="00B623DB" w:rsidTr="00D148B7">
        <w:tc>
          <w:tcPr>
            <w:tcW w:w="1063" w:type="pct"/>
          </w:tcPr>
          <w:p w:rsidR="001661FB" w:rsidRPr="00B623DB" w:rsidRDefault="001661FB" w:rsidP="00D148B7">
            <w:pPr>
              <w:pStyle w:val="TableText"/>
            </w:pPr>
            <w:r w:rsidRPr="00B623DB">
              <w:t>Absent</w:t>
            </w:r>
          </w:p>
        </w:tc>
        <w:tc>
          <w:tcPr>
            <w:tcW w:w="869" w:type="pct"/>
          </w:tcPr>
          <w:p w:rsidR="001661FB" w:rsidRPr="00B623DB" w:rsidRDefault="001661FB" w:rsidP="00D148B7">
            <w:pPr>
              <w:pStyle w:val="TableText"/>
              <w:jc w:val="center"/>
            </w:pPr>
            <w:r w:rsidRPr="00B623DB">
              <w:t>9 (60.0)</w:t>
            </w:r>
          </w:p>
        </w:tc>
        <w:tc>
          <w:tcPr>
            <w:tcW w:w="869" w:type="pct"/>
          </w:tcPr>
          <w:p w:rsidR="001661FB" w:rsidRPr="00B623DB" w:rsidRDefault="001661FB" w:rsidP="00D148B7">
            <w:pPr>
              <w:pStyle w:val="TableText"/>
              <w:jc w:val="center"/>
            </w:pPr>
            <w:r w:rsidRPr="00B623DB">
              <w:t>8 (53.3)</w:t>
            </w:r>
          </w:p>
        </w:tc>
        <w:tc>
          <w:tcPr>
            <w:tcW w:w="869" w:type="pct"/>
          </w:tcPr>
          <w:p w:rsidR="001661FB" w:rsidRPr="00B623DB" w:rsidRDefault="001661FB" w:rsidP="00D148B7">
            <w:pPr>
              <w:pStyle w:val="TableText"/>
              <w:jc w:val="center"/>
            </w:pPr>
            <w:r w:rsidRPr="00B623DB">
              <w:t>8 (50.0)</w:t>
            </w:r>
          </w:p>
        </w:tc>
        <w:tc>
          <w:tcPr>
            <w:tcW w:w="869" w:type="pct"/>
          </w:tcPr>
          <w:p w:rsidR="001661FB" w:rsidRPr="00B623DB" w:rsidRDefault="001661FB" w:rsidP="00D148B7">
            <w:pPr>
              <w:pStyle w:val="TableText"/>
              <w:jc w:val="center"/>
            </w:pPr>
            <w:r w:rsidRPr="00B623DB">
              <w:t>0 (0.0)</w:t>
            </w:r>
          </w:p>
        </w:tc>
        <w:tc>
          <w:tcPr>
            <w:tcW w:w="461" w:type="pct"/>
            <w:vMerge w:val="restart"/>
            <w:vAlign w:val="center"/>
          </w:tcPr>
          <w:p w:rsidR="001661FB" w:rsidRPr="00B623DB" w:rsidRDefault="001661FB" w:rsidP="00D148B7">
            <w:pPr>
              <w:pStyle w:val="TableText"/>
              <w:jc w:val="center"/>
            </w:pPr>
            <w:r w:rsidRPr="00B623DB">
              <w:t>&lt;0.001</w:t>
            </w:r>
          </w:p>
        </w:tc>
      </w:tr>
      <w:tr w:rsidR="001661FB" w:rsidRPr="00B623DB" w:rsidTr="00D148B7">
        <w:tc>
          <w:tcPr>
            <w:tcW w:w="1063" w:type="pct"/>
          </w:tcPr>
          <w:p w:rsidR="001661FB" w:rsidRPr="00B623DB" w:rsidRDefault="001661FB" w:rsidP="00D148B7">
            <w:pPr>
              <w:pStyle w:val="TableText"/>
            </w:pPr>
            <w:r w:rsidRPr="00B623DB">
              <w:t>Minimal</w:t>
            </w:r>
          </w:p>
        </w:tc>
        <w:tc>
          <w:tcPr>
            <w:tcW w:w="869" w:type="pct"/>
          </w:tcPr>
          <w:p w:rsidR="001661FB" w:rsidRPr="00B623DB" w:rsidRDefault="001661FB" w:rsidP="00D148B7">
            <w:pPr>
              <w:pStyle w:val="TableText"/>
              <w:jc w:val="center"/>
            </w:pPr>
            <w:r w:rsidRPr="00B623DB">
              <w:t>4 (26.7)</w:t>
            </w:r>
          </w:p>
        </w:tc>
        <w:tc>
          <w:tcPr>
            <w:tcW w:w="869" w:type="pct"/>
          </w:tcPr>
          <w:p w:rsidR="001661FB" w:rsidRPr="00B623DB" w:rsidRDefault="001661FB" w:rsidP="00D148B7">
            <w:pPr>
              <w:pStyle w:val="TableText"/>
              <w:jc w:val="center"/>
            </w:pPr>
            <w:r w:rsidRPr="00B623DB">
              <w:t>7 (46.7)</w:t>
            </w:r>
          </w:p>
        </w:tc>
        <w:tc>
          <w:tcPr>
            <w:tcW w:w="869" w:type="pct"/>
          </w:tcPr>
          <w:p w:rsidR="001661FB" w:rsidRPr="00B623DB" w:rsidRDefault="001661FB" w:rsidP="00D148B7">
            <w:pPr>
              <w:pStyle w:val="TableText"/>
              <w:jc w:val="center"/>
            </w:pPr>
            <w:r w:rsidRPr="00B623DB">
              <w:t>8 (50.0)</w:t>
            </w:r>
          </w:p>
        </w:tc>
        <w:tc>
          <w:tcPr>
            <w:tcW w:w="869" w:type="pct"/>
          </w:tcPr>
          <w:p w:rsidR="001661FB" w:rsidRPr="00B623DB" w:rsidRDefault="001661FB" w:rsidP="00D148B7">
            <w:pPr>
              <w:pStyle w:val="TableText"/>
              <w:jc w:val="center"/>
            </w:pPr>
            <w:r w:rsidRPr="00B623DB">
              <w:t>4 (25.0)</w:t>
            </w:r>
          </w:p>
        </w:tc>
        <w:tc>
          <w:tcPr>
            <w:tcW w:w="461" w:type="pct"/>
            <w:vMerge/>
            <w:vAlign w:val="center"/>
          </w:tcPr>
          <w:p w:rsidR="001661FB" w:rsidRPr="00B623DB" w:rsidRDefault="001661FB" w:rsidP="00D148B7">
            <w:pPr>
              <w:pStyle w:val="TableText"/>
              <w:jc w:val="center"/>
            </w:pPr>
          </w:p>
        </w:tc>
      </w:tr>
      <w:tr w:rsidR="001661FB" w:rsidRPr="00B623DB" w:rsidTr="00D148B7">
        <w:tc>
          <w:tcPr>
            <w:tcW w:w="1063" w:type="pct"/>
          </w:tcPr>
          <w:p w:rsidR="001661FB" w:rsidRPr="00B623DB" w:rsidRDefault="001661FB" w:rsidP="00D148B7">
            <w:pPr>
              <w:pStyle w:val="TableText"/>
            </w:pPr>
            <w:r w:rsidRPr="00B623DB">
              <w:t>Mild</w:t>
            </w:r>
          </w:p>
        </w:tc>
        <w:tc>
          <w:tcPr>
            <w:tcW w:w="869" w:type="pct"/>
          </w:tcPr>
          <w:p w:rsidR="001661FB" w:rsidRPr="00B623DB" w:rsidRDefault="001661FB" w:rsidP="00D148B7">
            <w:pPr>
              <w:pStyle w:val="TableText"/>
              <w:jc w:val="center"/>
            </w:pPr>
            <w:r w:rsidRPr="00B623DB">
              <w:t>2 (13.3)</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8 (50.0)</w:t>
            </w:r>
          </w:p>
        </w:tc>
        <w:tc>
          <w:tcPr>
            <w:tcW w:w="461" w:type="pct"/>
            <w:vMerge/>
            <w:vAlign w:val="center"/>
          </w:tcPr>
          <w:p w:rsidR="001661FB" w:rsidRPr="00B623DB" w:rsidRDefault="001661FB" w:rsidP="00D148B7">
            <w:pPr>
              <w:pStyle w:val="TableText"/>
              <w:jc w:val="center"/>
            </w:pPr>
          </w:p>
        </w:tc>
      </w:tr>
      <w:tr w:rsidR="001661FB" w:rsidRPr="00B623DB" w:rsidTr="00D148B7">
        <w:tc>
          <w:tcPr>
            <w:tcW w:w="1063" w:type="pct"/>
          </w:tcPr>
          <w:p w:rsidR="001661FB" w:rsidRPr="00B623DB" w:rsidRDefault="001661FB" w:rsidP="00D148B7">
            <w:pPr>
              <w:pStyle w:val="TableText"/>
            </w:pPr>
            <w:r w:rsidRPr="00B623DB">
              <w:t>Moderate</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4 (25.0)</w:t>
            </w:r>
          </w:p>
        </w:tc>
        <w:tc>
          <w:tcPr>
            <w:tcW w:w="461" w:type="pct"/>
            <w:vMerge/>
            <w:vAlign w:val="center"/>
          </w:tcPr>
          <w:p w:rsidR="001661FB" w:rsidRPr="00B623DB" w:rsidRDefault="001661FB" w:rsidP="00D148B7">
            <w:pPr>
              <w:pStyle w:val="TableText"/>
              <w:jc w:val="center"/>
            </w:pPr>
          </w:p>
        </w:tc>
      </w:tr>
      <w:tr w:rsidR="001661FB" w:rsidRPr="00B623DB" w:rsidTr="00D148B7">
        <w:tc>
          <w:tcPr>
            <w:tcW w:w="1063" w:type="pct"/>
          </w:tcPr>
          <w:p w:rsidR="001661FB" w:rsidRPr="00B623DB" w:rsidRDefault="001661FB" w:rsidP="00D148B7">
            <w:pPr>
              <w:pStyle w:val="TableText"/>
            </w:pPr>
            <w:r w:rsidRPr="00B623DB">
              <w:t>Severe</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0 (0.0)</w:t>
            </w:r>
          </w:p>
        </w:tc>
        <w:tc>
          <w:tcPr>
            <w:tcW w:w="461" w:type="pct"/>
            <w:vMerge/>
            <w:vAlign w:val="center"/>
          </w:tcPr>
          <w:p w:rsidR="001661FB" w:rsidRPr="00B623DB" w:rsidRDefault="001661FB" w:rsidP="00D148B7">
            <w:pPr>
              <w:pStyle w:val="TableText"/>
              <w:jc w:val="center"/>
            </w:pPr>
          </w:p>
        </w:tc>
      </w:tr>
      <w:tr w:rsidR="001661FB" w:rsidRPr="00B623DB" w:rsidTr="00D148B7">
        <w:tc>
          <w:tcPr>
            <w:tcW w:w="5000" w:type="pct"/>
            <w:gridSpan w:val="6"/>
            <w:vAlign w:val="center"/>
          </w:tcPr>
          <w:p w:rsidR="001661FB" w:rsidRPr="00B623DB" w:rsidRDefault="001661FB" w:rsidP="00D148B7">
            <w:pPr>
              <w:pStyle w:val="TableText"/>
            </w:pPr>
            <w:r w:rsidRPr="00B623DB">
              <w:rPr>
                <w:b/>
              </w:rPr>
              <w:t>Assessment of skin disease n (%)</w:t>
            </w:r>
          </w:p>
        </w:tc>
      </w:tr>
      <w:tr w:rsidR="001661FB" w:rsidRPr="00B623DB" w:rsidTr="00D148B7">
        <w:tc>
          <w:tcPr>
            <w:tcW w:w="1063" w:type="pct"/>
          </w:tcPr>
          <w:p w:rsidR="001661FB" w:rsidRPr="00B623DB" w:rsidRDefault="001661FB" w:rsidP="00D148B7">
            <w:pPr>
              <w:pStyle w:val="TableText"/>
            </w:pPr>
            <w:r w:rsidRPr="00B623DB">
              <w:t>Absent</w:t>
            </w:r>
          </w:p>
        </w:tc>
        <w:tc>
          <w:tcPr>
            <w:tcW w:w="869" w:type="pct"/>
          </w:tcPr>
          <w:p w:rsidR="001661FB" w:rsidRPr="00B623DB" w:rsidRDefault="001661FB" w:rsidP="00D148B7">
            <w:pPr>
              <w:pStyle w:val="TableText"/>
              <w:jc w:val="center"/>
            </w:pPr>
            <w:r w:rsidRPr="00B623DB">
              <w:t>13 (86.7)</w:t>
            </w:r>
          </w:p>
        </w:tc>
        <w:tc>
          <w:tcPr>
            <w:tcW w:w="869" w:type="pct"/>
          </w:tcPr>
          <w:p w:rsidR="001661FB" w:rsidRPr="00B623DB" w:rsidRDefault="001661FB" w:rsidP="00D148B7">
            <w:pPr>
              <w:pStyle w:val="TableText"/>
              <w:jc w:val="center"/>
            </w:pPr>
            <w:r w:rsidRPr="00B623DB">
              <w:t>14 (93.3)</w:t>
            </w:r>
          </w:p>
        </w:tc>
        <w:tc>
          <w:tcPr>
            <w:tcW w:w="869" w:type="pct"/>
          </w:tcPr>
          <w:p w:rsidR="001661FB" w:rsidRPr="00B623DB" w:rsidRDefault="001661FB" w:rsidP="00D148B7">
            <w:pPr>
              <w:pStyle w:val="TableText"/>
              <w:jc w:val="center"/>
            </w:pPr>
            <w:r w:rsidRPr="00B623DB">
              <w:t>13 (81.3)</w:t>
            </w:r>
          </w:p>
        </w:tc>
        <w:tc>
          <w:tcPr>
            <w:tcW w:w="869" w:type="pct"/>
          </w:tcPr>
          <w:p w:rsidR="001661FB" w:rsidRPr="00B623DB" w:rsidRDefault="001661FB" w:rsidP="00D148B7">
            <w:pPr>
              <w:pStyle w:val="TableText"/>
              <w:jc w:val="center"/>
            </w:pPr>
            <w:r w:rsidRPr="00B623DB">
              <w:t>5 (31.3)</w:t>
            </w:r>
          </w:p>
        </w:tc>
        <w:tc>
          <w:tcPr>
            <w:tcW w:w="461" w:type="pct"/>
            <w:vMerge w:val="restart"/>
            <w:vAlign w:val="center"/>
          </w:tcPr>
          <w:p w:rsidR="001661FB" w:rsidRPr="00B623DB" w:rsidRDefault="001661FB" w:rsidP="00D148B7">
            <w:pPr>
              <w:pStyle w:val="TableText"/>
              <w:jc w:val="center"/>
            </w:pPr>
            <w:r w:rsidRPr="00B623DB">
              <w:t>-</w:t>
            </w:r>
          </w:p>
        </w:tc>
      </w:tr>
      <w:tr w:rsidR="001661FB" w:rsidRPr="00B623DB" w:rsidTr="00D148B7">
        <w:tc>
          <w:tcPr>
            <w:tcW w:w="1063" w:type="pct"/>
          </w:tcPr>
          <w:p w:rsidR="001661FB" w:rsidRPr="00B623DB" w:rsidRDefault="001661FB" w:rsidP="00D148B7">
            <w:pPr>
              <w:pStyle w:val="TableText"/>
            </w:pPr>
            <w:r w:rsidRPr="00B623DB">
              <w:t>Minimal</w:t>
            </w:r>
          </w:p>
        </w:tc>
        <w:tc>
          <w:tcPr>
            <w:tcW w:w="869" w:type="pct"/>
          </w:tcPr>
          <w:p w:rsidR="001661FB" w:rsidRPr="00B623DB" w:rsidRDefault="001661FB" w:rsidP="00D148B7">
            <w:pPr>
              <w:pStyle w:val="TableText"/>
              <w:jc w:val="center"/>
            </w:pPr>
            <w:r w:rsidRPr="00B623DB">
              <w:t>2 (13.3)</w:t>
            </w:r>
          </w:p>
        </w:tc>
        <w:tc>
          <w:tcPr>
            <w:tcW w:w="869" w:type="pct"/>
          </w:tcPr>
          <w:p w:rsidR="001661FB" w:rsidRPr="00B623DB" w:rsidRDefault="001661FB" w:rsidP="00D148B7">
            <w:pPr>
              <w:pStyle w:val="TableText"/>
              <w:jc w:val="center"/>
            </w:pPr>
            <w:r w:rsidRPr="00B623DB">
              <w:t>1 (6.7)</w:t>
            </w:r>
          </w:p>
        </w:tc>
        <w:tc>
          <w:tcPr>
            <w:tcW w:w="869" w:type="pct"/>
          </w:tcPr>
          <w:p w:rsidR="001661FB" w:rsidRPr="00B623DB" w:rsidRDefault="001661FB" w:rsidP="00D148B7">
            <w:pPr>
              <w:pStyle w:val="TableText"/>
              <w:jc w:val="center"/>
            </w:pPr>
            <w:r w:rsidRPr="00B623DB">
              <w:t>3 (18.8)</w:t>
            </w:r>
          </w:p>
        </w:tc>
        <w:tc>
          <w:tcPr>
            <w:tcW w:w="869" w:type="pct"/>
          </w:tcPr>
          <w:p w:rsidR="001661FB" w:rsidRPr="00B623DB" w:rsidRDefault="001661FB" w:rsidP="00D148B7">
            <w:pPr>
              <w:pStyle w:val="TableText"/>
              <w:jc w:val="center"/>
            </w:pPr>
            <w:r w:rsidRPr="00B623DB">
              <w:t>3 (18.8)</w:t>
            </w:r>
          </w:p>
        </w:tc>
        <w:tc>
          <w:tcPr>
            <w:tcW w:w="461" w:type="pct"/>
            <w:vMerge/>
            <w:vAlign w:val="center"/>
          </w:tcPr>
          <w:p w:rsidR="001661FB" w:rsidRPr="00B623DB" w:rsidRDefault="001661FB" w:rsidP="00D148B7">
            <w:pPr>
              <w:pStyle w:val="TableText"/>
              <w:jc w:val="center"/>
            </w:pPr>
          </w:p>
        </w:tc>
      </w:tr>
      <w:tr w:rsidR="001661FB" w:rsidRPr="00B623DB" w:rsidTr="00D148B7">
        <w:tc>
          <w:tcPr>
            <w:tcW w:w="1063" w:type="pct"/>
          </w:tcPr>
          <w:p w:rsidR="001661FB" w:rsidRPr="00B623DB" w:rsidRDefault="001661FB" w:rsidP="00D148B7">
            <w:pPr>
              <w:pStyle w:val="TableText"/>
            </w:pPr>
            <w:r w:rsidRPr="00B623DB">
              <w:t>Mild</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5 (31.3)</w:t>
            </w:r>
          </w:p>
        </w:tc>
        <w:tc>
          <w:tcPr>
            <w:tcW w:w="461" w:type="pct"/>
            <w:vMerge/>
            <w:vAlign w:val="center"/>
          </w:tcPr>
          <w:p w:rsidR="001661FB" w:rsidRPr="00B623DB" w:rsidRDefault="001661FB" w:rsidP="00D148B7">
            <w:pPr>
              <w:pStyle w:val="TableText"/>
              <w:jc w:val="center"/>
            </w:pPr>
          </w:p>
        </w:tc>
      </w:tr>
      <w:tr w:rsidR="001661FB" w:rsidRPr="00B623DB" w:rsidTr="00D148B7">
        <w:tc>
          <w:tcPr>
            <w:tcW w:w="1063" w:type="pct"/>
          </w:tcPr>
          <w:p w:rsidR="001661FB" w:rsidRPr="00B623DB" w:rsidRDefault="001661FB" w:rsidP="00D148B7">
            <w:pPr>
              <w:pStyle w:val="TableText"/>
            </w:pPr>
            <w:r w:rsidRPr="00B623DB">
              <w:t>Moderate</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3 (18.8)</w:t>
            </w:r>
          </w:p>
        </w:tc>
        <w:tc>
          <w:tcPr>
            <w:tcW w:w="461" w:type="pct"/>
            <w:vMerge/>
            <w:vAlign w:val="center"/>
          </w:tcPr>
          <w:p w:rsidR="001661FB" w:rsidRPr="00B623DB" w:rsidRDefault="001661FB" w:rsidP="00D148B7">
            <w:pPr>
              <w:pStyle w:val="TableText"/>
              <w:jc w:val="center"/>
            </w:pPr>
          </w:p>
        </w:tc>
      </w:tr>
      <w:tr w:rsidR="001661FB" w:rsidRPr="00B623DB" w:rsidTr="00D148B7">
        <w:tc>
          <w:tcPr>
            <w:tcW w:w="1063" w:type="pct"/>
          </w:tcPr>
          <w:p w:rsidR="001661FB" w:rsidRPr="00B623DB" w:rsidRDefault="001661FB" w:rsidP="00D148B7">
            <w:pPr>
              <w:pStyle w:val="TableText"/>
            </w:pPr>
            <w:r w:rsidRPr="00B623DB">
              <w:t>Severe</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0 (0.0)</w:t>
            </w:r>
          </w:p>
        </w:tc>
        <w:tc>
          <w:tcPr>
            <w:tcW w:w="461" w:type="pct"/>
            <w:vMerge/>
            <w:vAlign w:val="center"/>
          </w:tcPr>
          <w:p w:rsidR="001661FB" w:rsidRPr="00B623DB" w:rsidRDefault="001661FB" w:rsidP="00D148B7">
            <w:pPr>
              <w:pStyle w:val="TableText"/>
              <w:jc w:val="center"/>
            </w:pPr>
          </w:p>
        </w:tc>
      </w:tr>
      <w:tr w:rsidR="001661FB" w:rsidRPr="00B623DB" w:rsidTr="00D148B7">
        <w:tc>
          <w:tcPr>
            <w:tcW w:w="5000" w:type="pct"/>
            <w:gridSpan w:val="6"/>
            <w:vAlign w:val="center"/>
          </w:tcPr>
          <w:p w:rsidR="001661FB" w:rsidRPr="00B623DB" w:rsidRDefault="001661FB" w:rsidP="00D148B7">
            <w:pPr>
              <w:pStyle w:val="TableText"/>
              <w:rPr>
                <w:b/>
              </w:rPr>
            </w:pPr>
            <w:r w:rsidRPr="00B623DB">
              <w:rPr>
                <w:b/>
              </w:rPr>
              <w:t>Patient’s global assessment of symptoms n (%)</w:t>
            </w:r>
          </w:p>
        </w:tc>
      </w:tr>
      <w:tr w:rsidR="001661FB" w:rsidRPr="00B623DB" w:rsidTr="00D148B7">
        <w:tc>
          <w:tcPr>
            <w:tcW w:w="1063" w:type="pct"/>
          </w:tcPr>
          <w:p w:rsidR="001661FB" w:rsidRPr="00B623DB" w:rsidRDefault="001661FB" w:rsidP="00D148B7">
            <w:pPr>
              <w:pStyle w:val="TableText"/>
            </w:pPr>
            <w:r w:rsidRPr="00B623DB">
              <w:t>Absent</w:t>
            </w:r>
          </w:p>
        </w:tc>
        <w:tc>
          <w:tcPr>
            <w:tcW w:w="869" w:type="pct"/>
          </w:tcPr>
          <w:p w:rsidR="001661FB" w:rsidRPr="00B623DB" w:rsidRDefault="001661FB" w:rsidP="00D148B7">
            <w:pPr>
              <w:pStyle w:val="TableText"/>
              <w:jc w:val="center"/>
            </w:pPr>
            <w:r w:rsidRPr="00B623DB">
              <w:t>9 (60.0)</w:t>
            </w:r>
          </w:p>
        </w:tc>
        <w:tc>
          <w:tcPr>
            <w:tcW w:w="869" w:type="pct"/>
          </w:tcPr>
          <w:p w:rsidR="001661FB" w:rsidRPr="00B623DB" w:rsidRDefault="001661FB" w:rsidP="00D148B7">
            <w:pPr>
              <w:pStyle w:val="TableText"/>
              <w:jc w:val="center"/>
            </w:pPr>
            <w:r w:rsidRPr="00B623DB">
              <w:t>6 (40.0)</w:t>
            </w:r>
          </w:p>
        </w:tc>
        <w:tc>
          <w:tcPr>
            <w:tcW w:w="869" w:type="pct"/>
          </w:tcPr>
          <w:p w:rsidR="001661FB" w:rsidRPr="00B623DB" w:rsidRDefault="001661FB" w:rsidP="00D148B7">
            <w:pPr>
              <w:pStyle w:val="TableText"/>
              <w:jc w:val="center"/>
            </w:pPr>
            <w:r w:rsidRPr="00B623DB">
              <w:t>8 (50.0)</w:t>
            </w:r>
          </w:p>
        </w:tc>
        <w:tc>
          <w:tcPr>
            <w:tcW w:w="869" w:type="pct"/>
          </w:tcPr>
          <w:p w:rsidR="001661FB" w:rsidRPr="00B623DB" w:rsidRDefault="001661FB" w:rsidP="00D148B7">
            <w:pPr>
              <w:pStyle w:val="TableText"/>
              <w:jc w:val="center"/>
            </w:pPr>
            <w:r w:rsidRPr="00B623DB">
              <w:t>0 (0.0)</w:t>
            </w:r>
          </w:p>
        </w:tc>
        <w:tc>
          <w:tcPr>
            <w:tcW w:w="461" w:type="pct"/>
            <w:vMerge w:val="restart"/>
            <w:vAlign w:val="center"/>
          </w:tcPr>
          <w:p w:rsidR="001661FB" w:rsidRPr="00B623DB" w:rsidRDefault="001661FB" w:rsidP="00D148B7">
            <w:pPr>
              <w:pStyle w:val="TableText"/>
              <w:jc w:val="center"/>
            </w:pPr>
            <w:r w:rsidRPr="00B623DB">
              <w:t>0.2837</w:t>
            </w:r>
          </w:p>
        </w:tc>
      </w:tr>
      <w:tr w:rsidR="001661FB" w:rsidRPr="00B623DB" w:rsidTr="00D148B7">
        <w:tc>
          <w:tcPr>
            <w:tcW w:w="1063" w:type="pct"/>
          </w:tcPr>
          <w:p w:rsidR="001661FB" w:rsidRPr="00B623DB" w:rsidRDefault="001661FB" w:rsidP="00D148B7">
            <w:pPr>
              <w:pStyle w:val="TableText"/>
            </w:pPr>
            <w:r w:rsidRPr="00B623DB">
              <w:t>Minimal</w:t>
            </w:r>
          </w:p>
        </w:tc>
        <w:tc>
          <w:tcPr>
            <w:tcW w:w="869" w:type="pct"/>
          </w:tcPr>
          <w:p w:rsidR="001661FB" w:rsidRPr="00B623DB" w:rsidRDefault="001661FB" w:rsidP="00D148B7">
            <w:pPr>
              <w:pStyle w:val="TableText"/>
              <w:jc w:val="center"/>
            </w:pPr>
            <w:r w:rsidRPr="00B623DB">
              <w:t>4 (26.7)</w:t>
            </w:r>
          </w:p>
        </w:tc>
        <w:tc>
          <w:tcPr>
            <w:tcW w:w="869" w:type="pct"/>
          </w:tcPr>
          <w:p w:rsidR="001661FB" w:rsidRPr="00B623DB" w:rsidRDefault="001661FB" w:rsidP="00D148B7">
            <w:pPr>
              <w:pStyle w:val="TableText"/>
              <w:jc w:val="center"/>
            </w:pPr>
            <w:r w:rsidRPr="00B623DB">
              <w:t>4 (26.7)</w:t>
            </w:r>
          </w:p>
        </w:tc>
        <w:tc>
          <w:tcPr>
            <w:tcW w:w="869" w:type="pct"/>
          </w:tcPr>
          <w:p w:rsidR="001661FB" w:rsidRPr="00B623DB" w:rsidRDefault="001661FB" w:rsidP="00D148B7">
            <w:pPr>
              <w:pStyle w:val="TableText"/>
              <w:jc w:val="center"/>
            </w:pPr>
            <w:r w:rsidRPr="00B623DB">
              <w:t>5 (31.3)</w:t>
            </w:r>
          </w:p>
        </w:tc>
        <w:tc>
          <w:tcPr>
            <w:tcW w:w="869" w:type="pct"/>
          </w:tcPr>
          <w:p w:rsidR="001661FB" w:rsidRPr="00B623DB" w:rsidRDefault="001661FB" w:rsidP="00D148B7">
            <w:pPr>
              <w:pStyle w:val="TableText"/>
              <w:jc w:val="center"/>
            </w:pPr>
            <w:r w:rsidRPr="00B623DB">
              <w:t>5 (31.3)</w:t>
            </w:r>
          </w:p>
        </w:tc>
        <w:tc>
          <w:tcPr>
            <w:tcW w:w="461" w:type="pct"/>
            <w:vMerge/>
            <w:vAlign w:val="center"/>
          </w:tcPr>
          <w:p w:rsidR="001661FB" w:rsidRPr="00B623DB" w:rsidRDefault="001661FB" w:rsidP="00D148B7">
            <w:pPr>
              <w:pStyle w:val="TableText"/>
              <w:jc w:val="center"/>
            </w:pPr>
          </w:p>
        </w:tc>
      </w:tr>
      <w:tr w:rsidR="001661FB" w:rsidRPr="00B623DB" w:rsidTr="00D148B7">
        <w:tc>
          <w:tcPr>
            <w:tcW w:w="1063" w:type="pct"/>
          </w:tcPr>
          <w:p w:rsidR="001661FB" w:rsidRPr="00B623DB" w:rsidRDefault="001661FB" w:rsidP="00D148B7">
            <w:pPr>
              <w:pStyle w:val="TableText"/>
            </w:pPr>
            <w:r w:rsidRPr="00B623DB">
              <w:t>Mild</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1 (6.7)</w:t>
            </w:r>
          </w:p>
        </w:tc>
        <w:tc>
          <w:tcPr>
            <w:tcW w:w="869" w:type="pct"/>
          </w:tcPr>
          <w:p w:rsidR="001661FB" w:rsidRPr="00B623DB" w:rsidRDefault="001661FB" w:rsidP="00D148B7">
            <w:pPr>
              <w:pStyle w:val="TableText"/>
              <w:jc w:val="center"/>
            </w:pPr>
            <w:r w:rsidRPr="00B623DB">
              <w:t>2 (12.5)</w:t>
            </w:r>
          </w:p>
        </w:tc>
        <w:tc>
          <w:tcPr>
            <w:tcW w:w="869" w:type="pct"/>
          </w:tcPr>
          <w:p w:rsidR="001661FB" w:rsidRPr="00B623DB" w:rsidRDefault="001661FB" w:rsidP="00D148B7">
            <w:pPr>
              <w:pStyle w:val="TableText"/>
              <w:jc w:val="center"/>
            </w:pPr>
            <w:r w:rsidRPr="00B623DB">
              <w:t>4 (25.0)</w:t>
            </w:r>
          </w:p>
        </w:tc>
        <w:tc>
          <w:tcPr>
            <w:tcW w:w="461" w:type="pct"/>
            <w:vMerge/>
            <w:vAlign w:val="center"/>
          </w:tcPr>
          <w:p w:rsidR="001661FB" w:rsidRPr="00B623DB" w:rsidRDefault="001661FB" w:rsidP="00D148B7">
            <w:pPr>
              <w:pStyle w:val="TableText"/>
              <w:jc w:val="center"/>
            </w:pPr>
          </w:p>
        </w:tc>
      </w:tr>
      <w:tr w:rsidR="001661FB" w:rsidRPr="00B623DB" w:rsidTr="00D148B7">
        <w:tc>
          <w:tcPr>
            <w:tcW w:w="1063" w:type="pct"/>
          </w:tcPr>
          <w:p w:rsidR="001661FB" w:rsidRPr="00B623DB" w:rsidRDefault="001661FB" w:rsidP="00D148B7">
            <w:pPr>
              <w:pStyle w:val="TableText"/>
            </w:pPr>
            <w:r w:rsidRPr="00B623DB">
              <w:t>Moderate</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6 (37.5)</w:t>
            </w:r>
          </w:p>
        </w:tc>
        <w:tc>
          <w:tcPr>
            <w:tcW w:w="461" w:type="pct"/>
            <w:vMerge/>
            <w:vAlign w:val="center"/>
          </w:tcPr>
          <w:p w:rsidR="001661FB" w:rsidRPr="00B623DB" w:rsidRDefault="001661FB" w:rsidP="00D148B7">
            <w:pPr>
              <w:pStyle w:val="TableText"/>
              <w:jc w:val="center"/>
            </w:pPr>
          </w:p>
        </w:tc>
      </w:tr>
      <w:tr w:rsidR="001661FB" w:rsidRPr="00B623DB" w:rsidTr="00D148B7">
        <w:tc>
          <w:tcPr>
            <w:tcW w:w="1063" w:type="pct"/>
          </w:tcPr>
          <w:p w:rsidR="001661FB" w:rsidRPr="00B623DB" w:rsidRDefault="001661FB" w:rsidP="00D148B7">
            <w:pPr>
              <w:pStyle w:val="TableText"/>
            </w:pPr>
            <w:r w:rsidRPr="00B623DB">
              <w:t>Severe</w:t>
            </w:r>
          </w:p>
        </w:tc>
        <w:tc>
          <w:tcPr>
            <w:tcW w:w="869" w:type="pct"/>
          </w:tcPr>
          <w:p w:rsidR="001661FB" w:rsidRPr="00B623DB" w:rsidRDefault="001661FB" w:rsidP="00D148B7">
            <w:pPr>
              <w:pStyle w:val="TableText"/>
              <w:jc w:val="center"/>
            </w:pPr>
            <w:r w:rsidRPr="00B623DB">
              <w:t>1 (6.7)</w:t>
            </w:r>
          </w:p>
        </w:tc>
        <w:tc>
          <w:tcPr>
            <w:tcW w:w="869" w:type="pct"/>
          </w:tcPr>
          <w:p w:rsidR="001661FB" w:rsidRPr="00B623DB" w:rsidRDefault="001661FB" w:rsidP="00D148B7">
            <w:pPr>
              <w:pStyle w:val="TableText"/>
              <w:jc w:val="center"/>
            </w:pPr>
            <w:r w:rsidRPr="00B623DB">
              <w:t>4 (26.7)</w:t>
            </w:r>
          </w:p>
        </w:tc>
        <w:tc>
          <w:tcPr>
            <w:tcW w:w="869" w:type="pct"/>
          </w:tcPr>
          <w:p w:rsidR="001661FB" w:rsidRPr="00B623DB" w:rsidRDefault="001661FB" w:rsidP="00D148B7">
            <w:pPr>
              <w:pStyle w:val="TableText"/>
              <w:jc w:val="center"/>
            </w:pPr>
            <w:r w:rsidRPr="00B623DB">
              <w:t>0 (0.0)</w:t>
            </w:r>
          </w:p>
        </w:tc>
        <w:tc>
          <w:tcPr>
            <w:tcW w:w="869" w:type="pct"/>
          </w:tcPr>
          <w:p w:rsidR="001661FB" w:rsidRPr="00B623DB" w:rsidRDefault="001661FB" w:rsidP="00D148B7">
            <w:pPr>
              <w:pStyle w:val="TableText"/>
              <w:jc w:val="center"/>
            </w:pPr>
            <w:r w:rsidRPr="00B623DB">
              <w:t>0 (0.0)</w:t>
            </w:r>
          </w:p>
        </w:tc>
        <w:tc>
          <w:tcPr>
            <w:tcW w:w="461" w:type="pct"/>
            <w:vMerge/>
            <w:vAlign w:val="center"/>
          </w:tcPr>
          <w:p w:rsidR="001661FB" w:rsidRPr="00B623DB" w:rsidRDefault="001661FB" w:rsidP="00D148B7">
            <w:pPr>
              <w:pStyle w:val="TableText"/>
              <w:jc w:val="center"/>
            </w:pPr>
          </w:p>
        </w:tc>
      </w:tr>
    </w:tbl>
    <w:p w:rsidR="001661FB" w:rsidRPr="00B623DB" w:rsidRDefault="001661FB" w:rsidP="001661FB">
      <w:pPr>
        <w:pStyle w:val="TableFooter"/>
      </w:pPr>
      <w:r w:rsidRPr="00B623DB">
        <w:rPr>
          <w:vertAlign w:val="superscript"/>
        </w:rPr>
        <w:t xml:space="preserve">a </w:t>
      </w:r>
      <w:r w:rsidRPr="00B623DB">
        <w:t>p-value is derived from exact permutation test with equally spaced scores, stratified by cohort for the change from Week 8 (start of Part II). Analysis uses last observation carried forward, intent to treat population.</w:t>
      </w:r>
    </w:p>
    <w:p w:rsidR="001661FB" w:rsidRPr="00B623DB" w:rsidRDefault="001661FB" w:rsidP="001661FB">
      <w:pPr>
        <w:pStyle w:val="TableFooter"/>
      </w:pPr>
      <w:r w:rsidRPr="00B623DB">
        <w:t>Source: Table 2.26, p80; Table 2.27, p82 of the submission.</w:t>
      </w:r>
    </w:p>
    <w:p w:rsidR="001829FC" w:rsidRPr="00B623DB" w:rsidRDefault="001829FC" w:rsidP="00C42C16">
      <w:pPr>
        <w:pStyle w:val="ListParagraph"/>
        <w:numPr>
          <w:ilvl w:val="1"/>
          <w:numId w:val="2"/>
        </w:numPr>
        <w:spacing w:before="0" w:after="120"/>
        <w:jc w:val="both"/>
      </w:pPr>
      <w:r w:rsidRPr="00B623DB">
        <w:t>Changes in quality of life survey scores during Part II of Trial D2304 were generally similar between treatment groups for all four scales used in the trial (Child Health Questionnaire-Parent Form, Functional Assessment of Chronic Illness Therapy-Fatigue, SF-36 and Health Assessment Questionnaire</w:t>
      </w:r>
      <w:r w:rsidR="001C3F64" w:rsidRPr="00B623DB">
        <w:t>)</w:t>
      </w:r>
      <w:r w:rsidRPr="00B623DB">
        <w:t>, with scores showing little change or worsening for each measure. There was little change to quality of life scores in Part III of the study.</w:t>
      </w:r>
    </w:p>
    <w:p w:rsidR="00DD68E2" w:rsidRPr="00B623DB" w:rsidRDefault="005527F5" w:rsidP="00C42C16">
      <w:pPr>
        <w:pStyle w:val="ListParagraph"/>
        <w:numPr>
          <w:ilvl w:val="1"/>
          <w:numId w:val="2"/>
        </w:numPr>
        <w:spacing w:before="0" w:after="120"/>
        <w:jc w:val="both"/>
      </w:pPr>
      <w:r w:rsidRPr="00B623DB">
        <w:t>Efficacy outcomes for the nonrandomised canakinumab studies showed similar results to the key canakinumab randomised trial. The majority of patients had a complete response to canakinumab treatment in each study, with low relapse rates in the majority of studies. Response rates tended to be lower for the more severe NOMID phenotype</w:t>
      </w:r>
      <w:r w:rsidR="00657D86" w:rsidRPr="00B623DB">
        <w:t xml:space="preserve"> (see Table </w:t>
      </w:r>
      <w:r w:rsidR="00DD68E2" w:rsidRPr="00B623DB">
        <w:t>6 below</w:t>
      </w:r>
      <w:r w:rsidR="00657D86" w:rsidRPr="00B623DB">
        <w:t>)</w:t>
      </w:r>
      <w:r w:rsidRPr="00B623DB">
        <w:t xml:space="preserve">. </w:t>
      </w:r>
    </w:p>
    <w:p w:rsidR="00DD68E2" w:rsidRPr="00B623DB" w:rsidRDefault="00DD68E2" w:rsidP="00DD68E2">
      <w:pPr>
        <w:pStyle w:val="TableHeading0"/>
      </w:pPr>
      <w:r w:rsidRPr="00B623DB">
        <w:t xml:space="preserve">Table 6: Response and relapse rates, canakinumab nonrandomised studies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047"/>
        <w:gridCol w:w="3047"/>
      </w:tblGrid>
      <w:tr w:rsidR="00DD68E2" w:rsidRPr="00B623DB" w:rsidTr="00F0722B">
        <w:trPr>
          <w:trHeight w:val="60"/>
          <w:tblHeader/>
        </w:trPr>
        <w:tc>
          <w:tcPr>
            <w:tcW w:w="1680" w:type="pct"/>
            <w:vAlign w:val="center"/>
          </w:tcPr>
          <w:p w:rsidR="00DD68E2" w:rsidRPr="00B623DB" w:rsidRDefault="00DD68E2" w:rsidP="00F0722B">
            <w:pPr>
              <w:pStyle w:val="TableText"/>
              <w:rPr>
                <w:b/>
              </w:rPr>
            </w:pPr>
            <w:r w:rsidRPr="00B623DB">
              <w:rPr>
                <w:b/>
              </w:rPr>
              <w:t>Study ID</w:t>
            </w:r>
          </w:p>
        </w:tc>
        <w:tc>
          <w:tcPr>
            <w:tcW w:w="1660" w:type="pct"/>
            <w:vAlign w:val="center"/>
          </w:tcPr>
          <w:p w:rsidR="00DD68E2" w:rsidRPr="00B623DB" w:rsidRDefault="00DD68E2" w:rsidP="00F0722B">
            <w:pPr>
              <w:pStyle w:val="TableText"/>
              <w:jc w:val="center"/>
              <w:rPr>
                <w:b/>
                <w:iCs/>
                <w:szCs w:val="24"/>
              </w:rPr>
            </w:pPr>
            <w:r w:rsidRPr="00B623DB">
              <w:rPr>
                <w:b/>
                <w:iCs/>
                <w:szCs w:val="24"/>
              </w:rPr>
              <w:t>Complete response, n (%)</w:t>
            </w:r>
          </w:p>
        </w:tc>
        <w:tc>
          <w:tcPr>
            <w:tcW w:w="1660" w:type="pct"/>
            <w:vAlign w:val="center"/>
          </w:tcPr>
          <w:p w:rsidR="00DD68E2" w:rsidRPr="00B623DB" w:rsidRDefault="00DD68E2" w:rsidP="00F0722B">
            <w:pPr>
              <w:pStyle w:val="TableText"/>
              <w:jc w:val="center"/>
              <w:rPr>
                <w:b/>
                <w:iCs/>
                <w:szCs w:val="24"/>
                <w:vertAlign w:val="superscript"/>
              </w:rPr>
            </w:pPr>
            <w:r w:rsidRPr="00B623DB">
              <w:rPr>
                <w:b/>
                <w:iCs/>
                <w:szCs w:val="24"/>
              </w:rPr>
              <w:t xml:space="preserve">Relapse rates, n (%) </w:t>
            </w:r>
            <w:r w:rsidRPr="00B623DB">
              <w:rPr>
                <w:b/>
                <w:iCs/>
                <w:szCs w:val="24"/>
                <w:vertAlign w:val="superscript"/>
              </w:rPr>
              <w:t>a</w:t>
            </w:r>
          </w:p>
        </w:tc>
      </w:tr>
      <w:tr w:rsidR="00DD68E2" w:rsidRPr="00B623DB" w:rsidTr="00F0722B">
        <w:tc>
          <w:tcPr>
            <w:tcW w:w="1680" w:type="pct"/>
          </w:tcPr>
          <w:p w:rsidR="00DD68E2" w:rsidRPr="00B623DB" w:rsidRDefault="00DD68E2" w:rsidP="00F0722B">
            <w:pPr>
              <w:pStyle w:val="TableText"/>
              <w:tabs>
                <w:tab w:val="left" w:pos="1114"/>
              </w:tabs>
            </w:pPr>
            <w:r w:rsidRPr="00B623DB">
              <w:t>D2306 (n=166)</w:t>
            </w:r>
          </w:p>
          <w:p w:rsidR="00DD68E2" w:rsidRPr="00B623DB" w:rsidRDefault="00DD68E2" w:rsidP="00C42C16">
            <w:pPr>
              <w:pStyle w:val="TableText"/>
              <w:numPr>
                <w:ilvl w:val="1"/>
                <w:numId w:val="5"/>
              </w:numPr>
              <w:tabs>
                <w:tab w:val="left" w:pos="284"/>
              </w:tabs>
              <w:ind w:left="284" w:hanging="142"/>
            </w:pPr>
            <w:r w:rsidRPr="00B623DB">
              <w:t>FCAS (n=30)</w:t>
            </w:r>
          </w:p>
          <w:p w:rsidR="00DD68E2" w:rsidRPr="00B623DB" w:rsidRDefault="00DD68E2" w:rsidP="00C42C16">
            <w:pPr>
              <w:pStyle w:val="TableText"/>
              <w:numPr>
                <w:ilvl w:val="1"/>
                <w:numId w:val="5"/>
              </w:numPr>
              <w:tabs>
                <w:tab w:val="left" w:pos="284"/>
              </w:tabs>
              <w:ind w:left="284" w:hanging="142"/>
            </w:pPr>
            <w:r w:rsidRPr="00B623DB">
              <w:t>MWS (n=103)</w:t>
            </w:r>
          </w:p>
          <w:p w:rsidR="00DD68E2" w:rsidRPr="00B623DB" w:rsidRDefault="00DD68E2" w:rsidP="00C42C16">
            <w:pPr>
              <w:pStyle w:val="TableText"/>
              <w:numPr>
                <w:ilvl w:val="1"/>
                <w:numId w:val="5"/>
              </w:numPr>
              <w:tabs>
                <w:tab w:val="left" w:pos="284"/>
              </w:tabs>
              <w:ind w:left="284" w:hanging="142"/>
            </w:pPr>
            <w:r w:rsidRPr="00B623DB">
              <w:t>NOMID (n=32)</w:t>
            </w:r>
          </w:p>
          <w:p w:rsidR="00DD68E2" w:rsidRPr="00B623DB" w:rsidRDefault="00DD68E2" w:rsidP="00F0722B">
            <w:pPr>
              <w:pStyle w:val="TableText"/>
              <w:tabs>
                <w:tab w:val="left" w:pos="284"/>
              </w:tabs>
            </w:pPr>
            <w:r w:rsidRPr="00B623DB">
              <w:t>(response assessed on Day 8)</w:t>
            </w:r>
          </w:p>
        </w:tc>
        <w:tc>
          <w:tcPr>
            <w:tcW w:w="1660" w:type="pct"/>
          </w:tcPr>
          <w:p w:rsidR="00DD68E2" w:rsidRPr="00B623DB" w:rsidRDefault="00DD68E2" w:rsidP="00F0722B">
            <w:pPr>
              <w:pStyle w:val="TableText"/>
              <w:jc w:val="center"/>
              <w:rPr>
                <w:vertAlign w:val="superscript"/>
              </w:rPr>
            </w:pPr>
            <w:r w:rsidRPr="00B623DB">
              <w:t xml:space="preserve">85/109 (78.0) </w:t>
            </w:r>
            <w:r w:rsidRPr="00B623DB">
              <w:rPr>
                <w:vertAlign w:val="superscript"/>
              </w:rPr>
              <w:t>b</w:t>
            </w:r>
          </w:p>
          <w:p w:rsidR="00DD68E2" w:rsidRPr="00B623DB" w:rsidRDefault="00DD68E2" w:rsidP="00F0722B">
            <w:pPr>
              <w:pStyle w:val="TableText"/>
              <w:jc w:val="center"/>
            </w:pPr>
            <w:r w:rsidRPr="00B623DB">
              <w:t>29 (96.7)</w:t>
            </w:r>
          </w:p>
          <w:p w:rsidR="00DD68E2" w:rsidRPr="00B623DB" w:rsidRDefault="00DD68E2" w:rsidP="00F0722B">
            <w:pPr>
              <w:pStyle w:val="TableText"/>
              <w:jc w:val="center"/>
            </w:pPr>
            <w:r w:rsidRPr="00B623DB">
              <w:t>90 (87.4)</w:t>
            </w:r>
          </w:p>
          <w:p w:rsidR="00DD68E2" w:rsidRPr="00B623DB" w:rsidRDefault="00DD68E2" w:rsidP="00F0722B">
            <w:pPr>
              <w:pStyle w:val="TableText"/>
              <w:jc w:val="center"/>
            </w:pPr>
            <w:r w:rsidRPr="00B623DB">
              <w:t>24 (75.0)</w:t>
            </w:r>
          </w:p>
        </w:tc>
        <w:tc>
          <w:tcPr>
            <w:tcW w:w="1660" w:type="pct"/>
          </w:tcPr>
          <w:p w:rsidR="00DD68E2" w:rsidRPr="00B623DB" w:rsidRDefault="00DD68E2" w:rsidP="00F0722B">
            <w:pPr>
              <w:pStyle w:val="TableText"/>
              <w:jc w:val="center"/>
            </w:pPr>
            <w:r w:rsidRPr="00B623DB">
              <w:t>14 (8.4)</w:t>
            </w:r>
          </w:p>
          <w:p w:rsidR="00DD68E2" w:rsidRPr="00B623DB" w:rsidRDefault="00DD68E2" w:rsidP="00F0722B">
            <w:pPr>
              <w:pStyle w:val="TableText"/>
              <w:jc w:val="center"/>
            </w:pPr>
            <w:r w:rsidRPr="00B623DB">
              <w:t>2 (6.7)</w:t>
            </w:r>
          </w:p>
          <w:p w:rsidR="00DD68E2" w:rsidRPr="00B623DB" w:rsidRDefault="00DD68E2" w:rsidP="00F0722B">
            <w:pPr>
              <w:pStyle w:val="TableText"/>
              <w:jc w:val="center"/>
            </w:pPr>
            <w:r w:rsidRPr="00B623DB">
              <w:t>9 (8.7)</w:t>
            </w:r>
          </w:p>
          <w:p w:rsidR="00DD68E2" w:rsidRPr="00B623DB" w:rsidRDefault="00DD68E2" w:rsidP="00F0722B">
            <w:pPr>
              <w:pStyle w:val="TableText"/>
              <w:jc w:val="center"/>
            </w:pPr>
            <w:r w:rsidRPr="00B623DB">
              <w:t>3 (9.4)</w:t>
            </w:r>
          </w:p>
        </w:tc>
      </w:tr>
      <w:tr w:rsidR="00DD68E2" w:rsidRPr="00B623DB" w:rsidTr="00F0722B">
        <w:tc>
          <w:tcPr>
            <w:tcW w:w="1680" w:type="pct"/>
          </w:tcPr>
          <w:p w:rsidR="00DD68E2" w:rsidRPr="00B623DB" w:rsidRDefault="00DD68E2" w:rsidP="00F0722B">
            <w:pPr>
              <w:pStyle w:val="TableText"/>
            </w:pPr>
            <w:r w:rsidRPr="00B623DB">
              <w:t>D2307 (n=17)</w:t>
            </w:r>
          </w:p>
          <w:p w:rsidR="00DD68E2" w:rsidRPr="00B623DB" w:rsidRDefault="00DD68E2" w:rsidP="00F0722B">
            <w:pPr>
              <w:pStyle w:val="TableText"/>
            </w:pPr>
            <w:r w:rsidRPr="00B623DB">
              <w:t>(one year)</w:t>
            </w:r>
          </w:p>
        </w:tc>
        <w:tc>
          <w:tcPr>
            <w:tcW w:w="1660" w:type="pct"/>
          </w:tcPr>
          <w:p w:rsidR="00DD68E2" w:rsidRPr="00B623DB" w:rsidRDefault="00DD68E2" w:rsidP="00F0722B">
            <w:pPr>
              <w:pStyle w:val="TableText"/>
              <w:jc w:val="center"/>
            </w:pPr>
            <w:r w:rsidRPr="00B623DB">
              <w:t>16 (94.1)</w:t>
            </w:r>
          </w:p>
        </w:tc>
        <w:tc>
          <w:tcPr>
            <w:tcW w:w="1660" w:type="pct"/>
          </w:tcPr>
          <w:p w:rsidR="00DD68E2" w:rsidRPr="00B623DB" w:rsidRDefault="00DD68E2" w:rsidP="00F0722B">
            <w:pPr>
              <w:pStyle w:val="TableText"/>
              <w:jc w:val="center"/>
            </w:pPr>
            <w:r w:rsidRPr="00B623DB">
              <w:t>4 (25.0)</w:t>
            </w:r>
          </w:p>
        </w:tc>
      </w:tr>
      <w:tr w:rsidR="00DD68E2" w:rsidRPr="00B623DB" w:rsidTr="00F0722B">
        <w:tc>
          <w:tcPr>
            <w:tcW w:w="1680" w:type="pct"/>
          </w:tcPr>
          <w:p w:rsidR="00DD68E2" w:rsidRPr="00B623DB" w:rsidRDefault="00DD68E2" w:rsidP="00F0722B">
            <w:pPr>
              <w:pStyle w:val="TableText"/>
            </w:pPr>
            <w:r w:rsidRPr="00B623DB">
              <w:t>D2307E (n=17)</w:t>
            </w:r>
          </w:p>
          <w:p w:rsidR="00DD68E2" w:rsidRPr="00B623DB" w:rsidRDefault="00DD68E2" w:rsidP="00C42C16">
            <w:pPr>
              <w:pStyle w:val="TableText"/>
              <w:numPr>
                <w:ilvl w:val="1"/>
                <w:numId w:val="5"/>
              </w:numPr>
              <w:tabs>
                <w:tab w:val="left" w:pos="284"/>
              </w:tabs>
              <w:ind w:left="284" w:hanging="142"/>
            </w:pPr>
            <w:r w:rsidRPr="00B623DB">
              <w:t>FCAS (n=1)</w:t>
            </w:r>
          </w:p>
          <w:p w:rsidR="00DD68E2" w:rsidRPr="00B623DB" w:rsidRDefault="00DD68E2" w:rsidP="00C42C16">
            <w:pPr>
              <w:pStyle w:val="TableText"/>
              <w:numPr>
                <w:ilvl w:val="1"/>
                <w:numId w:val="5"/>
              </w:numPr>
              <w:tabs>
                <w:tab w:val="left" w:pos="284"/>
              </w:tabs>
              <w:ind w:left="284" w:hanging="142"/>
            </w:pPr>
            <w:r w:rsidRPr="00B623DB">
              <w:t>MWS (n=12)</w:t>
            </w:r>
          </w:p>
          <w:p w:rsidR="00DD68E2" w:rsidRPr="00B623DB" w:rsidRDefault="00DD68E2" w:rsidP="00C42C16">
            <w:pPr>
              <w:pStyle w:val="TableText"/>
              <w:numPr>
                <w:ilvl w:val="1"/>
                <w:numId w:val="5"/>
              </w:numPr>
              <w:tabs>
                <w:tab w:val="left" w:pos="284"/>
              </w:tabs>
              <w:ind w:left="284" w:hanging="142"/>
            </w:pPr>
            <w:r w:rsidRPr="00B623DB">
              <w:t>NOMID (n=4)</w:t>
            </w:r>
          </w:p>
          <w:p w:rsidR="00DD68E2" w:rsidRPr="00B623DB" w:rsidRDefault="00DD68E2" w:rsidP="00F0722B">
            <w:pPr>
              <w:pStyle w:val="TableText"/>
              <w:tabs>
                <w:tab w:val="left" w:pos="284"/>
              </w:tabs>
            </w:pPr>
            <w:r w:rsidRPr="00B623DB">
              <w:t>(104 weeks)</w:t>
            </w:r>
          </w:p>
        </w:tc>
        <w:tc>
          <w:tcPr>
            <w:tcW w:w="1660" w:type="pct"/>
          </w:tcPr>
          <w:p w:rsidR="00DD68E2" w:rsidRPr="00B623DB" w:rsidRDefault="00DD68E2" w:rsidP="00F0722B">
            <w:pPr>
              <w:pStyle w:val="TableText"/>
              <w:jc w:val="center"/>
            </w:pPr>
            <w:r w:rsidRPr="00B623DB">
              <w:t>17 (100)</w:t>
            </w:r>
          </w:p>
          <w:p w:rsidR="00DD68E2" w:rsidRPr="00B623DB" w:rsidRDefault="00DD68E2" w:rsidP="00F0722B">
            <w:pPr>
              <w:pStyle w:val="TableText"/>
              <w:jc w:val="center"/>
            </w:pPr>
            <w:r w:rsidRPr="00B623DB">
              <w:t>1 (100)</w:t>
            </w:r>
          </w:p>
          <w:p w:rsidR="00DD68E2" w:rsidRPr="00B623DB" w:rsidRDefault="00DD68E2" w:rsidP="00F0722B">
            <w:pPr>
              <w:pStyle w:val="TableText"/>
              <w:jc w:val="center"/>
            </w:pPr>
            <w:r w:rsidRPr="00B623DB">
              <w:t>12 (100)</w:t>
            </w:r>
          </w:p>
          <w:p w:rsidR="00DD68E2" w:rsidRPr="00B623DB" w:rsidRDefault="00DD68E2" w:rsidP="00F0722B">
            <w:pPr>
              <w:pStyle w:val="TableText"/>
              <w:jc w:val="center"/>
            </w:pPr>
            <w:r w:rsidRPr="00B623DB">
              <w:t>4 (100)</w:t>
            </w:r>
          </w:p>
        </w:tc>
        <w:tc>
          <w:tcPr>
            <w:tcW w:w="1660" w:type="pct"/>
          </w:tcPr>
          <w:p w:rsidR="00DD68E2" w:rsidRPr="00B623DB" w:rsidRDefault="00DD68E2" w:rsidP="00F0722B">
            <w:pPr>
              <w:pStyle w:val="TableText"/>
              <w:jc w:val="center"/>
            </w:pPr>
            <w:r w:rsidRPr="00B623DB">
              <w:t>1 (5.9)</w:t>
            </w:r>
          </w:p>
          <w:p w:rsidR="00DD68E2" w:rsidRPr="00B623DB" w:rsidRDefault="00DD68E2" w:rsidP="00F0722B">
            <w:pPr>
              <w:pStyle w:val="TableText"/>
              <w:jc w:val="center"/>
            </w:pPr>
            <w:r w:rsidRPr="00B623DB">
              <w:t>0</w:t>
            </w:r>
          </w:p>
          <w:p w:rsidR="00DD68E2" w:rsidRPr="00B623DB" w:rsidRDefault="00DD68E2" w:rsidP="00F0722B">
            <w:pPr>
              <w:pStyle w:val="TableText"/>
              <w:jc w:val="center"/>
            </w:pPr>
            <w:r w:rsidRPr="00B623DB">
              <w:t>0</w:t>
            </w:r>
          </w:p>
          <w:p w:rsidR="00DD68E2" w:rsidRPr="00B623DB" w:rsidRDefault="00DD68E2" w:rsidP="00F0722B">
            <w:pPr>
              <w:pStyle w:val="TableText"/>
              <w:jc w:val="center"/>
            </w:pPr>
            <w:r w:rsidRPr="00B623DB">
              <w:t>1 (25.0)</w:t>
            </w:r>
          </w:p>
        </w:tc>
      </w:tr>
      <w:tr w:rsidR="00DD68E2" w:rsidRPr="00B623DB" w:rsidTr="00F0722B">
        <w:tc>
          <w:tcPr>
            <w:tcW w:w="1680" w:type="pct"/>
          </w:tcPr>
          <w:p w:rsidR="00DD68E2" w:rsidRPr="00B623DB" w:rsidRDefault="00DD68E2" w:rsidP="00F0722B">
            <w:pPr>
              <w:pStyle w:val="TableText"/>
            </w:pPr>
            <w:r w:rsidRPr="00B623DB">
              <w:t>D2308 (n=19)</w:t>
            </w:r>
          </w:p>
          <w:p w:rsidR="00DD68E2" w:rsidRPr="00B623DB" w:rsidRDefault="00DD68E2" w:rsidP="00C42C16">
            <w:pPr>
              <w:pStyle w:val="TableText"/>
              <w:numPr>
                <w:ilvl w:val="1"/>
                <w:numId w:val="5"/>
              </w:numPr>
              <w:tabs>
                <w:tab w:val="left" w:pos="284"/>
              </w:tabs>
              <w:ind w:left="284" w:hanging="142"/>
            </w:pPr>
            <w:r w:rsidRPr="00B623DB">
              <w:t>MWS (n=7)</w:t>
            </w:r>
          </w:p>
          <w:p w:rsidR="00DD68E2" w:rsidRPr="00B623DB" w:rsidRDefault="00DD68E2" w:rsidP="00C42C16">
            <w:pPr>
              <w:pStyle w:val="TableText"/>
              <w:numPr>
                <w:ilvl w:val="1"/>
                <w:numId w:val="5"/>
              </w:numPr>
              <w:tabs>
                <w:tab w:val="left" w:pos="284"/>
              </w:tabs>
              <w:ind w:left="284" w:hanging="142"/>
            </w:pPr>
            <w:r w:rsidRPr="00B623DB">
              <w:t>NOMID (n=12)</w:t>
            </w:r>
          </w:p>
          <w:p w:rsidR="00DD68E2" w:rsidRPr="00B623DB" w:rsidRDefault="00DD68E2" w:rsidP="00F0722B">
            <w:pPr>
              <w:pStyle w:val="TableText"/>
              <w:tabs>
                <w:tab w:val="left" w:pos="284"/>
              </w:tabs>
            </w:pPr>
            <w:r w:rsidRPr="00B623DB">
              <w:t>(24 weeks)</w:t>
            </w:r>
          </w:p>
        </w:tc>
        <w:tc>
          <w:tcPr>
            <w:tcW w:w="1660" w:type="pct"/>
          </w:tcPr>
          <w:p w:rsidR="00DD68E2" w:rsidRPr="00B623DB" w:rsidRDefault="00DD68E2" w:rsidP="00F0722B">
            <w:pPr>
              <w:pStyle w:val="TableText"/>
              <w:jc w:val="center"/>
            </w:pPr>
            <w:r w:rsidRPr="00B623DB">
              <w:t>18 (94.7)</w:t>
            </w:r>
          </w:p>
          <w:p w:rsidR="00DD68E2" w:rsidRPr="00B623DB" w:rsidRDefault="00DD68E2" w:rsidP="00F0722B">
            <w:pPr>
              <w:pStyle w:val="TableText"/>
              <w:jc w:val="center"/>
            </w:pPr>
            <w:r w:rsidRPr="00B623DB">
              <w:t>7 (100)</w:t>
            </w:r>
          </w:p>
          <w:p w:rsidR="00DD68E2" w:rsidRPr="00B623DB" w:rsidRDefault="00DD68E2" w:rsidP="00F0722B">
            <w:pPr>
              <w:pStyle w:val="TableText"/>
              <w:jc w:val="center"/>
            </w:pPr>
            <w:r w:rsidRPr="00B623DB">
              <w:t>11 (91.7)</w:t>
            </w:r>
          </w:p>
        </w:tc>
        <w:tc>
          <w:tcPr>
            <w:tcW w:w="1660" w:type="pct"/>
          </w:tcPr>
          <w:p w:rsidR="00DD68E2" w:rsidRPr="00B623DB" w:rsidRDefault="00DD68E2" w:rsidP="00F0722B">
            <w:pPr>
              <w:pStyle w:val="TableText"/>
              <w:jc w:val="center"/>
            </w:pPr>
            <w:r w:rsidRPr="00B623DB">
              <w:t>4 (22.2)</w:t>
            </w:r>
          </w:p>
          <w:p w:rsidR="00DD68E2" w:rsidRPr="00B623DB" w:rsidRDefault="00DD68E2" w:rsidP="00F0722B">
            <w:pPr>
              <w:pStyle w:val="TableText"/>
              <w:jc w:val="center"/>
            </w:pPr>
            <w:r w:rsidRPr="00B623DB">
              <w:t>1 (14.3)</w:t>
            </w:r>
          </w:p>
          <w:p w:rsidR="00DD68E2" w:rsidRPr="00B623DB" w:rsidRDefault="00DD68E2" w:rsidP="00F0722B">
            <w:pPr>
              <w:pStyle w:val="TableText"/>
              <w:jc w:val="center"/>
            </w:pPr>
            <w:r w:rsidRPr="00B623DB">
              <w:t>3 (27.3)</w:t>
            </w:r>
          </w:p>
        </w:tc>
      </w:tr>
      <w:tr w:rsidR="00DD68E2" w:rsidRPr="00B623DB" w:rsidTr="00F0722B">
        <w:tc>
          <w:tcPr>
            <w:tcW w:w="1680" w:type="pct"/>
          </w:tcPr>
          <w:p w:rsidR="00DD68E2" w:rsidRPr="00B623DB" w:rsidRDefault="00DD68E2" w:rsidP="00F0722B">
            <w:pPr>
              <w:pStyle w:val="TableText"/>
            </w:pPr>
            <w:r w:rsidRPr="00B623DB">
              <w:t>D2201 (n=6)</w:t>
            </w:r>
          </w:p>
          <w:p w:rsidR="00DD68E2" w:rsidRPr="00B623DB" w:rsidRDefault="00DD68E2" w:rsidP="00C42C16">
            <w:pPr>
              <w:pStyle w:val="TableText"/>
              <w:numPr>
                <w:ilvl w:val="1"/>
                <w:numId w:val="5"/>
              </w:numPr>
              <w:tabs>
                <w:tab w:val="left" w:pos="284"/>
              </w:tabs>
              <w:ind w:left="284" w:hanging="142"/>
            </w:pPr>
            <w:r w:rsidRPr="00B623DB">
              <w:t>NOMID (n=6)</w:t>
            </w:r>
          </w:p>
          <w:p w:rsidR="00DD68E2" w:rsidRPr="00B623DB" w:rsidRDefault="00DD68E2" w:rsidP="00F0722B">
            <w:pPr>
              <w:pStyle w:val="TableText"/>
            </w:pPr>
            <w:r w:rsidRPr="00B623DB">
              <w:t>(6 months)</w:t>
            </w:r>
          </w:p>
        </w:tc>
        <w:tc>
          <w:tcPr>
            <w:tcW w:w="1660" w:type="pct"/>
          </w:tcPr>
          <w:p w:rsidR="00DD68E2" w:rsidRPr="00B623DB" w:rsidRDefault="00DD68E2" w:rsidP="00F0722B">
            <w:pPr>
              <w:pStyle w:val="TableText"/>
              <w:jc w:val="center"/>
            </w:pPr>
            <w:r w:rsidRPr="00B623DB">
              <w:t>4 (66.7)</w:t>
            </w:r>
          </w:p>
          <w:p w:rsidR="00DD68E2" w:rsidRPr="00B623DB" w:rsidRDefault="00DD68E2" w:rsidP="00F0722B">
            <w:pPr>
              <w:pStyle w:val="TableText"/>
              <w:jc w:val="center"/>
            </w:pPr>
            <w:r w:rsidRPr="00B623DB">
              <w:t>4 (66.7)</w:t>
            </w:r>
          </w:p>
          <w:p w:rsidR="00DD68E2" w:rsidRPr="00B623DB" w:rsidRDefault="00DD68E2" w:rsidP="00F0722B">
            <w:pPr>
              <w:pStyle w:val="TableText"/>
              <w:jc w:val="center"/>
            </w:pPr>
          </w:p>
        </w:tc>
        <w:tc>
          <w:tcPr>
            <w:tcW w:w="1660" w:type="pct"/>
          </w:tcPr>
          <w:p w:rsidR="00DD68E2" w:rsidRPr="00B623DB" w:rsidRDefault="00DD68E2" w:rsidP="00F0722B">
            <w:pPr>
              <w:pStyle w:val="TableText"/>
              <w:jc w:val="center"/>
            </w:pPr>
            <w:r w:rsidRPr="00B623DB">
              <w:t>3 (75.0)</w:t>
            </w:r>
          </w:p>
          <w:p w:rsidR="00DD68E2" w:rsidRPr="00B623DB" w:rsidRDefault="00DD68E2" w:rsidP="00F0722B">
            <w:pPr>
              <w:pStyle w:val="TableText"/>
              <w:jc w:val="center"/>
            </w:pPr>
            <w:r w:rsidRPr="00B623DB">
              <w:t>3 (75.0)</w:t>
            </w:r>
          </w:p>
        </w:tc>
      </w:tr>
      <w:tr w:rsidR="00DD68E2" w:rsidRPr="00B623DB" w:rsidTr="00F0722B">
        <w:tc>
          <w:tcPr>
            <w:tcW w:w="1680" w:type="pct"/>
          </w:tcPr>
          <w:p w:rsidR="00DD68E2" w:rsidRPr="00B623DB" w:rsidRDefault="00DD68E2" w:rsidP="00F0722B">
            <w:pPr>
              <w:pStyle w:val="TableText"/>
            </w:pPr>
            <w:r w:rsidRPr="00B623DB">
              <w:t>Kuemmerle-Deschner 2016 (n=68)</w:t>
            </w:r>
          </w:p>
          <w:p w:rsidR="00DD68E2" w:rsidRPr="00B623DB" w:rsidRDefault="00DD68E2" w:rsidP="00C42C16">
            <w:pPr>
              <w:pStyle w:val="TableText"/>
              <w:numPr>
                <w:ilvl w:val="1"/>
                <w:numId w:val="5"/>
              </w:numPr>
              <w:tabs>
                <w:tab w:val="left" w:pos="284"/>
              </w:tabs>
              <w:ind w:left="284" w:hanging="142"/>
            </w:pPr>
            <w:r w:rsidRPr="00B623DB">
              <w:t>FCAS, FCAS/MWS (n=20)</w:t>
            </w:r>
          </w:p>
          <w:p w:rsidR="00DD68E2" w:rsidRPr="00B623DB" w:rsidRDefault="00DD68E2" w:rsidP="00C42C16">
            <w:pPr>
              <w:pStyle w:val="TableText"/>
              <w:numPr>
                <w:ilvl w:val="1"/>
                <w:numId w:val="5"/>
              </w:numPr>
              <w:tabs>
                <w:tab w:val="left" w:pos="284"/>
              </w:tabs>
              <w:ind w:left="284" w:hanging="142"/>
            </w:pPr>
            <w:r w:rsidRPr="00B623DB">
              <w:t>MWS (n=41)</w:t>
            </w:r>
          </w:p>
          <w:p w:rsidR="00DD68E2" w:rsidRPr="00B623DB" w:rsidRDefault="00DD68E2" w:rsidP="00C42C16">
            <w:pPr>
              <w:pStyle w:val="TableText"/>
              <w:numPr>
                <w:ilvl w:val="1"/>
                <w:numId w:val="5"/>
              </w:numPr>
              <w:tabs>
                <w:tab w:val="left" w:pos="284"/>
              </w:tabs>
              <w:ind w:left="284" w:hanging="142"/>
            </w:pPr>
            <w:r w:rsidRPr="00B623DB">
              <w:t>MWS/NOMID, NOMID (n=7)</w:t>
            </w:r>
          </w:p>
          <w:p w:rsidR="00DD68E2" w:rsidRPr="00B623DB" w:rsidRDefault="00DD68E2" w:rsidP="00F0722B">
            <w:pPr>
              <w:pStyle w:val="TableText"/>
              <w:tabs>
                <w:tab w:val="left" w:pos="284"/>
              </w:tabs>
            </w:pPr>
            <w:r w:rsidRPr="00B623DB">
              <w:t>(median CR 6 (range 0.5-41) months)</w:t>
            </w:r>
          </w:p>
        </w:tc>
        <w:tc>
          <w:tcPr>
            <w:tcW w:w="1660" w:type="pct"/>
          </w:tcPr>
          <w:p w:rsidR="00DD68E2" w:rsidRPr="00B623DB" w:rsidRDefault="00DD68E2" w:rsidP="00F0722B">
            <w:pPr>
              <w:pStyle w:val="TableText"/>
              <w:jc w:val="center"/>
            </w:pPr>
            <w:r w:rsidRPr="00B623DB">
              <w:t>49 (72.1)</w:t>
            </w:r>
          </w:p>
          <w:p w:rsidR="00DD68E2" w:rsidRPr="00B623DB" w:rsidRDefault="00DD68E2" w:rsidP="00F0722B">
            <w:pPr>
              <w:pStyle w:val="TableText"/>
              <w:jc w:val="center"/>
            </w:pPr>
            <w:r w:rsidRPr="00B623DB">
              <w:t>17 (85.0)</w:t>
            </w:r>
          </w:p>
          <w:p w:rsidR="00DD68E2" w:rsidRPr="00B623DB" w:rsidRDefault="00DD68E2" w:rsidP="00F0722B">
            <w:pPr>
              <w:pStyle w:val="TableText"/>
              <w:jc w:val="center"/>
            </w:pPr>
            <w:r w:rsidRPr="00B623DB">
              <w:t>31 (75.6)</w:t>
            </w:r>
          </w:p>
          <w:p w:rsidR="00DD68E2" w:rsidRPr="00B623DB" w:rsidRDefault="00DD68E2" w:rsidP="00F0722B">
            <w:pPr>
              <w:pStyle w:val="TableText"/>
              <w:jc w:val="center"/>
            </w:pPr>
            <w:r w:rsidRPr="00B623DB">
              <w:t>1 (14.3)</w:t>
            </w:r>
          </w:p>
        </w:tc>
        <w:tc>
          <w:tcPr>
            <w:tcW w:w="1660" w:type="pct"/>
          </w:tcPr>
          <w:p w:rsidR="00DD68E2" w:rsidRPr="00B623DB" w:rsidRDefault="00DD68E2" w:rsidP="00F0722B">
            <w:pPr>
              <w:pStyle w:val="TableText"/>
              <w:jc w:val="center"/>
            </w:pPr>
            <w:r w:rsidRPr="00B623DB">
              <w:t>NR</w:t>
            </w:r>
          </w:p>
        </w:tc>
      </w:tr>
      <w:tr w:rsidR="00DD68E2" w:rsidRPr="00B623DB" w:rsidTr="00F0722B">
        <w:tc>
          <w:tcPr>
            <w:tcW w:w="1680" w:type="pct"/>
          </w:tcPr>
          <w:p w:rsidR="00DD68E2" w:rsidRPr="00B623DB" w:rsidRDefault="00DD68E2" w:rsidP="00F0722B">
            <w:pPr>
              <w:pStyle w:val="TableText"/>
            </w:pPr>
            <w:r w:rsidRPr="00B623DB">
              <w:t>Pooled analysis D2306/D2308 (n=196)</w:t>
            </w:r>
          </w:p>
          <w:p w:rsidR="00DD68E2" w:rsidRPr="00B623DB" w:rsidRDefault="00DD68E2" w:rsidP="00C42C16">
            <w:pPr>
              <w:pStyle w:val="TableText"/>
              <w:numPr>
                <w:ilvl w:val="1"/>
                <w:numId w:val="5"/>
              </w:numPr>
              <w:tabs>
                <w:tab w:val="left" w:pos="284"/>
              </w:tabs>
              <w:ind w:left="284" w:hanging="142"/>
            </w:pPr>
            <w:r w:rsidRPr="00B623DB">
              <w:t>FCAS (n=38)</w:t>
            </w:r>
          </w:p>
          <w:p w:rsidR="00DD68E2" w:rsidRPr="00B623DB" w:rsidRDefault="00DD68E2" w:rsidP="00C42C16">
            <w:pPr>
              <w:pStyle w:val="TableText"/>
              <w:numPr>
                <w:ilvl w:val="1"/>
                <w:numId w:val="5"/>
              </w:numPr>
              <w:tabs>
                <w:tab w:val="left" w:pos="284"/>
              </w:tabs>
              <w:ind w:left="284" w:hanging="142"/>
            </w:pPr>
            <w:r w:rsidRPr="00B623DB">
              <w:t>MWS (n=110)</w:t>
            </w:r>
          </w:p>
          <w:p w:rsidR="00DD68E2" w:rsidRPr="00B623DB" w:rsidRDefault="00DD68E2" w:rsidP="00C42C16">
            <w:pPr>
              <w:pStyle w:val="TableText"/>
              <w:numPr>
                <w:ilvl w:val="1"/>
                <w:numId w:val="5"/>
              </w:numPr>
              <w:tabs>
                <w:tab w:val="left" w:pos="284"/>
              </w:tabs>
              <w:ind w:left="284" w:hanging="142"/>
            </w:pPr>
            <w:r w:rsidRPr="00B623DB">
              <w:t>NOMID (n=44)</w:t>
            </w:r>
          </w:p>
        </w:tc>
        <w:tc>
          <w:tcPr>
            <w:tcW w:w="1660" w:type="pct"/>
          </w:tcPr>
          <w:p w:rsidR="00DD68E2" w:rsidRPr="00B623DB" w:rsidRDefault="00DD68E2" w:rsidP="00F0722B">
            <w:pPr>
              <w:pStyle w:val="TableText"/>
              <w:jc w:val="center"/>
              <w:rPr>
                <w:vertAlign w:val="superscript"/>
              </w:rPr>
            </w:pPr>
            <w:r w:rsidRPr="00B623DB">
              <w:t xml:space="preserve">109/128 (85.2) </w:t>
            </w:r>
            <w:r w:rsidRPr="00B623DB">
              <w:rPr>
                <w:vertAlign w:val="superscript"/>
              </w:rPr>
              <w:t xml:space="preserve">b </w:t>
            </w:r>
          </w:p>
          <w:p w:rsidR="00DD68E2" w:rsidRPr="00B623DB" w:rsidRDefault="00DD68E2" w:rsidP="00F0722B">
            <w:pPr>
              <w:pStyle w:val="TableText"/>
              <w:jc w:val="center"/>
            </w:pPr>
            <w:r w:rsidRPr="00B623DB">
              <w:t>28 (96.6)</w:t>
            </w:r>
          </w:p>
          <w:p w:rsidR="00DD68E2" w:rsidRPr="00B623DB" w:rsidRDefault="00DD68E2" w:rsidP="00F0722B">
            <w:pPr>
              <w:pStyle w:val="TableText"/>
              <w:jc w:val="center"/>
            </w:pPr>
            <w:r w:rsidRPr="00B623DB">
              <w:t>53 (88.3)</w:t>
            </w:r>
          </w:p>
          <w:p w:rsidR="00DD68E2" w:rsidRPr="00B623DB" w:rsidRDefault="00DD68E2" w:rsidP="00F0722B">
            <w:pPr>
              <w:pStyle w:val="TableText"/>
              <w:jc w:val="center"/>
            </w:pPr>
            <w:r w:rsidRPr="00B623DB">
              <w:t>28 (73.7)</w:t>
            </w:r>
          </w:p>
        </w:tc>
        <w:tc>
          <w:tcPr>
            <w:tcW w:w="1660" w:type="pct"/>
          </w:tcPr>
          <w:p w:rsidR="00DD68E2" w:rsidRPr="00B623DB" w:rsidRDefault="00DD68E2" w:rsidP="00F0722B">
            <w:pPr>
              <w:pStyle w:val="TableText"/>
              <w:jc w:val="center"/>
            </w:pPr>
            <w:r w:rsidRPr="00B623DB">
              <w:t>17 (8.7)</w:t>
            </w:r>
          </w:p>
          <w:p w:rsidR="00DD68E2" w:rsidRPr="00B623DB" w:rsidRDefault="00DD68E2" w:rsidP="00F0722B">
            <w:pPr>
              <w:pStyle w:val="TableText"/>
              <w:jc w:val="center"/>
            </w:pPr>
            <w:r w:rsidRPr="00B623DB">
              <w:t>2 (6.7)</w:t>
            </w:r>
          </w:p>
          <w:p w:rsidR="00DD68E2" w:rsidRPr="00B623DB" w:rsidRDefault="00DD68E2" w:rsidP="00F0722B">
            <w:pPr>
              <w:pStyle w:val="TableText"/>
              <w:jc w:val="center"/>
            </w:pPr>
            <w:r w:rsidRPr="00B623DB">
              <w:t>8 (7.3)</w:t>
            </w:r>
          </w:p>
          <w:p w:rsidR="00DD68E2" w:rsidRPr="00B623DB" w:rsidRDefault="00DD68E2" w:rsidP="00F0722B">
            <w:pPr>
              <w:pStyle w:val="TableText"/>
              <w:jc w:val="center"/>
            </w:pPr>
            <w:r w:rsidRPr="00B623DB">
              <w:t>7 (15.9)</w:t>
            </w:r>
          </w:p>
        </w:tc>
      </w:tr>
    </w:tbl>
    <w:p w:rsidR="00DD68E2" w:rsidRPr="00B623DB" w:rsidRDefault="00DD68E2" w:rsidP="00DD68E2">
      <w:pPr>
        <w:pStyle w:val="TableFooter"/>
      </w:pPr>
      <w:r w:rsidRPr="00B623DB">
        <w:rPr>
          <w:vertAlign w:val="superscript"/>
        </w:rPr>
        <w:t>a</w:t>
      </w:r>
      <w:r w:rsidRPr="00B623DB">
        <w:t xml:space="preserve"> Relapse rates were measured in treatment responders only.</w:t>
      </w:r>
    </w:p>
    <w:p w:rsidR="00DD68E2" w:rsidRPr="00B623DB" w:rsidRDefault="00DD68E2" w:rsidP="00DD68E2">
      <w:pPr>
        <w:pStyle w:val="TableFooter"/>
      </w:pPr>
      <w:r w:rsidRPr="00B623DB">
        <w:rPr>
          <w:vertAlign w:val="superscript"/>
        </w:rPr>
        <w:t>b</w:t>
      </w:r>
      <w:r w:rsidRPr="00B623DB">
        <w:t xml:space="preserve"> canakinumab-naïve patients only</w:t>
      </w:r>
    </w:p>
    <w:p w:rsidR="00DD68E2" w:rsidRPr="00B623DB" w:rsidRDefault="00DD68E2" w:rsidP="00DD68E2">
      <w:pPr>
        <w:pStyle w:val="TableFooter"/>
      </w:pPr>
      <w:r w:rsidRPr="00B623DB">
        <w:t>Abbreviations: CR, complete response; FCAS, Familial Cold Autoinflammatory Syndrome; MWS, Muckle-Wells Syndrome; NA, not applicable; NOMID, Neonatal-Onset Multisystem Inflammatory Disease; NR, not reported</w:t>
      </w:r>
    </w:p>
    <w:p w:rsidR="00DD68E2" w:rsidRPr="00B623DB" w:rsidRDefault="00DD68E2" w:rsidP="00DD68E2">
      <w:pPr>
        <w:pStyle w:val="TableFooter"/>
      </w:pPr>
      <w:r w:rsidRPr="00B623DB">
        <w:t>Source: Compiled during the evaluation using Table 2.34, Table 2.35, p91; Table 2.39, p95; Table 2.50, p106; Table 2.62, p121 of the submission; and relevant study reports.</w:t>
      </w:r>
    </w:p>
    <w:p w:rsidR="005527F5" w:rsidRPr="00B623DB" w:rsidRDefault="00C06203" w:rsidP="00C42C16">
      <w:pPr>
        <w:pStyle w:val="ListParagraph"/>
        <w:numPr>
          <w:ilvl w:val="1"/>
          <w:numId w:val="2"/>
        </w:numPr>
        <w:spacing w:before="0" w:after="120"/>
        <w:jc w:val="both"/>
      </w:pPr>
      <w:r w:rsidRPr="00B623DB">
        <w:t>Physicians’ global assessments of disease activity and skin disease</w:t>
      </w:r>
      <w:r w:rsidR="00956B8D" w:rsidRPr="00B623DB">
        <w:t>,</w:t>
      </w:r>
      <w:r w:rsidRPr="00B623DB">
        <w:t xml:space="preserve"> measured in five of the nonrandomised studies, tended to improve over time, with more patients reporting absent or minimal symptoms at study endpoints than at baseline. </w:t>
      </w:r>
      <w:r w:rsidR="00956B8D" w:rsidRPr="00B623DB">
        <w:t xml:space="preserve">C-reactive protein and </w:t>
      </w:r>
      <w:r w:rsidR="00EA688C" w:rsidRPr="00B623DB">
        <w:t>serum</w:t>
      </w:r>
      <w:r w:rsidR="00956B8D" w:rsidRPr="00B623DB">
        <w:t xml:space="preserve"> amyloid A levels also improved from baseline to endpoint.</w:t>
      </w:r>
    </w:p>
    <w:p w:rsidR="003D6B05" w:rsidRPr="00B623DB" w:rsidRDefault="00B77871" w:rsidP="00C42C16">
      <w:pPr>
        <w:pStyle w:val="ListParagraph"/>
        <w:numPr>
          <w:ilvl w:val="1"/>
          <w:numId w:val="2"/>
        </w:numPr>
        <w:spacing w:before="0" w:after="120"/>
        <w:jc w:val="both"/>
      </w:pPr>
      <w:r w:rsidRPr="00B623DB">
        <w:t>Results of the nonrandomised canakinumab studies were consistent with Trial D2304, with the majority of participants</w:t>
      </w:r>
      <w:r w:rsidR="00325FCC" w:rsidRPr="00B623DB">
        <w:t xml:space="preserve"> demonstrating a complete respo</w:t>
      </w:r>
      <w:r w:rsidRPr="00B623DB">
        <w:t xml:space="preserve">nse to treatment and few disease flares. Outcomes data for the different CAPS phenotypes </w:t>
      </w:r>
      <w:r w:rsidR="00087B35" w:rsidRPr="00B623DB">
        <w:t>appear to indicate a lower response rate for patients with the more severe NOMID phenotype compared to FCAS or MWS phenotypes. However, given the small patient numbers and the open-label, single arm design of these studies, results must be interpreted with caution.</w:t>
      </w:r>
    </w:p>
    <w:p w:rsidR="00B77871" w:rsidRPr="00B623DB" w:rsidRDefault="00C258A7" w:rsidP="00C42C16">
      <w:pPr>
        <w:pStyle w:val="ListParagraph"/>
        <w:numPr>
          <w:ilvl w:val="1"/>
          <w:numId w:val="2"/>
        </w:numPr>
        <w:spacing w:before="0" w:after="120"/>
        <w:jc w:val="both"/>
      </w:pPr>
      <w:r w:rsidRPr="00B623DB">
        <w:t>The nonrandomised anakinra studies reported statistically significant improvements in symptoms using a variety of patient and physician assessments of disease activity, as well as inflammatory markers of C-reactive protein and serum amyloid A, at time</w:t>
      </w:r>
      <w:r w:rsidR="00616DBC" w:rsidRPr="00B623DB">
        <w:t xml:space="preserve"> </w:t>
      </w:r>
      <w:r w:rsidRPr="00B623DB">
        <w:t>points ranging from 2 weeks to 3 years.</w:t>
      </w:r>
      <w:r w:rsidR="00766D32" w:rsidRPr="00B623DB">
        <w:t xml:space="preserve"> </w:t>
      </w:r>
      <w:r w:rsidR="00B77871" w:rsidRPr="00B623DB">
        <w:t>Efficacy outcomes from Goldbach-Mansky (2006) and Sibley (2012) are presented in Table 7.</w:t>
      </w:r>
    </w:p>
    <w:p w:rsidR="00B77871" w:rsidRPr="00B623DB" w:rsidRDefault="00B77871" w:rsidP="00B77871">
      <w:pPr>
        <w:pStyle w:val="TableHeading0"/>
        <w:ind w:left="851" w:hanging="851"/>
        <w:jc w:val="both"/>
      </w:pPr>
      <w:r w:rsidRPr="00B623DB">
        <w:t>Table 7:</w:t>
      </w:r>
      <w:r w:rsidRPr="00B623DB">
        <w:tab/>
        <w:t>Change from baseline in global diary, physician and patient scores and inflammation markers with anakinra therapy, Goldbach-Mansky 2006 and Sibley 2012</w:t>
      </w:r>
    </w:p>
    <w:tbl>
      <w:tblPr>
        <w:tblStyle w:val="TableGrid"/>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Change from baseline in global diary, physician and patient scores and inflammation markers with anakinra therapy, Goldbach-Mansky 2006 and Sibley 2012"/>
      </w:tblPr>
      <w:tblGrid>
        <w:gridCol w:w="1795"/>
        <w:gridCol w:w="1445"/>
        <w:gridCol w:w="1445"/>
        <w:gridCol w:w="1447"/>
        <w:gridCol w:w="1445"/>
        <w:gridCol w:w="1445"/>
      </w:tblGrid>
      <w:tr w:rsidR="00B77871" w:rsidRPr="00B623DB" w:rsidTr="00233D88">
        <w:trPr>
          <w:cnfStyle w:val="100000000000" w:firstRow="1" w:lastRow="0" w:firstColumn="0" w:lastColumn="0" w:oddVBand="0" w:evenVBand="0" w:oddHBand="0" w:evenHBand="0" w:firstRowFirstColumn="0" w:firstRowLastColumn="0" w:lastRowFirstColumn="0" w:lastRowLastColumn="0"/>
          <w:trHeight w:val="235"/>
          <w:tblHeader/>
        </w:trPr>
        <w:tc>
          <w:tcPr>
            <w:tcW w:w="994" w:type="pct"/>
            <w:vMerge w:val="restart"/>
            <w:shd w:val="clear" w:color="auto" w:fill="FFFFFF" w:themeFill="background1"/>
            <w:tcMar>
              <w:left w:w="57" w:type="dxa"/>
              <w:right w:w="57" w:type="dxa"/>
            </w:tcMar>
            <w:vAlign w:val="center"/>
          </w:tcPr>
          <w:p w:rsidR="00B77871" w:rsidRPr="00B623DB" w:rsidRDefault="00B77871" w:rsidP="00A026D2">
            <w:pPr>
              <w:pStyle w:val="TableText"/>
              <w:rPr>
                <w:lang w:val="en-AU"/>
              </w:rPr>
            </w:pPr>
            <w:r w:rsidRPr="00B623DB">
              <w:rPr>
                <w:lang w:val="en-AU"/>
              </w:rPr>
              <w:t>Outcome measure</w:t>
            </w:r>
          </w:p>
        </w:tc>
        <w:tc>
          <w:tcPr>
            <w:tcW w:w="2404" w:type="pct"/>
            <w:gridSpan w:val="3"/>
            <w:tcBorders>
              <w:right w:val="double" w:sz="4" w:space="0" w:color="auto"/>
            </w:tcBorders>
            <w:shd w:val="clear" w:color="auto" w:fill="FFFFFF" w:themeFill="background1"/>
            <w:tcMar>
              <w:left w:w="57" w:type="dxa"/>
              <w:right w:w="57" w:type="dxa"/>
            </w:tcMar>
            <w:vAlign w:val="center"/>
          </w:tcPr>
          <w:p w:rsidR="00B77871" w:rsidRPr="00B623DB" w:rsidRDefault="00B77871" w:rsidP="00A026D2">
            <w:pPr>
              <w:pStyle w:val="TableText"/>
              <w:jc w:val="center"/>
              <w:rPr>
                <w:lang w:val="en-AU"/>
              </w:rPr>
            </w:pPr>
            <w:r w:rsidRPr="00B623DB">
              <w:rPr>
                <w:lang w:val="en-AU"/>
              </w:rPr>
              <w:t>Goldbach-Mansky 2006, median (IQ range)</w:t>
            </w:r>
          </w:p>
        </w:tc>
        <w:tc>
          <w:tcPr>
            <w:tcW w:w="1602" w:type="pct"/>
            <w:gridSpan w:val="2"/>
            <w:shd w:val="clear" w:color="auto" w:fill="FFFFFF" w:themeFill="background1"/>
            <w:vAlign w:val="center"/>
          </w:tcPr>
          <w:p w:rsidR="00B77871" w:rsidRPr="00B623DB" w:rsidRDefault="00B77871" w:rsidP="00A026D2">
            <w:pPr>
              <w:pStyle w:val="TableText"/>
              <w:jc w:val="center"/>
              <w:rPr>
                <w:vertAlign w:val="superscript"/>
                <w:lang w:val="en-AU"/>
              </w:rPr>
            </w:pPr>
            <w:r w:rsidRPr="00B623DB">
              <w:rPr>
                <w:lang w:val="en-AU"/>
              </w:rPr>
              <w:t xml:space="preserve">Sibley 2012, estimated mean </w:t>
            </w:r>
            <w:r w:rsidRPr="00B623DB">
              <w:rPr>
                <w:vertAlign w:val="superscript"/>
                <w:lang w:val="en-AU"/>
              </w:rPr>
              <w:t>c</w:t>
            </w:r>
          </w:p>
        </w:tc>
      </w:tr>
      <w:tr w:rsidR="00B77871" w:rsidRPr="00B623DB" w:rsidTr="00233D88">
        <w:trPr>
          <w:cnfStyle w:val="100000000000" w:firstRow="1" w:lastRow="0" w:firstColumn="0" w:lastColumn="0" w:oddVBand="0" w:evenVBand="0" w:oddHBand="0" w:evenHBand="0" w:firstRowFirstColumn="0" w:firstRowLastColumn="0" w:lastRowFirstColumn="0" w:lastRowLastColumn="0"/>
          <w:trHeight w:val="235"/>
          <w:tblHeader/>
        </w:trPr>
        <w:tc>
          <w:tcPr>
            <w:tcW w:w="994" w:type="pct"/>
            <w:vMerge/>
            <w:shd w:val="clear" w:color="auto" w:fill="FFFFFF" w:themeFill="background1"/>
            <w:tcMar>
              <w:left w:w="57" w:type="dxa"/>
              <w:right w:w="57" w:type="dxa"/>
            </w:tcMar>
            <w:vAlign w:val="center"/>
          </w:tcPr>
          <w:p w:rsidR="00B77871" w:rsidRPr="00B623DB" w:rsidRDefault="00B77871" w:rsidP="00A026D2">
            <w:pPr>
              <w:pStyle w:val="TableText"/>
              <w:rPr>
                <w:lang w:val="en-AU"/>
              </w:rPr>
            </w:pPr>
          </w:p>
        </w:tc>
        <w:tc>
          <w:tcPr>
            <w:tcW w:w="801" w:type="pct"/>
            <w:shd w:val="clear" w:color="auto" w:fill="FFFFFF" w:themeFill="background1"/>
            <w:tcMar>
              <w:left w:w="57" w:type="dxa"/>
              <w:right w:w="57" w:type="dxa"/>
            </w:tcMar>
            <w:vAlign w:val="center"/>
          </w:tcPr>
          <w:p w:rsidR="00B77871" w:rsidRPr="00B623DB" w:rsidRDefault="00B77871" w:rsidP="00A026D2">
            <w:pPr>
              <w:pStyle w:val="TableText"/>
              <w:jc w:val="center"/>
              <w:rPr>
                <w:lang w:val="en-AU"/>
              </w:rPr>
            </w:pPr>
            <w:r w:rsidRPr="00B623DB">
              <w:rPr>
                <w:lang w:val="en-AU"/>
              </w:rPr>
              <w:t xml:space="preserve">Baseline </w:t>
            </w:r>
            <w:r w:rsidRPr="00B623DB">
              <w:rPr>
                <w:lang w:val="en-AU"/>
              </w:rPr>
              <w:br/>
              <w:t>(N=18)</w:t>
            </w:r>
          </w:p>
        </w:tc>
        <w:tc>
          <w:tcPr>
            <w:tcW w:w="801" w:type="pct"/>
            <w:shd w:val="clear" w:color="auto" w:fill="FFFFFF" w:themeFill="background1"/>
            <w:tcMar>
              <w:left w:w="57" w:type="dxa"/>
              <w:right w:w="57" w:type="dxa"/>
            </w:tcMar>
            <w:vAlign w:val="center"/>
          </w:tcPr>
          <w:p w:rsidR="00B77871" w:rsidRPr="00B623DB" w:rsidRDefault="00B77871" w:rsidP="00A026D2">
            <w:pPr>
              <w:pStyle w:val="TableText"/>
              <w:jc w:val="center"/>
              <w:rPr>
                <w:lang w:val="en-AU"/>
              </w:rPr>
            </w:pPr>
            <w:r w:rsidRPr="00B623DB">
              <w:rPr>
                <w:lang w:val="en-AU"/>
              </w:rPr>
              <w:t>One month</w:t>
            </w:r>
          </w:p>
          <w:p w:rsidR="00B77871" w:rsidRPr="00B623DB" w:rsidRDefault="00B77871" w:rsidP="00A026D2">
            <w:pPr>
              <w:pStyle w:val="TableText"/>
              <w:jc w:val="center"/>
              <w:rPr>
                <w:b w:val="0"/>
                <w:lang w:val="en-AU"/>
              </w:rPr>
            </w:pPr>
            <w:r w:rsidRPr="00B623DB">
              <w:rPr>
                <w:lang w:val="en-AU"/>
              </w:rPr>
              <w:t>(N=18)</w:t>
            </w:r>
          </w:p>
        </w:tc>
        <w:tc>
          <w:tcPr>
            <w:tcW w:w="802" w:type="pct"/>
            <w:tcBorders>
              <w:right w:val="double" w:sz="4" w:space="0" w:color="auto"/>
            </w:tcBorders>
            <w:shd w:val="clear" w:color="auto" w:fill="FFFFFF" w:themeFill="background1"/>
            <w:tcMar>
              <w:left w:w="57" w:type="dxa"/>
              <w:right w:w="57" w:type="dxa"/>
            </w:tcMar>
            <w:vAlign w:val="center"/>
          </w:tcPr>
          <w:p w:rsidR="00B77871" w:rsidRPr="00B623DB" w:rsidRDefault="00B77871" w:rsidP="00A026D2">
            <w:pPr>
              <w:pStyle w:val="TableText"/>
              <w:jc w:val="center"/>
              <w:rPr>
                <w:lang w:val="en-AU"/>
              </w:rPr>
            </w:pPr>
            <w:r w:rsidRPr="00B623DB">
              <w:rPr>
                <w:lang w:val="en-AU"/>
              </w:rPr>
              <w:t>Six Months</w:t>
            </w:r>
          </w:p>
          <w:p w:rsidR="00B77871" w:rsidRPr="00B623DB" w:rsidRDefault="00B77871" w:rsidP="00A026D2">
            <w:pPr>
              <w:pStyle w:val="TableText"/>
              <w:jc w:val="center"/>
              <w:rPr>
                <w:lang w:val="en-AU"/>
              </w:rPr>
            </w:pPr>
            <w:r w:rsidRPr="00B623DB">
              <w:rPr>
                <w:lang w:val="en-AU"/>
              </w:rPr>
              <w:t>(N=18)</w:t>
            </w:r>
          </w:p>
        </w:tc>
        <w:tc>
          <w:tcPr>
            <w:tcW w:w="801" w:type="pct"/>
            <w:tcBorders>
              <w:right w:val="single" w:sz="4" w:space="0" w:color="auto"/>
            </w:tcBorders>
            <w:shd w:val="clear" w:color="auto" w:fill="FFFFFF" w:themeFill="background1"/>
            <w:vAlign w:val="center"/>
          </w:tcPr>
          <w:p w:rsidR="00B77871" w:rsidRPr="00B623DB" w:rsidRDefault="00B77871" w:rsidP="00A026D2">
            <w:pPr>
              <w:pStyle w:val="TableText"/>
              <w:jc w:val="center"/>
              <w:rPr>
                <w:lang w:val="en-AU"/>
              </w:rPr>
            </w:pPr>
            <w:r w:rsidRPr="00B623DB">
              <w:rPr>
                <w:lang w:val="en-AU"/>
              </w:rPr>
              <w:t>Baseline</w:t>
            </w:r>
          </w:p>
          <w:p w:rsidR="00B77871" w:rsidRPr="00B623DB" w:rsidRDefault="00B77871" w:rsidP="00A026D2">
            <w:pPr>
              <w:pStyle w:val="TableText"/>
              <w:jc w:val="center"/>
              <w:rPr>
                <w:lang w:val="en-AU"/>
              </w:rPr>
            </w:pPr>
            <w:r w:rsidRPr="00B623DB">
              <w:rPr>
                <w:lang w:val="en-AU"/>
              </w:rPr>
              <w:t>(N=26)</w:t>
            </w:r>
          </w:p>
        </w:tc>
        <w:tc>
          <w:tcPr>
            <w:tcW w:w="801" w:type="pct"/>
            <w:tcBorders>
              <w:left w:val="single" w:sz="4" w:space="0" w:color="auto"/>
            </w:tcBorders>
            <w:shd w:val="clear" w:color="auto" w:fill="FFFFFF" w:themeFill="background1"/>
            <w:tcMar>
              <w:left w:w="57" w:type="dxa"/>
              <w:right w:w="57" w:type="dxa"/>
            </w:tcMar>
            <w:vAlign w:val="center"/>
          </w:tcPr>
          <w:p w:rsidR="00B77871" w:rsidRPr="00B623DB" w:rsidRDefault="00B77871" w:rsidP="00A026D2">
            <w:pPr>
              <w:pStyle w:val="TableText"/>
              <w:jc w:val="center"/>
              <w:rPr>
                <w:lang w:val="en-AU"/>
              </w:rPr>
            </w:pPr>
            <w:r w:rsidRPr="00B623DB">
              <w:rPr>
                <w:lang w:val="en-AU"/>
              </w:rPr>
              <w:t>3 Years</w:t>
            </w:r>
          </w:p>
          <w:p w:rsidR="00B77871" w:rsidRPr="00B623DB" w:rsidRDefault="00B77871" w:rsidP="00A026D2">
            <w:pPr>
              <w:pStyle w:val="TableText"/>
              <w:jc w:val="center"/>
              <w:rPr>
                <w:lang w:val="en-AU"/>
              </w:rPr>
            </w:pPr>
            <w:r w:rsidRPr="00B623DB">
              <w:rPr>
                <w:lang w:val="en-AU"/>
              </w:rPr>
              <w:t>(N=26)</w:t>
            </w:r>
          </w:p>
        </w:tc>
      </w:tr>
      <w:tr w:rsidR="00B77871" w:rsidRPr="00B623DB" w:rsidTr="00A026D2">
        <w:trPr>
          <w:trHeight w:val="23"/>
        </w:trPr>
        <w:tc>
          <w:tcPr>
            <w:tcW w:w="994" w:type="pct"/>
            <w:tcMar>
              <w:left w:w="57" w:type="dxa"/>
              <w:right w:w="57" w:type="dxa"/>
            </w:tcMar>
            <w:vAlign w:val="center"/>
          </w:tcPr>
          <w:p w:rsidR="00B77871" w:rsidRPr="00B623DB" w:rsidRDefault="00B77871" w:rsidP="00A026D2">
            <w:pPr>
              <w:pStyle w:val="TableText"/>
              <w:rPr>
                <w:lang w:val="en-AU"/>
              </w:rPr>
            </w:pPr>
            <w:r w:rsidRPr="00B623DB">
              <w:rPr>
                <w:lang w:val="en-AU"/>
              </w:rPr>
              <w:t xml:space="preserve">Global diary score, p-value </w:t>
            </w:r>
            <w:r w:rsidRPr="00B623DB">
              <w:rPr>
                <w:vertAlign w:val="superscript"/>
                <w:lang w:val="en-AU"/>
              </w:rPr>
              <w:t>a</w:t>
            </w:r>
          </w:p>
        </w:tc>
        <w:tc>
          <w:tcPr>
            <w:tcW w:w="801" w:type="pct"/>
            <w:tcMar>
              <w:left w:w="57" w:type="dxa"/>
              <w:right w:w="57" w:type="dxa"/>
            </w:tcMar>
            <w:vAlign w:val="center"/>
          </w:tcPr>
          <w:p w:rsidR="00B77871" w:rsidRPr="00B623DB" w:rsidRDefault="00B77871" w:rsidP="00A026D2">
            <w:pPr>
              <w:pStyle w:val="TableText"/>
              <w:jc w:val="center"/>
              <w:rPr>
                <w:lang w:val="en-AU"/>
              </w:rPr>
            </w:pPr>
            <w:r w:rsidRPr="00B623DB">
              <w:rPr>
                <w:lang w:val="en-AU"/>
              </w:rPr>
              <w:t>3.70 (2.16-4.84)</w:t>
            </w:r>
          </w:p>
        </w:tc>
        <w:tc>
          <w:tcPr>
            <w:tcW w:w="801" w:type="pct"/>
            <w:tcMar>
              <w:left w:w="57" w:type="dxa"/>
              <w:right w:w="57" w:type="dxa"/>
            </w:tcMar>
            <w:vAlign w:val="center"/>
          </w:tcPr>
          <w:p w:rsidR="00B77871" w:rsidRPr="00B623DB" w:rsidRDefault="00B77871" w:rsidP="00A026D2">
            <w:pPr>
              <w:pStyle w:val="TableText"/>
              <w:jc w:val="center"/>
              <w:rPr>
                <w:lang w:val="en-AU"/>
              </w:rPr>
            </w:pPr>
            <w:r w:rsidRPr="00B623DB">
              <w:rPr>
                <w:lang w:val="en-AU"/>
              </w:rPr>
              <w:t>0.79 (0.26-1.25), &lt;0.001</w:t>
            </w:r>
          </w:p>
        </w:tc>
        <w:tc>
          <w:tcPr>
            <w:tcW w:w="802" w:type="pct"/>
            <w:tcBorders>
              <w:right w:val="double" w:sz="4" w:space="0" w:color="auto"/>
            </w:tcBorders>
            <w:tcMar>
              <w:left w:w="57" w:type="dxa"/>
              <w:right w:w="57" w:type="dxa"/>
            </w:tcMar>
            <w:vAlign w:val="center"/>
          </w:tcPr>
          <w:p w:rsidR="00B77871" w:rsidRPr="00B623DB" w:rsidRDefault="00B77871" w:rsidP="00A026D2">
            <w:pPr>
              <w:pStyle w:val="TableText"/>
              <w:jc w:val="center"/>
              <w:rPr>
                <w:lang w:val="en-AU"/>
              </w:rPr>
            </w:pPr>
            <w:r w:rsidRPr="00B623DB">
              <w:rPr>
                <w:lang w:val="en-AU"/>
              </w:rPr>
              <w:t>0.26 (0.12-0.70)</w:t>
            </w:r>
          </w:p>
          <w:p w:rsidR="00B77871" w:rsidRPr="00B623DB" w:rsidRDefault="00B77871" w:rsidP="00A026D2">
            <w:pPr>
              <w:pStyle w:val="TableText"/>
              <w:jc w:val="center"/>
              <w:rPr>
                <w:lang w:val="en-AU"/>
              </w:rPr>
            </w:pPr>
            <w:r w:rsidRPr="00B623DB">
              <w:rPr>
                <w:lang w:val="en-AU"/>
              </w:rPr>
              <w:t>&lt;0.001</w:t>
            </w:r>
          </w:p>
        </w:tc>
        <w:tc>
          <w:tcPr>
            <w:tcW w:w="801" w:type="pct"/>
            <w:tcBorders>
              <w:right w:val="single" w:sz="4" w:space="0" w:color="auto"/>
            </w:tcBorders>
            <w:vAlign w:val="center"/>
          </w:tcPr>
          <w:p w:rsidR="00B77871" w:rsidRPr="00B623DB" w:rsidRDefault="00B77871" w:rsidP="00A026D2">
            <w:pPr>
              <w:pStyle w:val="TableText"/>
              <w:jc w:val="center"/>
              <w:rPr>
                <w:lang w:val="en-AU"/>
              </w:rPr>
            </w:pPr>
            <w:r w:rsidRPr="00B623DB">
              <w:rPr>
                <w:lang w:val="en-AU"/>
              </w:rPr>
              <w:t>0.8</w:t>
            </w:r>
          </w:p>
        </w:tc>
        <w:tc>
          <w:tcPr>
            <w:tcW w:w="801" w:type="pct"/>
            <w:tcBorders>
              <w:left w:val="single" w:sz="4" w:space="0" w:color="auto"/>
            </w:tcBorders>
            <w:tcMar>
              <w:left w:w="57" w:type="dxa"/>
              <w:right w:w="57" w:type="dxa"/>
            </w:tcMar>
            <w:vAlign w:val="center"/>
          </w:tcPr>
          <w:p w:rsidR="00B77871" w:rsidRPr="00B623DB" w:rsidRDefault="00B77871" w:rsidP="00A026D2">
            <w:pPr>
              <w:pStyle w:val="TableText"/>
              <w:jc w:val="center"/>
              <w:rPr>
                <w:lang w:val="en-AU"/>
              </w:rPr>
            </w:pPr>
            <w:r w:rsidRPr="00B623DB">
              <w:rPr>
                <w:lang w:val="en-AU"/>
              </w:rPr>
              <w:t>0.1</w:t>
            </w:r>
          </w:p>
          <w:p w:rsidR="00B77871" w:rsidRPr="00B623DB" w:rsidRDefault="00B77871" w:rsidP="00A026D2">
            <w:pPr>
              <w:pStyle w:val="TableText"/>
              <w:jc w:val="center"/>
              <w:rPr>
                <w:lang w:val="en-AU"/>
              </w:rPr>
            </w:pPr>
            <w:r w:rsidRPr="00B623DB">
              <w:rPr>
                <w:lang w:val="en-AU"/>
              </w:rPr>
              <w:t>&lt;0.001</w:t>
            </w:r>
          </w:p>
        </w:tc>
      </w:tr>
      <w:tr w:rsidR="00B77871" w:rsidRPr="00B623DB" w:rsidTr="00A026D2">
        <w:trPr>
          <w:trHeight w:val="23"/>
        </w:trPr>
        <w:tc>
          <w:tcPr>
            <w:tcW w:w="994" w:type="pct"/>
            <w:tcMar>
              <w:left w:w="57" w:type="dxa"/>
              <w:right w:w="57" w:type="dxa"/>
            </w:tcMar>
            <w:vAlign w:val="center"/>
          </w:tcPr>
          <w:p w:rsidR="00B77871" w:rsidRPr="00B623DB" w:rsidRDefault="00B77871" w:rsidP="00A026D2">
            <w:pPr>
              <w:pStyle w:val="TableText"/>
              <w:rPr>
                <w:vertAlign w:val="superscript"/>
                <w:lang w:val="en-AU"/>
              </w:rPr>
            </w:pPr>
            <w:r w:rsidRPr="00B623DB">
              <w:rPr>
                <w:lang w:val="en-AU"/>
              </w:rPr>
              <w:t xml:space="preserve">Parent Global assessment, VAS (mm), p-value </w:t>
            </w:r>
            <w:r w:rsidRPr="00B623DB">
              <w:rPr>
                <w:vertAlign w:val="superscript"/>
                <w:lang w:val="en-AU"/>
              </w:rPr>
              <w:t>b</w:t>
            </w:r>
          </w:p>
        </w:tc>
        <w:tc>
          <w:tcPr>
            <w:tcW w:w="801" w:type="pct"/>
            <w:tcMar>
              <w:left w:w="57" w:type="dxa"/>
              <w:right w:w="57" w:type="dxa"/>
            </w:tcMar>
            <w:vAlign w:val="center"/>
          </w:tcPr>
          <w:p w:rsidR="00B77871" w:rsidRPr="00B623DB" w:rsidRDefault="00B77871" w:rsidP="00A026D2">
            <w:pPr>
              <w:pStyle w:val="TableText"/>
              <w:jc w:val="center"/>
              <w:rPr>
                <w:lang w:val="en-AU"/>
              </w:rPr>
            </w:pPr>
            <w:r w:rsidRPr="00B623DB">
              <w:rPr>
                <w:lang w:val="en-AU"/>
              </w:rPr>
              <w:t>48.5 (23.5-52.0)</w:t>
            </w:r>
          </w:p>
        </w:tc>
        <w:tc>
          <w:tcPr>
            <w:tcW w:w="801" w:type="pct"/>
            <w:tcMar>
              <w:left w:w="57" w:type="dxa"/>
              <w:right w:w="57" w:type="dxa"/>
            </w:tcMar>
            <w:vAlign w:val="center"/>
          </w:tcPr>
          <w:p w:rsidR="00B77871" w:rsidRPr="00B623DB" w:rsidRDefault="00B77871" w:rsidP="00A026D2">
            <w:pPr>
              <w:pStyle w:val="TableText"/>
              <w:jc w:val="center"/>
              <w:rPr>
                <w:lang w:val="en-AU"/>
              </w:rPr>
            </w:pPr>
            <w:r w:rsidRPr="00B623DB">
              <w:rPr>
                <w:lang w:val="en-AU"/>
              </w:rPr>
              <w:t>10.0 (4.0-28.0)</w:t>
            </w:r>
          </w:p>
          <w:p w:rsidR="00B77871" w:rsidRPr="00B623DB" w:rsidRDefault="00B77871" w:rsidP="00A026D2">
            <w:pPr>
              <w:pStyle w:val="TableText"/>
              <w:jc w:val="center"/>
              <w:rPr>
                <w:lang w:val="en-AU"/>
              </w:rPr>
            </w:pPr>
            <w:r w:rsidRPr="00B623DB">
              <w:rPr>
                <w:lang w:val="en-AU"/>
              </w:rPr>
              <w:t>&lt;0.001</w:t>
            </w:r>
          </w:p>
        </w:tc>
        <w:tc>
          <w:tcPr>
            <w:tcW w:w="802" w:type="pct"/>
            <w:tcBorders>
              <w:right w:val="double" w:sz="4" w:space="0" w:color="auto"/>
            </w:tcBorders>
            <w:tcMar>
              <w:left w:w="57" w:type="dxa"/>
              <w:right w:w="57" w:type="dxa"/>
            </w:tcMar>
            <w:vAlign w:val="center"/>
          </w:tcPr>
          <w:p w:rsidR="00B77871" w:rsidRPr="00B623DB" w:rsidRDefault="00B77871" w:rsidP="00A026D2">
            <w:pPr>
              <w:pStyle w:val="TableText"/>
              <w:jc w:val="center"/>
              <w:rPr>
                <w:lang w:val="en-AU"/>
              </w:rPr>
            </w:pPr>
            <w:r w:rsidRPr="00B623DB">
              <w:rPr>
                <w:lang w:val="en-AU"/>
              </w:rPr>
              <w:t>5.5 (2.0-8.5)</w:t>
            </w:r>
          </w:p>
          <w:p w:rsidR="00B77871" w:rsidRPr="00B623DB" w:rsidRDefault="00B77871" w:rsidP="00A026D2">
            <w:pPr>
              <w:pStyle w:val="TableText"/>
              <w:jc w:val="center"/>
              <w:rPr>
                <w:lang w:val="en-AU"/>
              </w:rPr>
            </w:pPr>
            <w:r w:rsidRPr="00B623DB">
              <w:rPr>
                <w:lang w:val="en-AU"/>
              </w:rPr>
              <w:t>&lt;0.001</w:t>
            </w:r>
          </w:p>
        </w:tc>
        <w:tc>
          <w:tcPr>
            <w:tcW w:w="801" w:type="pct"/>
            <w:tcBorders>
              <w:right w:val="single" w:sz="4" w:space="0" w:color="auto"/>
            </w:tcBorders>
            <w:vAlign w:val="center"/>
          </w:tcPr>
          <w:p w:rsidR="00B77871" w:rsidRPr="00B623DB" w:rsidRDefault="00B77871" w:rsidP="00A026D2">
            <w:pPr>
              <w:pStyle w:val="TableText"/>
              <w:jc w:val="center"/>
              <w:rPr>
                <w:lang w:val="en-AU"/>
              </w:rPr>
            </w:pPr>
            <w:r w:rsidRPr="00B623DB">
              <w:rPr>
                <w:lang w:val="en-AU"/>
              </w:rPr>
              <w:t>40.5</w:t>
            </w:r>
          </w:p>
        </w:tc>
        <w:tc>
          <w:tcPr>
            <w:tcW w:w="801" w:type="pct"/>
            <w:tcBorders>
              <w:left w:val="single" w:sz="4" w:space="0" w:color="auto"/>
            </w:tcBorders>
            <w:tcMar>
              <w:left w:w="57" w:type="dxa"/>
              <w:right w:w="57" w:type="dxa"/>
            </w:tcMar>
            <w:vAlign w:val="center"/>
          </w:tcPr>
          <w:p w:rsidR="00B77871" w:rsidRPr="00B623DB" w:rsidRDefault="00B77871" w:rsidP="00A026D2">
            <w:pPr>
              <w:pStyle w:val="TableText"/>
              <w:jc w:val="center"/>
              <w:rPr>
                <w:lang w:val="en-AU"/>
              </w:rPr>
            </w:pPr>
            <w:r w:rsidRPr="00B623DB">
              <w:rPr>
                <w:lang w:val="en-AU"/>
              </w:rPr>
              <w:t>8.3</w:t>
            </w:r>
          </w:p>
          <w:p w:rsidR="00B77871" w:rsidRPr="00B623DB" w:rsidRDefault="00B77871" w:rsidP="00A026D2">
            <w:pPr>
              <w:pStyle w:val="TableText"/>
              <w:jc w:val="center"/>
              <w:rPr>
                <w:lang w:val="en-AU"/>
              </w:rPr>
            </w:pPr>
            <w:r w:rsidRPr="00B623DB">
              <w:rPr>
                <w:lang w:val="en-AU"/>
              </w:rPr>
              <w:t>&lt;0.001</w:t>
            </w:r>
          </w:p>
        </w:tc>
      </w:tr>
      <w:tr w:rsidR="00B77871" w:rsidRPr="00B623DB" w:rsidTr="00A026D2">
        <w:trPr>
          <w:trHeight w:val="23"/>
        </w:trPr>
        <w:tc>
          <w:tcPr>
            <w:tcW w:w="994" w:type="pct"/>
            <w:tcMar>
              <w:left w:w="57" w:type="dxa"/>
              <w:right w:w="57" w:type="dxa"/>
            </w:tcMar>
            <w:vAlign w:val="center"/>
          </w:tcPr>
          <w:p w:rsidR="00B77871" w:rsidRPr="00B623DB" w:rsidRDefault="00B77871" w:rsidP="00A026D2">
            <w:pPr>
              <w:pStyle w:val="TableText"/>
              <w:rPr>
                <w:vertAlign w:val="superscript"/>
                <w:lang w:val="en-AU"/>
              </w:rPr>
            </w:pPr>
            <w:r w:rsidRPr="00B623DB">
              <w:rPr>
                <w:lang w:val="en-AU"/>
              </w:rPr>
              <w:t xml:space="preserve">Physician Global assessment, VAS (mm), p-value </w:t>
            </w:r>
            <w:r w:rsidRPr="00B623DB">
              <w:rPr>
                <w:vertAlign w:val="superscript"/>
                <w:lang w:val="en-AU"/>
              </w:rPr>
              <w:t>b</w:t>
            </w:r>
          </w:p>
        </w:tc>
        <w:tc>
          <w:tcPr>
            <w:tcW w:w="801" w:type="pct"/>
            <w:tcMar>
              <w:left w:w="57" w:type="dxa"/>
              <w:right w:w="57" w:type="dxa"/>
            </w:tcMar>
            <w:vAlign w:val="center"/>
          </w:tcPr>
          <w:p w:rsidR="00B77871" w:rsidRPr="00B623DB" w:rsidRDefault="00B77871" w:rsidP="00A026D2">
            <w:pPr>
              <w:pStyle w:val="TableText"/>
              <w:jc w:val="center"/>
              <w:rPr>
                <w:lang w:val="en-AU"/>
              </w:rPr>
            </w:pPr>
            <w:r w:rsidRPr="00B623DB">
              <w:rPr>
                <w:lang w:val="en-AU"/>
              </w:rPr>
              <w:t>16.5 (8.0-32.0)</w:t>
            </w:r>
          </w:p>
        </w:tc>
        <w:tc>
          <w:tcPr>
            <w:tcW w:w="801" w:type="pct"/>
            <w:tcMar>
              <w:left w:w="57" w:type="dxa"/>
              <w:right w:w="57" w:type="dxa"/>
            </w:tcMar>
            <w:vAlign w:val="center"/>
          </w:tcPr>
          <w:p w:rsidR="00B77871" w:rsidRPr="00B623DB" w:rsidRDefault="00B77871" w:rsidP="00A026D2">
            <w:pPr>
              <w:pStyle w:val="TableText"/>
              <w:jc w:val="center"/>
              <w:rPr>
                <w:lang w:val="en-AU"/>
              </w:rPr>
            </w:pPr>
            <w:r w:rsidRPr="00B623DB">
              <w:rPr>
                <w:lang w:val="en-AU"/>
              </w:rPr>
              <w:t>9.0 (7.0-14.0)</w:t>
            </w:r>
          </w:p>
          <w:p w:rsidR="00B77871" w:rsidRPr="00B623DB" w:rsidRDefault="00B77871" w:rsidP="00A026D2">
            <w:pPr>
              <w:pStyle w:val="TableText"/>
              <w:jc w:val="center"/>
              <w:rPr>
                <w:lang w:val="en-AU"/>
              </w:rPr>
            </w:pPr>
            <w:r w:rsidRPr="00B623DB">
              <w:rPr>
                <w:lang w:val="en-AU"/>
              </w:rPr>
              <w:t>&lt;0.001</w:t>
            </w:r>
          </w:p>
        </w:tc>
        <w:tc>
          <w:tcPr>
            <w:tcW w:w="802" w:type="pct"/>
            <w:tcBorders>
              <w:right w:val="double" w:sz="4" w:space="0" w:color="auto"/>
            </w:tcBorders>
            <w:tcMar>
              <w:left w:w="57" w:type="dxa"/>
              <w:right w:w="57" w:type="dxa"/>
            </w:tcMar>
            <w:vAlign w:val="center"/>
          </w:tcPr>
          <w:p w:rsidR="00B77871" w:rsidRPr="00B623DB" w:rsidRDefault="00B77871" w:rsidP="00A026D2">
            <w:pPr>
              <w:pStyle w:val="TableText"/>
              <w:jc w:val="center"/>
              <w:rPr>
                <w:lang w:val="en-AU"/>
              </w:rPr>
            </w:pPr>
            <w:r w:rsidRPr="00B623DB">
              <w:rPr>
                <w:lang w:val="en-AU"/>
              </w:rPr>
              <w:t>4.5 (2.0-8.0)</w:t>
            </w:r>
          </w:p>
          <w:p w:rsidR="00B77871" w:rsidRPr="00B623DB" w:rsidRDefault="00B77871" w:rsidP="00A026D2">
            <w:pPr>
              <w:pStyle w:val="TableText"/>
              <w:jc w:val="center"/>
              <w:rPr>
                <w:lang w:val="en-AU"/>
              </w:rPr>
            </w:pPr>
            <w:r w:rsidRPr="00B623DB">
              <w:rPr>
                <w:lang w:val="en-AU"/>
              </w:rPr>
              <w:t>&lt;0.001</w:t>
            </w:r>
          </w:p>
        </w:tc>
        <w:tc>
          <w:tcPr>
            <w:tcW w:w="801" w:type="pct"/>
            <w:tcBorders>
              <w:right w:val="single" w:sz="4" w:space="0" w:color="auto"/>
            </w:tcBorders>
            <w:vAlign w:val="center"/>
          </w:tcPr>
          <w:p w:rsidR="00B77871" w:rsidRPr="00B623DB" w:rsidRDefault="00B77871" w:rsidP="00A026D2">
            <w:pPr>
              <w:pStyle w:val="TableText"/>
              <w:jc w:val="center"/>
              <w:rPr>
                <w:lang w:val="en-AU"/>
              </w:rPr>
            </w:pPr>
            <w:r w:rsidRPr="00B623DB">
              <w:rPr>
                <w:lang w:val="en-AU"/>
              </w:rPr>
              <w:t>NR</w:t>
            </w:r>
          </w:p>
        </w:tc>
        <w:tc>
          <w:tcPr>
            <w:tcW w:w="801" w:type="pct"/>
            <w:tcBorders>
              <w:left w:val="single" w:sz="4" w:space="0" w:color="auto"/>
            </w:tcBorders>
            <w:tcMar>
              <w:left w:w="57" w:type="dxa"/>
              <w:right w:w="57" w:type="dxa"/>
            </w:tcMar>
            <w:vAlign w:val="center"/>
          </w:tcPr>
          <w:p w:rsidR="00B77871" w:rsidRPr="00B623DB" w:rsidRDefault="00B77871" w:rsidP="00A026D2">
            <w:pPr>
              <w:pStyle w:val="TableText"/>
              <w:jc w:val="center"/>
              <w:rPr>
                <w:lang w:val="en-AU"/>
              </w:rPr>
            </w:pPr>
            <w:r w:rsidRPr="00B623DB">
              <w:rPr>
                <w:lang w:val="en-AU"/>
              </w:rPr>
              <w:t>NR</w:t>
            </w:r>
          </w:p>
          <w:p w:rsidR="00B77871" w:rsidRPr="00B623DB" w:rsidRDefault="00B77871" w:rsidP="00A026D2">
            <w:pPr>
              <w:pStyle w:val="TableText"/>
              <w:jc w:val="center"/>
              <w:rPr>
                <w:lang w:val="en-AU"/>
              </w:rPr>
            </w:pPr>
            <w:r w:rsidRPr="00B623DB">
              <w:rPr>
                <w:lang w:val="en-AU"/>
              </w:rPr>
              <w:t>&lt;0.001</w:t>
            </w:r>
          </w:p>
        </w:tc>
      </w:tr>
      <w:tr w:rsidR="00B77871" w:rsidRPr="00B623DB" w:rsidTr="00A026D2">
        <w:trPr>
          <w:trHeight w:val="23"/>
        </w:trPr>
        <w:tc>
          <w:tcPr>
            <w:tcW w:w="994" w:type="pct"/>
            <w:tcMar>
              <w:left w:w="57" w:type="dxa"/>
              <w:right w:w="57" w:type="dxa"/>
            </w:tcMar>
            <w:vAlign w:val="center"/>
          </w:tcPr>
          <w:p w:rsidR="00B77871" w:rsidRPr="00B623DB" w:rsidRDefault="00B77871" w:rsidP="00A026D2">
            <w:pPr>
              <w:pStyle w:val="TableText"/>
              <w:rPr>
                <w:lang w:val="en-AU"/>
              </w:rPr>
            </w:pPr>
            <w:r w:rsidRPr="00B623DB">
              <w:rPr>
                <w:lang w:val="en-AU"/>
              </w:rPr>
              <w:t>CRP, mg/L, p-value</w:t>
            </w:r>
          </w:p>
        </w:tc>
        <w:tc>
          <w:tcPr>
            <w:tcW w:w="801" w:type="pct"/>
            <w:tcMar>
              <w:left w:w="57" w:type="dxa"/>
              <w:right w:w="57" w:type="dxa"/>
            </w:tcMar>
            <w:vAlign w:val="center"/>
          </w:tcPr>
          <w:p w:rsidR="00B77871" w:rsidRPr="00B623DB" w:rsidRDefault="00B77871" w:rsidP="00A026D2">
            <w:pPr>
              <w:pStyle w:val="TableText"/>
              <w:jc w:val="center"/>
              <w:rPr>
                <w:lang w:val="en-AU"/>
              </w:rPr>
            </w:pPr>
            <w:r w:rsidRPr="00B623DB">
              <w:rPr>
                <w:lang w:val="en-AU"/>
              </w:rPr>
              <w:t>52.9 (40.0-105.0)</w:t>
            </w:r>
          </w:p>
        </w:tc>
        <w:tc>
          <w:tcPr>
            <w:tcW w:w="801" w:type="pct"/>
            <w:tcMar>
              <w:left w:w="57" w:type="dxa"/>
              <w:right w:w="57" w:type="dxa"/>
            </w:tcMar>
            <w:vAlign w:val="center"/>
          </w:tcPr>
          <w:p w:rsidR="00B77871" w:rsidRPr="00B623DB" w:rsidRDefault="00B77871" w:rsidP="00A026D2">
            <w:pPr>
              <w:pStyle w:val="TableText"/>
              <w:jc w:val="center"/>
              <w:rPr>
                <w:lang w:val="en-AU"/>
              </w:rPr>
            </w:pPr>
            <w:r w:rsidRPr="00B623DB">
              <w:rPr>
                <w:lang w:val="en-AU"/>
              </w:rPr>
              <w:t>9.3 (4.9-19.4)</w:t>
            </w:r>
            <w:r w:rsidRPr="00B623DB">
              <w:rPr>
                <w:lang w:val="en-AU"/>
              </w:rPr>
              <w:br/>
              <w:t>&lt;0.001</w:t>
            </w:r>
          </w:p>
        </w:tc>
        <w:tc>
          <w:tcPr>
            <w:tcW w:w="802" w:type="pct"/>
            <w:tcBorders>
              <w:right w:val="double" w:sz="4" w:space="0" w:color="auto"/>
            </w:tcBorders>
            <w:tcMar>
              <w:left w:w="57" w:type="dxa"/>
              <w:right w:w="57" w:type="dxa"/>
            </w:tcMar>
            <w:vAlign w:val="center"/>
          </w:tcPr>
          <w:p w:rsidR="00B77871" w:rsidRPr="00B623DB" w:rsidRDefault="00B77871" w:rsidP="00A026D2">
            <w:pPr>
              <w:pStyle w:val="TableText"/>
              <w:jc w:val="center"/>
              <w:rPr>
                <w:lang w:val="en-AU"/>
              </w:rPr>
            </w:pPr>
            <w:r w:rsidRPr="00B623DB">
              <w:rPr>
                <w:lang w:val="en-AU"/>
              </w:rPr>
              <w:t>4.0 (1.0-9.1)</w:t>
            </w:r>
          </w:p>
          <w:p w:rsidR="00B77871" w:rsidRPr="00B623DB" w:rsidRDefault="00B77871" w:rsidP="00A026D2">
            <w:pPr>
              <w:pStyle w:val="TableText"/>
              <w:jc w:val="center"/>
              <w:rPr>
                <w:lang w:val="en-AU"/>
              </w:rPr>
            </w:pPr>
            <w:r w:rsidRPr="00B623DB">
              <w:rPr>
                <w:lang w:val="en-AU"/>
              </w:rPr>
              <w:t>&lt;0.001</w:t>
            </w:r>
          </w:p>
        </w:tc>
        <w:tc>
          <w:tcPr>
            <w:tcW w:w="801" w:type="pct"/>
            <w:tcBorders>
              <w:right w:val="single" w:sz="4" w:space="0" w:color="auto"/>
            </w:tcBorders>
            <w:vAlign w:val="center"/>
          </w:tcPr>
          <w:p w:rsidR="00B77871" w:rsidRPr="00B623DB" w:rsidRDefault="00B77871" w:rsidP="00A026D2">
            <w:pPr>
              <w:pStyle w:val="TableText"/>
              <w:jc w:val="center"/>
              <w:rPr>
                <w:lang w:val="en-AU"/>
              </w:rPr>
            </w:pPr>
            <w:r w:rsidRPr="00B623DB">
              <w:rPr>
                <w:lang w:val="en-AU"/>
              </w:rPr>
              <w:t>57.7</w:t>
            </w:r>
          </w:p>
        </w:tc>
        <w:tc>
          <w:tcPr>
            <w:tcW w:w="801" w:type="pct"/>
            <w:tcBorders>
              <w:left w:val="single" w:sz="4" w:space="0" w:color="auto"/>
            </w:tcBorders>
            <w:tcMar>
              <w:left w:w="57" w:type="dxa"/>
              <w:right w:w="57" w:type="dxa"/>
            </w:tcMar>
            <w:vAlign w:val="center"/>
          </w:tcPr>
          <w:p w:rsidR="00B77871" w:rsidRPr="00B623DB" w:rsidRDefault="00B77871" w:rsidP="00A026D2">
            <w:pPr>
              <w:pStyle w:val="TableText"/>
              <w:jc w:val="center"/>
              <w:rPr>
                <w:lang w:val="en-AU"/>
              </w:rPr>
            </w:pPr>
            <w:r w:rsidRPr="00B623DB">
              <w:rPr>
                <w:lang w:val="en-AU"/>
              </w:rPr>
              <w:t>8.7</w:t>
            </w:r>
          </w:p>
          <w:p w:rsidR="00B77871" w:rsidRPr="00B623DB" w:rsidRDefault="00B77871" w:rsidP="00A026D2">
            <w:pPr>
              <w:pStyle w:val="TableText"/>
              <w:jc w:val="center"/>
              <w:rPr>
                <w:lang w:val="en-AU"/>
              </w:rPr>
            </w:pPr>
            <w:r w:rsidRPr="00B623DB">
              <w:rPr>
                <w:lang w:val="en-AU"/>
              </w:rPr>
              <w:t>&lt;0.001</w:t>
            </w:r>
          </w:p>
        </w:tc>
      </w:tr>
      <w:tr w:rsidR="00B77871" w:rsidRPr="00B623DB" w:rsidTr="00A026D2">
        <w:trPr>
          <w:trHeight w:val="23"/>
        </w:trPr>
        <w:tc>
          <w:tcPr>
            <w:tcW w:w="994" w:type="pct"/>
            <w:tcMar>
              <w:left w:w="57" w:type="dxa"/>
              <w:right w:w="57" w:type="dxa"/>
            </w:tcMar>
            <w:vAlign w:val="center"/>
          </w:tcPr>
          <w:p w:rsidR="00B77871" w:rsidRPr="00B623DB" w:rsidRDefault="00B77871" w:rsidP="00A026D2">
            <w:pPr>
              <w:pStyle w:val="TableText"/>
              <w:rPr>
                <w:lang w:val="en-AU"/>
              </w:rPr>
            </w:pPr>
            <w:r w:rsidRPr="00B623DB">
              <w:rPr>
                <w:lang w:val="en-AU"/>
              </w:rPr>
              <w:t>SAA, mg/L, p-value</w:t>
            </w:r>
          </w:p>
        </w:tc>
        <w:tc>
          <w:tcPr>
            <w:tcW w:w="801" w:type="pct"/>
            <w:tcMar>
              <w:left w:w="57" w:type="dxa"/>
              <w:right w:w="57" w:type="dxa"/>
            </w:tcMar>
            <w:vAlign w:val="center"/>
          </w:tcPr>
          <w:p w:rsidR="00B77871" w:rsidRPr="00B623DB" w:rsidRDefault="00B77871" w:rsidP="00A026D2">
            <w:pPr>
              <w:pStyle w:val="TableText"/>
              <w:jc w:val="center"/>
              <w:rPr>
                <w:lang w:val="en-AU"/>
              </w:rPr>
            </w:pPr>
            <w:r w:rsidRPr="00B623DB">
              <w:rPr>
                <w:lang w:val="en-AU"/>
              </w:rPr>
              <w:t>174 (131-436)</w:t>
            </w:r>
          </w:p>
        </w:tc>
        <w:tc>
          <w:tcPr>
            <w:tcW w:w="801" w:type="pct"/>
            <w:tcMar>
              <w:left w:w="57" w:type="dxa"/>
              <w:right w:w="57" w:type="dxa"/>
            </w:tcMar>
            <w:vAlign w:val="center"/>
          </w:tcPr>
          <w:p w:rsidR="00B77871" w:rsidRPr="00B623DB" w:rsidRDefault="00B77871" w:rsidP="00A026D2">
            <w:pPr>
              <w:pStyle w:val="TableText"/>
              <w:jc w:val="center"/>
              <w:rPr>
                <w:lang w:val="en-AU"/>
              </w:rPr>
            </w:pPr>
            <w:r w:rsidRPr="00B623DB">
              <w:rPr>
                <w:lang w:val="en-AU"/>
              </w:rPr>
              <w:t>25 (9-97)</w:t>
            </w:r>
          </w:p>
          <w:p w:rsidR="00B77871" w:rsidRPr="00B623DB" w:rsidRDefault="00B77871" w:rsidP="00A026D2">
            <w:pPr>
              <w:pStyle w:val="TableText"/>
              <w:jc w:val="center"/>
              <w:rPr>
                <w:lang w:val="en-AU"/>
              </w:rPr>
            </w:pPr>
            <w:r w:rsidRPr="00B623DB">
              <w:rPr>
                <w:lang w:val="en-AU"/>
              </w:rPr>
              <w:t>&lt;0.001</w:t>
            </w:r>
          </w:p>
        </w:tc>
        <w:tc>
          <w:tcPr>
            <w:tcW w:w="802" w:type="pct"/>
            <w:tcBorders>
              <w:right w:val="double" w:sz="4" w:space="0" w:color="auto"/>
            </w:tcBorders>
            <w:tcMar>
              <w:left w:w="57" w:type="dxa"/>
              <w:right w:w="57" w:type="dxa"/>
            </w:tcMar>
            <w:vAlign w:val="center"/>
          </w:tcPr>
          <w:p w:rsidR="00B77871" w:rsidRPr="00B623DB" w:rsidRDefault="00B77871" w:rsidP="00A026D2">
            <w:pPr>
              <w:pStyle w:val="TableText"/>
              <w:jc w:val="center"/>
              <w:rPr>
                <w:lang w:val="en-AU"/>
              </w:rPr>
            </w:pPr>
            <w:r w:rsidRPr="00B623DB">
              <w:rPr>
                <w:lang w:val="en-AU"/>
              </w:rPr>
              <w:t>6 (3-16)</w:t>
            </w:r>
          </w:p>
          <w:p w:rsidR="00B77871" w:rsidRPr="00B623DB" w:rsidRDefault="00B77871" w:rsidP="00A026D2">
            <w:pPr>
              <w:pStyle w:val="TableText"/>
              <w:jc w:val="center"/>
              <w:rPr>
                <w:lang w:val="en-AU"/>
              </w:rPr>
            </w:pPr>
            <w:r w:rsidRPr="00B623DB">
              <w:rPr>
                <w:lang w:val="en-AU"/>
              </w:rPr>
              <w:t>&lt;0.001</w:t>
            </w:r>
          </w:p>
        </w:tc>
        <w:tc>
          <w:tcPr>
            <w:tcW w:w="801" w:type="pct"/>
            <w:tcBorders>
              <w:right w:val="single" w:sz="4" w:space="0" w:color="auto"/>
            </w:tcBorders>
            <w:vAlign w:val="center"/>
          </w:tcPr>
          <w:p w:rsidR="00B77871" w:rsidRPr="00B623DB" w:rsidRDefault="00B77871" w:rsidP="00A026D2">
            <w:pPr>
              <w:pStyle w:val="TableText"/>
              <w:jc w:val="center"/>
              <w:rPr>
                <w:lang w:val="en-AU"/>
              </w:rPr>
            </w:pPr>
            <w:r w:rsidRPr="00B623DB">
              <w:rPr>
                <w:lang w:val="en-AU"/>
              </w:rPr>
              <w:t>220.4</w:t>
            </w:r>
          </w:p>
        </w:tc>
        <w:tc>
          <w:tcPr>
            <w:tcW w:w="801" w:type="pct"/>
            <w:tcBorders>
              <w:left w:val="single" w:sz="4" w:space="0" w:color="auto"/>
            </w:tcBorders>
            <w:tcMar>
              <w:left w:w="57" w:type="dxa"/>
              <w:right w:w="57" w:type="dxa"/>
            </w:tcMar>
            <w:vAlign w:val="center"/>
          </w:tcPr>
          <w:p w:rsidR="00B77871" w:rsidRPr="00B623DB" w:rsidRDefault="00B77871" w:rsidP="00A026D2">
            <w:pPr>
              <w:pStyle w:val="TableText"/>
              <w:jc w:val="center"/>
              <w:rPr>
                <w:lang w:val="en-AU"/>
              </w:rPr>
            </w:pPr>
            <w:r w:rsidRPr="00B623DB">
              <w:rPr>
                <w:lang w:val="en-AU"/>
              </w:rPr>
              <w:t>23.2</w:t>
            </w:r>
          </w:p>
          <w:p w:rsidR="00B77871" w:rsidRPr="00B623DB" w:rsidRDefault="00B77871" w:rsidP="00A026D2">
            <w:pPr>
              <w:pStyle w:val="TableText"/>
              <w:jc w:val="center"/>
              <w:rPr>
                <w:lang w:val="en-AU"/>
              </w:rPr>
            </w:pPr>
            <w:r w:rsidRPr="00B623DB">
              <w:rPr>
                <w:lang w:val="en-AU"/>
              </w:rPr>
              <w:t>&lt;0.001</w:t>
            </w:r>
          </w:p>
        </w:tc>
      </w:tr>
    </w:tbl>
    <w:p w:rsidR="00B77871" w:rsidRPr="00B623DB" w:rsidRDefault="00B77871" w:rsidP="00B77871">
      <w:pPr>
        <w:pStyle w:val="TableFooter"/>
      </w:pPr>
      <w:r w:rsidRPr="00B623DB">
        <w:rPr>
          <w:vertAlign w:val="superscript"/>
        </w:rPr>
        <w:t xml:space="preserve">a </w:t>
      </w:r>
      <w:r w:rsidRPr="00B623DB">
        <w:t>Score ranges from 0 to 20. A decrease in the score indicates an improvement of disease symptoms. P-value is for change from baseline</w:t>
      </w:r>
    </w:p>
    <w:p w:rsidR="00B77871" w:rsidRPr="00B623DB" w:rsidRDefault="00B77871" w:rsidP="00B77871">
      <w:pPr>
        <w:pStyle w:val="TableFooter"/>
      </w:pPr>
      <w:r w:rsidRPr="00B623DB">
        <w:rPr>
          <w:vertAlign w:val="superscript"/>
        </w:rPr>
        <w:t>b</w:t>
      </w:r>
      <w:r w:rsidRPr="00B623DB">
        <w:t> A visual analogue scale was used in which a value of 100mm indicates the worst possible measure for the condition assessed by the test. P-value is for change from baseline</w:t>
      </w:r>
    </w:p>
    <w:p w:rsidR="00B77871" w:rsidRPr="00B623DB" w:rsidRDefault="00B77871" w:rsidP="00B77871">
      <w:pPr>
        <w:pStyle w:val="TableFooter"/>
      </w:pPr>
      <w:r w:rsidRPr="00B623DB">
        <w:rPr>
          <w:vertAlign w:val="superscript"/>
        </w:rPr>
        <w:t>c</w:t>
      </w:r>
      <w:r w:rsidRPr="00B623DB">
        <w:t xml:space="preserve"> Mean values from Sibley (2012) were estimated during the evaluation from graphs included in Sibley 2012 using Web Plot Digitizer software</w:t>
      </w:r>
    </w:p>
    <w:p w:rsidR="00B77871" w:rsidRPr="00B623DB" w:rsidRDefault="00B77871" w:rsidP="00B77871">
      <w:pPr>
        <w:pStyle w:val="TableFooter"/>
      </w:pPr>
      <w:r w:rsidRPr="00B623DB">
        <w:t>Abbreviations: CRP, C-reactive protein; DAS, disease activity score; IQ, interquartile; MWS, Muckle-Wells syndrome; NS, not significant; SAA, serum amyloid A; SD, standard deviation; VAS, visual analogue scale.</w:t>
      </w:r>
    </w:p>
    <w:p w:rsidR="00B77871" w:rsidRPr="00B623DB" w:rsidRDefault="00B77871" w:rsidP="00B77871">
      <w:pPr>
        <w:pStyle w:val="TableFooter"/>
      </w:pPr>
      <w:r w:rsidRPr="00B623DB">
        <w:t>Source: Goldbach-Mansky 2006; Sibley 2012</w:t>
      </w:r>
    </w:p>
    <w:p w:rsidR="00B77871" w:rsidRPr="00B623DB" w:rsidRDefault="00B77871" w:rsidP="00C42C16">
      <w:pPr>
        <w:pStyle w:val="ListParagraph"/>
        <w:numPr>
          <w:ilvl w:val="1"/>
          <w:numId w:val="2"/>
        </w:numPr>
        <w:spacing w:before="0" w:after="120"/>
        <w:jc w:val="both"/>
      </w:pPr>
      <w:r w:rsidRPr="00B623DB">
        <w:t>In Kuemmerle-Deschner 2011, 12 patients with severe Muckle-Wells Syndrome were treated with anakinra for a median of 11 months. Efficacy was measured after 2 weeks of anakinra therapy (Table 8).</w:t>
      </w:r>
    </w:p>
    <w:p w:rsidR="00B77871" w:rsidRPr="00B623DB" w:rsidRDefault="00B77871" w:rsidP="00B77871">
      <w:pPr>
        <w:pStyle w:val="TableHeading0"/>
        <w:ind w:left="851" w:hanging="851"/>
        <w:jc w:val="both"/>
      </w:pPr>
      <w:r w:rsidRPr="00B623DB">
        <w:t>Table 8:</w:t>
      </w:r>
      <w:r w:rsidRPr="00B623DB">
        <w:tab/>
        <w:t xml:space="preserve">Change from baseline in Disease Activity Score and inflammation markers with anakinra therapy, Kuemmerle-Deschner 2011  </w:t>
      </w:r>
    </w:p>
    <w:tbl>
      <w:tblPr>
        <w:tblStyle w:val="TableGrid"/>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Change from baseline in Disease Activity Score and inflammation markers with anakinra therapy, Kuemmerle-Deschner 2011  "/>
      </w:tblPr>
      <w:tblGrid>
        <w:gridCol w:w="2695"/>
        <w:gridCol w:w="2125"/>
        <w:gridCol w:w="2124"/>
        <w:gridCol w:w="2126"/>
      </w:tblGrid>
      <w:tr w:rsidR="00B77871" w:rsidRPr="00B623DB" w:rsidTr="00233D88">
        <w:trPr>
          <w:cnfStyle w:val="100000000000" w:firstRow="1" w:lastRow="0" w:firstColumn="0" w:lastColumn="0" w:oddVBand="0" w:evenVBand="0" w:oddHBand="0" w:evenHBand="0" w:firstRowFirstColumn="0" w:firstRowLastColumn="0" w:lastRowFirstColumn="0" w:lastRowLastColumn="0"/>
          <w:trHeight w:val="235"/>
          <w:tblHeader/>
        </w:trPr>
        <w:tc>
          <w:tcPr>
            <w:tcW w:w="1485" w:type="pct"/>
            <w:shd w:val="clear" w:color="auto" w:fill="FFFFFF" w:themeFill="background1"/>
            <w:vAlign w:val="center"/>
          </w:tcPr>
          <w:p w:rsidR="00B77871" w:rsidRPr="00B623DB" w:rsidRDefault="00B77871" w:rsidP="00A026D2">
            <w:pPr>
              <w:pStyle w:val="TableText"/>
              <w:rPr>
                <w:lang w:val="en-AU"/>
              </w:rPr>
            </w:pPr>
            <w:r w:rsidRPr="00B623DB">
              <w:rPr>
                <w:lang w:val="en-AU"/>
              </w:rPr>
              <w:t>Outcome measure</w:t>
            </w:r>
          </w:p>
        </w:tc>
        <w:tc>
          <w:tcPr>
            <w:tcW w:w="1171" w:type="pct"/>
            <w:shd w:val="clear" w:color="auto" w:fill="FFFFFF" w:themeFill="background1"/>
            <w:vAlign w:val="center"/>
          </w:tcPr>
          <w:p w:rsidR="00B77871" w:rsidRPr="00B623DB" w:rsidRDefault="00B77871" w:rsidP="00A026D2">
            <w:pPr>
              <w:pStyle w:val="TableText"/>
              <w:jc w:val="center"/>
              <w:rPr>
                <w:lang w:val="en-AU"/>
              </w:rPr>
            </w:pPr>
            <w:r w:rsidRPr="00B623DB">
              <w:rPr>
                <w:lang w:val="en-AU"/>
              </w:rPr>
              <w:t xml:space="preserve">Baseline </w:t>
            </w:r>
            <w:r w:rsidRPr="00B623DB">
              <w:rPr>
                <w:lang w:val="en-AU"/>
              </w:rPr>
              <w:br/>
              <w:t>(N=12)</w:t>
            </w:r>
          </w:p>
        </w:tc>
        <w:tc>
          <w:tcPr>
            <w:tcW w:w="1171" w:type="pct"/>
            <w:shd w:val="clear" w:color="auto" w:fill="FFFFFF" w:themeFill="background1"/>
            <w:vAlign w:val="center"/>
          </w:tcPr>
          <w:p w:rsidR="00B77871" w:rsidRPr="00B623DB" w:rsidRDefault="00B77871" w:rsidP="00A026D2">
            <w:pPr>
              <w:pStyle w:val="TableText"/>
              <w:jc w:val="center"/>
              <w:rPr>
                <w:lang w:val="en-AU"/>
              </w:rPr>
            </w:pPr>
            <w:r w:rsidRPr="00B623DB">
              <w:rPr>
                <w:lang w:val="en-AU"/>
              </w:rPr>
              <w:t>Week 2</w:t>
            </w:r>
          </w:p>
          <w:p w:rsidR="00B77871" w:rsidRPr="00B623DB" w:rsidRDefault="00B77871" w:rsidP="00A026D2">
            <w:pPr>
              <w:pStyle w:val="TableText"/>
              <w:jc w:val="center"/>
              <w:rPr>
                <w:b w:val="0"/>
                <w:lang w:val="en-AU"/>
              </w:rPr>
            </w:pPr>
            <w:r w:rsidRPr="00B623DB">
              <w:rPr>
                <w:lang w:val="en-AU"/>
              </w:rPr>
              <w:t>(N=12)</w:t>
            </w:r>
          </w:p>
        </w:tc>
        <w:tc>
          <w:tcPr>
            <w:tcW w:w="1172" w:type="pct"/>
            <w:shd w:val="clear" w:color="auto" w:fill="FFFFFF" w:themeFill="background1"/>
            <w:vAlign w:val="center"/>
          </w:tcPr>
          <w:p w:rsidR="00B77871" w:rsidRPr="00B623DB" w:rsidRDefault="00B77871" w:rsidP="00A026D2">
            <w:pPr>
              <w:pStyle w:val="TableText"/>
              <w:jc w:val="center"/>
              <w:rPr>
                <w:lang w:val="en-AU"/>
              </w:rPr>
            </w:pPr>
            <w:r w:rsidRPr="00B623DB">
              <w:rPr>
                <w:lang w:val="en-AU"/>
              </w:rPr>
              <w:t>Last follow-up visit; median 11 months (N=12)</w:t>
            </w:r>
          </w:p>
        </w:tc>
      </w:tr>
      <w:tr w:rsidR="00B77871" w:rsidRPr="00B623DB" w:rsidTr="00A026D2">
        <w:trPr>
          <w:trHeight w:val="23"/>
        </w:trPr>
        <w:tc>
          <w:tcPr>
            <w:tcW w:w="1485" w:type="pct"/>
          </w:tcPr>
          <w:p w:rsidR="00B77871" w:rsidRPr="00B623DB" w:rsidRDefault="00B77871" w:rsidP="00A026D2">
            <w:pPr>
              <w:pStyle w:val="TableText"/>
              <w:rPr>
                <w:lang w:val="en-AU"/>
              </w:rPr>
            </w:pPr>
            <w:r w:rsidRPr="00B623DB">
              <w:rPr>
                <w:lang w:val="en-AU"/>
              </w:rPr>
              <w:t xml:space="preserve">MWS DAS, mean (SD), p-value </w:t>
            </w:r>
            <w:r w:rsidRPr="00B623DB">
              <w:rPr>
                <w:vertAlign w:val="superscript"/>
                <w:lang w:val="en-AU"/>
              </w:rPr>
              <w:t>a</w:t>
            </w:r>
          </w:p>
        </w:tc>
        <w:tc>
          <w:tcPr>
            <w:tcW w:w="1171" w:type="pct"/>
          </w:tcPr>
          <w:p w:rsidR="00B77871" w:rsidRPr="00B623DB" w:rsidRDefault="00B77871" w:rsidP="00A026D2">
            <w:pPr>
              <w:pStyle w:val="TableText"/>
              <w:jc w:val="center"/>
              <w:rPr>
                <w:lang w:val="en-AU"/>
              </w:rPr>
            </w:pPr>
            <w:r w:rsidRPr="00B623DB">
              <w:rPr>
                <w:lang w:val="en-AU"/>
              </w:rPr>
              <w:t>12.8 (2.2)</w:t>
            </w:r>
          </w:p>
        </w:tc>
        <w:tc>
          <w:tcPr>
            <w:tcW w:w="1171" w:type="pct"/>
          </w:tcPr>
          <w:p w:rsidR="00B77871" w:rsidRPr="00B623DB" w:rsidRDefault="00B77871" w:rsidP="00A026D2">
            <w:pPr>
              <w:pStyle w:val="TableText"/>
              <w:jc w:val="center"/>
              <w:rPr>
                <w:lang w:val="en-AU"/>
              </w:rPr>
            </w:pPr>
            <w:r w:rsidRPr="00B623DB">
              <w:rPr>
                <w:lang w:val="en-AU"/>
              </w:rPr>
              <w:t>3.2 (1.0), 0.005</w:t>
            </w:r>
          </w:p>
        </w:tc>
        <w:tc>
          <w:tcPr>
            <w:tcW w:w="1172" w:type="pct"/>
          </w:tcPr>
          <w:p w:rsidR="00B77871" w:rsidRPr="00B623DB" w:rsidRDefault="00B77871" w:rsidP="00A026D2">
            <w:pPr>
              <w:pStyle w:val="TableText"/>
              <w:jc w:val="center"/>
              <w:rPr>
                <w:lang w:val="en-AU"/>
              </w:rPr>
            </w:pPr>
            <w:r w:rsidRPr="00B623DB">
              <w:rPr>
                <w:lang w:val="en-AU"/>
              </w:rPr>
              <w:t>3.9 (3.2), &lt;0.0001</w:t>
            </w:r>
          </w:p>
        </w:tc>
      </w:tr>
      <w:tr w:rsidR="00B77871" w:rsidRPr="00B623DB" w:rsidTr="00A026D2">
        <w:trPr>
          <w:trHeight w:val="23"/>
        </w:trPr>
        <w:tc>
          <w:tcPr>
            <w:tcW w:w="1485" w:type="pct"/>
          </w:tcPr>
          <w:p w:rsidR="00B77871" w:rsidRPr="00B623DB" w:rsidRDefault="00B77871" w:rsidP="00A026D2">
            <w:pPr>
              <w:pStyle w:val="TableText"/>
              <w:rPr>
                <w:vertAlign w:val="superscript"/>
                <w:lang w:val="en-AU"/>
              </w:rPr>
            </w:pPr>
            <w:r w:rsidRPr="00B623DB">
              <w:rPr>
                <w:lang w:val="en-AU"/>
              </w:rPr>
              <w:t xml:space="preserve">Patient Global assessment, 10cm VAS, mean (SD), p-value </w:t>
            </w:r>
            <w:r w:rsidRPr="00B623DB">
              <w:rPr>
                <w:vertAlign w:val="superscript"/>
                <w:lang w:val="en-AU"/>
              </w:rPr>
              <w:t>b</w:t>
            </w:r>
          </w:p>
        </w:tc>
        <w:tc>
          <w:tcPr>
            <w:tcW w:w="1171" w:type="pct"/>
          </w:tcPr>
          <w:p w:rsidR="00B77871" w:rsidRPr="00B623DB" w:rsidRDefault="00B77871" w:rsidP="00A026D2">
            <w:pPr>
              <w:pStyle w:val="TableText"/>
              <w:jc w:val="center"/>
              <w:rPr>
                <w:lang w:val="en-AU"/>
              </w:rPr>
            </w:pPr>
            <w:r w:rsidRPr="00B623DB">
              <w:rPr>
                <w:lang w:val="en-AU"/>
              </w:rPr>
              <w:t>6.3 (2.0)</w:t>
            </w:r>
          </w:p>
        </w:tc>
        <w:tc>
          <w:tcPr>
            <w:tcW w:w="1171" w:type="pct"/>
          </w:tcPr>
          <w:p w:rsidR="00B77871" w:rsidRPr="00B623DB" w:rsidRDefault="00B77871" w:rsidP="00A026D2">
            <w:pPr>
              <w:pStyle w:val="TableText"/>
              <w:jc w:val="center"/>
              <w:rPr>
                <w:lang w:val="en-AU"/>
              </w:rPr>
            </w:pPr>
            <w:r w:rsidRPr="00B623DB">
              <w:rPr>
                <w:lang w:val="en-AU"/>
              </w:rPr>
              <w:t>2.8 (1.6), 0.0005</w:t>
            </w:r>
          </w:p>
        </w:tc>
        <w:tc>
          <w:tcPr>
            <w:tcW w:w="1172" w:type="pct"/>
          </w:tcPr>
          <w:p w:rsidR="00B77871" w:rsidRPr="00B623DB" w:rsidRDefault="00B77871" w:rsidP="00A026D2">
            <w:pPr>
              <w:pStyle w:val="TableText"/>
              <w:jc w:val="center"/>
              <w:rPr>
                <w:lang w:val="en-AU"/>
              </w:rPr>
            </w:pPr>
            <w:r w:rsidRPr="00B623DB">
              <w:rPr>
                <w:lang w:val="en-AU"/>
              </w:rPr>
              <w:t>2.5 (0.8), &lt;0.0001</w:t>
            </w:r>
          </w:p>
        </w:tc>
      </w:tr>
      <w:tr w:rsidR="00B77871" w:rsidRPr="00B623DB" w:rsidTr="00A026D2">
        <w:trPr>
          <w:trHeight w:val="23"/>
        </w:trPr>
        <w:tc>
          <w:tcPr>
            <w:tcW w:w="1485" w:type="pct"/>
          </w:tcPr>
          <w:p w:rsidR="00B77871" w:rsidRPr="00B623DB" w:rsidRDefault="00B77871" w:rsidP="00A026D2">
            <w:pPr>
              <w:pStyle w:val="TableText"/>
              <w:rPr>
                <w:vertAlign w:val="superscript"/>
                <w:lang w:val="en-AU"/>
              </w:rPr>
            </w:pPr>
            <w:r w:rsidRPr="00B623DB">
              <w:rPr>
                <w:lang w:val="en-AU"/>
              </w:rPr>
              <w:t xml:space="preserve">Physician Global assessment, 10cm VAS, mean (SD), p-value </w:t>
            </w:r>
            <w:r w:rsidRPr="00B623DB">
              <w:rPr>
                <w:vertAlign w:val="superscript"/>
                <w:lang w:val="en-AU"/>
              </w:rPr>
              <w:t>b</w:t>
            </w:r>
          </w:p>
        </w:tc>
        <w:tc>
          <w:tcPr>
            <w:tcW w:w="1171" w:type="pct"/>
          </w:tcPr>
          <w:p w:rsidR="00B77871" w:rsidRPr="00B623DB" w:rsidRDefault="00B77871" w:rsidP="00A026D2">
            <w:pPr>
              <w:pStyle w:val="TableText"/>
              <w:jc w:val="center"/>
              <w:rPr>
                <w:lang w:val="en-AU"/>
              </w:rPr>
            </w:pPr>
            <w:r w:rsidRPr="00B623DB">
              <w:rPr>
                <w:lang w:val="en-AU"/>
              </w:rPr>
              <w:t>7.3 (1.1)</w:t>
            </w:r>
          </w:p>
        </w:tc>
        <w:tc>
          <w:tcPr>
            <w:tcW w:w="1171" w:type="pct"/>
          </w:tcPr>
          <w:p w:rsidR="00B77871" w:rsidRPr="00B623DB" w:rsidRDefault="00B77871" w:rsidP="00A026D2">
            <w:pPr>
              <w:pStyle w:val="TableText"/>
              <w:jc w:val="center"/>
              <w:rPr>
                <w:lang w:val="en-AU"/>
              </w:rPr>
            </w:pPr>
            <w:r w:rsidRPr="00B623DB">
              <w:rPr>
                <w:lang w:val="en-AU"/>
              </w:rPr>
              <w:t>1.9 (1.3), 0.0005</w:t>
            </w:r>
          </w:p>
        </w:tc>
        <w:tc>
          <w:tcPr>
            <w:tcW w:w="1172" w:type="pct"/>
          </w:tcPr>
          <w:p w:rsidR="00B77871" w:rsidRPr="00B623DB" w:rsidRDefault="00B77871" w:rsidP="00A026D2">
            <w:pPr>
              <w:pStyle w:val="TableText"/>
              <w:jc w:val="center"/>
              <w:rPr>
                <w:lang w:val="en-AU"/>
              </w:rPr>
            </w:pPr>
            <w:r w:rsidRPr="00B623DB">
              <w:rPr>
                <w:lang w:val="en-AU"/>
              </w:rPr>
              <w:t>1.9 (1.1), &lt;0.0001</w:t>
            </w:r>
          </w:p>
        </w:tc>
      </w:tr>
      <w:tr w:rsidR="00B77871" w:rsidRPr="00B623DB" w:rsidTr="00A026D2">
        <w:trPr>
          <w:trHeight w:val="23"/>
        </w:trPr>
        <w:tc>
          <w:tcPr>
            <w:tcW w:w="1485" w:type="pct"/>
          </w:tcPr>
          <w:p w:rsidR="00B77871" w:rsidRPr="00B623DB" w:rsidRDefault="00B77871" w:rsidP="00A026D2">
            <w:pPr>
              <w:pStyle w:val="TableText"/>
              <w:rPr>
                <w:lang w:val="en-AU"/>
              </w:rPr>
            </w:pPr>
            <w:r w:rsidRPr="00B623DB">
              <w:rPr>
                <w:lang w:val="en-AU"/>
              </w:rPr>
              <w:t>CRP, mg/L, mean (SD), p-value</w:t>
            </w:r>
          </w:p>
        </w:tc>
        <w:tc>
          <w:tcPr>
            <w:tcW w:w="1171" w:type="pct"/>
          </w:tcPr>
          <w:p w:rsidR="00B77871" w:rsidRPr="00B623DB" w:rsidRDefault="00B77871" w:rsidP="00A026D2">
            <w:pPr>
              <w:pStyle w:val="TableText"/>
              <w:jc w:val="center"/>
              <w:rPr>
                <w:lang w:val="en-AU"/>
              </w:rPr>
            </w:pPr>
            <w:r w:rsidRPr="00B623DB">
              <w:rPr>
                <w:lang w:val="en-AU"/>
              </w:rPr>
              <w:t>21.1 (13.3)</w:t>
            </w:r>
          </w:p>
        </w:tc>
        <w:tc>
          <w:tcPr>
            <w:tcW w:w="1171" w:type="pct"/>
          </w:tcPr>
          <w:p w:rsidR="00B77871" w:rsidRPr="00B623DB" w:rsidRDefault="00B77871" w:rsidP="00A026D2">
            <w:pPr>
              <w:pStyle w:val="TableText"/>
              <w:jc w:val="center"/>
              <w:rPr>
                <w:lang w:val="en-AU"/>
              </w:rPr>
            </w:pPr>
            <w:r w:rsidRPr="00B623DB">
              <w:rPr>
                <w:lang w:val="en-AU"/>
              </w:rPr>
              <w:t>8.7 (18.6), NS</w:t>
            </w:r>
          </w:p>
        </w:tc>
        <w:tc>
          <w:tcPr>
            <w:tcW w:w="1172" w:type="pct"/>
          </w:tcPr>
          <w:p w:rsidR="00B77871" w:rsidRPr="00B623DB" w:rsidRDefault="00B77871" w:rsidP="00A026D2">
            <w:pPr>
              <w:pStyle w:val="TableText"/>
              <w:jc w:val="center"/>
              <w:rPr>
                <w:lang w:val="en-AU"/>
              </w:rPr>
            </w:pPr>
            <w:r w:rsidRPr="00B623DB">
              <w:rPr>
                <w:lang w:val="en-AU"/>
              </w:rPr>
              <w:t>4.4 (7.0), 0.0005</w:t>
            </w:r>
          </w:p>
        </w:tc>
      </w:tr>
      <w:tr w:rsidR="00B77871" w:rsidRPr="00B623DB" w:rsidTr="00A026D2">
        <w:trPr>
          <w:trHeight w:val="23"/>
        </w:trPr>
        <w:tc>
          <w:tcPr>
            <w:tcW w:w="1485" w:type="pct"/>
          </w:tcPr>
          <w:p w:rsidR="00B77871" w:rsidRPr="00B623DB" w:rsidRDefault="00B77871" w:rsidP="00A026D2">
            <w:pPr>
              <w:pStyle w:val="TableText"/>
              <w:rPr>
                <w:lang w:val="en-AU"/>
              </w:rPr>
            </w:pPr>
            <w:r w:rsidRPr="00B623DB">
              <w:rPr>
                <w:lang w:val="en-AU"/>
              </w:rPr>
              <w:t>SAA, mg/L, mean (SD), p-value</w:t>
            </w:r>
          </w:p>
        </w:tc>
        <w:tc>
          <w:tcPr>
            <w:tcW w:w="1171" w:type="pct"/>
          </w:tcPr>
          <w:p w:rsidR="00B77871" w:rsidRPr="00B623DB" w:rsidRDefault="00B77871" w:rsidP="00A026D2">
            <w:pPr>
              <w:pStyle w:val="TableText"/>
              <w:jc w:val="center"/>
              <w:rPr>
                <w:lang w:val="en-AU"/>
              </w:rPr>
            </w:pPr>
            <w:r w:rsidRPr="00B623DB">
              <w:rPr>
                <w:lang w:val="en-AU"/>
              </w:rPr>
              <w:t>36.5 (26.1)</w:t>
            </w:r>
          </w:p>
        </w:tc>
        <w:tc>
          <w:tcPr>
            <w:tcW w:w="1171" w:type="pct"/>
          </w:tcPr>
          <w:p w:rsidR="00B77871" w:rsidRPr="00B623DB" w:rsidRDefault="00B77871" w:rsidP="00A026D2">
            <w:pPr>
              <w:pStyle w:val="TableText"/>
              <w:jc w:val="center"/>
              <w:rPr>
                <w:lang w:val="en-AU"/>
              </w:rPr>
            </w:pPr>
            <w:r w:rsidRPr="00B623DB">
              <w:rPr>
                <w:lang w:val="en-AU"/>
              </w:rPr>
              <w:t>27.5 (70.5), NS</w:t>
            </w:r>
          </w:p>
        </w:tc>
        <w:tc>
          <w:tcPr>
            <w:tcW w:w="1172" w:type="pct"/>
          </w:tcPr>
          <w:p w:rsidR="00B77871" w:rsidRPr="00B623DB" w:rsidRDefault="00B77871" w:rsidP="00A026D2">
            <w:pPr>
              <w:pStyle w:val="TableText"/>
              <w:jc w:val="center"/>
              <w:rPr>
                <w:lang w:val="en-AU"/>
              </w:rPr>
            </w:pPr>
            <w:r w:rsidRPr="00B623DB">
              <w:rPr>
                <w:lang w:val="en-AU"/>
              </w:rPr>
              <w:t>6.6 (5.2), 0.001</w:t>
            </w:r>
          </w:p>
        </w:tc>
      </w:tr>
    </w:tbl>
    <w:p w:rsidR="00B77871" w:rsidRPr="00B623DB" w:rsidRDefault="00B77871" w:rsidP="00B77871">
      <w:pPr>
        <w:pStyle w:val="TableFooter"/>
      </w:pPr>
      <w:r w:rsidRPr="00B623DB">
        <w:rPr>
          <w:vertAlign w:val="superscript"/>
        </w:rPr>
        <w:t>a</w:t>
      </w:r>
      <w:r w:rsidRPr="00B623DB">
        <w:t xml:space="preserve"> Score ranges from 0 to 20. A decrease in the score indicates an improvement of disease symptoms. P-value is for change from baseline</w:t>
      </w:r>
    </w:p>
    <w:p w:rsidR="00B77871" w:rsidRPr="00B623DB" w:rsidRDefault="00B77871" w:rsidP="00B77871">
      <w:pPr>
        <w:pStyle w:val="TableFooter"/>
      </w:pPr>
      <w:r w:rsidRPr="00B623DB">
        <w:rPr>
          <w:vertAlign w:val="superscript"/>
        </w:rPr>
        <w:t>b</w:t>
      </w:r>
      <w:r w:rsidRPr="00B623DB">
        <w:t> 0 represents no disease activity and 10 represents maximum disease activity. P-value is for change from baseline</w:t>
      </w:r>
    </w:p>
    <w:p w:rsidR="00B77871" w:rsidRPr="00B623DB" w:rsidRDefault="00B77871" w:rsidP="00B77871">
      <w:pPr>
        <w:pStyle w:val="TableFooter"/>
      </w:pPr>
      <w:r w:rsidRPr="00B623DB">
        <w:t>Abbreviations: CRP, C-reactive protein; DAS, disease activity score; MWS, Muckle-Wells syndrome; NS, not significant; SAA, serum amyloid A; SD, standard deviation; VAS, visual analogue scale.</w:t>
      </w:r>
    </w:p>
    <w:p w:rsidR="00B77871" w:rsidRPr="00B623DB" w:rsidRDefault="00B77871" w:rsidP="00B77871">
      <w:pPr>
        <w:pStyle w:val="TableFooter"/>
      </w:pPr>
      <w:r w:rsidRPr="00B623DB">
        <w:t>Source: Table 2.77, p140 of the submission, Kuemmerle-Deschner et al 2011.</w:t>
      </w:r>
    </w:p>
    <w:p w:rsidR="00B77871" w:rsidRPr="00B623DB" w:rsidRDefault="00B77871" w:rsidP="00C42C16">
      <w:pPr>
        <w:pStyle w:val="ListParagraph"/>
        <w:numPr>
          <w:ilvl w:val="1"/>
          <w:numId w:val="2"/>
        </w:numPr>
        <w:spacing w:before="0" w:after="120"/>
        <w:jc w:val="both"/>
      </w:pPr>
      <w:r w:rsidRPr="00B623DB">
        <w:t>Ross (2008) reported data from 8 related adult patients with FCAS. Within one day after initiation of anakinra therapy, all 8 patients were free of FCAS-related symptoms, and remained symptom-free during the 4 week treatment period. A statistically significant change in C-</w:t>
      </w:r>
      <w:r w:rsidR="00045E39" w:rsidRPr="00B623DB">
        <w:t>r</w:t>
      </w:r>
      <w:r w:rsidRPr="00B623DB">
        <w:t xml:space="preserve">eactive </w:t>
      </w:r>
      <w:r w:rsidR="00045E39" w:rsidRPr="00B623DB">
        <w:t>p</w:t>
      </w:r>
      <w:r w:rsidRPr="00B623DB">
        <w:t xml:space="preserve">rotein (-14.38 mg/L, 95%CI -7.35, </w:t>
      </w:r>
      <w:r w:rsidR="001C3F64" w:rsidRPr="00B623DB">
        <w:br/>
      </w:r>
      <w:r w:rsidRPr="00B623DB">
        <w:t xml:space="preserve">-21.42) and serum </w:t>
      </w:r>
      <w:r w:rsidR="00087B35" w:rsidRPr="00B623DB">
        <w:t>a</w:t>
      </w:r>
      <w:r w:rsidRPr="00B623DB">
        <w:t>myloid A levels (results not reported) were observed from the pre-treatment to treatment phase. Statistically significant increases in CRP and SAA were observed after treatment withdrawal.</w:t>
      </w:r>
    </w:p>
    <w:p w:rsidR="00087B35" w:rsidRPr="00B623DB" w:rsidRDefault="00B77871" w:rsidP="00C42C16">
      <w:pPr>
        <w:pStyle w:val="ListParagraph"/>
        <w:numPr>
          <w:ilvl w:val="1"/>
          <w:numId w:val="2"/>
        </w:numPr>
        <w:spacing w:before="0" w:after="120"/>
        <w:jc w:val="both"/>
      </w:pPr>
      <w:r w:rsidRPr="00B623DB">
        <w:t xml:space="preserve">The primary efficacy outcome for Lepore </w:t>
      </w:r>
      <w:r w:rsidR="00087B35" w:rsidRPr="00B623DB">
        <w:t>(</w:t>
      </w:r>
      <w:r w:rsidRPr="00B623DB">
        <w:t>2010)</w:t>
      </w:r>
      <w:r w:rsidR="00087B35" w:rsidRPr="00B623DB">
        <w:t>, an Italian registry study,</w:t>
      </w:r>
      <w:r w:rsidRPr="00B623DB">
        <w:t xml:space="preserve"> was the change in clinical manifestations of CAPS before treatment to last follow up</w:t>
      </w:r>
      <w:r w:rsidR="00087B35" w:rsidRPr="00B623DB">
        <w:t>.</w:t>
      </w:r>
      <w:r w:rsidRPr="00B623DB">
        <w:t xml:space="preserve"> </w:t>
      </w:r>
      <w:r w:rsidR="00087B35" w:rsidRPr="00B623DB">
        <w:t xml:space="preserve">All anakinra-treated patients had immediate clinical response to treatment, with rash, fever, and arthritis disappearing within a few days, and with no relapse during follow-up. Lepore (2010) reported sustained normalisation of inflammatory markers (C-reactive protein and serum amyloid A; data not published). </w:t>
      </w:r>
    </w:p>
    <w:p w:rsidR="00B069C0" w:rsidRPr="00B623DB" w:rsidRDefault="00B069C0" w:rsidP="00C42C16">
      <w:pPr>
        <w:pStyle w:val="ListParagraph"/>
        <w:numPr>
          <w:ilvl w:val="1"/>
          <w:numId w:val="2"/>
        </w:numPr>
        <w:spacing w:before="0" w:after="120"/>
        <w:jc w:val="both"/>
      </w:pPr>
      <w:r w:rsidRPr="00B623DB">
        <w:t>The majority of patients in the nonrandomised anakinra studies showed improvements from baseline in measures of disease activity and inflammatory markers. However, given the small patient numbers and the open-label, single arm design of these studies, results must be interpreted with caution.</w:t>
      </w:r>
    </w:p>
    <w:p w:rsidR="00C317F3" w:rsidRPr="00B623DB" w:rsidRDefault="00C317F3" w:rsidP="00233BBF">
      <w:pPr>
        <w:pStyle w:val="Heading2"/>
        <w:numPr>
          <w:ilvl w:val="0"/>
          <w:numId w:val="0"/>
        </w:numPr>
        <w:rPr>
          <w:i w:val="0"/>
        </w:rPr>
      </w:pPr>
      <w:bookmarkStart w:id="16" w:name="_Toc413139279"/>
      <w:bookmarkStart w:id="17" w:name="_Toc492307658"/>
      <w:r w:rsidRPr="00B623DB">
        <w:rPr>
          <w:i w:val="0"/>
        </w:rPr>
        <w:t>Comparative harms</w:t>
      </w:r>
      <w:bookmarkEnd w:id="16"/>
      <w:bookmarkEnd w:id="17"/>
    </w:p>
    <w:p w:rsidR="00616DBC" w:rsidRPr="00B623DB" w:rsidRDefault="00616DBC" w:rsidP="00C42C16">
      <w:pPr>
        <w:pStyle w:val="ListParagraph"/>
        <w:numPr>
          <w:ilvl w:val="1"/>
          <w:numId w:val="2"/>
        </w:numPr>
        <w:spacing w:before="0" w:after="120"/>
        <w:jc w:val="both"/>
      </w:pPr>
      <w:r w:rsidRPr="00B623DB">
        <w:t xml:space="preserve">Adverse events observed in the canakinumab studies were generally mild to moderate and transient. The most commonly reported adverse events were infections (respiratory, wound infections), gastrointestinal symptoms such as abdominal pain or diarrhoea, and headache. There were no treatment-related deaths in any of the canakinumab studies and very few discontinuations due to adverse events. </w:t>
      </w:r>
    </w:p>
    <w:p w:rsidR="00C317F3" w:rsidRPr="00B623DB" w:rsidRDefault="00616DBC" w:rsidP="00C42C16">
      <w:pPr>
        <w:pStyle w:val="ListParagraph"/>
        <w:numPr>
          <w:ilvl w:val="1"/>
          <w:numId w:val="2"/>
        </w:numPr>
        <w:spacing w:before="0" w:after="120"/>
        <w:jc w:val="both"/>
      </w:pPr>
      <w:r w:rsidRPr="00B623DB">
        <w:t xml:space="preserve">Adverse events reported in the anakinra studies included localised injection site reactions, as well as infections, gastrointestinal symptoms, headache, and rash. Injection site reactions occurred mostly during the first few weeks of anakinra treatment. </w:t>
      </w:r>
    </w:p>
    <w:p w:rsidR="00C317F3" w:rsidRPr="00B623DB" w:rsidRDefault="008058E8" w:rsidP="00233BBF">
      <w:pPr>
        <w:pStyle w:val="Heading2"/>
        <w:numPr>
          <w:ilvl w:val="0"/>
          <w:numId w:val="0"/>
        </w:numPr>
        <w:rPr>
          <w:i w:val="0"/>
        </w:rPr>
      </w:pPr>
      <w:bookmarkStart w:id="18" w:name="_Toc492307659"/>
      <w:r w:rsidRPr="00B623DB">
        <w:rPr>
          <w:i w:val="0"/>
        </w:rPr>
        <w:t>Interpretation of clinical evidence</w:t>
      </w:r>
      <w:bookmarkEnd w:id="18"/>
    </w:p>
    <w:p w:rsidR="00BF144E" w:rsidRPr="00B623DB" w:rsidRDefault="00BF144E" w:rsidP="00C42C16">
      <w:pPr>
        <w:pStyle w:val="ListParagraph"/>
        <w:numPr>
          <w:ilvl w:val="1"/>
          <w:numId w:val="2"/>
        </w:numPr>
        <w:spacing w:before="0" w:after="120"/>
        <w:jc w:val="both"/>
      </w:pPr>
      <w:r w:rsidRPr="00B623DB">
        <w:t>The submission claimed that canakinumab and anakinra both show effectiveness and show comparable safety profiles in the treatment of CAPS, and can be considered equivalent.</w:t>
      </w:r>
      <w:r w:rsidR="003D008A" w:rsidRPr="00B623DB">
        <w:t xml:space="preserve"> The submission added that canakinumab has a significantly reduced injection burden when compared with anakinra for the treatment of CAPS (1 subcutaneous injection every 8 weeks versus 1 subcutaneous injection per day). </w:t>
      </w:r>
    </w:p>
    <w:p w:rsidR="00F36C04" w:rsidRPr="00B623DB" w:rsidRDefault="00766375" w:rsidP="00C42C16">
      <w:pPr>
        <w:pStyle w:val="ListParagraph"/>
        <w:numPr>
          <w:ilvl w:val="1"/>
          <w:numId w:val="2"/>
        </w:numPr>
        <w:spacing w:before="0" w:after="120"/>
        <w:jc w:val="both"/>
      </w:pPr>
      <w:r w:rsidRPr="00B623DB">
        <w:t xml:space="preserve"> There was limited evidence presented in the submission to support the therapeutic conclusion. Although</w:t>
      </w:r>
      <w:r w:rsidR="003D008A" w:rsidRPr="00B623DB">
        <w:t xml:space="preserve"> canakinumab and anakinra both show effectiveness in the treatment of CAPS</w:t>
      </w:r>
      <w:r w:rsidR="00B069C0" w:rsidRPr="00B623DB">
        <w:t xml:space="preserve"> and similar safety profiles</w:t>
      </w:r>
      <w:r w:rsidR="003D008A" w:rsidRPr="00B623DB">
        <w:t xml:space="preserve">, the lack of comparable outcomes </w:t>
      </w:r>
      <w:r w:rsidRPr="00B623DB">
        <w:t>meant that it was difficult to draw conclusions in regards to the submission’s claim of equivalent efficacy or safety</w:t>
      </w:r>
      <w:r w:rsidR="003D008A" w:rsidRPr="00B623DB">
        <w:t>.</w:t>
      </w:r>
      <w:r w:rsidR="00167DD1" w:rsidRPr="00B623DB">
        <w:t xml:space="preserve"> The ESC agreed that while the clinical evidence</w:t>
      </w:r>
      <w:r w:rsidR="00A81E46" w:rsidRPr="00B623DB">
        <w:t xml:space="preserve"> for canakinumab</w:t>
      </w:r>
      <w:r w:rsidR="00167DD1" w:rsidRPr="00B623DB">
        <w:t xml:space="preserve"> presented in the submission </w:t>
      </w:r>
      <w:r w:rsidR="00A81E46" w:rsidRPr="00B623DB">
        <w:t xml:space="preserve">supports an effect in the treatment of CAPS, </w:t>
      </w:r>
      <w:r w:rsidR="00654AA7" w:rsidRPr="00B623DB">
        <w:t xml:space="preserve">the claim that canakinumab is as effective as anakinra in the treatment of CAPS is </w:t>
      </w:r>
      <w:r w:rsidR="007812BA" w:rsidRPr="00B623DB">
        <w:t>uncertain</w:t>
      </w:r>
      <w:r w:rsidR="00654AA7" w:rsidRPr="00B623DB">
        <w:t xml:space="preserve">. </w:t>
      </w:r>
      <w:r w:rsidR="00DF6DB3" w:rsidRPr="00B623DB">
        <w:t xml:space="preserve">The ESC noted that </w:t>
      </w:r>
      <w:r w:rsidR="008D620F" w:rsidRPr="00B623DB">
        <w:t xml:space="preserve">as </w:t>
      </w:r>
      <w:r w:rsidR="00530FB3" w:rsidRPr="00B623DB">
        <w:t>many studies were</w:t>
      </w:r>
      <w:r w:rsidR="00D215EF" w:rsidRPr="00B623DB">
        <w:t xml:space="preserve"> single arm</w:t>
      </w:r>
      <w:r w:rsidR="00446781" w:rsidRPr="00B623DB">
        <w:t xml:space="preserve"> (with the exception of part II of study D2304), different patient baseline characteristics,</w:t>
      </w:r>
      <w:r w:rsidR="00AB0C4C" w:rsidRPr="00B623DB">
        <w:t xml:space="preserve"> </w:t>
      </w:r>
      <w:r w:rsidR="00530FB3" w:rsidRPr="00B623DB">
        <w:t xml:space="preserve">different </w:t>
      </w:r>
      <w:r w:rsidR="00446781" w:rsidRPr="00B623DB">
        <w:t>treatment regimens</w:t>
      </w:r>
      <w:r w:rsidR="006B6327" w:rsidRPr="00B623DB">
        <w:t>/dosing</w:t>
      </w:r>
      <w:r w:rsidR="00446781" w:rsidRPr="00B623DB">
        <w:t xml:space="preserve"> and </w:t>
      </w:r>
      <w:r w:rsidR="00530FB3" w:rsidRPr="00B623DB">
        <w:t xml:space="preserve">different </w:t>
      </w:r>
      <w:r w:rsidR="006B6327" w:rsidRPr="00B623DB">
        <w:t xml:space="preserve">study </w:t>
      </w:r>
      <w:r w:rsidR="00446781" w:rsidRPr="00B623DB">
        <w:t>follow up</w:t>
      </w:r>
      <w:r w:rsidR="006B6327" w:rsidRPr="00B623DB">
        <w:t xml:space="preserve"> durations,</w:t>
      </w:r>
      <w:r w:rsidR="00DF6DB3" w:rsidRPr="00B623DB">
        <w:t xml:space="preserve"> it was not possible </w:t>
      </w:r>
      <w:r w:rsidR="000D5DA0" w:rsidRPr="00B623DB">
        <w:t xml:space="preserve">to conduct an indirect comparison of canakinumab and anakinra. </w:t>
      </w:r>
      <w:r w:rsidR="00204140" w:rsidRPr="00B623DB">
        <w:t xml:space="preserve">The ESC </w:t>
      </w:r>
      <w:r w:rsidR="00754821" w:rsidRPr="00B623DB">
        <w:t>also</w:t>
      </w:r>
      <w:r w:rsidR="00204140" w:rsidRPr="00B623DB">
        <w:t xml:space="preserve"> noted</w:t>
      </w:r>
      <w:r w:rsidR="00A8484C" w:rsidRPr="00B623DB">
        <w:t xml:space="preserve"> </w:t>
      </w:r>
      <w:r w:rsidR="008D620F" w:rsidRPr="00B623DB">
        <w:t>that the p</w:t>
      </w:r>
      <w:r w:rsidR="003C38CF" w:rsidRPr="00B623DB">
        <w:t>atient population of study D2304 (part II)</w:t>
      </w:r>
      <w:r w:rsidR="002B2CAF" w:rsidRPr="00B623DB">
        <w:t xml:space="preserve"> were not</w:t>
      </w:r>
      <w:r w:rsidR="00BB60C5" w:rsidRPr="00B623DB">
        <w:t xml:space="preserve"> treatment naïve and therefore </w:t>
      </w:r>
      <w:r w:rsidR="003C38CF" w:rsidRPr="00B623DB">
        <w:t xml:space="preserve">not comparable </w:t>
      </w:r>
      <w:r w:rsidR="00CD33C2" w:rsidRPr="00B623DB">
        <w:t xml:space="preserve">with the </w:t>
      </w:r>
      <w:r w:rsidR="002B2CAF" w:rsidRPr="00B623DB">
        <w:t xml:space="preserve">treatment naïve </w:t>
      </w:r>
      <w:r w:rsidR="00CD33C2" w:rsidRPr="00B623DB">
        <w:t xml:space="preserve">patient populations </w:t>
      </w:r>
      <w:r w:rsidR="00523171" w:rsidRPr="00B623DB">
        <w:t xml:space="preserve">of the single-arm anakinra studies (Sibley 2012, </w:t>
      </w:r>
      <w:r w:rsidR="00CD33C2" w:rsidRPr="00B623DB">
        <w:t>Goldbach-Mansky 2006 &amp;</w:t>
      </w:r>
      <w:r w:rsidR="003806F7" w:rsidRPr="00B623DB">
        <w:t xml:space="preserve"> Kuemmerle-Deschner 2011)</w:t>
      </w:r>
      <w:r w:rsidR="002B2CAF" w:rsidRPr="00B623DB">
        <w:t xml:space="preserve">. </w:t>
      </w:r>
      <w:r w:rsidR="000E2B2E" w:rsidRPr="00B623DB">
        <w:t xml:space="preserve">Given the objective inflammatory biomarker assessments of C-reactive protein in the trials, </w:t>
      </w:r>
      <w:r w:rsidR="00F6373A" w:rsidRPr="00B623DB">
        <w:t xml:space="preserve">the </w:t>
      </w:r>
      <w:r w:rsidR="000E2B2E" w:rsidRPr="00B623DB">
        <w:t xml:space="preserve">ESC </w:t>
      </w:r>
      <w:r w:rsidR="006B6327" w:rsidRPr="00B623DB">
        <w:t>considered it would be informative to have a</w:t>
      </w:r>
      <w:r w:rsidR="000E2B2E" w:rsidRPr="00B623DB">
        <w:t xml:space="preserve"> table of the </w:t>
      </w:r>
      <w:r w:rsidR="00DE13F2" w:rsidRPr="00B623DB">
        <w:t xml:space="preserve">change from baseline in </w:t>
      </w:r>
      <w:r w:rsidR="00AB31BA" w:rsidRPr="00B623DB">
        <w:t>inflammatory marker CRP</w:t>
      </w:r>
      <w:r w:rsidR="00C32E63" w:rsidRPr="00B623DB">
        <w:t xml:space="preserve"> </w:t>
      </w:r>
      <w:r w:rsidR="006B6327" w:rsidRPr="00B623DB">
        <w:t>from some of the available evidence (</w:t>
      </w:r>
      <w:r w:rsidR="00446781" w:rsidRPr="00B623DB">
        <w:t xml:space="preserve">canakinumab </w:t>
      </w:r>
      <w:r w:rsidR="00C32E63" w:rsidRPr="00B623DB">
        <w:t>and anakinra studies</w:t>
      </w:r>
      <w:r w:rsidR="006B6327" w:rsidRPr="00B623DB">
        <w:t xml:space="preserve">, </w:t>
      </w:r>
      <w:r w:rsidR="00C32E63" w:rsidRPr="00B623DB">
        <w:t>Table 9</w:t>
      </w:r>
      <w:r w:rsidR="000E2B2E" w:rsidRPr="00B623DB">
        <w:t>)</w:t>
      </w:r>
      <w:r w:rsidR="00C32E63" w:rsidRPr="00B623DB">
        <w:t>.</w:t>
      </w:r>
    </w:p>
    <w:p w:rsidR="003D008A" w:rsidRPr="00B623DB" w:rsidRDefault="00F36C04" w:rsidP="00F36C04">
      <w:pPr>
        <w:spacing w:before="0" w:line="259" w:lineRule="auto"/>
        <w:rPr>
          <w:i/>
        </w:rPr>
      </w:pPr>
      <w:r w:rsidRPr="00B623DB">
        <w:rPr>
          <w:i/>
        </w:rPr>
        <w:br w:type="page"/>
      </w:r>
    </w:p>
    <w:p w:rsidR="00C32E63" w:rsidRPr="00B623DB" w:rsidRDefault="001B2CDF" w:rsidP="00462E31">
      <w:pPr>
        <w:spacing w:before="0" w:after="40"/>
        <w:jc w:val="both"/>
        <w:rPr>
          <w:rFonts w:ascii="Arial Narrow" w:hAnsi="Arial Narrow"/>
          <w:b/>
          <w:sz w:val="20"/>
        </w:rPr>
      </w:pPr>
      <w:r w:rsidRPr="00B623DB">
        <w:rPr>
          <w:rFonts w:ascii="Arial Narrow" w:hAnsi="Arial Narrow"/>
          <w:b/>
          <w:sz w:val="20"/>
        </w:rPr>
        <w:t xml:space="preserve">Table 9: </w:t>
      </w:r>
      <w:r w:rsidR="003019F1" w:rsidRPr="00B623DB">
        <w:rPr>
          <w:rFonts w:ascii="Arial Narrow" w:hAnsi="Arial Narrow"/>
          <w:b/>
          <w:sz w:val="20"/>
        </w:rPr>
        <w:t>Change from baseline in inflammatory marker CRP</w:t>
      </w:r>
      <w:r w:rsidR="00446781" w:rsidRPr="00B623DB">
        <w:rPr>
          <w:rFonts w:ascii="Arial Narrow" w:hAnsi="Arial Narrow"/>
          <w:b/>
          <w:sz w:val="20"/>
        </w:rPr>
        <w:t xml:space="preserve"> </w:t>
      </w:r>
    </w:p>
    <w:tbl>
      <w:tblPr>
        <w:tblW w:w="8554" w:type="dxa"/>
        <w:tblInd w:w="93" w:type="dxa"/>
        <w:tblLook w:val="04A0" w:firstRow="1" w:lastRow="0" w:firstColumn="1" w:lastColumn="0" w:noHBand="0" w:noVBand="1"/>
      </w:tblPr>
      <w:tblGrid>
        <w:gridCol w:w="1771"/>
        <w:gridCol w:w="1596"/>
        <w:gridCol w:w="1109"/>
        <w:gridCol w:w="1322"/>
        <w:gridCol w:w="1559"/>
        <w:gridCol w:w="1197"/>
      </w:tblGrid>
      <w:tr w:rsidR="00CB5603" w:rsidRPr="00B623DB" w:rsidTr="006255A9">
        <w:trPr>
          <w:trHeight w:val="1095"/>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59F" w:rsidRPr="00B623DB" w:rsidRDefault="0051659F" w:rsidP="0051659F">
            <w:pPr>
              <w:spacing w:before="0" w:after="0"/>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 </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51659F" w:rsidRPr="00B623DB" w:rsidRDefault="0051659F" w:rsidP="0051659F">
            <w:pPr>
              <w:spacing w:before="0" w:after="0"/>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Trial name</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51659F" w:rsidRPr="00B623DB" w:rsidRDefault="0051659F" w:rsidP="0051659F">
            <w:pPr>
              <w:spacing w:before="0" w:after="0"/>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Study duration</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51659F" w:rsidRPr="00B623DB" w:rsidRDefault="0051659F" w:rsidP="0051659F">
            <w:pPr>
              <w:spacing w:before="0" w:after="0"/>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CRP mg/L at baseline, mean (SD)</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1659F" w:rsidRPr="00B623DB" w:rsidRDefault="0051659F" w:rsidP="0051659F">
            <w:pPr>
              <w:spacing w:before="0" w:after="0"/>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CRP mg/L at last assessment, mean (SD)</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51659F" w:rsidRPr="00B623DB" w:rsidRDefault="0051659F" w:rsidP="0051659F">
            <w:pPr>
              <w:spacing w:before="0" w:after="0"/>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CRP mg/mL change from baseline, mean (SD)</w:t>
            </w:r>
          </w:p>
        </w:tc>
      </w:tr>
      <w:tr w:rsidR="0064019C" w:rsidRPr="00B623DB" w:rsidTr="006255A9">
        <w:trPr>
          <w:trHeight w:val="1027"/>
        </w:trPr>
        <w:tc>
          <w:tcPr>
            <w:tcW w:w="1771" w:type="dxa"/>
            <w:vMerge w:val="restart"/>
            <w:tcBorders>
              <w:top w:val="nil"/>
              <w:left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b/>
                <w:bCs/>
                <w:iCs/>
                <w:color w:val="000000"/>
                <w:sz w:val="20"/>
                <w:szCs w:val="20"/>
                <w:lang w:eastAsia="en-AU"/>
              </w:rPr>
            </w:pPr>
            <w:r w:rsidRPr="00B623DB">
              <w:rPr>
                <w:rFonts w:ascii="Arial Narrow" w:eastAsia="Times New Roman" w:hAnsi="Arial Narrow" w:cs="Times New Roman"/>
                <w:b/>
                <w:bCs/>
                <w:iCs/>
                <w:color w:val="000000"/>
                <w:sz w:val="20"/>
                <w:szCs w:val="20"/>
                <w:lang w:eastAsia="en-AU"/>
              </w:rPr>
              <w:t>Canakinumab</w:t>
            </w:r>
          </w:p>
        </w:tc>
        <w:tc>
          <w:tcPr>
            <w:tcW w:w="1596"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1C3F64">
            <w:pPr>
              <w:spacing w:before="0" w:after="0"/>
              <w:rPr>
                <w:rFonts w:ascii="Arial Narrow" w:eastAsia="Times New Roman" w:hAnsi="Arial Narrow" w:cs="Times New Roman"/>
                <w:b/>
                <w:bCs/>
                <w:iCs/>
                <w:color w:val="000000"/>
                <w:sz w:val="20"/>
                <w:szCs w:val="20"/>
                <w:lang w:eastAsia="en-AU"/>
              </w:rPr>
            </w:pPr>
            <w:r w:rsidRPr="00B623DB">
              <w:rPr>
                <w:rFonts w:ascii="Arial Narrow" w:eastAsia="Times New Roman" w:hAnsi="Arial Narrow" w:cs="Times New Roman"/>
                <w:b/>
                <w:bCs/>
                <w:iCs/>
                <w:color w:val="000000"/>
                <w:sz w:val="20"/>
                <w:szCs w:val="20"/>
                <w:lang w:eastAsia="en-AU"/>
              </w:rPr>
              <w:t>D2304 Part II (treatment arm, n=15)</w:t>
            </w:r>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24 weeks</w:t>
            </w:r>
          </w:p>
        </w:tc>
        <w:tc>
          <w:tcPr>
            <w:tcW w:w="1322"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2.79 (2.18) (pts already 8 weeks of canakinumab treatment)</w:t>
            </w:r>
          </w:p>
        </w:tc>
        <w:tc>
          <w:tcPr>
            <w:tcW w:w="1559"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3.89 (4.36)</w:t>
            </w:r>
          </w:p>
        </w:tc>
        <w:tc>
          <w:tcPr>
            <w:tcW w:w="1197"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1.10 (3.09)</w:t>
            </w:r>
          </w:p>
        </w:tc>
      </w:tr>
      <w:tr w:rsidR="0064019C" w:rsidRPr="00B623DB" w:rsidTr="006255A9">
        <w:trPr>
          <w:trHeight w:val="1027"/>
        </w:trPr>
        <w:tc>
          <w:tcPr>
            <w:tcW w:w="1771" w:type="dxa"/>
            <w:vMerge/>
            <w:tcBorders>
              <w:left w:val="single" w:sz="4" w:space="0" w:color="auto"/>
              <w:right w:val="single" w:sz="4" w:space="0" w:color="auto"/>
            </w:tcBorders>
            <w:vAlign w:val="center"/>
            <w:hideMark/>
          </w:tcPr>
          <w:p w:rsidR="0064019C" w:rsidRPr="00B623DB" w:rsidRDefault="0064019C" w:rsidP="0051659F">
            <w:pPr>
              <w:spacing w:before="0" w:after="0"/>
              <w:rPr>
                <w:rFonts w:ascii="Arial Narrow" w:eastAsia="Times New Roman" w:hAnsi="Arial Narrow" w:cs="Times New Roman"/>
                <w:b/>
                <w:bCs/>
                <w:iCs/>
                <w:color w:val="000000"/>
                <w:sz w:val="20"/>
                <w:szCs w:val="20"/>
                <w:lang w:eastAsia="en-AU"/>
              </w:rPr>
            </w:pPr>
          </w:p>
        </w:tc>
        <w:tc>
          <w:tcPr>
            <w:tcW w:w="1596"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1C3F64">
            <w:pPr>
              <w:spacing w:before="0" w:after="0"/>
              <w:rPr>
                <w:rFonts w:ascii="Arial Narrow" w:eastAsia="Times New Roman" w:hAnsi="Arial Narrow" w:cs="Times New Roman"/>
                <w:b/>
                <w:bCs/>
                <w:iCs/>
                <w:color w:val="000000"/>
                <w:sz w:val="20"/>
                <w:szCs w:val="20"/>
                <w:lang w:eastAsia="en-AU"/>
              </w:rPr>
            </w:pPr>
            <w:r w:rsidRPr="00B623DB">
              <w:rPr>
                <w:rFonts w:ascii="Arial Narrow" w:eastAsia="Times New Roman" w:hAnsi="Arial Narrow" w:cs="Times New Roman"/>
                <w:b/>
                <w:bCs/>
                <w:iCs/>
                <w:color w:val="000000"/>
                <w:sz w:val="20"/>
                <w:szCs w:val="20"/>
                <w:lang w:eastAsia="en-AU"/>
              </w:rPr>
              <w:t>D2304 Part II (placebo arm, n=16)</w:t>
            </w:r>
          </w:p>
        </w:tc>
        <w:tc>
          <w:tcPr>
            <w:tcW w:w="1109" w:type="dxa"/>
            <w:vMerge/>
            <w:tcBorders>
              <w:top w:val="nil"/>
              <w:left w:val="single" w:sz="4" w:space="0" w:color="auto"/>
              <w:bottom w:val="single" w:sz="4" w:space="0" w:color="auto"/>
              <w:right w:val="single" w:sz="4" w:space="0" w:color="auto"/>
            </w:tcBorders>
            <w:vAlign w:val="center"/>
            <w:hideMark/>
          </w:tcPr>
          <w:p w:rsidR="0064019C" w:rsidRPr="00B623DB" w:rsidRDefault="0064019C" w:rsidP="0051659F">
            <w:pPr>
              <w:spacing w:before="0" w:after="0"/>
              <w:rPr>
                <w:rFonts w:ascii="Arial Narrow" w:eastAsia="Times New Roman" w:hAnsi="Arial Narrow" w:cs="Times New Roman"/>
                <w:iCs/>
                <w:color w:val="000000"/>
                <w:sz w:val="20"/>
                <w:szCs w:val="20"/>
                <w:lang w:eastAsia="en-AU"/>
              </w:rPr>
            </w:pPr>
          </w:p>
        </w:tc>
        <w:tc>
          <w:tcPr>
            <w:tcW w:w="1322"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9.23 (10.67) (pts already 8 weeks of canakinumab treatment)</w:t>
            </w:r>
          </w:p>
        </w:tc>
        <w:tc>
          <w:tcPr>
            <w:tcW w:w="1559"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29.16 (29.09)</w:t>
            </w:r>
          </w:p>
        </w:tc>
        <w:tc>
          <w:tcPr>
            <w:tcW w:w="1197"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19.93 (24.18)</w:t>
            </w:r>
          </w:p>
        </w:tc>
      </w:tr>
      <w:tr w:rsidR="0064019C" w:rsidRPr="00B623DB" w:rsidTr="006255A9">
        <w:trPr>
          <w:trHeight w:val="217"/>
        </w:trPr>
        <w:tc>
          <w:tcPr>
            <w:tcW w:w="1771" w:type="dxa"/>
            <w:vMerge/>
            <w:tcBorders>
              <w:left w:val="single" w:sz="4" w:space="0" w:color="auto"/>
              <w:right w:val="single" w:sz="4" w:space="0" w:color="auto"/>
            </w:tcBorders>
            <w:vAlign w:val="center"/>
            <w:hideMark/>
          </w:tcPr>
          <w:p w:rsidR="0064019C" w:rsidRPr="00B623DB" w:rsidRDefault="0064019C" w:rsidP="0051659F">
            <w:pPr>
              <w:spacing w:before="0" w:after="0"/>
              <w:rPr>
                <w:rFonts w:ascii="Arial Narrow" w:eastAsia="Times New Roman" w:hAnsi="Arial Narrow" w:cs="Times New Roman"/>
                <w:b/>
                <w:bCs/>
                <w:iCs/>
                <w:color w:val="000000"/>
                <w:sz w:val="20"/>
                <w:szCs w:val="20"/>
                <w:lang w:eastAsia="en-AU"/>
              </w:rPr>
            </w:pPr>
          </w:p>
        </w:tc>
        <w:tc>
          <w:tcPr>
            <w:tcW w:w="1596"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1C3F64">
            <w:pPr>
              <w:spacing w:before="0" w:after="0"/>
              <w:rPr>
                <w:rFonts w:ascii="Arial Narrow" w:eastAsia="Times New Roman" w:hAnsi="Arial Narrow" w:cs="Times New Roman"/>
                <w:b/>
                <w:bCs/>
                <w:iCs/>
                <w:color w:val="000000"/>
                <w:sz w:val="20"/>
                <w:szCs w:val="20"/>
                <w:lang w:eastAsia="en-AU"/>
              </w:rPr>
            </w:pPr>
            <w:r w:rsidRPr="00B623DB">
              <w:rPr>
                <w:rFonts w:ascii="Arial Narrow" w:eastAsia="Times New Roman" w:hAnsi="Arial Narrow" w:cs="Times New Roman"/>
                <w:b/>
                <w:bCs/>
                <w:iCs/>
                <w:color w:val="000000"/>
                <w:sz w:val="20"/>
                <w:szCs w:val="20"/>
                <w:lang w:eastAsia="en-AU"/>
              </w:rPr>
              <w:t>D2306</w:t>
            </w:r>
          </w:p>
        </w:tc>
        <w:tc>
          <w:tcPr>
            <w:tcW w:w="1109"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56 weeks</w:t>
            </w:r>
          </w:p>
        </w:tc>
        <w:tc>
          <w:tcPr>
            <w:tcW w:w="1322"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25.51 (41.19)</w:t>
            </w:r>
          </w:p>
        </w:tc>
        <w:tc>
          <w:tcPr>
            <w:tcW w:w="1559"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1C3F64">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5.29</w:t>
            </w:r>
            <w:r w:rsidR="001C3F64" w:rsidRPr="00B623DB">
              <w:rPr>
                <w:rFonts w:ascii="Arial Narrow" w:eastAsia="Times New Roman" w:hAnsi="Arial Narrow" w:cs="Times New Roman"/>
                <w:iCs/>
                <w:color w:val="000000"/>
                <w:sz w:val="20"/>
                <w:szCs w:val="20"/>
                <w:lang w:eastAsia="en-AU"/>
              </w:rPr>
              <w:t xml:space="preserve"> </w:t>
            </w:r>
            <w:r w:rsidRPr="00B623DB">
              <w:rPr>
                <w:rFonts w:ascii="Arial Narrow" w:eastAsia="Times New Roman" w:hAnsi="Arial Narrow" w:cs="Times New Roman"/>
                <w:iCs/>
                <w:color w:val="000000"/>
                <w:sz w:val="20"/>
                <w:szCs w:val="20"/>
                <w:lang w:eastAsia="en-AU"/>
              </w:rPr>
              <w:t>(8.07)</w:t>
            </w:r>
          </w:p>
        </w:tc>
        <w:tc>
          <w:tcPr>
            <w:tcW w:w="1197"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20.22  (NR)</w:t>
            </w:r>
          </w:p>
        </w:tc>
      </w:tr>
      <w:tr w:rsidR="0064019C" w:rsidRPr="00B623DB" w:rsidTr="006255A9">
        <w:trPr>
          <w:trHeight w:val="265"/>
        </w:trPr>
        <w:tc>
          <w:tcPr>
            <w:tcW w:w="1771" w:type="dxa"/>
            <w:vMerge/>
            <w:tcBorders>
              <w:left w:val="single" w:sz="4" w:space="0" w:color="auto"/>
              <w:right w:val="single" w:sz="4" w:space="0" w:color="auto"/>
            </w:tcBorders>
            <w:vAlign w:val="center"/>
            <w:hideMark/>
          </w:tcPr>
          <w:p w:rsidR="0064019C" w:rsidRPr="00B623DB" w:rsidRDefault="0064019C" w:rsidP="0051659F">
            <w:pPr>
              <w:spacing w:before="0" w:after="0"/>
              <w:rPr>
                <w:rFonts w:ascii="Arial Narrow" w:eastAsia="Times New Roman" w:hAnsi="Arial Narrow" w:cs="Times New Roman"/>
                <w:b/>
                <w:bCs/>
                <w:iCs/>
                <w:color w:val="000000"/>
                <w:sz w:val="20"/>
                <w:szCs w:val="20"/>
                <w:lang w:eastAsia="en-AU"/>
              </w:rPr>
            </w:pPr>
          </w:p>
        </w:tc>
        <w:tc>
          <w:tcPr>
            <w:tcW w:w="1596"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477D92">
            <w:pPr>
              <w:spacing w:before="0" w:after="0"/>
              <w:rPr>
                <w:rFonts w:ascii="Arial Narrow" w:eastAsia="Times New Roman" w:hAnsi="Arial Narrow" w:cs="Times New Roman"/>
                <w:b/>
                <w:bCs/>
                <w:iCs/>
                <w:color w:val="000000"/>
                <w:sz w:val="20"/>
                <w:szCs w:val="20"/>
                <w:lang w:eastAsia="en-AU"/>
              </w:rPr>
            </w:pPr>
            <w:r w:rsidRPr="00B623DB">
              <w:rPr>
                <w:rFonts w:ascii="Arial Narrow" w:eastAsia="Times New Roman" w:hAnsi="Arial Narrow" w:cs="Times New Roman"/>
                <w:b/>
                <w:bCs/>
                <w:iCs/>
                <w:color w:val="000000"/>
                <w:sz w:val="20"/>
                <w:szCs w:val="20"/>
                <w:lang w:eastAsia="en-AU"/>
              </w:rPr>
              <w:t>D2307 / E1</w:t>
            </w:r>
          </w:p>
        </w:tc>
        <w:tc>
          <w:tcPr>
            <w:tcW w:w="1109"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152 weeks</w:t>
            </w:r>
          </w:p>
        </w:tc>
        <w:tc>
          <w:tcPr>
            <w:tcW w:w="1322"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17.9 (40.17)</w:t>
            </w:r>
          </w:p>
        </w:tc>
        <w:tc>
          <w:tcPr>
            <w:tcW w:w="1559"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477D92">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4.8</w:t>
            </w:r>
            <w:r w:rsidR="001C3F64" w:rsidRPr="00B623DB">
              <w:rPr>
                <w:rFonts w:ascii="Arial Narrow" w:eastAsia="Times New Roman" w:hAnsi="Arial Narrow" w:cs="Times New Roman"/>
                <w:iCs/>
                <w:color w:val="000000"/>
                <w:sz w:val="20"/>
                <w:szCs w:val="20"/>
                <w:lang w:eastAsia="en-AU"/>
              </w:rPr>
              <w:t xml:space="preserve"> </w:t>
            </w:r>
            <w:r w:rsidRPr="00B623DB">
              <w:rPr>
                <w:rFonts w:ascii="Arial Narrow" w:eastAsia="Times New Roman" w:hAnsi="Arial Narrow" w:cs="Times New Roman"/>
                <w:iCs/>
                <w:color w:val="000000"/>
                <w:sz w:val="20"/>
                <w:szCs w:val="20"/>
                <w:lang w:eastAsia="en-AU"/>
              </w:rPr>
              <w:t>(4.6)</w:t>
            </w:r>
          </w:p>
        </w:tc>
        <w:tc>
          <w:tcPr>
            <w:tcW w:w="1197"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13.1  (NR)</w:t>
            </w:r>
          </w:p>
        </w:tc>
      </w:tr>
      <w:tr w:rsidR="0064019C" w:rsidRPr="00B623DB" w:rsidTr="006255A9">
        <w:trPr>
          <w:trHeight w:val="285"/>
        </w:trPr>
        <w:tc>
          <w:tcPr>
            <w:tcW w:w="1771" w:type="dxa"/>
            <w:vMerge/>
            <w:tcBorders>
              <w:left w:val="single" w:sz="4" w:space="0" w:color="auto"/>
              <w:right w:val="single" w:sz="4" w:space="0" w:color="auto"/>
            </w:tcBorders>
            <w:vAlign w:val="center"/>
            <w:hideMark/>
          </w:tcPr>
          <w:p w:rsidR="0064019C" w:rsidRPr="00B623DB" w:rsidRDefault="0064019C" w:rsidP="0051659F">
            <w:pPr>
              <w:spacing w:before="0" w:after="0"/>
              <w:rPr>
                <w:rFonts w:ascii="Arial Narrow" w:eastAsia="Times New Roman" w:hAnsi="Arial Narrow" w:cs="Times New Roman"/>
                <w:b/>
                <w:bCs/>
                <w:iCs/>
                <w:color w:val="000000"/>
                <w:sz w:val="20"/>
                <w:szCs w:val="20"/>
                <w:lang w:eastAsia="en-AU"/>
              </w:rPr>
            </w:pPr>
          </w:p>
        </w:tc>
        <w:tc>
          <w:tcPr>
            <w:tcW w:w="1596"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477D92">
            <w:pPr>
              <w:spacing w:before="0" w:after="0"/>
              <w:rPr>
                <w:rFonts w:ascii="Arial Narrow" w:eastAsia="Times New Roman" w:hAnsi="Arial Narrow" w:cs="Times New Roman"/>
                <w:b/>
                <w:bCs/>
                <w:iCs/>
                <w:color w:val="000000"/>
                <w:sz w:val="20"/>
                <w:szCs w:val="20"/>
                <w:lang w:eastAsia="en-AU"/>
              </w:rPr>
            </w:pPr>
            <w:r w:rsidRPr="00B623DB">
              <w:rPr>
                <w:rFonts w:ascii="Arial Narrow" w:eastAsia="Times New Roman" w:hAnsi="Arial Narrow" w:cs="Times New Roman"/>
                <w:b/>
                <w:bCs/>
                <w:iCs/>
                <w:color w:val="000000"/>
                <w:sz w:val="20"/>
                <w:szCs w:val="20"/>
                <w:lang w:eastAsia="en-AU"/>
              </w:rPr>
              <w:t>D2308</w:t>
            </w:r>
          </w:p>
        </w:tc>
        <w:tc>
          <w:tcPr>
            <w:tcW w:w="1109"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48 weeks</w:t>
            </w:r>
          </w:p>
        </w:tc>
        <w:tc>
          <w:tcPr>
            <w:tcW w:w="1322"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45.17 (42.70)</w:t>
            </w:r>
          </w:p>
        </w:tc>
        <w:tc>
          <w:tcPr>
            <w:tcW w:w="1559"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14.78 (19.24)</w:t>
            </w:r>
          </w:p>
        </w:tc>
        <w:tc>
          <w:tcPr>
            <w:tcW w:w="1197"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30.39  (NR)</w:t>
            </w:r>
          </w:p>
        </w:tc>
      </w:tr>
      <w:tr w:rsidR="0064019C" w:rsidRPr="00B623DB" w:rsidTr="006255A9">
        <w:trPr>
          <w:trHeight w:val="64"/>
        </w:trPr>
        <w:tc>
          <w:tcPr>
            <w:tcW w:w="1771" w:type="dxa"/>
            <w:vMerge/>
            <w:tcBorders>
              <w:left w:val="single" w:sz="4" w:space="0" w:color="auto"/>
              <w:right w:val="single" w:sz="4" w:space="0" w:color="auto"/>
            </w:tcBorders>
            <w:vAlign w:val="center"/>
            <w:hideMark/>
          </w:tcPr>
          <w:p w:rsidR="0064019C" w:rsidRPr="00B623DB" w:rsidRDefault="0064019C" w:rsidP="0051659F">
            <w:pPr>
              <w:spacing w:before="0" w:after="0"/>
              <w:rPr>
                <w:rFonts w:ascii="Arial Narrow" w:eastAsia="Times New Roman" w:hAnsi="Arial Narrow" w:cs="Times New Roman"/>
                <w:b/>
                <w:bCs/>
                <w:iCs/>
                <w:color w:val="000000"/>
                <w:sz w:val="20"/>
                <w:szCs w:val="20"/>
                <w:lang w:eastAsia="en-AU"/>
              </w:rPr>
            </w:pPr>
          </w:p>
        </w:tc>
        <w:tc>
          <w:tcPr>
            <w:tcW w:w="1596"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477D92">
            <w:pPr>
              <w:spacing w:before="0" w:after="0"/>
              <w:rPr>
                <w:rFonts w:ascii="Arial Narrow" w:eastAsia="Times New Roman" w:hAnsi="Arial Narrow" w:cs="Times New Roman"/>
                <w:b/>
                <w:bCs/>
                <w:iCs/>
                <w:color w:val="000000"/>
                <w:sz w:val="20"/>
                <w:szCs w:val="20"/>
                <w:lang w:eastAsia="en-AU"/>
              </w:rPr>
            </w:pPr>
            <w:r w:rsidRPr="00B623DB">
              <w:rPr>
                <w:rFonts w:ascii="Arial Narrow" w:eastAsia="Times New Roman" w:hAnsi="Arial Narrow" w:cs="Times New Roman"/>
                <w:b/>
                <w:bCs/>
                <w:iCs/>
                <w:color w:val="000000"/>
                <w:sz w:val="20"/>
                <w:szCs w:val="20"/>
                <w:lang w:eastAsia="en-AU"/>
              </w:rPr>
              <w:t>D2401 – CAPS patients only</w:t>
            </w:r>
          </w:p>
        </w:tc>
        <w:tc>
          <w:tcPr>
            <w:tcW w:w="1109"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48 months</w:t>
            </w:r>
          </w:p>
        </w:tc>
        <w:tc>
          <w:tcPr>
            <w:tcW w:w="1322"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10.1 (17.70)</w:t>
            </w:r>
          </w:p>
        </w:tc>
        <w:tc>
          <w:tcPr>
            <w:tcW w:w="1559"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477D92">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6.7</w:t>
            </w:r>
            <w:r w:rsidR="001C3F64" w:rsidRPr="00B623DB">
              <w:rPr>
                <w:rFonts w:ascii="Arial Narrow" w:eastAsia="Times New Roman" w:hAnsi="Arial Narrow" w:cs="Times New Roman"/>
                <w:iCs/>
                <w:color w:val="000000"/>
                <w:sz w:val="20"/>
                <w:szCs w:val="20"/>
                <w:lang w:eastAsia="en-AU"/>
              </w:rPr>
              <w:t xml:space="preserve"> </w:t>
            </w:r>
            <w:r w:rsidRPr="00B623DB">
              <w:rPr>
                <w:rFonts w:ascii="Arial Narrow" w:eastAsia="Times New Roman" w:hAnsi="Arial Narrow" w:cs="Times New Roman"/>
                <w:iCs/>
                <w:color w:val="000000"/>
                <w:sz w:val="20"/>
                <w:szCs w:val="20"/>
                <w:lang w:eastAsia="en-AU"/>
              </w:rPr>
              <w:t>(17.08)</w:t>
            </w:r>
          </w:p>
        </w:tc>
        <w:tc>
          <w:tcPr>
            <w:tcW w:w="1197"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3.4  (NR)</w:t>
            </w:r>
          </w:p>
        </w:tc>
      </w:tr>
      <w:tr w:rsidR="0064019C" w:rsidRPr="00B623DB" w:rsidTr="006255A9">
        <w:trPr>
          <w:trHeight w:val="348"/>
        </w:trPr>
        <w:tc>
          <w:tcPr>
            <w:tcW w:w="1771" w:type="dxa"/>
            <w:vMerge/>
            <w:tcBorders>
              <w:left w:val="single" w:sz="4" w:space="0" w:color="auto"/>
              <w:bottom w:val="single" w:sz="4" w:space="0" w:color="000000"/>
              <w:right w:val="single" w:sz="4" w:space="0" w:color="auto"/>
            </w:tcBorders>
            <w:vAlign w:val="center"/>
          </w:tcPr>
          <w:p w:rsidR="0064019C" w:rsidRPr="00B623DB" w:rsidRDefault="0064019C" w:rsidP="0051659F">
            <w:pPr>
              <w:spacing w:before="0" w:after="0"/>
              <w:rPr>
                <w:rFonts w:ascii="Arial Narrow" w:eastAsia="Times New Roman" w:hAnsi="Arial Narrow" w:cs="Times New Roman"/>
                <w:b/>
                <w:bCs/>
                <w:iCs/>
                <w:color w:val="000000"/>
                <w:sz w:val="20"/>
                <w:szCs w:val="20"/>
                <w:lang w:eastAsia="en-AU"/>
              </w:rPr>
            </w:pPr>
          </w:p>
        </w:tc>
        <w:tc>
          <w:tcPr>
            <w:tcW w:w="1596" w:type="dxa"/>
            <w:tcBorders>
              <w:top w:val="nil"/>
              <w:left w:val="nil"/>
              <w:bottom w:val="single" w:sz="4" w:space="0" w:color="auto"/>
              <w:right w:val="single" w:sz="4" w:space="0" w:color="auto"/>
            </w:tcBorders>
            <w:shd w:val="clear" w:color="auto" w:fill="auto"/>
            <w:vAlign w:val="center"/>
          </w:tcPr>
          <w:p w:rsidR="0064019C" w:rsidRPr="00B623DB" w:rsidRDefault="0064019C" w:rsidP="00477D92">
            <w:pPr>
              <w:spacing w:before="0" w:after="0"/>
              <w:rPr>
                <w:rFonts w:ascii="Arial Narrow" w:eastAsia="Times New Roman" w:hAnsi="Arial Narrow" w:cs="Times New Roman"/>
                <w:b/>
                <w:bCs/>
                <w:iCs/>
                <w:color w:val="000000"/>
                <w:sz w:val="20"/>
                <w:szCs w:val="20"/>
                <w:lang w:eastAsia="en-AU"/>
              </w:rPr>
            </w:pPr>
            <w:r w:rsidRPr="00B623DB">
              <w:rPr>
                <w:rFonts w:ascii="Arial Narrow" w:eastAsia="Times New Roman" w:hAnsi="Arial Narrow" w:cs="Times New Roman"/>
                <w:b/>
                <w:bCs/>
                <w:iCs/>
                <w:color w:val="000000"/>
                <w:sz w:val="20"/>
                <w:szCs w:val="20"/>
                <w:lang w:eastAsia="en-AU"/>
              </w:rPr>
              <w:t>Kuemmerle-Deschner 2013</w:t>
            </w:r>
            <w:r w:rsidRPr="00B623DB">
              <w:rPr>
                <w:rFonts w:ascii="Arial Narrow" w:eastAsia="Times New Roman" w:hAnsi="Arial Narrow" w:cs="Times New Roman"/>
                <w:b/>
                <w:bCs/>
                <w:iCs/>
                <w:color w:val="000000"/>
                <w:sz w:val="20"/>
                <w:szCs w:val="20"/>
                <w:vertAlign w:val="superscript"/>
                <w:lang w:eastAsia="en-AU"/>
              </w:rPr>
              <w:t>a</w:t>
            </w:r>
          </w:p>
        </w:tc>
        <w:tc>
          <w:tcPr>
            <w:tcW w:w="1109" w:type="dxa"/>
            <w:tcBorders>
              <w:top w:val="nil"/>
              <w:left w:val="nil"/>
              <w:bottom w:val="single" w:sz="4" w:space="0" w:color="auto"/>
              <w:right w:val="single" w:sz="4" w:space="0" w:color="auto"/>
            </w:tcBorders>
            <w:shd w:val="clear" w:color="auto" w:fill="auto"/>
            <w:vAlign w:val="center"/>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median 50-52 months</w:t>
            </w:r>
          </w:p>
        </w:tc>
        <w:tc>
          <w:tcPr>
            <w:tcW w:w="1322" w:type="dxa"/>
            <w:tcBorders>
              <w:top w:val="nil"/>
              <w:left w:val="nil"/>
              <w:bottom w:val="single" w:sz="4" w:space="0" w:color="auto"/>
              <w:right w:val="single" w:sz="4" w:space="0" w:color="auto"/>
            </w:tcBorders>
            <w:shd w:val="clear" w:color="auto" w:fill="auto"/>
            <w:vAlign w:val="center"/>
          </w:tcPr>
          <w:p w:rsidR="0064019C" w:rsidRPr="00B623DB" w:rsidRDefault="00A77DC5"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23 (21)</w:t>
            </w:r>
          </w:p>
        </w:tc>
        <w:tc>
          <w:tcPr>
            <w:tcW w:w="1559" w:type="dxa"/>
            <w:tcBorders>
              <w:top w:val="nil"/>
              <w:left w:val="nil"/>
              <w:bottom w:val="single" w:sz="4" w:space="0" w:color="auto"/>
              <w:right w:val="single" w:sz="4" w:space="0" w:color="auto"/>
            </w:tcBorders>
            <w:shd w:val="clear" w:color="auto" w:fill="auto"/>
            <w:vAlign w:val="center"/>
          </w:tcPr>
          <w:p w:rsidR="0064019C" w:rsidRPr="00B623DB" w:rsidRDefault="00A77DC5"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2 (3)</w:t>
            </w:r>
          </w:p>
        </w:tc>
        <w:tc>
          <w:tcPr>
            <w:tcW w:w="1197" w:type="dxa"/>
            <w:tcBorders>
              <w:top w:val="nil"/>
              <w:left w:val="nil"/>
              <w:bottom w:val="single" w:sz="4" w:space="0" w:color="auto"/>
              <w:right w:val="single" w:sz="4" w:space="0" w:color="auto"/>
            </w:tcBorders>
            <w:shd w:val="clear" w:color="auto" w:fill="auto"/>
            <w:vAlign w:val="center"/>
          </w:tcPr>
          <w:p w:rsidR="0064019C" w:rsidRPr="00B623DB" w:rsidRDefault="000674C3"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21 (NR)</w:t>
            </w:r>
          </w:p>
        </w:tc>
      </w:tr>
      <w:tr w:rsidR="0064019C" w:rsidRPr="00B623DB" w:rsidTr="006255A9">
        <w:trPr>
          <w:trHeight w:val="171"/>
        </w:trPr>
        <w:tc>
          <w:tcPr>
            <w:tcW w:w="1771" w:type="dxa"/>
            <w:vMerge w:val="restart"/>
            <w:tcBorders>
              <w:top w:val="nil"/>
              <w:left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b/>
                <w:bCs/>
                <w:iCs/>
                <w:color w:val="000000"/>
                <w:sz w:val="20"/>
                <w:szCs w:val="20"/>
                <w:lang w:eastAsia="en-AU"/>
              </w:rPr>
            </w:pPr>
            <w:r w:rsidRPr="00B623DB">
              <w:rPr>
                <w:rFonts w:ascii="Arial Narrow" w:eastAsia="Times New Roman" w:hAnsi="Arial Narrow" w:cs="Times New Roman"/>
                <w:b/>
                <w:bCs/>
                <w:iCs/>
                <w:color w:val="000000"/>
                <w:sz w:val="20"/>
                <w:szCs w:val="20"/>
                <w:lang w:eastAsia="en-AU"/>
              </w:rPr>
              <w:t xml:space="preserve">Anakinra </w:t>
            </w:r>
          </w:p>
        </w:tc>
        <w:tc>
          <w:tcPr>
            <w:tcW w:w="1596"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477D92">
            <w:pPr>
              <w:spacing w:before="0" w:after="0"/>
              <w:rPr>
                <w:rFonts w:ascii="Arial Narrow" w:eastAsia="Times New Roman" w:hAnsi="Arial Narrow" w:cs="Times New Roman"/>
                <w:b/>
                <w:bCs/>
                <w:iCs/>
                <w:color w:val="000000"/>
                <w:sz w:val="20"/>
                <w:szCs w:val="20"/>
                <w:lang w:eastAsia="en-AU"/>
              </w:rPr>
            </w:pPr>
            <w:r w:rsidRPr="00B623DB">
              <w:rPr>
                <w:rFonts w:ascii="Arial Narrow" w:eastAsia="Times New Roman" w:hAnsi="Arial Narrow" w:cs="Times New Roman"/>
                <w:b/>
                <w:bCs/>
                <w:iCs/>
                <w:color w:val="000000"/>
                <w:sz w:val="20"/>
                <w:szCs w:val="20"/>
                <w:lang w:eastAsia="en-AU"/>
              </w:rPr>
              <w:t>Sibley 2012</w:t>
            </w:r>
          </w:p>
        </w:tc>
        <w:tc>
          <w:tcPr>
            <w:tcW w:w="1109"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3 years</w:t>
            </w:r>
          </w:p>
        </w:tc>
        <w:tc>
          <w:tcPr>
            <w:tcW w:w="1322"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57.7 (NR)</w:t>
            </w:r>
          </w:p>
        </w:tc>
        <w:tc>
          <w:tcPr>
            <w:tcW w:w="1559"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8.7 (NR)</w:t>
            </w:r>
          </w:p>
        </w:tc>
        <w:tc>
          <w:tcPr>
            <w:tcW w:w="1197"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49 (NR)</w:t>
            </w:r>
          </w:p>
        </w:tc>
      </w:tr>
      <w:tr w:rsidR="0064019C" w:rsidRPr="00B623DB" w:rsidTr="006255A9">
        <w:trPr>
          <w:trHeight w:val="345"/>
        </w:trPr>
        <w:tc>
          <w:tcPr>
            <w:tcW w:w="1771" w:type="dxa"/>
            <w:vMerge/>
            <w:tcBorders>
              <w:left w:val="single" w:sz="4" w:space="0" w:color="auto"/>
              <w:right w:val="single" w:sz="4" w:space="0" w:color="auto"/>
            </w:tcBorders>
            <w:vAlign w:val="center"/>
            <w:hideMark/>
          </w:tcPr>
          <w:p w:rsidR="0064019C" w:rsidRPr="00B623DB" w:rsidRDefault="0064019C" w:rsidP="0051659F">
            <w:pPr>
              <w:spacing w:before="0" w:after="0"/>
              <w:rPr>
                <w:rFonts w:ascii="Arial Narrow" w:eastAsia="Times New Roman" w:hAnsi="Arial Narrow" w:cs="Times New Roman"/>
                <w:b/>
                <w:bCs/>
                <w:iCs/>
                <w:color w:val="000000"/>
                <w:sz w:val="20"/>
                <w:szCs w:val="20"/>
                <w:lang w:eastAsia="en-AU"/>
              </w:rPr>
            </w:pPr>
          </w:p>
        </w:tc>
        <w:tc>
          <w:tcPr>
            <w:tcW w:w="1596"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477D92">
            <w:pPr>
              <w:spacing w:before="0" w:after="0"/>
              <w:rPr>
                <w:rFonts w:ascii="Arial Narrow" w:eastAsia="Times New Roman" w:hAnsi="Arial Narrow" w:cs="Times New Roman"/>
                <w:b/>
                <w:bCs/>
                <w:iCs/>
                <w:color w:val="000000"/>
                <w:sz w:val="20"/>
                <w:szCs w:val="20"/>
                <w:lang w:eastAsia="en-AU"/>
              </w:rPr>
            </w:pPr>
            <w:r w:rsidRPr="00B623DB">
              <w:rPr>
                <w:rFonts w:ascii="Arial Narrow" w:eastAsia="Times New Roman" w:hAnsi="Arial Narrow" w:cs="Times New Roman"/>
                <w:b/>
                <w:bCs/>
                <w:iCs/>
                <w:color w:val="000000"/>
                <w:sz w:val="20"/>
                <w:szCs w:val="20"/>
                <w:lang w:eastAsia="en-AU"/>
              </w:rPr>
              <w:t>Goldbach-Mansky 2006</w:t>
            </w:r>
          </w:p>
        </w:tc>
        <w:tc>
          <w:tcPr>
            <w:tcW w:w="1109"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6 months</w:t>
            </w:r>
          </w:p>
        </w:tc>
        <w:tc>
          <w:tcPr>
            <w:tcW w:w="1322"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352116">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52.9 (</w:t>
            </w:r>
            <w:r w:rsidR="00352116" w:rsidRPr="00B623DB">
              <w:rPr>
                <w:rFonts w:ascii="Arial Narrow" w:eastAsia="Times New Roman" w:hAnsi="Arial Narrow" w:cs="Times New Roman"/>
                <w:iCs/>
                <w:color w:val="000000"/>
                <w:sz w:val="20"/>
                <w:szCs w:val="20"/>
                <w:lang w:eastAsia="en-AU"/>
              </w:rPr>
              <w:t>40-105 IQ range</w:t>
            </w:r>
            <w:r w:rsidRPr="00B623DB">
              <w:rPr>
                <w:rFonts w:ascii="Arial Narrow" w:eastAsia="Times New Roman" w:hAnsi="Arial Narrow" w:cs="Times New Roman"/>
                <w:iCs/>
                <w:color w:val="000000"/>
                <w:sz w:val="20"/>
                <w:szCs w:val="20"/>
                <w:lang w:eastAsia="en-AU"/>
              </w:rPr>
              <w:t>)</w:t>
            </w:r>
          </w:p>
        </w:tc>
        <w:tc>
          <w:tcPr>
            <w:tcW w:w="1559"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352116">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4.0 (</w:t>
            </w:r>
            <w:r w:rsidR="00352116" w:rsidRPr="00B623DB">
              <w:rPr>
                <w:rFonts w:ascii="Arial Narrow" w:eastAsia="Times New Roman" w:hAnsi="Arial Narrow" w:cs="Times New Roman"/>
                <w:iCs/>
                <w:color w:val="000000"/>
                <w:sz w:val="20"/>
                <w:szCs w:val="20"/>
                <w:lang w:eastAsia="en-AU"/>
              </w:rPr>
              <w:t>1.0-9.1 IQ range</w:t>
            </w:r>
            <w:r w:rsidRPr="00B623DB">
              <w:rPr>
                <w:rFonts w:ascii="Arial Narrow" w:eastAsia="Times New Roman" w:hAnsi="Arial Narrow" w:cs="Times New Roman"/>
                <w:iCs/>
                <w:color w:val="000000"/>
                <w:sz w:val="20"/>
                <w:szCs w:val="20"/>
                <w:lang w:eastAsia="en-AU"/>
              </w:rPr>
              <w:t>)</w:t>
            </w:r>
          </w:p>
        </w:tc>
        <w:tc>
          <w:tcPr>
            <w:tcW w:w="1197"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48.9 (NR)</w:t>
            </w:r>
          </w:p>
        </w:tc>
      </w:tr>
      <w:tr w:rsidR="0064019C" w:rsidRPr="00B623DB" w:rsidTr="006255A9">
        <w:trPr>
          <w:trHeight w:val="450"/>
        </w:trPr>
        <w:tc>
          <w:tcPr>
            <w:tcW w:w="1771" w:type="dxa"/>
            <w:vMerge/>
            <w:tcBorders>
              <w:left w:val="single" w:sz="4" w:space="0" w:color="auto"/>
              <w:right w:val="single" w:sz="4" w:space="0" w:color="auto"/>
            </w:tcBorders>
            <w:vAlign w:val="center"/>
            <w:hideMark/>
          </w:tcPr>
          <w:p w:rsidR="0064019C" w:rsidRPr="00B623DB" w:rsidRDefault="0064019C" w:rsidP="0051659F">
            <w:pPr>
              <w:spacing w:before="0" w:after="0"/>
              <w:rPr>
                <w:rFonts w:ascii="Arial Narrow" w:eastAsia="Times New Roman" w:hAnsi="Arial Narrow" w:cs="Times New Roman"/>
                <w:b/>
                <w:bCs/>
                <w:iCs/>
                <w:color w:val="000000"/>
                <w:sz w:val="20"/>
                <w:szCs w:val="20"/>
                <w:lang w:eastAsia="en-AU"/>
              </w:rPr>
            </w:pPr>
          </w:p>
        </w:tc>
        <w:tc>
          <w:tcPr>
            <w:tcW w:w="1596"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477D92">
            <w:pPr>
              <w:spacing w:before="0" w:after="0"/>
              <w:rPr>
                <w:rFonts w:ascii="Arial Narrow" w:eastAsia="Times New Roman" w:hAnsi="Arial Narrow" w:cs="Times New Roman"/>
                <w:b/>
                <w:bCs/>
                <w:iCs/>
                <w:color w:val="000000"/>
                <w:sz w:val="20"/>
                <w:szCs w:val="20"/>
                <w:lang w:eastAsia="en-AU"/>
              </w:rPr>
            </w:pPr>
            <w:r w:rsidRPr="00B623DB">
              <w:rPr>
                <w:rFonts w:ascii="Arial Narrow" w:eastAsia="Times New Roman" w:hAnsi="Arial Narrow" w:cs="Times New Roman"/>
                <w:b/>
                <w:bCs/>
                <w:iCs/>
                <w:color w:val="000000"/>
                <w:sz w:val="20"/>
                <w:szCs w:val="20"/>
                <w:lang w:eastAsia="en-AU"/>
              </w:rPr>
              <w:t>Kuemmerle-Deschner 2011</w:t>
            </w:r>
          </w:p>
        </w:tc>
        <w:tc>
          <w:tcPr>
            <w:tcW w:w="1109"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11 months</w:t>
            </w:r>
          </w:p>
        </w:tc>
        <w:tc>
          <w:tcPr>
            <w:tcW w:w="1322"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21.1 (13.3)</w:t>
            </w:r>
          </w:p>
        </w:tc>
        <w:tc>
          <w:tcPr>
            <w:tcW w:w="1559"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4.4 (7.0)</w:t>
            </w:r>
          </w:p>
        </w:tc>
        <w:tc>
          <w:tcPr>
            <w:tcW w:w="1197" w:type="dxa"/>
            <w:tcBorders>
              <w:top w:val="nil"/>
              <w:left w:val="nil"/>
              <w:bottom w:val="single" w:sz="4" w:space="0" w:color="auto"/>
              <w:right w:val="single" w:sz="4" w:space="0" w:color="auto"/>
            </w:tcBorders>
            <w:shd w:val="clear" w:color="auto" w:fill="auto"/>
            <w:vAlign w:val="center"/>
            <w:hideMark/>
          </w:tcPr>
          <w:p w:rsidR="0064019C" w:rsidRPr="00B623DB" w:rsidRDefault="0064019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16.7 (NR)</w:t>
            </w:r>
          </w:p>
        </w:tc>
      </w:tr>
      <w:tr w:rsidR="00A77DC5" w:rsidRPr="00B623DB" w:rsidTr="006255A9">
        <w:trPr>
          <w:trHeight w:val="542"/>
        </w:trPr>
        <w:tc>
          <w:tcPr>
            <w:tcW w:w="1771" w:type="dxa"/>
            <w:vMerge/>
            <w:tcBorders>
              <w:left w:val="single" w:sz="4" w:space="0" w:color="auto"/>
              <w:bottom w:val="single" w:sz="4" w:space="0" w:color="auto"/>
              <w:right w:val="single" w:sz="4" w:space="0" w:color="auto"/>
            </w:tcBorders>
            <w:vAlign w:val="center"/>
          </w:tcPr>
          <w:p w:rsidR="00A77DC5" w:rsidRPr="00B623DB" w:rsidRDefault="00A77DC5" w:rsidP="0051659F">
            <w:pPr>
              <w:spacing w:before="0" w:after="0"/>
              <w:rPr>
                <w:rFonts w:ascii="Arial Narrow" w:eastAsia="Times New Roman" w:hAnsi="Arial Narrow" w:cs="Times New Roman"/>
                <w:b/>
                <w:bCs/>
                <w:iCs/>
                <w:color w:val="000000"/>
                <w:sz w:val="20"/>
                <w:szCs w:val="20"/>
                <w:lang w:eastAsia="en-AU"/>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A77DC5" w:rsidRPr="00B623DB" w:rsidRDefault="00A77DC5" w:rsidP="00477D92">
            <w:pPr>
              <w:spacing w:before="0" w:after="0"/>
              <w:rPr>
                <w:rFonts w:ascii="Arial Narrow" w:eastAsia="Times New Roman" w:hAnsi="Arial Narrow" w:cs="Times New Roman"/>
                <w:b/>
                <w:bCs/>
                <w:iCs/>
                <w:color w:val="000000"/>
                <w:sz w:val="20"/>
                <w:szCs w:val="20"/>
                <w:lang w:eastAsia="en-AU"/>
              </w:rPr>
            </w:pPr>
            <w:r w:rsidRPr="00B623DB">
              <w:rPr>
                <w:rFonts w:ascii="Arial Narrow" w:eastAsia="Times New Roman" w:hAnsi="Arial Narrow" w:cs="Times New Roman"/>
                <w:b/>
                <w:bCs/>
                <w:iCs/>
                <w:color w:val="000000"/>
                <w:sz w:val="20"/>
                <w:szCs w:val="20"/>
                <w:lang w:eastAsia="en-AU"/>
              </w:rPr>
              <w:t>Kuemmerle-Deschner 2013</w:t>
            </w:r>
            <w:r w:rsidRPr="00B623DB">
              <w:rPr>
                <w:rFonts w:ascii="Arial Narrow" w:eastAsia="Times New Roman" w:hAnsi="Arial Narrow" w:cs="Times New Roman"/>
                <w:b/>
                <w:bCs/>
                <w:iCs/>
                <w:color w:val="000000"/>
                <w:sz w:val="20"/>
                <w:szCs w:val="20"/>
                <w:vertAlign w:val="superscript"/>
                <w:lang w:eastAsia="en-AU"/>
              </w:rPr>
              <w:t xml:space="preserve"> a</w:t>
            </w:r>
          </w:p>
        </w:tc>
        <w:tc>
          <w:tcPr>
            <w:tcW w:w="1109" w:type="dxa"/>
            <w:tcBorders>
              <w:top w:val="single" w:sz="4" w:space="0" w:color="auto"/>
              <w:left w:val="nil"/>
              <w:bottom w:val="single" w:sz="4" w:space="0" w:color="auto"/>
              <w:right w:val="single" w:sz="4" w:space="0" w:color="auto"/>
            </w:tcBorders>
            <w:shd w:val="clear" w:color="auto" w:fill="auto"/>
            <w:vAlign w:val="center"/>
          </w:tcPr>
          <w:p w:rsidR="00A77DC5" w:rsidRPr="00B623DB" w:rsidRDefault="00A77DC5"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median 50-52 months</w:t>
            </w:r>
          </w:p>
        </w:tc>
        <w:tc>
          <w:tcPr>
            <w:tcW w:w="1322" w:type="dxa"/>
            <w:tcBorders>
              <w:top w:val="single" w:sz="4" w:space="0" w:color="auto"/>
              <w:left w:val="nil"/>
              <w:bottom w:val="single" w:sz="4" w:space="0" w:color="auto"/>
              <w:right w:val="single" w:sz="4" w:space="0" w:color="auto"/>
            </w:tcBorders>
            <w:shd w:val="clear" w:color="auto" w:fill="auto"/>
            <w:vAlign w:val="center"/>
          </w:tcPr>
          <w:p w:rsidR="00A77DC5" w:rsidRPr="00B623DB" w:rsidRDefault="00A77DC5" w:rsidP="00A77DC5">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21 (13)</w:t>
            </w:r>
          </w:p>
        </w:tc>
        <w:tc>
          <w:tcPr>
            <w:tcW w:w="1559" w:type="dxa"/>
            <w:tcBorders>
              <w:top w:val="single" w:sz="4" w:space="0" w:color="auto"/>
              <w:left w:val="nil"/>
              <w:bottom w:val="single" w:sz="4" w:space="0" w:color="auto"/>
              <w:right w:val="single" w:sz="4" w:space="0" w:color="auto"/>
            </w:tcBorders>
            <w:shd w:val="clear" w:color="auto" w:fill="auto"/>
            <w:vAlign w:val="center"/>
          </w:tcPr>
          <w:p w:rsidR="00A77DC5" w:rsidRPr="00B623DB" w:rsidRDefault="00A77DC5" w:rsidP="00A77DC5">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4 (5)</w:t>
            </w:r>
          </w:p>
        </w:tc>
        <w:tc>
          <w:tcPr>
            <w:tcW w:w="1197" w:type="dxa"/>
            <w:tcBorders>
              <w:top w:val="single" w:sz="4" w:space="0" w:color="auto"/>
              <w:left w:val="nil"/>
              <w:bottom w:val="single" w:sz="4" w:space="0" w:color="auto"/>
              <w:right w:val="single" w:sz="4" w:space="0" w:color="auto"/>
            </w:tcBorders>
            <w:shd w:val="clear" w:color="auto" w:fill="auto"/>
            <w:vAlign w:val="center"/>
          </w:tcPr>
          <w:p w:rsidR="00A77DC5" w:rsidRPr="00B623DB" w:rsidRDefault="00E57D2C" w:rsidP="0051659F">
            <w:pPr>
              <w:spacing w:before="0" w:after="0"/>
              <w:jc w:val="center"/>
              <w:rPr>
                <w:rFonts w:ascii="Arial Narrow" w:eastAsia="Times New Roman" w:hAnsi="Arial Narrow" w:cs="Times New Roman"/>
                <w:iCs/>
                <w:color w:val="000000"/>
                <w:sz w:val="20"/>
                <w:szCs w:val="20"/>
                <w:lang w:eastAsia="en-AU"/>
              </w:rPr>
            </w:pPr>
            <w:r w:rsidRPr="00B623DB">
              <w:rPr>
                <w:rFonts w:ascii="Arial Narrow" w:eastAsia="Times New Roman" w:hAnsi="Arial Narrow" w:cs="Times New Roman"/>
                <w:iCs/>
                <w:color w:val="000000"/>
                <w:sz w:val="20"/>
                <w:szCs w:val="20"/>
                <w:lang w:eastAsia="en-AU"/>
              </w:rPr>
              <w:t>17 (NR)</w:t>
            </w:r>
          </w:p>
        </w:tc>
      </w:tr>
    </w:tbl>
    <w:p w:rsidR="0051659F" w:rsidRPr="00B623DB" w:rsidRDefault="00BB60C5" w:rsidP="0051659F">
      <w:pPr>
        <w:spacing w:before="0" w:after="0"/>
        <w:jc w:val="both"/>
        <w:rPr>
          <w:rFonts w:ascii="Arial Narrow" w:hAnsi="Arial Narrow"/>
          <w:sz w:val="18"/>
        </w:rPr>
      </w:pPr>
      <w:r w:rsidRPr="00B623DB">
        <w:rPr>
          <w:rFonts w:ascii="Arial Narrow" w:hAnsi="Arial Narrow"/>
          <w:sz w:val="18"/>
        </w:rPr>
        <w:t xml:space="preserve">Abbreviations: CRP, C-reactive protein; </w:t>
      </w:r>
      <w:r w:rsidR="00352116" w:rsidRPr="00B623DB">
        <w:rPr>
          <w:rFonts w:ascii="Arial Narrow" w:hAnsi="Arial Narrow"/>
          <w:sz w:val="18"/>
        </w:rPr>
        <w:t xml:space="preserve">IQ, interquartile; </w:t>
      </w:r>
      <w:r w:rsidRPr="00B623DB">
        <w:rPr>
          <w:rFonts w:ascii="Arial Narrow" w:hAnsi="Arial Narrow"/>
          <w:sz w:val="18"/>
        </w:rPr>
        <w:t>NR, not reported; SD, standard deviation.</w:t>
      </w:r>
      <w:r w:rsidR="00446781" w:rsidRPr="00B623DB">
        <w:rPr>
          <w:rFonts w:ascii="Arial Narrow" w:hAnsi="Arial Narrow"/>
          <w:sz w:val="18"/>
        </w:rPr>
        <w:t xml:space="preserve"> </w:t>
      </w:r>
    </w:p>
    <w:p w:rsidR="0064019C" w:rsidRPr="00B623DB" w:rsidRDefault="0064019C" w:rsidP="0051659F">
      <w:pPr>
        <w:spacing w:before="0" w:after="0"/>
        <w:jc w:val="both"/>
        <w:rPr>
          <w:rFonts w:ascii="Arial Narrow" w:hAnsi="Arial Narrow"/>
          <w:sz w:val="18"/>
        </w:rPr>
      </w:pPr>
      <w:r w:rsidRPr="00B623DB">
        <w:rPr>
          <w:rFonts w:ascii="Arial Narrow" w:hAnsi="Arial Narrow"/>
          <w:sz w:val="18"/>
        </w:rPr>
        <w:t>a: Kuemmerle-Deschner 2013</w:t>
      </w:r>
      <w:r w:rsidR="00A77DC5" w:rsidRPr="00B623DB">
        <w:rPr>
          <w:rFonts w:ascii="Arial Narrow" w:hAnsi="Arial Narrow"/>
          <w:sz w:val="18"/>
        </w:rPr>
        <w:t>: CRP was reported as mg/dL. Values were multiplied by 10 for mg/L</w:t>
      </w:r>
    </w:p>
    <w:p w:rsidR="00233D88" w:rsidRPr="00B623DB" w:rsidRDefault="0051659F" w:rsidP="0051659F">
      <w:pPr>
        <w:spacing w:before="0" w:after="0"/>
        <w:jc w:val="both"/>
        <w:rPr>
          <w:rFonts w:ascii="Arial Narrow" w:hAnsi="Arial Narrow"/>
          <w:sz w:val="18"/>
        </w:rPr>
      </w:pPr>
      <w:r w:rsidRPr="00B623DB">
        <w:rPr>
          <w:rFonts w:ascii="Arial Narrow" w:hAnsi="Arial Narrow"/>
          <w:sz w:val="18"/>
        </w:rPr>
        <w:t xml:space="preserve">Constructed from Tables </w:t>
      </w:r>
      <w:r w:rsidR="00CB5603" w:rsidRPr="00B623DB">
        <w:rPr>
          <w:rFonts w:ascii="Arial Narrow" w:hAnsi="Arial Narrow"/>
          <w:sz w:val="18"/>
        </w:rPr>
        <w:t>2.5.1, 2.5.6</w:t>
      </w:r>
      <w:r w:rsidRPr="00B623DB">
        <w:rPr>
          <w:rFonts w:ascii="Arial Narrow" w:hAnsi="Arial Narrow"/>
          <w:sz w:val="18"/>
        </w:rPr>
        <w:t>, 2.5.7, 2.5.8</w:t>
      </w:r>
      <w:r w:rsidR="00CB5603" w:rsidRPr="00B623DB">
        <w:rPr>
          <w:rFonts w:ascii="Arial Narrow" w:hAnsi="Arial Narrow"/>
          <w:sz w:val="18"/>
        </w:rPr>
        <w:t>,</w:t>
      </w:r>
      <w:r w:rsidR="0064019C" w:rsidRPr="00B623DB">
        <w:rPr>
          <w:rFonts w:ascii="Arial Narrow" w:hAnsi="Arial Narrow"/>
          <w:sz w:val="18"/>
        </w:rPr>
        <w:t xml:space="preserve"> 2.5.10</w:t>
      </w:r>
      <w:r w:rsidR="00CB5603" w:rsidRPr="00B623DB">
        <w:rPr>
          <w:rFonts w:ascii="Arial Narrow" w:hAnsi="Arial Narrow"/>
          <w:sz w:val="18"/>
        </w:rPr>
        <w:t xml:space="preserve"> of</w:t>
      </w:r>
      <w:r w:rsidRPr="00B623DB">
        <w:rPr>
          <w:rFonts w:ascii="Arial Narrow" w:hAnsi="Arial Narrow"/>
          <w:sz w:val="18"/>
        </w:rPr>
        <w:t xml:space="preserve"> the Commentary.</w:t>
      </w:r>
    </w:p>
    <w:p w:rsidR="009D060A" w:rsidRPr="00B623DB" w:rsidRDefault="009D060A" w:rsidP="0051659F">
      <w:pPr>
        <w:spacing w:before="0" w:after="0"/>
        <w:jc w:val="both"/>
        <w:rPr>
          <w:rFonts w:ascii="Arial Narrow" w:hAnsi="Arial Narrow"/>
          <w:i/>
          <w:sz w:val="18"/>
        </w:rPr>
      </w:pPr>
    </w:p>
    <w:p w:rsidR="009D060A" w:rsidRPr="00B623DB" w:rsidRDefault="009D060A" w:rsidP="0051659F">
      <w:pPr>
        <w:spacing w:before="0" w:after="0"/>
        <w:jc w:val="both"/>
        <w:rPr>
          <w:rFonts w:ascii="Arial Narrow" w:hAnsi="Arial Narrow"/>
          <w:i/>
          <w:sz w:val="18"/>
        </w:rPr>
      </w:pPr>
      <w:r w:rsidRPr="00B623DB">
        <w:rPr>
          <w:rFonts w:ascii="Calibri" w:eastAsia="Times New Roman" w:hAnsi="Calibri" w:cs="Times New Roman"/>
          <w:i/>
          <w:szCs w:val="24"/>
        </w:rPr>
        <w:t>For more detail on PBAC’s view, see section 7 PBAC outcome.</w:t>
      </w:r>
    </w:p>
    <w:p w:rsidR="00C317F3" w:rsidRPr="00B623DB" w:rsidRDefault="00C317F3" w:rsidP="00233BBF">
      <w:pPr>
        <w:pStyle w:val="Heading2"/>
        <w:numPr>
          <w:ilvl w:val="0"/>
          <w:numId w:val="0"/>
        </w:numPr>
        <w:rPr>
          <w:i w:val="0"/>
        </w:rPr>
      </w:pPr>
      <w:bookmarkStart w:id="19" w:name="_Toc413139282"/>
      <w:bookmarkStart w:id="20" w:name="_Toc492307660"/>
      <w:r w:rsidRPr="00B623DB">
        <w:rPr>
          <w:i w:val="0"/>
        </w:rPr>
        <w:t>Economic analysis</w:t>
      </w:r>
      <w:bookmarkEnd w:id="19"/>
      <w:bookmarkEnd w:id="20"/>
    </w:p>
    <w:p w:rsidR="00F37482" w:rsidRPr="00B623DB" w:rsidRDefault="00C317F3" w:rsidP="00C42C16">
      <w:pPr>
        <w:pStyle w:val="ListParagraph"/>
        <w:numPr>
          <w:ilvl w:val="1"/>
          <w:numId w:val="2"/>
        </w:numPr>
        <w:spacing w:before="0" w:after="120"/>
        <w:jc w:val="both"/>
      </w:pPr>
      <w:r w:rsidRPr="00B623DB">
        <w:t xml:space="preserve">The equi-effective doses </w:t>
      </w:r>
      <w:r w:rsidR="00810D4B" w:rsidRPr="00B623DB">
        <w:t>we</w:t>
      </w:r>
      <w:r w:rsidRPr="00B623DB">
        <w:t>re estimated</w:t>
      </w:r>
      <w:r w:rsidR="0034605D">
        <w:t xml:space="preserve"> in the submission</w:t>
      </w:r>
      <w:r w:rsidRPr="00B623DB">
        <w:t xml:space="preserve"> as</w:t>
      </w:r>
      <w:r w:rsidR="00F37482" w:rsidRPr="00B623DB">
        <w:t>:</w:t>
      </w:r>
    </w:p>
    <w:p w:rsidR="00F37482" w:rsidRPr="00B623DB" w:rsidRDefault="00F37482" w:rsidP="00C42C16">
      <w:pPr>
        <w:pStyle w:val="ListParagraph"/>
        <w:numPr>
          <w:ilvl w:val="0"/>
          <w:numId w:val="17"/>
        </w:numPr>
        <w:spacing w:before="0" w:after="120"/>
        <w:ind w:left="993" w:hanging="284"/>
        <w:jc w:val="both"/>
      </w:pPr>
      <w:r w:rsidRPr="00B623DB">
        <w:rPr>
          <w:rFonts w:ascii="Calibri" w:eastAsia="Calibri" w:hAnsi="Calibri"/>
        </w:rPr>
        <w:t>canakinumab 150 mg once every 8 weeks = anakinra 100 mg once daily for eight weeks (5600 mg).</w:t>
      </w:r>
    </w:p>
    <w:p w:rsidR="009D08FF" w:rsidRPr="00B623DB" w:rsidRDefault="009D08FF" w:rsidP="009D08FF">
      <w:pPr>
        <w:ind w:left="709"/>
        <w:jc w:val="both"/>
        <w:rPr>
          <w:rFonts w:ascii="Calibri" w:eastAsia="Calibri" w:hAnsi="Calibri"/>
        </w:rPr>
      </w:pPr>
      <w:r w:rsidRPr="00B623DB">
        <w:rPr>
          <w:rFonts w:ascii="Calibri" w:eastAsia="Calibri" w:hAnsi="Calibri"/>
        </w:rPr>
        <w:t>The mean doses of canakinumab and anakinra were calculated by body weight and phenotype, consistent with the recommended dose regimens in the Product Information documents</w:t>
      </w:r>
      <w:r w:rsidR="00C55F68" w:rsidRPr="00B623DB">
        <w:rPr>
          <w:rFonts w:ascii="Calibri" w:eastAsia="Calibri" w:hAnsi="Calibri"/>
        </w:rPr>
        <w:t xml:space="preserve"> (</w:t>
      </w:r>
      <w:r w:rsidRPr="00B623DB">
        <w:rPr>
          <w:rFonts w:ascii="Calibri" w:eastAsia="Calibri" w:hAnsi="Calibri"/>
        </w:rPr>
        <w:t>mean weight × mean dose by phenotype</w:t>
      </w:r>
      <w:r w:rsidR="00C55F68" w:rsidRPr="00B623DB">
        <w:rPr>
          <w:rFonts w:ascii="Calibri" w:eastAsia="Calibri" w:hAnsi="Calibri"/>
        </w:rPr>
        <w:t>)</w:t>
      </w:r>
      <w:r w:rsidRPr="00B623DB">
        <w:rPr>
          <w:rFonts w:ascii="Calibri" w:eastAsia="Calibri" w:hAnsi="Calibri"/>
        </w:rPr>
        <w:t>. The distribution of patients between the NOMID and FCAS/MWS genotypes were derived from an Australian prospective epidemiological study of 18 patients (Mehr et al. 2016). The submission derived the mean body weights of patients with each genotype from patient ages reported in Mehr et al. (2016) plotted against Victorian Growth Charts</w:t>
      </w:r>
      <w:r w:rsidR="00F544AE" w:rsidRPr="00B623DB">
        <w:rPr>
          <w:rFonts w:ascii="Calibri" w:eastAsia="Calibri" w:hAnsi="Calibri"/>
        </w:rPr>
        <w:t xml:space="preserve"> (children)</w:t>
      </w:r>
      <w:r w:rsidRPr="00B623DB">
        <w:rPr>
          <w:rFonts w:ascii="Calibri" w:eastAsia="Calibri" w:hAnsi="Calibri"/>
        </w:rPr>
        <w:t xml:space="preserve"> and weight-for-age tables from the Australian Bureau of Statistics (adults). The table below presents the calculation of weighted doses. </w:t>
      </w:r>
    </w:p>
    <w:p w:rsidR="0057733B" w:rsidRDefault="0057733B">
      <w:pPr>
        <w:spacing w:before="0" w:line="259" w:lineRule="auto"/>
        <w:rPr>
          <w:rFonts w:ascii="Arial Narrow" w:hAnsi="Arial Narrow"/>
          <w:b/>
          <w:sz w:val="20"/>
        </w:rPr>
      </w:pPr>
      <w:r>
        <w:rPr>
          <w:rFonts w:ascii="Arial Narrow" w:hAnsi="Arial Narrow"/>
          <w:b/>
          <w:sz w:val="20"/>
        </w:rPr>
        <w:br w:type="page"/>
      </w:r>
    </w:p>
    <w:p w:rsidR="009D08FF" w:rsidRPr="00B623DB" w:rsidRDefault="009D08FF" w:rsidP="00E90DE0">
      <w:pPr>
        <w:keepNext/>
        <w:keepLines/>
        <w:spacing w:before="0" w:after="0"/>
        <w:ind w:left="62"/>
        <w:rPr>
          <w:rFonts w:ascii="Arial Narrow" w:hAnsi="Arial Narrow"/>
          <w:b/>
          <w:sz w:val="20"/>
        </w:rPr>
      </w:pPr>
      <w:r w:rsidRPr="00B623DB">
        <w:rPr>
          <w:rFonts w:ascii="Arial Narrow" w:hAnsi="Arial Narrow"/>
          <w:b/>
          <w:sz w:val="20"/>
        </w:rPr>
        <w:t xml:space="preserve">Table </w:t>
      </w:r>
      <w:r w:rsidR="00A92255" w:rsidRPr="00B623DB">
        <w:rPr>
          <w:rFonts w:ascii="Arial Narrow" w:hAnsi="Arial Narrow"/>
          <w:b/>
          <w:sz w:val="20"/>
        </w:rPr>
        <w:t>10</w:t>
      </w:r>
      <w:r w:rsidRPr="00B623DB">
        <w:rPr>
          <w:rFonts w:ascii="Arial Narrow" w:hAnsi="Arial Narrow"/>
          <w:b/>
          <w:sz w:val="20"/>
        </w:rPr>
        <w:t>:  Calculation of mean canakinumab and anakinra doses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993"/>
        <w:gridCol w:w="1417"/>
        <w:gridCol w:w="992"/>
        <w:gridCol w:w="1276"/>
        <w:gridCol w:w="992"/>
        <w:gridCol w:w="1134"/>
      </w:tblGrid>
      <w:tr w:rsidR="009D08FF" w:rsidRPr="00B623DB" w:rsidTr="00E90DE0">
        <w:tc>
          <w:tcPr>
            <w:tcW w:w="1276" w:type="dxa"/>
            <w:shd w:val="clear" w:color="auto" w:fill="auto"/>
            <w:vAlign w:val="center"/>
          </w:tcPr>
          <w:p w:rsidR="009D08FF" w:rsidRPr="00B623DB" w:rsidRDefault="009D08FF" w:rsidP="00F0722B">
            <w:pPr>
              <w:pStyle w:val="PBACTableText"/>
              <w:ind w:left="4"/>
              <w:rPr>
                <w:b/>
              </w:rPr>
            </w:pPr>
            <w:r w:rsidRPr="00B623DB">
              <w:rPr>
                <w:b/>
              </w:rPr>
              <w:t>Phenotype</w:t>
            </w:r>
          </w:p>
        </w:tc>
        <w:tc>
          <w:tcPr>
            <w:tcW w:w="992" w:type="dxa"/>
            <w:shd w:val="clear" w:color="auto" w:fill="auto"/>
            <w:vAlign w:val="center"/>
          </w:tcPr>
          <w:p w:rsidR="009D08FF" w:rsidRPr="00B623DB" w:rsidRDefault="009D08FF" w:rsidP="00F0722B">
            <w:pPr>
              <w:pStyle w:val="PBACTableText"/>
              <w:ind w:left="-61" w:right="-48"/>
              <w:jc w:val="center"/>
              <w:rPr>
                <w:b/>
              </w:rPr>
            </w:pPr>
            <w:r w:rsidRPr="00B623DB">
              <w:rPr>
                <w:b/>
              </w:rPr>
              <w:t>Weight range</w:t>
            </w:r>
          </w:p>
        </w:tc>
        <w:tc>
          <w:tcPr>
            <w:tcW w:w="993" w:type="dxa"/>
            <w:shd w:val="clear" w:color="auto" w:fill="auto"/>
            <w:vAlign w:val="center"/>
          </w:tcPr>
          <w:p w:rsidR="009D08FF" w:rsidRPr="00B623DB" w:rsidRDefault="009D08FF" w:rsidP="00F0722B">
            <w:pPr>
              <w:pStyle w:val="PBACTableText"/>
              <w:ind w:left="-61" w:right="-48"/>
              <w:jc w:val="center"/>
              <w:rPr>
                <w:b/>
                <w:vertAlign w:val="superscript"/>
              </w:rPr>
            </w:pPr>
            <w:r w:rsidRPr="00B623DB">
              <w:rPr>
                <w:b/>
              </w:rPr>
              <w:t>Mean patient weight</w:t>
            </w:r>
            <w:r w:rsidRPr="00B623DB">
              <w:rPr>
                <w:b/>
                <w:vertAlign w:val="superscript"/>
              </w:rPr>
              <w:t>a</w:t>
            </w:r>
          </w:p>
        </w:tc>
        <w:tc>
          <w:tcPr>
            <w:tcW w:w="1417" w:type="dxa"/>
            <w:vAlign w:val="center"/>
          </w:tcPr>
          <w:p w:rsidR="009D08FF" w:rsidRPr="00B623DB" w:rsidRDefault="009D08FF" w:rsidP="00F0722B">
            <w:pPr>
              <w:pStyle w:val="PbacTableHeading"/>
              <w:ind w:left="-61" w:right="-48"/>
              <w:jc w:val="center"/>
              <w:rPr>
                <w:vertAlign w:val="superscript"/>
              </w:rPr>
            </w:pPr>
            <w:r w:rsidRPr="00B623DB">
              <w:t>Recommended dose regimen</w:t>
            </w:r>
            <w:r w:rsidRPr="00B623DB">
              <w:rPr>
                <w:vertAlign w:val="superscript"/>
              </w:rPr>
              <w:t>b</w:t>
            </w:r>
          </w:p>
        </w:tc>
        <w:tc>
          <w:tcPr>
            <w:tcW w:w="992" w:type="dxa"/>
            <w:vAlign w:val="center"/>
          </w:tcPr>
          <w:p w:rsidR="009D08FF" w:rsidRPr="00B623DB" w:rsidRDefault="009D08FF" w:rsidP="00F0722B">
            <w:pPr>
              <w:pStyle w:val="PbacTableHeading"/>
              <w:ind w:left="-61" w:right="-48"/>
              <w:jc w:val="center"/>
              <w:rPr>
                <w:vertAlign w:val="superscript"/>
              </w:rPr>
            </w:pPr>
            <w:r w:rsidRPr="00B623DB">
              <w:t xml:space="preserve">Mean dose </w:t>
            </w:r>
          </w:p>
        </w:tc>
        <w:tc>
          <w:tcPr>
            <w:tcW w:w="1276" w:type="dxa"/>
            <w:shd w:val="clear" w:color="auto" w:fill="auto"/>
            <w:vAlign w:val="center"/>
          </w:tcPr>
          <w:p w:rsidR="009D08FF" w:rsidRPr="00B623DB" w:rsidRDefault="009D08FF" w:rsidP="00F0722B">
            <w:pPr>
              <w:pStyle w:val="PbacTableHeading"/>
              <w:ind w:left="-61" w:right="-48"/>
              <w:jc w:val="center"/>
              <w:rPr>
                <w:vertAlign w:val="superscript"/>
              </w:rPr>
            </w:pPr>
            <w:r w:rsidRPr="00B623DB">
              <w:t>Distribution by phenotype</w:t>
            </w:r>
            <w:r w:rsidRPr="00B623DB">
              <w:rPr>
                <w:vertAlign w:val="superscript"/>
              </w:rPr>
              <w:t>c</w:t>
            </w:r>
          </w:p>
        </w:tc>
        <w:tc>
          <w:tcPr>
            <w:tcW w:w="992" w:type="dxa"/>
            <w:shd w:val="clear" w:color="auto" w:fill="auto"/>
            <w:vAlign w:val="center"/>
          </w:tcPr>
          <w:p w:rsidR="009D08FF" w:rsidRPr="00B623DB" w:rsidRDefault="009D08FF" w:rsidP="00F0722B">
            <w:pPr>
              <w:pStyle w:val="PbacTableHeading"/>
              <w:ind w:left="-61" w:right="-48"/>
              <w:jc w:val="center"/>
              <w:rPr>
                <w:vertAlign w:val="superscript"/>
              </w:rPr>
            </w:pPr>
            <w:r w:rsidRPr="00B623DB">
              <w:t>Weighted average dose</w:t>
            </w:r>
          </w:p>
        </w:tc>
        <w:tc>
          <w:tcPr>
            <w:tcW w:w="1134" w:type="dxa"/>
            <w:shd w:val="clear" w:color="auto" w:fill="auto"/>
            <w:vAlign w:val="center"/>
          </w:tcPr>
          <w:p w:rsidR="009D08FF" w:rsidRPr="00B623DB" w:rsidRDefault="009D08FF" w:rsidP="00F0722B">
            <w:pPr>
              <w:pStyle w:val="PbacTableHeading"/>
              <w:ind w:left="-61" w:right="-48"/>
              <w:jc w:val="center"/>
              <w:rPr>
                <w:vertAlign w:val="superscript"/>
              </w:rPr>
            </w:pPr>
            <w:r w:rsidRPr="00B623DB">
              <w:t>Mean dose used in submission</w:t>
            </w:r>
          </w:p>
        </w:tc>
      </w:tr>
      <w:tr w:rsidR="009D08FF" w:rsidRPr="00B623DB" w:rsidTr="00E90DE0">
        <w:tc>
          <w:tcPr>
            <w:tcW w:w="9072" w:type="dxa"/>
            <w:gridSpan w:val="8"/>
            <w:shd w:val="clear" w:color="auto" w:fill="auto"/>
          </w:tcPr>
          <w:p w:rsidR="009D08FF" w:rsidRPr="00B623DB" w:rsidRDefault="009D08FF" w:rsidP="00F0722B">
            <w:pPr>
              <w:pStyle w:val="PBACTableText"/>
              <w:rPr>
                <w:b/>
              </w:rPr>
            </w:pPr>
            <w:r w:rsidRPr="00B623DB">
              <w:rPr>
                <w:b/>
              </w:rPr>
              <w:t>Mean dose of canakinumab (once every 8 weeks)</w:t>
            </w:r>
          </w:p>
        </w:tc>
      </w:tr>
      <w:tr w:rsidR="009D08FF" w:rsidRPr="00B623DB" w:rsidTr="00E90DE0">
        <w:tc>
          <w:tcPr>
            <w:tcW w:w="1276" w:type="dxa"/>
            <w:shd w:val="clear" w:color="auto" w:fill="auto"/>
          </w:tcPr>
          <w:p w:rsidR="009D08FF" w:rsidRPr="00B623DB" w:rsidRDefault="009D08FF" w:rsidP="00F0722B">
            <w:pPr>
              <w:pStyle w:val="PBACTableText"/>
              <w:rPr>
                <w:b/>
              </w:rPr>
            </w:pPr>
            <w:r w:rsidRPr="00B623DB">
              <w:rPr>
                <w:b/>
              </w:rPr>
              <w:t>FCAS</w:t>
            </w:r>
          </w:p>
        </w:tc>
        <w:tc>
          <w:tcPr>
            <w:tcW w:w="992" w:type="dxa"/>
            <w:vMerge w:val="restart"/>
            <w:shd w:val="clear" w:color="auto" w:fill="auto"/>
            <w:vAlign w:val="center"/>
          </w:tcPr>
          <w:p w:rsidR="009D08FF" w:rsidRPr="00B623DB" w:rsidRDefault="009D08FF" w:rsidP="00F0722B">
            <w:pPr>
              <w:pStyle w:val="PBACTableText"/>
              <w:jc w:val="center"/>
            </w:pPr>
            <w:r w:rsidRPr="00B623DB">
              <w:t>≥ 40 kg</w:t>
            </w:r>
          </w:p>
        </w:tc>
        <w:tc>
          <w:tcPr>
            <w:tcW w:w="993" w:type="dxa"/>
            <w:shd w:val="clear" w:color="auto" w:fill="auto"/>
            <w:vAlign w:val="center"/>
          </w:tcPr>
          <w:p w:rsidR="009D08FF" w:rsidRPr="00B623DB" w:rsidRDefault="009D08FF" w:rsidP="00F0722B">
            <w:pPr>
              <w:pStyle w:val="PBACTableText"/>
              <w:jc w:val="center"/>
            </w:pPr>
            <w:r w:rsidRPr="00B623DB">
              <w:t>50.39 kg</w:t>
            </w:r>
          </w:p>
        </w:tc>
        <w:tc>
          <w:tcPr>
            <w:tcW w:w="1417" w:type="dxa"/>
            <w:vAlign w:val="center"/>
          </w:tcPr>
          <w:p w:rsidR="009D08FF" w:rsidRPr="00B623DB" w:rsidRDefault="009D08FF" w:rsidP="00F0722B">
            <w:pPr>
              <w:pStyle w:val="PBACTableText"/>
              <w:jc w:val="center"/>
            </w:pPr>
            <w:r w:rsidRPr="00B623DB">
              <w:t>150 mg</w:t>
            </w:r>
          </w:p>
        </w:tc>
        <w:tc>
          <w:tcPr>
            <w:tcW w:w="992" w:type="dxa"/>
            <w:vAlign w:val="center"/>
          </w:tcPr>
          <w:p w:rsidR="009D08FF" w:rsidRPr="00B623DB" w:rsidRDefault="009D08FF" w:rsidP="00F0722B">
            <w:pPr>
              <w:pStyle w:val="PBACTableText"/>
              <w:jc w:val="center"/>
            </w:pPr>
            <w:r w:rsidRPr="00B623DB">
              <w:t>150 mg</w:t>
            </w:r>
          </w:p>
        </w:tc>
        <w:tc>
          <w:tcPr>
            <w:tcW w:w="1276" w:type="dxa"/>
            <w:shd w:val="clear" w:color="auto" w:fill="auto"/>
            <w:vAlign w:val="center"/>
          </w:tcPr>
          <w:p w:rsidR="009D08FF" w:rsidRPr="00B623DB" w:rsidRDefault="009D08FF" w:rsidP="00F0722B">
            <w:pPr>
              <w:pStyle w:val="PBACTableText"/>
              <w:jc w:val="center"/>
            </w:pPr>
            <w:r w:rsidRPr="00B623DB">
              <w:t>11%</w:t>
            </w:r>
          </w:p>
        </w:tc>
        <w:tc>
          <w:tcPr>
            <w:tcW w:w="992" w:type="dxa"/>
            <w:vMerge w:val="restart"/>
            <w:shd w:val="clear" w:color="auto" w:fill="auto"/>
            <w:vAlign w:val="center"/>
          </w:tcPr>
          <w:p w:rsidR="009D08FF" w:rsidRPr="00B623DB" w:rsidRDefault="009D08FF" w:rsidP="00F0722B">
            <w:pPr>
              <w:pStyle w:val="PBACTableText"/>
              <w:jc w:val="center"/>
            </w:pPr>
            <w:r w:rsidRPr="00B623DB">
              <w:t>115.8 mg</w:t>
            </w:r>
          </w:p>
        </w:tc>
        <w:tc>
          <w:tcPr>
            <w:tcW w:w="1134" w:type="dxa"/>
            <w:vMerge w:val="restart"/>
            <w:shd w:val="clear" w:color="auto" w:fill="auto"/>
            <w:vAlign w:val="center"/>
          </w:tcPr>
          <w:p w:rsidR="009D08FF" w:rsidRPr="00B623DB" w:rsidRDefault="009D08FF" w:rsidP="00F0722B">
            <w:pPr>
              <w:pStyle w:val="PBACTableText"/>
              <w:jc w:val="center"/>
            </w:pPr>
            <w:r w:rsidRPr="00B623DB">
              <w:t>150 mg</w:t>
            </w:r>
          </w:p>
        </w:tc>
      </w:tr>
      <w:tr w:rsidR="009D08FF" w:rsidRPr="00B623DB" w:rsidTr="00E90DE0">
        <w:tc>
          <w:tcPr>
            <w:tcW w:w="1276" w:type="dxa"/>
            <w:shd w:val="clear" w:color="auto" w:fill="auto"/>
          </w:tcPr>
          <w:p w:rsidR="009D08FF" w:rsidRPr="00B623DB" w:rsidRDefault="009D08FF" w:rsidP="00F0722B">
            <w:pPr>
              <w:pStyle w:val="PBACTableText"/>
              <w:rPr>
                <w:b/>
              </w:rPr>
            </w:pPr>
            <w:r w:rsidRPr="00B623DB">
              <w:rPr>
                <w:b/>
              </w:rPr>
              <w:t>MWS</w:t>
            </w:r>
          </w:p>
        </w:tc>
        <w:tc>
          <w:tcPr>
            <w:tcW w:w="992" w:type="dxa"/>
            <w:vMerge/>
            <w:shd w:val="clear" w:color="auto" w:fill="auto"/>
            <w:vAlign w:val="center"/>
          </w:tcPr>
          <w:p w:rsidR="009D08FF" w:rsidRPr="00B623DB" w:rsidRDefault="009D08FF" w:rsidP="00F0722B">
            <w:pPr>
              <w:pStyle w:val="PBACTableText"/>
              <w:jc w:val="center"/>
            </w:pPr>
          </w:p>
        </w:tc>
        <w:tc>
          <w:tcPr>
            <w:tcW w:w="993" w:type="dxa"/>
            <w:shd w:val="clear" w:color="auto" w:fill="auto"/>
            <w:vAlign w:val="center"/>
          </w:tcPr>
          <w:p w:rsidR="009D08FF" w:rsidRPr="00B623DB" w:rsidRDefault="009D08FF" w:rsidP="00F0722B">
            <w:pPr>
              <w:pStyle w:val="PBACTableText"/>
              <w:jc w:val="center"/>
            </w:pPr>
            <w:r w:rsidRPr="00B623DB">
              <w:t>50.39 kg</w:t>
            </w:r>
          </w:p>
        </w:tc>
        <w:tc>
          <w:tcPr>
            <w:tcW w:w="1417" w:type="dxa"/>
            <w:vAlign w:val="center"/>
          </w:tcPr>
          <w:p w:rsidR="009D08FF" w:rsidRPr="00B623DB" w:rsidRDefault="009D08FF" w:rsidP="00F0722B">
            <w:pPr>
              <w:pStyle w:val="PBACTableText"/>
              <w:jc w:val="center"/>
            </w:pPr>
            <w:r w:rsidRPr="00B623DB">
              <w:t>150 mg</w:t>
            </w:r>
          </w:p>
        </w:tc>
        <w:tc>
          <w:tcPr>
            <w:tcW w:w="992" w:type="dxa"/>
            <w:vAlign w:val="center"/>
          </w:tcPr>
          <w:p w:rsidR="009D08FF" w:rsidRPr="00B623DB" w:rsidRDefault="009D08FF" w:rsidP="00F0722B">
            <w:pPr>
              <w:pStyle w:val="PBACTableText"/>
              <w:jc w:val="center"/>
            </w:pPr>
            <w:r w:rsidRPr="00B623DB">
              <w:t>150 mg</w:t>
            </w:r>
          </w:p>
        </w:tc>
        <w:tc>
          <w:tcPr>
            <w:tcW w:w="1276" w:type="dxa"/>
            <w:shd w:val="clear" w:color="auto" w:fill="auto"/>
            <w:vAlign w:val="center"/>
          </w:tcPr>
          <w:p w:rsidR="009D08FF" w:rsidRPr="00B623DB" w:rsidRDefault="009D08FF" w:rsidP="00F0722B">
            <w:pPr>
              <w:pStyle w:val="PBACTableText"/>
              <w:jc w:val="center"/>
            </w:pPr>
            <w:r w:rsidRPr="00B623DB">
              <w:t>44%</w:t>
            </w:r>
          </w:p>
        </w:tc>
        <w:tc>
          <w:tcPr>
            <w:tcW w:w="992" w:type="dxa"/>
            <w:vMerge/>
            <w:shd w:val="clear" w:color="auto" w:fill="auto"/>
            <w:vAlign w:val="center"/>
          </w:tcPr>
          <w:p w:rsidR="009D08FF" w:rsidRPr="00B623DB" w:rsidRDefault="009D08FF" w:rsidP="00F0722B">
            <w:pPr>
              <w:pStyle w:val="PBACTableText"/>
              <w:jc w:val="center"/>
            </w:pPr>
          </w:p>
        </w:tc>
        <w:tc>
          <w:tcPr>
            <w:tcW w:w="1134" w:type="dxa"/>
            <w:vMerge/>
            <w:shd w:val="clear" w:color="auto" w:fill="auto"/>
            <w:vAlign w:val="center"/>
          </w:tcPr>
          <w:p w:rsidR="009D08FF" w:rsidRPr="00B623DB" w:rsidRDefault="009D08FF" w:rsidP="00F0722B">
            <w:pPr>
              <w:pStyle w:val="PBACTableText"/>
              <w:jc w:val="center"/>
            </w:pPr>
          </w:p>
        </w:tc>
      </w:tr>
      <w:tr w:rsidR="009D08FF" w:rsidRPr="00B623DB" w:rsidTr="00E90DE0">
        <w:tc>
          <w:tcPr>
            <w:tcW w:w="1276" w:type="dxa"/>
            <w:shd w:val="clear" w:color="auto" w:fill="auto"/>
          </w:tcPr>
          <w:p w:rsidR="009D08FF" w:rsidRPr="00B623DB" w:rsidRDefault="009D08FF" w:rsidP="00F0722B">
            <w:pPr>
              <w:pStyle w:val="PBACTableText"/>
              <w:rPr>
                <w:b/>
              </w:rPr>
            </w:pPr>
            <w:r w:rsidRPr="00B623DB">
              <w:rPr>
                <w:b/>
              </w:rPr>
              <w:t>NOMID</w:t>
            </w:r>
          </w:p>
        </w:tc>
        <w:tc>
          <w:tcPr>
            <w:tcW w:w="992" w:type="dxa"/>
            <w:shd w:val="clear" w:color="auto" w:fill="auto"/>
            <w:vAlign w:val="center"/>
          </w:tcPr>
          <w:p w:rsidR="009D08FF" w:rsidRPr="00B623DB" w:rsidRDefault="009D08FF" w:rsidP="00F0722B">
            <w:pPr>
              <w:pStyle w:val="PBACTableText"/>
              <w:jc w:val="center"/>
            </w:pPr>
            <w:r w:rsidRPr="00B623DB">
              <w:t>15 - 40 kg</w:t>
            </w:r>
          </w:p>
        </w:tc>
        <w:tc>
          <w:tcPr>
            <w:tcW w:w="993" w:type="dxa"/>
            <w:shd w:val="clear" w:color="auto" w:fill="auto"/>
            <w:vAlign w:val="center"/>
          </w:tcPr>
          <w:p w:rsidR="009D08FF" w:rsidRPr="00B623DB" w:rsidRDefault="009D08FF" w:rsidP="00F0722B">
            <w:pPr>
              <w:pStyle w:val="PBACTableText"/>
              <w:jc w:val="center"/>
            </w:pPr>
            <w:r w:rsidRPr="00B623DB">
              <w:t>36.50 kg</w:t>
            </w:r>
          </w:p>
        </w:tc>
        <w:tc>
          <w:tcPr>
            <w:tcW w:w="1417" w:type="dxa"/>
            <w:vAlign w:val="center"/>
          </w:tcPr>
          <w:p w:rsidR="009D08FF" w:rsidRPr="00B623DB" w:rsidRDefault="009D08FF" w:rsidP="00F0722B">
            <w:pPr>
              <w:pStyle w:val="PBACTableText"/>
              <w:jc w:val="center"/>
            </w:pPr>
            <w:r w:rsidRPr="00B623DB">
              <w:t>2 mg/kg</w:t>
            </w:r>
          </w:p>
        </w:tc>
        <w:tc>
          <w:tcPr>
            <w:tcW w:w="992" w:type="dxa"/>
            <w:vAlign w:val="center"/>
          </w:tcPr>
          <w:p w:rsidR="009D08FF" w:rsidRPr="00B623DB" w:rsidRDefault="009D08FF" w:rsidP="00F0722B">
            <w:pPr>
              <w:pStyle w:val="PBACTableText"/>
              <w:jc w:val="center"/>
            </w:pPr>
            <w:r w:rsidRPr="00B623DB">
              <w:t>73 mg</w:t>
            </w:r>
          </w:p>
        </w:tc>
        <w:tc>
          <w:tcPr>
            <w:tcW w:w="1276" w:type="dxa"/>
            <w:shd w:val="clear" w:color="auto" w:fill="auto"/>
            <w:vAlign w:val="center"/>
          </w:tcPr>
          <w:p w:rsidR="009D08FF" w:rsidRPr="00B623DB" w:rsidRDefault="009D08FF" w:rsidP="00F0722B">
            <w:pPr>
              <w:pStyle w:val="PBACTableText"/>
              <w:jc w:val="center"/>
            </w:pPr>
            <w:r w:rsidRPr="00B623DB">
              <w:t>44%</w:t>
            </w:r>
          </w:p>
        </w:tc>
        <w:tc>
          <w:tcPr>
            <w:tcW w:w="992" w:type="dxa"/>
            <w:vMerge/>
            <w:shd w:val="clear" w:color="auto" w:fill="auto"/>
            <w:vAlign w:val="center"/>
          </w:tcPr>
          <w:p w:rsidR="009D08FF" w:rsidRPr="00B623DB" w:rsidRDefault="009D08FF" w:rsidP="00F0722B">
            <w:pPr>
              <w:pStyle w:val="PBACTableText"/>
              <w:jc w:val="center"/>
            </w:pPr>
          </w:p>
        </w:tc>
        <w:tc>
          <w:tcPr>
            <w:tcW w:w="1134" w:type="dxa"/>
            <w:vMerge/>
            <w:shd w:val="clear" w:color="auto" w:fill="auto"/>
            <w:vAlign w:val="center"/>
          </w:tcPr>
          <w:p w:rsidR="009D08FF" w:rsidRPr="00B623DB" w:rsidRDefault="009D08FF" w:rsidP="00F0722B">
            <w:pPr>
              <w:pStyle w:val="PBACTableText"/>
              <w:jc w:val="center"/>
            </w:pPr>
          </w:p>
        </w:tc>
      </w:tr>
      <w:tr w:rsidR="009D08FF" w:rsidRPr="00B623DB" w:rsidTr="00E90DE0">
        <w:tc>
          <w:tcPr>
            <w:tcW w:w="9072" w:type="dxa"/>
            <w:gridSpan w:val="8"/>
            <w:shd w:val="clear" w:color="auto" w:fill="auto"/>
          </w:tcPr>
          <w:p w:rsidR="009D08FF" w:rsidRPr="00B623DB" w:rsidRDefault="009D08FF" w:rsidP="00F0722B">
            <w:pPr>
              <w:pStyle w:val="PBACTableText"/>
              <w:rPr>
                <w:b/>
              </w:rPr>
            </w:pPr>
            <w:r w:rsidRPr="00B623DB">
              <w:rPr>
                <w:b/>
              </w:rPr>
              <w:t>Mean dose of anakinra (once daily)</w:t>
            </w:r>
          </w:p>
        </w:tc>
      </w:tr>
      <w:tr w:rsidR="009D08FF" w:rsidRPr="00B623DB" w:rsidTr="00E90DE0">
        <w:tc>
          <w:tcPr>
            <w:tcW w:w="1276" w:type="dxa"/>
            <w:shd w:val="clear" w:color="auto" w:fill="auto"/>
          </w:tcPr>
          <w:p w:rsidR="009D08FF" w:rsidRPr="00B623DB" w:rsidRDefault="009D08FF" w:rsidP="00F0722B">
            <w:pPr>
              <w:pStyle w:val="PBACTableText"/>
              <w:rPr>
                <w:b/>
              </w:rPr>
            </w:pPr>
            <w:r w:rsidRPr="00B623DB">
              <w:rPr>
                <w:b/>
              </w:rPr>
              <w:t>FCAS</w:t>
            </w:r>
          </w:p>
        </w:tc>
        <w:tc>
          <w:tcPr>
            <w:tcW w:w="992" w:type="dxa"/>
            <w:vMerge w:val="restart"/>
            <w:shd w:val="clear" w:color="auto" w:fill="auto"/>
            <w:vAlign w:val="center"/>
          </w:tcPr>
          <w:p w:rsidR="009D08FF" w:rsidRPr="00B623DB" w:rsidRDefault="009D08FF" w:rsidP="00F0722B">
            <w:pPr>
              <w:pStyle w:val="PBACTableText"/>
              <w:jc w:val="center"/>
            </w:pPr>
            <w:r w:rsidRPr="00B623DB">
              <w:t>≥ 10 kg</w:t>
            </w:r>
          </w:p>
        </w:tc>
        <w:tc>
          <w:tcPr>
            <w:tcW w:w="993" w:type="dxa"/>
            <w:shd w:val="clear" w:color="auto" w:fill="auto"/>
            <w:vAlign w:val="center"/>
          </w:tcPr>
          <w:p w:rsidR="009D08FF" w:rsidRPr="00B623DB" w:rsidRDefault="009D08FF" w:rsidP="00F0722B">
            <w:pPr>
              <w:pStyle w:val="PBACTableText"/>
              <w:jc w:val="center"/>
            </w:pPr>
            <w:r w:rsidRPr="00B623DB">
              <w:t>50.39 kg</w:t>
            </w:r>
          </w:p>
        </w:tc>
        <w:tc>
          <w:tcPr>
            <w:tcW w:w="1417" w:type="dxa"/>
            <w:vAlign w:val="center"/>
          </w:tcPr>
          <w:p w:rsidR="009D08FF" w:rsidRPr="00B623DB" w:rsidRDefault="009D08FF" w:rsidP="00F0722B">
            <w:pPr>
              <w:pStyle w:val="PBACTableText"/>
              <w:jc w:val="center"/>
            </w:pPr>
            <w:r w:rsidRPr="00B623DB">
              <w:t>1.5 mg/kg</w:t>
            </w:r>
          </w:p>
        </w:tc>
        <w:tc>
          <w:tcPr>
            <w:tcW w:w="992" w:type="dxa"/>
            <w:vAlign w:val="center"/>
          </w:tcPr>
          <w:p w:rsidR="009D08FF" w:rsidRPr="00B623DB" w:rsidRDefault="009D08FF" w:rsidP="00F0722B">
            <w:pPr>
              <w:pStyle w:val="PBACTableText"/>
              <w:jc w:val="center"/>
            </w:pPr>
            <w:r w:rsidRPr="00B623DB">
              <w:t>75.6 mg</w:t>
            </w:r>
          </w:p>
        </w:tc>
        <w:tc>
          <w:tcPr>
            <w:tcW w:w="1276" w:type="dxa"/>
            <w:shd w:val="clear" w:color="auto" w:fill="auto"/>
            <w:vAlign w:val="center"/>
          </w:tcPr>
          <w:p w:rsidR="009D08FF" w:rsidRPr="00B623DB" w:rsidRDefault="009D08FF" w:rsidP="00F0722B">
            <w:pPr>
              <w:pStyle w:val="PBACTableText"/>
              <w:jc w:val="center"/>
            </w:pPr>
            <w:r w:rsidRPr="00B623DB">
              <w:t>11%</w:t>
            </w:r>
          </w:p>
        </w:tc>
        <w:tc>
          <w:tcPr>
            <w:tcW w:w="992" w:type="dxa"/>
            <w:vMerge w:val="restart"/>
            <w:shd w:val="clear" w:color="auto" w:fill="auto"/>
            <w:vAlign w:val="center"/>
          </w:tcPr>
          <w:p w:rsidR="009D08FF" w:rsidRPr="00B623DB" w:rsidRDefault="009D08FF" w:rsidP="00F0722B">
            <w:pPr>
              <w:pStyle w:val="PBACTableText"/>
              <w:jc w:val="center"/>
            </w:pPr>
            <w:r w:rsidRPr="00B623DB">
              <w:t>98.8 mg</w:t>
            </w:r>
          </w:p>
        </w:tc>
        <w:tc>
          <w:tcPr>
            <w:tcW w:w="1134" w:type="dxa"/>
            <w:vMerge w:val="restart"/>
            <w:shd w:val="clear" w:color="auto" w:fill="auto"/>
            <w:vAlign w:val="center"/>
          </w:tcPr>
          <w:p w:rsidR="009D08FF" w:rsidRPr="00B623DB" w:rsidRDefault="009D08FF" w:rsidP="00F0722B">
            <w:pPr>
              <w:pStyle w:val="PBACTableText"/>
              <w:jc w:val="center"/>
            </w:pPr>
            <w:r w:rsidRPr="00B623DB">
              <w:t>100 mg</w:t>
            </w:r>
          </w:p>
        </w:tc>
      </w:tr>
      <w:tr w:rsidR="009D08FF" w:rsidRPr="00B623DB" w:rsidTr="00E90DE0">
        <w:tc>
          <w:tcPr>
            <w:tcW w:w="1276" w:type="dxa"/>
            <w:shd w:val="clear" w:color="auto" w:fill="auto"/>
          </w:tcPr>
          <w:p w:rsidR="009D08FF" w:rsidRPr="00B623DB" w:rsidRDefault="009D08FF" w:rsidP="00F0722B">
            <w:pPr>
              <w:pStyle w:val="PBACTableText"/>
              <w:rPr>
                <w:b/>
              </w:rPr>
            </w:pPr>
            <w:r w:rsidRPr="00B623DB">
              <w:rPr>
                <w:b/>
              </w:rPr>
              <w:t>MWS</w:t>
            </w:r>
          </w:p>
        </w:tc>
        <w:tc>
          <w:tcPr>
            <w:tcW w:w="992" w:type="dxa"/>
            <w:vMerge/>
            <w:shd w:val="clear" w:color="auto" w:fill="auto"/>
            <w:vAlign w:val="center"/>
          </w:tcPr>
          <w:p w:rsidR="009D08FF" w:rsidRPr="00B623DB" w:rsidRDefault="009D08FF" w:rsidP="00F0722B">
            <w:pPr>
              <w:pStyle w:val="PBACTableText"/>
              <w:jc w:val="center"/>
            </w:pPr>
          </w:p>
        </w:tc>
        <w:tc>
          <w:tcPr>
            <w:tcW w:w="993" w:type="dxa"/>
            <w:shd w:val="clear" w:color="auto" w:fill="auto"/>
            <w:vAlign w:val="center"/>
          </w:tcPr>
          <w:p w:rsidR="009D08FF" w:rsidRPr="00B623DB" w:rsidRDefault="009D08FF" w:rsidP="00F0722B">
            <w:pPr>
              <w:pStyle w:val="PBACTableText"/>
              <w:jc w:val="center"/>
            </w:pPr>
            <w:r w:rsidRPr="00B623DB">
              <w:t>50.39 kg</w:t>
            </w:r>
          </w:p>
        </w:tc>
        <w:tc>
          <w:tcPr>
            <w:tcW w:w="1417" w:type="dxa"/>
            <w:vAlign w:val="center"/>
          </w:tcPr>
          <w:p w:rsidR="009D08FF" w:rsidRPr="00B623DB" w:rsidRDefault="009D08FF" w:rsidP="00F0722B">
            <w:pPr>
              <w:pStyle w:val="PBACTableText"/>
              <w:jc w:val="center"/>
            </w:pPr>
            <w:r w:rsidRPr="00B623DB">
              <w:t>1.5 mg/kg</w:t>
            </w:r>
          </w:p>
        </w:tc>
        <w:tc>
          <w:tcPr>
            <w:tcW w:w="992" w:type="dxa"/>
            <w:vAlign w:val="center"/>
          </w:tcPr>
          <w:p w:rsidR="009D08FF" w:rsidRPr="00B623DB" w:rsidRDefault="009D08FF" w:rsidP="00F0722B">
            <w:pPr>
              <w:pStyle w:val="PBACTableText"/>
              <w:jc w:val="center"/>
            </w:pPr>
            <w:r w:rsidRPr="00B623DB">
              <w:t>75.6 mg</w:t>
            </w:r>
          </w:p>
        </w:tc>
        <w:tc>
          <w:tcPr>
            <w:tcW w:w="1276" w:type="dxa"/>
            <w:shd w:val="clear" w:color="auto" w:fill="auto"/>
            <w:vAlign w:val="center"/>
          </w:tcPr>
          <w:p w:rsidR="009D08FF" w:rsidRPr="00B623DB" w:rsidRDefault="009D08FF" w:rsidP="00F0722B">
            <w:pPr>
              <w:pStyle w:val="PBACTableText"/>
              <w:jc w:val="center"/>
            </w:pPr>
            <w:r w:rsidRPr="00B623DB">
              <w:t>44%</w:t>
            </w:r>
          </w:p>
        </w:tc>
        <w:tc>
          <w:tcPr>
            <w:tcW w:w="992" w:type="dxa"/>
            <w:vMerge/>
            <w:shd w:val="clear" w:color="auto" w:fill="auto"/>
            <w:vAlign w:val="center"/>
          </w:tcPr>
          <w:p w:rsidR="009D08FF" w:rsidRPr="00B623DB" w:rsidRDefault="009D08FF" w:rsidP="00F0722B">
            <w:pPr>
              <w:pStyle w:val="PBACTableText"/>
              <w:jc w:val="center"/>
            </w:pPr>
          </w:p>
        </w:tc>
        <w:tc>
          <w:tcPr>
            <w:tcW w:w="1134" w:type="dxa"/>
            <w:vMerge/>
            <w:shd w:val="clear" w:color="auto" w:fill="auto"/>
            <w:vAlign w:val="center"/>
          </w:tcPr>
          <w:p w:rsidR="009D08FF" w:rsidRPr="00B623DB" w:rsidRDefault="009D08FF" w:rsidP="00F0722B">
            <w:pPr>
              <w:pStyle w:val="PBACTableText"/>
              <w:jc w:val="center"/>
            </w:pPr>
          </w:p>
        </w:tc>
      </w:tr>
      <w:tr w:rsidR="009D08FF" w:rsidRPr="00B623DB" w:rsidTr="00E90DE0">
        <w:tc>
          <w:tcPr>
            <w:tcW w:w="1276" w:type="dxa"/>
            <w:shd w:val="clear" w:color="auto" w:fill="auto"/>
          </w:tcPr>
          <w:p w:rsidR="009D08FF" w:rsidRPr="00B623DB" w:rsidRDefault="009D08FF" w:rsidP="00F0722B">
            <w:pPr>
              <w:pStyle w:val="PBACTableText"/>
              <w:rPr>
                <w:b/>
              </w:rPr>
            </w:pPr>
            <w:r w:rsidRPr="00B623DB">
              <w:rPr>
                <w:b/>
              </w:rPr>
              <w:t>NOMID</w:t>
            </w:r>
          </w:p>
        </w:tc>
        <w:tc>
          <w:tcPr>
            <w:tcW w:w="992" w:type="dxa"/>
            <w:vMerge/>
            <w:shd w:val="clear" w:color="auto" w:fill="auto"/>
            <w:vAlign w:val="center"/>
          </w:tcPr>
          <w:p w:rsidR="009D08FF" w:rsidRPr="00B623DB" w:rsidRDefault="009D08FF" w:rsidP="00F0722B">
            <w:pPr>
              <w:pStyle w:val="PBACTableText"/>
              <w:jc w:val="center"/>
            </w:pPr>
          </w:p>
        </w:tc>
        <w:tc>
          <w:tcPr>
            <w:tcW w:w="993" w:type="dxa"/>
            <w:shd w:val="clear" w:color="auto" w:fill="auto"/>
            <w:vAlign w:val="center"/>
          </w:tcPr>
          <w:p w:rsidR="009D08FF" w:rsidRPr="00B623DB" w:rsidRDefault="009D08FF" w:rsidP="00F0722B">
            <w:pPr>
              <w:pStyle w:val="PBACTableText"/>
              <w:jc w:val="center"/>
            </w:pPr>
            <w:r w:rsidRPr="00B623DB">
              <w:t>36.50 kg</w:t>
            </w:r>
          </w:p>
        </w:tc>
        <w:tc>
          <w:tcPr>
            <w:tcW w:w="1417" w:type="dxa"/>
            <w:vAlign w:val="center"/>
          </w:tcPr>
          <w:p w:rsidR="009D08FF" w:rsidRPr="00B623DB" w:rsidRDefault="009D08FF" w:rsidP="00F0722B">
            <w:pPr>
              <w:pStyle w:val="PBACTableText"/>
              <w:jc w:val="center"/>
            </w:pPr>
            <w:r w:rsidRPr="00B623DB">
              <w:t>3.5 mg/kg</w:t>
            </w:r>
          </w:p>
        </w:tc>
        <w:tc>
          <w:tcPr>
            <w:tcW w:w="992" w:type="dxa"/>
            <w:vAlign w:val="center"/>
          </w:tcPr>
          <w:p w:rsidR="009D08FF" w:rsidRPr="00B623DB" w:rsidRDefault="009D08FF" w:rsidP="00F0722B">
            <w:pPr>
              <w:pStyle w:val="PBACTableText"/>
              <w:jc w:val="center"/>
            </w:pPr>
            <w:r w:rsidRPr="00B623DB">
              <w:t>127.8 mg</w:t>
            </w:r>
          </w:p>
        </w:tc>
        <w:tc>
          <w:tcPr>
            <w:tcW w:w="1276" w:type="dxa"/>
            <w:shd w:val="clear" w:color="auto" w:fill="auto"/>
            <w:vAlign w:val="center"/>
          </w:tcPr>
          <w:p w:rsidR="009D08FF" w:rsidRPr="00B623DB" w:rsidRDefault="009D08FF" w:rsidP="00F0722B">
            <w:pPr>
              <w:pStyle w:val="PBACTableText"/>
              <w:jc w:val="center"/>
            </w:pPr>
            <w:r w:rsidRPr="00B623DB">
              <w:t>44%</w:t>
            </w:r>
          </w:p>
        </w:tc>
        <w:tc>
          <w:tcPr>
            <w:tcW w:w="992" w:type="dxa"/>
            <w:vMerge/>
            <w:shd w:val="clear" w:color="auto" w:fill="auto"/>
            <w:vAlign w:val="center"/>
          </w:tcPr>
          <w:p w:rsidR="009D08FF" w:rsidRPr="00B623DB" w:rsidRDefault="009D08FF" w:rsidP="00F0722B">
            <w:pPr>
              <w:pStyle w:val="PBACTableText"/>
              <w:jc w:val="center"/>
            </w:pPr>
          </w:p>
        </w:tc>
        <w:tc>
          <w:tcPr>
            <w:tcW w:w="1134" w:type="dxa"/>
            <w:vMerge/>
            <w:shd w:val="clear" w:color="auto" w:fill="auto"/>
            <w:vAlign w:val="center"/>
          </w:tcPr>
          <w:p w:rsidR="009D08FF" w:rsidRPr="00B623DB" w:rsidRDefault="009D08FF" w:rsidP="00F0722B">
            <w:pPr>
              <w:pStyle w:val="PBACTableText"/>
              <w:jc w:val="center"/>
            </w:pPr>
          </w:p>
        </w:tc>
      </w:tr>
    </w:tbl>
    <w:p w:rsidR="009D08FF" w:rsidRPr="00B623DB" w:rsidRDefault="009D08FF" w:rsidP="00F544AE">
      <w:pPr>
        <w:spacing w:after="120"/>
        <w:ind w:left="60"/>
        <w:contextualSpacing/>
        <w:rPr>
          <w:rFonts w:ascii="Arial Narrow" w:hAnsi="Arial Narrow"/>
          <w:sz w:val="18"/>
        </w:rPr>
      </w:pPr>
      <w:r w:rsidRPr="00B623DB">
        <w:rPr>
          <w:rFonts w:ascii="Arial Narrow" w:hAnsi="Arial Narrow"/>
          <w:sz w:val="18"/>
          <w:vertAlign w:val="superscript"/>
        </w:rPr>
        <w:t>a</w:t>
      </w:r>
      <w:r w:rsidRPr="00B623DB">
        <w:rPr>
          <w:rFonts w:ascii="Arial Narrow" w:hAnsi="Arial Narrow"/>
          <w:sz w:val="18"/>
        </w:rPr>
        <w:t xml:space="preserve"> See Table 3.2.1, Attachment 3</w:t>
      </w:r>
      <w:r w:rsidR="00C46B1C" w:rsidRPr="00B623DB">
        <w:rPr>
          <w:rFonts w:ascii="Arial Narrow" w:hAnsi="Arial Narrow"/>
          <w:sz w:val="18"/>
        </w:rPr>
        <w:t xml:space="preserve"> of the Commentary. </w:t>
      </w:r>
    </w:p>
    <w:p w:rsidR="009D08FF" w:rsidRPr="00B623DB" w:rsidRDefault="009D08FF" w:rsidP="00F544AE">
      <w:pPr>
        <w:spacing w:after="120"/>
        <w:ind w:left="60"/>
        <w:contextualSpacing/>
        <w:rPr>
          <w:rFonts w:ascii="Arial Narrow" w:hAnsi="Arial Narrow"/>
          <w:sz w:val="18"/>
        </w:rPr>
      </w:pPr>
      <w:r w:rsidRPr="00B623DB">
        <w:rPr>
          <w:rFonts w:ascii="Arial Narrow" w:hAnsi="Arial Narrow"/>
          <w:sz w:val="18"/>
          <w:vertAlign w:val="superscript"/>
        </w:rPr>
        <w:t>b</w:t>
      </w:r>
      <w:r w:rsidRPr="00B623DB">
        <w:rPr>
          <w:rFonts w:ascii="Arial Narrow" w:hAnsi="Arial Narrow"/>
          <w:sz w:val="18"/>
        </w:rPr>
        <w:t xml:space="preserve"> Recommended </w:t>
      </w:r>
      <w:r w:rsidR="00DB29B3" w:rsidRPr="00B623DB">
        <w:rPr>
          <w:rFonts w:ascii="Arial Narrow" w:hAnsi="Arial Narrow"/>
          <w:sz w:val="18"/>
        </w:rPr>
        <w:t>doses from</w:t>
      </w:r>
      <w:r w:rsidRPr="00B623DB">
        <w:rPr>
          <w:rFonts w:ascii="Arial Narrow" w:hAnsi="Arial Narrow"/>
          <w:sz w:val="18"/>
        </w:rPr>
        <w:t xml:space="preserve"> canakinumab and anakinra Product Information</w:t>
      </w:r>
    </w:p>
    <w:p w:rsidR="009D08FF" w:rsidRPr="00B623DB" w:rsidRDefault="009D08FF" w:rsidP="00F544AE">
      <w:pPr>
        <w:spacing w:after="120"/>
        <w:ind w:left="60"/>
        <w:contextualSpacing/>
        <w:rPr>
          <w:rFonts w:ascii="Arial Narrow" w:hAnsi="Arial Narrow"/>
          <w:sz w:val="18"/>
        </w:rPr>
      </w:pPr>
      <w:r w:rsidRPr="00B623DB">
        <w:rPr>
          <w:rFonts w:ascii="Arial Narrow" w:hAnsi="Arial Narrow"/>
          <w:sz w:val="18"/>
          <w:vertAlign w:val="superscript"/>
        </w:rPr>
        <w:t>c</w:t>
      </w:r>
      <w:r w:rsidRPr="00B623DB">
        <w:rPr>
          <w:rFonts w:ascii="Arial Narrow" w:hAnsi="Arial Narrow"/>
          <w:sz w:val="18"/>
        </w:rPr>
        <w:t xml:space="preserve"> Mehr et al. (2016)</w:t>
      </w:r>
    </w:p>
    <w:p w:rsidR="009D08FF" w:rsidRPr="00B623DB" w:rsidRDefault="009D08FF" w:rsidP="00F544AE">
      <w:pPr>
        <w:spacing w:after="120"/>
        <w:ind w:left="60"/>
        <w:contextualSpacing/>
        <w:rPr>
          <w:rFonts w:ascii="Arial Narrow" w:hAnsi="Arial Narrow"/>
          <w:sz w:val="18"/>
          <w:szCs w:val="18"/>
        </w:rPr>
      </w:pPr>
      <w:r w:rsidRPr="00B623DB">
        <w:rPr>
          <w:rFonts w:ascii="Arial Narrow" w:hAnsi="Arial Narrow"/>
          <w:sz w:val="18"/>
        </w:rPr>
        <w:t xml:space="preserve">Abbreviations: </w:t>
      </w:r>
      <w:r w:rsidRPr="00B623DB">
        <w:rPr>
          <w:rFonts w:ascii="Arial Narrow" w:hAnsi="Arial Narrow"/>
          <w:sz w:val="18"/>
          <w:szCs w:val="18"/>
        </w:rPr>
        <w:t>FCAS, familial cold autoinflammatory syndrome; MWS, muckle wells syndrome; NOMID, neonatal onset multisystem inflammatory disease</w:t>
      </w:r>
    </w:p>
    <w:p w:rsidR="009D08FF" w:rsidRPr="00B623DB" w:rsidRDefault="009D08FF" w:rsidP="00F544AE">
      <w:pPr>
        <w:spacing w:after="120"/>
        <w:ind w:left="60"/>
        <w:rPr>
          <w:rFonts w:ascii="Arial Narrow" w:hAnsi="Arial Narrow"/>
          <w:sz w:val="18"/>
        </w:rPr>
      </w:pPr>
      <w:r w:rsidRPr="00B623DB">
        <w:rPr>
          <w:rFonts w:ascii="Arial Narrow" w:hAnsi="Arial Narrow"/>
          <w:sz w:val="18"/>
          <w:szCs w:val="18"/>
        </w:rPr>
        <w:t>Source: EXCEL spreadsheet “Section3_CostMin_Ilaris_July17.xlsx</w:t>
      </w:r>
      <w:r w:rsidR="00DB29B3" w:rsidRPr="00B623DB">
        <w:rPr>
          <w:rFonts w:ascii="Arial Narrow" w:hAnsi="Arial Narrow"/>
          <w:sz w:val="18"/>
          <w:szCs w:val="18"/>
        </w:rPr>
        <w:t>”,</w:t>
      </w:r>
      <w:r w:rsidRPr="00B623DB">
        <w:rPr>
          <w:rFonts w:ascii="Arial Narrow" w:hAnsi="Arial Narrow"/>
          <w:sz w:val="18"/>
          <w:szCs w:val="18"/>
        </w:rPr>
        <w:t xml:space="preserve"> Attachment 8 to the submission</w:t>
      </w:r>
    </w:p>
    <w:p w:rsidR="002F664D" w:rsidRPr="00B623DB" w:rsidRDefault="009D08FF" w:rsidP="00C46B1C">
      <w:pPr>
        <w:pStyle w:val="ListParagraph"/>
        <w:numPr>
          <w:ilvl w:val="1"/>
          <w:numId w:val="2"/>
        </w:numPr>
        <w:spacing w:before="0" w:after="120"/>
        <w:jc w:val="both"/>
        <w:rPr>
          <w:rFonts w:ascii="Calibri" w:eastAsia="Calibri" w:hAnsi="Calibri"/>
          <w:i/>
        </w:rPr>
      </w:pPr>
      <w:r w:rsidRPr="00B623DB">
        <w:t xml:space="preserve">The submission calculated that patients </w:t>
      </w:r>
      <w:r w:rsidR="00F0722B" w:rsidRPr="00B623DB">
        <w:t>with the N</w:t>
      </w:r>
      <w:r w:rsidRPr="00B623DB">
        <w:t xml:space="preserve">OMID phenotype would receive a mean dose of 2 mg/kg (73 mg), while patients </w:t>
      </w:r>
      <w:r w:rsidR="00F0722B" w:rsidRPr="00B623DB">
        <w:t xml:space="preserve">with the </w:t>
      </w:r>
      <w:r w:rsidRPr="00B623DB">
        <w:t>FCAS/M</w:t>
      </w:r>
      <w:r w:rsidR="00F0722B" w:rsidRPr="00B623DB">
        <w:t>WS phenotypes</w:t>
      </w:r>
      <w:r w:rsidRPr="00B623DB">
        <w:t xml:space="preserve"> would receive </w:t>
      </w:r>
      <w:r w:rsidR="00F0722B" w:rsidRPr="00B623DB">
        <w:t xml:space="preserve">150 mg, </w:t>
      </w:r>
      <w:r w:rsidR="00E90DE0" w:rsidRPr="00B623DB">
        <w:t xml:space="preserve">giving </w:t>
      </w:r>
      <w:r w:rsidRPr="00B623DB">
        <w:t xml:space="preserve">a </w:t>
      </w:r>
      <w:r w:rsidR="00F0722B" w:rsidRPr="00B623DB">
        <w:t>weighted average</w:t>
      </w:r>
      <w:r w:rsidRPr="00B623DB">
        <w:t xml:space="preserve"> dose of 115.8 mg once every eight weeks. However, </w:t>
      </w:r>
      <w:r w:rsidR="00C55F68" w:rsidRPr="00B623DB">
        <w:t xml:space="preserve">as </w:t>
      </w:r>
      <w:r w:rsidRPr="00B623DB">
        <w:t>canakinumab is presented as single use 150 mg vial</w:t>
      </w:r>
      <w:r w:rsidR="00E90DE0" w:rsidRPr="00B623DB">
        <w:t>s</w:t>
      </w:r>
      <w:r w:rsidRPr="00B623DB">
        <w:t xml:space="preserve"> of powder for injection, the submission assumed one 150 mg vial per patient every eight weeks</w:t>
      </w:r>
      <w:r w:rsidR="00F0722B" w:rsidRPr="00B623DB">
        <w:t xml:space="preserve"> to account for wastage</w:t>
      </w:r>
      <w:r w:rsidRPr="00B623DB">
        <w:t xml:space="preserve">. This </w:t>
      </w:r>
      <w:r w:rsidR="00F544AE" w:rsidRPr="00B623DB">
        <w:t>was</w:t>
      </w:r>
      <w:r w:rsidRPr="00B623DB">
        <w:t xml:space="preserve"> not consistent with the recommended dose regimen for canakinumab; i.e. dose titration from 150 mg up to 300 mg and then 600 mg (8 weekly) in patients not responding after seven days of therapy. In addition, canakinumab studies with protocols providing for dose escalation in non-responders </w:t>
      </w:r>
      <w:r w:rsidR="00436EF4" w:rsidRPr="00B623DB">
        <w:t xml:space="preserve">reported several instances of dose escalation, with overall mean </w:t>
      </w:r>
      <w:r w:rsidR="00E90DE0" w:rsidRPr="00B623DB">
        <w:t xml:space="preserve">doses </w:t>
      </w:r>
      <w:r w:rsidR="00436EF4" w:rsidRPr="00B623DB">
        <w:t>greater</w:t>
      </w:r>
      <w:r w:rsidR="00E90DE0" w:rsidRPr="00B623DB">
        <w:t xml:space="preserve"> than 150 mg</w:t>
      </w:r>
      <w:r w:rsidR="00436EF4" w:rsidRPr="00B623DB">
        <w:t xml:space="preserve"> (or greater than 2 mg/kg for patients under 40 kg)</w:t>
      </w:r>
      <w:r w:rsidRPr="00B623DB">
        <w:t xml:space="preserve">. </w:t>
      </w:r>
    </w:p>
    <w:p w:rsidR="009D08FF" w:rsidRPr="00B623DB" w:rsidRDefault="001A22B8" w:rsidP="00C715C8">
      <w:pPr>
        <w:pStyle w:val="ListParagraph"/>
        <w:numPr>
          <w:ilvl w:val="1"/>
          <w:numId w:val="2"/>
        </w:numPr>
        <w:spacing w:before="0" w:after="120"/>
        <w:jc w:val="both"/>
        <w:rPr>
          <w:rFonts w:ascii="Calibri" w:eastAsia="Calibri" w:hAnsi="Calibri"/>
        </w:rPr>
      </w:pPr>
      <w:r w:rsidRPr="00B623DB">
        <w:rPr>
          <w:rFonts w:ascii="Calibri" w:eastAsia="Calibri" w:hAnsi="Calibri"/>
        </w:rPr>
        <w:t xml:space="preserve">The ESC </w:t>
      </w:r>
      <w:r w:rsidR="002F664D" w:rsidRPr="00B623DB">
        <w:rPr>
          <w:rFonts w:ascii="Calibri" w:eastAsia="Calibri" w:hAnsi="Calibri"/>
        </w:rPr>
        <w:t>considered</w:t>
      </w:r>
      <w:r w:rsidRPr="00B623DB">
        <w:rPr>
          <w:rFonts w:ascii="Calibri" w:eastAsia="Calibri" w:hAnsi="Calibri"/>
        </w:rPr>
        <w:t xml:space="preserve"> that the estimated mean weighted doses for canakinumab w</w:t>
      </w:r>
      <w:r w:rsidR="003E6A24" w:rsidRPr="00B623DB">
        <w:rPr>
          <w:rFonts w:ascii="Calibri" w:eastAsia="Calibri" w:hAnsi="Calibri"/>
        </w:rPr>
        <w:t xml:space="preserve">ere </w:t>
      </w:r>
      <w:r w:rsidRPr="00B623DB">
        <w:rPr>
          <w:rFonts w:ascii="Calibri" w:eastAsia="Calibri" w:hAnsi="Calibri"/>
        </w:rPr>
        <w:t>underestimated. The ESC noted that in study D2306, the mean doses were 188.9 mg (2.7 mg/kg) for patients with FCAS, 199.8 mg (5.5 mg/kg) for patients with MWS, and 228.9 mg (5.8 mg/kg) for patients with NOMID and in study D2308, the mean doses for patients with MWS and NOMID were 281.25 mg (6 mg/kg). The ESC further noted</w:t>
      </w:r>
      <w:r w:rsidR="00C46B1C" w:rsidRPr="00B623DB">
        <w:rPr>
          <w:rFonts w:ascii="Calibri" w:eastAsia="Calibri" w:hAnsi="Calibri"/>
        </w:rPr>
        <w:t xml:space="preserve"> in the product information</w:t>
      </w:r>
      <w:r w:rsidRPr="00B623DB">
        <w:rPr>
          <w:rFonts w:ascii="Calibri" w:eastAsia="Calibri" w:hAnsi="Calibri"/>
        </w:rPr>
        <w:t xml:space="preserve"> that in the pooled efficacy analysis (n=185) of studies D2306 and D2308, 65.6% (84/128) of patients previously not treated with canakinumab achieved complete response at 150 mg (2 mg/kg) while 85.2% (109/128) of patients achieved complete response at any dose. </w:t>
      </w:r>
      <w:r w:rsidR="00EF0244" w:rsidRPr="00B623DB">
        <w:rPr>
          <w:rFonts w:ascii="Calibri" w:eastAsia="Calibri" w:hAnsi="Calibri"/>
        </w:rPr>
        <w:t xml:space="preserve">The ESC considered this data </w:t>
      </w:r>
      <w:r w:rsidR="00ED7430" w:rsidRPr="00B623DB">
        <w:rPr>
          <w:rFonts w:ascii="Calibri" w:eastAsia="Calibri" w:hAnsi="Calibri"/>
        </w:rPr>
        <w:t>suggested</w:t>
      </w:r>
      <w:r w:rsidRPr="00B623DB">
        <w:rPr>
          <w:rFonts w:ascii="Calibri" w:eastAsia="Calibri" w:hAnsi="Calibri"/>
        </w:rPr>
        <w:t xml:space="preserve"> that approximately 20% of patients would require</w:t>
      </w:r>
      <w:r w:rsidR="00EF0244" w:rsidRPr="00B623DB">
        <w:rPr>
          <w:rFonts w:ascii="Calibri" w:eastAsia="Calibri" w:hAnsi="Calibri"/>
        </w:rPr>
        <w:t xml:space="preserve"> doses higher than 150 mg</w:t>
      </w:r>
      <w:r w:rsidR="00C55F68" w:rsidRPr="00B623DB">
        <w:rPr>
          <w:rFonts w:ascii="Calibri" w:eastAsia="Calibri" w:hAnsi="Calibri"/>
        </w:rPr>
        <w:t xml:space="preserve">. </w:t>
      </w:r>
      <w:r w:rsidR="00C46B1C" w:rsidRPr="00B623DB">
        <w:rPr>
          <w:rFonts w:ascii="Calibri" w:eastAsia="Calibri" w:hAnsi="Calibri"/>
        </w:rPr>
        <w:t xml:space="preserve">The ESC assumed in clinical practice that </w:t>
      </w:r>
      <w:r w:rsidR="00C55F68" w:rsidRPr="00B623DB">
        <w:rPr>
          <w:rFonts w:ascii="Calibri" w:eastAsia="Calibri" w:hAnsi="Calibri"/>
        </w:rPr>
        <w:t>non-responders</w:t>
      </w:r>
      <w:r w:rsidR="00C46B1C" w:rsidRPr="00B623DB">
        <w:rPr>
          <w:rFonts w:ascii="Calibri" w:eastAsia="Calibri" w:hAnsi="Calibri"/>
        </w:rPr>
        <w:t xml:space="preserve"> would go to the highest dose (600 mg) before ceasing. </w:t>
      </w:r>
    </w:p>
    <w:p w:rsidR="009D08FF" w:rsidRPr="00B623DB" w:rsidRDefault="009D08FF" w:rsidP="00C42C16">
      <w:pPr>
        <w:pStyle w:val="ListParagraph"/>
        <w:numPr>
          <w:ilvl w:val="1"/>
          <w:numId w:val="2"/>
        </w:numPr>
        <w:spacing w:before="0" w:after="120"/>
        <w:jc w:val="both"/>
      </w:pPr>
      <w:r w:rsidRPr="00B623DB">
        <w:t>The submission calculated that patients treated with anakinra would receive a mean dose of 3.5 mg/kg (NOMID phenotype) or 1.5 mg/kg (FCAS/MWS phenotypes), a weighted mean dose of 98.8 mg daily. Similar to canakinumab, the submission assumed one 100 mg syringe per patient daily</w:t>
      </w:r>
      <w:r w:rsidR="00F0722B" w:rsidRPr="00B623DB">
        <w:t xml:space="preserve"> to account for wastage</w:t>
      </w:r>
      <w:r w:rsidRPr="00B623DB">
        <w:t xml:space="preserve"> (5,600 mg over eight weeks). However, Mehr </w:t>
      </w:r>
      <w:r w:rsidR="00F544AE" w:rsidRPr="00B623DB">
        <w:t>(2016)</w:t>
      </w:r>
      <w:r w:rsidRPr="00B623DB">
        <w:t xml:space="preserve"> reported lower doses for patients with </w:t>
      </w:r>
      <w:r w:rsidR="00F544AE" w:rsidRPr="00B623DB">
        <w:t xml:space="preserve">the </w:t>
      </w:r>
      <w:r w:rsidRPr="00B623DB">
        <w:t xml:space="preserve">NOMID phenotype (mean 2.5 mg/kg/day compared to 3.5 mg/kg/day used in the submission) and a maximum dose of 100 mg daily for </w:t>
      </w:r>
      <w:r w:rsidR="00E90DE0" w:rsidRPr="00B623DB">
        <w:t>adults with FCAS/MWS phenotype.</w:t>
      </w:r>
    </w:p>
    <w:p w:rsidR="00E90DE0" w:rsidRPr="00B623DB" w:rsidRDefault="00C55F68" w:rsidP="00C42C16">
      <w:pPr>
        <w:pStyle w:val="ListParagraph"/>
        <w:numPr>
          <w:ilvl w:val="1"/>
          <w:numId w:val="2"/>
        </w:numPr>
        <w:spacing w:before="0" w:after="120"/>
        <w:jc w:val="both"/>
      </w:pPr>
      <w:r w:rsidRPr="00B623DB">
        <w:t xml:space="preserve">The submission did not claim any </w:t>
      </w:r>
      <w:r w:rsidR="00133E75" w:rsidRPr="00B623DB">
        <w:t>additional cost offsets. The submission suggested there may be more frequent injection site reactions associated with the daily dosing of anakinra, but did not provide evidence supporting this claim, or quantify the associated costs.</w:t>
      </w:r>
      <w:r w:rsidR="002F664D" w:rsidRPr="00B623DB">
        <w:t xml:space="preserve"> </w:t>
      </w:r>
      <w:r w:rsidR="002F664D" w:rsidRPr="00B623DB">
        <w:rPr>
          <w:szCs w:val="24"/>
        </w:rPr>
        <w:t xml:space="preserve">The </w:t>
      </w:r>
      <w:r w:rsidR="00157855" w:rsidRPr="00B623DB">
        <w:rPr>
          <w:szCs w:val="24"/>
        </w:rPr>
        <w:t xml:space="preserve">ESC </w:t>
      </w:r>
      <w:r w:rsidR="00A92255" w:rsidRPr="00B623DB">
        <w:rPr>
          <w:szCs w:val="24"/>
        </w:rPr>
        <w:t xml:space="preserve">advised that given the complexity of reconstituting each vial, canakinumab is unlikely to be self-administered by many patients or carers. The ESC considered that although patients may receive initial training to administer the injection, many patients may not be comfortable to repeat all steps involved every eight weeks. The ESC therefore considered there would likely be additional consultation costs with GPs or nurses associated with administering the treatment in some patients. These costs would be appropriate </w:t>
      </w:r>
      <w:r w:rsidR="00477D92" w:rsidRPr="00B623DB">
        <w:rPr>
          <w:szCs w:val="24"/>
        </w:rPr>
        <w:t xml:space="preserve">to include </w:t>
      </w:r>
      <w:r w:rsidR="00A92255" w:rsidRPr="00B623DB">
        <w:rPr>
          <w:szCs w:val="24"/>
        </w:rPr>
        <w:t>in the cost minimisation analysis</w:t>
      </w:r>
      <w:r w:rsidRPr="00B623DB">
        <w:rPr>
          <w:szCs w:val="24"/>
        </w:rPr>
        <w:t xml:space="preserve">. </w:t>
      </w:r>
    </w:p>
    <w:p w:rsidR="00B8258D" w:rsidRPr="00B623DB" w:rsidRDefault="00F37482" w:rsidP="00262F1F">
      <w:pPr>
        <w:pStyle w:val="ListParagraph"/>
        <w:numPr>
          <w:ilvl w:val="1"/>
          <w:numId w:val="2"/>
        </w:numPr>
        <w:spacing w:before="0" w:after="120"/>
        <w:jc w:val="both"/>
      </w:pPr>
      <w:r w:rsidRPr="00B623DB">
        <w:t xml:space="preserve">The results of the cost minimisation analysis is summarised in </w:t>
      </w:r>
      <w:r w:rsidR="00291FE9" w:rsidRPr="00B623DB">
        <w:t>the table below</w:t>
      </w:r>
      <w:r w:rsidRPr="00B623DB">
        <w:t>, assuming 6.5 packs per of canakinumab is equivalent to 13.04 packs of anakinra over one year.</w:t>
      </w:r>
      <w:r w:rsidR="00B8258D" w:rsidRPr="00B623DB">
        <w:rPr>
          <w:rFonts w:ascii="Calibri" w:eastAsia="Calibri" w:hAnsi="Calibri"/>
        </w:rPr>
        <w:t xml:space="preserve"> The cost minimisation analysis presented in the submission included a rounding error in the calculation of the number of doses per year of canakinumab, corrected during the evaluation.</w:t>
      </w:r>
      <w:r w:rsidR="00262F1F" w:rsidRPr="00B623DB">
        <w:rPr>
          <w:rFonts w:ascii="Calibri" w:eastAsia="Calibri" w:hAnsi="Calibri"/>
        </w:rPr>
        <w:t xml:space="preserve"> The ESC noted that this cost minimisation analysis does not factor in the concerns raised by ESC.</w:t>
      </w:r>
      <w:r w:rsidR="00262F1F" w:rsidRPr="00B623DB">
        <w:rPr>
          <w:rFonts w:ascii="Calibri" w:eastAsia="Calibri" w:hAnsi="Calibri"/>
          <w:i/>
        </w:rPr>
        <w:t xml:space="preserve"> </w:t>
      </w:r>
    </w:p>
    <w:p w:rsidR="00F37482" w:rsidRPr="00B623DB" w:rsidRDefault="00F37482" w:rsidP="00F37482">
      <w:pPr>
        <w:spacing w:after="60"/>
        <w:rPr>
          <w:rFonts w:ascii="Calibri" w:eastAsia="Calibri" w:hAnsi="Calibri"/>
        </w:rPr>
      </w:pPr>
      <w:r w:rsidRPr="00B623DB">
        <w:rPr>
          <w:rFonts w:ascii="Arial Narrow" w:eastAsia="Calibri" w:hAnsi="Arial Narrow"/>
          <w:b/>
          <w:sz w:val="20"/>
        </w:rPr>
        <w:t xml:space="preserve">Table </w:t>
      </w:r>
      <w:r w:rsidR="004C344A" w:rsidRPr="00B623DB">
        <w:rPr>
          <w:rFonts w:ascii="Arial Narrow" w:eastAsia="Calibri" w:hAnsi="Arial Narrow"/>
          <w:b/>
          <w:sz w:val="20"/>
        </w:rPr>
        <w:t>1</w:t>
      </w:r>
      <w:r w:rsidR="00A92255" w:rsidRPr="00B623DB">
        <w:rPr>
          <w:rFonts w:ascii="Arial Narrow" w:eastAsia="Calibri" w:hAnsi="Arial Narrow"/>
          <w:b/>
          <w:sz w:val="20"/>
        </w:rPr>
        <w:t>1</w:t>
      </w:r>
      <w:r w:rsidRPr="00B623DB">
        <w:rPr>
          <w:rFonts w:ascii="Arial Narrow" w:eastAsia="Calibri" w:hAnsi="Arial Narrow"/>
          <w:b/>
          <w:sz w:val="20"/>
        </w:rPr>
        <w:t>:  Calculation of mean canakinumab and anakinra doses</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67"/>
        <w:gridCol w:w="1135"/>
        <w:gridCol w:w="933"/>
        <w:gridCol w:w="1079"/>
        <w:gridCol w:w="1274"/>
        <w:gridCol w:w="1230"/>
        <w:gridCol w:w="1377"/>
      </w:tblGrid>
      <w:tr w:rsidR="00F37482" w:rsidRPr="00B623DB" w:rsidTr="00F0722B">
        <w:tc>
          <w:tcPr>
            <w:tcW w:w="754" w:type="pct"/>
            <w:shd w:val="clear" w:color="auto" w:fill="auto"/>
            <w:vAlign w:val="center"/>
          </w:tcPr>
          <w:p w:rsidR="00F37482" w:rsidRPr="00B623DB" w:rsidRDefault="00F37482" w:rsidP="00F0722B">
            <w:pPr>
              <w:pStyle w:val="PBACTableText"/>
              <w:ind w:left="4"/>
              <w:rPr>
                <w:b/>
              </w:rPr>
            </w:pPr>
            <w:r w:rsidRPr="00B623DB">
              <w:rPr>
                <w:b/>
              </w:rPr>
              <w:t>Drug</w:t>
            </w:r>
          </w:p>
        </w:tc>
        <w:tc>
          <w:tcPr>
            <w:tcW w:w="418" w:type="pct"/>
            <w:vAlign w:val="center"/>
          </w:tcPr>
          <w:p w:rsidR="00F37482" w:rsidRPr="00B623DB" w:rsidRDefault="00F37482" w:rsidP="00F0722B">
            <w:pPr>
              <w:pStyle w:val="PbacTableHeading"/>
              <w:spacing w:after="0"/>
              <w:ind w:left="-62" w:right="-45"/>
              <w:jc w:val="center"/>
              <w:rPr>
                <w:vertAlign w:val="superscript"/>
              </w:rPr>
            </w:pPr>
            <w:r w:rsidRPr="00B623DB">
              <w:t>Dose</w:t>
            </w:r>
          </w:p>
        </w:tc>
        <w:tc>
          <w:tcPr>
            <w:tcW w:w="618" w:type="pct"/>
            <w:vAlign w:val="center"/>
          </w:tcPr>
          <w:p w:rsidR="00F37482" w:rsidRPr="00B623DB" w:rsidRDefault="00E90DE0" w:rsidP="00F0722B">
            <w:pPr>
              <w:pStyle w:val="PbacTableHeading"/>
              <w:spacing w:after="0"/>
              <w:ind w:left="-62" w:right="-45"/>
              <w:jc w:val="center"/>
              <w:rPr>
                <w:vertAlign w:val="superscript"/>
              </w:rPr>
            </w:pPr>
            <w:r w:rsidRPr="00B623DB">
              <w:t xml:space="preserve">Doses </w:t>
            </w:r>
            <w:r w:rsidR="00F37482" w:rsidRPr="00B623DB">
              <w:t>per pack</w:t>
            </w:r>
          </w:p>
        </w:tc>
        <w:tc>
          <w:tcPr>
            <w:tcW w:w="508" w:type="pct"/>
            <w:vAlign w:val="center"/>
          </w:tcPr>
          <w:p w:rsidR="00F37482" w:rsidRPr="00B623DB" w:rsidRDefault="00F37482" w:rsidP="00F0722B">
            <w:pPr>
              <w:pStyle w:val="PbacTableHeading"/>
              <w:spacing w:after="0"/>
              <w:ind w:left="-62" w:right="-45"/>
              <w:jc w:val="center"/>
            </w:pPr>
            <w:r w:rsidRPr="00B623DB">
              <w:t xml:space="preserve">Packs </w:t>
            </w:r>
          </w:p>
          <w:p w:rsidR="00F37482" w:rsidRPr="00B623DB" w:rsidRDefault="00F37482" w:rsidP="00F0722B">
            <w:pPr>
              <w:pStyle w:val="PbacTableHeading"/>
              <w:spacing w:after="0"/>
              <w:ind w:left="-62" w:right="-45"/>
              <w:jc w:val="center"/>
            </w:pPr>
            <w:r w:rsidRPr="00B623DB">
              <w:t>per year</w:t>
            </w:r>
          </w:p>
        </w:tc>
        <w:tc>
          <w:tcPr>
            <w:tcW w:w="588" w:type="pct"/>
            <w:vAlign w:val="center"/>
          </w:tcPr>
          <w:p w:rsidR="00F37482" w:rsidRPr="00B623DB" w:rsidRDefault="00F37482" w:rsidP="00F0722B">
            <w:pPr>
              <w:pStyle w:val="PBACTableText"/>
              <w:spacing w:before="0" w:after="0"/>
              <w:ind w:left="-62" w:right="-45"/>
              <w:jc w:val="center"/>
              <w:rPr>
                <w:b/>
              </w:rPr>
            </w:pPr>
            <w:r w:rsidRPr="00B623DB">
              <w:rPr>
                <w:b/>
              </w:rPr>
              <w:t>AEMP</w:t>
            </w:r>
          </w:p>
          <w:p w:rsidR="00F37482" w:rsidRPr="00B623DB" w:rsidRDefault="00F37482" w:rsidP="00F0722B">
            <w:pPr>
              <w:pStyle w:val="PBACTableText"/>
              <w:spacing w:before="0" w:after="0"/>
              <w:ind w:left="-62" w:right="-45"/>
              <w:jc w:val="center"/>
              <w:rPr>
                <w:b/>
              </w:rPr>
            </w:pPr>
            <w:r w:rsidRPr="00B623DB">
              <w:rPr>
                <w:b/>
              </w:rPr>
              <w:t>(pack)</w:t>
            </w:r>
          </w:p>
        </w:tc>
        <w:tc>
          <w:tcPr>
            <w:tcW w:w="694" w:type="pct"/>
            <w:shd w:val="clear" w:color="auto" w:fill="auto"/>
            <w:vAlign w:val="center"/>
          </w:tcPr>
          <w:p w:rsidR="00F37482" w:rsidRPr="00B623DB" w:rsidRDefault="00F37482" w:rsidP="00F0722B">
            <w:pPr>
              <w:pStyle w:val="PbacTableHeading"/>
              <w:spacing w:after="0"/>
              <w:ind w:left="-62" w:right="-45"/>
              <w:jc w:val="center"/>
            </w:pPr>
            <w:r w:rsidRPr="00B623DB">
              <w:t xml:space="preserve">AEMP </w:t>
            </w:r>
          </w:p>
          <w:p w:rsidR="00F37482" w:rsidRPr="00B623DB" w:rsidRDefault="00F37482" w:rsidP="00F0722B">
            <w:pPr>
              <w:pStyle w:val="PbacTableHeading"/>
              <w:spacing w:after="0"/>
              <w:ind w:left="-62" w:right="-45"/>
              <w:jc w:val="center"/>
              <w:rPr>
                <w:vertAlign w:val="superscript"/>
              </w:rPr>
            </w:pPr>
            <w:r w:rsidRPr="00B623DB">
              <w:t>per year</w:t>
            </w:r>
          </w:p>
        </w:tc>
        <w:tc>
          <w:tcPr>
            <w:tcW w:w="670" w:type="pct"/>
          </w:tcPr>
          <w:p w:rsidR="00F37482" w:rsidRPr="00B623DB" w:rsidRDefault="00F37482" w:rsidP="00F0722B">
            <w:pPr>
              <w:pStyle w:val="PbacTableHeading"/>
              <w:spacing w:after="0"/>
              <w:ind w:left="-62" w:right="-45"/>
              <w:jc w:val="center"/>
            </w:pPr>
            <w:r w:rsidRPr="00B623DB">
              <w:t>Price DPMQ</w:t>
            </w:r>
          </w:p>
          <w:p w:rsidR="00F37482" w:rsidRPr="00B623DB" w:rsidRDefault="00F37482" w:rsidP="00F0722B">
            <w:pPr>
              <w:pStyle w:val="PbacTableHeading"/>
              <w:spacing w:after="0"/>
              <w:ind w:left="-62" w:right="-45"/>
              <w:jc w:val="center"/>
            </w:pPr>
            <w:r w:rsidRPr="00B623DB">
              <w:t>(Public Hosp)</w:t>
            </w:r>
          </w:p>
        </w:tc>
        <w:tc>
          <w:tcPr>
            <w:tcW w:w="750" w:type="pct"/>
          </w:tcPr>
          <w:p w:rsidR="00F37482" w:rsidRPr="00B623DB" w:rsidRDefault="00F37482" w:rsidP="00F0722B">
            <w:pPr>
              <w:pStyle w:val="PbacTableHeading"/>
              <w:spacing w:after="0"/>
              <w:ind w:left="-62" w:right="-45"/>
              <w:jc w:val="center"/>
            </w:pPr>
            <w:r w:rsidRPr="00B623DB">
              <w:t>Price DPMQ</w:t>
            </w:r>
          </w:p>
          <w:p w:rsidR="00F37482" w:rsidRPr="00B623DB" w:rsidRDefault="00F37482" w:rsidP="00F0722B">
            <w:pPr>
              <w:pStyle w:val="PbacTableHeading"/>
              <w:spacing w:after="0"/>
              <w:ind w:left="-62" w:right="-45"/>
              <w:jc w:val="center"/>
            </w:pPr>
            <w:r w:rsidRPr="00B623DB">
              <w:t>(Private Hosp)</w:t>
            </w:r>
          </w:p>
        </w:tc>
      </w:tr>
      <w:tr w:rsidR="00F37482" w:rsidRPr="00B623DB" w:rsidTr="00F0722B">
        <w:tc>
          <w:tcPr>
            <w:tcW w:w="754" w:type="pct"/>
            <w:tcBorders>
              <w:bottom w:val="single" w:sz="4" w:space="0" w:color="auto"/>
            </w:tcBorders>
            <w:shd w:val="clear" w:color="auto" w:fill="auto"/>
          </w:tcPr>
          <w:p w:rsidR="00F37482" w:rsidRPr="00B623DB" w:rsidRDefault="00F37482" w:rsidP="00F0722B">
            <w:pPr>
              <w:pStyle w:val="PBACTableText"/>
              <w:rPr>
                <w:b/>
              </w:rPr>
            </w:pPr>
            <w:r w:rsidRPr="00B623DB">
              <w:rPr>
                <w:b/>
              </w:rPr>
              <w:t>Anakinra</w:t>
            </w:r>
          </w:p>
        </w:tc>
        <w:tc>
          <w:tcPr>
            <w:tcW w:w="418" w:type="pct"/>
            <w:tcBorders>
              <w:bottom w:val="single" w:sz="4" w:space="0" w:color="auto"/>
            </w:tcBorders>
            <w:vAlign w:val="center"/>
          </w:tcPr>
          <w:p w:rsidR="00F37482" w:rsidRPr="00B623DB" w:rsidRDefault="00F37482" w:rsidP="00F0722B">
            <w:pPr>
              <w:pStyle w:val="PBACTableText"/>
              <w:jc w:val="center"/>
            </w:pPr>
            <w:r w:rsidRPr="00B623DB">
              <w:t>100 mg</w:t>
            </w:r>
          </w:p>
        </w:tc>
        <w:tc>
          <w:tcPr>
            <w:tcW w:w="618" w:type="pct"/>
            <w:tcBorders>
              <w:bottom w:val="single" w:sz="4" w:space="0" w:color="auto"/>
            </w:tcBorders>
            <w:vAlign w:val="center"/>
          </w:tcPr>
          <w:p w:rsidR="00F37482" w:rsidRPr="00B623DB" w:rsidRDefault="00E90DE0" w:rsidP="00F0722B">
            <w:pPr>
              <w:pStyle w:val="PBACTableText"/>
              <w:jc w:val="center"/>
            </w:pPr>
            <w:r w:rsidRPr="00B623DB">
              <w:t>28</w:t>
            </w:r>
          </w:p>
        </w:tc>
        <w:tc>
          <w:tcPr>
            <w:tcW w:w="508" w:type="pct"/>
            <w:vAlign w:val="center"/>
          </w:tcPr>
          <w:p w:rsidR="00F37482" w:rsidRPr="00EA0C20" w:rsidRDefault="00EA0C20" w:rsidP="00F0722B">
            <w:pPr>
              <w:pStyle w:val="PBACTableText"/>
              <w:jc w:val="center"/>
              <w:rPr>
                <w:highlight w:val="black"/>
              </w:rPr>
            </w:pPr>
            <w:r>
              <w:rPr>
                <w:noProof/>
                <w:color w:val="000000"/>
                <w:highlight w:val="black"/>
              </w:rPr>
              <w:t>''''''''''''''</w:t>
            </w:r>
          </w:p>
        </w:tc>
        <w:tc>
          <w:tcPr>
            <w:tcW w:w="588" w:type="pct"/>
            <w:vAlign w:val="center"/>
          </w:tcPr>
          <w:p w:rsidR="00F37482" w:rsidRPr="00EA0C20" w:rsidRDefault="00EA0C20" w:rsidP="00F0722B">
            <w:pPr>
              <w:pStyle w:val="PBACTableText"/>
              <w:jc w:val="center"/>
              <w:rPr>
                <w:highlight w:val="black"/>
              </w:rPr>
            </w:pPr>
            <w:r>
              <w:rPr>
                <w:noProof/>
                <w:color w:val="000000"/>
                <w:highlight w:val="black"/>
              </w:rPr>
              <w:t>'''''''''''''''''</w:t>
            </w:r>
          </w:p>
        </w:tc>
        <w:tc>
          <w:tcPr>
            <w:tcW w:w="694" w:type="pct"/>
            <w:shd w:val="clear" w:color="auto" w:fill="auto"/>
            <w:vAlign w:val="center"/>
          </w:tcPr>
          <w:p w:rsidR="00F37482" w:rsidRPr="00EA0C20" w:rsidRDefault="00EA0C20" w:rsidP="00F0722B">
            <w:pPr>
              <w:pStyle w:val="PBACTableText"/>
              <w:jc w:val="center"/>
              <w:rPr>
                <w:highlight w:val="black"/>
              </w:rPr>
            </w:pPr>
            <w:r>
              <w:rPr>
                <w:noProof/>
                <w:color w:val="000000"/>
                <w:highlight w:val="black"/>
              </w:rPr>
              <w:t>''''''''''''''''''''''''''</w:t>
            </w:r>
          </w:p>
        </w:tc>
        <w:tc>
          <w:tcPr>
            <w:tcW w:w="670" w:type="pct"/>
            <w:vAlign w:val="center"/>
          </w:tcPr>
          <w:p w:rsidR="00F37482" w:rsidRPr="002E1E90" w:rsidRDefault="00F37482" w:rsidP="00F0722B">
            <w:pPr>
              <w:pStyle w:val="PBACTableText"/>
              <w:jc w:val="center"/>
            </w:pPr>
            <w:r w:rsidRPr="002E1E90">
              <w:t>$1,650.00</w:t>
            </w:r>
          </w:p>
        </w:tc>
        <w:tc>
          <w:tcPr>
            <w:tcW w:w="750" w:type="pct"/>
            <w:vAlign w:val="center"/>
          </w:tcPr>
          <w:p w:rsidR="00F37482" w:rsidRPr="002E1E90" w:rsidRDefault="00F37482" w:rsidP="00F0722B">
            <w:pPr>
              <w:pStyle w:val="PBACTableText"/>
              <w:jc w:val="center"/>
            </w:pPr>
            <w:r w:rsidRPr="002E1E90">
              <w:t>$1,697.15</w:t>
            </w:r>
          </w:p>
        </w:tc>
      </w:tr>
      <w:tr w:rsidR="00F37482" w:rsidRPr="00B623DB" w:rsidTr="00F0722B">
        <w:tc>
          <w:tcPr>
            <w:tcW w:w="754" w:type="pct"/>
            <w:tcBorders>
              <w:bottom w:val="nil"/>
            </w:tcBorders>
            <w:shd w:val="clear" w:color="auto" w:fill="auto"/>
          </w:tcPr>
          <w:p w:rsidR="00F37482" w:rsidRPr="00B623DB" w:rsidRDefault="00F37482" w:rsidP="00F0722B">
            <w:pPr>
              <w:pStyle w:val="PBACTableText"/>
              <w:rPr>
                <w:b/>
              </w:rPr>
            </w:pPr>
            <w:r w:rsidRPr="00B623DB">
              <w:rPr>
                <w:b/>
              </w:rPr>
              <w:t>Canakinumab</w:t>
            </w:r>
          </w:p>
        </w:tc>
        <w:tc>
          <w:tcPr>
            <w:tcW w:w="418" w:type="pct"/>
            <w:tcBorders>
              <w:bottom w:val="nil"/>
            </w:tcBorders>
            <w:vAlign w:val="center"/>
          </w:tcPr>
          <w:p w:rsidR="00F37482" w:rsidRPr="00B623DB" w:rsidRDefault="00F37482" w:rsidP="00F0722B">
            <w:pPr>
              <w:pStyle w:val="PBACTableText"/>
              <w:jc w:val="center"/>
            </w:pPr>
            <w:r w:rsidRPr="00B623DB">
              <w:t>150 mg</w:t>
            </w:r>
          </w:p>
        </w:tc>
        <w:tc>
          <w:tcPr>
            <w:tcW w:w="618" w:type="pct"/>
            <w:tcBorders>
              <w:bottom w:val="nil"/>
            </w:tcBorders>
            <w:vAlign w:val="center"/>
          </w:tcPr>
          <w:p w:rsidR="00F37482" w:rsidRPr="00B623DB" w:rsidRDefault="00E90DE0" w:rsidP="00F0722B">
            <w:pPr>
              <w:pStyle w:val="PBACTableText"/>
              <w:jc w:val="center"/>
            </w:pPr>
            <w:r w:rsidRPr="00B623DB">
              <w:t>1</w:t>
            </w:r>
          </w:p>
        </w:tc>
        <w:tc>
          <w:tcPr>
            <w:tcW w:w="508" w:type="pct"/>
            <w:vAlign w:val="center"/>
          </w:tcPr>
          <w:p w:rsidR="00F37482" w:rsidRPr="00EA0C20" w:rsidRDefault="00EA0C20" w:rsidP="00F0722B">
            <w:pPr>
              <w:pStyle w:val="PBACTableText"/>
              <w:jc w:val="center"/>
              <w:rPr>
                <w:highlight w:val="black"/>
                <w:vertAlign w:val="superscript"/>
              </w:rPr>
            </w:pPr>
            <w:r>
              <w:rPr>
                <w:noProof/>
                <w:color w:val="000000"/>
                <w:highlight w:val="black"/>
              </w:rPr>
              <w:t>''''''''''''</w:t>
            </w:r>
          </w:p>
        </w:tc>
        <w:tc>
          <w:tcPr>
            <w:tcW w:w="588" w:type="pct"/>
            <w:vAlign w:val="center"/>
          </w:tcPr>
          <w:p w:rsidR="00F37482" w:rsidRPr="00EA0C20" w:rsidRDefault="00EA0C20" w:rsidP="00F0722B">
            <w:pPr>
              <w:pStyle w:val="PBACTableText"/>
              <w:jc w:val="center"/>
              <w:rPr>
                <w:highlight w:val="black"/>
              </w:rPr>
            </w:pPr>
            <w:r>
              <w:rPr>
                <w:noProof/>
                <w:color w:val="000000"/>
                <w:highlight w:val="black"/>
              </w:rPr>
              <w:t>''''''''''''''''</w:t>
            </w:r>
          </w:p>
        </w:tc>
        <w:tc>
          <w:tcPr>
            <w:tcW w:w="694" w:type="pct"/>
            <w:shd w:val="clear" w:color="auto" w:fill="auto"/>
            <w:vAlign w:val="center"/>
          </w:tcPr>
          <w:p w:rsidR="00F37482" w:rsidRPr="00EA0C20" w:rsidRDefault="00EA0C20" w:rsidP="00F0722B">
            <w:pPr>
              <w:pStyle w:val="PBACTableText"/>
              <w:jc w:val="center"/>
              <w:rPr>
                <w:highlight w:val="black"/>
                <w:vertAlign w:val="superscript"/>
              </w:rPr>
            </w:pPr>
            <w:r>
              <w:rPr>
                <w:noProof/>
                <w:color w:val="000000"/>
                <w:highlight w:val="black"/>
              </w:rPr>
              <w:t>'''''''''''''''''''''''''''''</w:t>
            </w:r>
          </w:p>
        </w:tc>
        <w:tc>
          <w:tcPr>
            <w:tcW w:w="670" w:type="pct"/>
            <w:vAlign w:val="center"/>
          </w:tcPr>
          <w:p w:rsidR="00F37482" w:rsidRPr="00EA0C20" w:rsidRDefault="00EA0C20" w:rsidP="00F0722B">
            <w:pPr>
              <w:pStyle w:val="PBACTableText"/>
              <w:jc w:val="center"/>
              <w:rPr>
                <w:highlight w:val="black"/>
              </w:rPr>
            </w:pPr>
            <w:r>
              <w:rPr>
                <w:noProof/>
                <w:color w:val="000000"/>
                <w:highlight w:val="black"/>
              </w:rPr>
              <w:t>''''''''''''''''''''''</w:t>
            </w:r>
          </w:p>
        </w:tc>
        <w:tc>
          <w:tcPr>
            <w:tcW w:w="750" w:type="pct"/>
            <w:vAlign w:val="center"/>
          </w:tcPr>
          <w:p w:rsidR="00F37482" w:rsidRPr="00EA0C20" w:rsidRDefault="00EA0C20" w:rsidP="00F0722B">
            <w:pPr>
              <w:pStyle w:val="PBACTableText"/>
              <w:jc w:val="center"/>
              <w:rPr>
                <w:highlight w:val="black"/>
              </w:rPr>
            </w:pPr>
            <w:r>
              <w:rPr>
                <w:noProof/>
                <w:color w:val="000000"/>
                <w:highlight w:val="black"/>
              </w:rPr>
              <w:t>'''''''''''''''''''''''''</w:t>
            </w:r>
          </w:p>
        </w:tc>
      </w:tr>
      <w:tr w:rsidR="00F37482" w:rsidRPr="00B623DB" w:rsidTr="00F0722B">
        <w:tc>
          <w:tcPr>
            <w:tcW w:w="754" w:type="pct"/>
            <w:tcBorders>
              <w:top w:val="nil"/>
            </w:tcBorders>
            <w:shd w:val="clear" w:color="auto" w:fill="auto"/>
          </w:tcPr>
          <w:p w:rsidR="00F37482" w:rsidRPr="00B623DB" w:rsidRDefault="00F37482" w:rsidP="00F0722B">
            <w:pPr>
              <w:pStyle w:val="PBACTableText"/>
              <w:rPr>
                <w:b/>
                <w:vertAlign w:val="superscript"/>
              </w:rPr>
            </w:pPr>
          </w:p>
        </w:tc>
        <w:tc>
          <w:tcPr>
            <w:tcW w:w="418" w:type="pct"/>
            <w:tcBorders>
              <w:top w:val="nil"/>
            </w:tcBorders>
            <w:vAlign w:val="center"/>
          </w:tcPr>
          <w:p w:rsidR="00F37482" w:rsidRPr="00B623DB" w:rsidRDefault="00F37482" w:rsidP="00F0722B">
            <w:pPr>
              <w:pStyle w:val="PBACTableText"/>
              <w:jc w:val="center"/>
            </w:pPr>
          </w:p>
        </w:tc>
        <w:tc>
          <w:tcPr>
            <w:tcW w:w="618" w:type="pct"/>
            <w:tcBorders>
              <w:top w:val="nil"/>
            </w:tcBorders>
            <w:vAlign w:val="center"/>
          </w:tcPr>
          <w:p w:rsidR="00F37482" w:rsidRPr="00B623DB" w:rsidRDefault="00F37482" w:rsidP="00F0722B">
            <w:pPr>
              <w:pStyle w:val="PBACTableText"/>
              <w:jc w:val="center"/>
            </w:pPr>
          </w:p>
        </w:tc>
        <w:tc>
          <w:tcPr>
            <w:tcW w:w="508" w:type="pct"/>
            <w:vAlign w:val="center"/>
          </w:tcPr>
          <w:p w:rsidR="00F37482" w:rsidRPr="00EA0C20" w:rsidRDefault="00EA0C20" w:rsidP="00F0722B">
            <w:pPr>
              <w:pStyle w:val="PBACTableText"/>
              <w:jc w:val="center"/>
              <w:rPr>
                <w:highlight w:val="black"/>
                <w:vertAlign w:val="superscript"/>
              </w:rPr>
            </w:pPr>
            <w:r>
              <w:rPr>
                <w:noProof/>
                <w:color w:val="000000"/>
                <w:highlight w:val="black"/>
              </w:rPr>
              <w:t>'''''''''''''</w:t>
            </w:r>
          </w:p>
        </w:tc>
        <w:tc>
          <w:tcPr>
            <w:tcW w:w="588" w:type="pct"/>
            <w:vAlign w:val="center"/>
          </w:tcPr>
          <w:p w:rsidR="00F37482" w:rsidRPr="00EA0C20" w:rsidRDefault="00EA0C20" w:rsidP="00F0722B">
            <w:pPr>
              <w:pStyle w:val="PBACTableText"/>
              <w:jc w:val="center"/>
              <w:rPr>
                <w:highlight w:val="black"/>
              </w:rPr>
            </w:pPr>
            <w:r>
              <w:rPr>
                <w:noProof/>
                <w:color w:val="000000"/>
                <w:highlight w:val="black"/>
              </w:rPr>
              <w:t>'''''''''''''''</w:t>
            </w:r>
          </w:p>
        </w:tc>
        <w:tc>
          <w:tcPr>
            <w:tcW w:w="694" w:type="pct"/>
            <w:shd w:val="clear" w:color="auto" w:fill="auto"/>
            <w:vAlign w:val="center"/>
          </w:tcPr>
          <w:p w:rsidR="00F37482" w:rsidRPr="00EA0C20" w:rsidRDefault="00EA0C20" w:rsidP="00F0722B">
            <w:pPr>
              <w:pStyle w:val="PBACTableText"/>
              <w:jc w:val="center"/>
              <w:rPr>
                <w:highlight w:val="black"/>
              </w:rPr>
            </w:pPr>
            <w:r>
              <w:rPr>
                <w:noProof/>
                <w:color w:val="000000"/>
                <w:highlight w:val="black"/>
              </w:rPr>
              <w:t>''''''''''''''''''''''''''</w:t>
            </w:r>
          </w:p>
        </w:tc>
        <w:tc>
          <w:tcPr>
            <w:tcW w:w="670" w:type="pct"/>
            <w:vAlign w:val="center"/>
          </w:tcPr>
          <w:p w:rsidR="00F37482" w:rsidRPr="00EA0C20" w:rsidRDefault="00EA0C20" w:rsidP="00F0722B">
            <w:pPr>
              <w:pStyle w:val="PBACTableText"/>
              <w:jc w:val="center"/>
              <w:rPr>
                <w:highlight w:val="black"/>
              </w:rPr>
            </w:pPr>
            <w:r>
              <w:rPr>
                <w:noProof/>
                <w:color w:val="000000"/>
                <w:highlight w:val="black"/>
              </w:rPr>
              <w:t>'''''''''''''''''''''</w:t>
            </w:r>
          </w:p>
        </w:tc>
        <w:tc>
          <w:tcPr>
            <w:tcW w:w="750" w:type="pct"/>
            <w:vAlign w:val="center"/>
          </w:tcPr>
          <w:p w:rsidR="00F37482" w:rsidRPr="00EA0C20" w:rsidRDefault="00EA0C20" w:rsidP="00F0722B">
            <w:pPr>
              <w:pStyle w:val="PBACTableText"/>
              <w:jc w:val="center"/>
              <w:rPr>
                <w:highlight w:val="black"/>
              </w:rPr>
            </w:pPr>
            <w:r>
              <w:rPr>
                <w:noProof/>
                <w:color w:val="000000"/>
                <w:highlight w:val="black"/>
              </w:rPr>
              <w:t>''''''''''''''''''''''''</w:t>
            </w:r>
          </w:p>
        </w:tc>
      </w:tr>
    </w:tbl>
    <w:p w:rsidR="00F37482" w:rsidRPr="00B623DB" w:rsidRDefault="00F37482" w:rsidP="00F37482">
      <w:pPr>
        <w:spacing w:after="120"/>
        <w:contextualSpacing/>
        <w:rPr>
          <w:rFonts w:ascii="Arial Narrow" w:hAnsi="Arial Narrow"/>
          <w:sz w:val="18"/>
        </w:rPr>
      </w:pPr>
      <w:r w:rsidRPr="00B623DB">
        <w:rPr>
          <w:rFonts w:ascii="Arial Narrow" w:hAnsi="Arial Narrow"/>
          <w:sz w:val="18"/>
          <w:vertAlign w:val="superscript"/>
        </w:rPr>
        <w:t xml:space="preserve">a </w:t>
      </w:r>
      <w:r w:rsidRPr="00B623DB">
        <w:rPr>
          <w:rFonts w:ascii="Arial Narrow" w:hAnsi="Arial Narrow"/>
          <w:sz w:val="18"/>
        </w:rPr>
        <w:t xml:space="preserve">Rounding error in number of packs per year corrected during the evaluation </w:t>
      </w:r>
    </w:p>
    <w:p w:rsidR="00F37482" w:rsidRPr="00B623DB" w:rsidRDefault="00F37482" w:rsidP="00F37482">
      <w:pPr>
        <w:spacing w:after="120"/>
        <w:contextualSpacing/>
        <w:rPr>
          <w:rFonts w:ascii="Arial Narrow" w:hAnsi="Arial Narrow"/>
          <w:sz w:val="18"/>
        </w:rPr>
      </w:pPr>
      <w:r w:rsidRPr="00B623DB">
        <w:rPr>
          <w:rFonts w:ascii="Arial Narrow" w:hAnsi="Arial Narrow"/>
          <w:sz w:val="18"/>
        </w:rPr>
        <w:t>Abbreviations: AEMP, approved ex-manufacturer price; DPMQ, dispensed price for maximum quantity</w:t>
      </w:r>
    </w:p>
    <w:p w:rsidR="00F37482" w:rsidRPr="00B623DB" w:rsidRDefault="00F37482" w:rsidP="00F37482">
      <w:pPr>
        <w:spacing w:after="120"/>
        <w:contextualSpacing/>
        <w:rPr>
          <w:rFonts w:ascii="Arial Narrow" w:hAnsi="Arial Narrow"/>
          <w:sz w:val="18"/>
        </w:rPr>
      </w:pPr>
      <w:r w:rsidRPr="00B623DB">
        <w:rPr>
          <w:rFonts w:ascii="Arial Narrow" w:hAnsi="Arial Narrow"/>
          <w:sz w:val="18"/>
        </w:rPr>
        <w:t>Source: EXCEL spreadsheet “Section3_CostMin_Ilaris_July17.xlsx</w:t>
      </w:r>
      <w:r w:rsidR="00DB29B3" w:rsidRPr="00B623DB">
        <w:rPr>
          <w:rFonts w:ascii="Arial Narrow" w:hAnsi="Arial Narrow"/>
          <w:sz w:val="18"/>
        </w:rPr>
        <w:t>”,</w:t>
      </w:r>
      <w:r w:rsidRPr="00B623DB">
        <w:rPr>
          <w:rFonts w:ascii="Arial Narrow" w:hAnsi="Arial Narrow"/>
          <w:sz w:val="18"/>
        </w:rPr>
        <w:t xml:space="preserve"> Attachment 8 to the submission</w:t>
      </w:r>
    </w:p>
    <w:p w:rsidR="00C317F3" w:rsidRPr="00B623DB" w:rsidRDefault="00C317F3" w:rsidP="00233BBF">
      <w:pPr>
        <w:pStyle w:val="Heading2"/>
        <w:numPr>
          <w:ilvl w:val="0"/>
          <w:numId w:val="0"/>
        </w:numPr>
        <w:rPr>
          <w:i w:val="0"/>
        </w:rPr>
      </w:pPr>
      <w:bookmarkStart w:id="21" w:name="_Toc413139283"/>
      <w:bookmarkStart w:id="22" w:name="_Toc492307661"/>
      <w:r w:rsidRPr="00B623DB">
        <w:rPr>
          <w:i w:val="0"/>
        </w:rPr>
        <w:t>Drug cost/patient/year</w:t>
      </w:r>
      <w:bookmarkEnd w:id="21"/>
      <w:bookmarkEnd w:id="22"/>
    </w:p>
    <w:p w:rsidR="00C317F3" w:rsidRPr="00B623DB" w:rsidRDefault="004F54FA" w:rsidP="00C42C16">
      <w:pPr>
        <w:pStyle w:val="ListParagraph"/>
        <w:numPr>
          <w:ilvl w:val="1"/>
          <w:numId w:val="2"/>
        </w:numPr>
        <w:spacing w:before="0" w:after="120"/>
        <w:jc w:val="both"/>
      </w:pPr>
      <w:r w:rsidRPr="002E1E90">
        <w:t>The cost of canakinumab per patient per year</w:t>
      </w:r>
      <w:r w:rsidR="00D63AF8" w:rsidRPr="002E1E90">
        <w:t xml:space="preserve"> was calculated at $</w:t>
      </w:r>
      <w:r w:rsidR="00EA0C20">
        <w:rPr>
          <w:noProof/>
          <w:color w:val="000000"/>
          <w:highlight w:val="black"/>
        </w:rPr>
        <w:t>''''''''''''''</w:t>
      </w:r>
      <w:r w:rsidR="00D63AF8" w:rsidRPr="002E1E90">
        <w:t xml:space="preserve"> for public hospital use</w:t>
      </w:r>
      <w:r w:rsidRPr="002E1E90">
        <w:t xml:space="preserve"> </w:t>
      </w:r>
      <w:r w:rsidR="00D63AF8" w:rsidRPr="002E1E90">
        <w:t>(DPMQ $</w:t>
      </w:r>
      <w:r w:rsidR="00EA0C20">
        <w:rPr>
          <w:noProof/>
          <w:color w:val="000000"/>
          <w:highlight w:val="black"/>
        </w:rPr>
        <w:t>''''''''''''''''</w:t>
      </w:r>
      <w:r w:rsidR="00D63AF8" w:rsidRPr="002E1E90">
        <w:t>), and $</w:t>
      </w:r>
      <w:r w:rsidR="00EA0C20">
        <w:rPr>
          <w:noProof/>
          <w:color w:val="000000"/>
          <w:highlight w:val="black"/>
        </w:rPr>
        <w:t>'''''''''''''''''''</w:t>
      </w:r>
      <w:r w:rsidR="00D63AF8" w:rsidRPr="002E1E90">
        <w:t xml:space="preserve"> for private hospital use (DPMQ $</w:t>
      </w:r>
      <w:r w:rsidR="00EA0C20">
        <w:rPr>
          <w:noProof/>
          <w:color w:val="000000"/>
          <w:highlight w:val="black"/>
        </w:rPr>
        <w:t>''''''''''''''''</w:t>
      </w:r>
      <w:r w:rsidR="00D63AF8" w:rsidRPr="002E1E90">
        <w:t>)</w:t>
      </w:r>
      <w:r w:rsidR="00C626E2" w:rsidRPr="002E1E90">
        <w:t>.</w:t>
      </w:r>
      <w:r w:rsidR="00D63AF8" w:rsidRPr="002E1E90">
        <w:t xml:space="preserve"> Costs per year were based on 6.5 scripts per year with 56 days’ treatment per script. </w:t>
      </w:r>
      <w:r w:rsidR="009C2B10" w:rsidRPr="002E1E90">
        <w:t>The</w:t>
      </w:r>
      <w:r w:rsidR="00D63AF8" w:rsidRPr="002E1E90">
        <w:t xml:space="preserve"> equivalent</w:t>
      </w:r>
      <w:r w:rsidR="009C2B10" w:rsidRPr="002E1E90">
        <w:t xml:space="preserve"> cost of anakinra treatment </w:t>
      </w:r>
      <w:r w:rsidR="00D63AF8" w:rsidRPr="002E1E90">
        <w:t>wa</w:t>
      </w:r>
      <w:r w:rsidR="009C2B10" w:rsidRPr="002E1E90">
        <w:t>s calculated to be $</w:t>
      </w:r>
      <w:r w:rsidR="00EA0C20">
        <w:rPr>
          <w:noProof/>
          <w:color w:val="000000"/>
          <w:highlight w:val="black"/>
        </w:rPr>
        <w:t>''''''''''''''</w:t>
      </w:r>
      <w:r w:rsidR="009C2B10" w:rsidRPr="002E1E90">
        <w:t xml:space="preserve"> per patient per year (S100 public hospital DPMQ $</w:t>
      </w:r>
      <w:r w:rsidR="00EA0C20">
        <w:rPr>
          <w:noProof/>
          <w:color w:val="000000"/>
          <w:highlight w:val="black"/>
        </w:rPr>
        <w:t>''''''''''</w:t>
      </w:r>
      <w:r w:rsidR="009C2B10" w:rsidRPr="002E1E90">
        <w:t>), based on a dose of 100 mg (one pre-filled syringe) per day for 28 days per script, and 13.04 scripts per year. Treatment is ongoing. Cost per patient per year for private hospital use of anakinra is $</w:t>
      </w:r>
      <w:r w:rsidR="00EA0C20">
        <w:rPr>
          <w:noProof/>
          <w:color w:val="000000"/>
          <w:highlight w:val="black"/>
        </w:rPr>
        <w:t>''''''''''''''''''''</w:t>
      </w:r>
      <w:r w:rsidR="009C2B10" w:rsidRPr="002E1E90">
        <w:t>.</w:t>
      </w:r>
      <w:r w:rsidRPr="002E1E90">
        <w:t xml:space="preserve"> Costs per patient per year may </w:t>
      </w:r>
      <w:r w:rsidR="00D63AF8" w:rsidRPr="002E1E90">
        <w:t>be greater</w:t>
      </w:r>
      <w:r w:rsidRPr="002E1E90">
        <w:t xml:space="preserve"> for both canakinumab and anakinra if dose escalation is required beyond the 150 mg and 100 mg </w:t>
      </w:r>
      <w:r w:rsidR="00035812" w:rsidRPr="002E1E90">
        <w:t xml:space="preserve">vials or pre-filled syringes </w:t>
      </w:r>
      <w:r w:rsidRPr="002E1E90">
        <w:t>provided with each prescription</w:t>
      </w:r>
      <w:r w:rsidRPr="00B623DB">
        <w:t>.</w:t>
      </w:r>
    </w:p>
    <w:p w:rsidR="00C317F3" w:rsidRPr="00B623DB" w:rsidRDefault="00C317F3" w:rsidP="00233BBF">
      <w:pPr>
        <w:pStyle w:val="Heading2"/>
        <w:numPr>
          <w:ilvl w:val="0"/>
          <w:numId w:val="0"/>
        </w:numPr>
        <w:rPr>
          <w:i w:val="0"/>
        </w:rPr>
      </w:pPr>
      <w:bookmarkStart w:id="23" w:name="_Toc413139284"/>
      <w:bookmarkStart w:id="24" w:name="_Toc492307662"/>
      <w:r w:rsidRPr="00B623DB">
        <w:rPr>
          <w:i w:val="0"/>
        </w:rPr>
        <w:t>Estimated PBS usage &amp; financial implications</w:t>
      </w:r>
      <w:bookmarkEnd w:id="23"/>
      <w:bookmarkEnd w:id="24"/>
    </w:p>
    <w:p w:rsidR="00C317F3" w:rsidRPr="00B623DB" w:rsidRDefault="00C317F3" w:rsidP="00C42C16">
      <w:pPr>
        <w:pStyle w:val="ListParagraph"/>
        <w:numPr>
          <w:ilvl w:val="1"/>
          <w:numId w:val="2"/>
        </w:numPr>
        <w:spacing w:before="0" w:after="120"/>
        <w:jc w:val="both"/>
      </w:pPr>
      <w:r w:rsidRPr="00B623DB">
        <w:t xml:space="preserve">This submission </w:t>
      </w:r>
      <w:r w:rsidR="00454493" w:rsidRPr="00B623DB">
        <w:t>w</w:t>
      </w:r>
      <w:r w:rsidR="002B3799" w:rsidRPr="00B623DB">
        <w:t>as</w:t>
      </w:r>
      <w:r w:rsidR="00454493" w:rsidRPr="00B623DB">
        <w:t xml:space="preserve"> </w:t>
      </w:r>
      <w:r w:rsidRPr="00B623DB">
        <w:t>not considered by DUSC</w:t>
      </w:r>
      <w:r w:rsidR="00C55F68" w:rsidRPr="00B623DB">
        <w:t xml:space="preserve">. </w:t>
      </w:r>
      <w:r w:rsidR="009C2B10" w:rsidRPr="00B623DB">
        <w:t>The submission took a market share approach to estimate the usage and financial implications of a PBS listing for canakinumab. The submission used current prescribing patterns for anakinra and an assumed proportion of uptake for canakinumab to estimate use in the Australian population with CAPS.</w:t>
      </w:r>
    </w:p>
    <w:p w:rsidR="00C317F3" w:rsidRPr="00B623DB" w:rsidRDefault="00C56979" w:rsidP="00C42C16">
      <w:pPr>
        <w:pStyle w:val="ListParagraph"/>
        <w:numPr>
          <w:ilvl w:val="1"/>
          <w:numId w:val="2"/>
        </w:numPr>
        <w:spacing w:before="0" w:after="120"/>
        <w:jc w:val="both"/>
      </w:pPr>
      <w:r w:rsidRPr="00B623DB">
        <w:t>Estimated use and financial implications of a PBS listing for canakinumab are presented in the table below.</w:t>
      </w:r>
    </w:p>
    <w:p w:rsidR="00C317F3" w:rsidRPr="00B623DB" w:rsidRDefault="00C317F3" w:rsidP="00772501">
      <w:pPr>
        <w:pStyle w:val="TableHeading0"/>
      </w:pPr>
      <w:r w:rsidRPr="00B623DB">
        <w:t xml:space="preserve">Table </w:t>
      </w:r>
      <w:r w:rsidR="004C344A" w:rsidRPr="00B623DB">
        <w:t>1</w:t>
      </w:r>
      <w:r w:rsidR="00A92255" w:rsidRPr="00B623DB">
        <w:t>2</w:t>
      </w:r>
      <w:r w:rsidRPr="00B623DB">
        <w:t>:</w:t>
      </w:r>
      <w:r w:rsidR="007154F6" w:rsidRPr="00B623DB">
        <w:t xml:space="preserve"> </w:t>
      </w:r>
      <w:r w:rsidRPr="00B623DB">
        <w:t>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54"/>
        <w:gridCol w:w="906"/>
        <w:gridCol w:w="1050"/>
        <w:gridCol w:w="1048"/>
        <w:gridCol w:w="1050"/>
        <w:gridCol w:w="1048"/>
        <w:gridCol w:w="1048"/>
      </w:tblGrid>
      <w:tr w:rsidR="007154F6" w:rsidRPr="00B623DB" w:rsidTr="00D148B7">
        <w:trPr>
          <w:tblHeader/>
        </w:trPr>
        <w:tc>
          <w:tcPr>
            <w:tcW w:w="1585" w:type="pct"/>
            <w:shd w:val="clear" w:color="auto" w:fill="auto"/>
            <w:vAlign w:val="center"/>
          </w:tcPr>
          <w:p w:rsidR="007154F6" w:rsidRPr="00B623DB" w:rsidRDefault="007154F6" w:rsidP="00D148B7">
            <w:pPr>
              <w:pStyle w:val="TableText"/>
              <w:keepNext w:val="0"/>
            </w:pPr>
          </w:p>
        </w:tc>
        <w:tc>
          <w:tcPr>
            <w:tcW w:w="503" w:type="pct"/>
            <w:shd w:val="clear" w:color="auto" w:fill="auto"/>
            <w:vAlign w:val="center"/>
          </w:tcPr>
          <w:p w:rsidR="007154F6" w:rsidRPr="00B623DB" w:rsidRDefault="007154F6" w:rsidP="00D148B7">
            <w:pPr>
              <w:pStyle w:val="TableText"/>
              <w:keepNext w:val="0"/>
              <w:jc w:val="center"/>
              <w:rPr>
                <w:b/>
              </w:rPr>
            </w:pPr>
            <w:r w:rsidRPr="00B623DB">
              <w:rPr>
                <w:b/>
              </w:rPr>
              <w:t>Year 1</w:t>
            </w:r>
          </w:p>
          <w:p w:rsidR="007154F6" w:rsidRPr="00B623DB" w:rsidRDefault="007154F6" w:rsidP="00D148B7">
            <w:pPr>
              <w:pStyle w:val="TableText"/>
              <w:keepNext w:val="0"/>
              <w:jc w:val="center"/>
              <w:rPr>
                <w:b/>
              </w:rPr>
            </w:pPr>
            <w:r w:rsidRPr="00B623DB">
              <w:rPr>
                <w:b/>
              </w:rPr>
              <w:t>(2018)</w:t>
            </w:r>
          </w:p>
        </w:tc>
        <w:tc>
          <w:tcPr>
            <w:tcW w:w="583" w:type="pct"/>
            <w:shd w:val="clear" w:color="auto" w:fill="auto"/>
            <w:vAlign w:val="center"/>
          </w:tcPr>
          <w:p w:rsidR="007154F6" w:rsidRPr="00B623DB" w:rsidRDefault="007154F6" w:rsidP="00D148B7">
            <w:pPr>
              <w:pStyle w:val="TableText"/>
              <w:keepNext w:val="0"/>
              <w:jc w:val="center"/>
              <w:rPr>
                <w:b/>
              </w:rPr>
            </w:pPr>
            <w:r w:rsidRPr="00B623DB">
              <w:rPr>
                <w:b/>
              </w:rPr>
              <w:t>Year 2</w:t>
            </w:r>
          </w:p>
          <w:p w:rsidR="007154F6" w:rsidRPr="00B623DB" w:rsidRDefault="007154F6" w:rsidP="00D148B7">
            <w:pPr>
              <w:pStyle w:val="TableText"/>
              <w:keepNext w:val="0"/>
              <w:jc w:val="center"/>
              <w:rPr>
                <w:b/>
              </w:rPr>
            </w:pPr>
            <w:r w:rsidRPr="00B623DB">
              <w:rPr>
                <w:b/>
              </w:rPr>
              <w:t>(2019)</w:t>
            </w:r>
          </w:p>
        </w:tc>
        <w:tc>
          <w:tcPr>
            <w:tcW w:w="582" w:type="pct"/>
            <w:shd w:val="clear" w:color="auto" w:fill="auto"/>
            <w:vAlign w:val="center"/>
          </w:tcPr>
          <w:p w:rsidR="007154F6" w:rsidRPr="00B623DB" w:rsidRDefault="007154F6" w:rsidP="00D148B7">
            <w:pPr>
              <w:pStyle w:val="TableText"/>
              <w:keepNext w:val="0"/>
              <w:jc w:val="center"/>
              <w:rPr>
                <w:b/>
              </w:rPr>
            </w:pPr>
            <w:r w:rsidRPr="00B623DB">
              <w:rPr>
                <w:b/>
              </w:rPr>
              <w:t>Year 3</w:t>
            </w:r>
          </w:p>
          <w:p w:rsidR="007154F6" w:rsidRPr="00B623DB" w:rsidRDefault="007154F6" w:rsidP="00D148B7">
            <w:pPr>
              <w:pStyle w:val="TableText"/>
              <w:keepNext w:val="0"/>
              <w:jc w:val="center"/>
              <w:rPr>
                <w:b/>
              </w:rPr>
            </w:pPr>
            <w:r w:rsidRPr="00B623DB">
              <w:rPr>
                <w:b/>
              </w:rPr>
              <w:t>(2020)</w:t>
            </w:r>
          </w:p>
        </w:tc>
        <w:tc>
          <w:tcPr>
            <w:tcW w:w="583" w:type="pct"/>
            <w:shd w:val="clear" w:color="auto" w:fill="auto"/>
            <w:vAlign w:val="center"/>
          </w:tcPr>
          <w:p w:rsidR="007154F6" w:rsidRPr="00B623DB" w:rsidRDefault="007154F6" w:rsidP="00D148B7">
            <w:pPr>
              <w:pStyle w:val="TableText"/>
              <w:keepNext w:val="0"/>
              <w:jc w:val="center"/>
              <w:rPr>
                <w:b/>
              </w:rPr>
            </w:pPr>
            <w:r w:rsidRPr="00B623DB">
              <w:rPr>
                <w:b/>
              </w:rPr>
              <w:t>Year 4</w:t>
            </w:r>
          </w:p>
          <w:p w:rsidR="007154F6" w:rsidRPr="00B623DB" w:rsidRDefault="007154F6" w:rsidP="00D148B7">
            <w:pPr>
              <w:pStyle w:val="TableText"/>
              <w:keepNext w:val="0"/>
              <w:jc w:val="center"/>
              <w:rPr>
                <w:b/>
              </w:rPr>
            </w:pPr>
            <w:r w:rsidRPr="00B623DB">
              <w:rPr>
                <w:b/>
              </w:rPr>
              <w:t>(2021)</w:t>
            </w:r>
          </w:p>
        </w:tc>
        <w:tc>
          <w:tcPr>
            <w:tcW w:w="582" w:type="pct"/>
            <w:shd w:val="clear" w:color="auto" w:fill="auto"/>
            <w:vAlign w:val="center"/>
          </w:tcPr>
          <w:p w:rsidR="007154F6" w:rsidRPr="00B623DB" w:rsidRDefault="007154F6" w:rsidP="00D148B7">
            <w:pPr>
              <w:pStyle w:val="TableText"/>
              <w:keepNext w:val="0"/>
              <w:jc w:val="center"/>
              <w:rPr>
                <w:b/>
              </w:rPr>
            </w:pPr>
            <w:r w:rsidRPr="00B623DB">
              <w:rPr>
                <w:b/>
              </w:rPr>
              <w:t>Year 5</w:t>
            </w:r>
          </w:p>
          <w:p w:rsidR="007154F6" w:rsidRPr="00B623DB" w:rsidRDefault="007154F6" w:rsidP="00D148B7">
            <w:pPr>
              <w:pStyle w:val="TableText"/>
              <w:keepNext w:val="0"/>
              <w:jc w:val="center"/>
              <w:rPr>
                <w:b/>
              </w:rPr>
            </w:pPr>
            <w:r w:rsidRPr="00B623DB">
              <w:rPr>
                <w:b/>
              </w:rPr>
              <w:t>(2022)</w:t>
            </w:r>
          </w:p>
        </w:tc>
        <w:tc>
          <w:tcPr>
            <w:tcW w:w="582" w:type="pct"/>
          </w:tcPr>
          <w:p w:rsidR="007154F6" w:rsidRPr="00B623DB" w:rsidRDefault="007154F6" w:rsidP="00D148B7">
            <w:pPr>
              <w:pStyle w:val="TableText"/>
              <w:keepNext w:val="0"/>
              <w:jc w:val="center"/>
              <w:rPr>
                <w:b/>
              </w:rPr>
            </w:pPr>
            <w:r w:rsidRPr="00B623DB">
              <w:rPr>
                <w:b/>
              </w:rPr>
              <w:t>Year 6</w:t>
            </w:r>
          </w:p>
          <w:p w:rsidR="007154F6" w:rsidRPr="00B623DB" w:rsidRDefault="007154F6" w:rsidP="00D148B7">
            <w:pPr>
              <w:pStyle w:val="TableText"/>
              <w:keepNext w:val="0"/>
              <w:jc w:val="center"/>
              <w:rPr>
                <w:b/>
              </w:rPr>
            </w:pPr>
            <w:r w:rsidRPr="00B623DB">
              <w:rPr>
                <w:b/>
              </w:rPr>
              <w:t>(2023)</w:t>
            </w:r>
          </w:p>
        </w:tc>
      </w:tr>
      <w:tr w:rsidR="007154F6" w:rsidRPr="00B623DB" w:rsidTr="00D148B7">
        <w:tc>
          <w:tcPr>
            <w:tcW w:w="5000" w:type="pct"/>
            <w:gridSpan w:val="7"/>
            <w:shd w:val="clear" w:color="auto" w:fill="auto"/>
            <w:vAlign w:val="center"/>
          </w:tcPr>
          <w:p w:rsidR="007154F6" w:rsidRPr="00B623DB" w:rsidRDefault="007154F6" w:rsidP="00D148B7">
            <w:pPr>
              <w:pStyle w:val="TableText"/>
              <w:keepNext w:val="0"/>
              <w:rPr>
                <w:b/>
                <w:vertAlign w:val="superscript"/>
              </w:rPr>
            </w:pPr>
            <w:r w:rsidRPr="00B623DB">
              <w:rPr>
                <w:b/>
              </w:rPr>
              <w:t>Estimated canakinumab scripts</w:t>
            </w:r>
            <w:r w:rsidRPr="00B623DB">
              <w:rPr>
                <w:b/>
                <w:vertAlign w:val="superscript"/>
              </w:rPr>
              <w:t>1</w:t>
            </w:r>
          </w:p>
        </w:tc>
      </w:tr>
      <w:tr w:rsidR="007154F6" w:rsidRPr="00B623DB" w:rsidTr="00045E39">
        <w:tc>
          <w:tcPr>
            <w:tcW w:w="1585" w:type="pct"/>
            <w:shd w:val="clear" w:color="auto" w:fill="auto"/>
            <w:vAlign w:val="center"/>
          </w:tcPr>
          <w:p w:rsidR="007154F6" w:rsidRPr="00B623DB" w:rsidRDefault="007154F6" w:rsidP="00D148B7">
            <w:pPr>
              <w:pStyle w:val="TableText"/>
              <w:keepNext w:val="0"/>
            </w:pPr>
            <w:r w:rsidRPr="00B623DB">
              <w:t>Estimated anakinra scripts</w:t>
            </w:r>
            <w:r w:rsidR="00133E75" w:rsidRPr="00B623DB">
              <w:t xml:space="preserve"> (5% annual growth rate)</w:t>
            </w:r>
          </w:p>
        </w:tc>
        <w:tc>
          <w:tcPr>
            <w:tcW w:w="503" w:type="pct"/>
            <w:shd w:val="clear" w:color="auto" w:fill="auto"/>
            <w:vAlign w:val="center"/>
          </w:tcPr>
          <w:p w:rsidR="007154F6" w:rsidRPr="00EA0C20" w:rsidRDefault="00EA0C20" w:rsidP="00045E39">
            <w:pPr>
              <w:pStyle w:val="TableText"/>
              <w:keepNext w:val="0"/>
              <w:jc w:val="center"/>
              <w:rPr>
                <w:bCs/>
                <w:color w:val="000000"/>
                <w:highlight w:val="black"/>
              </w:rPr>
            </w:pPr>
            <w:r>
              <w:rPr>
                <w:noProof/>
                <w:color w:val="000000"/>
                <w:highlight w:val="black"/>
              </w:rPr>
              <w:t>'''''''''</w:t>
            </w:r>
          </w:p>
        </w:tc>
        <w:tc>
          <w:tcPr>
            <w:tcW w:w="583" w:type="pct"/>
            <w:shd w:val="clear" w:color="auto" w:fill="auto"/>
            <w:vAlign w:val="center"/>
          </w:tcPr>
          <w:p w:rsidR="007154F6" w:rsidRPr="00EA0C20" w:rsidRDefault="00EA0C20" w:rsidP="00045E39">
            <w:pPr>
              <w:pStyle w:val="TableText"/>
              <w:keepNext w:val="0"/>
              <w:jc w:val="center"/>
              <w:rPr>
                <w:bCs/>
                <w:color w:val="000000"/>
                <w:highlight w:val="black"/>
              </w:rPr>
            </w:pPr>
            <w:r>
              <w:rPr>
                <w:noProof/>
                <w:color w:val="000000"/>
                <w:highlight w:val="black"/>
              </w:rPr>
              <w:t>'''''''''</w:t>
            </w:r>
          </w:p>
        </w:tc>
        <w:tc>
          <w:tcPr>
            <w:tcW w:w="582" w:type="pct"/>
            <w:shd w:val="clear" w:color="auto" w:fill="auto"/>
            <w:vAlign w:val="center"/>
          </w:tcPr>
          <w:p w:rsidR="007154F6" w:rsidRPr="00EA0C20" w:rsidRDefault="00EA0C20" w:rsidP="00045E39">
            <w:pPr>
              <w:pStyle w:val="TableText"/>
              <w:keepNext w:val="0"/>
              <w:jc w:val="center"/>
              <w:rPr>
                <w:bCs/>
                <w:color w:val="000000"/>
                <w:highlight w:val="black"/>
              </w:rPr>
            </w:pPr>
            <w:r>
              <w:rPr>
                <w:noProof/>
                <w:color w:val="000000"/>
                <w:highlight w:val="black"/>
              </w:rPr>
              <w:t>''''''''''</w:t>
            </w:r>
          </w:p>
        </w:tc>
        <w:tc>
          <w:tcPr>
            <w:tcW w:w="583" w:type="pct"/>
            <w:shd w:val="clear" w:color="auto" w:fill="auto"/>
            <w:vAlign w:val="center"/>
          </w:tcPr>
          <w:p w:rsidR="007154F6" w:rsidRPr="00EA0C20" w:rsidRDefault="00EA0C20" w:rsidP="00045E39">
            <w:pPr>
              <w:pStyle w:val="TableText"/>
              <w:keepNext w:val="0"/>
              <w:jc w:val="center"/>
              <w:rPr>
                <w:bCs/>
                <w:color w:val="000000"/>
                <w:highlight w:val="black"/>
              </w:rPr>
            </w:pPr>
            <w:r>
              <w:rPr>
                <w:noProof/>
                <w:color w:val="000000"/>
                <w:highlight w:val="black"/>
              </w:rPr>
              <w:t>''''''''''</w:t>
            </w:r>
          </w:p>
        </w:tc>
        <w:tc>
          <w:tcPr>
            <w:tcW w:w="582" w:type="pct"/>
            <w:shd w:val="clear" w:color="auto" w:fill="auto"/>
            <w:vAlign w:val="center"/>
          </w:tcPr>
          <w:p w:rsidR="007154F6" w:rsidRPr="00EA0C20" w:rsidRDefault="00EA0C20" w:rsidP="00045E39">
            <w:pPr>
              <w:pStyle w:val="TableText"/>
              <w:keepNext w:val="0"/>
              <w:jc w:val="center"/>
              <w:rPr>
                <w:bCs/>
                <w:color w:val="000000"/>
                <w:highlight w:val="black"/>
              </w:rPr>
            </w:pPr>
            <w:r>
              <w:rPr>
                <w:noProof/>
                <w:color w:val="000000"/>
                <w:highlight w:val="black"/>
              </w:rPr>
              <w:t>'''''''''</w:t>
            </w:r>
          </w:p>
        </w:tc>
        <w:tc>
          <w:tcPr>
            <w:tcW w:w="582" w:type="pct"/>
            <w:vAlign w:val="center"/>
          </w:tcPr>
          <w:p w:rsidR="007154F6" w:rsidRPr="00EA0C20" w:rsidRDefault="00EA0C20" w:rsidP="00045E39">
            <w:pPr>
              <w:pStyle w:val="TableText"/>
              <w:keepNext w:val="0"/>
              <w:jc w:val="center"/>
              <w:rPr>
                <w:bCs/>
                <w:color w:val="000000"/>
                <w:highlight w:val="black"/>
              </w:rPr>
            </w:pPr>
            <w:r>
              <w:rPr>
                <w:noProof/>
                <w:color w:val="000000"/>
                <w:highlight w:val="black"/>
              </w:rPr>
              <w:t>''''''''''</w:t>
            </w:r>
          </w:p>
        </w:tc>
      </w:tr>
      <w:tr w:rsidR="007154F6" w:rsidRPr="00B623DB" w:rsidTr="00D148B7">
        <w:tc>
          <w:tcPr>
            <w:tcW w:w="1585" w:type="pct"/>
            <w:shd w:val="clear" w:color="auto" w:fill="auto"/>
            <w:vAlign w:val="center"/>
          </w:tcPr>
          <w:p w:rsidR="007154F6" w:rsidRPr="00B623DB" w:rsidRDefault="007154F6" w:rsidP="00D148B7">
            <w:pPr>
              <w:pStyle w:val="TableText"/>
              <w:keepNext w:val="0"/>
            </w:pPr>
            <w:r w:rsidRPr="00B623DB">
              <w:t>Estimated canakinumab uptake</w:t>
            </w:r>
          </w:p>
        </w:tc>
        <w:tc>
          <w:tcPr>
            <w:tcW w:w="50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tcPr>
          <w:p w:rsidR="007154F6" w:rsidRPr="00EA0C20" w:rsidRDefault="00EA0C20" w:rsidP="00D148B7">
            <w:pPr>
              <w:pStyle w:val="TableText"/>
              <w:keepNext w:val="0"/>
              <w:jc w:val="center"/>
              <w:rPr>
                <w:highlight w:val="black"/>
              </w:rPr>
            </w:pPr>
            <w:r>
              <w:rPr>
                <w:noProof/>
                <w:color w:val="000000"/>
                <w:highlight w:val="black"/>
              </w:rPr>
              <w:t>''''''''''</w:t>
            </w:r>
          </w:p>
        </w:tc>
      </w:tr>
      <w:tr w:rsidR="007154F6" w:rsidRPr="00B623DB" w:rsidTr="00D148B7">
        <w:tc>
          <w:tcPr>
            <w:tcW w:w="1585" w:type="pct"/>
            <w:shd w:val="clear" w:color="auto" w:fill="auto"/>
            <w:vAlign w:val="center"/>
          </w:tcPr>
          <w:p w:rsidR="007154F6" w:rsidRPr="00B623DB" w:rsidRDefault="007154F6" w:rsidP="00D148B7">
            <w:pPr>
              <w:pStyle w:val="TableText"/>
              <w:keepNext w:val="0"/>
            </w:pPr>
            <w:r w:rsidRPr="00B623DB">
              <w:t>Canakinumab scripts (1 canakinumab script for every 2 anakinra scripts)</w:t>
            </w:r>
          </w:p>
        </w:tc>
        <w:tc>
          <w:tcPr>
            <w:tcW w:w="503" w:type="pct"/>
            <w:shd w:val="clear" w:color="auto" w:fill="auto"/>
            <w:vAlign w:val="center"/>
          </w:tcPr>
          <w:p w:rsidR="007154F6" w:rsidRPr="00EA0C20" w:rsidRDefault="00EA0C20" w:rsidP="00D148B7">
            <w:pPr>
              <w:pStyle w:val="TableText"/>
              <w:keepNext w:val="0"/>
              <w:jc w:val="center"/>
              <w:rPr>
                <w:highlight w:val="black"/>
              </w:rPr>
            </w:pPr>
            <w:r>
              <w:rPr>
                <w:noProof/>
                <w:color w:val="000000"/>
                <w:highlight w:val="black"/>
              </w:rPr>
              <w:t>''''''''''</w:t>
            </w:r>
          </w:p>
        </w:tc>
        <w:tc>
          <w:tcPr>
            <w:tcW w:w="583" w:type="pct"/>
            <w:shd w:val="clear" w:color="auto" w:fill="auto"/>
            <w:vAlign w:val="center"/>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shd w:val="clear" w:color="auto" w:fill="auto"/>
            <w:vAlign w:val="center"/>
          </w:tcPr>
          <w:p w:rsidR="007154F6" w:rsidRPr="00EA0C20" w:rsidRDefault="00EA0C20" w:rsidP="00D148B7">
            <w:pPr>
              <w:pStyle w:val="TableText"/>
              <w:keepNext w:val="0"/>
              <w:jc w:val="center"/>
              <w:rPr>
                <w:highlight w:val="black"/>
              </w:rPr>
            </w:pPr>
            <w:r>
              <w:rPr>
                <w:noProof/>
                <w:color w:val="000000"/>
                <w:highlight w:val="black"/>
              </w:rPr>
              <w:t>''''''''''</w:t>
            </w:r>
          </w:p>
        </w:tc>
        <w:tc>
          <w:tcPr>
            <w:tcW w:w="583" w:type="pct"/>
            <w:shd w:val="clear" w:color="auto" w:fill="auto"/>
            <w:vAlign w:val="center"/>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shd w:val="clear" w:color="auto" w:fill="auto"/>
            <w:vAlign w:val="center"/>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vAlign w:val="center"/>
          </w:tcPr>
          <w:p w:rsidR="007154F6" w:rsidRPr="00EA0C20" w:rsidRDefault="00EA0C20" w:rsidP="00D148B7">
            <w:pPr>
              <w:pStyle w:val="TableText"/>
              <w:keepNext w:val="0"/>
              <w:jc w:val="center"/>
              <w:rPr>
                <w:highlight w:val="black"/>
              </w:rPr>
            </w:pPr>
            <w:r>
              <w:rPr>
                <w:noProof/>
                <w:color w:val="000000"/>
                <w:highlight w:val="black"/>
              </w:rPr>
              <w:t>'''''''''</w:t>
            </w:r>
          </w:p>
        </w:tc>
      </w:tr>
      <w:tr w:rsidR="007154F6" w:rsidRPr="00B623DB" w:rsidTr="00D148B7">
        <w:tc>
          <w:tcPr>
            <w:tcW w:w="1585" w:type="pct"/>
            <w:shd w:val="clear" w:color="auto" w:fill="auto"/>
            <w:vAlign w:val="center"/>
          </w:tcPr>
          <w:p w:rsidR="007154F6" w:rsidRPr="00B623DB" w:rsidRDefault="007154F6" w:rsidP="00D148B7">
            <w:pPr>
              <w:pStyle w:val="TableText"/>
              <w:keepNext w:val="0"/>
            </w:pPr>
            <w:r w:rsidRPr="00B623DB">
              <w:rPr>
                <w:sz w:val="19"/>
                <w:szCs w:val="19"/>
              </w:rPr>
              <w:t>Canakinumab PBS cost</w:t>
            </w:r>
          </w:p>
        </w:tc>
        <w:tc>
          <w:tcPr>
            <w:tcW w:w="50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tcPr>
          <w:p w:rsidR="007154F6" w:rsidRPr="00EA0C20" w:rsidRDefault="00EA0C20" w:rsidP="00D148B7">
            <w:pPr>
              <w:pStyle w:val="TableText"/>
              <w:keepNext w:val="0"/>
              <w:jc w:val="center"/>
              <w:rPr>
                <w:highlight w:val="black"/>
              </w:rPr>
            </w:pPr>
            <w:r>
              <w:rPr>
                <w:noProof/>
                <w:color w:val="000000"/>
                <w:highlight w:val="black"/>
              </w:rPr>
              <w:t>'''''''''''''''''''''''</w:t>
            </w:r>
          </w:p>
        </w:tc>
      </w:tr>
      <w:tr w:rsidR="007154F6" w:rsidRPr="00B623DB" w:rsidTr="00D148B7">
        <w:tc>
          <w:tcPr>
            <w:tcW w:w="1585" w:type="pct"/>
            <w:shd w:val="clear" w:color="auto" w:fill="auto"/>
            <w:vAlign w:val="center"/>
          </w:tcPr>
          <w:p w:rsidR="007154F6" w:rsidRPr="00B623DB" w:rsidRDefault="007154F6" w:rsidP="00D148B7">
            <w:pPr>
              <w:pStyle w:val="TableText"/>
              <w:keepNext w:val="0"/>
            </w:pPr>
            <w:r w:rsidRPr="00B623DB">
              <w:rPr>
                <w:sz w:val="19"/>
                <w:szCs w:val="19"/>
              </w:rPr>
              <w:t>Canakinumab copayments</w:t>
            </w:r>
          </w:p>
        </w:tc>
        <w:tc>
          <w:tcPr>
            <w:tcW w:w="50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tcPr>
          <w:p w:rsidR="007154F6" w:rsidRPr="00EA0C20" w:rsidRDefault="00EA0C20" w:rsidP="00D148B7">
            <w:pPr>
              <w:pStyle w:val="TableText"/>
              <w:keepNext w:val="0"/>
              <w:jc w:val="center"/>
              <w:rPr>
                <w:highlight w:val="black"/>
              </w:rPr>
            </w:pPr>
            <w:r>
              <w:rPr>
                <w:noProof/>
                <w:color w:val="000000"/>
                <w:highlight w:val="black"/>
              </w:rPr>
              <w:t>'''''''''''''''</w:t>
            </w:r>
          </w:p>
        </w:tc>
      </w:tr>
      <w:tr w:rsidR="007154F6" w:rsidRPr="00B623DB" w:rsidTr="00D148B7">
        <w:tc>
          <w:tcPr>
            <w:tcW w:w="1585" w:type="pct"/>
            <w:shd w:val="clear" w:color="auto" w:fill="auto"/>
            <w:vAlign w:val="center"/>
          </w:tcPr>
          <w:p w:rsidR="007154F6" w:rsidRPr="00B623DB" w:rsidRDefault="007154F6" w:rsidP="00D148B7">
            <w:pPr>
              <w:pStyle w:val="TableText"/>
              <w:keepNext w:val="0"/>
              <w:rPr>
                <w:sz w:val="19"/>
                <w:szCs w:val="19"/>
              </w:rPr>
            </w:pPr>
            <w:r w:rsidRPr="00B623DB">
              <w:rPr>
                <w:sz w:val="19"/>
                <w:szCs w:val="19"/>
              </w:rPr>
              <w:t>Canakinumab cost less copayments</w:t>
            </w:r>
          </w:p>
        </w:tc>
        <w:tc>
          <w:tcPr>
            <w:tcW w:w="503" w:type="pct"/>
            <w:shd w:val="clear" w:color="auto" w:fill="auto"/>
            <w:vAlign w:val="center"/>
          </w:tcPr>
          <w:p w:rsidR="007154F6" w:rsidRPr="00EA0C20" w:rsidRDefault="00EA0C20" w:rsidP="00D148B7">
            <w:pPr>
              <w:pStyle w:val="TableText"/>
              <w:keepNext w:val="0"/>
              <w:jc w:val="center"/>
              <w:rPr>
                <w:highlight w:val="black"/>
              </w:rPr>
            </w:pPr>
            <w:r>
              <w:rPr>
                <w:noProof/>
                <w:color w:val="000000"/>
                <w:highlight w:val="black"/>
              </w:rPr>
              <w:t>''''''''''''''''''''''''</w:t>
            </w:r>
          </w:p>
        </w:tc>
        <w:tc>
          <w:tcPr>
            <w:tcW w:w="583" w:type="pct"/>
            <w:shd w:val="clear" w:color="auto" w:fill="auto"/>
            <w:vAlign w:val="center"/>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shd w:val="clear" w:color="auto" w:fill="auto"/>
            <w:vAlign w:val="center"/>
          </w:tcPr>
          <w:p w:rsidR="007154F6" w:rsidRPr="00EA0C20" w:rsidRDefault="00EA0C20" w:rsidP="00D148B7">
            <w:pPr>
              <w:pStyle w:val="TableText"/>
              <w:keepNext w:val="0"/>
              <w:jc w:val="center"/>
              <w:rPr>
                <w:highlight w:val="black"/>
              </w:rPr>
            </w:pPr>
            <w:r>
              <w:rPr>
                <w:noProof/>
                <w:color w:val="000000"/>
                <w:highlight w:val="black"/>
              </w:rPr>
              <w:t>'''''''''''''''''''''</w:t>
            </w:r>
          </w:p>
        </w:tc>
        <w:tc>
          <w:tcPr>
            <w:tcW w:w="583" w:type="pct"/>
            <w:shd w:val="clear" w:color="auto" w:fill="auto"/>
            <w:vAlign w:val="center"/>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shd w:val="clear" w:color="auto" w:fill="auto"/>
            <w:vAlign w:val="center"/>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vAlign w:val="center"/>
          </w:tcPr>
          <w:p w:rsidR="007154F6" w:rsidRPr="00EA0C20" w:rsidRDefault="00EA0C20" w:rsidP="00D148B7">
            <w:pPr>
              <w:pStyle w:val="TableText"/>
              <w:keepNext w:val="0"/>
              <w:jc w:val="center"/>
              <w:rPr>
                <w:highlight w:val="black"/>
              </w:rPr>
            </w:pPr>
            <w:r>
              <w:rPr>
                <w:noProof/>
                <w:color w:val="000000"/>
                <w:highlight w:val="black"/>
              </w:rPr>
              <w:t>''''''''''''''''''''''''''''</w:t>
            </w:r>
          </w:p>
        </w:tc>
      </w:tr>
      <w:tr w:rsidR="007154F6" w:rsidRPr="00B623DB" w:rsidTr="00D148B7">
        <w:tc>
          <w:tcPr>
            <w:tcW w:w="5000" w:type="pct"/>
            <w:gridSpan w:val="7"/>
            <w:shd w:val="clear" w:color="auto" w:fill="auto"/>
            <w:vAlign w:val="center"/>
          </w:tcPr>
          <w:p w:rsidR="007154F6" w:rsidRPr="00B623DB" w:rsidRDefault="007154F6" w:rsidP="00D148B7">
            <w:pPr>
              <w:pStyle w:val="TableText"/>
              <w:keepNext w:val="0"/>
              <w:rPr>
                <w:b/>
                <w:vertAlign w:val="superscript"/>
              </w:rPr>
            </w:pPr>
            <w:r w:rsidRPr="00B623DB">
              <w:rPr>
                <w:b/>
              </w:rPr>
              <w:t>Estimated displaced anakinra scripts</w:t>
            </w:r>
            <w:r w:rsidRPr="00B623DB">
              <w:rPr>
                <w:b/>
                <w:vertAlign w:val="superscript"/>
              </w:rPr>
              <w:t>2</w:t>
            </w:r>
          </w:p>
        </w:tc>
      </w:tr>
      <w:tr w:rsidR="007154F6" w:rsidRPr="00B623DB" w:rsidTr="00D148B7">
        <w:tc>
          <w:tcPr>
            <w:tcW w:w="1585" w:type="pct"/>
            <w:shd w:val="clear" w:color="auto" w:fill="auto"/>
            <w:vAlign w:val="center"/>
          </w:tcPr>
          <w:p w:rsidR="007154F6" w:rsidRPr="00B623DB" w:rsidRDefault="007154F6" w:rsidP="00D148B7">
            <w:pPr>
              <w:pStyle w:val="TableText"/>
              <w:keepNext w:val="0"/>
            </w:pPr>
            <w:r w:rsidRPr="00B623DB">
              <w:t>Displaced anakinra scripts</w:t>
            </w:r>
          </w:p>
        </w:tc>
        <w:tc>
          <w:tcPr>
            <w:tcW w:w="50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 xml:space="preserve">''''''''' </w:t>
            </w:r>
          </w:p>
        </w:tc>
        <w:tc>
          <w:tcPr>
            <w:tcW w:w="58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 xml:space="preserve">'''''''''' </w:t>
            </w:r>
          </w:p>
        </w:tc>
        <w:tc>
          <w:tcPr>
            <w:tcW w:w="582"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 xml:space="preserve">''''''''' </w:t>
            </w:r>
          </w:p>
        </w:tc>
        <w:tc>
          <w:tcPr>
            <w:tcW w:w="58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 xml:space="preserve">'''''''' </w:t>
            </w:r>
          </w:p>
        </w:tc>
        <w:tc>
          <w:tcPr>
            <w:tcW w:w="582"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 xml:space="preserve">'''''''''' </w:t>
            </w:r>
          </w:p>
        </w:tc>
        <w:tc>
          <w:tcPr>
            <w:tcW w:w="582" w:type="pct"/>
          </w:tcPr>
          <w:p w:rsidR="007154F6" w:rsidRPr="00EA0C20" w:rsidRDefault="00EA0C20" w:rsidP="00D148B7">
            <w:pPr>
              <w:pStyle w:val="TableText"/>
              <w:keepNext w:val="0"/>
              <w:jc w:val="center"/>
              <w:rPr>
                <w:highlight w:val="black"/>
              </w:rPr>
            </w:pPr>
            <w:r>
              <w:rPr>
                <w:noProof/>
                <w:color w:val="000000"/>
                <w:highlight w:val="black"/>
              </w:rPr>
              <w:t xml:space="preserve">'''''''''' </w:t>
            </w:r>
          </w:p>
        </w:tc>
      </w:tr>
      <w:tr w:rsidR="007154F6" w:rsidRPr="00B623DB" w:rsidTr="00D148B7">
        <w:tc>
          <w:tcPr>
            <w:tcW w:w="1585" w:type="pct"/>
            <w:shd w:val="clear" w:color="auto" w:fill="auto"/>
            <w:vAlign w:val="center"/>
          </w:tcPr>
          <w:p w:rsidR="007154F6" w:rsidRPr="00B623DB" w:rsidRDefault="007154F6" w:rsidP="00D148B7">
            <w:pPr>
              <w:pStyle w:val="TableText"/>
              <w:keepNext w:val="0"/>
            </w:pPr>
            <w:r w:rsidRPr="00B623DB">
              <w:t>Anakinra PBS cost</w:t>
            </w:r>
          </w:p>
        </w:tc>
        <w:tc>
          <w:tcPr>
            <w:tcW w:w="50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tcPr>
          <w:p w:rsidR="007154F6" w:rsidRPr="00EA0C20" w:rsidRDefault="00EA0C20" w:rsidP="00D148B7">
            <w:pPr>
              <w:pStyle w:val="TableText"/>
              <w:keepNext w:val="0"/>
              <w:jc w:val="center"/>
              <w:rPr>
                <w:highlight w:val="black"/>
              </w:rPr>
            </w:pPr>
            <w:r>
              <w:rPr>
                <w:noProof/>
                <w:color w:val="000000"/>
                <w:highlight w:val="black"/>
              </w:rPr>
              <w:t>''''''''''''''''''''''''''</w:t>
            </w:r>
          </w:p>
        </w:tc>
      </w:tr>
      <w:tr w:rsidR="007154F6" w:rsidRPr="00B623DB" w:rsidTr="00D148B7">
        <w:tc>
          <w:tcPr>
            <w:tcW w:w="1585" w:type="pct"/>
            <w:shd w:val="clear" w:color="auto" w:fill="auto"/>
            <w:vAlign w:val="center"/>
          </w:tcPr>
          <w:p w:rsidR="007154F6" w:rsidRPr="00B623DB" w:rsidRDefault="007154F6" w:rsidP="00D148B7">
            <w:pPr>
              <w:pStyle w:val="TableText"/>
              <w:keepNext w:val="0"/>
            </w:pPr>
            <w:r w:rsidRPr="00B623DB">
              <w:rPr>
                <w:sz w:val="19"/>
                <w:szCs w:val="19"/>
              </w:rPr>
              <w:t>Anakinra copayments</w:t>
            </w:r>
          </w:p>
        </w:tc>
        <w:tc>
          <w:tcPr>
            <w:tcW w:w="50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tcPr>
          <w:p w:rsidR="007154F6" w:rsidRPr="00EA0C20" w:rsidRDefault="00EA0C20" w:rsidP="00D148B7">
            <w:pPr>
              <w:pStyle w:val="TableText"/>
              <w:keepNext w:val="0"/>
              <w:jc w:val="center"/>
              <w:rPr>
                <w:highlight w:val="black"/>
              </w:rPr>
            </w:pPr>
            <w:r>
              <w:rPr>
                <w:noProof/>
                <w:color w:val="000000"/>
                <w:highlight w:val="black"/>
              </w:rPr>
              <w:t>''''''''''''''''''</w:t>
            </w:r>
          </w:p>
        </w:tc>
      </w:tr>
      <w:tr w:rsidR="007154F6" w:rsidRPr="00B623DB" w:rsidTr="00D148B7">
        <w:tc>
          <w:tcPr>
            <w:tcW w:w="1585" w:type="pct"/>
            <w:shd w:val="clear" w:color="auto" w:fill="auto"/>
            <w:vAlign w:val="center"/>
          </w:tcPr>
          <w:p w:rsidR="007154F6" w:rsidRPr="00B623DB" w:rsidRDefault="007154F6" w:rsidP="00D148B7">
            <w:pPr>
              <w:pStyle w:val="TableText"/>
              <w:keepNext w:val="0"/>
              <w:rPr>
                <w:sz w:val="19"/>
                <w:szCs w:val="19"/>
              </w:rPr>
            </w:pPr>
            <w:r w:rsidRPr="00B623DB">
              <w:rPr>
                <w:sz w:val="19"/>
                <w:szCs w:val="19"/>
              </w:rPr>
              <w:t>Anakinra cost less copayments</w:t>
            </w:r>
          </w:p>
        </w:tc>
        <w:tc>
          <w:tcPr>
            <w:tcW w:w="50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highlight w:val="black"/>
              </w:rPr>
            </w:pPr>
            <w:r>
              <w:rPr>
                <w:noProof/>
                <w:color w:val="000000"/>
                <w:highlight w:val="black"/>
              </w:rPr>
              <w:t>''''''''''''''''''''''''</w:t>
            </w:r>
          </w:p>
        </w:tc>
        <w:tc>
          <w:tcPr>
            <w:tcW w:w="582" w:type="pct"/>
          </w:tcPr>
          <w:p w:rsidR="007154F6" w:rsidRPr="00EA0C20" w:rsidRDefault="00EA0C20" w:rsidP="00D148B7">
            <w:pPr>
              <w:pStyle w:val="TableText"/>
              <w:keepNext w:val="0"/>
              <w:jc w:val="center"/>
              <w:rPr>
                <w:highlight w:val="black"/>
              </w:rPr>
            </w:pPr>
            <w:r>
              <w:rPr>
                <w:noProof/>
                <w:color w:val="000000"/>
                <w:highlight w:val="black"/>
              </w:rPr>
              <w:t>''''''''''''''''''''''''</w:t>
            </w:r>
          </w:p>
        </w:tc>
      </w:tr>
      <w:tr w:rsidR="007154F6" w:rsidRPr="00B623DB" w:rsidTr="00D148B7">
        <w:tc>
          <w:tcPr>
            <w:tcW w:w="5000" w:type="pct"/>
            <w:gridSpan w:val="7"/>
            <w:shd w:val="clear" w:color="auto" w:fill="auto"/>
            <w:vAlign w:val="center"/>
          </w:tcPr>
          <w:p w:rsidR="007154F6" w:rsidRPr="00B623DB" w:rsidRDefault="007154F6" w:rsidP="00D148B7">
            <w:pPr>
              <w:pStyle w:val="TableText"/>
              <w:keepNext w:val="0"/>
              <w:rPr>
                <w:b/>
                <w:bCs/>
                <w:color w:val="000000"/>
              </w:rPr>
            </w:pPr>
            <w:r w:rsidRPr="00B623DB">
              <w:rPr>
                <w:b/>
                <w:bCs/>
                <w:color w:val="000000"/>
              </w:rPr>
              <w:t>Net changes to the PBS/RPBS</w:t>
            </w:r>
          </w:p>
        </w:tc>
      </w:tr>
      <w:tr w:rsidR="007154F6" w:rsidRPr="00B623DB" w:rsidTr="00D148B7">
        <w:tc>
          <w:tcPr>
            <w:tcW w:w="1585" w:type="pct"/>
            <w:shd w:val="clear" w:color="auto" w:fill="auto"/>
            <w:vAlign w:val="center"/>
          </w:tcPr>
          <w:p w:rsidR="007154F6" w:rsidRPr="00B623DB" w:rsidRDefault="007154F6" w:rsidP="00D148B7">
            <w:pPr>
              <w:pStyle w:val="TableText"/>
              <w:keepNext w:val="0"/>
              <w:rPr>
                <w:rFonts w:ascii="Times" w:eastAsia="Times New Roman" w:hAnsi="Times" w:cs="Times New Roman"/>
              </w:rPr>
            </w:pPr>
            <w:r w:rsidRPr="00B623DB">
              <w:rPr>
                <w:sz w:val="19"/>
                <w:szCs w:val="19"/>
              </w:rPr>
              <w:t>Net cost to PBS</w:t>
            </w:r>
          </w:p>
        </w:tc>
        <w:tc>
          <w:tcPr>
            <w:tcW w:w="503" w:type="pct"/>
            <w:shd w:val="clear" w:color="auto" w:fill="auto"/>
          </w:tcPr>
          <w:p w:rsidR="007154F6" w:rsidRPr="00EA0C20" w:rsidRDefault="00EA0C20" w:rsidP="00D148B7">
            <w:pPr>
              <w:pStyle w:val="TableText"/>
              <w:keepNext w:val="0"/>
              <w:jc w:val="center"/>
              <w:rPr>
                <w:bCs/>
                <w:color w:val="000000"/>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bCs/>
                <w:color w:val="000000"/>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bCs/>
                <w:color w:val="000000"/>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bCs/>
                <w:color w:val="000000"/>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bCs/>
                <w:color w:val="000000"/>
                <w:highlight w:val="black"/>
              </w:rPr>
            </w:pPr>
            <w:r>
              <w:rPr>
                <w:noProof/>
                <w:color w:val="000000"/>
                <w:highlight w:val="black"/>
              </w:rPr>
              <w:t>''''''''''''''''''''''</w:t>
            </w:r>
          </w:p>
        </w:tc>
        <w:tc>
          <w:tcPr>
            <w:tcW w:w="582" w:type="pct"/>
          </w:tcPr>
          <w:p w:rsidR="007154F6" w:rsidRPr="00EA0C20" w:rsidRDefault="00EA0C20" w:rsidP="00D148B7">
            <w:pPr>
              <w:pStyle w:val="TableText"/>
              <w:keepNext w:val="0"/>
              <w:jc w:val="center"/>
              <w:rPr>
                <w:bCs/>
                <w:color w:val="000000"/>
                <w:highlight w:val="black"/>
              </w:rPr>
            </w:pPr>
            <w:r>
              <w:rPr>
                <w:noProof/>
                <w:color w:val="000000"/>
                <w:highlight w:val="black"/>
              </w:rPr>
              <w:t>'''''''''''''''''''''</w:t>
            </w:r>
          </w:p>
        </w:tc>
      </w:tr>
      <w:tr w:rsidR="007154F6" w:rsidRPr="00B623DB" w:rsidTr="00D148B7">
        <w:tc>
          <w:tcPr>
            <w:tcW w:w="1585" w:type="pct"/>
            <w:shd w:val="clear" w:color="auto" w:fill="auto"/>
            <w:vAlign w:val="center"/>
          </w:tcPr>
          <w:p w:rsidR="007154F6" w:rsidRPr="00B623DB" w:rsidRDefault="007154F6" w:rsidP="00D148B7">
            <w:pPr>
              <w:pStyle w:val="TableText"/>
              <w:keepNext w:val="0"/>
              <w:rPr>
                <w:sz w:val="19"/>
                <w:szCs w:val="19"/>
              </w:rPr>
            </w:pPr>
            <w:r w:rsidRPr="00B623DB">
              <w:rPr>
                <w:sz w:val="19"/>
                <w:szCs w:val="19"/>
              </w:rPr>
              <w:t>Net copayments</w:t>
            </w:r>
          </w:p>
        </w:tc>
        <w:tc>
          <w:tcPr>
            <w:tcW w:w="503" w:type="pct"/>
            <w:shd w:val="clear" w:color="auto" w:fill="auto"/>
          </w:tcPr>
          <w:p w:rsidR="007154F6" w:rsidRPr="00EA0C20" w:rsidRDefault="00EA0C20" w:rsidP="00D148B7">
            <w:pPr>
              <w:pStyle w:val="TableText"/>
              <w:keepNext w:val="0"/>
              <w:jc w:val="center"/>
              <w:rPr>
                <w:bCs/>
                <w:color w:val="000000"/>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bCs/>
                <w:color w:val="000000"/>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bCs/>
                <w:color w:val="000000"/>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bCs/>
                <w:color w:val="000000"/>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bCs/>
                <w:color w:val="000000"/>
                <w:highlight w:val="black"/>
              </w:rPr>
            </w:pPr>
            <w:r>
              <w:rPr>
                <w:noProof/>
                <w:color w:val="000000"/>
                <w:highlight w:val="black"/>
              </w:rPr>
              <w:t>''''''''''''''''''''</w:t>
            </w:r>
          </w:p>
        </w:tc>
        <w:tc>
          <w:tcPr>
            <w:tcW w:w="582" w:type="pct"/>
          </w:tcPr>
          <w:p w:rsidR="007154F6" w:rsidRPr="00EA0C20" w:rsidRDefault="00EA0C20" w:rsidP="00D148B7">
            <w:pPr>
              <w:pStyle w:val="TableText"/>
              <w:keepNext w:val="0"/>
              <w:jc w:val="center"/>
              <w:rPr>
                <w:bCs/>
                <w:color w:val="000000"/>
                <w:highlight w:val="black"/>
              </w:rPr>
            </w:pPr>
            <w:r>
              <w:rPr>
                <w:noProof/>
                <w:color w:val="000000"/>
                <w:highlight w:val="black"/>
              </w:rPr>
              <w:t>'''''''''''''''''''</w:t>
            </w:r>
          </w:p>
        </w:tc>
      </w:tr>
      <w:tr w:rsidR="007154F6" w:rsidRPr="00B623DB" w:rsidTr="00D148B7">
        <w:tc>
          <w:tcPr>
            <w:tcW w:w="1585" w:type="pct"/>
            <w:shd w:val="clear" w:color="auto" w:fill="auto"/>
            <w:vAlign w:val="center"/>
          </w:tcPr>
          <w:p w:rsidR="007154F6" w:rsidRPr="00B623DB" w:rsidRDefault="007154F6" w:rsidP="00D148B7">
            <w:pPr>
              <w:pStyle w:val="TableText"/>
              <w:keepNext w:val="0"/>
              <w:rPr>
                <w:sz w:val="19"/>
                <w:szCs w:val="19"/>
                <w:vertAlign w:val="superscript"/>
              </w:rPr>
            </w:pPr>
            <w:r w:rsidRPr="00B623DB">
              <w:rPr>
                <w:sz w:val="19"/>
                <w:szCs w:val="19"/>
              </w:rPr>
              <w:t>Net cost to PBS (less copayments)</w:t>
            </w:r>
          </w:p>
        </w:tc>
        <w:tc>
          <w:tcPr>
            <w:tcW w:w="503" w:type="pct"/>
            <w:shd w:val="clear" w:color="auto" w:fill="auto"/>
          </w:tcPr>
          <w:p w:rsidR="007154F6" w:rsidRPr="00EA0C20" w:rsidRDefault="00EA0C20" w:rsidP="00D148B7">
            <w:pPr>
              <w:pStyle w:val="TableText"/>
              <w:keepNext w:val="0"/>
              <w:jc w:val="center"/>
              <w:rPr>
                <w:bCs/>
                <w:color w:val="000000"/>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bCs/>
                <w:color w:val="000000"/>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bCs/>
                <w:color w:val="000000"/>
                <w:highlight w:val="black"/>
              </w:rPr>
            </w:pPr>
            <w:r>
              <w:rPr>
                <w:noProof/>
                <w:color w:val="000000"/>
                <w:highlight w:val="black"/>
              </w:rPr>
              <w:t>'''''''''''''''''''''''</w:t>
            </w:r>
          </w:p>
        </w:tc>
        <w:tc>
          <w:tcPr>
            <w:tcW w:w="583" w:type="pct"/>
            <w:shd w:val="clear" w:color="auto" w:fill="auto"/>
          </w:tcPr>
          <w:p w:rsidR="007154F6" w:rsidRPr="00EA0C20" w:rsidRDefault="00EA0C20" w:rsidP="00D148B7">
            <w:pPr>
              <w:pStyle w:val="TableText"/>
              <w:keepNext w:val="0"/>
              <w:jc w:val="center"/>
              <w:rPr>
                <w:bCs/>
                <w:color w:val="000000"/>
                <w:highlight w:val="black"/>
              </w:rPr>
            </w:pPr>
            <w:r>
              <w:rPr>
                <w:noProof/>
                <w:color w:val="000000"/>
                <w:highlight w:val="black"/>
              </w:rPr>
              <w:t>''''''''''''''''''''''</w:t>
            </w:r>
          </w:p>
        </w:tc>
        <w:tc>
          <w:tcPr>
            <w:tcW w:w="582" w:type="pct"/>
            <w:shd w:val="clear" w:color="auto" w:fill="auto"/>
          </w:tcPr>
          <w:p w:rsidR="007154F6" w:rsidRPr="00EA0C20" w:rsidRDefault="00EA0C20" w:rsidP="00D148B7">
            <w:pPr>
              <w:pStyle w:val="TableText"/>
              <w:keepNext w:val="0"/>
              <w:jc w:val="center"/>
              <w:rPr>
                <w:bCs/>
                <w:color w:val="000000"/>
                <w:highlight w:val="black"/>
              </w:rPr>
            </w:pPr>
            <w:r>
              <w:rPr>
                <w:noProof/>
                <w:color w:val="000000"/>
                <w:highlight w:val="black"/>
              </w:rPr>
              <w:t>'''''''''''''''''''''</w:t>
            </w:r>
          </w:p>
        </w:tc>
        <w:tc>
          <w:tcPr>
            <w:tcW w:w="582" w:type="pct"/>
          </w:tcPr>
          <w:p w:rsidR="007154F6" w:rsidRPr="00EA0C20" w:rsidRDefault="00EA0C20" w:rsidP="00D148B7">
            <w:pPr>
              <w:pStyle w:val="TableText"/>
              <w:keepNext w:val="0"/>
              <w:jc w:val="center"/>
              <w:rPr>
                <w:bCs/>
                <w:color w:val="000000"/>
                <w:highlight w:val="black"/>
              </w:rPr>
            </w:pPr>
            <w:r>
              <w:rPr>
                <w:noProof/>
                <w:color w:val="000000"/>
                <w:highlight w:val="black"/>
              </w:rPr>
              <w:t>''''''''''''''''''''</w:t>
            </w:r>
          </w:p>
        </w:tc>
      </w:tr>
    </w:tbl>
    <w:p w:rsidR="007154F6" w:rsidRPr="00B623DB" w:rsidRDefault="007154F6" w:rsidP="007154F6">
      <w:pPr>
        <w:pStyle w:val="TableFooter"/>
      </w:pPr>
      <w:r w:rsidRPr="00B623DB">
        <w:rPr>
          <w:vertAlign w:val="superscript"/>
        </w:rPr>
        <w:t>1</w:t>
      </w:r>
      <w:r w:rsidRPr="00B623DB">
        <w:t>Corrected during the evaluation for error in ‘2b. Scripts – market’ worksheet of “Utilisation-and-cost-model canakinumab for CAPS” Excel workbook (incorrect reference in cell C46 and C58).</w:t>
      </w:r>
    </w:p>
    <w:p w:rsidR="007154F6" w:rsidRPr="00B623DB" w:rsidRDefault="007154F6" w:rsidP="007154F6">
      <w:pPr>
        <w:pStyle w:val="TableFooter"/>
      </w:pPr>
      <w:r w:rsidRPr="00B623DB">
        <w:rPr>
          <w:vertAlign w:val="superscript"/>
        </w:rPr>
        <w:t>2</w:t>
      </w:r>
      <w:r w:rsidRPr="00B623DB">
        <w:t xml:space="preserve"> Corrected during the evaluation for error in ‘4a. Volumes – displaced’ worksheet of “Utilisation-and-cost-model canakinumab for CAPS” Excel workbook (estimated script volumes projected from 2017 instead of 2016).</w:t>
      </w:r>
    </w:p>
    <w:p w:rsidR="007154F6" w:rsidRDefault="007154F6" w:rsidP="007154F6">
      <w:pPr>
        <w:pStyle w:val="TableFooter"/>
      </w:pPr>
      <w:r w:rsidRPr="00B623DB">
        <w:t>Source: “Utilisation-and-cost-model canakinumab for CAPS” Excel workbook.</w:t>
      </w:r>
    </w:p>
    <w:p w:rsidR="00910FE7" w:rsidRDefault="00910FE7" w:rsidP="007154F6">
      <w:pPr>
        <w:pStyle w:val="TableFooter"/>
      </w:pPr>
    </w:p>
    <w:p w:rsidR="00910FE7" w:rsidRPr="00910FE7" w:rsidRDefault="00910FE7" w:rsidP="00A81E03">
      <w:pPr>
        <w:pStyle w:val="ListParagraph"/>
        <w:spacing w:before="0" w:after="120"/>
        <w:jc w:val="both"/>
        <w:rPr>
          <w:color w:val="000000" w:themeColor="text1"/>
        </w:rPr>
      </w:pPr>
      <w:r w:rsidRPr="00910FE7">
        <w:rPr>
          <w:color w:val="000000" w:themeColor="text1"/>
        </w:rPr>
        <w:t>The redacted table shows that at year 5, the estimated number of s</w:t>
      </w:r>
      <w:r>
        <w:rPr>
          <w:color w:val="000000" w:themeColor="text1"/>
        </w:rPr>
        <w:t>cripts</w:t>
      </w:r>
      <w:r w:rsidRPr="00910FE7">
        <w:rPr>
          <w:color w:val="000000" w:themeColor="text1"/>
        </w:rPr>
        <w:t xml:space="preserve"> was less than 10,000 per year</w:t>
      </w:r>
    </w:p>
    <w:p w:rsidR="00262F1F" w:rsidRPr="00B623DB" w:rsidRDefault="007C61D2" w:rsidP="00262F1F">
      <w:pPr>
        <w:pStyle w:val="ListParagraph"/>
        <w:numPr>
          <w:ilvl w:val="1"/>
          <w:numId w:val="2"/>
        </w:numPr>
        <w:spacing w:before="0" w:after="120"/>
        <w:jc w:val="both"/>
      </w:pPr>
      <w:r w:rsidRPr="00B623DB">
        <w:t xml:space="preserve">The submission estimated a net saving of </w:t>
      </w:r>
      <w:r w:rsidR="00516371">
        <w:t xml:space="preserve">less than $10 million </w:t>
      </w:r>
      <w:r w:rsidRPr="00B623DB">
        <w:t xml:space="preserve">in Year 6, resulting in a </w:t>
      </w:r>
      <w:r w:rsidR="00C134DC" w:rsidRPr="00B623DB">
        <w:t xml:space="preserve">total </w:t>
      </w:r>
      <w:r w:rsidRPr="00B623DB">
        <w:t xml:space="preserve">saving of </w:t>
      </w:r>
      <w:r w:rsidR="00190EC9">
        <w:t>less than $10 million</w:t>
      </w:r>
      <w:r w:rsidR="00190EC9" w:rsidRPr="00B623DB" w:rsidDel="00190EC9">
        <w:t xml:space="preserve"> </w:t>
      </w:r>
      <w:r w:rsidRPr="00B623DB">
        <w:t xml:space="preserve">over the first 6 years of listing. </w:t>
      </w:r>
      <w:r w:rsidR="00B660E7" w:rsidRPr="00B623DB">
        <w:t xml:space="preserve">The submission’s estimates of utilisation for canakinumab may be underestimated. Both anakinra and canakinumab may be used at higher doses in patients who have not achieved a satisfactory clinical response at lower doses (the canakinumab </w:t>
      </w:r>
      <w:r w:rsidR="00EC6630" w:rsidRPr="00B623DB">
        <w:t>P</w:t>
      </w:r>
      <w:r w:rsidR="00B660E7" w:rsidRPr="00B623DB">
        <w:t xml:space="preserve">roduct </w:t>
      </w:r>
      <w:r w:rsidR="00EC6630" w:rsidRPr="00B623DB">
        <w:t>I</w:t>
      </w:r>
      <w:r w:rsidR="00B660E7" w:rsidRPr="00B623DB">
        <w:t>nformation states that doses of up to 600</w:t>
      </w:r>
      <w:r w:rsidR="00133E75" w:rsidRPr="00B623DB">
        <w:t xml:space="preserve"> </w:t>
      </w:r>
      <w:r w:rsidR="00B660E7" w:rsidRPr="00B623DB">
        <w:t>mg every 8 weeks may be used). The relative utilisation of anakinra and canakinumab at higher doses for patients who are inadequately controlled on lower doses is unclear.</w:t>
      </w:r>
      <w:r w:rsidR="00C56979" w:rsidRPr="00B623DB">
        <w:t xml:space="preserve"> </w:t>
      </w:r>
      <w:r w:rsidR="00823907" w:rsidRPr="00B623DB">
        <w:t xml:space="preserve">The Pre-Sub-Committee Response (PSCR, p2) reiterated that based on the number of relevant PBS items for anakinra processed in 2016, approximately 7% (2% of public hospital scripts and 11% of private hospital scripts) of scripts overall are dispensed with more than one vial. The PSCR (p2) stated that if a similar proportion of canakinumab scripts were dispensed with more than one vial, the net impact on the PBS would be </w:t>
      </w:r>
      <w:r w:rsidR="00713629">
        <w:t>less than $10 million</w:t>
      </w:r>
      <w:r w:rsidR="00713629" w:rsidRPr="00B623DB" w:rsidDel="00713629">
        <w:t xml:space="preserve"> </w:t>
      </w:r>
      <w:r w:rsidR="00823907" w:rsidRPr="00B623DB">
        <w:t>over five years at the proposed price</w:t>
      </w:r>
      <w:r w:rsidR="00262F1F" w:rsidRPr="00B623DB">
        <w:t>.</w:t>
      </w:r>
      <w:r w:rsidR="00FE1D2C" w:rsidRPr="00B623DB">
        <w:t xml:space="preserve"> As discussed above, </w:t>
      </w:r>
      <w:r w:rsidR="00FE1D2C" w:rsidRPr="00B623DB">
        <w:rPr>
          <w:rFonts w:ascii="Calibri" w:eastAsia="Calibri" w:hAnsi="Calibri"/>
        </w:rPr>
        <w:t xml:space="preserve">the ESC considered the </w:t>
      </w:r>
      <w:r w:rsidR="00FE1D2C" w:rsidRPr="00B623DB">
        <w:t>canakinumab</w:t>
      </w:r>
      <w:r w:rsidR="00FE1D2C" w:rsidRPr="00B623DB">
        <w:rPr>
          <w:rFonts w:ascii="Calibri" w:eastAsia="Calibri" w:hAnsi="Calibri"/>
        </w:rPr>
        <w:t xml:space="preserve"> product information indicated that approximately 20% of patients would require doses higher than 150 mg.</w:t>
      </w:r>
    </w:p>
    <w:p w:rsidR="00823907" w:rsidRPr="00B623DB" w:rsidRDefault="00823907" w:rsidP="00E2645E">
      <w:pPr>
        <w:pStyle w:val="ListParagraph"/>
        <w:numPr>
          <w:ilvl w:val="1"/>
          <w:numId w:val="2"/>
        </w:numPr>
        <w:spacing w:before="0" w:after="120"/>
        <w:jc w:val="both"/>
        <w:rPr>
          <w:b/>
          <w:szCs w:val="24"/>
        </w:rPr>
      </w:pPr>
      <w:r w:rsidRPr="00B623DB">
        <w:t>There were no anticipated impacts on the MBS</w:t>
      </w:r>
      <w:r w:rsidR="00BB7DCF" w:rsidRPr="00B623DB">
        <w:t xml:space="preserve"> in the submission</w:t>
      </w:r>
      <w:r w:rsidRPr="00B623DB">
        <w:t xml:space="preserve">. </w:t>
      </w:r>
      <w:r w:rsidRPr="00B623DB">
        <w:rPr>
          <w:szCs w:val="24"/>
        </w:rPr>
        <w:t xml:space="preserve">As discussed above, there are likely additional consultation costs with GPs or nurses associated with administering canakinumab, </w:t>
      </w:r>
      <w:r w:rsidR="00FE1D2C" w:rsidRPr="00B623DB">
        <w:rPr>
          <w:szCs w:val="24"/>
        </w:rPr>
        <w:t xml:space="preserve">if patients switch treatment, </w:t>
      </w:r>
      <w:r w:rsidRPr="00B623DB">
        <w:rPr>
          <w:szCs w:val="24"/>
        </w:rPr>
        <w:t xml:space="preserve">resulting in additional impacts on the MBS. </w:t>
      </w:r>
    </w:p>
    <w:p w:rsidR="00FE1D2C" w:rsidRPr="00B623DB" w:rsidRDefault="00C56979" w:rsidP="00E2645E">
      <w:pPr>
        <w:pStyle w:val="ListParagraph"/>
        <w:numPr>
          <w:ilvl w:val="1"/>
          <w:numId w:val="2"/>
        </w:numPr>
        <w:spacing w:before="0" w:after="120"/>
        <w:jc w:val="both"/>
        <w:rPr>
          <w:b/>
          <w:szCs w:val="24"/>
        </w:rPr>
      </w:pPr>
      <w:r w:rsidRPr="00B623DB">
        <w:t>There is also potential for canakinumab to be used outside of the PBS restriction (such as for the treatment of</w:t>
      </w:r>
      <w:r w:rsidR="00F7424D" w:rsidRPr="00B623DB">
        <w:t xml:space="preserve"> milder forms of</w:t>
      </w:r>
      <w:r w:rsidRPr="00B623DB">
        <w:t xml:space="preserve"> </w:t>
      </w:r>
      <w:r w:rsidR="002F1A6C" w:rsidRPr="00B623DB">
        <w:t xml:space="preserve">CAPS </w:t>
      </w:r>
      <w:r w:rsidR="00DB29B3" w:rsidRPr="00B623DB">
        <w:t>and systemic</w:t>
      </w:r>
      <w:r w:rsidRPr="00B623DB">
        <w:t xml:space="preserve"> juvenile idiopathic arthritis).</w:t>
      </w:r>
      <w:r w:rsidR="00477D92" w:rsidRPr="00B623DB">
        <w:t xml:space="preserve"> </w:t>
      </w:r>
      <w:r w:rsidR="00FE1D2C" w:rsidRPr="00B623DB">
        <w:rPr>
          <w:rFonts w:ascii="Calibri" w:hAnsi="Calibri"/>
        </w:rPr>
        <w:t>At the March 2015 PBAC meeting, canakinumab was recommended for listing for the treatment of systemic juvenile idiopathic arthritis, however the recommendation is yet to be implemented.</w:t>
      </w:r>
    </w:p>
    <w:p w:rsidR="00C317F3" w:rsidRPr="00B623DB" w:rsidRDefault="00FE1D2C" w:rsidP="002F1A6C">
      <w:pPr>
        <w:pStyle w:val="ListParagraph"/>
        <w:numPr>
          <w:ilvl w:val="1"/>
          <w:numId w:val="2"/>
        </w:numPr>
        <w:spacing w:before="0" w:after="120"/>
        <w:jc w:val="both"/>
      </w:pPr>
      <w:r w:rsidRPr="00B623DB">
        <w:rPr>
          <w:szCs w:val="24"/>
        </w:rPr>
        <w:t>Overall, the ESC considered that the proposed savings in the submission would unlikely be realised.</w:t>
      </w:r>
    </w:p>
    <w:p w:rsidR="005F450A" w:rsidRPr="00B623DB" w:rsidRDefault="005F450A" w:rsidP="005F450A">
      <w:pPr>
        <w:pStyle w:val="Heading2"/>
        <w:numPr>
          <w:ilvl w:val="0"/>
          <w:numId w:val="0"/>
        </w:numPr>
        <w:rPr>
          <w:i w:val="0"/>
        </w:rPr>
      </w:pPr>
      <w:r w:rsidRPr="00B623DB">
        <w:rPr>
          <w:i w:val="0"/>
        </w:rPr>
        <w:t>Quality use of medicines</w:t>
      </w:r>
    </w:p>
    <w:p w:rsidR="005F450A" w:rsidRPr="00B623DB" w:rsidRDefault="00FE1D2C" w:rsidP="005F450A">
      <w:pPr>
        <w:pStyle w:val="ListParagraph"/>
        <w:numPr>
          <w:ilvl w:val="1"/>
          <w:numId w:val="2"/>
        </w:numPr>
        <w:spacing w:before="0" w:after="120"/>
        <w:jc w:val="both"/>
      </w:pPr>
      <w:r w:rsidRPr="00B623DB">
        <w:t>No quality use of medicines information was provided in the submission</w:t>
      </w:r>
      <w:r w:rsidRPr="00B623DB">
        <w:rPr>
          <w:i/>
        </w:rPr>
        <w:t xml:space="preserve"> </w:t>
      </w:r>
      <w:r w:rsidR="005E4B73" w:rsidRPr="00B623DB">
        <w:t>The E</w:t>
      </w:r>
      <w:r w:rsidR="00172931" w:rsidRPr="00B623DB">
        <w:t xml:space="preserve">SC noted that </w:t>
      </w:r>
      <w:r w:rsidR="005E4B73" w:rsidRPr="00B623DB">
        <w:t>anakinra was currently PBS listed in</w:t>
      </w:r>
      <w:r w:rsidR="00172931" w:rsidRPr="00B623DB">
        <w:t xml:space="preserve"> </w:t>
      </w:r>
      <w:r w:rsidR="00123A97" w:rsidRPr="00B623DB">
        <w:t>a pre</w:t>
      </w:r>
      <w:r w:rsidR="005E4B73" w:rsidRPr="00B623DB">
        <w:t>-filled syringe while</w:t>
      </w:r>
      <w:r w:rsidR="00172931" w:rsidRPr="00B623DB">
        <w:t xml:space="preserve"> the requested listing was for a powder for subcutaneous injection form of canakinumab requiring reconstitution</w:t>
      </w:r>
      <w:r w:rsidR="00C55F68" w:rsidRPr="00B623DB">
        <w:t xml:space="preserve">. </w:t>
      </w:r>
      <w:r w:rsidR="00582C07" w:rsidRPr="00B623DB">
        <w:t xml:space="preserve">The ESC </w:t>
      </w:r>
      <w:r w:rsidR="00637859" w:rsidRPr="00B623DB">
        <w:t>advised that canakinumab is unlikely to be self-administered</w:t>
      </w:r>
      <w:r w:rsidR="00071FC6" w:rsidRPr="00B623DB">
        <w:t xml:space="preserve"> by</w:t>
      </w:r>
      <w:r w:rsidR="00476EE9" w:rsidRPr="00B623DB">
        <w:t xml:space="preserve"> m</w:t>
      </w:r>
      <w:r w:rsidR="00157855" w:rsidRPr="00B623DB">
        <w:t>any</w:t>
      </w:r>
      <w:r w:rsidR="00071FC6" w:rsidRPr="00B623DB">
        <w:t xml:space="preserve"> patients</w:t>
      </w:r>
      <w:r w:rsidR="00637859" w:rsidRPr="00B623DB">
        <w:t xml:space="preserve"> given</w:t>
      </w:r>
      <w:r w:rsidR="00D75F50" w:rsidRPr="00B623DB">
        <w:t xml:space="preserve"> the requirement to calculate the correct dose according to body weight and</w:t>
      </w:r>
      <w:r w:rsidR="00637859" w:rsidRPr="00B623DB">
        <w:t xml:space="preserve"> the complexity of the steps involved in </w:t>
      </w:r>
      <w:r w:rsidR="00D75F50" w:rsidRPr="00B623DB">
        <w:t>reconstituting</w:t>
      </w:r>
      <w:r w:rsidR="00637859" w:rsidRPr="00B623DB">
        <w:t xml:space="preserve"> each vial</w:t>
      </w:r>
      <w:r w:rsidR="00D75F50" w:rsidRPr="00B623DB">
        <w:t xml:space="preserve"> (i.e. the solution is required to be mixed in a specific way and requires careful handling). The ESC considered that </w:t>
      </w:r>
      <w:r w:rsidR="00C25469" w:rsidRPr="00B623DB">
        <w:t xml:space="preserve">although patients and caregivers may receive </w:t>
      </w:r>
      <w:r w:rsidR="00DC1484" w:rsidRPr="00B623DB">
        <w:t>initial training from physicians to prepare and administer injections, the eight week intervals between doses would likely mean that m</w:t>
      </w:r>
      <w:r w:rsidR="00157855" w:rsidRPr="00B623DB">
        <w:t>any</w:t>
      </w:r>
      <w:r w:rsidR="00DC1484" w:rsidRPr="00B623DB">
        <w:t xml:space="preserve"> patients </w:t>
      </w:r>
      <w:r w:rsidRPr="00B623DB">
        <w:t>may not be confident in preparing the injection,</w:t>
      </w:r>
      <w:r w:rsidR="00DC1484" w:rsidRPr="00B623DB">
        <w:t xml:space="preserve"> particularly given the complexity of the steps.</w:t>
      </w:r>
      <w:r w:rsidR="00DC1484" w:rsidRPr="00B623DB">
        <w:rPr>
          <w:i/>
        </w:rPr>
        <w:t xml:space="preserve"> </w:t>
      </w:r>
    </w:p>
    <w:p w:rsidR="00C317F3" w:rsidRPr="00B623DB" w:rsidRDefault="00C317F3" w:rsidP="00233BBF">
      <w:pPr>
        <w:pStyle w:val="Heading2"/>
        <w:numPr>
          <w:ilvl w:val="0"/>
          <w:numId w:val="0"/>
        </w:numPr>
        <w:rPr>
          <w:i w:val="0"/>
        </w:rPr>
      </w:pPr>
      <w:bookmarkStart w:id="25" w:name="_Toc413139286"/>
      <w:bookmarkStart w:id="26" w:name="_Toc492307664"/>
      <w:r w:rsidRPr="00B623DB">
        <w:rPr>
          <w:i w:val="0"/>
        </w:rPr>
        <w:t xml:space="preserve">Financial </w:t>
      </w:r>
      <w:r w:rsidR="00661286" w:rsidRPr="00B623DB">
        <w:rPr>
          <w:i w:val="0"/>
        </w:rPr>
        <w:t>m</w:t>
      </w:r>
      <w:r w:rsidRPr="00B623DB">
        <w:rPr>
          <w:i w:val="0"/>
        </w:rPr>
        <w:t xml:space="preserve">anagement – </w:t>
      </w:r>
      <w:r w:rsidR="00661286" w:rsidRPr="00B623DB">
        <w:rPr>
          <w:i w:val="0"/>
        </w:rPr>
        <w:t>r</w:t>
      </w:r>
      <w:r w:rsidRPr="00B623DB">
        <w:rPr>
          <w:i w:val="0"/>
        </w:rPr>
        <w:t xml:space="preserve">isk </w:t>
      </w:r>
      <w:r w:rsidR="00661286" w:rsidRPr="00B623DB">
        <w:rPr>
          <w:i w:val="0"/>
        </w:rPr>
        <w:t>s</w:t>
      </w:r>
      <w:r w:rsidRPr="00B623DB">
        <w:rPr>
          <w:i w:val="0"/>
        </w:rPr>
        <w:t xml:space="preserve">haring </w:t>
      </w:r>
      <w:r w:rsidR="00661286" w:rsidRPr="00B623DB">
        <w:rPr>
          <w:i w:val="0"/>
        </w:rPr>
        <w:t>a</w:t>
      </w:r>
      <w:r w:rsidRPr="00B623DB">
        <w:rPr>
          <w:i w:val="0"/>
        </w:rPr>
        <w:t>rrangements</w:t>
      </w:r>
      <w:bookmarkEnd w:id="25"/>
      <w:bookmarkEnd w:id="26"/>
    </w:p>
    <w:p w:rsidR="00C317F3" w:rsidRPr="00B623DB" w:rsidRDefault="007154F6" w:rsidP="00D53D8C">
      <w:pPr>
        <w:widowControl w:val="0"/>
        <w:numPr>
          <w:ilvl w:val="1"/>
          <w:numId w:val="2"/>
        </w:numPr>
        <w:spacing w:before="0" w:after="120"/>
        <w:jc w:val="both"/>
      </w:pPr>
      <w:r w:rsidRPr="00B623DB">
        <w:t>The submission noted that the anakinra Public Summary Document (November 2014) referred to the implementation of a capping arrangement to ensure PBS expenditure does not exceed agreed limits. The sponsor expects to be asked to sign up to the Deed of Agreement governing the CAPS market in the event that the canakinumab submission is successful.</w:t>
      </w:r>
    </w:p>
    <w:p w:rsidR="00BA3306" w:rsidRDefault="002B3799" w:rsidP="002B3799">
      <w:pPr>
        <w:spacing w:after="120"/>
        <w:jc w:val="both"/>
        <w:rPr>
          <w:rFonts w:ascii="Calibri" w:eastAsia="Times New Roman" w:hAnsi="Calibri" w:cs="Times New Roman"/>
          <w:i/>
          <w:szCs w:val="24"/>
        </w:rPr>
      </w:pPr>
      <w:r w:rsidRPr="00B623DB">
        <w:rPr>
          <w:color w:val="3366FF"/>
        </w:rPr>
        <w:t xml:space="preserve"> </w:t>
      </w:r>
      <w:r w:rsidR="000576B9" w:rsidRPr="00B623DB">
        <w:rPr>
          <w:rFonts w:ascii="Calibri" w:eastAsia="Times New Roman" w:hAnsi="Calibri" w:cs="Times New Roman"/>
          <w:i/>
          <w:szCs w:val="24"/>
        </w:rPr>
        <w:t>For more detail on PBAC’s view, see section 7 PBAC outcome.</w:t>
      </w:r>
    </w:p>
    <w:p w:rsidR="009126CD" w:rsidRPr="009126CD" w:rsidRDefault="009126CD" w:rsidP="009126CD">
      <w:pPr>
        <w:pStyle w:val="PBACHeading1"/>
        <w:outlineLvl w:val="0"/>
        <w:rPr>
          <w:rFonts w:asciiTheme="minorHAnsi" w:hAnsiTheme="minorHAnsi"/>
          <w:sz w:val="32"/>
          <w:szCs w:val="32"/>
        </w:rPr>
      </w:pPr>
      <w:r>
        <w:rPr>
          <w:rFonts w:asciiTheme="minorHAnsi" w:hAnsiTheme="minorHAnsi"/>
          <w:sz w:val="32"/>
          <w:szCs w:val="32"/>
        </w:rPr>
        <w:t>PBAC Outcome</w:t>
      </w:r>
    </w:p>
    <w:p w:rsidR="009549B3" w:rsidRPr="00B623DB" w:rsidRDefault="00F748BB" w:rsidP="005764C4">
      <w:pPr>
        <w:pStyle w:val="ListParagraph"/>
        <w:numPr>
          <w:ilvl w:val="1"/>
          <w:numId w:val="2"/>
        </w:numPr>
        <w:jc w:val="both"/>
        <w:rPr>
          <w:snapToGrid w:val="0"/>
        </w:rPr>
      </w:pPr>
      <w:r w:rsidRPr="00B623DB">
        <w:rPr>
          <w:snapToGrid w:val="0"/>
        </w:rPr>
        <w:t xml:space="preserve">The PBAC recommended the listing of </w:t>
      </w:r>
      <w:r w:rsidR="007A5CC3" w:rsidRPr="00B623DB">
        <w:rPr>
          <w:snapToGrid w:val="0"/>
        </w:rPr>
        <w:t>canakinumab for the treatment of moderate to severe cryopyrin-associated periodic syndromes (CAPS)</w:t>
      </w:r>
      <w:r w:rsidRPr="00B623DB">
        <w:rPr>
          <w:snapToGrid w:val="0"/>
        </w:rPr>
        <w:t>, on the basis that it should be available only under special a</w:t>
      </w:r>
      <w:r w:rsidR="007A5CC3" w:rsidRPr="00B623DB">
        <w:rPr>
          <w:snapToGrid w:val="0"/>
        </w:rPr>
        <w:t xml:space="preserve">rrangements under </w:t>
      </w:r>
      <w:r w:rsidR="00B623DB">
        <w:rPr>
          <w:snapToGrid w:val="0"/>
        </w:rPr>
        <w:t>S</w:t>
      </w:r>
      <w:r w:rsidR="00B623DB" w:rsidRPr="00B623DB">
        <w:rPr>
          <w:snapToGrid w:val="0"/>
        </w:rPr>
        <w:t xml:space="preserve">ection </w:t>
      </w:r>
      <w:r w:rsidR="007A5CC3" w:rsidRPr="00B623DB">
        <w:rPr>
          <w:snapToGrid w:val="0"/>
        </w:rPr>
        <w:t xml:space="preserve">100. </w:t>
      </w:r>
      <w:r w:rsidRPr="00B623DB">
        <w:rPr>
          <w:snapToGrid w:val="0"/>
        </w:rPr>
        <w:t xml:space="preserve">The PBAC’s recommendation for listing was based on, among other matters, its assessment, as described above, that the cost-effectiveness of </w:t>
      </w:r>
      <w:r w:rsidR="007A5CC3" w:rsidRPr="00B623DB">
        <w:rPr>
          <w:snapToGrid w:val="0"/>
        </w:rPr>
        <w:t xml:space="preserve">canakinumab </w:t>
      </w:r>
      <w:r w:rsidRPr="00B623DB">
        <w:rPr>
          <w:snapToGrid w:val="0"/>
        </w:rPr>
        <w:t xml:space="preserve">would be acceptable if it were cost-minimised against </w:t>
      </w:r>
      <w:r w:rsidR="007A5CC3" w:rsidRPr="00B623DB">
        <w:rPr>
          <w:snapToGrid w:val="0"/>
        </w:rPr>
        <w:t xml:space="preserve">anakinra, and if </w:t>
      </w:r>
      <w:r w:rsidR="005764C4" w:rsidRPr="00B623DB">
        <w:rPr>
          <w:snapToGrid w:val="0"/>
        </w:rPr>
        <w:t xml:space="preserve">joining the </w:t>
      </w:r>
      <w:r w:rsidR="005764C4" w:rsidRPr="00B623DB">
        <w:rPr>
          <w:szCs w:val="24"/>
        </w:rPr>
        <w:t xml:space="preserve">current Risk Sharing Arrangement for </w:t>
      </w:r>
      <w:r w:rsidR="005764C4" w:rsidRPr="00B623DB">
        <w:rPr>
          <w:snapToGrid w:val="0"/>
        </w:rPr>
        <w:t>anakinra in the same indication was</w:t>
      </w:r>
      <w:r w:rsidR="007A5CC3" w:rsidRPr="00B623DB">
        <w:rPr>
          <w:snapToGrid w:val="0"/>
        </w:rPr>
        <w:t xml:space="preserve"> implemented to contain risks associated with the cost of the drug to the PBS</w:t>
      </w:r>
      <w:r w:rsidR="005764C4" w:rsidRPr="00B623DB">
        <w:rPr>
          <w:snapToGrid w:val="0"/>
        </w:rPr>
        <w:t>.</w:t>
      </w:r>
      <w:r w:rsidR="007A5CC3" w:rsidRPr="00B623DB">
        <w:rPr>
          <w:snapToGrid w:val="0"/>
        </w:rPr>
        <w:t xml:space="preserve"> </w:t>
      </w:r>
    </w:p>
    <w:p w:rsidR="009E038F" w:rsidRPr="00B623DB" w:rsidRDefault="009E038F" w:rsidP="005764C4">
      <w:pPr>
        <w:pStyle w:val="ListParagraph"/>
        <w:numPr>
          <w:ilvl w:val="1"/>
          <w:numId w:val="2"/>
        </w:numPr>
        <w:jc w:val="both"/>
        <w:rPr>
          <w:snapToGrid w:val="0"/>
        </w:rPr>
      </w:pPr>
      <w:r w:rsidRPr="00B623DB">
        <w:rPr>
          <w:snapToGrid w:val="0"/>
        </w:rPr>
        <w:t>The PBAC accepted that anakinra is the appropriate comparator</w:t>
      </w:r>
      <w:r w:rsidR="004F43F0" w:rsidRPr="00B623DB">
        <w:rPr>
          <w:snapToGrid w:val="0"/>
        </w:rPr>
        <w:t>.</w:t>
      </w:r>
      <w:r w:rsidRPr="00B623DB">
        <w:rPr>
          <w:snapToGrid w:val="0"/>
        </w:rPr>
        <w:t xml:space="preserve"> </w:t>
      </w:r>
      <w:r w:rsidR="004F43F0" w:rsidRPr="00B623DB">
        <w:rPr>
          <w:snapToGrid w:val="0"/>
        </w:rPr>
        <w:t xml:space="preserve">The PBAC did not </w:t>
      </w:r>
      <w:r w:rsidR="005764C4" w:rsidRPr="00B623DB">
        <w:rPr>
          <w:snapToGrid w:val="0"/>
        </w:rPr>
        <w:t>accept the</w:t>
      </w:r>
      <w:r w:rsidRPr="00B623DB">
        <w:rPr>
          <w:snapToGrid w:val="0"/>
        </w:rPr>
        <w:t xml:space="preserve"> equi-effective doses </w:t>
      </w:r>
      <w:r w:rsidR="004F43F0" w:rsidRPr="00B623DB">
        <w:rPr>
          <w:snapToGrid w:val="0"/>
        </w:rPr>
        <w:t>proposed in the submission (</w:t>
      </w:r>
      <w:r w:rsidRPr="00B623DB">
        <w:rPr>
          <w:snapToGrid w:val="0"/>
        </w:rPr>
        <w:t>anakinra 100 mg once daily for eight weeks and canakinumab 150 mg once every 8 weeks</w:t>
      </w:r>
      <w:r w:rsidR="004F43F0" w:rsidRPr="00B623DB">
        <w:rPr>
          <w:snapToGrid w:val="0"/>
        </w:rPr>
        <w:t>) noting that dose escalations</w:t>
      </w:r>
      <w:r w:rsidRPr="00B623DB">
        <w:rPr>
          <w:snapToGrid w:val="0"/>
        </w:rPr>
        <w:t xml:space="preserve"> </w:t>
      </w:r>
      <w:r w:rsidR="00B623DB">
        <w:rPr>
          <w:snapToGrid w:val="0"/>
        </w:rPr>
        <w:t xml:space="preserve">for </w:t>
      </w:r>
      <w:r w:rsidR="005764C4" w:rsidRPr="00B623DB">
        <w:rPr>
          <w:snapToGrid w:val="0"/>
        </w:rPr>
        <w:t>neither anakinra nor</w:t>
      </w:r>
      <w:r w:rsidR="004F43F0" w:rsidRPr="00B623DB">
        <w:rPr>
          <w:snapToGrid w:val="0"/>
        </w:rPr>
        <w:t xml:space="preserve"> canakinumab were considered. The PBAC also considered it appropriate for the price of canakinumab to be adjusted to account for the likely administration</w:t>
      </w:r>
      <w:r w:rsidRPr="00B623DB">
        <w:rPr>
          <w:snapToGrid w:val="0"/>
        </w:rPr>
        <w:t xml:space="preserve"> cost</w:t>
      </w:r>
      <w:r w:rsidR="004F43F0" w:rsidRPr="00B623DB">
        <w:rPr>
          <w:snapToGrid w:val="0"/>
        </w:rPr>
        <w:t>s</w:t>
      </w:r>
      <w:r w:rsidRPr="00B623DB">
        <w:rPr>
          <w:snapToGrid w:val="0"/>
        </w:rPr>
        <w:t xml:space="preserve"> for canakinumab. </w:t>
      </w:r>
    </w:p>
    <w:p w:rsidR="00C8128F" w:rsidRPr="00B623DB" w:rsidRDefault="00845DFA" w:rsidP="003C7418">
      <w:pPr>
        <w:pStyle w:val="ListParagraph"/>
        <w:numPr>
          <w:ilvl w:val="1"/>
          <w:numId w:val="2"/>
        </w:numPr>
        <w:jc w:val="both"/>
        <w:rPr>
          <w:snapToGrid w:val="0"/>
        </w:rPr>
      </w:pPr>
      <w:r w:rsidRPr="00B623DB">
        <w:rPr>
          <w:snapToGrid w:val="0"/>
        </w:rPr>
        <w:t xml:space="preserve">The PBAC noted that </w:t>
      </w:r>
      <w:r w:rsidR="006255A9" w:rsidRPr="00B623DB">
        <w:rPr>
          <w:snapToGrid w:val="0"/>
        </w:rPr>
        <w:t xml:space="preserve">the life-long burden for patients with </w:t>
      </w:r>
      <w:r w:rsidRPr="00B623DB">
        <w:rPr>
          <w:snapToGrid w:val="0"/>
        </w:rPr>
        <w:t>CAPS</w:t>
      </w:r>
      <w:r w:rsidR="006255A9" w:rsidRPr="00B623DB">
        <w:rPr>
          <w:snapToGrid w:val="0"/>
        </w:rPr>
        <w:t>.</w:t>
      </w:r>
      <w:r w:rsidR="009F68E1" w:rsidRPr="00B623DB">
        <w:rPr>
          <w:snapToGrid w:val="0"/>
        </w:rPr>
        <w:t xml:space="preserve"> </w:t>
      </w:r>
      <w:r w:rsidR="00146C71" w:rsidRPr="00B623DB">
        <w:rPr>
          <w:snapToGrid w:val="0"/>
        </w:rPr>
        <w:t>The PBAC considered there was a clinical need for additional treatment options</w:t>
      </w:r>
      <w:r w:rsidR="00B41A83" w:rsidRPr="00B623DB">
        <w:rPr>
          <w:snapToGrid w:val="0"/>
        </w:rPr>
        <w:t xml:space="preserve">. The PBAC noted that there would be a </w:t>
      </w:r>
      <w:r w:rsidR="00482E66" w:rsidRPr="00B623DB">
        <w:rPr>
          <w:snapToGrid w:val="0"/>
        </w:rPr>
        <w:t>reduced injection burden</w:t>
      </w:r>
      <w:r w:rsidR="00146C71" w:rsidRPr="00B623DB">
        <w:rPr>
          <w:snapToGrid w:val="0"/>
        </w:rPr>
        <w:t xml:space="preserve"> for this patient population</w:t>
      </w:r>
      <w:r w:rsidR="0091116C" w:rsidRPr="00B623DB">
        <w:rPr>
          <w:snapToGrid w:val="0"/>
        </w:rPr>
        <w:t xml:space="preserve"> </w:t>
      </w:r>
      <w:r w:rsidR="00B41A83" w:rsidRPr="00B623DB">
        <w:rPr>
          <w:snapToGrid w:val="0"/>
        </w:rPr>
        <w:t>as the</w:t>
      </w:r>
      <w:r w:rsidR="0091116C" w:rsidRPr="00B623DB">
        <w:rPr>
          <w:snapToGrid w:val="0"/>
        </w:rPr>
        <w:t xml:space="preserve"> only PBS-subsidised treatment for this condition currently is anakinra</w:t>
      </w:r>
      <w:r w:rsidR="00B41A83" w:rsidRPr="00B623DB">
        <w:rPr>
          <w:snapToGrid w:val="0"/>
        </w:rPr>
        <w:t>, the appropriate comparator in the submission</w:t>
      </w:r>
      <w:r w:rsidR="00B64C6A" w:rsidRPr="00B623DB">
        <w:rPr>
          <w:snapToGrid w:val="0"/>
        </w:rPr>
        <w:t>, which</w:t>
      </w:r>
      <w:r w:rsidR="006A0F54" w:rsidRPr="00B623DB">
        <w:rPr>
          <w:snapToGrid w:val="0"/>
        </w:rPr>
        <w:t xml:space="preserve"> is administered as a daily injection</w:t>
      </w:r>
      <w:r w:rsidR="00C55F68" w:rsidRPr="00B623DB">
        <w:rPr>
          <w:snapToGrid w:val="0"/>
        </w:rPr>
        <w:t xml:space="preserve">. </w:t>
      </w:r>
      <w:r w:rsidR="003C7418" w:rsidRPr="00B623DB">
        <w:rPr>
          <w:snapToGrid w:val="0"/>
        </w:rPr>
        <w:t>The PBAC however considered that canakinumab and anakinra should not be used in combination and hence recommended that the criterion of ‘The treatment must be the sole PBS-subsidised biological medicine for this condition’ should be added to the restriction for canakinumab and flowed-on to the restriction for anakinra for CAPS.</w:t>
      </w:r>
    </w:p>
    <w:p w:rsidR="00B41A83" w:rsidRPr="00B623DB" w:rsidRDefault="00B41A83" w:rsidP="00C73F1C">
      <w:pPr>
        <w:pStyle w:val="ListParagraph"/>
        <w:numPr>
          <w:ilvl w:val="1"/>
          <w:numId w:val="2"/>
        </w:numPr>
        <w:jc w:val="both"/>
        <w:rPr>
          <w:snapToGrid w:val="0"/>
        </w:rPr>
      </w:pPr>
      <w:r w:rsidRPr="00B623DB">
        <w:rPr>
          <w:snapToGrid w:val="0"/>
        </w:rPr>
        <w:t>The PBAC advised that it was appropriate that the restriction</w:t>
      </w:r>
      <w:r w:rsidR="004A0C4A" w:rsidRPr="00B623DB">
        <w:rPr>
          <w:snapToGrid w:val="0"/>
        </w:rPr>
        <w:t xml:space="preserve"> wording</w:t>
      </w:r>
      <w:r w:rsidRPr="00B623DB">
        <w:rPr>
          <w:snapToGrid w:val="0"/>
        </w:rPr>
        <w:t xml:space="preserve"> </w:t>
      </w:r>
      <w:r w:rsidR="004A0C4A" w:rsidRPr="00B623DB">
        <w:rPr>
          <w:snapToGrid w:val="0"/>
        </w:rPr>
        <w:t xml:space="preserve">for canakinumab be the same as the current listing for anakinra, including an </w:t>
      </w:r>
      <w:r w:rsidR="004A0C4A" w:rsidRPr="00B623DB">
        <w:rPr>
          <w:szCs w:val="24"/>
        </w:rPr>
        <w:t>Authority Required (STREAMLINED) listing</w:t>
      </w:r>
      <w:r w:rsidR="004A0C4A" w:rsidRPr="00B623DB">
        <w:rPr>
          <w:snapToGrid w:val="0"/>
        </w:rPr>
        <w:t xml:space="preserve">. </w:t>
      </w:r>
      <w:r w:rsidR="004A0C4A" w:rsidRPr="00B623DB">
        <w:rPr>
          <w:szCs w:val="24"/>
        </w:rPr>
        <w:t xml:space="preserve">The PBAC </w:t>
      </w:r>
      <w:r w:rsidR="00C73F1C" w:rsidRPr="00B623DB">
        <w:rPr>
          <w:szCs w:val="24"/>
        </w:rPr>
        <w:t>considered there was a risk of</w:t>
      </w:r>
      <w:r w:rsidR="004A0C4A" w:rsidRPr="00B623DB">
        <w:rPr>
          <w:szCs w:val="24"/>
        </w:rPr>
        <w:t xml:space="preserve"> use outside of the restriction </w:t>
      </w:r>
      <w:r w:rsidR="00B64C6A" w:rsidRPr="00B623DB">
        <w:rPr>
          <w:szCs w:val="24"/>
        </w:rPr>
        <w:t>with cana</w:t>
      </w:r>
      <w:r w:rsidR="004A0C4A" w:rsidRPr="00B623DB">
        <w:rPr>
          <w:szCs w:val="24"/>
        </w:rPr>
        <w:t xml:space="preserve">kinumab as with </w:t>
      </w:r>
      <w:r w:rsidR="00B64C6A" w:rsidRPr="00B623DB">
        <w:rPr>
          <w:szCs w:val="24"/>
        </w:rPr>
        <w:t>anakinra</w:t>
      </w:r>
      <w:r w:rsidR="00C73F1C" w:rsidRPr="00B623DB">
        <w:rPr>
          <w:szCs w:val="24"/>
        </w:rPr>
        <w:t xml:space="preserve">. However, as with its July 2017 consideration of amending the Authority Required (STREAMLINED) listing for anakinra to an Authority Required listing, the PBAC considered the proposed streamlined restriction level is appropriate. </w:t>
      </w:r>
      <w:r w:rsidR="004A0C4A" w:rsidRPr="00B623DB">
        <w:rPr>
          <w:szCs w:val="24"/>
        </w:rPr>
        <w:t>The PBAC noted</w:t>
      </w:r>
      <w:r w:rsidR="00B64C6A" w:rsidRPr="00B623DB">
        <w:rPr>
          <w:szCs w:val="24"/>
        </w:rPr>
        <w:t xml:space="preserve"> </w:t>
      </w:r>
      <w:r w:rsidR="004A0C4A" w:rsidRPr="00B623DB">
        <w:rPr>
          <w:szCs w:val="24"/>
        </w:rPr>
        <w:t>that the restriction for anakinra included the administrative note ‘This drug is not PBS-subsidised for conditions other than CAPS’.</w:t>
      </w:r>
      <w:r w:rsidR="002E7D26" w:rsidRPr="00B623DB">
        <w:rPr>
          <w:szCs w:val="24"/>
        </w:rPr>
        <w:t xml:space="preserve"> The PBAC considered that this note should also be applied to the restriction for canakinumab. However, noting that canakinumab was recommended for listing for the treatment of systemic juvenile idiopathic arthritis at the March 2015 </w:t>
      </w:r>
      <w:r w:rsidR="00B623DB" w:rsidRPr="00B623DB">
        <w:rPr>
          <w:szCs w:val="24"/>
        </w:rPr>
        <w:t>meeting that</w:t>
      </w:r>
      <w:r w:rsidR="002E7D26" w:rsidRPr="00B623DB">
        <w:rPr>
          <w:szCs w:val="24"/>
        </w:rPr>
        <w:t xml:space="preserve"> is yet to be implemented, the administrative note should be reviewed </w:t>
      </w:r>
      <w:r w:rsidR="003167ED" w:rsidRPr="00B623DB">
        <w:rPr>
          <w:szCs w:val="24"/>
        </w:rPr>
        <w:t xml:space="preserve">if </w:t>
      </w:r>
      <w:r w:rsidR="00391B1F" w:rsidRPr="00B623DB">
        <w:rPr>
          <w:szCs w:val="24"/>
        </w:rPr>
        <w:t>canakinumab</w:t>
      </w:r>
      <w:r w:rsidR="002E7D26" w:rsidRPr="00B623DB">
        <w:rPr>
          <w:szCs w:val="24"/>
        </w:rPr>
        <w:t xml:space="preserve"> is listed for this </w:t>
      </w:r>
      <w:r w:rsidR="00B64C6A" w:rsidRPr="00B623DB">
        <w:rPr>
          <w:szCs w:val="24"/>
        </w:rPr>
        <w:t>other</w:t>
      </w:r>
      <w:r w:rsidR="002E7D26" w:rsidRPr="00B623DB">
        <w:rPr>
          <w:szCs w:val="24"/>
        </w:rPr>
        <w:t xml:space="preserve"> indication.</w:t>
      </w:r>
    </w:p>
    <w:p w:rsidR="002E7D26" w:rsidRPr="00B623DB" w:rsidRDefault="002E7D26" w:rsidP="00C73F1C">
      <w:pPr>
        <w:pStyle w:val="ListParagraph"/>
        <w:numPr>
          <w:ilvl w:val="1"/>
          <w:numId w:val="2"/>
        </w:numPr>
        <w:jc w:val="both"/>
        <w:rPr>
          <w:snapToGrid w:val="0"/>
        </w:rPr>
      </w:pPr>
      <w:r w:rsidRPr="00B623DB">
        <w:rPr>
          <w:snapToGrid w:val="0"/>
        </w:rPr>
        <w:t xml:space="preserve">The submission proposed a maximum quantity of one pack (150 mg powder for injection) with two repeats provides approximately 24 weeks (6 months) of treatment for adult and child patients </w:t>
      </w:r>
      <w:r w:rsidR="002E2D74" w:rsidRPr="00B623DB">
        <w:rPr>
          <w:snapToGrid w:val="0"/>
        </w:rPr>
        <w:t>greater than</w:t>
      </w:r>
      <w:r w:rsidRPr="00B623DB">
        <w:rPr>
          <w:snapToGrid w:val="0"/>
        </w:rPr>
        <w:t xml:space="preserve"> 40kg. </w:t>
      </w:r>
      <w:r w:rsidR="00917253" w:rsidRPr="00B623DB">
        <w:rPr>
          <w:snapToGrid w:val="0"/>
        </w:rPr>
        <w:t>The PBAC noted that f</w:t>
      </w:r>
      <w:r w:rsidRPr="00B623DB">
        <w:rPr>
          <w:snapToGrid w:val="0"/>
        </w:rPr>
        <w:t>or patients on the intensified dosing regimen of 600 mg every eight weeks</w:t>
      </w:r>
      <w:r w:rsidR="00917253" w:rsidRPr="00B623DB">
        <w:rPr>
          <w:snapToGrid w:val="0"/>
        </w:rPr>
        <w:t xml:space="preserve"> or requiring a second dose </w:t>
      </w:r>
      <w:r w:rsidR="00917253" w:rsidRPr="00B623DB">
        <w:t>for unsatisfactory clinical response within 7 days</w:t>
      </w:r>
      <w:r w:rsidRPr="00B623DB">
        <w:rPr>
          <w:snapToGrid w:val="0"/>
        </w:rPr>
        <w:t>, the proposed maximum quantity and number of repeats would not be sufficient</w:t>
      </w:r>
      <w:r w:rsidR="00917253" w:rsidRPr="00B623DB">
        <w:rPr>
          <w:snapToGrid w:val="0"/>
        </w:rPr>
        <w:t xml:space="preserve"> for 24 weeks of treatment</w:t>
      </w:r>
      <w:r w:rsidRPr="00B623DB">
        <w:rPr>
          <w:snapToGrid w:val="0"/>
        </w:rPr>
        <w:t xml:space="preserve">. </w:t>
      </w:r>
      <w:r w:rsidR="00917253" w:rsidRPr="00B623DB">
        <w:rPr>
          <w:snapToGrid w:val="0"/>
        </w:rPr>
        <w:t xml:space="preserve">However, for patients </w:t>
      </w:r>
      <w:r w:rsidR="00B64C6A" w:rsidRPr="00B623DB">
        <w:rPr>
          <w:snapToGrid w:val="0"/>
        </w:rPr>
        <w:t>less than</w:t>
      </w:r>
      <w:r w:rsidR="00917253" w:rsidRPr="00B623DB">
        <w:rPr>
          <w:snapToGrid w:val="0"/>
        </w:rPr>
        <w:t xml:space="preserve"> 40kg, the proposed maximum quantity and number of repeats would lead to a substantial wastage of the 150 mg powder for injection. On balance,</w:t>
      </w:r>
      <w:r w:rsidR="00BA6E6E" w:rsidRPr="00B623DB">
        <w:rPr>
          <w:snapToGrid w:val="0"/>
        </w:rPr>
        <w:t xml:space="preserve"> the PBAC considered that </w:t>
      </w:r>
      <w:r w:rsidR="00B64C6A" w:rsidRPr="00B623DB">
        <w:rPr>
          <w:snapToGrid w:val="0"/>
        </w:rPr>
        <w:t>the proposed</w:t>
      </w:r>
      <w:r w:rsidR="00BA6E6E" w:rsidRPr="00B623DB">
        <w:rPr>
          <w:snapToGrid w:val="0"/>
        </w:rPr>
        <w:t xml:space="preserve"> maximum quantity and number of repeats was </w:t>
      </w:r>
      <w:r w:rsidR="00B64C6A" w:rsidRPr="00B623DB">
        <w:rPr>
          <w:snapToGrid w:val="0"/>
        </w:rPr>
        <w:t>reasonable for the listing</w:t>
      </w:r>
      <w:r w:rsidR="00C55F68" w:rsidRPr="00B623DB">
        <w:rPr>
          <w:snapToGrid w:val="0"/>
        </w:rPr>
        <w:t xml:space="preserve">. </w:t>
      </w:r>
      <w:r w:rsidR="003E29D9" w:rsidRPr="00B623DB">
        <w:rPr>
          <w:snapToGrid w:val="0"/>
        </w:rPr>
        <w:t>The PBAC further noted that the listing will allow for an increased maximum quantity to be prescribed with prior authority approval from the Department of Human Services.</w:t>
      </w:r>
    </w:p>
    <w:p w:rsidR="00151972" w:rsidRPr="00B623DB" w:rsidRDefault="00306659" w:rsidP="00C73F1C">
      <w:pPr>
        <w:pStyle w:val="ListParagraph"/>
        <w:numPr>
          <w:ilvl w:val="1"/>
          <w:numId w:val="2"/>
        </w:numPr>
        <w:jc w:val="both"/>
        <w:rPr>
          <w:snapToGrid w:val="0"/>
        </w:rPr>
      </w:pPr>
      <w:r w:rsidRPr="00B623DB">
        <w:rPr>
          <w:snapToGrid w:val="0"/>
        </w:rPr>
        <w:t>The PBAC noted the results of the key</w:t>
      </w:r>
      <w:r w:rsidR="00201373" w:rsidRPr="00B623DB">
        <w:rPr>
          <w:snapToGrid w:val="0"/>
        </w:rPr>
        <w:t xml:space="preserve"> </w:t>
      </w:r>
      <w:r w:rsidR="0080218A" w:rsidRPr="00B623DB">
        <w:rPr>
          <w:snapToGrid w:val="0"/>
        </w:rPr>
        <w:t xml:space="preserve">canakinumab trial D2304 (n=31) indicated that canakinumab was an effective treatment for CAPS </w:t>
      </w:r>
      <w:r w:rsidR="002860A1" w:rsidRPr="00B623DB">
        <w:rPr>
          <w:snapToGrid w:val="0"/>
        </w:rPr>
        <w:t xml:space="preserve">(specifically, MWS) </w:t>
      </w:r>
      <w:r w:rsidR="0080218A" w:rsidRPr="00B623DB">
        <w:rPr>
          <w:snapToGrid w:val="0"/>
        </w:rPr>
        <w:t>compared with placebo in te</w:t>
      </w:r>
      <w:r w:rsidR="000B65B9" w:rsidRPr="00B623DB">
        <w:rPr>
          <w:snapToGrid w:val="0"/>
        </w:rPr>
        <w:t>rms of reducing disease flare (</w:t>
      </w:r>
      <w:r w:rsidR="0080218A" w:rsidRPr="00B623DB">
        <w:rPr>
          <w:snapToGrid w:val="0"/>
        </w:rPr>
        <w:t>81.3% of patients in the placebo group compared to non</w:t>
      </w:r>
      <w:r w:rsidR="002860A1" w:rsidRPr="00B623DB">
        <w:rPr>
          <w:snapToGrid w:val="0"/>
        </w:rPr>
        <w:t>e</w:t>
      </w:r>
      <w:r w:rsidR="0080218A" w:rsidRPr="00B623DB">
        <w:rPr>
          <w:snapToGrid w:val="0"/>
        </w:rPr>
        <w:t xml:space="preserve"> of the patients in the canakinumab group experienced disease flare)</w:t>
      </w:r>
      <w:r w:rsidR="000B65B9" w:rsidRPr="00B623DB">
        <w:rPr>
          <w:snapToGrid w:val="0"/>
        </w:rPr>
        <w:t xml:space="preserve"> and that these results were also supported by </w:t>
      </w:r>
      <w:r w:rsidR="003F3C80" w:rsidRPr="00B623DB">
        <w:rPr>
          <w:snapToGrid w:val="0"/>
        </w:rPr>
        <w:t xml:space="preserve">significantly lower levels of inflammatory biomarkers (C-reactive protein and serum amyloid A levels) in the canakinumab group compared to the placebo group. </w:t>
      </w:r>
      <w:r w:rsidR="004916E9" w:rsidRPr="00B623DB">
        <w:rPr>
          <w:snapToGrid w:val="0"/>
        </w:rPr>
        <w:t>The PBAC further noted that the results of the non-randomised studies</w:t>
      </w:r>
      <w:r w:rsidR="00151972" w:rsidRPr="00B623DB">
        <w:rPr>
          <w:snapToGrid w:val="0"/>
        </w:rPr>
        <w:t xml:space="preserve"> consisting of patients with different CAPS phenotypes</w:t>
      </w:r>
      <w:r w:rsidR="004916E9" w:rsidRPr="00B623DB">
        <w:rPr>
          <w:snapToGrid w:val="0"/>
        </w:rPr>
        <w:t xml:space="preserve"> </w:t>
      </w:r>
      <w:r w:rsidR="00151972" w:rsidRPr="00B623DB">
        <w:rPr>
          <w:snapToGrid w:val="0"/>
        </w:rPr>
        <w:t xml:space="preserve">were also generally supportive of an effect of treatment. </w:t>
      </w:r>
    </w:p>
    <w:p w:rsidR="0091116C" w:rsidRPr="00B623DB" w:rsidRDefault="00AD74CA" w:rsidP="00C73F1C">
      <w:pPr>
        <w:pStyle w:val="ListParagraph"/>
        <w:numPr>
          <w:ilvl w:val="1"/>
          <w:numId w:val="2"/>
        </w:numPr>
        <w:jc w:val="both"/>
        <w:rPr>
          <w:snapToGrid w:val="0"/>
        </w:rPr>
      </w:pPr>
      <w:r w:rsidRPr="00B623DB">
        <w:rPr>
          <w:snapToGrid w:val="0"/>
        </w:rPr>
        <w:t xml:space="preserve">The PBAC acknowledged </w:t>
      </w:r>
      <w:r w:rsidR="00BA6E6E" w:rsidRPr="00B623DB">
        <w:rPr>
          <w:snapToGrid w:val="0"/>
        </w:rPr>
        <w:t xml:space="preserve">the limitations of assessing the comparative efficacy between canakinumab </w:t>
      </w:r>
      <w:r w:rsidR="00B64C6A" w:rsidRPr="00B623DB">
        <w:rPr>
          <w:snapToGrid w:val="0"/>
        </w:rPr>
        <w:t>and anakinra</w:t>
      </w:r>
      <w:r w:rsidR="00DD59A1" w:rsidRPr="00B623DB">
        <w:rPr>
          <w:snapToGrid w:val="0"/>
        </w:rPr>
        <w:t xml:space="preserve"> in the treatment of CAPS </w:t>
      </w:r>
      <w:r w:rsidR="000B736A" w:rsidRPr="00B623DB">
        <w:rPr>
          <w:snapToGrid w:val="0"/>
        </w:rPr>
        <w:t>based on</w:t>
      </w:r>
      <w:r w:rsidRPr="00B623DB">
        <w:rPr>
          <w:snapToGrid w:val="0"/>
        </w:rPr>
        <w:t xml:space="preserve"> the clinical evidence presented in the submission</w:t>
      </w:r>
      <w:r w:rsidR="00811CDA" w:rsidRPr="00B623DB">
        <w:rPr>
          <w:snapToGrid w:val="0"/>
        </w:rPr>
        <w:t xml:space="preserve">. The PBAC </w:t>
      </w:r>
      <w:r w:rsidR="00D244C4" w:rsidRPr="00B623DB">
        <w:rPr>
          <w:snapToGrid w:val="0"/>
        </w:rPr>
        <w:t xml:space="preserve">noted that the </w:t>
      </w:r>
      <w:r w:rsidR="00505D59" w:rsidRPr="00B623DB">
        <w:rPr>
          <w:snapToGrid w:val="0"/>
        </w:rPr>
        <w:t>lack of comparator arms in the anakinra studies as well as the difference in outcome measures and patient characteristics. However, noting</w:t>
      </w:r>
      <w:r w:rsidR="00F94BAE" w:rsidRPr="00B623DB">
        <w:rPr>
          <w:snapToGrid w:val="0"/>
        </w:rPr>
        <w:t xml:space="preserve"> that the </w:t>
      </w:r>
      <w:r w:rsidR="00B64C6A" w:rsidRPr="00B623DB">
        <w:rPr>
          <w:snapToGrid w:val="0"/>
        </w:rPr>
        <w:t xml:space="preserve">evidence presented supported a treatment </w:t>
      </w:r>
      <w:r w:rsidR="00F94BAE" w:rsidRPr="00B623DB">
        <w:rPr>
          <w:snapToGrid w:val="0"/>
        </w:rPr>
        <w:t xml:space="preserve">effect </w:t>
      </w:r>
      <w:r w:rsidR="003575E5" w:rsidRPr="00B623DB">
        <w:rPr>
          <w:snapToGrid w:val="0"/>
        </w:rPr>
        <w:t xml:space="preserve">and </w:t>
      </w:r>
      <w:r w:rsidR="00BA6E6E" w:rsidRPr="00B623DB">
        <w:rPr>
          <w:snapToGrid w:val="0"/>
        </w:rPr>
        <w:t>challenges</w:t>
      </w:r>
      <w:r w:rsidR="003575E5" w:rsidRPr="00B623DB">
        <w:rPr>
          <w:snapToGrid w:val="0"/>
        </w:rPr>
        <w:t xml:space="preserve"> in obtaining robust </w:t>
      </w:r>
      <w:r w:rsidR="00B64C6A" w:rsidRPr="00B623DB">
        <w:rPr>
          <w:snapToGrid w:val="0"/>
        </w:rPr>
        <w:t xml:space="preserve">comparative </w:t>
      </w:r>
      <w:r w:rsidR="003575E5" w:rsidRPr="00B623DB">
        <w:rPr>
          <w:snapToGrid w:val="0"/>
        </w:rPr>
        <w:t xml:space="preserve">clinical data for such rare conditions, the PBAC considered it would be </w:t>
      </w:r>
      <w:r w:rsidR="00BA6E6E" w:rsidRPr="00B623DB">
        <w:rPr>
          <w:snapToGrid w:val="0"/>
        </w:rPr>
        <w:t>reasonable</w:t>
      </w:r>
      <w:r w:rsidR="003575E5" w:rsidRPr="00B623DB">
        <w:rPr>
          <w:snapToGrid w:val="0"/>
        </w:rPr>
        <w:t xml:space="preserve"> to accept the submission’s claim of equivalent efficacy in the treatment of CAPS compared to anak</w:t>
      </w:r>
      <w:r w:rsidR="00420005" w:rsidRPr="00B623DB">
        <w:rPr>
          <w:snapToGrid w:val="0"/>
        </w:rPr>
        <w:t>inra</w:t>
      </w:r>
      <w:r w:rsidR="00725910" w:rsidRPr="00B623DB">
        <w:rPr>
          <w:snapToGrid w:val="0"/>
        </w:rPr>
        <w:t xml:space="preserve">. </w:t>
      </w:r>
    </w:p>
    <w:p w:rsidR="0018344D" w:rsidRPr="00B623DB" w:rsidRDefault="000F5276" w:rsidP="00C73F1C">
      <w:pPr>
        <w:pStyle w:val="ListParagraph"/>
        <w:numPr>
          <w:ilvl w:val="1"/>
          <w:numId w:val="2"/>
        </w:numPr>
        <w:jc w:val="both"/>
        <w:rPr>
          <w:snapToGrid w:val="0"/>
        </w:rPr>
      </w:pPr>
      <w:r w:rsidRPr="00B623DB">
        <w:rPr>
          <w:snapToGrid w:val="0"/>
        </w:rPr>
        <w:t xml:space="preserve">The PBAC noted that no safety data comparing canakinumab with anakinra was presented in the submission. </w:t>
      </w:r>
      <w:r w:rsidR="00725910" w:rsidRPr="00B623DB">
        <w:rPr>
          <w:snapToGrid w:val="0"/>
        </w:rPr>
        <w:t>The</w:t>
      </w:r>
      <w:r w:rsidRPr="00B623DB">
        <w:rPr>
          <w:snapToGrid w:val="0"/>
        </w:rPr>
        <w:t xml:space="preserve"> PBAC </w:t>
      </w:r>
      <w:r w:rsidR="009F7506" w:rsidRPr="00B623DB">
        <w:rPr>
          <w:snapToGrid w:val="0"/>
        </w:rPr>
        <w:t>noted that the majority of adverse events reported in the canakinumab key trial (D2304) and non-randomised studies were transient and mild to moderate in severity</w:t>
      </w:r>
      <w:r w:rsidR="00725910" w:rsidRPr="00B623DB">
        <w:rPr>
          <w:snapToGrid w:val="0"/>
        </w:rPr>
        <w:t xml:space="preserve"> and similar overall to those observed in the anakinra studies. The PBAC considered that based on the adverse events reported in the canakinumab and anakinra studies, the submission</w:t>
      </w:r>
      <w:r w:rsidR="00B64C6A" w:rsidRPr="00B623DB">
        <w:rPr>
          <w:snapToGrid w:val="0"/>
        </w:rPr>
        <w:t>’</w:t>
      </w:r>
      <w:r w:rsidR="00725910" w:rsidRPr="00B623DB">
        <w:rPr>
          <w:snapToGrid w:val="0"/>
        </w:rPr>
        <w:t xml:space="preserve">s claim of equivalent safety compared to anakinra was </w:t>
      </w:r>
      <w:r w:rsidR="00BA6E6E" w:rsidRPr="00B623DB">
        <w:rPr>
          <w:snapToGrid w:val="0"/>
        </w:rPr>
        <w:t>reasonable</w:t>
      </w:r>
      <w:r w:rsidR="00725910" w:rsidRPr="00B623DB">
        <w:rPr>
          <w:snapToGrid w:val="0"/>
        </w:rPr>
        <w:t>.</w:t>
      </w:r>
    </w:p>
    <w:p w:rsidR="00697B23" w:rsidRPr="00B623DB" w:rsidRDefault="00B41A83" w:rsidP="00697B23">
      <w:pPr>
        <w:pStyle w:val="ListParagraph"/>
        <w:numPr>
          <w:ilvl w:val="1"/>
          <w:numId w:val="2"/>
        </w:numPr>
        <w:spacing w:before="0" w:after="120"/>
        <w:jc w:val="both"/>
      </w:pPr>
      <w:r w:rsidRPr="00B623DB">
        <w:rPr>
          <w:snapToGrid w:val="0"/>
        </w:rPr>
        <w:t>The PBAC noted that the proposed equi-effective doses were</w:t>
      </w:r>
      <w:r w:rsidRPr="00B623DB">
        <w:t xml:space="preserve"> </w:t>
      </w:r>
      <w:r w:rsidRPr="00B623DB">
        <w:rPr>
          <w:snapToGrid w:val="0"/>
        </w:rPr>
        <w:t>canakinumab 150 mg once every 8 weeks and anakinra 100 mg once daily for eight weeks (5</w:t>
      </w:r>
      <w:r w:rsidR="00E0554C">
        <w:rPr>
          <w:snapToGrid w:val="0"/>
        </w:rPr>
        <w:t>,</w:t>
      </w:r>
      <w:r w:rsidRPr="00E0554C">
        <w:rPr>
          <w:snapToGrid w:val="0"/>
        </w:rPr>
        <w:t>600 mg)</w:t>
      </w:r>
      <w:r w:rsidR="00C55F68" w:rsidRPr="00B623DB">
        <w:rPr>
          <w:snapToGrid w:val="0"/>
        </w:rPr>
        <w:t xml:space="preserve">. </w:t>
      </w:r>
      <w:r w:rsidR="00CA4AA1" w:rsidRPr="00B623DB">
        <w:rPr>
          <w:snapToGrid w:val="0"/>
        </w:rPr>
        <w:t xml:space="preserve">The PBAC noted that value of 150 mg of canakinumab was more conservative than the calculated weighted average dose of 115.8 mg, albeit the disease </w:t>
      </w:r>
      <w:r w:rsidR="00697B23" w:rsidRPr="00B623DB">
        <w:rPr>
          <w:snapToGrid w:val="0"/>
        </w:rPr>
        <w:t>phenotype</w:t>
      </w:r>
      <w:r w:rsidR="00CA4AA1" w:rsidRPr="00B623DB">
        <w:rPr>
          <w:snapToGrid w:val="0"/>
        </w:rPr>
        <w:t xml:space="preserve"> weighting was based on a small number of patients in </w:t>
      </w:r>
      <w:r w:rsidR="00CA4AA1" w:rsidRPr="00B623DB">
        <w:rPr>
          <w:rFonts w:ascii="Calibri" w:eastAsia="Calibri" w:hAnsi="Calibri"/>
        </w:rPr>
        <w:t>Mehr et al. 2016</w:t>
      </w:r>
      <w:r w:rsidR="00C55F68" w:rsidRPr="00B623DB">
        <w:rPr>
          <w:rFonts w:ascii="Calibri" w:eastAsia="Calibri" w:hAnsi="Calibri"/>
        </w:rPr>
        <w:t xml:space="preserve">. </w:t>
      </w:r>
      <w:r w:rsidRPr="00B623DB">
        <w:rPr>
          <w:snapToGrid w:val="0"/>
        </w:rPr>
        <w:t xml:space="preserve">The PBAC agreed with the ESC that the mean dose of canakinumab was underestimated given it did not account for dose escalation. </w:t>
      </w:r>
      <w:r w:rsidR="00CA4AA1" w:rsidRPr="00B623DB">
        <w:rPr>
          <w:snapToGrid w:val="0"/>
        </w:rPr>
        <w:t>If t</w:t>
      </w:r>
      <w:r w:rsidR="00697B23" w:rsidRPr="00B623DB">
        <w:rPr>
          <w:snapToGrid w:val="0"/>
        </w:rPr>
        <w:t xml:space="preserve">he mean doses reported in D2306, namely </w:t>
      </w:r>
      <w:r w:rsidR="00697B23" w:rsidRPr="00B623DB">
        <w:rPr>
          <w:rFonts w:ascii="Calibri" w:eastAsia="Calibri" w:hAnsi="Calibri"/>
        </w:rPr>
        <w:t xml:space="preserve">188.9 mg for patients with FCAS, 199.8 mg for patients with MWS, and 228.9 mg for patients with NOMID, </w:t>
      </w:r>
      <w:r w:rsidR="00C47092" w:rsidRPr="00B623DB">
        <w:rPr>
          <w:rFonts w:ascii="Calibri" w:eastAsia="Calibri" w:hAnsi="Calibri"/>
        </w:rPr>
        <w:t xml:space="preserve">were </w:t>
      </w:r>
      <w:r w:rsidR="00697B23" w:rsidRPr="00B623DB">
        <w:rPr>
          <w:rFonts w:ascii="Calibri" w:eastAsia="Calibri" w:hAnsi="Calibri"/>
        </w:rPr>
        <w:t>applied to the calculation, the weighted average dose</w:t>
      </w:r>
      <w:r w:rsidR="00FE528E">
        <w:rPr>
          <w:rFonts w:ascii="Calibri" w:eastAsia="Calibri" w:hAnsi="Calibri"/>
        </w:rPr>
        <w:t xml:space="preserve"> for canakinumab</w:t>
      </w:r>
      <w:r w:rsidR="00697B23" w:rsidRPr="00B623DB">
        <w:rPr>
          <w:rFonts w:ascii="Calibri" w:eastAsia="Calibri" w:hAnsi="Calibri"/>
        </w:rPr>
        <w:t xml:space="preserve"> would be approximately 211 mg. However, modifying the calculation for anakinra with a </w:t>
      </w:r>
      <w:r w:rsidR="00697B23" w:rsidRPr="00B623DB">
        <w:t xml:space="preserve">mean dose 2.5 mg/kg/day rather than 3.5 mg/kg/day, based on </w:t>
      </w:r>
      <w:r w:rsidR="00697B23" w:rsidRPr="00B623DB">
        <w:rPr>
          <w:rFonts w:ascii="Calibri" w:eastAsia="Calibri" w:hAnsi="Calibri"/>
        </w:rPr>
        <w:t>Mehr et al. 2016</w:t>
      </w:r>
      <w:r w:rsidR="00E70200" w:rsidRPr="00B623DB">
        <w:rPr>
          <w:rFonts w:ascii="Calibri" w:eastAsia="Calibri" w:hAnsi="Calibri"/>
        </w:rPr>
        <w:t xml:space="preserve">, </w:t>
      </w:r>
      <w:r w:rsidR="00697B23" w:rsidRPr="00B623DB">
        <w:t xml:space="preserve">for patients with the NOMID phenotype and a maximum dose of 100 mg daily for adults with FCAS/MWS phenotype, rather than </w:t>
      </w:r>
      <w:r w:rsidR="00E70200" w:rsidRPr="00B623DB">
        <w:t>75.6 mg, did not significantly change the weighted average dose (96.1 mg compared to 98.8 mg)</w:t>
      </w:r>
      <w:r w:rsidR="00697B23" w:rsidRPr="00B623DB">
        <w:t>.</w:t>
      </w:r>
    </w:p>
    <w:p w:rsidR="007F1FC6" w:rsidRPr="00B623DB" w:rsidRDefault="00A44F6B" w:rsidP="007F1FC6">
      <w:pPr>
        <w:pStyle w:val="ListParagraph"/>
        <w:numPr>
          <w:ilvl w:val="1"/>
          <w:numId w:val="2"/>
        </w:numPr>
        <w:jc w:val="both"/>
        <w:rPr>
          <w:snapToGrid w:val="0"/>
        </w:rPr>
      </w:pPr>
      <w:r w:rsidRPr="00B623DB">
        <w:rPr>
          <w:snapToGrid w:val="0"/>
        </w:rPr>
        <w:t>T</w:t>
      </w:r>
      <w:r w:rsidR="00B41A83" w:rsidRPr="00B623DB">
        <w:rPr>
          <w:snapToGrid w:val="0"/>
        </w:rPr>
        <w:t>he PBAC noted the ESC advice that approximately 20% of patients (based on the results of pooled data from studies D2306 and D2308) would require doses higher than 150 mg</w:t>
      </w:r>
      <w:r w:rsidR="001D6631" w:rsidRPr="00B623DB">
        <w:rPr>
          <w:snapToGrid w:val="0"/>
        </w:rPr>
        <w:t xml:space="preserve">. The PBAC also </w:t>
      </w:r>
      <w:r w:rsidR="005764C4" w:rsidRPr="00B623DB">
        <w:rPr>
          <w:snapToGrid w:val="0"/>
        </w:rPr>
        <w:t>noted the</w:t>
      </w:r>
      <w:r w:rsidR="00B41A83" w:rsidRPr="00B623DB">
        <w:rPr>
          <w:snapToGrid w:val="0"/>
        </w:rPr>
        <w:t xml:space="preserve"> </w:t>
      </w:r>
      <w:r w:rsidR="001D6631" w:rsidRPr="00B623DB">
        <w:rPr>
          <w:snapToGrid w:val="0"/>
        </w:rPr>
        <w:t xml:space="preserve">statements in the </w:t>
      </w:r>
      <w:r w:rsidR="00B41A83" w:rsidRPr="00B623DB">
        <w:rPr>
          <w:snapToGrid w:val="0"/>
        </w:rPr>
        <w:t xml:space="preserve">PSCR that based on the number of relevant PBS items for anakinra processed in 2016, approximately 7% </w:t>
      </w:r>
      <w:r w:rsidR="001D6631" w:rsidRPr="00B623DB">
        <w:rPr>
          <w:snapToGrid w:val="0"/>
        </w:rPr>
        <w:t xml:space="preserve">of scripts overall </w:t>
      </w:r>
      <w:r w:rsidR="00B41A83" w:rsidRPr="00B623DB">
        <w:rPr>
          <w:snapToGrid w:val="0"/>
        </w:rPr>
        <w:t>(2% of public hospital scripts and 11% of private hospital scripts) are dispensed with more than one vial</w:t>
      </w:r>
      <w:r w:rsidR="001D6631" w:rsidRPr="00B623DB">
        <w:rPr>
          <w:snapToGrid w:val="0"/>
        </w:rPr>
        <w:t xml:space="preserve"> and it is very unlikely that the availability of canakinumab on the PBS would have any influence on the extent to which this occurs</w:t>
      </w:r>
      <w:r w:rsidR="00B41A83" w:rsidRPr="00B623DB">
        <w:rPr>
          <w:snapToGrid w:val="0"/>
        </w:rPr>
        <w:t xml:space="preserve">. </w:t>
      </w:r>
      <w:r w:rsidR="007F1FC6" w:rsidRPr="00B623DB">
        <w:rPr>
          <w:snapToGrid w:val="0"/>
        </w:rPr>
        <w:t>The PBAC considered that the cost-minimisation should take account of the likely use of a higher number of vials in a proportion of both canakinumab and anakinra patients.</w:t>
      </w:r>
    </w:p>
    <w:p w:rsidR="004B62C6" w:rsidRPr="00B623DB" w:rsidRDefault="00141037" w:rsidP="005764C4">
      <w:pPr>
        <w:pStyle w:val="ListParagraph"/>
        <w:numPr>
          <w:ilvl w:val="1"/>
          <w:numId w:val="2"/>
        </w:numPr>
        <w:jc w:val="both"/>
        <w:rPr>
          <w:snapToGrid w:val="0"/>
        </w:rPr>
      </w:pPr>
      <w:r w:rsidRPr="00B623DB">
        <w:rPr>
          <w:snapToGrid w:val="0"/>
        </w:rPr>
        <w:t>The PB</w:t>
      </w:r>
      <w:r w:rsidR="00E879C4" w:rsidRPr="00B623DB">
        <w:rPr>
          <w:snapToGrid w:val="0"/>
        </w:rPr>
        <w:t xml:space="preserve">AC agreed with the ESC that </w:t>
      </w:r>
      <w:r w:rsidR="008F14B7" w:rsidRPr="00B623DB">
        <w:rPr>
          <w:snapToGrid w:val="0"/>
        </w:rPr>
        <w:t xml:space="preserve">additional consultations with </w:t>
      </w:r>
      <w:r w:rsidR="00610D31" w:rsidRPr="00B623DB">
        <w:rPr>
          <w:snapToGrid w:val="0"/>
        </w:rPr>
        <w:t>a physician</w:t>
      </w:r>
      <w:r w:rsidR="001E6BE7" w:rsidRPr="00B623DB">
        <w:rPr>
          <w:snapToGrid w:val="0"/>
        </w:rPr>
        <w:t xml:space="preserve"> would be required</w:t>
      </w:r>
      <w:r w:rsidR="00D942DF" w:rsidRPr="00B623DB">
        <w:rPr>
          <w:snapToGrid w:val="0"/>
        </w:rPr>
        <w:t xml:space="preserve"> for administering </w:t>
      </w:r>
      <w:r w:rsidR="00DD113B" w:rsidRPr="00B623DB">
        <w:rPr>
          <w:snapToGrid w:val="0"/>
        </w:rPr>
        <w:t xml:space="preserve">canakinumab </w:t>
      </w:r>
      <w:r w:rsidR="00D942DF" w:rsidRPr="00B623DB">
        <w:rPr>
          <w:snapToGrid w:val="0"/>
        </w:rPr>
        <w:t>given the complexi</w:t>
      </w:r>
      <w:r w:rsidR="00566C6B" w:rsidRPr="00B623DB">
        <w:rPr>
          <w:snapToGrid w:val="0"/>
        </w:rPr>
        <w:t xml:space="preserve">ty of reconstituting each vial. The </w:t>
      </w:r>
      <w:r w:rsidR="00FD1D01" w:rsidRPr="00B623DB">
        <w:rPr>
          <w:snapToGrid w:val="0"/>
        </w:rPr>
        <w:t>pre-PBAC response argued that the administration of canakinumab by a physician was unlikely to be a regular occurrence</w:t>
      </w:r>
      <w:r w:rsidR="00610D31" w:rsidRPr="00B623DB">
        <w:rPr>
          <w:snapToGrid w:val="0"/>
        </w:rPr>
        <w:t xml:space="preserve"> and </w:t>
      </w:r>
      <w:r w:rsidR="005B5D23" w:rsidRPr="00B623DB">
        <w:rPr>
          <w:snapToGrid w:val="0"/>
        </w:rPr>
        <w:t xml:space="preserve">argued a scenario where </w:t>
      </w:r>
      <w:r w:rsidR="005B5D23" w:rsidRPr="00B623DB">
        <w:t>the anakinra administration cost would more than offset any additional costs associated with administering canakinumab</w:t>
      </w:r>
      <w:r w:rsidR="00610D31" w:rsidRPr="00B623DB">
        <w:rPr>
          <w:snapToGrid w:val="0"/>
        </w:rPr>
        <w:t>. The PBAC</w:t>
      </w:r>
      <w:r w:rsidR="005764C4" w:rsidRPr="00B623DB">
        <w:rPr>
          <w:snapToGrid w:val="0"/>
        </w:rPr>
        <w:t xml:space="preserve"> did agree with the argument in pre-PBAC response that it was reasonable to assume 2% </w:t>
      </w:r>
      <w:r w:rsidR="005764C4" w:rsidRPr="00B623DB">
        <w:t xml:space="preserve">of all 56 injections for anakinra would be administered by a physician, </w:t>
      </w:r>
      <w:r w:rsidR="005B5D23" w:rsidRPr="00B623DB">
        <w:rPr>
          <w:snapToGrid w:val="0"/>
        </w:rPr>
        <w:t>not</w:t>
      </w:r>
      <w:r w:rsidR="005764C4" w:rsidRPr="00B623DB">
        <w:rPr>
          <w:snapToGrid w:val="0"/>
        </w:rPr>
        <w:t>ing the</w:t>
      </w:r>
      <w:r w:rsidR="005B5D23" w:rsidRPr="00B623DB">
        <w:rPr>
          <w:snapToGrid w:val="0"/>
        </w:rPr>
        <w:t xml:space="preserve"> Product Information indicated there</w:t>
      </w:r>
      <w:r w:rsidR="00B64C6A" w:rsidRPr="00B623DB">
        <w:rPr>
          <w:snapToGrid w:val="0"/>
        </w:rPr>
        <w:t xml:space="preserve"> are</w:t>
      </w:r>
      <w:r w:rsidR="005B5D23" w:rsidRPr="00B623DB">
        <w:rPr>
          <w:snapToGrid w:val="0"/>
        </w:rPr>
        <w:t xml:space="preserve"> very limited</w:t>
      </w:r>
      <w:r w:rsidR="00B64C6A" w:rsidRPr="00B623DB">
        <w:rPr>
          <w:snapToGrid w:val="0"/>
        </w:rPr>
        <w:t xml:space="preserve"> circumstances in clinical practice where a physician may be required to administer the injections for anakinra</w:t>
      </w:r>
      <w:r w:rsidR="005764C4" w:rsidRPr="00B623DB">
        <w:rPr>
          <w:snapToGrid w:val="0"/>
        </w:rPr>
        <w:t xml:space="preserve">. </w:t>
      </w:r>
      <w:r w:rsidR="000447D2" w:rsidRPr="00B623DB">
        <w:rPr>
          <w:snapToGrid w:val="0"/>
        </w:rPr>
        <w:t>The PBAC</w:t>
      </w:r>
      <w:r w:rsidR="005764C4" w:rsidRPr="00B623DB">
        <w:rPr>
          <w:snapToGrid w:val="0"/>
        </w:rPr>
        <w:t xml:space="preserve"> disagreed with the pre-PBAC response and</w:t>
      </w:r>
      <w:r w:rsidR="000447D2" w:rsidRPr="00B623DB">
        <w:rPr>
          <w:snapToGrid w:val="0"/>
        </w:rPr>
        <w:t xml:space="preserve"> </w:t>
      </w:r>
      <w:r w:rsidR="00C6150C" w:rsidRPr="00B623DB">
        <w:rPr>
          <w:snapToGrid w:val="0"/>
        </w:rPr>
        <w:t xml:space="preserve">considered that </w:t>
      </w:r>
      <w:r w:rsidR="00A869E5" w:rsidRPr="00B623DB">
        <w:rPr>
          <w:snapToGrid w:val="0"/>
        </w:rPr>
        <w:t xml:space="preserve">it was likely that 100% of patients would seek professional aid in administering the injection. The PBAC </w:t>
      </w:r>
      <w:r w:rsidR="000447D2" w:rsidRPr="00B623DB">
        <w:rPr>
          <w:snapToGrid w:val="0"/>
        </w:rPr>
        <w:t>advised it would be appropriate to include</w:t>
      </w:r>
      <w:r w:rsidR="005B5D23" w:rsidRPr="00B623DB">
        <w:rPr>
          <w:snapToGrid w:val="0"/>
        </w:rPr>
        <w:t xml:space="preserve"> </w:t>
      </w:r>
      <w:r w:rsidR="001E6BE7" w:rsidRPr="00B623DB">
        <w:rPr>
          <w:snapToGrid w:val="0"/>
        </w:rPr>
        <w:t xml:space="preserve">a </w:t>
      </w:r>
      <w:r w:rsidR="000447D2" w:rsidRPr="00B623DB">
        <w:rPr>
          <w:snapToGrid w:val="0"/>
        </w:rPr>
        <w:t xml:space="preserve">cost </w:t>
      </w:r>
      <w:r w:rsidR="005B5D23" w:rsidRPr="00B623DB">
        <w:rPr>
          <w:snapToGrid w:val="0"/>
        </w:rPr>
        <w:t>in the cost-minimisation analysis for</w:t>
      </w:r>
      <w:r w:rsidR="00A869E5" w:rsidRPr="00B623DB">
        <w:rPr>
          <w:snapToGrid w:val="0"/>
        </w:rPr>
        <w:t xml:space="preserve"> </w:t>
      </w:r>
      <w:r w:rsidR="00A869E5" w:rsidRPr="00B623DB">
        <w:rPr>
          <w:szCs w:val="24"/>
        </w:rPr>
        <w:t>additional consultation</w:t>
      </w:r>
      <w:r w:rsidR="00DD113B" w:rsidRPr="00B623DB">
        <w:rPr>
          <w:szCs w:val="24"/>
        </w:rPr>
        <w:t>s</w:t>
      </w:r>
      <w:r w:rsidR="00A869E5" w:rsidRPr="00B623DB">
        <w:rPr>
          <w:szCs w:val="24"/>
        </w:rPr>
        <w:t xml:space="preserve"> with GPs or nurses for each </w:t>
      </w:r>
      <w:r w:rsidR="00E0554C" w:rsidRPr="00B623DB">
        <w:rPr>
          <w:szCs w:val="24"/>
        </w:rPr>
        <w:t>canakinumab</w:t>
      </w:r>
      <w:r w:rsidR="00A869E5" w:rsidRPr="00B623DB">
        <w:rPr>
          <w:szCs w:val="24"/>
        </w:rPr>
        <w:t xml:space="preserve"> treatment,</w:t>
      </w:r>
      <w:r w:rsidR="005B5D23" w:rsidRPr="00B623DB">
        <w:rPr>
          <w:szCs w:val="24"/>
        </w:rPr>
        <w:t xml:space="preserve"> though</w:t>
      </w:r>
      <w:r w:rsidR="00A869E5" w:rsidRPr="00B623DB">
        <w:rPr>
          <w:szCs w:val="24"/>
        </w:rPr>
        <w:t xml:space="preserve"> independent of dose</w:t>
      </w:r>
      <w:r w:rsidR="005B5D23" w:rsidRPr="00B623DB">
        <w:rPr>
          <w:szCs w:val="24"/>
        </w:rPr>
        <w:t xml:space="preserve"> given</w:t>
      </w:r>
      <w:r w:rsidR="009E038F" w:rsidRPr="00B623DB">
        <w:rPr>
          <w:szCs w:val="24"/>
        </w:rPr>
        <w:t>, but</w:t>
      </w:r>
      <w:r w:rsidR="00A869E5" w:rsidRPr="00B623DB">
        <w:rPr>
          <w:szCs w:val="24"/>
        </w:rPr>
        <w:t xml:space="preserve"> not for </w:t>
      </w:r>
      <w:r w:rsidR="009E038F" w:rsidRPr="00B623DB">
        <w:rPr>
          <w:szCs w:val="24"/>
        </w:rPr>
        <w:t xml:space="preserve">treatment with </w:t>
      </w:r>
      <w:r w:rsidR="005764C4" w:rsidRPr="00B623DB">
        <w:rPr>
          <w:szCs w:val="24"/>
        </w:rPr>
        <w:t xml:space="preserve">anakinra. </w:t>
      </w:r>
      <w:r w:rsidR="001E6BE7" w:rsidRPr="00B623DB">
        <w:rPr>
          <w:snapToGrid w:val="0"/>
        </w:rPr>
        <w:t>The PBAC considered that this would result in an additional cost to the MBS on listing</w:t>
      </w:r>
      <w:r w:rsidR="00DD113B" w:rsidRPr="00B623DB">
        <w:rPr>
          <w:snapToGrid w:val="0"/>
        </w:rPr>
        <w:t>.</w:t>
      </w:r>
    </w:p>
    <w:p w:rsidR="00384480" w:rsidRPr="00B623DB" w:rsidRDefault="00384480" w:rsidP="005764C4">
      <w:pPr>
        <w:pStyle w:val="ListParagraph"/>
        <w:numPr>
          <w:ilvl w:val="1"/>
          <w:numId w:val="2"/>
        </w:numPr>
        <w:jc w:val="both"/>
        <w:rPr>
          <w:snapToGrid w:val="0"/>
        </w:rPr>
      </w:pPr>
      <w:r w:rsidRPr="00B623DB">
        <w:rPr>
          <w:snapToGrid w:val="0"/>
        </w:rPr>
        <w:t xml:space="preserve">The PBAC recalled that at its November 2014 meeting when it recommended the listing of anakinra for moderate to severe CAPS, it considered there was a risk that anakinra would be used outside the restriction to treat rheumatoid arthritis and mild forms of CAPS. The PBAC also </w:t>
      </w:r>
      <w:r w:rsidR="006B309C" w:rsidRPr="00B623DB">
        <w:rPr>
          <w:snapToGrid w:val="0"/>
        </w:rPr>
        <w:t>note</w:t>
      </w:r>
      <w:r w:rsidRPr="00B623DB">
        <w:rPr>
          <w:snapToGrid w:val="0"/>
        </w:rPr>
        <w:t xml:space="preserve"> that the</w:t>
      </w:r>
      <w:r w:rsidR="006B309C" w:rsidRPr="00B623DB">
        <w:rPr>
          <w:snapToGrid w:val="0"/>
        </w:rPr>
        <w:t xml:space="preserve"> recommended</w:t>
      </w:r>
      <w:r w:rsidRPr="00B623DB">
        <w:rPr>
          <w:snapToGrid w:val="0"/>
        </w:rPr>
        <w:t xml:space="preserve"> listing of canakinumab for the treatment of systemic juvenile idiopathic arthritis (SJIA) at its March 2015 meeting is yet to be implemented. The PBAC considered there was a risk that canakinumab would be used outside of the proposed PBS restriction, in this case for the treatment of mild</w:t>
      </w:r>
      <w:r w:rsidR="006B309C" w:rsidRPr="00B623DB">
        <w:rPr>
          <w:snapToGrid w:val="0"/>
        </w:rPr>
        <w:t xml:space="preserve"> forms of CAPS and in</w:t>
      </w:r>
      <w:r w:rsidRPr="00B623DB">
        <w:rPr>
          <w:snapToGrid w:val="0"/>
        </w:rPr>
        <w:t xml:space="preserve"> </w:t>
      </w:r>
      <w:r w:rsidR="006B309C" w:rsidRPr="00B623DB">
        <w:rPr>
          <w:snapToGrid w:val="0"/>
        </w:rPr>
        <w:t>S</w:t>
      </w:r>
      <w:r w:rsidRPr="00B623DB">
        <w:rPr>
          <w:snapToGrid w:val="0"/>
        </w:rPr>
        <w:t xml:space="preserve">JIA. The PBAC advised that the sponsor of canakinumab should join the existing Risk Share Arrangement for the treatment of CAPS. The PBAC would welcome </w:t>
      </w:r>
      <w:r w:rsidR="006B3040" w:rsidRPr="00B623DB">
        <w:rPr>
          <w:snapToGrid w:val="0"/>
        </w:rPr>
        <w:t xml:space="preserve">the implementation of the listing for the treatment of </w:t>
      </w:r>
      <w:r w:rsidR="006B309C" w:rsidRPr="00B623DB">
        <w:rPr>
          <w:snapToGrid w:val="0"/>
        </w:rPr>
        <w:t>SJIA</w:t>
      </w:r>
      <w:r w:rsidR="005B5D23" w:rsidRPr="00B623DB">
        <w:rPr>
          <w:snapToGrid w:val="0"/>
        </w:rPr>
        <w:t xml:space="preserve">, but considered, upon </w:t>
      </w:r>
      <w:r w:rsidR="006B309C" w:rsidRPr="00B623DB">
        <w:rPr>
          <w:snapToGrid w:val="0"/>
        </w:rPr>
        <w:t>this additional</w:t>
      </w:r>
      <w:r w:rsidR="005B5D23" w:rsidRPr="00B623DB">
        <w:rPr>
          <w:snapToGrid w:val="0"/>
        </w:rPr>
        <w:t xml:space="preserve"> listing</w:t>
      </w:r>
      <w:r w:rsidR="00DD113B" w:rsidRPr="00B623DB">
        <w:rPr>
          <w:snapToGrid w:val="0"/>
        </w:rPr>
        <w:t xml:space="preserve"> there was the potential for</w:t>
      </w:r>
      <w:r w:rsidR="005B5D23" w:rsidRPr="00B623DB">
        <w:rPr>
          <w:snapToGrid w:val="0"/>
        </w:rPr>
        <w:t xml:space="preserve"> some use of canakinumab outside</w:t>
      </w:r>
      <w:r w:rsidR="00DD113B" w:rsidRPr="00B623DB">
        <w:rPr>
          <w:snapToGrid w:val="0"/>
        </w:rPr>
        <w:t xml:space="preserve"> the</w:t>
      </w:r>
      <w:r w:rsidR="005B5D23" w:rsidRPr="00B623DB">
        <w:rPr>
          <w:snapToGrid w:val="0"/>
        </w:rPr>
        <w:t xml:space="preserve"> two PBS listing</w:t>
      </w:r>
      <w:r w:rsidR="00434000" w:rsidRPr="00B623DB">
        <w:rPr>
          <w:snapToGrid w:val="0"/>
        </w:rPr>
        <w:t>s</w:t>
      </w:r>
      <w:r w:rsidR="006B3040" w:rsidRPr="00B623DB">
        <w:rPr>
          <w:snapToGrid w:val="0"/>
        </w:rPr>
        <w:t xml:space="preserve">. </w:t>
      </w:r>
    </w:p>
    <w:p w:rsidR="005B5D23" w:rsidRPr="00B623DB" w:rsidRDefault="005B5D23" w:rsidP="005764C4">
      <w:pPr>
        <w:pStyle w:val="ListParagraph"/>
        <w:numPr>
          <w:ilvl w:val="1"/>
          <w:numId w:val="2"/>
        </w:numPr>
        <w:jc w:val="both"/>
        <w:rPr>
          <w:snapToGrid w:val="0"/>
        </w:rPr>
      </w:pPr>
      <w:r w:rsidRPr="00B623DB">
        <w:rPr>
          <w:snapToGrid w:val="0"/>
        </w:rPr>
        <w:t>Noting its concerns above regarding the proportion of patients requiring a higher dose, the increased risk of use outside the proposed restriction and uptake rates, the PBAC considered that overall the utilisation estimates presented in the submission may be underestimated. The PBAC agreed with the ESC that the proposed savings in the submission would unlikely be realised.</w:t>
      </w:r>
    </w:p>
    <w:p w:rsidR="00B31F0A" w:rsidRPr="00B623DB" w:rsidRDefault="00B31F0A" w:rsidP="005764C4">
      <w:pPr>
        <w:pStyle w:val="ListParagraph"/>
        <w:numPr>
          <w:ilvl w:val="1"/>
          <w:numId w:val="2"/>
        </w:numPr>
        <w:jc w:val="both"/>
        <w:rPr>
          <w:snapToGrid w:val="0"/>
        </w:rPr>
      </w:pPr>
      <w:r w:rsidRPr="00B623DB">
        <w:rPr>
          <w:snapToGrid w:val="0"/>
        </w:rPr>
        <w:t xml:space="preserve">The PBAC advised that canakinumab is not suitable for prescribing by nurse </w:t>
      </w:r>
      <w:r w:rsidR="008C4692" w:rsidRPr="00B623DB">
        <w:rPr>
          <w:snapToGrid w:val="0"/>
        </w:rPr>
        <w:t xml:space="preserve">practitioners, </w:t>
      </w:r>
      <w:r w:rsidR="00E0554C" w:rsidRPr="00B623DB">
        <w:rPr>
          <w:snapToGrid w:val="0"/>
        </w:rPr>
        <w:t>as drugs</w:t>
      </w:r>
      <w:r w:rsidR="007A5CC3" w:rsidRPr="00B623DB">
        <w:t xml:space="preserve"> listed under Section 100 (Highly Specialised Drugs Program) are currently out of scope for prescribing by Nurse Practitioners</w:t>
      </w:r>
      <w:r w:rsidR="00AF0573" w:rsidRPr="00B623DB">
        <w:t>.</w:t>
      </w:r>
    </w:p>
    <w:p w:rsidR="00B31F0A" w:rsidRPr="00B623DB" w:rsidRDefault="00B31F0A" w:rsidP="005764C4">
      <w:pPr>
        <w:pStyle w:val="ListParagraph"/>
        <w:numPr>
          <w:ilvl w:val="1"/>
          <w:numId w:val="2"/>
        </w:numPr>
        <w:jc w:val="both"/>
        <w:rPr>
          <w:snapToGrid w:val="0"/>
        </w:rPr>
      </w:pPr>
      <w:r w:rsidRPr="00B623DB">
        <w:rPr>
          <w:snapToGrid w:val="0"/>
        </w:rPr>
        <w:t xml:space="preserve">The PBAC advised that, under subsection 101(3BA) of the National Health Act, 1953 canakinumab should not be treated as interchangeable on an individual patient basis with any other drugs. </w:t>
      </w:r>
    </w:p>
    <w:p w:rsidR="00042444" w:rsidRPr="00B623DB" w:rsidRDefault="00042444" w:rsidP="005764C4">
      <w:pPr>
        <w:pStyle w:val="ListParagraph"/>
        <w:numPr>
          <w:ilvl w:val="1"/>
          <w:numId w:val="2"/>
        </w:numPr>
        <w:jc w:val="both"/>
        <w:rPr>
          <w:snapToGrid w:val="0"/>
        </w:rPr>
      </w:pPr>
      <w:r w:rsidRPr="00B623DB">
        <w:rPr>
          <w:snapToGrid w:val="0"/>
        </w:rPr>
        <w:t xml:space="preserve">The PBAC advised that the Early Supply Rule should not apply to this listing of canakinumab, noting that currently the Rule does not apply to anakinra and that </w:t>
      </w:r>
      <w:r w:rsidR="008C4692" w:rsidRPr="00B623DB">
        <w:rPr>
          <w:snapToGrid w:val="0"/>
        </w:rPr>
        <w:t>the maximum</w:t>
      </w:r>
      <w:r w:rsidRPr="00B623DB">
        <w:rPr>
          <w:snapToGrid w:val="0"/>
        </w:rPr>
        <w:t xml:space="preserve"> quantity may not be sufficient for one month supply for patients requiring an intensified dosing regimen.</w:t>
      </w:r>
    </w:p>
    <w:p w:rsidR="00661DC4" w:rsidRPr="00B623DB" w:rsidRDefault="00B31F0A" w:rsidP="005764C4">
      <w:pPr>
        <w:pStyle w:val="ListParagraph"/>
        <w:numPr>
          <w:ilvl w:val="1"/>
          <w:numId w:val="2"/>
        </w:numPr>
        <w:jc w:val="both"/>
        <w:rPr>
          <w:snapToGrid w:val="0"/>
        </w:rPr>
      </w:pPr>
      <w:r w:rsidRPr="00B623DB">
        <w:rPr>
          <w:snapToGrid w:val="0"/>
        </w:rPr>
        <w:t>The PBAC noted that this submission is not eligible for an Independent Review</w:t>
      </w:r>
      <w:r w:rsidR="006B3040" w:rsidRPr="00B623DB">
        <w:rPr>
          <w:snapToGrid w:val="0"/>
        </w:rPr>
        <w:t>, as the listing was recommended</w:t>
      </w:r>
      <w:r w:rsidRPr="00B623DB">
        <w:rPr>
          <w:snapToGrid w:val="0"/>
        </w:rPr>
        <w:t>.</w:t>
      </w:r>
    </w:p>
    <w:p w:rsidR="00A137F5" w:rsidRPr="00B623DB" w:rsidRDefault="00A137F5" w:rsidP="00A137F5">
      <w:pPr>
        <w:spacing w:before="240" w:after="120"/>
        <w:jc w:val="both"/>
        <w:rPr>
          <w:rFonts w:ascii="Calibri" w:eastAsia="Times New Roman" w:hAnsi="Calibri" w:cs="Arial"/>
          <w:b/>
          <w:bCs/>
          <w:snapToGrid w:val="0"/>
          <w:szCs w:val="24"/>
        </w:rPr>
      </w:pPr>
      <w:r w:rsidRPr="00B623DB">
        <w:rPr>
          <w:rFonts w:ascii="Calibri" w:eastAsia="Times New Roman" w:hAnsi="Calibri" w:cs="Arial"/>
          <w:b/>
          <w:bCs/>
          <w:snapToGrid w:val="0"/>
          <w:szCs w:val="24"/>
        </w:rPr>
        <w:t>Outcome:</w:t>
      </w:r>
    </w:p>
    <w:p w:rsidR="00A137F5" w:rsidRPr="00B623DB" w:rsidRDefault="00A137F5" w:rsidP="00A137F5">
      <w:pPr>
        <w:spacing w:before="0" w:after="120"/>
        <w:jc w:val="both"/>
        <w:rPr>
          <w:rFonts w:ascii="Calibri" w:eastAsia="Times New Roman" w:hAnsi="Calibri" w:cs="Arial"/>
          <w:bCs/>
          <w:snapToGrid w:val="0"/>
          <w:szCs w:val="24"/>
        </w:rPr>
      </w:pPr>
      <w:r w:rsidRPr="00B623DB">
        <w:rPr>
          <w:rFonts w:ascii="Calibri" w:eastAsia="Times New Roman" w:hAnsi="Calibri" w:cs="Arial"/>
          <w:bCs/>
          <w:snapToGrid w:val="0"/>
          <w:szCs w:val="24"/>
        </w:rPr>
        <w:t xml:space="preserve">Recommended </w:t>
      </w:r>
    </w:p>
    <w:p w:rsidR="00A137F5" w:rsidRPr="003F6A04" w:rsidRDefault="00A137F5" w:rsidP="003F6A04">
      <w:pPr>
        <w:pStyle w:val="PBACHeading1"/>
        <w:outlineLvl w:val="0"/>
        <w:rPr>
          <w:rFonts w:asciiTheme="minorHAnsi" w:hAnsiTheme="minorHAnsi"/>
          <w:sz w:val="32"/>
          <w:szCs w:val="32"/>
        </w:rPr>
      </w:pPr>
      <w:r w:rsidRPr="003F6A04">
        <w:rPr>
          <w:rFonts w:asciiTheme="minorHAnsi" w:hAnsiTheme="minorHAnsi"/>
          <w:sz w:val="32"/>
          <w:szCs w:val="32"/>
        </w:rPr>
        <w:t>Recommended listing</w:t>
      </w:r>
    </w:p>
    <w:p w:rsidR="00A137F5" w:rsidRPr="00B623DB" w:rsidRDefault="00A137F5" w:rsidP="002B1D76">
      <w:pPr>
        <w:widowControl w:val="0"/>
        <w:numPr>
          <w:ilvl w:val="1"/>
          <w:numId w:val="2"/>
        </w:numPr>
        <w:spacing w:before="0" w:after="120"/>
        <w:jc w:val="both"/>
        <w:rPr>
          <w:rFonts w:ascii="Calibri" w:eastAsia="Times New Roman" w:hAnsi="Calibri" w:cs="Arial"/>
          <w:b/>
          <w:bCs/>
          <w:snapToGrid w:val="0"/>
          <w:szCs w:val="24"/>
        </w:rPr>
      </w:pPr>
      <w:r w:rsidRPr="00B623DB">
        <w:rPr>
          <w:rFonts w:ascii="Calibri" w:eastAsia="Times New Roman" w:hAnsi="Calibri" w:cs="Arial"/>
          <w:bCs/>
          <w:snapToGrid w:val="0"/>
          <w:szCs w:val="24"/>
        </w:rPr>
        <w:t>Add new item:</w:t>
      </w:r>
    </w:p>
    <w:tbl>
      <w:tblPr>
        <w:tblW w:w="5000" w:type="pct"/>
        <w:tblCellMar>
          <w:left w:w="28" w:type="dxa"/>
          <w:right w:w="28" w:type="dxa"/>
        </w:tblCellMar>
        <w:tblLook w:val="0000" w:firstRow="0" w:lastRow="0" w:firstColumn="0" w:lastColumn="0" w:noHBand="0" w:noVBand="0"/>
      </w:tblPr>
      <w:tblGrid>
        <w:gridCol w:w="25"/>
        <w:gridCol w:w="1978"/>
        <w:gridCol w:w="1366"/>
        <w:gridCol w:w="763"/>
        <w:gridCol w:w="921"/>
        <w:gridCol w:w="4029"/>
      </w:tblGrid>
      <w:tr w:rsidR="00677D18" w:rsidRPr="00B623DB" w:rsidTr="00677D18">
        <w:trPr>
          <w:cantSplit/>
          <w:trHeight w:val="463"/>
        </w:trPr>
        <w:tc>
          <w:tcPr>
            <w:tcW w:w="1855" w:type="pct"/>
            <w:gridSpan w:val="3"/>
            <w:tcBorders>
              <w:bottom w:val="single" w:sz="4" w:space="0" w:color="auto"/>
            </w:tcBorders>
            <w:vAlign w:val="center"/>
          </w:tcPr>
          <w:p w:rsidR="00677D18" w:rsidRPr="00B623DB" w:rsidRDefault="00677D18" w:rsidP="00F748BB">
            <w:pPr>
              <w:pStyle w:val="TableText"/>
              <w:rPr>
                <w:b/>
              </w:rPr>
            </w:pPr>
            <w:r w:rsidRPr="00B623DB">
              <w:rPr>
                <w:b/>
              </w:rPr>
              <w:t>Name, Restriction,</w:t>
            </w:r>
          </w:p>
          <w:p w:rsidR="00677D18" w:rsidRPr="00B623DB" w:rsidRDefault="00677D18" w:rsidP="00F748BB">
            <w:pPr>
              <w:pStyle w:val="TableText"/>
              <w:rPr>
                <w:b/>
              </w:rPr>
            </w:pPr>
            <w:r w:rsidRPr="00B623DB">
              <w:rPr>
                <w:b/>
              </w:rPr>
              <w:t>Manner of administration and form</w:t>
            </w:r>
          </w:p>
        </w:tc>
        <w:tc>
          <w:tcPr>
            <w:tcW w:w="420" w:type="pct"/>
            <w:tcBorders>
              <w:bottom w:val="single" w:sz="4" w:space="0" w:color="auto"/>
            </w:tcBorders>
            <w:vAlign w:val="center"/>
          </w:tcPr>
          <w:p w:rsidR="00677D18" w:rsidRPr="00B623DB" w:rsidRDefault="00677D18" w:rsidP="00F748BB">
            <w:pPr>
              <w:pStyle w:val="TableText"/>
              <w:rPr>
                <w:b/>
              </w:rPr>
            </w:pPr>
            <w:r w:rsidRPr="00B623DB">
              <w:rPr>
                <w:b/>
              </w:rPr>
              <w:t>Max.</w:t>
            </w:r>
          </w:p>
          <w:p w:rsidR="00677D18" w:rsidRPr="00B623DB" w:rsidRDefault="00677D18" w:rsidP="00F748BB">
            <w:pPr>
              <w:pStyle w:val="TableText"/>
              <w:rPr>
                <w:b/>
              </w:rPr>
            </w:pPr>
            <w:r w:rsidRPr="00B623DB">
              <w:rPr>
                <w:b/>
              </w:rPr>
              <w:t>Qty</w:t>
            </w:r>
          </w:p>
        </w:tc>
        <w:tc>
          <w:tcPr>
            <w:tcW w:w="507" w:type="pct"/>
            <w:tcBorders>
              <w:bottom w:val="single" w:sz="4" w:space="0" w:color="auto"/>
            </w:tcBorders>
            <w:vAlign w:val="center"/>
          </w:tcPr>
          <w:p w:rsidR="00677D18" w:rsidRPr="00B623DB" w:rsidRDefault="00677D18" w:rsidP="00F748BB">
            <w:pPr>
              <w:pStyle w:val="TableText"/>
              <w:rPr>
                <w:b/>
              </w:rPr>
            </w:pPr>
            <w:r w:rsidRPr="00B623DB">
              <w:rPr>
                <w:b/>
              </w:rPr>
              <w:t>№.of</w:t>
            </w:r>
          </w:p>
          <w:p w:rsidR="00677D18" w:rsidRPr="00B623DB" w:rsidRDefault="00677D18" w:rsidP="00F748BB">
            <w:pPr>
              <w:pStyle w:val="TableText"/>
              <w:rPr>
                <w:b/>
              </w:rPr>
            </w:pPr>
            <w:r w:rsidRPr="00B623DB">
              <w:rPr>
                <w:b/>
              </w:rPr>
              <w:t>Rpts</w:t>
            </w:r>
          </w:p>
        </w:tc>
        <w:tc>
          <w:tcPr>
            <w:tcW w:w="2218" w:type="pct"/>
            <w:tcBorders>
              <w:bottom w:val="single" w:sz="4" w:space="0" w:color="auto"/>
            </w:tcBorders>
            <w:vAlign w:val="center"/>
          </w:tcPr>
          <w:p w:rsidR="00677D18" w:rsidRPr="00B623DB" w:rsidRDefault="00677D18" w:rsidP="00F748BB">
            <w:pPr>
              <w:pStyle w:val="TableText"/>
              <w:rPr>
                <w:b/>
              </w:rPr>
            </w:pPr>
            <w:r w:rsidRPr="00B623DB">
              <w:rPr>
                <w:b/>
              </w:rPr>
              <w:t>Proprietary Name and Manufacturer</w:t>
            </w:r>
          </w:p>
        </w:tc>
      </w:tr>
      <w:tr w:rsidR="00677D18" w:rsidRPr="00B623DB" w:rsidTr="00677D18">
        <w:trPr>
          <w:cantSplit/>
          <w:trHeight w:val="567"/>
        </w:trPr>
        <w:tc>
          <w:tcPr>
            <w:tcW w:w="1855" w:type="pct"/>
            <w:gridSpan w:val="3"/>
          </w:tcPr>
          <w:p w:rsidR="00677D18" w:rsidRPr="00B623DB" w:rsidRDefault="00677D18" w:rsidP="00F748BB">
            <w:pPr>
              <w:pStyle w:val="TableText"/>
            </w:pPr>
            <w:r w:rsidRPr="00B623DB">
              <w:rPr>
                <w:b/>
              </w:rPr>
              <w:t>Canakinumab, 150 mg/1 mL, white solid lyophilisate powder 150 mg for subcutaneous injection</w:t>
            </w:r>
          </w:p>
        </w:tc>
        <w:tc>
          <w:tcPr>
            <w:tcW w:w="420" w:type="pct"/>
          </w:tcPr>
          <w:p w:rsidR="00677D18" w:rsidRPr="00B623DB" w:rsidRDefault="00677D18" w:rsidP="00F748BB">
            <w:pPr>
              <w:pStyle w:val="TableText"/>
            </w:pPr>
            <w:r w:rsidRPr="00B623DB">
              <w:t>1</w:t>
            </w:r>
          </w:p>
        </w:tc>
        <w:tc>
          <w:tcPr>
            <w:tcW w:w="507" w:type="pct"/>
          </w:tcPr>
          <w:p w:rsidR="00677D18" w:rsidRPr="00B623DB" w:rsidRDefault="00677D18" w:rsidP="00F748BB">
            <w:pPr>
              <w:pStyle w:val="TableText"/>
            </w:pPr>
            <w:r w:rsidRPr="00B623DB">
              <w:t>2</w:t>
            </w:r>
          </w:p>
        </w:tc>
        <w:tc>
          <w:tcPr>
            <w:tcW w:w="2218" w:type="pct"/>
          </w:tcPr>
          <w:p w:rsidR="00677D18" w:rsidRPr="00B623DB" w:rsidRDefault="00677D18" w:rsidP="00F748BB">
            <w:pPr>
              <w:pStyle w:val="Tabletext0"/>
            </w:pPr>
            <w:r w:rsidRPr="00B623DB">
              <w:t xml:space="preserve">Ilaris </w:t>
            </w:r>
            <w:r w:rsidRPr="00B623DB">
              <w:rPr>
                <w:vertAlign w:val="superscript"/>
              </w:rPr>
              <w:t>®</w:t>
            </w:r>
          </w:p>
          <w:p w:rsidR="00677D18" w:rsidRPr="00B623DB" w:rsidRDefault="00677D18" w:rsidP="00F748BB">
            <w:pPr>
              <w:pStyle w:val="TableText"/>
            </w:pPr>
            <w:r w:rsidRPr="00B623DB">
              <w:t>Novartis Pharmaceuticals</w:t>
            </w:r>
          </w:p>
        </w:tc>
      </w:tr>
      <w:tr w:rsidR="00263A60" w:rsidRPr="00B623DB" w:rsidTr="00677D1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263A60" w:rsidRPr="00B623DB" w:rsidRDefault="00263A60" w:rsidP="00F748BB">
            <w:pPr>
              <w:pStyle w:val="TableText"/>
            </w:pPr>
            <w:r w:rsidRPr="00B623DB">
              <w:t>Category / Program:</w:t>
            </w:r>
          </w:p>
        </w:tc>
        <w:tc>
          <w:tcPr>
            <w:tcW w:w="3897" w:type="pct"/>
            <w:gridSpan w:val="4"/>
            <w:tcBorders>
              <w:top w:val="single" w:sz="4" w:space="0" w:color="auto"/>
              <w:left w:val="single" w:sz="4" w:space="0" w:color="auto"/>
              <w:bottom w:val="single" w:sz="4" w:space="0" w:color="auto"/>
              <w:right w:val="single" w:sz="4" w:space="0" w:color="auto"/>
            </w:tcBorders>
          </w:tcPr>
          <w:p w:rsidR="00263A60" w:rsidRPr="00B623DB" w:rsidRDefault="00263A60" w:rsidP="00F748BB">
            <w:pPr>
              <w:pStyle w:val="TableText"/>
            </w:pPr>
            <w:r w:rsidRPr="00B623DB">
              <w:t>Section 100 (Highly Specialised Drugs Program)</w:t>
            </w:r>
            <w:r w:rsidR="000620C2" w:rsidRPr="00B623DB">
              <w:t xml:space="preserve"> Public and Private</w:t>
            </w:r>
          </w:p>
        </w:tc>
      </w:tr>
      <w:tr w:rsidR="00677D18" w:rsidRPr="00B623DB" w:rsidTr="00677D1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677D18" w:rsidRPr="00B623DB" w:rsidRDefault="00677D18" w:rsidP="00F748BB">
            <w:pPr>
              <w:pStyle w:val="TableText"/>
            </w:pPr>
            <w:r w:rsidRPr="00B623DB">
              <w:t>Prescriber type:</w:t>
            </w:r>
          </w:p>
        </w:tc>
        <w:tc>
          <w:tcPr>
            <w:tcW w:w="3897" w:type="pct"/>
            <w:gridSpan w:val="4"/>
            <w:tcBorders>
              <w:top w:val="single" w:sz="4" w:space="0" w:color="auto"/>
              <w:left w:val="single" w:sz="4" w:space="0" w:color="auto"/>
              <w:bottom w:val="single" w:sz="4" w:space="0" w:color="auto"/>
              <w:right w:val="single" w:sz="4" w:space="0" w:color="auto"/>
            </w:tcBorders>
          </w:tcPr>
          <w:p w:rsidR="00677D18" w:rsidRPr="00B623DB" w:rsidRDefault="00677D18" w:rsidP="00677D18">
            <w:pPr>
              <w:widowControl w:val="0"/>
              <w:spacing w:before="0" w:after="0"/>
              <w:jc w:val="both"/>
              <w:rPr>
                <w:rFonts w:ascii="Arial Narrow" w:eastAsia="Times New Roman" w:hAnsi="Arial Narrow" w:cs="Arial"/>
                <w:snapToGrid w:val="0"/>
                <w:sz w:val="20"/>
                <w:szCs w:val="20"/>
              </w:rPr>
            </w:pPr>
            <w:r w:rsidRPr="0034605D">
              <w:rPr>
                <w:rFonts w:ascii="Arial Narrow" w:eastAsia="Times New Roman" w:hAnsi="Arial Narrow" w:cs="Arial"/>
                <w:snapToGrid w:val="0"/>
                <w:sz w:val="20"/>
                <w:szCs w:val="20"/>
              </w:rPr>
              <w:fldChar w:fldCharType="begin">
                <w:ffData>
                  <w:name w:val="Check1"/>
                  <w:enabled/>
                  <w:calcOnExit w:val="0"/>
                  <w:checkBox>
                    <w:sizeAuto/>
                    <w:default w:val="0"/>
                  </w:checkBox>
                </w:ffData>
              </w:fldChar>
            </w:r>
            <w:r w:rsidRPr="00B623DB">
              <w:rPr>
                <w:rFonts w:ascii="Arial Narrow" w:eastAsia="Times New Roman" w:hAnsi="Arial Narrow" w:cs="Arial"/>
                <w:snapToGrid w:val="0"/>
                <w:sz w:val="20"/>
                <w:szCs w:val="20"/>
              </w:rPr>
              <w:instrText xml:space="preserve"> FORMCHECKBOX </w:instrText>
            </w:r>
            <w:r w:rsidR="00EA0C20">
              <w:rPr>
                <w:rFonts w:ascii="Arial Narrow" w:eastAsia="Times New Roman" w:hAnsi="Arial Narrow" w:cs="Arial"/>
                <w:snapToGrid w:val="0"/>
                <w:sz w:val="20"/>
                <w:szCs w:val="20"/>
              </w:rPr>
            </w:r>
            <w:r w:rsidR="00EA0C20">
              <w:rPr>
                <w:rFonts w:ascii="Arial Narrow" w:eastAsia="Times New Roman" w:hAnsi="Arial Narrow" w:cs="Arial"/>
                <w:snapToGrid w:val="0"/>
                <w:sz w:val="20"/>
                <w:szCs w:val="20"/>
              </w:rPr>
              <w:fldChar w:fldCharType="separate"/>
            </w:r>
            <w:r w:rsidRPr="0034605D">
              <w:rPr>
                <w:rFonts w:ascii="Arial Narrow" w:eastAsia="Times New Roman" w:hAnsi="Arial Narrow" w:cs="Arial"/>
                <w:snapToGrid w:val="0"/>
                <w:sz w:val="20"/>
                <w:szCs w:val="20"/>
              </w:rPr>
              <w:fldChar w:fldCharType="end"/>
            </w:r>
            <w:r w:rsidRPr="00B623DB">
              <w:rPr>
                <w:rFonts w:ascii="Arial Narrow" w:eastAsia="Times New Roman" w:hAnsi="Arial Narrow" w:cs="Arial"/>
                <w:snapToGrid w:val="0"/>
                <w:sz w:val="20"/>
                <w:szCs w:val="20"/>
              </w:rPr>
              <w:t xml:space="preserve">Dental  </w:t>
            </w:r>
            <w:r w:rsidRPr="0034605D">
              <w:rPr>
                <w:rFonts w:ascii="Arial Narrow" w:eastAsia="Times New Roman" w:hAnsi="Arial Narrow" w:cs="Arial"/>
                <w:snapToGrid w:val="0"/>
                <w:sz w:val="20"/>
                <w:szCs w:val="20"/>
              </w:rPr>
              <w:fldChar w:fldCharType="begin">
                <w:ffData>
                  <w:name w:val=""/>
                  <w:enabled/>
                  <w:calcOnExit w:val="0"/>
                  <w:checkBox>
                    <w:sizeAuto/>
                    <w:default w:val="1"/>
                  </w:checkBox>
                </w:ffData>
              </w:fldChar>
            </w:r>
            <w:r w:rsidRPr="00B623DB">
              <w:rPr>
                <w:rFonts w:ascii="Arial Narrow" w:eastAsia="Times New Roman" w:hAnsi="Arial Narrow" w:cs="Arial"/>
                <w:snapToGrid w:val="0"/>
                <w:sz w:val="20"/>
                <w:szCs w:val="20"/>
              </w:rPr>
              <w:instrText xml:space="preserve"> FORMCHECKBOX </w:instrText>
            </w:r>
            <w:r w:rsidR="00EA0C20">
              <w:rPr>
                <w:rFonts w:ascii="Arial Narrow" w:eastAsia="Times New Roman" w:hAnsi="Arial Narrow" w:cs="Arial"/>
                <w:snapToGrid w:val="0"/>
                <w:sz w:val="20"/>
                <w:szCs w:val="20"/>
              </w:rPr>
            </w:r>
            <w:r w:rsidR="00EA0C20">
              <w:rPr>
                <w:rFonts w:ascii="Arial Narrow" w:eastAsia="Times New Roman" w:hAnsi="Arial Narrow" w:cs="Arial"/>
                <w:snapToGrid w:val="0"/>
                <w:sz w:val="20"/>
                <w:szCs w:val="20"/>
              </w:rPr>
              <w:fldChar w:fldCharType="separate"/>
            </w:r>
            <w:r w:rsidRPr="0034605D">
              <w:rPr>
                <w:rFonts w:ascii="Arial Narrow" w:eastAsia="Times New Roman" w:hAnsi="Arial Narrow" w:cs="Arial"/>
                <w:snapToGrid w:val="0"/>
                <w:sz w:val="20"/>
                <w:szCs w:val="20"/>
              </w:rPr>
              <w:fldChar w:fldCharType="end"/>
            </w:r>
            <w:r w:rsidRPr="00B623DB">
              <w:rPr>
                <w:rFonts w:ascii="Arial Narrow" w:eastAsia="Times New Roman" w:hAnsi="Arial Narrow" w:cs="Arial"/>
                <w:snapToGrid w:val="0"/>
                <w:sz w:val="20"/>
                <w:szCs w:val="20"/>
              </w:rPr>
              <w:t xml:space="preserve">Medical Practitioners  </w:t>
            </w:r>
            <w:r w:rsidRPr="0034605D">
              <w:rPr>
                <w:rFonts w:ascii="Arial Narrow" w:eastAsia="Times New Roman" w:hAnsi="Arial Narrow" w:cs="Arial"/>
                <w:snapToGrid w:val="0"/>
                <w:sz w:val="20"/>
                <w:szCs w:val="20"/>
              </w:rPr>
              <w:fldChar w:fldCharType="begin">
                <w:ffData>
                  <w:name w:val="Check3"/>
                  <w:enabled/>
                  <w:calcOnExit w:val="0"/>
                  <w:checkBox>
                    <w:sizeAuto/>
                    <w:default w:val="0"/>
                  </w:checkBox>
                </w:ffData>
              </w:fldChar>
            </w:r>
            <w:r w:rsidRPr="00B623DB">
              <w:rPr>
                <w:rFonts w:ascii="Arial Narrow" w:eastAsia="Times New Roman" w:hAnsi="Arial Narrow" w:cs="Arial"/>
                <w:snapToGrid w:val="0"/>
                <w:sz w:val="20"/>
                <w:szCs w:val="20"/>
              </w:rPr>
              <w:instrText xml:space="preserve"> FORMCHECKBOX </w:instrText>
            </w:r>
            <w:r w:rsidR="00EA0C20">
              <w:rPr>
                <w:rFonts w:ascii="Arial Narrow" w:eastAsia="Times New Roman" w:hAnsi="Arial Narrow" w:cs="Arial"/>
                <w:snapToGrid w:val="0"/>
                <w:sz w:val="20"/>
                <w:szCs w:val="20"/>
              </w:rPr>
            </w:r>
            <w:r w:rsidR="00EA0C20">
              <w:rPr>
                <w:rFonts w:ascii="Arial Narrow" w:eastAsia="Times New Roman" w:hAnsi="Arial Narrow" w:cs="Arial"/>
                <w:snapToGrid w:val="0"/>
                <w:sz w:val="20"/>
                <w:szCs w:val="20"/>
              </w:rPr>
              <w:fldChar w:fldCharType="separate"/>
            </w:r>
            <w:r w:rsidRPr="0034605D">
              <w:rPr>
                <w:rFonts w:ascii="Arial Narrow" w:eastAsia="Times New Roman" w:hAnsi="Arial Narrow" w:cs="Arial"/>
                <w:snapToGrid w:val="0"/>
                <w:sz w:val="20"/>
                <w:szCs w:val="20"/>
              </w:rPr>
              <w:fldChar w:fldCharType="end"/>
            </w:r>
            <w:r w:rsidRPr="00B623DB">
              <w:rPr>
                <w:rFonts w:ascii="Arial Narrow" w:eastAsia="Times New Roman" w:hAnsi="Arial Narrow" w:cs="Arial"/>
                <w:snapToGrid w:val="0"/>
                <w:sz w:val="20"/>
                <w:szCs w:val="20"/>
              </w:rPr>
              <w:t xml:space="preserve">Nurse practitioners  </w:t>
            </w:r>
          </w:p>
          <w:p w:rsidR="00677D18" w:rsidRPr="00B623DB" w:rsidRDefault="00677D18" w:rsidP="00677D18">
            <w:pPr>
              <w:pStyle w:val="TableText"/>
            </w:pPr>
            <w:r w:rsidRPr="0034605D">
              <w:rPr>
                <w:rFonts w:eastAsia="Times New Roman" w:cs="Arial"/>
                <w:snapToGrid w:val="0"/>
                <w:szCs w:val="20"/>
              </w:rPr>
              <w:fldChar w:fldCharType="begin">
                <w:ffData>
                  <w:name w:val=""/>
                  <w:enabled/>
                  <w:calcOnExit w:val="0"/>
                  <w:checkBox>
                    <w:sizeAuto/>
                    <w:default w:val="0"/>
                  </w:checkBox>
                </w:ffData>
              </w:fldChar>
            </w:r>
            <w:r w:rsidRPr="00B623DB">
              <w:rPr>
                <w:rFonts w:eastAsia="Times New Roman" w:cs="Arial"/>
                <w:snapToGrid w:val="0"/>
                <w:szCs w:val="20"/>
              </w:rPr>
              <w:instrText xml:space="preserve"> FORMCHECKBOX </w:instrText>
            </w:r>
            <w:r w:rsidR="00EA0C20">
              <w:rPr>
                <w:rFonts w:eastAsia="Times New Roman" w:cs="Arial"/>
                <w:snapToGrid w:val="0"/>
                <w:szCs w:val="20"/>
              </w:rPr>
            </w:r>
            <w:r w:rsidR="00EA0C20">
              <w:rPr>
                <w:rFonts w:eastAsia="Times New Roman" w:cs="Arial"/>
                <w:snapToGrid w:val="0"/>
                <w:szCs w:val="20"/>
              </w:rPr>
              <w:fldChar w:fldCharType="separate"/>
            </w:r>
            <w:r w:rsidRPr="0034605D">
              <w:rPr>
                <w:rFonts w:eastAsia="Times New Roman" w:cs="Arial"/>
                <w:snapToGrid w:val="0"/>
                <w:szCs w:val="20"/>
              </w:rPr>
              <w:fldChar w:fldCharType="end"/>
            </w:r>
            <w:r w:rsidRPr="00B623DB">
              <w:rPr>
                <w:rFonts w:eastAsia="Times New Roman" w:cs="Arial"/>
                <w:snapToGrid w:val="0"/>
                <w:szCs w:val="20"/>
              </w:rPr>
              <w:t xml:space="preserve">Optometrists </w:t>
            </w:r>
            <w:r w:rsidRPr="0034605D">
              <w:rPr>
                <w:rFonts w:eastAsia="Times New Roman" w:cs="Arial"/>
                <w:snapToGrid w:val="0"/>
                <w:szCs w:val="20"/>
              </w:rPr>
              <w:fldChar w:fldCharType="begin">
                <w:ffData>
                  <w:name w:val="Check5"/>
                  <w:enabled/>
                  <w:calcOnExit w:val="0"/>
                  <w:checkBox>
                    <w:sizeAuto/>
                    <w:default w:val="0"/>
                  </w:checkBox>
                </w:ffData>
              </w:fldChar>
            </w:r>
            <w:r w:rsidRPr="00B623DB">
              <w:rPr>
                <w:rFonts w:eastAsia="Times New Roman" w:cs="Arial"/>
                <w:snapToGrid w:val="0"/>
                <w:szCs w:val="20"/>
              </w:rPr>
              <w:instrText xml:space="preserve"> FORMCHECKBOX </w:instrText>
            </w:r>
            <w:r w:rsidR="00EA0C20">
              <w:rPr>
                <w:rFonts w:eastAsia="Times New Roman" w:cs="Arial"/>
                <w:snapToGrid w:val="0"/>
                <w:szCs w:val="20"/>
              </w:rPr>
            </w:r>
            <w:r w:rsidR="00EA0C20">
              <w:rPr>
                <w:rFonts w:eastAsia="Times New Roman" w:cs="Arial"/>
                <w:snapToGrid w:val="0"/>
                <w:szCs w:val="20"/>
              </w:rPr>
              <w:fldChar w:fldCharType="separate"/>
            </w:r>
            <w:r w:rsidRPr="0034605D">
              <w:rPr>
                <w:rFonts w:eastAsia="Times New Roman" w:cs="Arial"/>
                <w:snapToGrid w:val="0"/>
                <w:szCs w:val="20"/>
              </w:rPr>
              <w:fldChar w:fldCharType="end"/>
            </w:r>
            <w:r w:rsidRPr="00B623DB">
              <w:rPr>
                <w:rFonts w:eastAsia="Times New Roman" w:cs="Arial"/>
                <w:snapToGrid w:val="0"/>
                <w:szCs w:val="20"/>
              </w:rPr>
              <w:t xml:space="preserve">Midwives </w:t>
            </w:r>
          </w:p>
        </w:tc>
      </w:tr>
      <w:tr w:rsidR="00677D18" w:rsidRPr="00B623DB" w:rsidTr="00677D1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677D18" w:rsidRPr="00B623DB" w:rsidRDefault="00677D18" w:rsidP="00F748BB">
            <w:pPr>
              <w:pStyle w:val="TableText"/>
            </w:pPr>
            <w:r w:rsidRPr="00B623DB">
              <w:t>Severity:</w:t>
            </w:r>
          </w:p>
        </w:tc>
        <w:tc>
          <w:tcPr>
            <w:tcW w:w="3897" w:type="pct"/>
            <w:gridSpan w:val="4"/>
            <w:tcBorders>
              <w:top w:val="single" w:sz="4" w:space="0" w:color="auto"/>
              <w:left w:val="single" w:sz="4" w:space="0" w:color="auto"/>
              <w:bottom w:val="single" w:sz="4" w:space="0" w:color="auto"/>
              <w:right w:val="single" w:sz="4" w:space="0" w:color="auto"/>
            </w:tcBorders>
          </w:tcPr>
          <w:p w:rsidR="00677D18" w:rsidRPr="00B623DB" w:rsidRDefault="00677D18" w:rsidP="00677D18">
            <w:pPr>
              <w:widowControl w:val="0"/>
              <w:spacing w:before="0" w:after="0"/>
              <w:jc w:val="both"/>
              <w:rPr>
                <w:rFonts w:ascii="Arial Narrow" w:eastAsia="Times New Roman" w:hAnsi="Arial Narrow" w:cs="Arial"/>
                <w:snapToGrid w:val="0"/>
                <w:sz w:val="20"/>
                <w:szCs w:val="20"/>
              </w:rPr>
            </w:pPr>
            <w:r w:rsidRPr="00B623DB">
              <w:rPr>
                <w:rFonts w:ascii="Arial Narrow" w:eastAsia="Times New Roman" w:hAnsi="Arial Narrow" w:cs="Arial"/>
                <w:snapToGrid w:val="0"/>
                <w:sz w:val="20"/>
                <w:szCs w:val="20"/>
              </w:rPr>
              <w:t>Moderate to severe</w:t>
            </w:r>
            <w:r w:rsidR="000625AB" w:rsidRPr="00B623DB">
              <w:rPr>
                <w:rFonts w:ascii="Arial Narrow" w:eastAsia="Times New Roman" w:hAnsi="Arial Narrow" w:cs="Arial"/>
                <w:snapToGrid w:val="0"/>
                <w:sz w:val="20"/>
                <w:szCs w:val="20"/>
              </w:rPr>
              <w:t xml:space="preserve"> </w:t>
            </w:r>
          </w:p>
        </w:tc>
      </w:tr>
      <w:tr w:rsidR="00677D18" w:rsidRPr="00B623DB" w:rsidTr="00677D1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677D18" w:rsidRPr="00B623DB" w:rsidRDefault="00677D18" w:rsidP="00F748BB">
            <w:pPr>
              <w:pStyle w:val="TableText"/>
            </w:pPr>
            <w:r w:rsidRPr="00B623DB">
              <w:t>Condition:</w:t>
            </w:r>
          </w:p>
        </w:tc>
        <w:tc>
          <w:tcPr>
            <w:tcW w:w="3897" w:type="pct"/>
            <w:gridSpan w:val="4"/>
            <w:tcBorders>
              <w:top w:val="single" w:sz="4" w:space="0" w:color="auto"/>
              <w:left w:val="single" w:sz="4" w:space="0" w:color="auto"/>
              <w:bottom w:val="single" w:sz="4" w:space="0" w:color="auto"/>
              <w:right w:val="single" w:sz="4" w:space="0" w:color="auto"/>
            </w:tcBorders>
          </w:tcPr>
          <w:p w:rsidR="00677D18" w:rsidRPr="00B623DB" w:rsidRDefault="000625AB" w:rsidP="00677D18">
            <w:pPr>
              <w:widowControl w:val="0"/>
              <w:spacing w:before="0" w:after="0"/>
              <w:jc w:val="both"/>
              <w:rPr>
                <w:rFonts w:ascii="Arial Narrow" w:eastAsia="Times New Roman" w:hAnsi="Arial Narrow" w:cs="Arial"/>
                <w:snapToGrid w:val="0"/>
                <w:sz w:val="20"/>
                <w:szCs w:val="20"/>
              </w:rPr>
            </w:pPr>
            <w:r w:rsidRPr="00B623DB">
              <w:rPr>
                <w:rFonts w:ascii="Arial Narrow" w:eastAsia="Times New Roman" w:hAnsi="Arial Narrow" w:cs="Arial"/>
                <w:snapToGrid w:val="0"/>
                <w:sz w:val="20"/>
                <w:szCs w:val="20"/>
              </w:rPr>
              <w:t>cryopyrin associated periodic syndromes (CAPS)</w:t>
            </w:r>
          </w:p>
        </w:tc>
      </w:tr>
      <w:tr w:rsidR="00263A60" w:rsidRPr="00B623DB" w:rsidTr="00677D1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263A60" w:rsidRPr="00B623DB" w:rsidRDefault="00263A60" w:rsidP="00F748BB">
            <w:pPr>
              <w:pStyle w:val="TableText"/>
              <w:rPr>
                <w:rFonts w:ascii="Times" w:eastAsia="Times New Roman" w:hAnsi="Times" w:cs="Times New Roman"/>
                <w:szCs w:val="20"/>
              </w:rPr>
            </w:pPr>
            <w:r w:rsidRPr="00B623DB">
              <w:t>PBS Indication:</w:t>
            </w:r>
          </w:p>
        </w:tc>
        <w:tc>
          <w:tcPr>
            <w:tcW w:w="3897" w:type="pct"/>
            <w:gridSpan w:val="4"/>
            <w:tcBorders>
              <w:top w:val="single" w:sz="4" w:space="0" w:color="auto"/>
              <w:left w:val="single" w:sz="4" w:space="0" w:color="auto"/>
              <w:bottom w:val="single" w:sz="4" w:space="0" w:color="auto"/>
              <w:right w:val="single" w:sz="4" w:space="0" w:color="auto"/>
            </w:tcBorders>
          </w:tcPr>
          <w:p w:rsidR="00263A60" w:rsidRPr="00B623DB" w:rsidRDefault="00263A60" w:rsidP="00F748BB">
            <w:pPr>
              <w:pStyle w:val="TableText"/>
            </w:pPr>
            <w:r w:rsidRPr="00B623DB">
              <w:t>Moderate to severe cryopyrin associated periodic syndromes</w:t>
            </w:r>
          </w:p>
        </w:tc>
      </w:tr>
      <w:tr w:rsidR="00263A60" w:rsidRPr="00B623DB" w:rsidTr="00677D1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263A60" w:rsidRPr="00B623DB" w:rsidRDefault="00677D18" w:rsidP="00F748BB">
            <w:pPr>
              <w:pStyle w:val="TableText"/>
            </w:pPr>
            <w:r w:rsidRPr="00B623DB">
              <w:t>Restriction Level/Method:</w:t>
            </w:r>
          </w:p>
        </w:tc>
        <w:tc>
          <w:tcPr>
            <w:tcW w:w="3897" w:type="pct"/>
            <w:gridSpan w:val="4"/>
            <w:tcBorders>
              <w:top w:val="single" w:sz="4" w:space="0" w:color="auto"/>
              <w:left w:val="single" w:sz="4" w:space="0" w:color="auto"/>
              <w:bottom w:val="single" w:sz="4" w:space="0" w:color="auto"/>
              <w:right w:val="single" w:sz="4" w:space="0" w:color="auto"/>
            </w:tcBorders>
          </w:tcPr>
          <w:p w:rsidR="00677D18" w:rsidRPr="00B623DB" w:rsidRDefault="00677D18" w:rsidP="00677D18">
            <w:pPr>
              <w:widowControl w:val="0"/>
              <w:spacing w:before="0" w:after="0"/>
              <w:jc w:val="both"/>
              <w:rPr>
                <w:rFonts w:ascii="Arial Narrow" w:eastAsia="Times New Roman" w:hAnsi="Arial Narrow" w:cs="Arial"/>
                <w:snapToGrid w:val="0"/>
                <w:sz w:val="20"/>
                <w:szCs w:val="20"/>
              </w:rPr>
            </w:pPr>
            <w:r w:rsidRPr="0034605D">
              <w:rPr>
                <w:rFonts w:ascii="Arial Narrow" w:eastAsia="Times New Roman" w:hAnsi="Arial Narrow" w:cs="Arial"/>
                <w:snapToGrid w:val="0"/>
                <w:sz w:val="20"/>
                <w:szCs w:val="20"/>
              </w:rPr>
              <w:fldChar w:fldCharType="begin">
                <w:ffData>
                  <w:name w:val="Check1"/>
                  <w:enabled/>
                  <w:calcOnExit w:val="0"/>
                  <w:checkBox>
                    <w:sizeAuto/>
                    <w:default w:val="0"/>
                  </w:checkBox>
                </w:ffData>
              </w:fldChar>
            </w:r>
            <w:r w:rsidRPr="00B623DB">
              <w:rPr>
                <w:rFonts w:ascii="Arial Narrow" w:eastAsia="Times New Roman" w:hAnsi="Arial Narrow" w:cs="Arial"/>
                <w:snapToGrid w:val="0"/>
                <w:sz w:val="20"/>
                <w:szCs w:val="20"/>
              </w:rPr>
              <w:instrText xml:space="preserve"> FORMCHECKBOX </w:instrText>
            </w:r>
            <w:r w:rsidR="00EA0C20">
              <w:rPr>
                <w:rFonts w:ascii="Arial Narrow" w:eastAsia="Times New Roman" w:hAnsi="Arial Narrow" w:cs="Arial"/>
                <w:snapToGrid w:val="0"/>
                <w:sz w:val="20"/>
                <w:szCs w:val="20"/>
              </w:rPr>
            </w:r>
            <w:r w:rsidR="00EA0C20">
              <w:rPr>
                <w:rFonts w:ascii="Arial Narrow" w:eastAsia="Times New Roman" w:hAnsi="Arial Narrow" w:cs="Arial"/>
                <w:snapToGrid w:val="0"/>
                <w:sz w:val="20"/>
                <w:szCs w:val="20"/>
              </w:rPr>
              <w:fldChar w:fldCharType="separate"/>
            </w:r>
            <w:r w:rsidRPr="0034605D">
              <w:rPr>
                <w:rFonts w:ascii="Arial Narrow" w:eastAsia="Times New Roman" w:hAnsi="Arial Narrow" w:cs="Arial"/>
                <w:snapToGrid w:val="0"/>
                <w:sz w:val="20"/>
                <w:szCs w:val="20"/>
              </w:rPr>
              <w:fldChar w:fldCharType="end"/>
            </w:r>
            <w:r w:rsidRPr="00B623DB">
              <w:rPr>
                <w:rFonts w:ascii="Arial Narrow" w:eastAsia="Times New Roman" w:hAnsi="Arial Narrow" w:cs="Arial"/>
                <w:snapToGrid w:val="0"/>
                <w:sz w:val="20"/>
                <w:szCs w:val="20"/>
              </w:rPr>
              <w:t>Restricted benefit</w:t>
            </w:r>
          </w:p>
          <w:p w:rsidR="00677D18" w:rsidRPr="00B623DB" w:rsidRDefault="00677D18" w:rsidP="00677D18">
            <w:pPr>
              <w:widowControl w:val="0"/>
              <w:spacing w:before="0" w:after="0"/>
              <w:jc w:val="both"/>
              <w:rPr>
                <w:rFonts w:ascii="Arial Narrow" w:eastAsia="Times New Roman" w:hAnsi="Arial Narrow" w:cs="Arial"/>
                <w:snapToGrid w:val="0"/>
                <w:sz w:val="20"/>
                <w:szCs w:val="20"/>
              </w:rPr>
            </w:pPr>
            <w:r w:rsidRPr="0034605D">
              <w:rPr>
                <w:rFonts w:ascii="Arial Narrow" w:eastAsia="Times New Roman" w:hAnsi="Arial Narrow" w:cs="Arial"/>
                <w:snapToGrid w:val="0"/>
                <w:sz w:val="20"/>
                <w:szCs w:val="20"/>
              </w:rPr>
              <w:fldChar w:fldCharType="begin">
                <w:ffData>
                  <w:name w:val=""/>
                  <w:enabled/>
                  <w:calcOnExit w:val="0"/>
                  <w:checkBox>
                    <w:sizeAuto/>
                    <w:default w:val="0"/>
                  </w:checkBox>
                </w:ffData>
              </w:fldChar>
            </w:r>
            <w:r w:rsidRPr="00B623DB">
              <w:rPr>
                <w:rFonts w:ascii="Arial Narrow" w:eastAsia="Times New Roman" w:hAnsi="Arial Narrow" w:cs="Arial"/>
                <w:snapToGrid w:val="0"/>
                <w:sz w:val="20"/>
                <w:szCs w:val="20"/>
              </w:rPr>
              <w:instrText xml:space="preserve"> FORMCHECKBOX </w:instrText>
            </w:r>
            <w:r w:rsidR="00EA0C20">
              <w:rPr>
                <w:rFonts w:ascii="Arial Narrow" w:eastAsia="Times New Roman" w:hAnsi="Arial Narrow" w:cs="Arial"/>
                <w:snapToGrid w:val="0"/>
                <w:sz w:val="20"/>
                <w:szCs w:val="20"/>
              </w:rPr>
            </w:r>
            <w:r w:rsidR="00EA0C20">
              <w:rPr>
                <w:rFonts w:ascii="Arial Narrow" w:eastAsia="Times New Roman" w:hAnsi="Arial Narrow" w:cs="Arial"/>
                <w:snapToGrid w:val="0"/>
                <w:sz w:val="20"/>
                <w:szCs w:val="20"/>
              </w:rPr>
              <w:fldChar w:fldCharType="separate"/>
            </w:r>
            <w:r w:rsidRPr="0034605D">
              <w:rPr>
                <w:rFonts w:ascii="Arial Narrow" w:eastAsia="Times New Roman" w:hAnsi="Arial Narrow" w:cs="Arial"/>
                <w:snapToGrid w:val="0"/>
                <w:sz w:val="20"/>
                <w:szCs w:val="20"/>
              </w:rPr>
              <w:fldChar w:fldCharType="end"/>
            </w:r>
            <w:r w:rsidRPr="00B623DB">
              <w:rPr>
                <w:rFonts w:ascii="Arial Narrow" w:eastAsia="Times New Roman" w:hAnsi="Arial Narrow" w:cs="Arial"/>
                <w:snapToGrid w:val="0"/>
                <w:sz w:val="20"/>
                <w:szCs w:val="20"/>
              </w:rPr>
              <w:t>Authority Required - In Writing</w:t>
            </w:r>
          </w:p>
          <w:p w:rsidR="00677D18" w:rsidRPr="00E0554C" w:rsidRDefault="00677D18" w:rsidP="00677D18">
            <w:pPr>
              <w:widowControl w:val="0"/>
              <w:spacing w:before="0" w:after="0"/>
              <w:jc w:val="both"/>
              <w:rPr>
                <w:rFonts w:ascii="Arial Narrow" w:eastAsia="Times New Roman" w:hAnsi="Arial Narrow" w:cs="Arial"/>
                <w:snapToGrid w:val="0"/>
                <w:sz w:val="20"/>
                <w:szCs w:val="20"/>
              </w:rPr>
            </w:pPr>
            <w:r w:rsidRPr="0034605D">
              <w:rPr>
                <w:rFonts w:ascii="Arial Narrow" w:eastAsia="Times New Roman" w:hAnsi="Arial Narrow" w:cs="Arial"/>
                <w:snapToGrid w:val="0"/>
                <w:sz w:val="20"/>
                <w:szCs w:val="20"/>
              </w:rPr>
              <w:fldChar w:fldCharType="begin">
                <w:ffData>
                  <w:name w:val="Check3"/>
                  <w:enabled/>
                  <w:calcOnExit w:val="0"/>
                  <w:checkBox>
                    <w:sizeAuto/>
                    <w:default w:val="0"/>
                  </w:checkBox>
                </w:ffData>
              </w:fldChar>
            </w:r>
            <w:bookmarkStart w:id="27" w:name="Check3"/>
            <w:r w:rsidRPr="00B623DB">
              <w:rPr>
                <w:rFonts w:ascii="Arial Narrow" w:eastAsia="Times New Roman" w:hAnsi="Arial Narrow" w:cs="Arial"/>
                <w:snapToGrid w:val="0"/>
                <w:sz w:val="20"/>
                <w:szCs w:val="20"/>
              </w:rPr>
              <w:instrText xml:space="preserve"> FORMCHECKBOX </w:instrText>
            </w:r>
            <w:r w:rsidR="00EA0C20">
              <w:rPr>
                <w:rFonts w:ascii="Arial Narrow" w:eastAsia="Times New Roman" w:hAnsi="Arial Narrow" w:cs="Arial"/>
                <w:snapToGrid w:val="0"/>
                <w:sz w:val="20"/>
                <w:szCs w:val="20"/>
              </w:rPr>
            </w:r>
            <w:r w:rsidR="00EA0C20">
              <w:rPr>
                <w:rFonts w:ascii="Arial Narrow" w:eastAsia="Times New Roman" w:hAnsi="Arial Narrow" w:cs="Arial"/>
                <w:snapToGrid w:val="0"/>
                <w:sz w:val="20"/>
                <w:szCs w:val="20"/>
              </w:rPr>
              <w:fldChar w:fldCharType="separate"/>
            </w:r>
            <w:r w:rsidRPr="0034605D">
              <w:rPr>
                <w:rFonts w:ascii="Arial Narrow" w:eastAsia="Times New Roman" w:hAnsi="Arial Narrow" w:cs="Arial"/>
                <w:snapToGrid w:val="0"/>
                <w:sz w:val="20"/>
                <w:szCs w:val="20"/>
              </w:rPr>
              <w:fldChar w:fldCharType="end"/>
            </w:r>
            <w:bookmarkEnd w:id="27"/>
            <w:r w:rsidRPr="00B623DB">
              <w:rPr>
                <w:rFonts w:ascii="Arial Narrow" w:eastAsia="Times New Roman" w:hAnsi="Arial Narrow" w:cs="Arial"/>
                <w:snapToGrid w:val="0"/>
                <w:sz w:val="20"/>
                <w:szCs w:val="20"/>
              </w:rPr>
              <w:t>Authority Required - Te</w:t>
            </w:r>
            <w:r w:rsidRPr="00E0554C">
              <w:rPr>
                <w:rFonts w:ascii="Arial Narrow" w:eastAsia="Times New Roman" w:hAnsi="Arial Narrow" w:cs="Arial"/>
                <w:snapToGrid w:val="0"/>
                <w:sz w:val="20"/>
                <w:szCs w:val="20"/>
              </w:rPr>
              <w:t>lephone</w:t>
            </w:r>
          </w:p>
          <w:p w:rsidR="00677D18" w:rsidRPr="00B623DB" w:rsidRDefault="00677D18" w:rsidP="00677D18">
            <w:pPr>
              <w:widowControl w:val="0"/>
              <w:spacing w:before="0" w:after="0"/>
              <w:jc w:val="both"/>
              <w:rPr>
                <w:rFonts w:ascii="Arial Narrow" w:eastAsia="Times New Roman" w:hAnsi="Arial Narrow" w:cs="Arial"/>
                <w:snapToGrid w:val="0"/>
                <w:sz w:val="20"/>
                <w:szCs w:val="20"/>
              </w:rPr>
            </w:pPr>
            <w:r w:rsidRPr="0034605D">
              <w:rPr>
                <w:rFonts w:ascii="Arial Narrow" w:eastAsia="Times New Roman" w:hAnsi="Arial Narrow" w:cs="Arial"/>
                <w:snapToGrid w:val="0"/>
                <w:sz w:val="20"/>
                <w:szCs w:val="20"/>
              </w:rPr>
              <w:fldChar w:fldCharType="begin">
                <w:ffData>
                  <w:name w:val="Check1"/>
                  <w:enabled/>
                  <w:calcOnExit w:val="0"/>
                  <w:checkBox>
                    <w:sizeAuto/>
                    <w:default w:val="0"/>
                  </w:checkBox>
                </w:ffData>
              </w:fldChar>
            </w:r>
            <w:r w:rsidRPr="00B623DB">
              <w:rPr>
                <w:rFonts w:ascii="Arial Narrow" w:eastAsia="Times New Roman" w:hAnsi="Arial Narrow" w:cs="Arial"/>
                <w:snapToGrid w:val="0"/>
                <w:sz w:val="20"/>
                <w:szCs w:val="20"/>
              </w:rPr>
              <w:instrText xml:space="preserve"> FORMCHECKBOX </w:instrText>
            </w:r>
            <w:r w:rsidR="00EA0C20">
              <w:rPr>
                <w:rFonts w:ascii="Arial Narrow" w:eastAsia="Times New Roman" w:hAnsi="Arial Narrow" w:cs="Arial"/>
                <w:snapToGrid w:val="0"/>
                <w:sz w:val="20"/>
                <w:szCs w:val="20"/>
              </w:rPr>
            </w:r>
            <w:r w:rsidR="00EA0C20">
              <w:rPr>
                <w:rFonts w:ascii="Arial Narrow" w:eastAsia="Times New Roman" w:hAnsi="Arial Narrow" w:cs="Arial"/>
                <w:snapToGrid w:val="0"/>
                <w:sz w:val="20"/>
                <w:szCs w:val="20"/>
              </w:rPr>
              <w:fldChar w:fldCharType="separate"/>
            </w:r>
            <w:r w:rsidRPr="0034605D">
              <w:rPr>
                <w:rFonts w:ascii="Arial Narrow" w:eastAsia="Times New Roman" w:hAnsi="Arial Narrow" w:cs="Arial"/>
                <w:snapToGrid w:val="0"/>
                <w:sz w:val="20"/>
                <w:szCs w:val="20"/>
              </w:rPr>
              <w:fldChar w:fldCharType="end"/>
            </w:r>
            <w:r w:rsidRPr="00B623DB">
              <w:rPr>
                <w:rFonts w:ascii="Arial Narrow" w:eastAsia="Times New Roman" w:hAnsi="Arial Narrow" w:cs="Arial"/>
                <w:snapToGrid w:val="0"/>
                <w:sz w:val="20"/>
                <w:szCs w:val="20"/>
              </w:rPr>
              <w:t>Authority Required - Emergency</w:t>
            </w:r>
          </w:p>
          <w:p w:rsidR="00677D18" w:rsidRPr="00B623DB" w:rsidRDefault="00677D18" w:rsidP="00677D18">
            <w:pPr>
              <w:widowControl w:val="0"/>
              <w:spacing w:before="0" w:after="0"/>
              <w:jc w:val="both"/>
              <w:rPr>
                <w:rFonts w:ascii="Arial Narrow" w:eastAsia="Times New Roman" w:hAnsi="Arial Narrow" w:cs="Arial"/>
                <w:snapToGrid w:val="0"/>
                <w:sz w:val="20"/>
                <w:szCs w:val="20"/>
              </w:rPr>
            </w:pPr>
            <w:r w:rsidRPr="0034605D">
              <w:rPr>
                <w:rFonts w:ascii="Arial Narrow" w:eastAsia="Times New Roman" w:hAnsi="Arial Narrow" w:cs="Arial"/>
                <w:snapToGrid w:val="0"/>
                <w:sz w:val="20"/>
                <w:szCs w:val="20"/>
              </w:rPr>
              <w:fldChar w:fldCharType="begin">
                <w:ffData>
                  <w:name w:val=""/>
                  <w:enabled/>
                  <w:calcOnExit w:val="0"/>
                  <w:checkBox>
                    <w:sizeAuto/>
                    <w:default w:val="0"/>
                  </w:checkBox>
                </w:ffData>
              </w:fldChar>
            </w:r>
            <w:r w:rsidRPr="00B623DB">
              <w:rPr>
                <w:rFonts w:ascii="Arial Narrow" w:eastAsia="Times New Roman" w:hAnsi="Arial Narrow" w:cs="Arial"/>
                <w:snapToGrid w:val="0"/>
                <w:sz w:val="20"/>
                <w:szCs w:val="20"/>
              </w:rPr>
              <w:instrText xml:space="preserve"> FORMCHECKBOX </w:instrText>
            </w:r>
            <w:r w:rsidR="00EA0C20">
              <w:rPr>
                <w:rFonts w:ascii="Arial Narrow" w:eastAsia="Times New Roman" w:hAnsi="Arial Narrow" w:cs="Arial"/>
                <w:snapToGrid w:val="0"/>
                <w:sz w:val="20"/>
                <w:szCs w:val="20"/>
              </w:rPr>
            </w:r>
            <w:r w:rsidR="00EA0C20">
              <w:rPr>
                <w:rFonts w:ascii="Arial Narrow" w:eastAsia="Times New Roman" w:hAnsi="Arial Narrow" w:cs="Arial"/>
                <w:snapToGrid w:val="0"/>
                <w:sz w:val="20"/>
                <w:szCs w:val="20"/>
              </w:rPr>
              <w:fldChar w:fldCharType="separate"/>
            </w:r>
            <w:r w:rsidRPr="0034605D">
              <w:rPr>
                <w:rFonts w:ascii="Arial Narrow" w:eastAsia="Times New Roman" w:hAnsi="Arial Narrow" w:cs="Arial"/>
                <w:snapToGrid w:val="0"/>
                <w:sz w:val="20"/>
                <w:szCs w:val="20"/>
              </w:rPr>
              <w:fldChar w:fldCharType="end"/>
            </w:r>
            <w:r w:rsidRPr="00B623DB">
              <w:rPr>
                <w:rFonts w:ascii="Arial Narrow" w:eastAsia="Times New Roman" w:hAnsi="Arial Narrow" w:cs="Arial"/>
                <w:snapToGrid w:val="0"/>
                <w:sz w:val="20"/>
                <w:szCs w:val="20"/>
              </w:rPr>
              <w:t>Authority Required - Electronic</w:t>
            </w:r>
          </w:p>
          <w:p w:rsidR="00263A60" w:rsidRPr="00B623DB" w:rsidRDefault="00677D18" w:rsidP="00677D18">
            <w:pPr>
              <w:pStyle w:val="TableText"/>
            </w:pPr>
            <w:r w:rsidRPr="0034605D">
              <w:rPr>
                <w:rFonts w:eastAsia="Times New Roman" w:cs="Arial"/>
                <w:snapToGrid w:val="0"/>
                <w:szCs w:val="20"/>
              </w:rPr>
              <w:fldChar w:fldCharType="begin">
                <w:ffData>
                  <w:name w:val="Check5"/>
                  <w:enabled/>
                  <w:calcOnExit w:val="0"/>
                  <w:checkBox>
                    <w:sizeAuto/>
                    <w:default w:val="1"/>
                  </w:checkBox>
                </w:ffData>
              </w:fldChar>
            </w:r>
            <w:bookmarkStart w:id="28" w:name="Check5"/>
            <w:r w:rsidRPr="00B623DB">
              <w:rPr>
                <w:rFonts w:eastAsia="Times New Roman" w:cs="Arial"/>
                <w:snapToGrid w:val="0"/>
                <w:szCs w:val="20"/>
              </w:rPr>
              <w:instrText xml:space="preserve"> FORMCHECKBOX </w:instrText>
            </w:r>
            <w:r w:rsidR="00EA0C20">
              <w:rPr>
                <w:rFonts w:eastAsia="Times New Roman" w:cs="Arial"/>
                <w:snapToGrid w:val="0"/>
                <w:szCs w:val="20"/>
              </w:rPr>
            </w:r>
            <w:r w:rsidR="00EA0C20">
              <w:rPr>
                <w:rFonts w:eastAsia="Times New Roman" w:cs="Arial"/>
                <w:snapToGrid w:val="0"/>
                <w:szCs w:val="20"/>
              </w:rPr>
              <w:fldChar w:fldCharType="separate"/>
            </w:r>
            <w:r w:rsidRPr="0034605D">
              <w:rPr>
                <w:rFonts w:eastAsia="Times New Roman" w:cs="Arial"/>
                <w:snapToGrid w:val="0"/>
                <w:szCs w:val="20"/>
              </w:rPr>
              <w:fldChar w:fldCharType="end"/>
            </w:r>
            <w:bookmarkEnd w:id="28"/>
            <w:r w:rsidRPr="00B623DB">
              <w:rPr>
                <w:rFonts w:eastAsia="Times New Roman" w:cs="Arial"/>
                <w:snapToGrid w:val="0"/>
                <w:szCs w:val="20"/>
              </w:rPr>
              <w:t>Streamlined</w:t>
            </w:r>
          </w:p>
        </w:tc>
      </w:tr>
      <w:tr w:rsidR="00263A60" w:rsidRPr="00B623DB" w:rsidTr="00677D1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263A60" w:rsidRPr="00B623DB" w:rsidRDefault="003169AE" w:rsidP="00F748BB">
            <w:pPr>
              <w:pStyle w:val="TableText"/>
              <w:rPr>
                <w:rFonts w:ascii="Times" w:eastAsia="Times New Roman" w:hAnsi="Times" w:cs="Times New Roman"/>
                <w:szCs w:val="20"/>
              </w:rPr>
            </w:pPr>
            <w:r w:rsidRPr="00B623DB">
              <w:t xml:space="preserve">Treatment </w:t>
            </w:r>
            <w:r w:rsidR="00263A60" w:rsidRPr="00B623DB">
              <w:t>criteria:</w:t>
            </w:r>
          </w:p>
        </w:tc>
        <w:tc>
          <w:tcPr>
            <w:tcW w:w="3897" w:type="pct"/>
            <w:gridSpan w:val="4"/>
            <w:tcBorders>
              <w:top w:val="single" w:sz="4" w:space="0" w:color="auto"/>
              <w:left w:val="single" w:sz="4" w:space="0" w:color="auto"/>
              <w:bottom w:val="single" w:sz="4" w:space="0" w:color="auto"/>
              <w:right w:val="single" w:sz="4" w:space="0" w:color="auto"/>
            </w:tcBorders>
          </w:tcPr>
          <w:p w:rsidR="00263A60" w:rsidRPr="00B623DB" w:rsidRDefault="00263A60" w:rsidP="00F748BB">
            <w:pPr>
              <w:pStyle w:val="NormalWeb"/>
              <w:numPr>
                <w:ilvl w:val="0"/>
                <w:numId w:val="14"/>
              </w:numPr>
              <w:spacing w:before="0" w:after="0"/>
              <w:ind w:left="0" w:hanging="357"/>
              <w:contextualSpacing/>
              <w:rPr>
                <w:rFonts w:ascii="Arial Narrow" w:hAnsi="Arial Narrow" w:cs="Arial"/>
                <w:color w:val="000000" w:themeColor="text1"/>
                <w:sz w:val="20"/>
                <w:lang w:val="en-AU"/>
              </w:rPr>
            </w:pPr>
            <w:r w:rsidRPr="00B623DB">
              <w:rPr>
                <w:rFonts w:ascii="Arial Narrow" w:hAnsi="Arial Narrow" w:cs="Arial"/>
                <w:color w:val="000000" w:themeColor="text1"/>
                <w:sz w:val="20"/>
                <w:lang w:val="en-AU"/>
              </w:rPr>
              <w:t>Must be treated by a rheumatologist or in consultation with a rheumatologist; OR</w:t>
            </w:r>
          </w:p>
          <w:p w:rsidR="00263A60" w:rsidRPr="00B623DB" w:rsidRDefault="00263A60" w:rsidP="00F748BB">
            <w:pPr>
              <w:pStyle w:val="NormalWeb"/>
              <w:numPr>
                <w:ilvl w:val="0"/>
                <w:numId w:val="14"/>
              </w:numPr>
              <w:spacing w:before="0" w:after="0"/>
              <w:ind w:left="0" w:hanging="357"/>
              <w:rPr>
                <w:rFonts w:ascii="Arial Narrow" w:hAnsi="Arial Narrow" w:cs="Arial"/>
                <w:color w:val="000000" w:themeColor="text1"/>
                <w:sz w:val="20"/>
                <w:lang w:val="en-AU"/>
              </w:rPr>
            </w:pPr>
            <w:r w:rsidRPr="00B623DB">
              <w:rPr>
                <w:rFonts w:ascii="Arial Narrow" w:hAnsi="Arial Narrow" w:cs="Arial"/>
                <w:color w:val="000000" w:themeColor="text1"/>
                <w:sz w:val="20"/>
                <w:lang w:val="en-AU"/>
              </w:rPr>
              <w:t>Must be treated by a clinical immunologist or in consultation with a clinical immunologist.</w:t>
            </w:r>
          </w:p>
          <w:p w:rsidR="00263A60" w:rsidRPr="00B623DB" w:rsidRDefault="00263A60" w:rsidP="00F748BB">
            <w:pPr>
              <w:pStyle w:val="TableText"/>
              <w:spacing w:before="0" w:after="0"/>
            </w:pPr>
          </w:p>
        </w:tc>
      </w:tr>
      <w:tr w:rsidR="007C7210" w:rsidRPr="00B623DB" w:rsidTr="00677D1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7C7210" w:rsidRPr="00B623DB" w:rsidDel="003169AE" w:rsidRDefault="007C7210" w:rsidP="00F748BB">
            <w:pPr>
              <w:pStyle w:val="TableText"/>
            </w:pPr>
            <w:r w:rsidRPr="00B623DB">
              <w:t>Clinical criteria:</w:t>
            </w:r>
          </w:p>
        </w:tc>
        <w:tc>
          <w:tcPr>
            <w:tcW w:w="3897" w:type="pct"/>
            <w:gridSpan w:val="4"/>
            <w:tcBorders>
              <w:top w:val="single" w:sz="4" w:space="0" w:color="auto"/>
              <w:left w:val="single" w:sz="4" w:space="0" w:color="auto"/>
              <w:bottom w:val="single" w:sz="4" w:space="0" w:color="auto"/>
              <w:right w:val="single" w:sz="4" w:space="0" w:color="auto"/>
            </w:tcBorders>
          </w:tcPr>
          <w:p w:rsidR="007C7210" w:rsidRPr="00B623DB" w:rsidRDefault="001963D2" w:rsidP="00F748BB">
            <w:pPr>
              <w:pStyle w:val="NormalWeb"/>
              <w:numPr>
                <w:ilvl w:val="0"/>
                <w:numId w:val="14"/>
              </w:numPr>
              <w:spacing w:before="0" w:after="0"/>
              <w:ind w:left="0" w:hanging="357"/>
              <w:contextualSpacing/>
              <w:rPr>
                <w:rFonts w:ascii="Arial Narrow" w:hAnsi="Arial Narrow" w:cs="Arial"/>
                <w:color w:val="000000" w:themeColor="text1"/>
                <w:sz w:val="20"/>
                <w:lang w:val="en-AU"/>
              </w:rPr>
            </w:pPr>
            <w:r w:rsidRPr="00B623DB">
              <w:rPr>
                <w:rFonts w:ascii="Arial Narrow" w:hAnsi="Arial Narrow" w:cs="Arial"/>
                <w:color w:val="000000" w:themeColor="text1"/>
                <w:sz w:val="20"/>
                <w:lang w:val="en-AU"/>
              </w:rPr>
              <w:t>The treatment must be the sole PBS-subsidised biological medicine for this condition.</w:t>
            </w:r>
          </w:p>
        </w:tc>
      </w:tr>
      <w:tr w:rsidR="000625AB" w:rsidRPr="00B623DB" w:rsidTr="00677D1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0625AB" w:rsidRPr="00B623DB" w:rsidRDefault="000625AB" w:rsidP="00F748BB">
            <w:pPr>
              <w:pStyle w:val="TableText"/>
            </w:pPr>
            <w:r w:rsidRPr="00B623DB">
              <w:t>Prescribing Instructions:</w:t>
            </w:r>
          </w:p>
        </w:tc>
        <w:tc>
          <w:tcPr>
            <w:tcW w:w="3897" w:type="pct"/>
            <w:gridSpan w:val="4"/>
            <w:tcBorders>
              <w:top w:val="single" w:sz="4" w:space="0" w:color="auto"/>
              <w:left w:val="single" w:sz="4" w:space="0" w:color="auto"/>
              <w:bottom w:val="single" w:sz="4" w:space="0" w:color="auto"/>
              <w:right w:val="single" w:sz="4" w:space="0" w:color="auto"/>
            </w:tcBorders>
          </w:tcPr>
          <w:p w:rsidR="000625AB" w:rsidRPr="00B623DB" w:rsidRDefault="000625AB" w:rsidP="000625AB">
            <w:pPr>
              <w:pStyle w:val="NormalWeb"/>
              <w:spacing w:before="0" w:after="0"/>
              <w:contextualSpacing/>
              <w:rPr>
                <w:rFonts w:ascii="Arial Narrow" w:hAnsi="Arial Narrow" w:cs="Arial"/>
                <w:color w:val="000000" w:themeColor="text1"/>
                <w:sz w:val="20"/>
                <w:lang w:val="en-AU"/>
              </w:rPr>
            </w:pPr>
            <w:r w:rsidRPr="00B623DB">
              <w:rPr>
                <w:rFonts w:ascii="Arial Narrow" w:hAnsi="Arial Narrow" w:cs="Arial"/>
                <w:color w:val="000000" w:themeColor="text1"/>
                <w:sz w:val="20"/>
                <w:lang w:val="en-AU"/>
              </w:rPr>
              <w:t xml:space="preserve">A diagnosis of CAPS must be documented in the patient's medical records. </w:t>
            </w:r>
          </w:p>
        </w:tc>
      </w:tr>
      <w:tr w:rsidR="000625AB" w:rsidRPr="00B623DB" w:rsidTr="00677D1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0625AB" w:rsidRPr="00B623DB" w:rsidRDefault="000625AB" w:rsidP="00F748BB">
            <w:pPr>
              <w:pStyle w:val="TableText"/>
            </w:pPr>
            <w:r w:rsidRPr="00B623DB">
              <w:t>Administrative Advice:</w:t>
            </w:r>
          </w:p>
        </w:tc>
        <w:tc>
          <w:tcPr>
            <w:tcW w:w="3897" w:type="pct"/>
            <w:gridSpan w:val="4"/>
            <w:tcBorders>
              <w:top w:val="single" w:sz="4" w:space="0" w:color="auto"/>
              <w:left w:val="single" w:sz="4" w:space="0" w:color="auto"/>
              <w:bottom w:val="single" w:sz="4" w:space="0" w:color="auto"/>
              <w:right w:val="single" w:sz="4" w:space="0" w:color="auto"/>
            </w:tcBorders>
          </w:tcPr>
          <w:p w:rsidR="000625AB" w:rsidRPr="00B623DB" w:rsidRDefault="000625AB" w:rsidP="000625AB">
            <w:pPr>
              <w:pStyle w:val="NormalWeb"/>
              <w:spacing w:before="0" w:after="0"/>
              <w:contextualSpacing/>
              <w:rPr>
                <w:rFonts w:ascii="Arial Narrow" w:hAnsi="Arial Narrow" w:cs="Arial"/>
                <w:color w:val="000000" w:themeColor="text1"/>
                <w:sz w:val="20"/>
                <w:lang w:val="en-AU"/>
              </w:rPr>
            </w:pPr>
            <w:r w:rsidRPr="00B623DB">
              <w:rPr>
                <w:rFonts w:ascii="Arial Narrow" w:hAnsi="Arial Narrow" w:cs="Arial"/>
                <w:color w:val="000000" w:themeColor="text1"/>
                <w:sz w:val="20"/>
                <w:lang w:val="en-AU"/>
              </w:rPr>
              <w:t xml:space="preserve">This drug is not PBS-subsidised for conditions other than CAPS. </w:t>
            </w:r>
          </w:p>
        </w:tc>
      </w:tr>
    </w:tbl>
    <w:p w:rsidR="0058312D" w:rsidRPr="00B623DB" w:rsidRDefault="0058312D" w:rsidP="0058312D">
      <w:pPr>
        <w:widowControl w:val="0"/>
        <w:spacing w:before="0" w:after="120"/>
        <w:ind w:left="720"/>
        <w:jc w:val="both"/>
        <w:rPr>
          <w:rFonts w:ascii="Calibri" w:eastAsia="Times New Roman" w:hAnsi="Calibri" w:cs="Arial"/>
          <w:b/>
          <w:bCs/>
          <w:snapToGrid w:val="0"/>
          <w:szCs w:val="24"/>
        </w:rPr>
      </w:pPr>
    </w:p>
    <w:p w:rsidR="00614359" w:rsidRPr="00B623DB" w:rsidRDefault="00614359" w:rsidP="0058312D">
      <w:pPr>
        <w:widowControl w:val="0"/>
        <w:spacing w:before="0" w:after="120"/>
        <w:ind w:left="720"/>
        <w:jc w:val="both"/>
        <w:rPr>
          <w:rFonts w:ascii="Calibri" w:eastAsia="Times New Roman" w:hAnsi="Calibri" w:cs="Arial"/>
          <w:bCs/>
          <w:snapToGrid w:val="0"/>
          <w:szCs w:val="24"/>
        </w:rPr>
      </w:pPr>
      <w:r w:rsidRPr="00B623DB">
        <w:rPr>
          <w:rFonts w:ascii="Calibri" w:eastAsia="Times New Roman" w:hAnsi="Calibri" w:cs="Arial"/>
          <w:bCs/>
          <w:snapToGrid w:val="0"/>
          <w:szCs w:val="24"/>
        </w:rPr>
        <w:t xml:space="preserve">Amend the current listing for anakinra </w:t>
      </w:r>
      <w:r w:rsidR="00D110FD" w:rsidRPr="00B623DB">
        <w:rPr>
          <w:rFonts w:ascii="Calibri" w:eastAsia="Times New Roman" w:hAnsi="Calibri" w:cs="Arial"/>
          <w:bCs/>
          <w:snapToGrid w:val="0"/>
          <w:szCs w:val="24"/>
        </w:rPr>
        <w:t>for CAPS</w:t>
      </w:r>
      <w:r w:rsidR="005B5D4B" w:rsidRPr="00B623DB">
        <w:rPr>
          <w:rFonts w:ascii="Calibri" w:eastAsia="Times New Roman" w:hAnsi="Calibri" w:cs="Arial"/>
          <w:bCs/>
          <w:snapToGrid w:val="0"/>
          <w:szCs w:val="24"/>
        </w:rPr>
        <w:t xml:space="preserve"> (10263E</w:t>
      </w:r>
      <w:r w:rsidR="00D110FD" w:rsidRPr="00B623DB">
        <w:rPr>
          <w:rFonts w:ascii="Calibri" w:eastAsia="Times New Roman" w:hAnsi="Calibri" w:cs="Arial"/>
          <w:bCs/>
          <w:snapToGrid w:val="0"/>
          <w:szCs w:val="24"/>
        </w:rPr>
        <w:t xml:space="preserve"> </w:t>
      </w:r>
      <w:r w:rsidR="005B5D4B" w:rsidRPr="00B623DB">
        <w:rPr>
          <w:rFonts w:ascii="Calibri" w:eastAsia="Times New Roman" w:hAnsi="Calibri" w:cs="Arial"/>
          <w:bCs/>
          <w:snapToGrid w:val="0"/>
          <w:szCs w:val="24"/>
        </w:rPr>
        <w:t xml:space="preserve">and 10264F) </w:t>
      </w:r>
      <w:r w:rsidRPr="00B623DB">
        <w:rPr>
          <w:rFonts w:ascii="Calibri" w:eastAsia="Times New Roman" w:hAnsi="Calibri" w:cs="Arial"/>
          <w:bCs/>
          <w:snapToGrid w:val="0"/>
          <w:szCs w:val="24"/>
        </w:rPr>
        <w:t>as follows</w:t>
      </w:r>
      <w:r w:rsidR="00B657EA" w:rsidRPr="00B623DB">
        <w:rPr>
          <w:rFonts w:ascii="Calibri" w:eastAsia="Times New Roman" w:hAnsi="Calibri" w:cs="Arial"/>
          <w:bCs/>
          <w:snapToGrid w:val="0"/>
          <w:szCs w:val="24"/>
        </w:rPr>
        <w:t xml:space="preserve"> (changes are highlighted in italics)</w:t>
      </w:r>
      <w:r w:rsidRPr="00B623DB">
        <w:rPr>
          <w:rFonts w:ascii="Calibri" w:eastAsia="Times New Roman" w:hAnsi="Calibri" w:cs="Arial"/>
          <w:bCs/>
          <w:snapToGrid w:val="0"/>
          <w:szCs w:val="24"/>
        </w:rPr>
        <w:t>:</w:t>
      </w:r>
    </w:p>
    <w:tbl>
      <w:tblPr>
        <w:tblW w:w="5000" w:type="pct"/>
        <w:tblCellMar>
          <w:left w:w="28" w:type="dxa"/>
          <w:right w:w="28" w:type="dxa"/>
        </w:tblCellMar>
        <w:tblLook w:val="0000" w:firstRow="0" w:lastRow="0" w:firstColumn="0" w:lastColumn="0" w:noHBand="0" w:noVBand="0"/>
      </w:tblPr>
      <w:tblGrid>
        <w:gridCol w:w="25"/>
        <w:gridCol w:w="1978"/>
        <w:gridCol w:w="1366"/>
        <w:gridCol w:w="763"/>
        <w:gridCol w:w="921"/>
        <w:gridCol w:w="4029"/>
      </w:tblGrid>
      <w:tr w:rsidR="00614359" w:rsidRPr="00B623DB" w:rsidTr="00C55F68">
        <w:trPr>
          <w:cantSplit/>
          <w:trHeight w:val="463"/>
        </w:trPr>
        <w:tc>
          <w:tcPr>
            <w:tcW w:w="1855" w:type="pct"/>
            <w:gridSpan w:val="3"/>
            <w:tcBorders>
              <w:bottom w:val="single" w:sz="4" w:space="0" w:color="auto"/>
            </w:tcBorders>
            <w:vAlign w:val="center"/>
          </w:tcPr>
          <w:p w:rsidR="00614359" w:rsidRPr="00B623DB" w:rsidRDefault="00614359" w:rsidP="00C55F68">
            <w:pPr>
              <w:pStyle w:val="TableText"/>
              <w:rPr>
                <w:b/>
              </w:rPr>
            </w:pPr>
            <w:r w:rsidRPr="00B623DB">
              <w:rPr>
                <w:b/>
              </w:rPr>
              <w:t>Name, Restriction,</w:t>
            </w:r>
          </w:p>
          <w:p w:rsidR="00614359" w:rsidRPr="00B623DB" w:rsidRDefault="00614359" w:rsidP="00C55F68">
            <w:pPr>
              <w:pStyle w:val="TableText"/>
              <w:rPr>
                <w:b/>
              </w:rPr>
            </w:pPr>
            <w:r w:rsidRPr="00B623DB">
              <w:rPr>
                <w:b/>
              </w:rPr>
              <w:t>Manner of administration and form</w:t>
            </w:r>
          </w:p>
        </w:tc>
        <w:tc>
          <w:tcPr>
            <w:tcW w:w="420" w:type="pct"/>
            <w:tcBorders>
              <w:bottom w:val="single" w:sz="4" w:space="0" w:color="auto"/>
            </w:tcBorders>
            <w:vAlign w:val="center"/>
          </w:tcPr>
          <w:p w:rsidR="00614359" w:rsidRPr="00B623DB" w:rsidRDefault="00614359" w:rsidP="00C55F68">
            <w:pPr>
              <w:pStyle w:val="TableText"/>
              <w:rPr>
                <w:b/>
              </w:rPr>
            </w:pPr>
            <w:r w:rsidRPr="00B623DB">
              <w:rPr>
                <w:b/>
              </w:rPr>
              <w:t>Max.</w:t>
            </w:r>
          </w:p>
          <w:p w:rsidR="00614359" w:rsidRPr="00B623DB" w:rsidRDefault="00614359" w:rsidP="00C55F68">
            <w:pPr>
              <w:pStyle w:val="TableText"/>
              <w:rPr>
                <w:b/>
              </w:rPr>
            </w:pPr>
            <w:r w:rsidRPr="00B623DB">
              <w:rPr>
                <w:b/>
              </w:rPr>
              <w:t>Qty</w:t>
            </w:r>
          </w:p>
        </w:tc>
        <w:tc>
          <w:tcPr>
            <w:tcW w:w="507" w:type="pct"/>
            <w:tcBorders>
              <w:bottom w:val="single" w:sz="4" w:space="0" w:color="auto"/>
            </w:tcBorders>
            <w:vAlign w:val="center"/>
          </w:tcPr>
          <w:p w:rsidR="00614359" w:rsidRPr="00B623DB" w:rsidRDefault="00614359" w:rsidP="00C55F68">
            <w:pPr>
              <w:pStyle w:val="TableText"/>
              <w:rPr>
                <w:b/>
              </w:rPr>
            </w:pPr>
            <w:r w:rsidRPr="00B623DB">
              <w:rPr>
                <w:b/>
              </w:rPr>
              <w:t>№.of</w:t>
            </w:r>
          </w:p>
          <w:p w:rsidR="00614359" w:rsidRPr="00B623DB" w:rsidRDefault="00614359" w:rsidP="00C55F68">
            <w:pPr>
              <w:pStyle w:val="TableText"/>
              <w:rPr>
                <w:b/>
              </w:rPr>
            </w:pPr>
            <w:r w:rsidRPr="00B623DB">
              <w:rPr>
                <w:b/>
              </w:rPr>
              <w:t>Rpts</w:t>
            </w:r>
          </w:p>
        </w:tc>
        <w:tc>
          <w:tcPr>
            <w:tcW w:w="2218" w:type="pct"/>
            <w:tcBorders>
              <w:bottom w:val="single" w:sz="4" w:space="0" w:color="auto"/>
            </w:tcBorders>
            <w:vAlign w:val="center"/>
          </w:tcPr>
          <w:p w:rsidR="00614359" w:rsidRPr="00B623DB" w:rsidRDefault="00614359" w:rsidP="00C55F68">
            <w:pPr>
              <w:pStyle w:val="TableText"/>
              <w:rPr>
                <w:b/>
              </w:rPr>
            </w:pPr>
            <w:r w:rsidRPr="00B623DB">
              <w:rPr>
                <w:b/>
              </w:rPr>
              <w:t>Proprietary Name and Manufacturer</w:t>
            </w:r>
          </w:p>
        </w:tc>
      </w:tr>
      <w:tr w:rsidR="00614359" w:rsidRPr="00B623DB" w:rsidTr="00C55F68">
        <w:trPr>
          <w:cantSplit/>
          <w:trHeight w:val="567"/>
        </w:trPr>
        <w:tc>
          <w:tcPr>
            <w:tcW w:w="1855" w:type="pct"/>
            <w:gridSpan w:val="3"/>
          </w:tcPr>
          <w:p w:rsidR="00B657EA" w:rsidRPr="00B623DB" w:rsidRDefault="00B657EA" w:rsidP="00B657EA">
            <w:pPr>
              <w:pStyle w:val="TableText"/>
            </w:pPr>
            <w:r w:rsidRPr="00B623DB">
              <w:t xml:space="preserve"> ANAKINRA</w:t>
            </w:r>
          </w:p>
          <w:p w:rsidR="00614359" w:rsidRPr="00B623DB" w:rsidRDefault="00B657EA" w:rsidP="00B657EA">
            <w:pPr>
              <w:pStyle w:val="TableText"/>
            </w:pPr>
            <w:r w:rsidRPr="00B623DB">
              <w:t>anakinra 100 mg/0.67 mL injection, 28 x 0.67 mL syringes</w:t>
            </w:r>
          </w:p>
        </w:tc>
        <w:tc>
          <w:tcPr>
            <w:tcW w:w="420" w:type="pct"/>
          </w:tcPr>
          <w:p w:rsidR="00614359" w:rsidRPr="00B623DB" w:rsidRDefault="00B657EA" w:rsidP="00C55F68">
            <w:pPr>
              <w:pStyle w:val="TableText"/>
            </w:pPr>
            <w:r w:rsidRPr="00B623DB">
              <w:t>28</w:t>
            </w:r>
          </w:p>
        </w:tc>
        <w:tc>
          <w:tcPr>
            <w:tcW w:w="507" w:type="pct"/>
          </w:tcPr>
          <w:p w:rsidR="00614359" w:rsidRPr="00B623DB" w:rsidRDefault="00B657EA" w:rsidP="00C55F68">
            <w:pPr>
              <w:pStyle w:val="TableText"/>
            </w:pPr>
            <w:r w:rsidRPr="00B623DB">
              <w:t>5</w:t>
            </w:r>
          </w:p>
        </w:tc>
        <w:tc>
          <w:tcPr>
            <w:tcW w:w="2218" w:type="pct"/>
          </w:tcPr>
          <w:p w:rsidR="00614359" w:rsidRPr="00B623DB" w:rsidRDefault="0007760B" w:rsidP="00C55F68">
            <w:pPr>
              <w:pStyle w:val="TableText"/>
            </w:pPr>
            <w:r w:rsidRPr="00B623DB">
              <w:t>Kineret</w:t>
            </w:r>
            <w:r w:rsidRPr="00B623DB">
              <w:rPr>
                <w:vertAlign w:val="superscript"/>
              </w:rPr>
              <w:t>®</w:t>
            </w:r>
          </w:p>
          <w:p w:rsidR="00184311" w:rsidRPr="00B623DB" w:rsidRDefault="00184311" w:rsidP="00C55F68">
            <w:pPr>
              <w:pStyle w:val="TableText"/>
            </w:pPr>
            <w:r w:rsidRPr="00B623DB">
              <w:t>A. Menarini Australia Pty Limited</w:t>
            </w:r>
          </w:p>
        </w:tc>
      </w:tr>
      <w:tr w:rsidR="00614359" w:rsidRPr="00B623DB" w:rsidTr="00C55F6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614359" w:rsidRPr="00B623DB" w:rsidRDefault="00614359" w:rsidP="00C55F68">
            <w:pPr>
              <w:pStyle w:val="TableText"/>
            </w:pPr>
            <w:r w:rsidRPr="00B623DB">
              <w:t>Category / Program:</w:t>
            </w:r>
          </w:p>
        </w:tc>
        <w:tc>
          <w:tcPr>
            <w:tcW w:w="3897" w:type="pct"/>
            <w:gridSpan w:val="4"/>
            <w:tcBorders>
              <w:top w:val="single" w:sz="4" w:space="0" w:color="auto"/>
              <w:left w:val="single" w:sz="4" w:space="0" w:color="auto"/>
              <w:bottom w:val="single" w:sz="4" w:space="0" w:color="auto"/>
              <w:right w:val="single" w:sz="4" w:space="0" w:color="auto"/>
            </w:tcBorders>
          </w:tcPr>
          <w:p w:rsidR="00614359" w:rsidRPr="00B623DB" w:rsidRDefault="00614359" w:rsidP="00C55F68">
            <w:pPr>
              <w:pStyle w:val="TableText"/>
            </w:pPr>
            <w:r w:rsidRPr="00B623DB">
              <w:t>Section 100 (Highly Specialised Drugs Program) Public and Private</w:t>
            </w:r>
          </w:p>
        </w:tc>
      </w:tr>
      <w:tr w:rsidR="00614359" w:rsidRPr="00B623DB" w:rsidTr="00C55F6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614359" w:rsidRPr="00B623DB" w:rsidRDefault="00614359" w:rsidP="00C55F68">
            <w:pPr>
              <w:pStyle w:val="TableText"/>
            </w:pPr>
            <w:r w:rsidRPr="00B623DB">
              <w:t>Prescriber type:</w:t>
            </w:r>
          </w:p>
        </w:tc>
        <w:tc>
          <w:tcPr>
            <w:tcW w:w="3897" w:type="pct"/>
            <w:gridSpan w:val="4"/>
            <w:tcBorders>
              <w:top w:val="single" w:sz="4" w:space="0" w:color="auto"/>
              <w:left w:val="single" w:sz="4" w:space="0" w:color="auto"/>
              <w:bottom w:val="single" w:sz="4" w:space="0" w:color="auto"/>
              <w:right w:val="single" w:sz="4" w:space="0" w:color="auto"/>
            </w:tcBorders>
          </w:tcPr>
          <w:p w:rsidR="00614359" w:rsidRPr="00B623DB" w:rsidRDefault="00614359" w:rsidP="00C55F68">
            <w:pPr>
              <w:widowControl w:val="0"/>
              <w:spacing w:before="0" w:after="0"/>
              <w:jc w:val="both"/>
              <w:rPr>
                <w:rFonts w:ascii="Arial Narrow" w:eastAsia="Times New Roman" w:hAnsi="Arial Narrow" w:cs="Arial"/>
                <w:snapToGrid w:val="0"/>
                <w:sz w:val="20"/>
                <w:szCs w:val="20"/>
              </w:rPr>
            </w:pPr>
            <w:r w:rsidRPr="0034605D">
              <w:rPr>
                <w:rFonts w:ascii="Arial Narrow" w:eastAsia="Times New Roman" w:hAnsi="Arial Narrow" w:cs="Arial"/>
                <w:snapToGrid w:val="0"/>
                <w:sz w:val="20"/>
                <w:szCs w:val="20"/>
              </w:rPr>
              <w:fldChar w:fldCharType="begin">
                <w:ffData>
                  <w:name w:val="Check1"/>
                  <w:enabled/>
                  <w:calcOnExit w:val="0"/>
                  <w:checkBox>
                    <w:sizeAuto/>
                    <w:default w:val="0"/>
                  </w:checkBox>
                </w:ffData>
              </w:fldChar>
            </w:r>
            <w:r w:rsidRPr="00B623DB">
              <w:rPr>
                <w:rFonts w:ascii="Arial Narrow" w:eastAsia="Times New Roman" w:hAnsi="Arial Narrow" w:cs="Arial"/>
                <w:snapToGrid w:val="0"/>
                <w:sz w:val="20"/>
                <w:szCs w:val="20"/>
              </w:rPr>
              <w:instrText xml:space="preserve"> FORMCHECKBOX </w:instrText>
            </w:r>
            <w:r w:rsidR="00EA0C20">
              <w:rPr>
                <w:rFonts w:ascii="Arial Narrow" w:eastAsia="Times New Roman" w:hAnsi="Arial Narrow" w:cs="Arial"/>
                <w:snapToGrid w:val="0"/>
                <w:sz w:val="20"/>
                <w:szCs w:val="20"/>
              </w:rPr>
            </w:r>
            <w:r w:rsidR="00EA0C20">
              <w:rPr>
                <w:rFonts w:ascii="Arial Narrow" w:eastAsia="Times New Roman" w:hAnsi="Arial Narrow" w:cs="Arial"/>
                <w:snapToGrid w:val="0"/>
                <w:sz w:val="20"/>
                <w:szCs w:val="20"/>
              </w:rPr>
              <w:fldChar w:fldCharType="separate"/>
            </w:r>
            <w:r w:rsidRPr="0034605D">
              <w:rPr>
                <w:rFonts w:ascii="Arial Narrow" w:eastAsia="Times New Roman" w:hAnsi="Arial Narrow" w:cs="Arial"/>
                <w:snapToGrid w:val="0"/>
                <w:sz w:val="20"/>
                <w:szCs w:val="20"/>
              </w:rPr>
              <w:fldChar w:fldCharType="end"/>
            </w:r>
            <w:r w:rsidRPr="00B623DB">
              <w:rPr>
                <w:rFonts w:ascii="Arial Narrow" w:eastAsia="Times New Roman" w:hAnsi="Arial Narrow" w:cs="Arial"/>
                <w:snapToGrid w:val="0"/>
                <w:sz w:val="20"/>
                <w:szCs w:val="20"/>
              </w:rPr>
              <w:t xml:space="preserve">Dental  </w:t>
            </w:r>
            <w:r w:rsidRPr="0034605D">
              <w:rPr>
                <w:rFonts w:ascii="Arial Narrow" w:eastAsia="Times New Roman" w:hAnsi="Arial Narrow" w:cs="Arial"/>
                <w:snapToGrid w:val="0"/>
                <w:sz w:val="20"/>
                <w:szCs w:val="20"/>
              </w:rPr>
              <w:fldChar w:fldCharType="begin">
                <w:ffData>
                  <w:name w:val=""/>
                  <w:enabled/>
                  <w:calcOnExit w:val="0"/>
                  <w:checkBox>
                    <w:sizeAuto/>
                    <w:default w:val="1"/>
                  </w:checkBox>
                </w:ffData>
              </w:fldChar>
            </w:r>
            <w:r w:rsidRPr="00B623DB">
              <w:rPr>
                <w:rFonts w:ascii="Arial Narrow" w:eastAsia="Times New Roman" w:hAnsi="Arial Narrow" w:cs="Arial"/>
                <w:snapToGrid w:val="0"/>
                <w:sz w:val="20"/>
                <w:szCs w:val="20"/>
              </w:rPr>
              <w:instrText xml:space="preserve"> FORMCHECKBOX </w:instrText>
            </w:r>
            <w:r w:rsidR="00EA0C20">
              <w:rPr>
                <w:rFonts w:ascii="Arial Narrow" w:eastAsia="Times New Roman" w:hAnsi="Arial Narrow" w:cs="Arial"/>
                <w:snapToGrid w:val="0"/>
                <w:sz w:val="20"/>
                <w:szCs w:val="20"/>
              </w:rPr>
            </w:r>
            <w:r w:rsidR="00EA0C20">
              <w:rPr>
                <w:rFonts w:ascii="Arial Narrow" w:eastAsia="Times New Roman" w:hAnsi="Arial Narrow" w:cs="Arial"/>
                <w:snapToGrid w:val="0"/>
                <w:sz w:val="20"/>
                <w:szCs w:val="20"/>
              </w:rPr>
              <w:fldChar w:fldCharType="separate"/>
            </w:r>
            <w:r w:rsidRPr="0034605D">
              <w:rPr>
                <w:rFonts w:ascii="Arial Narrow" w:eastAsia="Times New Roman" w:hAnsi="Arial Narrow" w:cs="Arial"/>
                <w:snapToGrid w:val="0"/>
                <w:sz w:val="20"/>
                <w:szCs w:val="20"/>
              </w:rPr>
              <w:fldChar w:fldCharType="end"/>
            </w:r>
            <w:r w:rsidRPr="00B623DB">
              <w:rPr>
                <w:rFonts w:ascii="Arial Narrow" w:eastAsia="Times New Roman" w:hAnsi="Arial Narrow" w:cs="Arial"/>
                <w:snapToGrid w:val="0"/>
                <w:sz w:val="20"/>
                <w:szCs w:val="20"/>
              </w:rPr>
              <w:t xml:space="preserve">Medical Practitioners  </w:t>
            </w:r>
            <w:r w:rsidRPr="0034605D">
              <w:rPr>
                <w:rFonts w:ascii="Arial Narrow" w:eastAsia="Times New Roman" w:hAnsi="Arial Narrow" w:cs="Arial"/>
                <w:snapToGrid w:val="0"/>
                <w:sz w:val="20"/>
                <w:szCs w:val="20"/>
              </w:rPr>
              <w:fldChar w:fldCharType="begin">
                <w:ffData>
                  <w:name w:val="Check3"/>
                  <w:enabled/>
                  <w:calcOnExit w:val="0"/>
                  <w:checkBox>
                    <w:sizeAuto/>
                    <w:default w:val="0"/>
                  </w:checkBox>
                </w:ffData>
              </w:fldChar>
            </w:r>
            <w:r w:rsidRPr="00B623DB">
              <w:rPr>
                <w:rFonts w:ascii="Arial Narrow" w:eastAsia="Times New Roman" w:hAnsi="Arial Narrow" w:cs="Arial"/>
                <w:snapToGrid w:val="0"/>
                <w:sz w:val="20"/>
                <w:szCs w:val="20"/>
              </w:rPr>
              <w:instrText xml:space="preserve"> FORMCHECKBOX </w:instrText>
            </w:r>
            <w:r w:rsidR="00EA0C20">
              <w:rPr>
                <w:rFonts w:ascii="Arial Narrow" w:eastAsia="Times New Roman" w:hAnsi="Arial Narrow" w:cs="Arial"/>
                <w:snapToGrid w:val="0"/>
                <w:sz w:val="20"/>
                <w:szCs w:val="20"/>
              </w:rPr>
            </w:r>
            <w:r w:rsidR="00EA0C20">
              <w:rPr>
                <w:rFonts w:ascii="Arial Narrow" w:eastAsia="Times New Roman" w:hAnsi="Arial Narrow" w:cs="Arial"/>
                <w:snapToGrid w:val="0"/>
                <w:sz w:val="20"/>
                <w:szCs w:val="20"/>
              </w:rPr>
              <w:fldChar w:fldCharType="separate"/>
            </w:r>
            <w:r w:rsidRPr="0034605D">
              <w:rPr>
                <w:rFonts w:ascii="Arial Narrow" w:eastAsia="Times New Roman" w:hAnsi="Arial Narrow" w:cs="Arial"/>
                <w:snapToGrid w:val="0"/>
                <w:sz w:val="20"/>
                <w:szCs w:val="20"/>
              </w:rPr>
              <w:fldChar w:fldCharType="end"/>
            </w:r>
            <w:r w:rsidRPr="00B623DB">
              <w:rPr>
                <w:rFonts w:ascii="Arial Narrow" w:eastAsia="Times New Roman" w:hAnsi="Arial Narrow" w:cs="Arial"/>
                <w:snapToGrid w:val="0"/>
                <w:sz w:val="20"/>
                <w:szCs w:val="20"/>
              </w:rPr>
              <w:t xml:space="preserve">Nurse practitioners  </w:t>
            </w:r>
          </w:p>
          <w:p w:rsidR="00614359" w:rsidRPr="00B623DB" w:rsidRDefault="00614359" w:rsidP="00C55F68">
            <w:pPr>
              <w:pStyle w:val="TableText"/>
            </w:pPr>
            <w:r w:rsidRPr="0034605D">
              <w:rPr>
                <w:rFonts w:eastAsia="Times New Roman" w:cs="Arial"/>
                <w:snapToGrid w:val="0"/>
                <w:szCs w:val="20"/>
              </w:rPr>
              <w:fldChar w:fldCharType="begin">
                <w:ffData>
                  <w:name w:val=""/>
                  <w:enabled/>
                  <w:calcOnExit w:val="0"/>
                  <w:checkBox>
                    <w:sizeAuto/>
                    <w:default w:val="0"/>
                  </w:checkBox>
                </w:ffData>
              </w:fldChar>
            </w:r>
            <w:r w:rsidRPr="00B623DB">
              <w:rPr>
                <w:rFonts w:eastAsia="Times New Roman" w:cs="Arial"/>
                <w:snapToGrid w:val="0"/>
                <w:szCs w:val="20"/>
              </w:rPr>
              <w:instrText xml:space="preserve"> FORMCHECKBOX </w:instrText>
            </w:r>
            <w:r w:rsidR="00EA0C20">
              <w:rPr>
                <w:rFonts w:eastAsia="Times New Roman" w:cs="Arial"/>
                <w:snapToGrid w:val="0"/>
                <w:szCs w:val="20"/>
              </w:rPr>
            </w:r>
            <w:r w:rsidR="00EA0C20">
              <w:rPr>
                <w:rFonts w:eastAsia="Times New Roman" w:cs="Arial"/>
                <w:snapToGrid w:val="0"/>
                <w:szCs w:val="20"/>
              </w:rPr>
              <w:fldChar w:fldCharType="separate"/>
            </w:r>
            <w:r w:rsidRPr="0034605D">
              <w:rPr>
                <w:rFonts w:eastAsia="Times New Roman" w:cs="Arial"/>
                <w:snapToGrid w:val="0"/>
                <w:szCs w:val="20"/>
              </w:rPr>
              <w:fldChar w:fldCharType="end"/>
            </w:r>
            <w:r w:rsidRPr="00B623DB">
              <w:rPr>
                <w:rFonts w:eastAsia="Times New Roman" w:cs="Arial"/>
                <w:snapToGrid w:val="0"/>
                <w:szCs w:val="20"/>
              </w:rPr>
              <w:t xml:space="preserve">Optometrists </w:t>
            </w:r>
            <w:r w:rsidRPr="0034605D">
              <w:rPr>
                <w:rFonts w:eastAsia="Times New Roman" w:cs="Arial"/>
                <w:snapToGrid w:val="0"/>
                <w:szCs w:val="20"/>
              </w:rPr>
              <w:fldChar w:fldCharType="begin">
                <w:ffData>
                  <w:name w:val="Check5"/>
                  <w:enabled/>
                  <w:calcOnExit w:val="0"/>
                  <w:checkBox>
                    <w:sizeAuto/>
                    <w:default w:val="0"/>
                  </w:checkBox>
                </w:ffData>
              </w:fldChar>
            </w:r>
            <w:r w:rsidRPr="00B623DB">
              <w:rPr>
                <w:rFonts w:eastAsia="Times New Roman" w:cs="Arial"/>
                <w:snapToGrid w:val="0"/>
                <w:szCs w:val="20"/>
              </w:rPr>
              <w:instrText xml:space="preserve"> FORMCHECKBOX </w:instrText>
            </w:r>
            <w:r w:rsidR="00EA0C20">
              <w:rPr>
                <w:rFonts w:eastAsia="Times New Roman" w:cs="Arial"/>
                <w:snapToGrid w:val="0"/>
                <w:szCs w:val="20"/>
              </w:rPr>
            </w:r>
            <w:r w:rsidR="00EA0C20">
              <w:rPr>
                <w:rFonts w:eastAsia="Times New Roman" w:cs="Arial"/>
                <w:snapToGrid w:val="0"/>
                <w:szCs w:val="20"/>
              </w:rPr>
              <w:fldChar w:fldCharType="separate"/>
            </w:r>
            <w:r w:rsidRPr="0034605D">
              <w:rPr>
                <w:rFonts w:eastAsia="Times New Roman" w:cs="Arial"/>
                <w:snapToGrid w:val="0"/>
                <w:szCs w:val="20"/>
              </w:rPr>
              <w:fldChar w:fldCharType="end"/>
            </w:r>
            <w:r w:rsidRPr="00B623DB">
              <w:rPr>
                <w:rFonts w:eastAsia="Times New Roman" w:cs="Arial"/>
                <w:snapToGrid w:val="0"/>
                <w:szCs w:val="20"/>
              </w:rPr>
              <w:t xml:space="preserve">Midwives </w:t>
            </w:r>
          </w:p>
        </w:tc>
      </w:tr>
      <w:tr w:rsidR="00614359" w:rsidRPr="00B623DB" w:rsidTr="00C55F6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614359" w:rsidRPr="00B623DB" w:rsidRDefault="00614359" w:rsidP="00C55F68">
            <w:pPr>
              <w:pStyle w:val="TableText"/>
            </w:pPr>
            <w:r w:rsidRPr="00B623DB">
              <w:t>Severity:</w:t>
            </w:r>
          </w:p>
        </w:tc>
        <w:tc>
          <w:tcPr>
            <w:tcW w:w="3897" w:type="pct"/>
            <w:gridSpan w:val="4"/>
            <w:tcBorders>
              <w:top w:val="single" w:sz="4" w:space="0" w:color="auto"/>
              <w:left w:val="single" w:sz="4" w:space="0" w:color="auto"/>
              <w:bottom w:val="single" w:sz="4" w:space="0" w:color="auto"/>
              <w:right w:val="single" w:sz="4" w:space="0" w:color="auto"/>
            </w:tcBorders>
          </w:tcPr>
          <w:p w:rsidR="00614359" w:rsidRPr="00B623DB" w:rsidRDefault="00614359" w:rsidP="00C55F68">
            <w:pPr>
              <w:widowControl w:val="0"/>
              <w:spacing w:before="0" w:after="0"/>
              <w:jc w:val="both"/>
              <w:rPr>
                <w:rFonts w:ascii="Arial Narrow" w:eastAsia="Times New Roman" w:hAnsi="Arial Narrow" w:cs="Arial"/>
                <w:snapToGrid w:val="0"/>
                <w:sz w:val="20"/>
                <w:szCs w:val="20"/>
              </w:rPr>
            </w:pPr>
            <w:r w:rsidRPr="00B623DB">
              <w:rPr>
                <w:rFonts w:ascii="Arial Narrow" w:eastAsia="Times New Roman" w:hAnsi="Arial Narrow" w:cs="Arial"/>
                <w:snapToGrid w:val="0"/>
                <w:sz w:val="20"/>
                <w:szCs w:val="20"/>
              </w:rPr>
              <w:t xml:space="preserve">Moderate to severe </w:t>
            </w:r>
          </w:p>
        </w:tc>
      </w:tr>
      <w:tr w:rsidR="00614359" w:rsidRPr="00B623DB" w:rsidTr="00C55F6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614359" w:rsidRPr="00B623DB" w:rsidRDefault="00614359" w:rsidP="00C55F68">
            <w:pPr>
              <w:pStyle w:val="TableText"/>
            </w:pPr>
            <w:r w:rsidRPr="00B623DB">
              <w:t>Condition:</w:t>
            </w:r>
          </w:p>
        </w:tc>
        <w:tc>
          <w:tcPr>
            <w:tcW w:w="3897" w:type="pct"/>
            <w:gridSpan w:val="4"/>
            <w:tcBorders>
              <w:top w:val="single" w:sz="4" w:space="0" w:color="auto"/>
              <w:left w:val="single" w:sz="4" w:space="0" w:color="auto"/>
              <w:bottom w:val="single" w:sz="4" w:space="0" w:color="auto"/>
              <w:right w:val="single" w:sz="4" w:space="0" w:color="auto"/>
            </w:tcBorders>
          </w:tcPr>
          <w:p w:rsidR="00614359" w:rsidRPr="00B623DB" w:rsidRDefault="00614359" w:rsidP="00C55F68">
            <w:pPr>
              <w:widowControl w:val="0"/>
              <w:spacing w:before="0" w:after="0"/>
              <w:jc w:val="both"/>
              <w:rPr>
                <w:rFonts w:ascii="Arial Narrow" w:eastAsia="Times New Roman" w:hAnsi="Arial Narrow" w:cs="Arial"/>
                <w:snapToGrid w:val="0"/>
                <w:sz w:val="20"/>
                <w:szCs w:val="20"/>
              </w:rPr>
            </w:pPr>
            <w:r w:rsidRPr="00B623DB">
              <w:rPr>
                <w:rFonts w:ascii="Arial Narrow" w:eastAsia="Times New Roman" w:hAnsi="Arial Narrow" w:cs="Arial"/>
                <w:snapToGrid w:val="0"/>
                <w:sz w:val="20"/>
                <w:szCs w:val="20"/>
              </w:rPr>
              <w:t>cryopyrin associated periodic syndromes (CAPS)</w:t>
            </w:r>
          </w:p>
        </w:tc>
      </w:tr>
      <w:tr w:rsidR="00614359" w:rsidRPr="00B623DB" w:rsidTr="00C55F6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614359" w:rsidRPr="00B623DB" w:rsidRDefault="00614359" w:rsidP="00C55F68">
            <w:pPr>
              <w:pStyle w:val="TableText"/>
              <w:rPr>
                <w:rFonts w:ascii="Times" w:eastAsia="Times New Roman" w:hAnsi="Times" w:cs="Times New Roman"/>
                <w:szCs w:val="20"/>
              </w:rPr>
            </w:pPr>
            <w:r w:rsidRPr="00B623DB">
              <w:t>PBS Indication:</w:t>
            </w:r>
          </w:p>
        </w:tc>
        <w:tc>
          <w:tcPr>
            <w:tcW w:w="3897" w:type="pct"/>
            <w:gridSpan w:val="4"/>
            <w:tcBorders>
              <w:top w:val="single" w:sz="4" w:space="0" w:color="auto"/>
              <w:left w:val="single" w:sz="4" w:space="0" w:color="auto"/>
              <w:bottom w:val="single" w:sz="4" w:space="0" w:color="auto"/>
              <w:right w:val="single" w:sz="4" w:space="0" w:color="auto"/>
            </w:tcBorders>
          </w:tcPr>
          <w:p w:rsidR="00614359" w:rsidRPr="00B623DB" w:rsidRDefault="00614359" w:rsidP="00C55F68">
            <w:pPr>
              <w:pStyle w:val="TableText"/>
            </w:pPr>
            <w:r w:rsidRPr="00B623DB">
              <w:t>Moderate to severe cryopyrin associated periodic syndromes</w:t>
            </w:r>
          </w:p>
        </w:tc>
      </w:tr>
      <w:tr w:rsidR="00614359" w:rsidRPr="00B623DB" w:rsidTr="00C55F6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614359" w:rsidRPr="00B623DB" w:rsidRDefault="00614359" w:rsidP="00C55F68">
            <w:pPr>
              <w:pStyle w:val="TableText"/>
            </w:pPr>
            <w:r w:rsidRPr="00B623DB">
              <w:t>Restriction Level/Method:</w:t>
            </w:r>
          </w:p>
        </w:tc>
        <w:tc>
          <w:tcPr>
            <w:tcW w:w="3897" w:type="pct"/>
            <w:gridSpan w:val="4"/>
            <w:tcBorders>
              <w:top w:val="single" w:sz="4" w:space="0" w:color="auto"/>
              <w:left w:val="single" w:sz="4" w:space="0" w:color="auto"/>
              <w:bottom w:val="single" w:sz="4" w:space="0" w:color="auto"/>
              <w:right w:val="single" w:sz="4" w:space="0" w:color="auto"/>
            </w:tcBorders>
          </w:tcPr>
          <w:p w:rsidR="00614359" w:rsidRPr="00B623DB" w:rsidRDefault="00614359" w:rsidP="00C55F68">
            <w:pPr>
              <w:widowControl w:val="0"/>
              <w:spacing w:before="0" w:after="0"/>
              <w:jc w:val="both"/>
              <w:rPr>
                <w:rFonts w:ascii="Arial Narrow" w:eastAsia="Times New Roman" w:hAnsi="Arial Narrow" w:cs="Arial"/>
                <w:snapToGrid w:val="0"/>
                <w:sz w:val="20"/>
                <w:szCs w:val="20"/>
              </w:rPr>
            </w:pPr>
            <w:r w:rsidRPr="0034605D">
              <w:rPr>
                <w:rFonts w:ascii="Arial Narrow" w:eastAsia="Times New Roman" w:hAnsi="Arial Narrow" w:cs="Arial"/>
                <w:snapToGrid w:val="0"/>
                <w:sz w:val="20"/>
                <w:szCs w:val="20"/>
              </w:rPr>
              <w:fldChar w:fldCharType="begin">
                <w:ffData>
                  <w:name w:val="Check1"/>
                  <w:enabled/>
                  <w:calcOnExit w:val="0"/>
                  <w:checkBox>
                    <w:sizeAuto/>
                    <w:default w:val="0"/>
                  </w:checkBox>
                </w:ffData>
              </w:fldChar>
            </w:r>
            <w:r w:rsidRPr="00B623DB">
              <w:rPr>
                <w:rFonts w:ascii="Arial Narrow" w:eastAsia="Times New Roman" w:hAnsi="Arial Narrow" w:cs="Arial"/>
                <w:snapToGrid w:val="0"/>
                <w:sz w:val="20"/>
                <w:szCs w:val="20"/>
              </w:rPr>
              <w:instrText xml:space="preserve"> FORMCHECKBOX </w:instrText>
            </w:r>
            <w:r w:rsidR="00EA0C20">
              <w:rPr>
                <w:rFonts w:ascii="Arial Narrow" w:eastAsia="Times New Roman" w:hAnsi="Arial Narrow" w:cs="Arial"/>
                <w:snapToGrid w:val="0"/>
                <w:sz w:val="20"/>
                <w:szCs w:val="20"/>
              </w:rPr>
            </w:r>
            <w:r w:rsidR="00EA0C20">
              <w:rPr>
                <w:rFonts w:ascii="Arial Narrow" w:eastAsia="Times New Roman" w:hAnsi="Arial Narrow" w:cs="Arial"/>
                <w:snapToGrid w:val="0"/>
                <w:sz w:val="20"/>
                <w:szCs w:val="20"/>
              </w:rPr>
              <w:fldChar w:fldCharType="separate"/>
            </w:r>
            <w:r w:rsidRPr="0034605D">
              <w:rPr>
                <w:rFonts w:ascii="Arial Narrow" w:eastAsia="Times New Roman" w:hAnsi="Arial Narrow" w:cs="Arial"/>
                <w:snapToGrid w:val="0"/>
                <w:sz w:val="20"/>
                <w:szCs w:val="20"/>
              </w:rPr>
              <w:fldChar w:fldCharType="end"/>
            </w:r>
            <w:r w:rsidRPr="00B623DB">
              <w:rPr>
                <w:rFonts w:ascii="Arial Narrow" w:eastAsia="Times New Roman" w:hAnsi="Arial Narrow" w:cs="Arial"/>
                <w:snapToGrid w:val="0"/>
                <w:sz w:val="20"/>
                <w:szCs w:val="20"/>
              </w:rPr>
              <w:t>Restricted benefit</w:t>
            </w:r>
          </w:p>
          <w:p w:rsidR="00614359" w:rsidRPr="00B623DB" w:rsidRDefault="00614359" w:rsidP="00C55F68">
            <w:pPr>
              <w:widowControl w:val="0"/>
              <w:spacing w:before="0" w:after="0"/>
              <w:jc w:val="both"/>
              <w:rPr>
                <w:rFonts w:ascii="Arial Narrow" w:eastAsia="Times New Roman" w:hAnsi="Arial Narrow" w:cs="Arial"/>
                <w:snapToGrid w:val="0"/>
                <w:sz w:val="20"/>
                <w:szCs w:val="20"/>
              </w:rPr>
            </w:pPr>
            <w:r w:rsidRPr="0034605D">
              <w:rPr>
                <w:rFonts w:ascii="Arial Narrow" w:eastAsia="Times New Roman" w:hAnsi="Arial Narrow" w:cs="Arial"/>
                <w:snapToGrid w:val="0"/>
                <w:sz w:val="20"/>
                <w:szCs w:val="20"/>
              </w:rPr>
              <w:fldChar w:fldCharType="begin">
                <w:ffData>
                  <w:name w:val=""/>
                  <w:enabled/>
                  <w:calcOnExit w:val="0"/>
                  <w:checkBox>
                    <w:sizeAuto/>
                    <w:default w:val="0"/>
                  </w:checkBox>
                </w:ffData>
              </w:fldChar>
            </w:r>
            <w:r w:rsidRPr="00B623DB">
              <w:rPr>
                <w:rFonts w:ascii="Arial Narrow" w:eastAsia="Times New Roman" w:hAnsi="Arial Narrow" w:cs="Arial"/>
                <w:snapToGrid w:val="0"/>
                <w:sz w:val="20"/>
                <w:szCs w:val="20"/>
              </w:rPr>
              <w:instrText xml:space="preserve"> FORMCHECKBOX </w:instrText>
            </w:r>
            <w:r w:rsidR="00EA0C20">
              <w:rPr>
                <w:rFonts w:ascii="Arial Narrow" w:eastAsia="Times New Roman" w:hAnsi="Arial Narrow" w:cs="Arial"/>
                <w:snapToGrid w:val="0"/>
                <w:sz w:val="20"/>
                <w:szCs w:val="20"/>
              </w:rPr>
            </w:r>
            <w:r w:rsidR="00EA0C20">
              <w:rPr>
                <w:rFonts w:ascii="Arial Narrow" w:eastAsia="Times New Roman" w:hAnsi="Arial Narrow" w:cs="Arial"/>
                <w:snapToGrid w:val="0"/>
                <w:sz w:val="20"/>
                <w:szCs w:val="20"/>
              </w:rPr>
              <w:fldChar w:fldCharType="separate"/>
            </w:r>
            <w:r w:rsidRPr="0034605D">
              <w:rPr>
                <w:rFonts w:ascii="Arial Narrow" w:eastAsia="Times New Roman" w:hAnsi="Arial Narrow" w:cs="Arial"/>
                <w:snapToGrid w:val="0"/>
                <w:sz w:val="20"/>
                <w:szCs w:val="20"/>
              </w:rPr>
              <w:fldChar w:fldCharType="end"/>
            </w:r>
            <w:r w:rsidRPr="00B623DB">
              <w:rPr>
                <w:rFonts w:ascii="Arial Narrow" w:eastAsia="Times New Roman" w:hAnsi="Arial Narrow" w:cs="Arial"/>
                <w:snapToGrid w:val="0"/>
                <w:sz w:val="20"/>
                <w:szCs w:val="20"/>
              </w:rPr>
              <w:t>Authority Required - In Writing</w:t>
            </w:r>
          </w:p>
          <w:p w:rsidR="00614359" w:rsidRPr="00B623DB" w:rsidRDefault="00614359" w:rsidP="00C55F68">
            <w:pPr>
              <w:widowControl w:val="0"/>
              <w:spacing w:before="0" w:after="0"/>
              <w:jc w:val="both"/>
              <w:rPr>
                <w:rFonts w:ascii="Arial Narrow" w:eastAsia="Times New Roman" w:hAnsi="Arial Narrow" w:cs="Arial"/>
                <w:snapToGrid w:val="0"/>
                <w:sz w:val="20"/>
                <w:szCs w:val="20"/>
              </w:rPr>
            </w:pPr>
            <w:r w:rsidRPr="0034605D">
              <w:rPr>
                <w:rFonts w:ascii="Arial Narrow" w:eastAsia="Times New Roman" w:hAnsi="Arial Narrow" w:cs="Arial"/>
                <w:snapToGrid w:val="0"/>
                <w:sz w:val="20"/>
                <w:szCs w:val="20"/>
              </w:rPr>
              <w:fldChar w:fldCharType="begin">
                <w:ffData>
                  <w:name w:val="Check3"/>
                  <w:enabled/>
                  <w:calcOnExit w:val="0"/>
                  <w:checkBox>
                    <w:sizeAuto/>
                    <w:default w:val="0"/>
                  </w:checkBox>
                </w:ffData>
              </w:fldChar>
            </w:r>
            <w:r w:rsidRPr="00B623DB">
              <w:rPr>
                <w:rFonts w:ascii="Arial Narrow" w:eastAsia="Times New Roman" w:hAnsi="Arial Narrow" w:cs="Arial"/>
                <w:snapToGrid w:val="0"/>
                <w:sz w:val="20"/>
                <w:szCs w:val="20"/>
              </w:rPr>
              <w:instrText xml:space="preserve"> FORMCHECKBOX </w:instrText>
            </w:r>
            <w:r w:rsidR="00EA0C20">
              <w:rPr>
                <w:rFonts w:ascii="Arial Narrow" w:eastAsia="Times New Roman" w:hAnsi="Arial Narrow" w:cs="Arial"/>
                <w:snapToGrid w:val="0"/>
                <w:sz w:val="20"/>
                <w:szCs w:val="20"/>
              </w:rPr>
            </w:r>
            <w:r w:rsidR="00EA0C20">
              <w:rPr>
                <w:rFonts w:ascii="Arial Narrow" w:eastAsia="Times New Roman" w:hAnsi="Arial Narrow" w:cs="Arial"/>
                <w:snapToGrid w:val="0"/>
                <w:sz w:val="20"/>
                <w:szCs w:val="20"/>
              </w:rPr>
              <w:fldChar w:fldCharType="separate"/>
            </w:r>
            <w:r w:rsidRPr="0034605D">
              <w:rPr>
                <w:rFonts w:ascii="Arial Narrow" w:eastAsia="Times New Roman" w:hAnsi="Arial Narrow" w:cs="Arial"/>
                <w:snapToGrid w:val="0"/>
                <w:sz w:val="20"/>
                <w:szCs w:val="20"/>
              </w:rPr>
              <w:fldChar w:fldCharType="end"/>
            </w:r>
            <w:r w:rsidRPr="00B623DB">
              <w:rPr>
                <w:rFonts w:ascii="Arial Narrow" w:eastAsia="Times New Roman" w:hAnsi="Arial Narrow" w:cs="Arial"/>
                <w:snapToGrid w:val="0"/>
                <w:sz w:val="20"/>
                <w:szCs w:val="20"/>
              </w:rPr>
              <w:t>Authority Required - Telephone</w:t>
            </w:r>
          </w:p>
          <w:p w:rsidR="00614359" w:rsidRPr="00B623DB" w:rsidRDefault="00614359" w:rsidP="00C55F68">
            <w:pPr>
              <w:widowControl w:val="0"/>
              <w:spacing w:before="0" w:after="0"/>
              <w:jc w:val="both"/>
              <w:rPr>
                <w:rFonts w:ascii="Arial Narrow" w:eastAsia="Times New Roman" w:hAnsi="Arial Narrow" w:cs="Arial"/>
                <w:snapToGrid w:val="0"/>
                <w:sz w:val="20"/>
                <w:szCs w:val="20"/>
              </w:rPr>
            </w:pPr>
            <w:r w:rsidRPr="0034605D">
              <w:rPr>
                <w:rFonts w:ascii="Arial Narrow" w:eastAsia="Times New Roman" w:hAnsi="Arial Narrow" w:cs="Arial"/>
                <w:snapToGrid w:val="0"/>
                <w:sz w:val="20"/>
                <w:szCs w:val="20"/>
              </w:rPr>
              <w:fldChar w:fldCharType="begin">
                <w:ffData>
                  <w:name w:val="Check1"/>
                  <w:enabled/>
                  <w:calcOnExit w:val="0"/>
                  <w:checkBox>
                    <w:sizeAuto/>
                    <w:default w:val="0"/>
                  </w:checkBox>
                </w:ffData>
              </w:fldChar>
            </w:r>
            <w:r w:rsidRPr="00B623DB">
              <w:rPr>
                <w:rFonts w:ascii="Arial Narrow" w:eastAsia="Times New Roman" w:hAnsi="Arial Narrow" w:cs="Arial"/>
                <w:snapToGrid w:val="0"/>
                <w:sz w:val="20"/>
                <w:szCs w:val="20"/>
              </w:rPr>
              <w:instrText xml:space="preserve"> FORMCHECKBOX </w:instrText>
            </w:r>
            <w:r w:rsidR="00EA0C20">
              <w:rPr>
                <w:rFonts w:ascii="Arial Narrow" w:eastAsia="Times New Roman" w:hAnsi="Arial Narrow" w:cs="Arial"/>
                <w:snapToGrid w:val="0"/>
                <w:sz w:val="20"/>
                <w:szCs w:val="20"/>
              </w:rPr>
            </w:r>
            <w:r w:rsidR="00EA0C20">
              <w:rPr>
                <w:rFonts w:ascii="Arial Narrow" w:eastAsia="Times New Roman" w:hAnsi="Arial Narrow" w:cs="Arial"/>
                <w:snapToGrid w:val="0"/>
                <w:sz w:val="20"/>
                <w:szCs w:val="20"/>
              </w:rPr>
              <w:fldChar w:fldCharType="separate"/>
            </w:r>
            <w:r w:rsidRPr="0034605D">
              <w:rPr>
                <w:rFonts w:ascii="Arial Narrow" w:eastAsia="Times New Roman" w:hAnsi="Arial Narrow" w:cs="Arial"/>
                <w:snapToGrid w:val="0"/>
                <w:sz w:val="20"/>
                <w:szCs w:val="20"/>
              </w:rPr>
              <w:fldChar w:fldCharType="end"/>
            </w:r>
            <w:r w:rsidRPr="00B623DB">
              <w:rPr>
                <w:rFonts w:ascii="Arial Narrow" w:eastAsia="Times New Roman" w:hAnsi="Arial Narrow" w:cs="Arial"/>
                <w:snapToGrid w:val="0"/>
                <w:sz w:val="20"/>
                <w:szCs w:val="20"/>
              </w:rPr>
              <w:t>Authority Required - Emergency</w:t>
            </w:r>
          </w:p>
          <w:p w:rsidR="00614359" w:rsidRPr="00B623DB" w:rsidRDefault="00614359" w:rsidP="00C55F68">
            <w:pPr>
              <w:widowControl w:val="0"/>
              <w:spacing w:before="0" w:after="0"/>
              <w:jc w:val="both"/>
              <w:rPr>
                <w:rFonts w:ascii="Arial Narrow" w:eastAsia="Times New Roman" w:hAnsi="Arial Narrow" w:cs="Arial"/>
                <w:snapToGrid w:val="0"/>
                <w:sz w:val="20"/>
                <w:szCs w:val="20"/>
              </w:rPr>
            </w:pPr>
            <w:r w:rsidRPr="0034605D">
              <w:rPr>
                <w:rFonts w:ascii="Arial Narrow" w:eastAsia="Times New Roman" w:hAnsi="Arial Narrow" w:cs="Arial"/>
                <w:snapToGrid w:val="0"/>
                <w:sz w:val="20"/>
                <w:szCs w:val="20"/>
              </w:rPr>
              <w:fldChar w:fldCharType="begin">
                <w:ffData>
                  <w:name w:val=""/>
                  <w:enabled/>
                  <w:calcOnExit w:val="0"/>
                  <w:checkBox>
                    <w:sizeAuto/>
                    <w:default w:val="0"/>
                  </w:checkBox>
                </w:ffData>
              </w:fldChar>
            </w:r>
            <w:r w:rsidRPr="00B623DB">
              <w:rPr>
                <w:rFonts w:ascii="Arial Narrow" w:eastAsia="Times New Roman" w:hAnsi="Arial Narrow" w:cs="Arial"/>
                <w:snapToGrid w:val="0"/>
                <w:sz w:val="20"/>
                <w:szCs w:val="20"/>
              </w:rPr>
              <w:instrText xml:space="preserve"> FORMCHECKBOX </w:instrText>
            </w:r>
            <w:r w:rsidR="00EA0C20">
              <w:rPr>
                <w:rFonts w:ascii="Arial Narrow" w:eastAsia="Times New Roman" w:hAnsi="Arial Narrow" w:cs="Arial"/>
                <w:snapToGrid w:val="0"/>
                <w:sz w:val="20"/>
                <w:szCs w:val="20"/>
              </w:rPr>
            </w:r>
            <w:r w:rsidR="00EA0C20">
              <w:rPr>
                <w:rFonts w:ascii="Arial Narrow" w:eastAsia="Times New Roman" w:hAnsi="Arial Narrow" w:cs="Arial"/>
                <w:snapToGrid w:val="0"/>
                <w:sz w:val="20"/>
                <w:szCs w:val="20"/>
              </w:rPr>
              <w:fldChar w:fldCharType="separate"/>
            </w:r>
            <w:r w:rsidRPr="0034605D">
              <w:rPr>
                <w:rFonts w:ascii="Arial Narrow" w:eastAsia="Times New Roman" w:hAnsi="Arial Narrow" w:cs="Arial"/>
                <w:snapToGrid w:val="0"/>
                <w:sz w:val="20"/>
                <w:szCs w:val="20"/>
              </w:rPr>
              <w:fldChar w:fldCharType="end"/>
            </w:r>
            <w:r w:rsidRPr="00B623DB">
              <w:rPr>
                <w:rFonts w:ascii="Arial Narrow" w:eastAsia="Times New Roman" w:hAnsi="Arial Narrow" w:cs="Arial"/>
                <w:snapToGrid w:val="0"/>
                <w:sz w:val="20"/>
                <w:szCs w:val="20"/>
              </w:rPr>
              <w:t>Authority Required - Electronic</w:t>
            </w:r>
          </w:p>
          <w:p w:rsidR="00614359" w:rsidRPr="00B623DB" w:rsidRDefault="00614359" w:rsidP="00C55F68">
            <w:pPr>
              <w:pStyle w:val="TableText"/>
            </w:pPr>
            <w:r w:rsidRPr="0034605D">
              <w:rPr>
                <w:rFonts w:eastAsia="Times New Roman" w:cs="Arial"/>
                <w:snapToGrid w:val="0"/>
                <w:szCs w:val="20"/>
              </w:rPr>
              <w:fldChar w:fldCharType="begin">
                <w:ffData>
                  <w:name w:val="Check5"/>
                  <w:enabled/>
                  <w:calcOnExit w:val="0"/>
                  <w:checkBox>
                    <w:sizeAuto/>
                    <w:default w:val="1"/>
                  </w:checkBox>
                </w:ffData>
              </w:fldChar>
            </w:r>
            <w:r w:rsidRPr="00B623DB">
              <w:rPr>
                <w:rFonts w:eastAsia="Times New Roman" w:cs="Arial"/>
                <w:snapToGrid w:val="0"/>
                <w:szCs w:val="20"/>
              </w:rPr>
              <w:instrText xml:space="preserve"> FORMCHECKBOX </w:instrText>
            </w:r>
            <w:r w:rsidR="00EA0C20">
              <w:rPr>
                <w:rFonts w:eastAsia="Times New Roman" w:cs="Arial"/>
                <w:snapToGrid w:val="0"/>
                <w:szCs w:val="20"/>
              </w:rPr>
            </w:r>
            <w:r w:rsidR="00EA0C20">
              <w:rPr>
                <w:rFonts w:eastAsia="Times New Roman" w:cs="Arial"/>
                <w:snapToGrid w:val="0"/>
                <w:szCs w:val="20"/>
              </w:rPr>
              <w:fldChar w:fldCharType="separate"/>
            </w:r>
            <w:r w:rsidRPr="0034605D">
              <w:rPr>
                <w:rFonts w:eastAsia="Times New Roman" w:cs="Arial"/>
                <w:snapToGrid w:val="0"/>
                <w:szCs w:val="20"/>
              </w:rPr>
              <w:fldChar w:fldCharType="end"/>
            </w:r>
            <w:r w:rsidRPr="00B623DB">
              <w:rPr>
                <w:rFonts w:eastAsia="Times New Roman" w:cs="Arial"/>
                <w:snapToGrid w:val="0"/>
                <w:szCs w:val="20"/>
              </w:rPr>
              <w:t>Streamlined</w:t>
            </w:r>
          </w:p>
        </w:tc>
      </w:tr>
      <w:tr w:rsidR="00614359" w:rsidRPr="00B623DB" w:rsidTr="00C55F6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614359" w:rsidRPr="00B623DB" w:rsidRDefault="00614359" w:rsidP="00C55F68">
            <w:pPr>
              <w:pStyle w:val="TableText"/>
              <w:rPr>
                <w:rFonts w:ascii="Times" w:eastAsia="Times New Roman" w:hAnsi="Times" w:cs="Times New Roman"/>
                <w:szCs w:val="20"/>
              </w:rPr>
            </w:pPr>
            <w:r w:rsidRPr="00B623DB">
              <w:t>Treatment criteria:</w:t>
            </w:r>
          </w:p>
        </w:tc>
        <w:tc>
          <w:tcPr>
            <w:tcW w:w="3897" w:type="pct"/>
            <w:gridSpan w:val="4"/>
            <w:tcBorders>
              <w:top w:val="single" w:sz="4" w:space="0" w:color="auto"/>
              <w:left w:val="single" w:sz="4" w:space="0" w:color="auto"/>
              <w:bottom w:val="single" w:sz="4" w:space="0" w:color="auto"/>
              <w:right w:val="single" w:sz="4" w:space="0" w:color="auto"/>
            </w:tcBorders>
          </w:tcPr>
          <w:p w:rsidR="00614359" w:rsidRPr="00B623DB" w:rsidRDefault="00614359" w:rsidP="00C55F68">
            <w:pPr>
              <w:pStyle w:val="NormalWeb"/>
              <w:numPr>
                <w:ilvl w:val="0"/>
                <w:numId w:val="14"/>
              </w:numPr>
              <w:spacing w:before="0" w:after="0"/>
              <w:ind w:left="0" w:hanging="357"/>
              <w:contextualSpacing/>
              <w:rPr>
                <w:rFonts w:ascii="Arial Narrow" w:hAnsi="Arial Narrow" w:cs="Arial"/>
                <w:color w:val="000000" w:themeColor="text1"/>
                <w:sz w:val="20"/>
                <w:lang w:val="en-AU"/>
              </w:rPr>
            </w:pPr>
            <w:r w:rsidRPr="00B623DB">
              <w:rPr>
                <w:rFonts w:ascii="Arial Narrow" w:hAnsi="Arial Narrow" w:cs="Arial"/>
                <w:color w:val="000000" w:themeColor="text1"/>
                <w:sz w:val="20"/>
                <w:lang w:val="en-AU"/>
              </w:rPr>
              <w:t>Must be treated by a rheumatologist or in consultation with a rheumatologist; OR</w:t>
            </w:r>
          </w:p>
          <w:p w:rsidR="00614359" w:rsidRPr="00B623DB" w:rsidRDefault="00614359" w:rsidP="00C55F68">
            <w:pPr>
              <w:pStyle w:val="NormalWeb"/>
              <w:numPr>
                <w:ilvl w:val="0"/>
                <w:numId w:val="14"/>
              </w:numPr>
              <w:spacing w:before="0" w:after="0"/>
              <w:ind w:left="0" w:hanging="357"/>
              <w:rPr>
                <w:rFonts w:ascii="Arial Narrow" w:hAnsi="Arial Narrow" w:cs="Arial"/>
                <w:color w:val="000000" w:themeColor="text1"/>
                <w:sz w:val="20"/>
                <w:lang w:val="en-AU"/>
              </w:rPr>
            </w:pPr>
            <w:r w:rsidRPr="00B623DB">
              <w:rPr>
                <w:rFonts w:ascii="Arial Narrow" w:hAnsi="Arial Narrow" w:cs="Arial"/>
                <w:color w:val="000000" w:themeColor="text1"/>
                <w:sz w:val="20"/>
                <w:lang w:val="en-AU"/>
              </w:rPr>
              <w:t>Must be treated by a clinical immunologist or in consultation with a clinical immunologist.</w:t>
            </w:r>
          </w:p>
          <w:p w:rsidR="00614359" w:rsidRPr="00B623DB" w:rsidRDefault="00614359" w:rsidP="00C55F68">
            <w:pPr>
              <w:pStyle w:val="TableText"/>
              <w:spacing w:before="0" w:after="0"/>
            </w:pPr>
          </w:p>
        </w:tc>
      </w:tr>
      <w:tr w:rsidR="00614359" w:rsidRPr="00B623DB" w:rsidTr="00C55F6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614359" w:rsidRPr="00B623DB" w:rsidDel="003169AE" w:rsidRDefault="00614359" w:rsidP="00C55F68">
            <w:pPr>
              <w:pStyle w:val="TableText"/>
              <w:rPr>
                <w:i/>
              </w:rPr>
            </w:pPr>
            <w:r w:rsidRPr="00B623DB">
              <w:rPr>
                <w:i/>
              </w:rPr>
              <w:t>Clinical criteria:</w:t>
            </w:r>
          </w:p>
        </w:tc>
        <w:tc>
          <w:tcPr>
            <w:tcW w:w="3897" w:type="pct"/>
            <w:gridSpan w:val="4"/>
            <w:tcBorders>
              <w:top w:val="single" w:sz="4" w:space="0" w:color="auto"/>
              <w:left w:val="single" w:sz="4" w:space="0" w:color="auto"/>
              <w:bottom w:val="single" w:sz="4" w:space="0" w:color="auto"/>
              <w:right w:val="single" w:sz="4" w:space="0" w:color="auto"/>
            </w:tcBorders>
          </w:tcPr>
          <w:p w:rsidR="00614359" w:rsidRPr="00B623DB" w:rsidRDefault="00614359" w:rsidP="00C55F68">
            <w:pPr>
              <w:pStyle w:val="NormalWeb"/>
              <w:numPr>
                <w:ilvl w:val="0"/>
                <w:numId w:val="14"/>
              </w:numPr>
              <w:spacing w:before="0" w:after="0"/>
              <w:ind w:left="0" w:hanging="357"/>
              <w:contextualSpacing/>
              <w:rPr>
                <w:rFonts w:ascii="Arial Narrow" w:hAnsi="Arial Narrow" w:cs="Arial"/>
                <w:i/>
                <w:color w:val="000000" w:themeColor="text1"/>
                <w:sz w:val="20"/>
                <w:lang w:val="en-AU"/>
              </w:rPr>
            </w:pPr>
            <w:r w:rsidRPr="00B623DB">
              <w:rPr>
                <w:rFonts w:ascii="Arial Narrow" w:hAnsi="Arial Narrow" w:cs="Arial"/>
                <w:i/>
                <w:color w:val="000000" w:themeColor="text1"/>
                <w:sz w:val="20"/>
                <w:lang w:val="en-AU"/>
              </w:rPr>
              <w:t>The treatment must be the sole PBS-subsidised biological medicine for this condition.</w:t>
            </w:r>
          </w:p>
        </w:tc>
      </w:tr>
      <w:tr w:rsidR="00614359" w:rsidRPr="00B623DB" w:rsidTr="00C55F6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614359" w:rsidRPr="00B623DB" w:rsidRDefault="00614359" w:rsidP="00C55F68">
            <w:pPr>
              <w:pStyle w:val="TableText"/>
            </w:pPr>
            <w:r w:rsidRPr="00B623DB">
              <w:t>Prescribing Instructions:</w:t>
            </w:r>
          </w:p>
        </w:tc>
        <w:tc>
          <w:tcPr>
            <w:tcW w:w="3897" w:type="pct"/>
            <w:gridSpan w:val="4"/>
            <w:tcBorders>
              <w:top w:val="single" w:sz="4" w:space="0" w:color="auto"/>
              <w:left w:val="single" w:sz="4" w:space="0" w:color="auto"/>
              <w:bottom w:val="single" w:sz="4" w:space="0" w:color="auto"/>
              <w:right w:val="single" w:sz="4" w:space="0" w:color="auto"/>
            </w:tcBorders>
          </w:tcPr>
          <w:p w:rsidR="00614359" w:rsidRPr="00B623DB" w:rsidRDefault="00614359" w:rsidP="00C55F68">
            <w:pPr>
              <w:pStyle w:val="NormalWeb"/>
              <w:spacing w:before="0" w:after="0"/>
              <w:contextualSpacing/>
              <w:rPr>
                <w:rFonts w:ascii="Arial Narrow" w:hAnsi="Arial Narrow" w:cs="Arial"/>
                <w:color w:val="000000" w:themeColor="text1"/>
                <w:sz w:val="20"/>
                <w:lang w:val="en-AU"/>
              </w:rPr>
            </w:pPr>
            <w:r w:rsidRPr="00B623DB">
              <w:rPr>
                <w:rFonts w:ascii="Arial Narrow" w:hAnsi="Arial Narrow" w:cs="Arial"/>
                <w:color w:val="000000" w:themeColor="text1"/>
                <w:sz w:val="20"/>
                <w:lang w:val="en-AU"/>
              </w:rPr>
              <w:t xml:space="preserve">A diagnosis of CAPS must be documented in the patient's medical records. </w:t>
            </w:r>
          </w:p>
        </w:tc>
      </w:tr>
      <w:tr w:rsidR="00614359" w:rsidRPr="00B623DB" w:rsidTr="00C55F68">
        <w:tblPrEx>
          <w:tblCellMar>
            <w:left w:w="108" w:type="dxa"/>
            <w:right w:w="108" w:type="dxa"/>
          </w:tblCellMar>
        </w:tblPrEx>
        <w:trPr>
          <w:gridBefore w:val="1"/>
          <w:wBefore w:w="14"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614359" w:rsidRPr="00B623DB" w:rsidRDefault="00614359" w:rsidP="00C55F68">
            <w:pPr>
              <w:pStyle w:val="TableText"/>
            </w:pPr>
            <w:r w:rsidRPr="00B623DB">
              <w:t>Administrative Advice:</w:t>
            </w:r>
          </w:p>
        </w:tc>
        <w:tc>
          <w:tcPr>
            <w:tcW w:w="3897" w:type="pct"/>
            <w:gridSpan w:val="4"/>
            <w:tcBorders>
              <w:top w:val="single" w:sz="4" w:space="0" w:color="auto"/>
              <w:left w:val="single" w:sz="4" w:space="0" w:color="auto"/>
              <w:bottom w:val="single" w:sz="4" w:space="0" w:color="auto"/>
              <w:right w:val="single" w:sz="4" w:space="0" w:color="auto"/>
            </w:tcBorders>
          </w:tcPr>
          <w:p w:rsidR="00614359" w:rsidRPr="00B623DB" w:rsidRDefault="00614359" w:rsidP="00C55F68">
            <w:pPr>
              <w:pStyle w:val="NormalWeb"/>
              <w:spacing w:before="0" w:after="0"/>
              <w:contextualSpacing/>
              <w:rPr>
                <w:rFonts w:ascii="Arial Narrow" w:hAnsi="Arial Narrow" w:cs="Arial"/>
                <w:color w:val="000000" w:themeColor="text1"/>
                <w:sz w:val="20"/>
                <w:lang w:val="en-AU"/>
              </w:rPr>
            </w:pPr>
            <w:r w:rsidRPr="00B623DB">
              <w:rPr>
                <w:rFonts w:ascii="Arial Narrow" w:hAnsi="Arial Narrow" w:cs="Arial"/>
                <w:color w:val="000000" w:themeColor="text1"/>
                <w:sz w:val="20"/>
                <w:lang w:val="en-AU"/>
              </w:rPr>
              <w:t xml:space="preserve">This drug is not PBS-subsidised for conditions other than CAPS. </w:t>
            </w:r>
          </w:p>
        </w:tc>
      </w:tr>
    </w:tbl>
    <w:p w:rsidR="00614359" w:rsidRDefault="00614359" w:rsidP="0058312D">
      <w:pPr>
        <w:widowControl w:val="0"/>
        <w:spacing w:before="0" w:after="120"/>
        <w:ind w:left="720"/>
        <w:jc w:val="both"/>
        <w:rPr>
          <w:rFonts w:ascii="Calibri" w:eastAsia="Times New Roman" w:hAnsi="Calibri" w:cs="Arial"/>
          <w:b/>
          <w:bCs/>
          <w:snapToGrid w:val="0"/>
          <w:szCs w:val="24"/>
        </w:rPr>
      </w:pPr>
    </w:p>
    <w:p w:rsidR="003F6A04" w:rsidRPr="003F6A04" w:rsidRDefault="003F6A04" w:rsidP="003F6A04">
      <w:pPr>
        <w:pStyle w:val="PBACHeading1"/>
        <w:outlineLvl w:val="0"/>
        <w:rPr>
          <w:rFonts w:asciiTheme="minorHAnsi" w:hAnsiTheme="minorHAnsi"/>
          <w:sz w:val="32"/>
          <w:szCs w:val="32"/>
        </w:rPr>
      </w:pPr>
      <w:r w:rsidRPr="003F6A04">
        <w:rPr>
          <w:rFonts w:asciiTheme="minorHAnsi" w:hAnsiTheme="minorHAnsi"/>
          <w:sz w:val="32"/>
          <w:szCs w:val="32"/>
        </w:rPr>
        <w:t>Context for Decision</w:t>
      </w:r>
    </w:p>
    <w:p w:rsidR="003F6A04" w:rsidRPr="003F6A04" w:rsidRDefault="003F6A04" w:rsidP="003F6A04">
      <w:pPr>
        <w:spacing w:after="120"/>
        <w:jc w:val="both"/>
        <w:rPr>
          <w:rFonts w:ascii="Calibri" w:eastAsia="Calibri" w:hAnsi="Calibri" w:cs="Arial"/>
        </w:rPr>
      </w:pPr>
      <w:r w:rsidRPr="003F6A04">
        <w:rPr>
          <w:rFonts w:ascii="Calibri" w:eastAsia="Calibri" w:hAnsi="Calibr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F6A04" w:rsidRPr="003F6A04" w:rsidRDefault="003F6A04" w:rsidP="003F6A04">
      <w:pPr>
        <w:pStyle w:val="PBACHeading1"/>
        <w:outlineLvl w:val="0"/>
        <w:rPr>
          <w:rFonts w:asciiTheme="minorHAnsi" w:hAnsiTheme="minorHAnsi"/>
          <w:sz w:val="32"/>
          <w:szCs w:val="32"/>
        </w:rPr>
      </w:pPr>
      <w:r w:rsidRPr="003F6A04">
        <w:rPr>
          <w:rFonts w:asciiTheme="minorHAnsi" w:hAnsiTheme="minorHAnsi"/>
          <w:sz w:val="32"/>
          <w:szCs w:val="32"/>
        </w:rPr>
        <w:t>Sponsor’s Comment</w:t>
      </w:r>
    </w:p>
    <w:p w:rsidR="003F6A04" w:rsidRPr="003F6A04" w:rsidRDefault="003F6A04" w:rsidP="003F6A04">
      <w:pPr>
        <w:jc w:val="both"/>
        <w:rPr>
          <w:rFonts w:ascii="Calibri" w:eastAsia="Calibri" w:hAnsi="Calibri" w:cs="Arial"/>
          <w:snapToGrid w:val="0"/>
          <w:szCs w:val="20"/>
        </w:rPr>
      </w:pPr>
      <w:r w:rsidRPr="003F6A04">
        <w:rPr>
          <w:rFonts w:ascii="Calibri" w:eastAsia="Calibri" w:hAnsi="Calibri" w:cs="Arial"/>
          <w:snapToGrid w:val="0"/>
          <w:szCs w:val="20"/>
        </w:rPr>
        <w:t>The sponsor had no comment.</w:t>
      </w:r>
    </w:p>
    <w:p w:rsidR="003F6A04" w:rsidRPr="00B623DB" w:rsidRDefault="003F6A04" w:rsidP="0058312D">
      <w:pPr>
        <w:widowControl w:val="0"/>
        <w:spacing w:before="0" w:after="120"/>
        <w:ind w:left="720"/>
        <w:jc w:val="both"/>
        <w:rPr>
          <w:rFonts w:ascii="Calibri" w:eastAsia="Times New Roman" w:hAnsi="Calibri" w:cs="Arial"/>
          <w:b/>
          <w:bCs/>
          <w:snapToGrid w:val="0"/>
          <w:szCs w:val="24"/>
        </w:rPr>
      </w:pPr>
    </w:p>
    <w:sectPr w:rsidR="003F6A04" w:rsidRPr="00B623D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648E55" w15:done="0"/>
  <w15:commentEx w15:paraId="1EFD5E2A" w15:done="0"/>
  <w15:commentEx w15:paraId="559C0B12" w15:paraIdParent="1EFD5E2A" w15:done="0"/>
  <w15:commentEx w15:paraId="53E18FD4" w15:done="0"/>
  <w15:commentEx w15:paraId="723AAB0C" w15:done="0"/>
  <w15:commentEx w15:paraId="1904E64A" w15:done="0"/>
  <w15:commentEx w15:paraId="096CE2E5" w15:done="0"/>
  <w15:commentEx w15:paraId="6A728AF9" w15:done="0"/>
  <w15:commentEx w15:paraId="0CCBE95D" w15:paraIdParent="6A728AF9" w15:done="0"/>
  <w15:commentEx w15:paraId="1EEE9A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48E55" w16cid:durableId="1D8B75E8"/>
  <w16cid:commentId w16cid:paraId="1EFD5E2A" w16cid:durableId="1D8B75E9"/>
  <w16cid:commentId w16cid:paraId="559C0B12" w16cid:durableId="1D8B7604"/>
  <w16cid:commentId w16cid:paraId="53E18FD4" w16cid:durableId="1D8B75EA"/>
  <w16cid:commentId w16cid:paraId="723AAB0C" w16cid:durableId="1D8B75EB"/>
  <w16cid:commentId w16cid:paraId="1904E64A" w16cid:durableId="1D8B75EC"/>
  <w16cid:commentId w16cid:paraId="096CE2E5" w16cid:durableId="1D8B75ED"/>
  <w16cid:commentId w16cid:paraId="6A728AF9" w16cid:durableId="1D8B75EE"/>
  <w16cid:commentId w16cid:paraId="0CCBE95D" w16cid:durableId="1D8B777C"/>
  <w16cid:commentId w16cid:paraId="1EEE9ADB" w16cid:durableId="1D8B77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C20" w:rsidRDefault="00EA0C20" w:rsidP="00BA3306">
      <w:pPr>
        <w:spacing w:before="0" w:after="0"/>
      </w:pPr>
      <w:r>
        <w:separator/>
      </w:r>
    </w:p>
  </w:endnote>
  <w:endnote w:type="continuationSeparator" w:id="0">
    <w:p w:rsidR="00EA0C20" w:rsidRDefault="00EA0C20"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C20" w:rsidRDefault="00EA0C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7B" w:rsidRPr="000576B9" w:rsidRDefault="002E6E7B" w:rsidP="000576B9">
    <w:pPr>
      <w:tabs>
        <w:tab w:val="center" w:pos="4153"/>
        <w:tab w:val="right" w:pos="8306"/>
      </w:tabs>
      <w:spacing w:before="0" w:after="120"/>
      <w:ind w:left="360"/>
      <w:jc w:val="center"/>
      <w:rPr>
        <w:rFonts w:ascii="Calibri" w:eastAsia="Times New Roman" w:hAnsi="Calibri" w:cs="Arial"/>
        <w:b/>
        <w:sz w:val="20"/>
        <w:szCs w:val="24"/>
      </w:rPr>
    </w:pPr>
    <w:r w:rsidRPr="000576B9">
      <w:rPr>
        <w:rFonts w:ascii="Calibri" w:eastAsia="Times New Roman" w:hAnsi="Calibri" w:cs="Arial"/>
        <w:b/>
        <w:sz w:val="20"/>
        <w:szCs w:val="24"/>
      </w:rPr>
      <w:fldChar w:fldCharType="begin"/>
    </w:r>
    <w:r w:rsidRPr="000576B9">
      <w:rPr>
        <w:rFonts w:ascii="Calibri" w:eastAsia="Times New Roman" w:hAnsi="Calibri" w:cs="Arial"/>
        <w:b/>
        <w:sz w:val="20"/>
        <w:szCs w:val="24"/>
      </w:rPr>
      <w:instrText xml:space="preserve"> PAGE   \* MERGEFORMAT </w:instrText>
    </w:r>
    <w:r w:rsidRPr="000576B9">
      <w:rPr>
        <w:rFonts w:ascii="Calibri" w:eastAsia="Times New Roman" w:hAnsi="Calibri" w:cs="Arial"/>
        <w:b/>
        <w:sz w:val="20"/>
        <w:szCs w:val="24"/>
      </w:rPr>
      <w:fldChar w:fldCharType="separate"/>
    </w:r>
    <w:r w:rsidR="00EA0C20">
      <w:rPr>
        <w:rFonts w:ascii="Calibri" w:eastAsia="Times New Roman" w:hAnsi="Calibri" w:cs="Arial"/>
        <w:b/>
        <w:noProof/>
        <w:sz w:val="20"/>
        <w:szCs w:val="24"/>
      </w:rPr>
      <w:t>1</w:t>
    </w:r>
    <w:r w:rsidRPr="000576B9">
      <w:rPr>
        <w:rFonts w:ascii="Calibri" w:eastAsia="Times New Roman" w:hAnsi="Calibri" w:cs="Arial"/>
        <w:b/>
        <w:noProof/>
        <w:sz w:val="20"/>
        <w:szCs w:val="24"/>
      </w:rPr>
      <w:fldChar w:fldCharType="end"/>
    </w:r>
  </w:p>
  <w:p w:rsidR="002E6E7B" w:rsidRPr="000576B9" w:rsidRDefault="002E6E7B" w:rsidP="000576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C20" w:rsidRDefault="00EA0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C20" w:rsidRDefault="00EA0C20" w:rsidP="00BA3306">
      <w:pPr>
        <w:spacing w:before="0" w:after="0"/>
      </w:pPr>
      <w:r>
        <w:separator/>
      </w:r>
    </w:p>
  </w:footnote>
  <w:footnote w:type="continuationSeparator" w:id="0">
    <w:p w:rsidR="00EA0C20" w:rsidRDefault="00EA0C20" w:rsidP="00BA33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C20" w:rsidRDefault="00EA0C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7B" w:rsidRPr="000576B9" w:rsidRDefault="002E6E7B" w:rsidP="000576B9">
    <w:pPr>
      <w:tabs>
        <w:tab w:val="center" w:pos="4153"/>
        <w:tab w:val="right" w:pos="8306"/>
      </w:tabs>
      <w:spacing w:before="0" w:after="120"/>
      <w:ind w:left="360"/>
      <w:jc w:val="center"/>
      <w:rPr>
        <w:rFonts w:ascii="Calibri" w:eastAsia="Times New Roman" w:hAnsi="Calibri" w:cs="Arial"/>
        <w:i/>
        <w:color w:val="808080"/>
        <w:sz w:val="22"/>
        <w:szCs w:val="24"/>
      </w:rPr>
    </w:pPr>
    <w:r>
      <w:rPr>
        <w:rFonts w:ascii="Calibri" w:eastAsia="Times New Roman" w:hAnsi="Calibri" w:cs="Arial"/>
        <w:i/>
        <w:color w:val="808080"/>
        <w:sz w:val="22"/>
        <w:szCs w:val="24"/>
      </w:rPr>
      <w:t>Public Summary Document</w:t>
    </w:r>
    <w:r w:rsidRPr="000576B9">
      <w:rPr>
        <w:rFonts w:ascii="Calibri" w:eastAsia="Times New Roman" w:hAnsi="Calibri" w:cs="Arial"/>
        <w:i/>
        <w:color w:val="808080"/>
        <w:sz w:val="22"/>
        <w:szCs w:val="24"/>
      </w:rPr>
      <w:t xml:space="preserve"> – </w:t>
    </w:r>
    <w:r>
      <w:rPr>
        <w:rFonts w:ascii="Calibri" w:eastAsia="Times New Roman" w:hAnsi="Calibri" w:cs="Arial"/>
        <w:i/>
        <w:color w:val="808080"/>
        <w:sz w:val="22"/>
        <w:szCs w:val="24"/>
      </w:rPr>
      <w:t>November 2017</w:t>
    </w:r>
    <w:r w:rsidRPr="000576B9">
      <w:rPr>
        <w:rFonts w:ascii="Calibri" w:eastAsia="Times New Roman" w:hAnsi="Calibri" w:cs="Arial"/>
        <w:i/>
        <w:color w:val="808080"/>
        <w:sz w:val="22"/>
        <w:szCs w:val="24"/>
      </w:rPr>
      <w:t xml:space="preserve"> PBAC Meeting</w:t>
    </w:r>
  </w:p>
  <w:p w:rsidR="002E6E7B" w:rsidRPr="000576B9" w:rsidRDefault="002E6E7B" w:rsidP="000576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C20" w:rsidRDefault="00EA0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B30D4D"/>
    <w:multiLevelType w:val="multilevel"/>
    <w:tmpl w:val="EF04009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A55010"/>
    <w:multiLevelType w:val="multilevel"/>
    <w:tmpl w:val="006C9AF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4576F98"/>
    <w:multiLevelType w:val="hybridMultilevel"/>
    <w:tmpl w:val="E35CC5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4F1A2D"/>
    <w:multiLevelType w:val="hybridMultilevel"/>
    <w:tmpl w:val="B88C7AFE"/>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E54B0"/>
    <w:multiLevelType w:val="hybridMultilevel"/>
    <w:tmpl w:val="3670F4CA"/>
    <w:lvl w:ilvl="0" w:tplc="6B700772">
      <w:start w:val="1"/>
      <w:numFmt w:val="bullet"/>
      <w:lvlText w:val="•"/>
      <w:lvlJc w:val="left"/>
      <w:pPr>
        <w:tabs>
          <w:tab w:val="num" w:pos="720"/>
        </w:tabs>
        <w:ind w:left="720" w:hanging="360"/>
      </w:pPr>
      <w:rPr>
        <w:rFonts w:ascii="Arial" w:hAnsi="Arial" w:hint="default"/>
      </w:rPr>
    </w:lvl>
    <w:lvl w:ilvl="1" w:tplc="F70E99EE">
      <w:start w:val="1"/>
      <w:numFmt w:val="bullet"/>
      <w:lvlText w:val="•"/>
      <w:lvlJc w:val="left"/>
      <w:pPr>
        <w:tabs>
          <w:tab w:val="num" w:pos="1440"/>
        </w:tabs>
        <w:ind w:left="1440" w:hanging="360"/>
      </w:pPr>
      <w:rPr>
        <w:rFonts w:ascii="Arial" w:hAnsi="Arial" w:hint="default"/>
      </w:rPr>
    </w:lvl>
    <w:lvl w:ilvl="2" w:tplc="D4348348" w:tentative="1">
      <w:start w:val="1"/>
      <w:numFmt w:val="bullet"/>
      <w:lvlText w:val="•"/>
      <w:lvlJc w:val="left"/>
      <w:pPr>
        <w:tabs>
          <w:tab w:val="num" w:pos="2160"/>
        </w:tabs>
        <w:ind w:left="2160" w:hanging="360"/>
      </w:pPr>
      <w:rPr>
        <w:rFonts w:ascii="Arial" w:hAnsi="Arial" w:hint="default"/>
      </w:rPr>
    </w:lvl>
    <w:lvl w:ilvl="3" w:tplc="FC1A1B00" w:tentative="1">
      <w:start w:val="1"/>
      <w:numFmt w:val="bullet"/>
      <w:lvlText w:val="•"/>
      <w:lvlJc w:val="left"/>
      <w:pPr>
        <w:tabs>
          <w:tab w:val="num" w:pos="2880"/>
        </w:tabs>
        <w:ind w:left="2880" w:hanging="360"/>
      </w:pPr>
      <w:rPr>
        <w:rFonts w:ascii="Arial" w:hAnsi="Arial" w:hint="default"/>
      </w:rPr>
    </w:lvl>
    <w:lvl w:ilvl="4" w:tplc="47B2F904" w:tentative="1">
      <w:start w:val="1"/>
      <w:numFmt w:val="bullet"/>
      <w:lvlText w:val="•"/>
      <w:lvlJc w:val="left"/>
      <w:pPr>
        <w:tabs>
          <w:tab w:val="num" w:pos="3600"/>
        </w:tabs>
        <w:ind w:left="3600" w:hanging="360"/>
      </w:pPr>
      <w:rPr>
        <w:rFonts w:ascii="Arial" w:hAnsi="Arial" w:hint="default"/>
      </w:rPr>
    </w:lvl>
    <w:lvl w:ilvl="5" w:tplc="A734F74E" w:tentative="1">
      <w:start w:val="1"/>
      <w:numFmt w:val="bullet"/>
      <w:lvlText w:val="•"/>
      <w:lvlJc w:val="left"/>
      <w:pPr>
        <w:tabs>
          <w:tab w:val="num" w:pos="4320"/>
        </w:tabs>
        <w:ind w:left="4320" w:hanging="360"/>
      </w:pPr>
      <w:rPr>
        <w:rFonts w:ascii="Arial" w:hAnsi="Arial" w:hint="default"/>
      </w:rPr>
    </w:lvl>
    <w:lvl w:ilvl="6" w:tplc="03542234" w:tentative="1">
      <w:start w:val="1"/>
      <w:numFmt w:val="bullet"/>
      <w:lvlText w:val="•"/>
      <w:lvlJc w:val="left"/>
      <w:pPr>
        <w:tabs>
          <w:tab w:val="num" w:pos="5040"/>
        </w:tabs>
        <w:ind w:left="5040" w:hanging="360"/>
      </w:pPr>
      <w:rPr>
        <w:rFonts w:ascii="Arial" w:hAnsi="Arial" w:hint="default"/>
      </w:rPr>
    </w:lvl>
    <w:lvl w:ilvl="7" w:tplc="B008CC2E" w:tentative="1">
      <w:start w:val="1"/>
      <w:numFmt w:val="bullet"/>
      <w:lvlText w:val="•"/>
      <w:lvlJc w:val="left"/>
      <w:pPr>
        <w:tabs>
          <w:tab w:val="num" w:pos="5760"/>
        </w:tabs>
        <w:ind w:left="5760" w:hanging="360"/>
      </w:pPr>
      <w:rPr>
        <w:rFonts w:ascii="Arial" w:hAnsi="Arial" w:hint="default"/>
      </w:rPr>
    </w:lvl>
    <w:lvl w:ilvl="8" w:tplc="85A81B06" w:tentative="1">
      <w:start w:val="1"/>
      <w:numFmt w:val="bullet"/>
      <w:lvlText w:val="•"/>
      <w:lvlJc w:val="left"/>
      <w:pPr>
        <w:tabs>
          <w:tab w:val="num" w:pos="6480"/>
        </w:tabs>
        <w:ind w:left="6480" w:hanging="360"/>
      </w:pPr>
      <w:rPr>
        <w:rFonts w:ascii="Arial" w:hAnsi="Arial" w:hint="default"/>
      </w:rPr>
    </w:lvl>
  </w:abstractNum>
  <w:abstractNum w:abstractNumId="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4E6825"/>
    <w:multiLevelType w:val="multilevel"/>
    <w:tmpl w:val="D65874F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3504C81"/>
    <w:multiLevelType w:val="hybridMultilevel"/>
    <w:tmpl w:val="856C1C82"/>
    <w:lvl w:ilvl="0" w:tplc="04090001">
      <w:start w:val="1"/>
      <w:numFmt w:val="bullet"/>
      <w:lvlText w:val=""/>
      <w:lvlJc w:val="left"/>
      <w:pPr>
        <w:ind w:left="720" w:hanging="360"/>
      </w:pPr>
      <w:rPr>
        <w:rFonts w:ascii="Symbol" w:hAnsi="Symbol" w:hint="default"/>
      </w:rPr>
    </w:lvl>
    <w:lvl w:ilvl="1" w:tplc="815653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D319A"/>
    <w:multiLevelType w:val="hybridMultilevel"/>
    <w:tmpl w:val="361AFE94"/>
    <w:lvl w:ilvl="0" w:tplc="A61AC446">
      <w:numFmt w:val="bullet"/>
      <w:lvlText w:val="-"/>
      <w:lvlJc w:val="left"/>
      <w:pPr>
        <w:ind w:left="780" w:hanging="360"/>
      </w:pPr>
      <w:rPr>
        <w:rFonts w:ascii="Calibri" w:eastAsiaTheme="minorHAnsi" w:hAnsi="Calibri" w:cs="Calibr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44E3A0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93D67F7"/>
    <w:multiLevelType w:val="hybridMultilevel"/>
    <w:tmpl w:val="1DE663AA"/>
    <w:lvl w:ilvl="0" w:tplc="A61AC4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B4A173E"/>
    <w:multiLevelType w:val="hybridMultilevel"/>
    <w:tmpl w:val="9A1CD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0B15C2"/>
    <w:multiLevelType w:val="hybridMultilevel"/>
    <w:tmpl w:val="E45429BA"/>
    <w:lvl w:ilvl="0" w:tplc="35FC959C">
      <w:start w:val="1"/>
      <w:numFmt w:val="bullet"/>
      <w:lvlText w:val="•"/>
      <w:lvlJc w:val="left"/>
      <w:pPr>
        <w:tabs>
          <w:tab w:val="num" w:pos="720"/>
        </w:tabs>
        <w:ind w:left="720" w:hanging="360"/>
      </w:pPr>
      <w:rPr>
        <w:rFonts w:ascii="Arial" w:hAnsi="Arial" w:hint="default"/>
      </w:rPr>
    </w:lvl>
    <w:lvl w:ilvl="1" w:tplc="091AA530">
      <w:start w:val="1"/>
      <w:numFmt w:val="bullet"/>
      <w:lvlText w:val="•"/>
      <w:lvlJc w:val="left"/>
      <w:pPr>
        <w:tabs>
          <w:tab w:val="num" w:pos="1440"/>
        </w:tabs>
        <w:ind w:left="1440" w:hanging="360"/>
      </w:pPr>
      <w:rPr>
        <w:rFonts w:ascii="Arial" w:hAnsi="Arial" w:hint="default"/>
      </w:rPr>
    </w:lvl>
    <w:lvl w:ilvl="2" w:tplc="C8586498" w:tentative="1">
      <w:start w:val="1"/>
      <w:numFmt w:val="bullet"/>
      <w:lvlText w:val="•"/>
      <w:lvlJc w:val="left"/>
      <w:pPr>
        <w:tabs>
          <w:tab w:val="num" w:pos="2160"/>
        </w:tabs>
        <w:ind w:left="2160" w:hanging="360"/>
      </w:pPr>
      <w:rPr>
        <w:rFonts w:ascii="Arial" w:hAnsi="Arial" w:hint="default"/>
      </w:rPr>
    </w:lvl>
    <w:lvl w:ilvl="3" w:tplc="86D2C6BA" w:tentative="1">
      <w:start w:val="1"/>
      <w:numFmt w:val="bullet"/>
      <w:lvlText w:val="•"/>
      <w:lvlJc w:val="left"/>
      <w:pPr>
        <w:tabs>
          <w:tab w:val="num" w:pos="2880"/>
        </w:tabs>
        <w:ind w:left="2880" w:hanging="360"/>
      </w:pPr>
      <w:rPr>
        <w:rFonts w:ascii="Arial" w:hAnsi="Arial" w:hint="default"/>
      </w:rPr>
    </w:lvl>
    <w:lvl w:ilvl="4" w:tplc="586CC1C2" w:tentative="1">
      <w:start w:val="1"/>
      <w:numFmt w:val="bullet"/>
      <w:lvlText w:val="•"/>
      <w:lvlJc w:val="left"/>
      <w:pPr>
        <w:tabs>
          <w:tab w:val="num" w:pos="3600"/>
        </w:tabs>
        <w:ind w:left="3600" w:hanging="360"/>
      </w:pPr>
      <w:rPr>
        <w:rFonts w:ascii="Arial" w:hAnsi="Arial" w:hint="default"/>
      </w:rPr>
    </w:lvl>
    <w:lvl w:ilvl="5" w:tplc="B2CCB01C" w:tentative="1">
      <w:start w:val="1"/>
      <w:numFmt w:val="bullet"/>
      <w:lvlText w:val="•"/>
      <w:lvlJc w:val="left"/>
      <w:pPr>
        <w:tabs>
          <w:tab w:val="num" w:pos="4320"/>
        </w:tabs>
        <w:ind w:left="4320" w:hanging="360"/>
      </w:pPr>
      <w:rPr>
        <w:rFonts w:ascii="Arial" w:hAnsi="Arial" w:hint="default"/>
      </w:rPr>
    </w:lvl>
    <w:lvl w:ilvl="6" w:tplc="CA0260FC" w:tentative="1">
      <w:start w:val="1"/>
      <w:numFmt w:val="bullet"/>
      <w:lvlText w:val="•"/>
      <w:lvlJc w:val="left"/>
      <w:pPr>
        <w:tabs>
          <w:tab w:val="num" w:pos="5040"/>
        </w:tabs>
        <w:ind w:left="5040" w:hanging="360"/>
      </w:pPr>
      <w:rPr>
        <w:rFonts w:ascii="Arial" w:hAnsi="Arial" w:hint="default"/>
      </w:rPr>
    </w:lvl>
    <w:lvl w:ilvl="7" w:tplc="025017C8" w:tentative="1">
      <w:start w:val="1"/>
      <w:numFmt w:val="bullet"/>
      <w:lvlText w:val="•"/>
      <w:lvlJc w:val="left"/>
      <w:pPr>
        <w:tabs>
          <w:tab w:val="num" w:pos="5760"/>
        </w:tabs>
        <w:ind w:left="5760" w:hanging="360"/>
      </w:pPr>
      <w:rPr>
        <w:rFonts w:ascii="Arial" w:hAnsi="Arial" w:hint="default"/>
      </w:rPr>
    </w:lvl>
    <w:lvl w:ilvl="8" w:tplc="A47EEBB2" w:tentative="1">
      <w:start w:val="1"/>
      <w:numFmt w:val="bullet"/>
      <w:lvlText w:val="•"/>
      <w:lvlJc w:val="left"/>
      <w:pPr>
        <w:tabs>
          <w:tab w:val="num" w:pos="6480"/>
        </w:tabs>
        <w:ind w:left="6480" w:hanging="360"/>
      </w:pPr>
      <w:rPr>
        <w:rFonts w:ascii="Arial" w:hAnsi="Arial" w:hint="default"/>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B568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E9A4D1A"/>
    <w:multiLevelType w:val="multilevel"/>
    <w:tmpl w:val="4E50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F91405"/>
    <w:multiLevelType w:val="multilevel"/>
    <w:tmpl w:val="4434F0D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84D033C"/>
    <w:multiLevelType w:val="multilevel"/>
    <w:tmpl w:val="60D0A74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94356EE"/>
    <w:multiLevelType w:val="multilevel"/>
    <w:tmpl w:val="D36677D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AC065AB"/>
    <w:multiLevelType w:val="multilevel"/>
    <w:tmpl w:val="C390F9AC"/>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C727235"/>
    <w:multiLevelType w:val="multilevel"/>
    <w:tmpl w:val="33384B2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2"/>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7"/>
  </w:num>
  <w:num w:numId="7">
    <w:abstractNumId w:val="25"/>
  </w:num>
  <w:num w:numId="8">
    <w:abstractNumId w:val="24"/>
  </w:num>
  <w:num w:numId="9">
    <w:abstractNumId w:val="19"/>
  </w:num>
  <w:num w:numId="10">
    <w:abstractNumId w:val="1"/>
  </w:num>
  <w:num w:numId="11">
    <w:abstractNumId w:val="21"/>
  </w:num>
  <w:num w:numId="12">
    <w:abstractNumId w:val="3"/>
  </w:num>
  <w:num w:numId="13">
    <w:abstractNumId w:val="23"/>
  </w:num>
  <w:num w:numId="14">
    <w:abstractNumId w:val="20"/>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5"/>
  </w:num>
  <w:num w:numId="19">
    <w:abstractNumId w:val="14"/>
  </w:num>
  <w:num w:numId="20">
    <w:abstractNumId w:val="4"/>
  </w:num>
  <w:num w:numId="21">
    <w:abstractNumId w:val="18"/>
  </w:num>
  <w:num w:numId="22">
    <w:abstractNumId w:val="12"/>
  </w:num>
  <w:num w:numId="23">
    <w:abstractNumId w:val="8"/>
  </w:num>
  <w:num w:numId="24">
    <w:abstractNumId w:val="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0"/>
  </w:num>
  <w:num w:numId="30">
    <w:abstractNumId w:val="7"/>
  </w:num>
  <w:num w:numId="31">
    <w:abstractNumId w:val="6"/>
  </w:num>
  <w:num w:numId="32">
    <w:abstractNumId w:val="15"/>
  </w:num>
  <w:num w:numId="33">
    <w:abstractNumId w:val="8"/>
  </w:num>
  <w:num w:numId="34">
    <w:abstractNumId w:val="8"/>
  </w:num>
  <w:num w:numId="35">
    <w:abstractNumId w:val="8"/>
  </w:num>
  <w:num w:numId="36">
    <w:abstractNumId w:val="22"/>
  </w:num>
  <w:num w:numId="37">
    <w:abstractNumId w:val="8"/>
  </w:num>
  <w:num w:numId="38">
    <w:abstractNumId w:val="8"/>
  </w:num>
  <w:num w:numId="39">
    <w:abstractNumId w:val="8"/>
  </w:num>
  <w:num w:numId="40">
    <w:abstractNumId w:val="22"/>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22"/>
  </w:num>
  <w:num w:numId="44">
    <w:abstractNumId w:val="2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YNE Helen">
    <w15:presenceInfo w15:providerId="AD" w15:userId="S-1-12-1-483765755-1074017247-1445785519-4244957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1AB4"/>
    <w:rsid w:val="000021AA"/>
    <w:rsid w:val="00003E0B"/>
    <w:rsid w:val="00004B86"/>
    <w:rsid w:val="0000697D"/>
    <w:rsid w:val="0001066F"/>
    <w:rsid w:val="00010886"/>
    <w:rsid w:val="00010D11"/>
    <w:rsid w:val="00011598"/>
    <w:rsid w:val="000118A0"/>
    <w:rsid w:val="00013222"/>
    <w:rsid w:val="00013395"/>
    <w:rsid w:val="000144D6"/>
    <w:rsid w:val="0002095B"/>
    <w:rsid w:val="00020DB1"/>
    <w:rsid w:val="00021C1E"/>
    <w:rsid w:val="00025E18"/>
    <w:rsid w:val="00026699"/>
    <w:rsid w:val="000301DE"/>
    <w:rsid w:val="00032259"/>
    <w:rsid w:val="00032455"/>
    <w:rsid w:val="00032F21"/>
    <w:rsid w:val="00033ECE"/>
    <w:rsid w:val="00034232"/>
    <w:rsid w:val="00034404"/>
    <w:rsid w:val="0003493D"/>
    <w:rsid w:val="00035812"/>
    <w:rsid w:val="000366BB"/>
    <w:rsid w:val="00040690"/>
    <w:rsid w:val="00041566"/>
    <w:rsid w:val="00042444"/>
    <w:rsid w:val="0004439D"/>
    <w:rsid w:val="000447D2"/>
    <w:rsid w:val="00045467"/>
    <w:rsid w:val="00045E39"/>
    <w:rsid w:val="000461CF"/>
    <w:rsid w:val="000520E4"/>
    <w:rsid w:val="00053627"/>
    <w:rsid w:val="00053BB1"/>
    <w:rsid w:val="00056C89"/>
    <w:rsid w:val="000576B9"/>
    <w:rsid w:val="00057F71"/>
    <w:rsid w:val="00060D6B"/>
    <w:rsid w:val="00062067"/>
    <w:rsid w:val="000620C2"/>
    <w:rsid w:val="000625AB"/>
    <w:rsid w:val="00065C62"/>
    <w:rsid w:val="00065CDE"/>
    <w:rsid w:val="00065F4A"/>
    <w:rsid w:val="000674C3"/>
    <w:rsid w:val="00071FC6"/>
    <w:rsid w:val="00072199"/>
    <w:rsid w:val="0007289D"/>
    <w:rsid w:val="000736ED"/>
    <w:rsid w:val="0007726F"/>
    <w:rsid w:val="0007729A"/>
    <w:rsid w:val="0007760B"/>
    <w:rsid w:val="00077F89"/>
    <w:rsid w:val="00080FF3"/>
    <w:rsid w:val="00081596"/>
    <w:rsid w:val="0008386F"/>
    <w:rsid w:val="00083948"/>
    <w:rsid w:val="000847FE"/>
    <w:rsid w:val="00085A0C"/>
    <w:rsid w:val="00086133"/>
    <w:rsid w:val="000875B8"/>
    <w:rsid w:val="00087B10"/>
    <w:rsid w:val="00087B35"/>
    <w:rsid w:val="00090E4D"/>
    <w:rsid w:val="00090EDF"/>
    <w:rsid w:val="00097542"/>
    <w:rsid w:val="000A1885"/>
    <w:rsid w:val="000A2694"/>
    <w:rsid w:val="000A26C9"/>
    <w:rsid w:val="000A2EF1"/>
    <w:rsid w:val="000A3B62"/>
    <w:rsid w:val="000A5701"/>
    <w:rsid w:val="000A6FBD"/>
    <w:rsid w:val="000B2872"/>
    <w:rsid w:val="000B45AD"/>
    <w:rsid w:val="000B5299"/>
    <w:rsid w:val="000B56CD"/>
    <w:rsid w:val="000B65B9"/>
    <w:rsid w:val="000B6B69"/>
    <w:rsid w:val="000B6F49"/>
    <w:rsid w:val="000B736A"/>
    <w:rsid w:val="000B7E09"/>
    <w:rsid w:val="000C0142"/>
    <w:rsid w:val="000C150F"/>
    <w:rsid w:val="000C47F0"/>
    <w:rsid w:val="000C6151"/>
    <w:rsid w:val="000C6A40"/>
    <w:rsid w:val="000C6A75"/>
    <w:rsid w:val="000C6F34"/>
    <w:rsid w:val="000D0023"/>
    <w:rsid w:val="000D0610"/>
    <w:rsid w:val="000D2E92"/>
    <w:rsid w:val="000D3216"/>
    <w:rsid w:val="000D37F1"/>
    <w:rsid w:val="000D5DA0"/>
    <w:rsid w:val="000D605A"/>
    <w:rsid w:val="000D704D"/>
    <w:rsid w:val="000E024C"/>
    <w:rsid w:val="000E1182"/>
    <w:rsid w:val="000E2B2E"/>
    <w:rsid w:val="000E309B"/>
    <w:rsid w:val="000E6E93"/>
    <w:rsid w:val="000F2534"/>
    <w:rsid w:val="000F314A"/>
    <w:rsid w:val="000F3652"/>
    <w:rsid w:val="000F46D3"/>
    <w:rsid w:val="000F5276"/>
    <w:rsid w:val="000F6570"/>
    <w:rsid w:val="00101190"/>
    <w:rsid w:val="00102FD9"/>
    <w:rsid w:val="00104E8B"/>
    <w:rsid w:val="00106930"/>
    <w:rsid w:val="001119B4"/>
    <w:rsid w:val="001124F1"/>
    <w:rsid w:val="00120E93"/>
    <w:rsid w:val="00121AC0"/>
    <w:rsid w:val="00121F2F"/>
    <w:rsid w:val="00121F64"/>
    <w:rsid w:val="00123A97"/>
    <w:rsid w:val="0012701F"/>
    <w:rsid w:val="001279AE"/>
    <w:rsid w:val="0013092C"/>
    <w:rsid w:val="00131407"/>
    <w:rsid w:val="001325E0"/>
    <w:rsid w:val="0013315F"/>
    <w:rsid w:val="001335FE"/>
    <w:rsid w:val="001337F9"/>
    <w:rsid w:val="00133E75"/>
    <w:rsid w:val="0013575B"/>
    <w:rsid w:val="00136B14"/>
    <w:rsid w:val="00136E76"/>
    <w:rsid w:val="00137AF2"/>
    <w:rsid w:val="00141037"/>
    <w:rsid w:val="001431AA"/>
    <w:rsid w:val="00144C2A"/>
    <w:rsid w:val="00144F0E"/>
    <w:rsid w:val="001468C6"/>
    <w:rsid w:val="00146C47"/>
    <w:rsid w:val="00146C71"/>
    <w:rsid w:val="00151972"/>
    <w:rsid w:val="00157855"/>
    <w:rsid w:val="00160CAB"/>
    <w:rsid w:val="00161135"/>
    <w:rsid w:val="00161956"/>
    <w:rsid w:val="001625AF"/>
    <w:rsid w:val="00163043"/>
    <w:rsid w:val="00163473"/>
    <w:rsid w:val="00164100"/>
    <w:rsid w:val="00165132"/>
    <w:rsid w:val="001652AB"/>
    <w:rsid w:val="00165A49"/>
    <w:rsid w:val="001661FB"/>
    <w:rsid w:val="00166A53"/>
    <w:rsid w:val="00167317"/>
    <w:rsid w:val="00167DD1"/>
    <w:rsid w:val="001722AD"/>
    <w:rsid w:val="00172931"/>
    <w:rsid w:val="00173577"/>
    <w:rsid w:val="00175092"/>
    <w:rsid w:val="0017638E"/>
    <w:rsid w:val="00176AA5"/>
    <w:rsid w:val="0017720E"/>
    <w:rsid w:val="00177893"/>
    <w:rsid w:val="00181F08"/>
    <w:rsid w:val="001829FC"/>
    <w:rsid w:val="00182F1E"/>
    <w:rsid w:val="0018344D"/>
    <w:rsid w:val="00184221"/>
    <w:rsid w:val="00184311"/>
    <w:rsid w:val="00186307"/>
    <w:rsid w:val="00186EBC"/>
    <w:rsid w:val="0018798E"/>
    <w:rsid w:val="00190EC9"/>
    <w:rsid w:val="0019248F"/>
    <w:rsid w:val="00192C16"/>
    <w:rsid w:val="001935E8"/>
    <w:rsid w:val="00195DA4"/>
    <w:rsid w:val="001963D2"/>
    <w:rsid w:val="001A0142"/>
    <w:rsid w:val="001A02B2"/>
    <w:rsid w:val="001A1F7F"/>
    <w:rsid w:val="001A22B8"/>
    <w:rsid w:val="001A536F"/>
    <w:rsid w:val="001A5AE6"/>
    <w:rsid w:val="001B00CE"/>
    <w:rsid w:val="001B0189"/>
    <w:rsid w:val="001B1B5B"/>
    <w:rsid w:val="001B2CDF"/>
    <w:rsid w:val="001B3A11"/>
    <w:rsid w:val="001B4963"/>
    <w:rsid w:val="001B6389"/>
    <w:rsid w:val="001B6417"/>
    <w:rsid w:val="001C04CC"/>
    <w:rsid w:val="001C051E"/>
    <w:rsid w:val="001C052E"/>
    <w:rsid w:val="001C3F64"/>
    <w:rsid w:val="001C6F0A"/>
    <w:rsid w:val="001D145E"/>
    <w:rsid w:val="001D5DE3"/>
    <w:rsid w:val="001D5EF1"/>
    <w:rsid w:val="001D6631"/>
    <w:rsid w:val="001D770C"/>
    <w:rsid w:val="001D78D8"/>
    <w:rsid w:val="001E2C7B"/>
    <w:rsid w:val="001E4361"/>
    <w:rsid w:val="001E5152"/>
    <w:rsid w:val="001E5918"/>
    <w:rsid w:val="001E6BE7"/>
    <w:rsid w:val="001F073C"/>
    <w:rsid w:val="001F1BE1"/>
    <w:rsid w:val="001F25AC"/>
    <w:rsid w:val="001F2912"/>
    <w:rsid w:val="001F358D"/>
    <w:rsid w:val="001F6CAD"/>
    <w:rsid w:val="001F7156"/>
    <w:rsid w:val="002001C6"/>
    <w:rsid w:val="00200296"/>
    <w:rsid w:val="00201373"/>
    <w:rsid w:val="00201ADB"/>
    <w:rsid w:val="00203E74"/>
    <w:rsid w:val="00204140"/>
    <w:rsid w:val="002052B9"/>
    <w:rsid w:val="002058E5"/>
    <w:rsid w:val="00205DE3"/>
    <w:rsid w:val="002062BD"/>
    <w:rsid w:val="00207C2D"/>
    <w:rsid w:val="0021005A"/>
    <w:rsid w:val="00210FAA"/>
    <w:rsid w:val="00212D65"/>
    <w:rsid w:val="0021563E"/>
    <w:rsid w:val="002234A6"/>
    <w:rsid w:val="00223562"/>
    <w:rsid w:val="00225040"/>
    <w:rsid w:val="00225ADB"/>
    <w:rsid w:val="002260EF"/>
    <w:rsid w:val="00226D25"/>
    <w:rsid w:val="0023109F"/>
    <w:rsid w:val="00232D16"/>
    <w:rsid w:val="00233BBF"/>
    <w:rsid w:val="00233D88"/>
    <w:rsid w:val="00236D7F"/>
    <w:rsid w:val="00240C21"/>
    <w:rsid w:val="002425EA"/>
    <w:rsid w:val="00242EA0"/>
    <w:rsid w:val="00243685"/>
    <w:rsid w:val="00251C2A"/>
    <w:rsid w:val="00253786"/>
    <w:rsid w:val="00253D4A"/>
    <w:rsid w:val="002545DA"/>
    <w:rsid w:val="00255B4D"/>
    <w:rsid w:val="0025613F"/>
    <w:rsid w:val="002564D1"/>
    <w:rsid w:val="002576F4"/>
    <w:rsid w:val="00261D33"/>
    <w:rsid w:val="00261DC6"/>
    <w:rsid w:val="00262F1F"/>
    <w:rsid w:val="00263A60"/>
    <w:rsid w:val="00264623"/>
    <w:rsid w:val="002655C2"/>
    <w:rsid w:val="002679AA"/>
    <w:rsid w:val="0027074A"/>
    <w:rsid w:val="00271809"/>
    <w:rsid w:val="0027369F"/>
    <w:rsid w:val="00273C92"/>
    <w:rsid w:val="00276E36"/>
    <w:rsid w:val="00280578"/>
    <w:rsid w:val="00280B5B"/>
    <w:rsid w:val="00282D1F"/>
    <w:rsid w:val="002835B9"/>
    <w:rsid w:val="002836DF"/>
    <w:rsid w:val="00284B3C"/>
    <w:rsid w:val="00284B41"/>
    <w:rsid w:val="002860A1"/>
    <w:rsid w:val="00286985"/>
    <w:rsid w:val="00291918"/>
    <w:rsid w:val="002919FC"/>
    <w:rsid w:val="00291FE9"/>
    <w:rsid w:val="002928F4"/>
    <w:rsid w:val="0029453A"/>
    <w:rsid w:val="00296A83"/>
    <w:rsid w:val="002A0008"/>
    <w:rsid w:val="002A19DB"/>
    <w:rsid w:val="002A3156"/>
    <w:rsid w:val="002A4503"/>
    <w:rsid w:val="002A53DB"/>
    <w:rsid w:val="002B02FD"/>
    <w:rsid w:val="002B123D"/>
    <w:rsid w:val="002B1CD4"/>
    <w:rsid w:val="002B1D76"/>
    <w:rsid w:val="002B2CAF"/>
    <w:rsid w:val="002B3799"/>
    <w:rsid w:val="002B3878"/>
    <w:rsid w:val="002B3D4B"/>
    <w:rsid w:val="002B402D"/>
    <w:rsid w:val="002B4941"/>
    <w:rsid w:val="002B5D74"/>
    <w:rsid w:val="002B7ADB"/>
    <w:rsid w:val="002C08C4"/>
    <w:rsid w:val="002C1D2F"/>
    <w:rsid w:val="002C2E0F"/>
    <w:rsid w:val="002C5413"/>
    <w:rsid w:val="002C5953"/>
    <w:rsid w:val="002D0ACE"/>
    <w:rsid w:val="002D2C9C"/>
    <w:rsid w:val="002D2FCA"/>
    <w:rsid w:val="002D32E4"/>
    <w:rsid w:val="002D34C2"/>
    <w:rsid w:val="002D514B"/>
    <w:rsid w:val="002D6CCB"/>
    <w:rsid w:val="002D7823"/>
    <w:rsid w:val="002E06AC"/>
    <w:rsid w:val="002E1E90"/>
    <w:rsid w:val="002E2CFE"/>
    <w:rsid w:val="002E2D74"/>
    <w:rsid w:val="002E42FD"/>
    <w:rsid w:val="002E4C2D"/>
    <w:rsid w:val="002E505D"/>
    <w:rsid w:val="002E54D8"/>
    <w:rsid w:val="002E5DEA"/>
    <w:rsid w:val="002E6E7B"/>
    <w:rsid w:val="002E724A"/>
    <w:rsid w:val="002E7D26"/>
    <w:rsid w:val="002F0CC4"/>
    <w:rsid w:val="002F1A6C"/>
    <w:rsid w:val="002F311E"/>
    <w:rsid w:val="002F466C"/>
    <w:rsid w:val="002F664D"/>
    <w:rsid w:val="002F669B"/>
    <w:rsid w:val="002F7040"/>
    <w:rsid w:val="002F71B8"/>
    <w:rsid w:val="003004CB"/>
    <w:rsid w:val="0030057F"/>
    <w:rsid w:val="00301139"/>
    <w:rsid w:val="003019F1"/>
    <w:rsid w:val="00301EA1"/>
    <w:rsid w:val="003023B5"/>
    <w:rsid w:val="0030242A"/>
    <w:rsid w:val="00302FCC"/>
    <w:rsid w:val="00303974"/>
    <w:rsid w:val="003062AE"/>
    <w:rsid w:val="00306659"/>
    <w:rsid w:val="00310F95"/>
    <w:rsid w:val="00311FFA"/>
    <w:rsid w:val="00315514"/>
    <w:rsid w:val="00315E48"/>
    <w:rsid w:val="003167ED"/>
    <w:rsid w:val="003169AE"/>
    <w:rsid w:val="00322117"/>
    <w:rsid w:val="0032533D"/>
    <w:rsid w:val="003259A4"/>
    <w:rsid w:val="00325FCC"/>
    <w:rsid w:val="00326488"/>
    <w:rsid w:val="00327C21"/>
    <w:rsid w:val="00334986"/>
    <w:rsid w:val="00334ACF"/>
    <w:rsid w:val="00334B7D"/>
    <w:rsid w:val="00336AEA"/>
    <w:rsid w:val="00340369"/>
    <w:rsid w:val="00341A14"/>
    <w:rsid w:val="003454A5"/>
    <w:rsid w:val="0034605D"/>
    <w:rsid w:val="00350D75"/>
    <w:rsid w:val="00351381"/>
    <w:rsid w:val="00351DFA"/>
    <w:rsid w:val="00352116"/>
    <w:rsid w:val="003530A6"/>
    <w:rsid w:val="00353627"/>
    <w:rsid w:val="003537BA"/>
    <w:rsid w:val="00355F72"/>
    <w:rsid w:val="003575E5"/>
    <w:rsid w:val="00357657"/>
    <w:rsid w:val="00357A28"/>
    <w:rsid w:val="00361498"/>
    <w:rsid w:val="00361A34"/>
    <w:rsid w:val="003626FB"/>
    <w:rsid w:val="00363145"/>
    <w:rsid w:val="003639A6"/>
    <w:rsid w:val="00363F84"/>
    <w:rsid w:val="0036527A"/>
    <w:rsid w:val="003679AE"/>
    <w:rsid w:val="00370669"/>
    <w:rsid w:val="00372D47"/>
    <w:rsid w:val="0037314D"/>
    <w:rsid w:val="003745CB"/>
    <w:rsid w:val="00375A0F"/>
    <w:rsid w:val="0037713E"/>
    <w:rsid w:val="00380406"/>
    <w:rsid w:val="003806F7"/>
    <w:rsid w:val="00381E6C"/>
    <w:rsid w:val="0038281C"/>
    <w:rsid w:val="00384480"/>
    <w:rsid w:val="003848B3"/>
    <w:rsid w:val="003851FE"/>
    <w:rsid w:val="003855F9"/>
    <w:rsid w:val="00385A64"/>
    <w:rsid w:val="00386D1A"/>
    <w:rsid w:val="003878FB"/>
    <w:rsid w:val="00391B1F"/>
    <w:rsid w:val="00397170"/>
    <w:rsid w:val="003973B5"/>
    <w:rsid w:val="003A0EA4"/>
    <w:rsid w:val="003A132B"/>
    <w:rsid w:val="003A3433"/>
    <w:rsid w:val="003A537E"/>
    <w:rsid w:val="003A660F"/>
    <w:rsid w:val="003A7E51"/>
    <w:rsid w:val="003B095E"/>
    <w:rsid w:val="003B1895"/>
    <w:rsid w:val="003B7873"/>
    <w:rsid w:val="003C0BF9"/>
    <w:rsid w:val="003C0EAF"/>
    <w:rsid w:val="003C1A9F"/>
    <w:rsid w:val="003C38CF"/>
    <w:rsid w:val="003C54D0"/>
    <w:rsid w:val="003C5F28"/>
    <w:rsid w:val="003C7418"/>
    <w:rsid w:val="003D008A"/>
    <w:rsid w:val="003D0B44"/>
    <w:rsid w:val="003D11A9"/>
    <w:rsid w:val="003D2A37"/>
    <w:rsid w:val="003D4E21"/>
    <w:rsid w:val="003D5EEB"/>
    <w:rsid w:val="003D69EF"/>
    <w:rsid w:val="003D6B05"/>
    <w:rsid w:val="003D7F8C"/>
    <w:rsid w:val="003E0EDB"/>
    <w:rsid w:val="003E185D"/>
    <w:rsid w:val="003E29D9"/>
    <w:rsid w:val="003E388A"/>
    <w:rsid w:val="003E4819"/>
    <w:rsid w:val="003E61BE"/>
    <w:rsid w:val="003E6475"/>
    <w:rsid w:val="003E69FD"/>
    <w:rsid w:val="003E6A24"/>
    <w:rsid w:val="003F105A"/>
    <w:rsid w:val="003F283D"/>
    <w:rsid w:val="003F2FCC"/>
    <w:rsid w:val="003F3305"/>
    <w:rsid w:val="003F3777"/>
    <w:rsid w:val="003F3C80"/>
    <w:rsid w:val="003F55A6"/>
    <w:rsid w:val="003F6199"/>
    <w:rsid w:val="003F6A04"/>
    <w:rsid w:val="003F7F0F"/>
    <w:rsid w:val="0040267F"/>
    <w:rsid w:val="004033BF"/>
    <w:rsid w:val="0040462A"/>
    <w:rsid w:val="00404CAE"/>
    <w:rsid w:val="0040684F"/>
    <w:rsid w:val="00410A79"/>
    <w:rsid w:val="00412AB4"/>
    <w:rsid w:val="004157FE"/>
    <w:rsid w:val="00420005"/>
    <w:rsid w:val="00421450"/>
    <w:rsid w:val="00427866"/>
    <w:rsid w:val="00427E55"/>
    <w:rsid w:val="00430A30"/>
    <w:rsid w:val="00431CF6"/>
    <w:rsid w:val="00431F49"/>
    <w:rsid w:val="004330CA"/>
    <w:rsid w:val="00434000"/>
    <w:rsid w:val="00436EF4"/>
    <w:rsid w:val="00437BB5"/>
    <w:rsid w:val="00441060"/>
    <w:rsid w:val="004410C3"/>
    <w:rsid w:val="00444903"/>
    <w:rsid w:val="00445CBC"/>
    <w:rsid w:val="00446781"/>
    <w:rsid w:val="00453BAE"/>
    <w:rsid w:val="00453D59"/>
    <w:rsid w:val="0045425B"/>
    <w:rsid w:val="00454493"/>
    <w:rsid w:val="00461713"/>
    <w:rsid w:val="004619BB"/>
    <w:rsid w:val="00462E31"/>
    <w:rsid w:val="00465D3F"/>
    <w:rsid w:val="0046621E"/>
    <w:rsid w:val="00470AD1"/>
    <w:rsid w:val="00471D74"/>
    <w:rsid w:val="00472D4D"/>
    <w:rsid w:val="00472E52"/>
    <w:rsid w:val="00473C5A"/>
    <w:rsid w:val="00473D7E"/>
    <w:rsid w:val="0047544B"/>
    <w:rsid w:val="00476EE9"/>
    <w:rsid w:val="00477403"/>
    <w:rsid w:val="00477D92"/>
    <w:rsid w:val="0048156D"/>
    <w:rsid w:val="00482E66"/>
    <w:rsid w:val="004833CB"/>
    <w:rsid w:val="0048457C"/>
    <w:rsid w:val="00484675"/>
    <w:rsid w:val="00490DDE"/>
    <w:rsid w:val="004916E9"/>
    <w:rsid w:val="004919DD"/>
    <w:rsid w:val="00492078"/>
    <w:rsid w:val="00494F7C"/>
    <w:rsid w:val="00495AF0"/>
    <w:rsid w:val="0049693B"/>
    <w:rsid w:val="004A0C4A"/>
    <w:rsid w:val="004A2CC6"/>
    <w:rsid w:val="004A2DF5"/>
    <w:rsid w:val="004A44BF"/>
    <w:rsid w:val="004A4EF3"/>
    <w:rsid w:val="004B15D0"/>
    <w:rsid w:val="004B3ABC"/>
    <w:rsid w:val="004B3C00"/>
    <w:rsid w:val="004B459A"/>
    <w:rsid w:val="004B45AC"/>
    <w:rsid w:val="004B560E"/>
    <w:rsid w:val="004B62C6"/>
    <w:rsid w:val="004B657B"/>
    <w:rsid w:val="004C0483"/>
    <w:rsid w:val="004C1DDB"/>
    <w:rsid w:val="004C2764"/>
    <w:rsid w:val="004C344A"/>
    <w:rsid w:val="004D1006"/>
    <w:rsid w:val="004D2111"/>
    <w:rsid w:val="004D45DF"/>
    <w:rsid w:val="004D5BEC"/>
    <w:rsid w:val="004D5C8D"/>
    <w:rsid w:val="004E0C0B"/>
    <w:rsid w:val="004E172C"/>
    <w:rsid w:val="004E2125"/>
    <w:rsid w:val="004E5447"/>
    <w:rsid w:val="004E634B"/>
    <w:rsid w:val="004F18AF"/>
    <w:rsid w:val="004F3688"/>
    <w:rsid w:val="004F3AAE"/>
    <w:rsid w:val="004F43F0"/>
    <w:rsid w:val="004F4415"/>
    <w:rsid w:val="004F483B"/>
    <w:rsid w:val="004F4A66"/>
    <w:rsid w:val="004F4BDE"/>
    <w:rsid w:val="004F54FA"/>
    <w:rsid w:val="004F6163"/>
    <w:rsid w:val="004F67D7"/>
    <w:rsid w:val="004F6EC6"/>
    <w:rsid w:val="004F729C"/>
    <w:rsid w:val="004F7917"/>
    <w:rsid w:val="004F7CAC"/>
    <w:rsid w:val="00503965"/>
    <w:rsid w:val="00503AD4"/>
    <w:rsid w:val="00505D59"/>
    <w:rsid w:val="00506D6B"/>
    <w:rsid w:val="00506ED7"/>
    <w:rsid w:val="00507043"/>
    <w:rsid w:val="00507713"/>
    <w:rsid w:val="0051026F"/>
    <w:rsid w:val="00511197"/>
    <w:rsid w:val="00511320"/>
    <w:rsid w:val="0051307B"/>
    <w:rsid w:val="00513402"/>
    <w:rsid w:val="005143F9"/>
    <w:rsid w:val="00515F01"/>
    <w:rsid w:val="00516371"/>
    <w:rsid w:val="00516566"/>
    <w:rsid w:val="0051659F"/>
    <w:rsid w:val="00517440"/>
    <w:rsid w:val="005218C3"/>
    <w:rsid w:val="00523171"/>
    <w:rsid w:val="00523AA8"/>
    <w:rsid w:val="00530FB3"/>
    <w:rsid w:val="00530FBE"/>
    <w:rsid w:val="00531C11"/>
    <w:rsid w:val="00532DA7"/>
    <w:rsid w:val="00534973"/>
    <w:rsid w:val="005354BF"/>
    <w:rsid w:val="0053568B"/>
    <w:rsid w:val="00535C74"/>
    <w:rsid w:val="005361AB"/>
    <w:rsid w:val="00541D43"/>
    <w:rsid w:val="00542068"/>
    <w:rsid w:val="00543AF9"/>
    <w:rsid w:val="00546C7F"/>
    <w:rsid w:val="00546F77"/>
    <w:rsid w:val="00551586"/>
    <w:rsid w:val="005527F5"/>
    <w:rsid w:val="0055532F"/>
    <w:rsid w:val="005558A9"/>
    <w:rsid w:val="005558F8"/>
    <w:rsid w:val="00561D24"/>
    <w:rsid w:val="005620ED"/>
    <w:rsid w:val="00566C6B"/>
    <w:rsid w:val="00570A18"/>
    <w:rsid w:val="005716D5"/>
    <w:rsid w:val="005717B7"/>
    <w:rsid w:val="0057331C"/>
    <w:rsid w:val="005764C4"/>
    <w:rsid w:val="00576ADE"/>
    <w:rsid w:val="0057733B"/>
    <w:rsid w:val="00577CFD"/>
    <w:rsid w:val="00577DEF"/>
    <w:rsid w:val="00582C07"/>
    <w:rsid w:val="0058312D"/>
    <w:rsid w:val="00586CD1"/>
    <w:rsid w:val="00587023"/>
    <w:rsid w:val="00587924"/>
    <w:rsid w:val="00591480"/>
    <w:rsid w:val="005924A7"/>
    <w:rsid w:val="005948F6"/>
    <w:rsid w:val="00595096"/>
    <w:rsid w:val="00597972"/>
    <w:rsid w:val="005A0CE0"/>
    <w:rsid w:val="005A21ED"/>
    <w:rsid w:val="005A22F3"/>
    <w:rsid w:val="005A4917"/>
    <w:rsid w:val="005A4D5D"/>
    <w:rsid w:val="005A4E5C"/>
    <w:rsid w:val="005A57B2"/>
    <w:rsid w:val="005A638F"/>
    <w:rsid w:val="005A6F54"/>
    <w:rsid w:val="005B0868"/>
    <w:rsid w:val="005B0C94"/>
    <w:rsid w:val="005B1507"/>
    <w:rsid w:val="005B20B7"/>
    <w:rsid w:val="005B5D23"/>
    <w:rsid w:val="005B5D4B"/>
    <w:rsid w:val="005C0A11"/>
    <w:rsid w:val="005C0D1C"/>
    <w:rsid w:val="005C0FD0"/>
    <w:rsid w:val="005C3BD2"/>
    <w:rsid w:val="005C6285"/>
    <w:rsid w:val="005C79E7"/>
    <w:rsid w:val="005C7C9B"/>
    <w:rsid w:val="005D0461"/>
    <w:rsid w:val="005D0494"/>
    <w:rsid w:val="005D5BA1"/>
    <w:rsid w:val="005D5FCD"/>
    <w:rsid w:val="005D622E"/>
    <w:rsid w:val="005E0CCE"/>
    <w:rsid w:val="005E2583"/>
    <w:rsid w:val="005E49B2"/>
    <w:rsid w:val="005E4B73"/>
    <w:rsid w:val="005E62E3"/>
    <w:rsid w:val="005E6361"/>
    <w:rsid w:val="005E7C51"/>
    <w:rsid w:val="005F0AE8"/>
    <w:rsid w:val="005F2A6B"/>
    <w:rsid w:val="005F40C1"/>
    <w:rsid w:val="005F428B"/>
    <w:rsid w:val="005F4400"/>
    <w:rsid w:val="005F450A"/>
    <w:rsid w:val="005F7403"/>
    <w:rsid w:val="006024D3"/>
    <w:rsid w:val="0060307A"/>
    <w:rsid w:val="00603572"/>
    <w:rsid w:val="00604104"/>
    <w:rsid w:val="006046F1"/>
    <w:rsid w:val="00605FD8"/>
    <w:rsid w:val="00606750"/>
    <w:rsid w:val="00606EF9"/>
    <w:rsid w:val="0060706A"/>
    <w:rsid w:val="006070C4"/>
    <w:rsid w:val="006076EE"/>
    <w:rsid w:val="00607758"/>
    <w:rsid w:val="00610D31"/>
    <w:rsid w:val="00610D5E"/>
    <w:rsid w:val="006110E8"/>
    <w:rsid w:val="00613467"/>
    <w:rsid w:val="00614359"/>
    <w:rsid w:val="00615A11"/>
    <w:rsid w:val="00616DBC"/>
    <w:rsid w:val="00616E2A"/>
    <w:rsid w:val="00621F11"/>
    <w:rsid w:val="00622DA9"/>
    <w:rsid w:val="00624006"/>
    <w:rsid w:val="00624315"/>
    <w:rsid w:val="0062545B"/>
    <w:rsid w:val="0062552A"/>
    <w:rsid w:val="006255A9"/>
    <w:rsid w:val="00626EF3"/>
    <w:rsid w:val="006315BE"/>
    <w:rsid w:val="006332BE"/>
    <w:rsid w:val="00633371"/>
    <w:rsid w:val="00635FDE"/>
    <w:rsid w:val="006365B5"/>
    <w:rsid w:val="00637859"/>
    <w:rsid w:val="006379AB"/>
    <w:rsid w:val="0064019C"/>
    <w:rsid w:val="006408C3"/>
    <w:rsid w:val="00641EDA"/>
    <w:rsid w:val="00644B0D"/>
    <w:rsid w:val="0064620D"/>
    <w:rsid w:val="006503EE"/>
    <w:rsid w:val="00650C29"/>
    <w:rsid w:val="00652219"/>
    <w:rsid w:val="00652893"/>
    <w:rsid w:val="00654631"/>
    <w:rsid w:val="00654AA7"/>
    <w:rsid w:val="00657754"/>
    <w:rsid w:val="00657D86"/>
    <w:rsid w:val="00661286"/>
    <w:rsid w:val="00661DC4"/>
    <w:rsid w:val="00662DFF"/>
    <w:rsid w:val="00662F52"/>
    <w:rsid w:val="00664356"/>
    <w:rsid w:val="00665DDC"/>
    <w:rsid w:val="0067008C"/>
    <w:rsid w:val="00670EA9"/>
    <w:rsid w:val="00672120"/>
    <w:rsid w:val="0067268A"/>
    <w:rsid w:val="00673C15"/>
    <w:rsid w:val="006744C8"/>
    <w:rsid w:val="006765F8"/>
    <w:rsid w:val="00677CFC"/>
    <w:rsid w:val="00677D18"/>
    <w:rsid w:val="00677F00"/>
    <w:rsid w:val="006870B4"/>
    <w:rsid w:val="00687682"/>
    <w:rsid w:val="00690797"/>
    <w:rsid w:val="0069156C"/>
    <w:rsid w:val="00691913"/>
    <w:rsid w:val="00692561"/>
    <w:rsid w:val="00692C0F"/>
    <w:rsid w:val="00692FB3"/>
    <w:rsid w:val="00693141"/>
    <w:rsid w:val="006960FA"/>
    <w:rsid w:val="00696E96"/>
    <w:rsid w:val="00697B23"/>
    <w:rsid w:val="006A0F54"/>
    <w:rsid w:val="006A138B"/>
    <w:rsid w:val="006A5994"/>
    <w:rsid w:val="006B0A38"/>
    <w:rsid w:val="006B140A"/>
    <w:rsid w:val="006B14F6"/>
    <w:rsid w:val="006B3040"/>
    <w:rsid w:val="006B309C"/>
    <w:rsid w:val="006B42E5"/>
    <w:rsid w:val="006B5F8B"/>
    <w:rsid w:val="006B6327"/>
    <w:rsid w:val="006C01EA"/>
    <w:rsid w:val="006C06FC"/>
    <w:rsid w:val="006C15CD"/>
    <w:rsid w:val="006C22DD"/>
    <w:rsid w:val="006C2E10"/>
    <w:rsid w:val="006C404F"/>
    <w:rsid w:val="006C4906"/>
    <w:rsid w:val="006C6804"/>
    <w:rsid w:val="006C71A6"/>
    <w:rsid w:val="006C7366"/>
    <w:rsid w:val="006D086F"/>
    <w:rsid w:val="006D27A0"/>
    <w:rsid w:val="006D3271"/>
    <w:rsid w:val="006D5231"/>
    <w:rsid w:val="006D7D52"/>
    <w:rsid w:val="006E25F5"/>
    <w:rsid w:val="006E72AA"/>
    <w:rsid w:val="006E7302"/>
    <w:rsid w:val="006E783C"/>
    <w:rsid w:val="006F0A07"/>
    <w:rsid w:val="006F161E"/>
    <w:rsid w:val="006F21CC"/>
    <w:rsid w:val="006F2975"/>
    <w:rsid w:val="006F3FC6"/>
    <w:rsid w:val="006F7D49"/>
    <w:rsid w:val="00705D64"/>
    <w:rsid w:val="007063E9"/>
    <w:rsid w:val="0070665B"/>
    <w:rsid w:val="00707082"/>
    <w:rsid w:val="007127AC"/>
    <w:rsid w:val="00712C73"/>
    <w:rsid w:val="007131EB"/>
    <w:rsid w:val="00713629"/>
    <w:rsid w:val="007154F6"/>
    <w:rsid w:val="00715623"/>
    <w:rsid w:val="00715A1D"/>
    <w:rsid w:val="007160BC"/>
    <w:rsid w:val="00720680"/>
    <w:rsid w:val="00720CEF"/>
    <w:rsid w:val="00723AB1"/>
    <w:rsid w:val="00723E1E"/>
    <w:rsid w:val="00724388"/>
    <w:rsid w:val="00725910"/>
    <w:rsid w:val="00726225"/>
    <w:rsid w:val="007310DF"/>
    <w:rsid w:val="0073399E"/>
    <w:rsid w:val="00740076"/>
    <w:rsid w:val="007426DD"/>
    <w:rsid w:val="0074406D"/>
    <w:rsid w:val="00744929"/>
    <w:rsid w:val="00746F61"/>
    <w:rsid w:val="00747333"/>
    <w:rsid w:val="00747CEF"/>
    <w:rsid w:val="007509A6"/>
    <w:rsid w:val="00750B5A"/>
    <w:rsid w:val="00750F4C"/>
    <w:rsid w:val="00751984"/>
    <w:rsid w:val="007538CC"/>
    <w:rsid w:val="0075420B"/>
    <w:rsid w:val="00754273"/>
    <w:rsid w:val="00754745"/>
    <w:rsid w:val="00754821"/>
    <w:rsid w:val="00754F3E"/>
    <w:rsid w:val="0075537E"/>
    <w:rsid w:val="0075613E"/>
    <w:rsid w:val="007573B9"/>
    <w:rsid w:val="00757456"/>
    <w:rsid w:val="007633B0"/>
    <w:rsid w:val="007644C3"/>
    <w:rsid w:val="007647B8"/>
    <w:rsid w:val="00764DDE"/>
    <w:rsid w:val="00766375"/>
    <w:rsid w:val="00766D32"/>
    <w:rsid w:val="007674FB"/>
    <w:rsid w:val="00770D7B"/>
    <w:rsid w:val="00771072"/>
    <w:rsid w:val="007715D2"/>
    <w:rsid w:val="00772501"/>
    <w:rsid w:val="00772C70"/>
    <w:rsid w:val="007762E3"/>
    <w:rsid w:val="0077688C"/>
    <w:rsid w:val="007812BA"/>
    <w:rsid w:val="0078234E"/>
    <w:rsid w:val="00782B23"/>
    <w:rsid w:val="007833C3"/>
    <w:rsid w:val="0078408C"/>
    <w:rsid w:val="007847FA"/>
    <w:rsid w:val="0078530B"/>
    <w:rsid w:val="00787DEC"/>
    <w:rsid w:val="007904BB"/>
    <w:rsid w:val="00790883"/>
    <w:rsid w:val="00790910"/>
    <w:rsid w:val="0079192B"/>
    <w:rsid w:val="00791B07"/>
    <w:rsid w:val="00791C04"/>
    <w:rsid w:val="00791DE1"/>
    <w:rsid w:val="00791DE4"/>
    <w:rsid w:val="00794393"/>
    <w:rsid w:val="007960B3"/>
    <w:rsid w:val="00796223"/>
    <w:rsid w:val="007A2944"/>
    <w:rsid w:val="007A3A8C"/>
    <w:rsid w:val="007A561C"/>
    <w:rsid w:val="007A5CC3"/>
    <w:rsid w:val="007A77BF"/>
    <w:rsid w:val="007A7C00"/>
    <w:rsid w:val="007B0B36"/>
    <w:rsid w:val="007B0E0C"/>
    <w:rsid w:val="007B1B9C"/>
    <w:rsid w:val="007B2AC7"/>
    <w:rsid w:val="007B51BA"/>
    <w:rsid w:val="007B5B4B"/>
    <w:rsid w:val="007B6833"/>
    <w:rsid w:val="007C24FD"/>
    <w:rsid w:val="007C26E5"/>
    <w:rsid w:val="007C32F8"/>
    <w:rsid w:val="007C50ED"/>
    <w:rsid w:val="007C61D2"/>
    <w:rsid w:val="007C720A"/>
    <w:rsid w:val="007C7210"/>
    <w:rsid w:val="007D1092"/>
    <w:rsid w:val="007D217E"/>
    <w:rsid w:val="007D2392"/>
    <w:rsid w:val="007D2621"/>
    <w:rsid w:val="007D2C39"/>
    <w:rsid w:val="007D347C"/>
    <w:rsid w:val="007D4EFF"/>
    <w:rsid w:val="007E2949"/>
    <w:rsid w:val="007E3562"/>
    <w:rsid w:val="007E38DE"/>
    <w:rsid w:val="007E48C8"/>
    <w:rsid w:val="007F08CA"/>
    <w:rsid w:val="007F1FC6"/>
    <w:rsid w:val="007F21BE"/>
    <w:rsid w:val="007F3B6E"/>
    <w:rsid w:val="00801FE4"/>
    <w:rsid w:val="0080218A"/>
    <w:rsid w:val="00804B39"/>
    <w:rsid w:val="008058E8"/>
    <w:rsid w:val="00806434"/>
    <w:rsid w:val="00806653"/>
    <w:rsid w:val="0080719F"/>
    <w:rsid w:val="00810D4B"/>
    <w:rsid w:val="00811CDA"/>
    <w:rsid w:val="00813288"/>
    <w:rsid w:val="008140DA"/>
    <w:rsid w:val="00815DCA"/>
    <w:rsid w:val="00821A29"/>
    <w:rsid w:val="00823233"/>
    <w:rsid w:val="00823907"/>
    <w:rsid w:val="00824426"/>
    <w:rsid w:val="008247B2"/>
    <w:rsid w:val="00826508"/>
    <w:rsid w:val="00830702"/>
    <w:rsid w:val="00830E52"/>
    <w:rsid w:val="008324E3"/>
    <w:rsid w:val="00832A99"/>
    <w:rsid w:val="00834DD9"/>
    <w:rsid w:val="00836A80"/>
    <w:rsid w:val="00836E8D"/>
    <w:rsid w:val="00841ABE"/>
    <w:rsid w:val="00845946"/>
    <w:rsid w:val="00845DFA"/>
    <w:rsid w:val="008470C4"/>
    <w:rsid w:val="008476A0"/>
    <w:rsid w:val="0085048C"/>
    <w:rsid w:val="00852F38"/>
    <w:rsid w:val="008544F6"/>
    <w:rsid w:val="00854C36"/>
    <w:rsid w:val="0085663E"/>
    <w:rsid w:val="00856C34"/>
    <w:rsid w:val="00857BB4"/>
    <w:rsid w:val="008614EA"/>
    <w:rsid w:val="00861F17"/>
    <w:rsid w:val="00864BCC"/>
    <w:rsid w:val="00865D6C"/>
    <w:rsid w:val="00865DC1"/>
    <w:rsid w:val="008661BC"/>
    <w:rsid w:val="00866DAF"/>
    <w:rsid w:val="00870089"/>
    <w:rsid w:val="008717FB"/>
    <w:rsid w:val="008737A9"/>
    <w:rsid w:val="008750F9"/>
    <w:rsid w:val="00875341"/>
    <w:rsid w:val="0087536F"/>
    <w:rsid w:val="008757C5"/>
    <w:rsid w:val="00877AC5"/>
    <w:rsid w:val="0088028F"/>
    <w:rsid w:val="00880A40"/>
    <w:rsid w:val="00880BF0"/>
    <w:rsid w:val="008821C3"/>
    <w:rsid w:val="00882732"/>
    <w:rsid w:val="00884694"/>
    <w:rsid w:val="00884DC4"/>
    <w:rsid w:val="00884EF1"/>
    <w:rsid w:val="008869F4"/>
    <w:rsid w:val="008874DC"/>
    <w:rsid w:val="008876D8"/>
    <w:rsid w:val="00893EEF"/>
    <w:rsid w:val="00895D9C"/>
    <w:rsid w:val="00895DB7"/>
    <w:rsid w:val="00895FF7"/>
    <w:rsid w:val="008A01D6"/>
    <w:rsid w:val="008A35D2"/>
    <w:rsid w:val="008A3C58"/>
    <w:rsid w:val="008A44C8"/>
    <w:rsid w:val="008A4880"/>
    <w:rsid w:val="008A52B1"/>
    <w:rsid w:val="008A5B2C"/>
    <w:rsid w:val="008B0507"/>
    <w:rsid w:val="008B11D0"/>
    <w:rsid w:val="008B1873"/>
    <w:rsid w:val="008B22DE"/>
    <w:rsid w:val="008B49D9"/>
    <w:rsid w:val="008B5B32"/>
    <w:rsid w:val="008B727A"/>
    <w:rsid w:val="008C0407"/>
    <w:rsid w:val="008C1AB8"/>
    <w:rsid w:val="008C2CDE"/>
    <w:rsid w:val="008C4692"/>
    <w:rsid w:val="008C7CC5"/>
    <w:rsid w:val="008D6124"/>
    <w:rsid w:val="008D620F"/>
    <w:rsid w:val="008D78FF"/>
    <w:rsid w:val="008E11F4"/>
    <w:rsid w:val="008E2A7A"/>
    <w:rsid w:val="008E2BFD"/>
    <w:rsid w:val="008E303D"/>
    <w:rsid w:val="008E335C"/>
    <w:rsid w:val="008E357C"/>
    <w:rsid w:val="008F14B7"/>
    <w:rsid w:val="008F7561"/>
    <w:rsid w:val="0090153E"/>
    <w:rsid w:val="0090715F"/>
    <w:rsid w:val="00907FBF"/>
    <w:rsid w:val="009101E1"/>
    <w:rsid w:val="00910FE7"/>
    <w:rsid w:val="0091116C"/>
    <w:rsid w:val="009126CD"/>
    <w:rsid w:val="00913CE1"/>
    <w:rsid w:val="00914DA7"/>
    <w:rsid w:val="00915F63"/>
    <w:rsid w:val="00917253"/>
    <w:rsid w:val="009177E9"/>
    <w:rsid w:val="00920CA1"/>
    <w:rsid w:val="00920FB9"/>
    <w:rsid w:val="00921916"/>
    <w:rsid w:val="0092606A"/>
    <w:rsid w:val="00926B00"/>
    <w:rsid w:val="009301BD"/>
    <w:rsid w:val="009302B7"/>
    <w:rsid w:val="009318D3"/>
    <w:rsid w:val="009331CF"/>
    <w:rsid w:val="009334AC"/>
    <w:rsid w:val="0093743F"/>
    <w:rsid w:val="00941299"/>
    <w:rsid w:val="00942010"/>
    <w:rsid w:val="0094320A"/>
    <w:rsid w:val="00943FCD"/>
    <w:rsid w:val="00944B1B"/>
    <w:rsid w:val="00944D8F"/>
    <w:rsid w:val="00945E7D"/>
    <w:rsid w:val="00950DBF"/>
    <w:rsid w:val="0095170D"/>
    <w:rsid w:val="00952EFD"/>
    <w:rsid w:val="0095307F"/>
    <w:rsid w:val="009549B3"/>
    <w:rsid w:val="00955526"/>
    <w:rsid w:val="009555E7"/>
    <w:rsid w:val="0095656B"/>
    <w:rsid w:val="00956B8D"/>
    <w:rsid w:val="009600BC"/>
    <w:rsid w:val="0096029D"/>
    <w:rsid w:val="0096157B"/>
    <w:rsid w:val="009620DA"/>
    <w:rsid w:val="00963451"/>
    <w:rsid w:val="009649A4"/>
    <w:rsid w:val="00965406"/>
    <w:rsid w:val="00965FF3"/>
    <w:rsid w:val="00966C09"/>
    <w:rsid w:val="00970F3E"/>
    <w:rsid w:val="00971061"/>
    <w:rsid w:val="0097160D"/>
    <w:rsid w:val="00977306"/>
    <w:rsid w:val="009813A5"/>
    <w:rsid w:val="00981EB9"/>
    <w:rsid w:val="00982C03"/>
    <w:rsid w:val="00984441"/>
    <w:rsid w:val="009844CF"/>
    <w:rsid w:val="00984D69"/>
    <w:rsid w:val="00984DD8"/>
    <w:rsid w:val="00987E4D"/>
    <w:rsid w:val="0099085F"/>
    <w:rsid w:val="009925DB"/>
    <w:rsid w:val="00992698"/>
    <w:rsid w:val="00993CC9"/>
    <w:rsid w:val="0099401D"/>
    <w:rsid w:val="009A175B"/>
    <w:rsid w:val="009A6F74"/>
    <w:rsid w:val="009A7F40"/>
    <w:rsid w:val="009B040C"/>
    <w:rsid w:val="009B048C"/>
    <w:rsid w:val="009B1DB9"/>
    <w:rsid w:val="009B29A0"/>
    <w:rsid w:val="009B376D"/>
    <w:rsid w:val="009B460E"/>
    <w:rsid w:val="009B55DD"/>
    <w:rsid w:val="009B5A52"/>
    <w:rsid w:val="009C1EDF"/>
    <w:rsid w:val="009C2289"/>
    <w:rsid w:val="009C2B10"/>
    <w:rsid w:val="009C2F56"/>
    <w:rsid w:val="009C3279"/>
    <w:rsid w:val="009C44F2"/>
    <w:rsid w:val="009C6437"/>
    <w:rsid w:val="009D060A"/>
    <w:rsid w:val="009D06F2"/>
    <w:rsid w:val="009D08FF"/>
    <w:rsid w:val="009D17DD"/>
    <w:rsid w:val="009D3628"/>
    <w:rsid w:val="009D3F0A"/>
    <w:rsid w:val="009D3F99"/>
    <w:rsid w:val="009D4C2A"/>
    <w:rsid w:val="009D4DE0"/>
    <w:rsid w:val="009D6914"/>
    <w:rsid w:val="009E038F"/>
    <w:rsid w:val="009E1C22"/>
    <w:rsid w:val="009E2481"/>
    <w:rsid w:val="009E2A27"/>
    <w:rsid w:val="009E4595"/>
    <w:rsid w:val="009E4FB7"/>
    <w:rsid w:val="009E5632"/>
    <w:rsid w:val="009F33D3"/>
    <w:rsid w:val="009F3631"/>
    <w:rsid w:val="009F3790"/>
    <w:rsid w:val="009F3D54"/>
    <w:rsid w:val="009F458B"/>
    <w:rsid w:val="009F68E1"/>
    <w:rsid w:val="009F7506"/>
    <w:rsid w:val="009F7CEB"/>
    <w:rsid w:val="00A02686"/>
    <w:rsid w:val="00A026D2"/>
    <w:rsid w:val="00A0297E"/>
    <w:rsid w:val="00A02A4A"/>
    <w:rsid w:val="00A040FD"/>
    <w:rsid w:val="00A0426A"/>
    <w:rsid w:val="00A04C0D"/>
    <w:rsid w:val="00A04E99"/>
    <w:rsid w:val="00A06A2F"/>
    <w:rsid w:val="00A07A7F"/>
    <w:rsid w:val="00A12983"/>
    <w:rsid w:val="00A137F5"/>
    <w:rsid w:val="00A20B1A"/>
    <w:rsid w:val="00A22A39"/>
    <w:rsid w:val="00A2415B"/>
    <w:rsid w:val="00A26C0C"/>
    <w:rsid w:val="00A352C8"/>
    <w:rsid w:val="00A40B33"/>
    <w:rsid w:val="00A414BF"/>
    <w:rsid w:val="00A41CC6"/>
    <w:rsid w:val="00A41E5D"/>
    <w:rsid w:val="00A436A5"/>
    <w:rsid w:val="00A43EDA"/>
    <w:rsid w:val="00A44F6B"/>
    <w:rsid w:val="00A535FB"/>
    <w:rsid w:val="00A5569D"/>
    <w:rsid w:val="00A57963"/>
    <w:rsid w:val="00A57BF6"/>
    <w:rsid w:val="00A57FA1"/>
    <w:rsid w:val="00A61045"/>
    <w:rsid w:val="00A62F2F"/>
    <w:rsid w:val="00A6374D"/>
    <w:rsid w:val="00A64FA8"/>
    <w:rsid w:val="00A67389"/>
    <w:rsid w:val="00A731B4"/>
    <w:rsid w:val="00A74B8F"/>
    <w:rsid w:val="00A75ADF"/>
    <w:rsid w:val="00A77DC5"/>
    <w:rsid w:val="00A819AD"/>
    <w:rsid w:val="00A81CD4"/>
    <w:rsid w:val="00A81E03"/>
    <w:rsid w:val="00A81E46"/>
    <w:rsid w:val="00A81F82"/>
    <w:rsid w:val="00A83BDB"/>
    <w:rsid w:val="00A841B0"/>
    <w:rsid w:val="00A8424A"/>
    <w:rsid w:val="00A847BD"/>
    <w:rsid w:val="00A847F8"/>
    <w:rsid w:val="00A8484C"/>
    <w:rsid w:val="00A85A2B"/>
    <w:rsid w:val="00A869E5"/>
    <w:rsid w:val="00A921BF"/>
    <w:rsid w:val="00A92255"/>
    <w:rsid w:val="00A93543"/>
    <w:rsid w:val="00A93D73"/>
    <w:rsid w:val="00A94EFC"/>
    <w:rsid w:val="00A96B6F"/>
    <w:rsid w:val="00AA1681"/>
    <w:rsid w:val="00AA2FA1"/>
    <w:rsid w:val="00AA47A3"/>
    <w:rsid w:val="00AA51C1"/>
    <w:rsid w:val="00AA5973"/>
    <w:rsid w:val="00AA6156"/>
    <w:rsid w:val="00AA73AC"/>
    <w:rsid w:val="00AA7B77"/>
    <w:rsid w:val="00AA7E29"/>
    <w:rsid w:val="00AB0C4C"/>
    <w:rsid w:val="00AB0FA0"/>
    <w:rsid w:val="00AB187A"/>
    <w:rsid w:val="00AB31BA"/>
    <w:rsid w:val="00AB39E7"/>
    <w:rsid w:val="00AB514A"/>
    <w:rsid w:val="00AB55C4"/>
    <w:rsid w:val="00AB67D2"/>
    <w:rsid w:val="00AC152F"/>
    <w:rsid w:val="00AC2CCF"/>
    <w:rsid w:val="00AC50E3"/>
    <w:rsid w:val="00AD3E9F"/>
    <w:rsid w:val="00AD40A8"/>
    <w:rsid w:val="00AD428C"/>
    <w:rsid w:val="00AD51C9"/>
    <w:rsid w:val="00AD74CA"/>
    <w:rsid w:val="00AE2A68"/>
    <w:rsid w:val="00AE4EF1"/>
    <w:rsid w:val="00AE513E"/>
    <w:rsid w:val="00AE7AA8"/>
    <w:rsid w:val="00AF0573"/>
    <w:rsid w:val="00AF0DF9"/>
    <w:rsid w:val="00AF4BE4"/>
    <w:rsid w:val="00AF578C"/>
    <w:rsid w:val="00B01EE6"/>
    <w:rsid w:val="00B03920"/>
    <w:rsid w:val="00B044AD"/>
    <w:rsid w:val="00B05A6C"/>
    <w:rsid w:val="00B069C0"/>
    <w:rsid w:val="00B072FD"/>
    <w:rsid w:val="00B11054"/>
    <w:rsid w:val="00B11EA0"/>
    <w:rsid w:val="00B12A23"/>
    <w:rsid w:val="00B16911"/>
    <w:rsid w:val="00B16BC3"/>
    <w:rsid w:val="00B17FDB"/>
    <w:rsid w:val="00B2156F"/>
    <w:rsid w:val="00B21BB1"/>
    <w:rsid w:val="00B25C7B"/>
    <w:rsid w:val="00B25D68"/>
    <w:rsid w:val="00B26DA2"/>
    <w:rsid w:val="00B2777B"/>
    <w:rsid w:val="00B30A98"/>
    <w:rsid w:val="00B30DD1"/>
    <w:rsid w:val="00B31F0A"/>
    <w:rsid w:val="00B37D59"/>
    <w:rsid w:val="00B40CCB"/>
    <w:rsid w:val="00B4142B"/>
    <w:rsid w:val="00B416F8"/>
    <w:rsid w:val="00B41A83"/>
    <w:rsid w:val="00B427C4"/>
    <w:rsid w:val="00B43B7B"/>
    <w:rsid w:val="00B534AD"/>
    <w:rsid w:val="00B536B0"/>
    <w:rsid w:val="00B539FB"/>
    <w:rsid w:val="00B54C3E"/>
    <w:rsid w:val="00B60A46"/>
    <w:rsid w:val="00B623DB"/>
    <w:rsid w:val="00B624F7"/>
    <w:rsid w:val="00B6367E"/>
    <w:rsid w:val="00B63B06"/>
    <w:rsid w:val="00B64C57"/>
    <w:rsid w:val="00B64C6A"/>
    <w:rsid w:val="00B64FC6"/>
    <w:rsid w:val="00B6574A"/>
    <w:rsid w:val="00B657EA"/>
    <w:rsid w:val="00B65C7C"/>
    <w:rsid w:val="00B660E7"/>
    <w:rsid w:val="00B6620F"/>
    <w:rsid w:val="00B6656D"/>
    <w:rsid w:val="00B668E5"/>
    <w:rsid w:val="00B66C37"/>
    <w:rsid w:val="00B67119"/>
    <w:rsid w:val="00B71675"/>
    <w:rsid w:val="00B71B62"/>
    <w:rsid w:val="00B75BC0"/>
    <w:rsid w:val="00B76510"/>
    <w:rsid w:val="00B77871"/>
    <w:rsid w:val="00B7796D"/>
    <w:rsid w:val="00B800CE"/>
    <w:rsid w:val="00B80B83"/>
    <w:rsid w:val="00B8139B"/>
    <w:rsid w:val="00B81A5A"/>
    <w:rsid w:val="00B8258D"/>
    <w:rsid w:val="00B8501E"/>
    <w:rsid w:val="00B85F6B"/>
    <w:rsid w:val="00B863A0"/>
    <w:rsid w:val="00B915D3"/>
    <w:rsid w:val="00B929CD"/>
    <w:rsid w:val="00B94595"/>
    <w:rsid w:val="00BA01AB"/>
    <w:rsid w:val="00BA2308"/>
    <w:rsid w:val="00BA3306"/>
    <w:rsid w:val="00BA3538"/>
    <w:rsid w:val="00BA4C5E"/>
    <w:rsid w:val="00BA50FE"/>
    <w:rsid w:val="00BA5796"/>
    <w:rsid w:val="00BA6E6E"/>
    <w:rsid w:val="00BA73EE"/>
    <w:rsid w:val="00BB079F"/>
    <w:rsid w:val="00BB60C5"/>
    <w:rsid w:val="00BB7DCF"/>
    <w:rsid w:val="00BC1338"/>
    <w:rsid w:val="00BC3122"/>
    <w:rsid w:val="00BC596C"/>
    <w:rsid w:val="00BC7776"/>
    <w:rsid w:val="00BC7BDA"/>
    <w:rsid w:val="00BC7FCB"/>
    <w:rsid w:val="00BD03EC"/>
    <w:rsid w:val="00BD07B0"/>
    <w:rsid w:val="00BD1FFF"/>
    <w:rsid w:val="00BD2771"/>
    <w:rsid w:val="00BE3CAA"/>
    <w:rsid w:val="00BE3E5F"/>
    <w:rsid w:val="00BE583A"/>
    <w:rsid w:val="00BE6E93"/>
    <w:rsid w:val="00BF067E"/>
    <w:rsid w:val="00BF0B6D"/>
    <w:rsid w:val="00BF144E"/>
    <w:rsid w:val="00BF755A"/>
    <w:rsid w:val="00C03257"/>
    <w:rsid w:val="00C06203"/>
    <w:rsid w:val="00C06418"/>
    <w:rsid w:val="00C07417"/>
    <w:rsid w:val="00C07BBA"/>
    <w:rsid w:val="00C104C2"/>
    <w:rsid w:val="00C11033"/>
    <w:rsid w:val="00C11C00"/>
    <w:rsid w:val="00C12C6E"/>
    <w:rsid w:val="00C134DC"/>
    <w:rsid w:val="00C1384D"/>
    <w:rsid w:val="00C22197"/>
    <w:rsid w:val="00C23FEA"/>
    <w:rsid w:val="00C25469"/>
    <w:rsid w:val="00C258A7"/>
    <w:rsid w:val="00C304F5"/>
    <w:rsid w:val="00C31400"/>
    <w:rsid w:val="00C317F3"/>
    <w:rsid w:val="00C32E63"/>
    <w:rsid w:val="00C344FE"/>
    <w:rsid w:val="00C35E2E"/>
    <w:rsid w:val="00C407E2"/>
    <w:rsid w:val="00C410C0"/>
    <w:rsid w:val="00C41B85"/>
    <w:rsid w:val="00C42C16"/>
    <w:rsid w:val="00C44C37"/>
    <w:rsid w:val="00C455A2"/>
    <w:rsid w:val="00C4612F"/>
    <w:rsid w:val="00C46863"/>
    <w:rsid w:val="00C46AE5"/>
    <w:rsid w:val="00C46B1C"/>
    <w:rsid w:val="00C47092"/>
    <w:rsid w:val="00C47654"/>
    <w:rsid w:val="00C52ACF"/>
    <w:rsid w:val="00C53127"/>
    <w:rsid w:val="00C55F68"/>
    <w:rsid w:val="00C56979"/>
    <w:rsid w:val="00C577FD"/>
    <w:rsid w:val="00C57E4D"/>
    <w:rsid w:val="00C607D1"/>
    <w:rsid w:val="00C6150C"/>
    <w:rsid w:val="00C61643"/>
    <w:rsid w:val="00C6178E"/>
    <w:rsid w:val="00C626E2"/>
    <w:rsid w:val="00C628C8"/>
    <w:rsid w:val="00C6446F"/>
    <w:rsid w:val="00C64C9E"/>
    <w:rsid w:val="00C65197"/>
    <w:rsid w:val="00C65277"/>
    <w:rsid w:val="00C6726D"/>
    <w:rsid w:val="00C711A4"/>
    <w:rsid w:val="00C715C8"/>
    <w:rsid w:val="00C73C90"/>
    <w:rsid w:val="00C73F1C"/>
    <w:rsid w:val="00C7519E"/>
    <w:rsid w:val="00C76AE1"/>
    <w:rsid w:val="00C76EC8"/>
    <w:rsid w:val="00C77692"/>
    <w:rsid w:val="00C80F9A"/>
    <w:rsid w:val="00C8128F"/>
    <w:rsid w:val="00C812E4"/>
    <w:rsid w:val="00C818BD"/>
    <w:rsid w:val="00C81A12"/>
    <w:rsid w:val="00C825AC"/>
    <w:rsid w:val="00C82FCA"/>
    <w:rsid w:val="00C846BE"/>
    <w:rsid w:val="00C84CB6"/>
    <w:rsid w:val="00C90D3D"/>
    <w:rsid w:val="00C9109D"/>
    <w:rsid w:val="00C913D5"/>
    <w:rsid w:val="00C95751"/>
    <w:rsid w:val="00C96283"/>
    <w:rsid w:val="00C963DE"/>
    <w:rsid w:val="00C97752"/>
    <w:rsid w:val="00C97BFF"/>
    <w:rsid w:val="00CA0C26"/>
    <w:rsid w:val="00CA1B3C"/>
    <w:rsid w:val="00CA3A29"/>
    <w:rsid w:val="00CA41BA"/>
    <w:rsid w:val="00CA4AA1"/>
    <w:rsid w:val="00CA6FBD"/>
    <w:rsid w:val="00CB07A8"/>
    <w:rsid w:val="00CB14A1"/>
    <w:rsid w:val="00CB5389"/>
    <w:rsid w:val="00CB5603"/>
    <w:rsid w:val="00CB70C3"/>
    <w:rsid w:val="00CC10E1"/>
    <w:rsid w:val="00CC1D3D"/>
    <w:rsid w:val="00CC5190"/>
    <w:rsid w:val="00CC5587"/>
    <w:rsid w:val="00CC7173"/>
    <w:rsid w:val="00CD1275"/>
    <w:rsid w:val="00CD12E3"/>
    <w:rsid w:val="00CD1BD8"/>
    <w:rsid w:val="00CD2761"/>
    <w:rsid w:val="00CD2B85"/>
    <w:rsid w:val="00CD33C2"/>
    <w:rsid w:val="00CD3B9F"/>
    <w:rsid w:val="00CD6327"/>
    <w:rsid w:val="00CD675B"/>
    <w:rsid w:val="00CE13A1"/>
    <w:rsid w:val="00CE2165"/>
    <w:rsid w:val="00CE2B78"/>
    <w:rsid w:val="00CE2CD5"/>
    <w:rsid w:val="00CE3EFB"/>
    <w:rsid w:val="00CE74A3"/>
    <w:rsid w:val="00CF7B96"/>
    <w:rsid w:val="00D003CC"/>
    <w:rsid w:val="00D00526"/>
    <w:rsid w:val="00D00A89"/>
    <w:rsid w:val="00D034DD"/>
    <w:rsid w:val="00D03BE6"/>
    <w:rsid w:val="00D03D0C"/>
    <w:rsid w:val="00D04952"/>
    <w:rsid w:val="00D06A16"/>
    <w:rsid w:val="00D1078F"/>
    <w:rsid w:val="00D10E60"/>
    <w:rsid w:val="00D110FD"/>
    <w:rsid w:val="00D12497"/>
    <w:rsid w:val="00D12CD2"/>
    <w:rsid w:val="00D12CED"/>
    <w:rsid w:val="00D148B7"/>
    <w:rsid w:val="00D14D23"/>
    <w:rsid w:val="00D15D8B"/>
    <w:rsid w:val="00D17984"/>
    <w:rsid w:val="00D215EF"/>
    <w:rsid w:val="00D21681"/>
    <w:rsid w:val="00D232DF"/>
    <w:rsid w:val="00D244C4"/>
    <w:rsid w:val="00D24DAD"/>
    <w:rsid w:val="00D24E8D"/>
    <w:rsid w:val="00D252F1"/>
    <w:rsid w:val="00D25916"/>
    <w:rsid w:val="00D329E6"/>
    <w:rsid w:val="00D32E43"/>
    <w:rsid w:val="00D3375D"/>
    <w:rsid w:val="00D34BF5"/>
    <w:rsid w:val="00D35EDD"/>
    <w:rsid w:val="00D36238"/>
    <w:rsid w:val="00D37972"/>
    <w:rsid w:val="00D40896"/>
    <w:rsid w:val="00D41534"/>
    <w:rsid w:val="00D451FC"/>
    <w:rsid w:val="00D45551"/>
    <w:rsid w:val="00D46A98"/>
    <w:rsid w:val="00D50D56"/>
    <w:rsid w:val="00D532CD"/>
    <w:rsid w:val="00D53519"/>
    <w:rsid w:val="00D53D8C"/>
    <w:rsid w:val="00D55D4F"/>
    <w:rsid w:val="00D603CA"/>
    <w:rsid w:val="00D62F76"/>
    <w:rsid w:val="00D63AF8"/>
    <w:rsid w:val="00D63C48"/>
    <w:rsid w:val="00D63D0A"/>
    <w:rsid w:val="00D64289"/>
    <w:rsid w:val="00D65F82"/>
    <w:rsid w:val="00D6667B"/>
    <w:rsid w:val="00D67024"/>
    <w:rsid w:val="00D67B53"/>
    <w:rsid w:val="00D67CC6"/>
    <w:rsid w:val="00D70F7D"/>
    <w:rsid w:val="00D71400"/>
    <w:rsid w:val="00D728E9"/>
    <w:rsid w:val="00D72C23"/>
    <w:rsid w:val="00D737AE"/>
    <w:rsid w:val="00D73D5A"/>
    <w:rsid w:val="00D75F50"/>
    <w:rsid w:val="00D8076A"/>
    <w:rsid w:val="00D81411"/>
    <w:rsid w:val="00D8435D"/>
    <w:rsid w:val="00D84ADF"/>
    <w:rsid w:val="00D85D6D"/>
    <w:rsid w:val="00D87584"/>
    <w:rsid w:val="00D93E65"/>
    <w:rsid w:val="00D942DF"/>
    <w:rsid w:val="00D95394"/>
    <w:rsid w:val="00D970E7"/>
    <w:rsid w:val="00DA0119"/>
    <w:rsid w:val="00DA032B"/>
    <w:rsid w:val="00DA0456"/>
    <w:rsid w:val="00DA1A25"/>
    <w:rsid w:val="00DA2118"/>
    <w:rsid w:val="00DA255B"/>
    <w:rsid w:val="00DA3A51"/>
    <w:rsid w:val="00DA4B3B"/>
    <w:rsid w:val="00DA55BB"/>
    <w:rsid w:val="00DA73EE"/>
    <w:rsid w:val="00DB29B3"/>
    <w:rsid w:val="00DB616C"/>
    <w:rsid w:val="00DC1484"/>
    <w:rsid w:val="00DC1743"/>
    <w:rsid w:val="00DC1F73"/>
    <w:rsid w:val="00DC34D0"/>
    <w:rsid w:val="00DC4CC9"/>
    <w:rsid w:val="00DC544D"/>
    <w:rsid w:val="00DC7746"/>
    <w:rsid w:val="00DD113B"/>
    <w:rsid w:val="00DD297C"/>
    <w:rsid w:val="00DD3049"/>
    <w:rsid w:val="00DD59A1"/>
    <w:rsid w:val="00DD68E2"/>
    <w:rsid w:val="00DE13F2"/>
    <w:rsid w:val="00DE1D1E"/>
    <w:rsid w:val="00DE30E2"/>
    <w:rsid w:val="00DE3A9A"/>
    <w:rsid w:val="00DE6421"/>
    <w:rsid w:val="00DE68D8"/>
    <w:rsid w:val="00DF16C0"/>
    <w:rsid w:val="00DF2561"/>
    <w:rsid w:val="00DF3A50"/>
    <w:rsid w:val="00DF49D7"/>
    <w:rsid w:val="00DF548B"/>
    <w:rsid w:val="00DF551F"/>
    <w:rsid w:val="00DF66D8"/>
    <w:rsid w:val="00DF6DB3"/>
    <w:rsid w:val="00DF7713"/>
    <w:rsid w:val="00E0554C"/>
    <w:rsid w:val="00E05FBC"/>
    <w:rsid w:val="00E067BB"/>
    <w:rsid w:val="00E10B7D"/>
    <w:rsid w:val="00E13B37"/>
    <w:rsid w:val="00E1435D"/>
    <w:rsid w:val="00E145DA"/>
    <w:rsid w:val="00E1542A"/>
    <w:rsid w:val="00E21DC9"/>
    <w:rsid w:val="00E227EA"/>
    <w:rsid w:val="00E228BB"/>
    <w:rsid w:val="00E233B1"/>
    <w:rsid w:val="00E23660"/>
    <w:rsid w:val="00E2416E"/>
    <w:rsid w:val="00E2645E"/>
    <w:rsid w:val="00E268BB"/>
    <w:rsid w:val="00E2761D"/>
    <w:rsid w:val="00E31A1E"/>
    <w:rsid w:val="00E32F2E"/>
    <w:rsid w:val="00E34484"/>
    <w:rsid w:val="00E35DAA"/>
    <w:rsid w:val="00E36546"/>
    <w:rsid w:val="00E3674C"/>
    <w:rsid w:val="00E37424"/>
    <w:rsid w:val="00E37D73"/>
    <w:rsid w:val="00E4041E"/>
    <w:rsid w:val="00E444BB"/>
    <w:rsid w:val="00E45180"/>
    <w:rsid w:val="00E45305"/>
    <w:rsid w:val="00E4634C"/>
    <w:rsid w:val="00E46AC9"/>
    <w:rsid w:val="00E52BE0"/>
    <w:rsid w:val="00E53934"/>
    <w:rsid w:val="00E53DB6"/>
    <w:rsid w:val="00E54225"/>
    <w:rsid w:val="00E54353"/>
    <w:rsid w:val="00E54FB3"/>
    <w:rsid w:val="00E55904"/>
    <w:rsid w:val="00E55E72"/>
    <w:rsid w:val="00E57B17"/>
    <w:rsid w:val="00E57D2C"/>
    <w:rsid w:val="00E57EEC"/>
    <w:rsid w:val="00E60F2D"/>
    <w:rsid w:val="00E654CA"/>
    <w:rsid w:val="00E66614"/>
    <w:rsid w:val="00E70200"/>
    <w:rsid w:val="00E712F1"/>
    <w:rsid w:val="00E71458"/>
    <w:rsid w:val="00E73B70"/>
    <w:rsid w:val="00E773DF"/>
    <w:rsid w:val="00E82298"/>
    <w:rsid w:val="00E8269B"/>
    <w:rsid w:val="00E82F1C"/>
    <w:rsid w:val="00E8338D"/>
    <w:rsid w:val="00E83454"/>
    <w:rsid w:val="00E879C4"/>
    <w:rsid w:val="00E90DE0"/>
    <w:rsid w:val="00E930FA"/>
    <w:rsid w:val="00E96D63"/>
    <w:rsid w:val="00EA0C20"/>
    <w:rsid w:val="00EA0E2E"/>
    <w:rsid w:val="00EA1B29"/>
    <w:rsid w:val="00EA2F02"/>
    <w:rsid w:val="00EA66E6"/>
    <w:rsid w:val="00EA688C"/>
    <w:rsid w:val="00EA6C92"/>
    <w:rsid w:val="00EB0911"/>
    <w:rsid w:val="00EB19CE"/>
    <w:rsid w:val="00EB22BC"/>
    <w:rsid w:val="00EB3F3E"/>
    <w:rsid w:val="00EB426B"/>
    <w:rsid w:val="00EB5E6D"/>
    <w:rsid w:val="00EC435C"/>
    <w:rsid w:val="00EC4E55"/>
    <w:rsid w:val="00EC51FD"/>
    <w:rsid w:val="00EC6630"/>
    <w:rsid w:val="00EC6E10"/>
    <w:rsid w:val="00EC7E57"/>
    <w:rsid w:val="00ED2043"/>
    <w:rsid w:val="00ED2077"/>
    <w:rsid w:val="00ED7430"/>
    <w:rsid w:val="00EE0874"/>
    <w:rsid w:val="00EE278E"/>
    <w:rsid w:val="00EF0244"/>
    <w:rsid w:val="00EF0C92"/>
    <w:rsid w:val="00EF10F3"/>
    <w:rsid w:val="00EF1F3D"/>
    <w:rsid w:val="00EF3278"/>
    <w:rsid w:val="00EF68F5"/>
    <w:rsid w:val="00F0019E"/>
    <w:rsid w:val="00F049EC"/>
    <w:rsid w:val="00F04AFA"/>
    <w:rsid w:val="00F06CC2"/>
    <w:rsid w:val="00F0722B"/>
    <w:rsid w:val="00F11D72"/>
    <w:rsid w:val="00F129B6"/>
    <w:rsid w:val="00F139ED"/>
    <w:rsid w:val="00F21A40"/>
    <w:rsid w:val="00F21D91"/>
    <w:rsid w:val="00F268FB"/>
    <w:rsid w:val="00F26B4B"/>
    <w:rsid w:val="00F2706C"/>
    <w:rsid w:val="00F3094A"/>
    <w:rsid w:val="00F30E3D"/>
    <w:rsid w:val="00F32D23"/>
    <w:rsid w:val="00F3425E"/>
    <w:rsid w:val="00F35010"/>
    <w:rsid w:val="00F36C04"/>
    <w:rsid w:val="00F37482"/>
    <w:rsid w:val="00F419C5"/>
    <w:rsid w:val="00F44EFB"/>
    <w:rsid w:val="00F453BA"/>
    <w:rsid w:val="00F466F0"/>
    <w:rsid w:val="00F544AE"/>
    <w:rsid w:val="00F555A4"/>
    <w:rsid w:val="00F56314"/>
    <w:rsid w:val="00F6373A"/>
    <w:rsid w:val="00F67F89"/>
    <w:rsid w:val="00F72B42"/>
    <w:rsid w:val="00F72E83"/>
    <w:rsid w:val="00F73358"/>
    <w:rsid w:val="00F733F3"/>
    <w:rsid w:val="00F73A39"/>
    <w:rsid w:val="00F7424D"/>
    <w:rsid w:val="00F748BB"/>
    <w:rsid w:val="00F74FCF"/>
    <w:rsid w:val="00F75D3A"/>
    <w:rsid w:val="00F77282"/>
    <w:rsid w:val="00F80139"/>
    <w:rsid w:val="00F87C31"/>
    <w:rsid w:val="00F9050D"/>
    <w:rsid w:val="00F90695"/>
    <w:rsid w:val="00F9212E"/>
    <w:rsid w:val="00F9228A"/>
    <w:rsid w:val="00F9395B"/>
    <w:rsid w:val="00F94B7D"/>
    <w:rsid w:val="00F94BAE"/>
    <w:rsid w:val="00F9783F"/>
    <w:rsid w:val="00FA0329"/>
    <w:rsid w:val="00FA0C55"/>
    <w:rsid w:val="00FA1231"/>
    <w:rsid w:val="00FA24B3"/>
    <w:rsid w:val="00FA4269"/>
    <w:rsid w:val="00FA6220"/>
    <w:rsid w:val="00FA739B"/>
    <w:rsid w:val="00FB366A"/>
    <w:rsid w:val="00FB4E18"/>
    <w:rsid w:val="00FB57DB"/>
    <w:rsid w:val="00FB6238"/>
    <w:rsid w:val="00FC06E3"/>
    <w:rsid w:val="00FC115A"/>
    <w:rsid w:val="00FC1C61"/>
    <w:rsid w:val="00FC22AB"/>
    <w:rsid w:val="00FC3D68"/>
    <w:rsid w:val="00FC4360"/>
    <w:rsid w:val="00FC499D"/>
    <w:rsid w:val="00FC4B08"/>
    <w:rsid w:val="00FC4B09"/>
    <w:rsid w:val="00FC594B"/>
    <w:rsid w:val="00FD0DA5"/>
    <w:rsid w:val="00FD1D01"/>
    <w:rsid w:val="00FD6256"/>
    <w:rsid w:val="00FD72C5"/>
    <w:rsid w:val="00FD736F"/>
    <w:rsid w:val="00FD7841"/>
    <w:rsid w:val="00FD7E20"/>
    <w:rsid w:val="00FE1D2C"/>
    <w:rsid w:val="00FE2431"/>
    <w:rsid w:val="00FE4C58"/>
    <w:rsid w:val="00FE528E"/>
    <w:rsid w:val="00FE6746"/>
    <w:rsid w:val="00FF0745"/>
    <w:rsid w:val="00FF0F6B"/>
    <w:rsid w:val="00FF135E"/>
    <w:rsid w:val="00FF2550"/>
    <w:rsid w:val="00FF42B8"/>
    <w:rsid w:val="00FF610D"/>
    <w:rsid w:val="00FF755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uiPriority="59"/>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482"/>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numPr>
        <w:ilvl w:val="1"/>
        <w:numId w:val="1"/>
      </w:numPr>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numPr>
        <w:ilvl w:val="2"/>
        <w:numId w:val="1"/>
      </w:numPr>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basedOn w:val="Heading4"/>
    <w:next w:val="Normal"/>
    <w:link w:val="Heading5Char"/>
    <w:uiPriority w:val="7"/>
    <w:unhideWhenUsed/>
    <w:qFormat/>
    <w:rsid w:val="00AA47A3"/>
    <w:pPr>
      <w:numPr>
        <w:numId w:val="0"/>
      </w:numPr>
      <w:spacing w:before="120"/>
      <w:jc w:val="both"/>
      <w:outlineLvl w:val="4"/>
    </w:pPr>
    <w:rPr>
      <w:rFonts w:ascii="Calibri" w:hAnsi="Calibri"/>
      <w:i/>
      <w:sz w:val="24"/>
      <w:szCs w:val="24"/>
    </w:r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basedOn w:val="DefaultParagraphFont"/>
    <w:link w:val="Heading5"/>
    <w:uiPriority w:val="7"/>
    <w:rsid w:val="00AA47A3"/>
    <w:rPr>
      <w:rFonts w:ascii="Calibri" w:eastAsiaTheme="majorEastAsia" w:hAnsi="Calibri" w:cstheme="majorBidi"/>
      <w:b/>
      <w:i/>
      <w:sz w:val="24"/>
      <w:szCs w:val="24"/>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spacing w:before="0" w:after="0"/>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2"/>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9"/>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customStyle="1" w:styleId="PBACTableText">
    <w:name w:val="PBAC Table Text"/>
    <w:basedOn w:val="Normal"/>
    <w:link w:val="PBACTableTextChar"/>
    <w:qFormat/>
    <w:rsid w:val="00754F3E"/>
    <w:pPr>
      <w:spacing w:before="40" w:after="40"/>
    </w:pPr>
    <w:rPr>
      <w:rFonts w:ascii="Arial Narrow" w:eastAsia="Times New Roman" w:hAnsi="Arial Narrow" w:cs="Times New Roman"/>
      <w:sz w:val="20"/>
      <w:szCs w:val="20"/>
    </w:rPr>
  </w:style>
  <w:style w:type="character" w:customStyle="1" w:styleId="PBACTableTextChar">
    <w:name w:val="PBAC Table Text Char"/>
    <w:basedOn w:val="DefaultParagraphFont"/>
    <w:link w:val="PBACTableText"/>
    <w:rsid w:val="00754F3E"/>
    <w:rPr>
      <w:rFonts w:ascii="Arial Narrow" w:eastAsia="Times New Roman" w:hAnsi="Arial Narrow" w:cs="Times New Roman"/>
      <w:sz w:val="20"/>
      <w:szCs w:val="20"/>
    </w:rPr>
  </w:style>
  <w:style w:type="character" w:customStyle="1" w:styleId="COMBodyChar">
    <w:name w:val="COMBody Char"/>
    <w:basedOn w:val="DefaultParagraphFont"/>
    <w:link w:val="COMBody"/>
    <w:locked/>
    <w:rsid w:val="00350D75"/>
    <w:rPr>
      <w:rFonts w:ascii="Calibri" w:eastAsia="Times New Roman" w:hAnsi="Calibri" w:cs="Arial"/>
      <w:sz w:val="24"/>
      <w:szCs w:val="20"/>
    </w:rPr>
  </w:style>
  <w:style w:type="paragraph" w:customStyle="1" w:styleId="COMBody">
    <w:name w:val="COMBody"/>
    <w:basedOn w:val="Normal"/>
    <w:link w:val="COMBodyChar"/>
    <w:qFormat/>
    <w:rsid w:val="00350D75"/>
    <w:pPr>
      <w:widowControl w:val="0"/>
      <w:snapToGrid w:val="0"/>
      <w:spacing w:before="0" w:after="0"/>
      <w:jc w:val="both"/>
    </w:pPr>
    <w:rPr>
      <w:rFonts w:ascii="Calibri" w:eastAsia="Times New Roman" w:hAnsi="Calibri" w:cs="Arial"/>
      <w:szCs w:val="20"/>
    </w:rPr>
  </w:style>
  <w:style w:type="character" w:customStyle="1" w:styleId="TableTextChar">
    <w:name w:val="Table Text Char"/>
    <w:link w:val="TableText"/>
    <w:rsid w:val="00085A0C"/>
    <w:rPr>
      <w:rFonts w:ascii="Arial Narrow" w:hAnsi="Arial Narrow"/>
      <w:sz w:val="20"/>
    </w:rPr>
  </w:style>
  <w:style w:type="paragraph" w:customStyle="1" w:styleId="PbacTableHeading">
    <w:name w:val="Pbac Table Heading"/>
    <w:basedOn w:val="PBACTableText"/>
    <w:qFormat/>
    <w:rsid w:val="0036527A"/>
    <w:pPr>
      <w:spacing w:before="0" w:after="80"/>
    </w:pPr>
    <w:rPr>
      <w:rFonts w:eastAsiaTheme="minorHAnsi" w:cs="Arial"/>
      <w:b/>
    </w:rPr>
  </w:style>
  <w:style w:type="paragraph" w:customStyle="1" w:styleId="Default">
    <w:name w:val="Default"/>
    <w:rsid w:val="00EF1F3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uiPriority="59"/>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482"/>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numPr>
        <w:ilvl w:val="1"/>
        <w:numId w:val="1"/>
      </w:numPr>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numPr>
        <w:ilvl w:val="2"/>
        <w:numId w:val="1"/>
      </w:numPr>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basedOn w:val="Heading4"/>
    <w:next w:val="Normal"/>
    <w:link w:val="Heading5Char"/>
    <w:uiPriority w:val="7"/>
    <w:unhideWhenUsed/>
    <w:qFormat/>
    <w:rsid w:val="00AA47A3"/>
    <w:pPr>
      <w:numPr>
        <w:numId w:val="0"/>
      </w:numPr>
      <w:spacing w:before="120"/>
      <w:jc w:val="both"/>
      <w:outlineLvl w:val="4"/>
    </w:pPr>
    <w:rPr>
      <w:rFonts w:ascii="Calibri" w:hAnsi="Calibri"/>
      <w:i/>
      <w:sz w:val="24"/>
      <w:szCs w:val="24"/>
    </w:r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basedOn w:val="DefaultParagraphFont"/>
    <w:link w:val="Heading5"/>
    <w:uiPriority w:val="7"/>
    <w:rsid w:val="00AA47A3"/>
    <w:rPr>
      <w:rFonts w:ascii="Calibri" w:eastAsiaTheme="majorEastAsia" w:hAnsi="Calibri" w:cstheme="majorBidi"/>
      <w:b/>
      <w:i/>
      <w:sz w:val="24"/>
      <w:szCs w:val="24"/>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spacing w:before="0" w:after="0"/>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2"/>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9"/>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customStyle="1" w:styleId="PBACTableText">
    <w:name w:val="PBAC Table Text"/>
    <w:basedOn w:val="Normal"/>
    <w:link w:val="PBACTableTextChar"/>
    <w:qFormat/>
    <w:rsid w:val="00754F3E"/>
    <w:pPr>
      <w:spacing w:before="40" w:after="40"/>
    </w:pPr>
    <w:rPr>
      <w:rFonts w:ascii="Arial Narrow" w:eastAsia="Times New Roman" w:hAnsi="Arial Narrow" w:cs="Times New Roman"/>
      <w:sz w:val="20"/>
      <w:szCs w:val="20"/>
    </w:rPr>
  </w:style>
  <w:style w:type="character" w:customStyle="1" w:styleId="PBACTableTextChar">
    <w:name w:val="PBAC Table Text Char"/>
    <w:basedOn w:val="DefaultParagraphFont"/>
    <w:link w:val="PBACTableText"/>
    <w:rsid w:val="00754F3E"/>
    <w:rPr>
      <w:rFonts w:ascii="Arial Narrow" w:eastAsia="Times New Roman" w:hAnsi="Arial Narrow" w:cs="Times New Roman"/>
      <w:sz w:val="20"/>
      <w:szCs w:val="20"/>
    </w:rPr>
  </w:style>
  <w:style w:type="character" w:customStyle="1" w:styleId="COMBodyChar">
    <w:name w:val="COMBody Char"/>
    <w:basedOn w:val="DefaultParagraphFont"/>
    <w:link w:val="COMBody"/>
    <w:locked/>
    <w:rsid w:val="00350D75"/>
    <w:rPr>
      <w:rFonts w:ascii="Calibri" w:eastAsia="Times New Roman" w:hAnsi="Calibri" w:cs="Arial"/>
      <w:sz w:val="24"/>
      <w:szCs w:val="20"/>
    </w:rPr>
  </w:style>
  <w:style w:type="paragraph" w:customStyle="1" w:styleId="COMBody">
    <w:name w:val="COMBody"/>
    <w:basedOn w:val="Normal"/>
    <w:link w:val="COMBodyChar"/>
    <w:qFormat/>
    <w:rsid w:val="00350D75"/>
    <w:pPr>
      <w:widowControl w:val="0"/>
      <w:snapToGrid w:val="0"/>
      <w:spacing w:before="0" w:after="0"/>
      <w:jc w:val="both"/>
    </w:pPr>
    <w:rPr>
      <w:rFonts w:ascii="Calibri" w:eastAsia="Times New Roman" w:hAnsi="Calibri" w:cs="Arial"/>
      <w:szCs w:val="20"/>
    </w:rPr>
  </w:style>
  <w:style w:type="character" w:customStyle="1" w:styleId="TableTextChar">
    <w:name w:val="Table Text Char"/>
    <w:link w:val="TableText"/>
    <w:rsid w:val="00085A0C"/>
    <w:rPr>
      <w:rFonts w:ascii="Arial Narrow" w:hAnsi="Arial Narrow"/>
      <w:sz w:val="20"/>
    </w:rPr>
  </w:style>
  <w:style w:type="paragraph" w:customStyle="1" w:styleId="PbacTableHeading">
    <w:name w:val="Pbac Table Heading"/>
    <w:basedOn w:val="PBACTableText"/>
    <w:qFormat/>
    <w:rsid w:val="0036527A"/>
    <w:pPr>
      <w:spacing w:before="0" w:after="80"/>
    </w:pPr>
    <w:rPr>
      <w:rFonts w:eastAsiaTheme="minorHAnsi" w:cs="Arial"/>
      <w:b/>
    </w:rPr>
  </w:style>
  <w:style w:type="paragraph" w:customStyle="1" w:styleId="Default">
    <w:name w:val="Default"/>
    <w:rsid w:val="00EF1F3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2257">
      <w:bodyDiv w:val="1"/>
      <w:marLeft w:val="0"/>
      <w:marRight w:val="0"/>
      <w:marTop w:val="0"/>
      <w:marBottom w:val="0"/>
      <w:divBdr>
        <w:top w:val="none" w:sz="0" w:space="0" w:color="auto"/>
        <w:left w:val="none" w:sz="0" w:space="0" w:color="auto"/>
        <w:bottom w:val="none" w:sz="0" w:space="0" w:color="auto"/>
        <w:right w:val="none" w:sz="0" w:space="0" w:color="auto"/>
      </w:divBdr>
      <w:divsChild>
        <w:div w:id="461269770">
          <w:marLeft w:val="720"/>
          <w:marRight w:val="0"/>
          <w:marTop w:val="40"/>
          <w:marBottom w:val="0"/>
          <w:divBdr>
            <w:top w:val="none" w:sz="0" w:space="0" w:color="auto"/>
            <w:left w:val="none" w:sz="0" w:space="0" w:color="auto"/>
            <w:bottom w:val="none" w:sz="0" w:space="0" w:color="auto"/>
            <w:right w:val="none" w:sz="0" w:space="0" w:color="auto"/>
          </w:divBdr>
        </w:div>
      </w:divsChild>
    </w:div>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0198884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986012294">
      <w:bodyDiv w:val="1"/>
      <w:marLeft w:val="0"/>
      <w:marRight w:val="0"/>
      <w:marTop w:val="0"/>
      <w:marBottom w:val="0"/>
      <w:divBdr>
        <w:top w:val="none" w:sz="0" w:space="0" w:color="auto"/>
        <w:left w:val="none" w:sz="0" w:space="0" w:color="auto"/>
        <w:bottom w:val="none" w:sz="0" w:space="0" w:color="auto"/>
        <w:right w:val="none" w:sz="0" w:space="0" w:color="auto"/>
      </w:divBdr>
    </w:div>
    <w:div w:id="1024359036">
      <w:bodyDiv w:val="1"/>
      <w:marLeft w:val="0"/>
      <w:marRight w:val="0"/>
      <w:marTop w:val="0"/>
      <w:marBottom w:val="0"/>
      <w:divBdr>
        <w:top w:val="none" w:sz="0" w:space="0" w:color="auto"/>
        <w:left w:val="none" w:sz="0" w:space="0" w:color="auto"/>
        <w:bottom w:val="none" w:sz="0" w:space="0" w:color="auto"/>
        <w:right w:val="none" w:sz="0" w:space="0" w:color="auto"/>
      </w:divBdr>
      <w:divsChild>
        <w:div w:id="592861218">
          <w:marLeft w:val="720"/>
          <w:marRight w:val="0"/>
          <w:marTop w:val="40"/>
          <w:marBottom w:val="0"/>
          <w:divBdr>
            <w:top w:val="none" w:sz="0" w:space="0" w:color="auto"/>
            <w:left w:val="none" w:sz="0" w:space="0" w:color="auto"/>
            <w:bottom w:val="none" w:sz="0" w:space="0" w:color="auto"/>
            <w:right w:val="none" w:sz="0" w:space="0" w:color="auto"/>
          </w:divBdr>
        </w:div>
        <w:div w:id="2123916790">
          <w:marLeft w:val="720"/>
          <w:marRight w:val="0"/>
          <w:marTop w:val="40"/>
          <w:marBottom w:val="0"/>
          <w:divBdr>
            <w:top w:val="none" w:sz="0" w:space="0" w:color="auto"/>
            <w:left w:val="none" w:sz="0" w:space="0" w:color="auto"/>
            <w:bottom w:val="none" w:sz="0" w:space="0" w:color="auto"/>
            <w:right w:val="none" w:sz="0" w:space="0" w:color="auto"/>
          </w:divBdr>
        </w:div>
        <w:div w:id="885600754">
          <w:marLeft w:val="720"/>
          <w:marRight w:val="0"/>
          <w:marTop w:val="40"/>
          <w:marBottom w:val="0"/>
          <w:divBdr>
            <w:top w:val="none" w:sz="0" w:space="0" w:color="auto"/>
            <w:left w:val="none" w:sz="0" w:space="0" w:color="auto"/>
            <w:bottom w:val="none" w:sz="0" w:space="0" w:color="auto"/>
            <w:right w:val="none" w:sz="0" w:space="0" w:color="auto"/>
          </w:divBdr>
        </w:div>
        <w:div w:id="580024685">
          <w:marLeft w:val="720"/>
          <w:marRight w:val="0"/>
          <w:marTop w:val="40"/>
          <w:marBottom w:val="0"/>
          <w:divBdr>
            <w:top w:val="none" w:sz="0" w:space="0" w:color="auto"/>
            <w:left w:val="none" w:sz="0" w:space="0" w:color="auto"/>
            <w:bottom w:val="none" w:sz="0" w:space="0" w:color="auto"/>
            <w:right w:val="none" w:sz="0" w:space="0" w:color="auto"/>
          </w:divBdr>
        </w:div>
        <w:div w:id="340545076">
          <w:marLeft w:val="720"/>
          <w:marRight w:val="0"/>
          <w:marTop w:val="40"/>
          <w:marBottom w:val="0"/>
          <w:divBdr>
            <w:top w:val="none" w:sz="0" w:space="0" w:color="auto"/>
            <w:left w:val="none" w:sz="0" w:space="0" w:color="auto"/>
            <w:bottom w:val="none" w:sz="0" w:space="0" w:color="auto"/>
            <w:right w:val="none" w:sz="0" w:space="0" w:color="auto"/>
          </w:divBdr>
        </w:div>
        <w:div w:id="2070423142">
          <w:marLeft w:val="720"/>
          <w:marRight w:val="0"/>
          <w:marTop w:val="40"/>
          <w:marBottom w:val="0"/>
          <w:divBdr>
            <w:top w:val="none" w:sz="0" w:space="0" w:color="auto"/>
            <w:left w:val="none" w:sz="0" w:space="0" w:color="auto"/>
            <w:bottom w:val="none" w:sz="0" w:space="0" w:color="auto"/>
            <w:right w:val="none" w:sz="0" w:space="0" w:color="auto"/>
          </w:divBdr>
        </w:div>
      </w:divsChild>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4CB72-FD2A-4A32-AB9E-17F14775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9676</Words>
  <Characters>55154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2018-02-19T22:27:00Z</dcterms:created>
  <dcterms:modified xsi:type="dcterms:W3CDTF">2018-02-19T22:28:00Z</dcterms:modified>
</cp:coreProperties>
</file>