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C26" w:rsidRPr="00EA448D" w:rsidRDefault="00C61800" w:rsidP="002A2B13">
      <w:pPr>
        <w:ind w:left="709" w:hanging="709"/>
        <w:outlineLvl w:val="0"/>
        <w:rPr>
          <w:b/>
          <w:sz w:val="36"/>
          <w:szCs w:val="36"/>
        </w:rPr>
      </w:pPr>
      <w:bookmarkStart w:id="0" w:name="_Toc380679761"/>
      <w:bookmarkStart w:id="1" w:name="_Toc380742618"/>
      <w:bookmarkStart w:id="2" w:name="_Toc380746185"/>
      <w:bookmarkStart w:id="3" w:name="_Toc380746311"/>
      <w:bookmarkStart w:id="4" w:name="_Toc380746592"/>
      <w:bookmarkStart w:id="5" w:name="_Toc381019901"/>
      <w:bookmarkStart w:id="6" w:name="_Toc382553532"/>
      <w:bookmarkStart w:id="7" w:name="_Toc392857619"/>
      <w:r w:rsidRPr="00EA448D">
        <w:rPr>
          <w:b/>
          <w:sz w:val="36"/>
          <w:szCs w:val="36"/>
        </w:rPr>
        <w:t>7</w:t>
      </w:r>
      <w:r w:rsidR="00837C26" w:rsidRPr="00EA448D">
        <w:rPr>
          <w:b/>
          <w:sz w:val="36"/>
          <w:szCs w:val="36"/>
        </w:rPr>
        <w:t>.</w:t>
      </w:r>
      <w:r w:rsidRPr="00EA448D">
        <w:rPr>
          <w:b/>
          <w:sz w:val="36"/>
          <w:szCs w:val="36"/>
        </w:rPr>
        <w:t>02</w:t>
      </w:r>
      <w:r w:rsidR="00837C26" w:rsidRPr="00EA448D">
        <w:rPr>
          <w:b/>
          <w:sz w:val="36"/>
          <w:szCs w:val="36"/>
        </w:rPr>
        <w:tab/>
        <w:t>CLADRIBINE</w:t>
      </w:r>
      <w:proofErr w:type="gramStart"/>
      <w:r w:rsidR="00837C26" w:rsidRPr="00EA448D">
        <w:rPr>
          <w:b/>
          <w:sz w:val="36"/>
          <w:szCs w:val="36"/>
        </w:rPr>
        <w:t>,</w:t>
      </w:r>
      <w:proofErr w:type="gramEnd"/>
      <w:r w:rsidR="00837C26" w:rsidRPr="00EA448D">
        <w:rPr>
          <w:b/>
          <w:sz w:val="36"/>
          <w:szCs w:val="36"/>
        </w:rPr>
        <w:br/>
        <w:t>Tablet 10</w:t>
      </w:r>
      <w:r w:rsidR="00A40301" w:rsidRPr="00EA448D">
        <w:rPr>
          <w:b/>
          <w:sz w:val="36"/>
          <w:szCs w:val="36"/>
        </w:rPr>
        <w:t xml:space="preserve"> </w:t>
      </w:r>
      <w:r w:rsidR="00837C26" w:rsidRPr="00EA448D">
        <w:rPr>
          <w:b/>
          <w:sz w:val="36"/>
          <w:szCs w:val="36"/>
        </w:rPr>
        <w:t xml:space="preserve">mg, </w:t>
      </w:r>
      <w:r w:rsidR="00837C26" w:rsidRPr="00EA448D">
        <w:rPr>
          <w:b/>
          <w:sz w:val="36"/>
          <w:szCs w:val="36"/>
        </w:rPr>
        <w:br/>
      </w:r>
      <w:proofErr w:type="spellStart"/>
      <w:r w:rsidR="00837C26" w:rsidRPr="00EA448D">
        <w:rPr>
          <w:b/>
          <w:sz w:val="36"/>
          <w:szCs w:val="36"/>
        </w:rPr>
        <w:t>Mavenclad</w:t>
      </w:r>
      <w:proofErr w:type="spellEnd"/>
      <w:r w:rsidR="00837C26" w:rsidRPr="00EA448D">
        <w:rPr>
          <w:b/>
          <w:sz w:val="36"/>
          <w:szCs w:val="36"/>
        </w:rPr>
        <w:t>®, Merck</w:t>
      </w:r>
    </w:p>
    <w:p w:rsidR="00837C26" w:rsidRPr="00EA448D" w:rsidRDefault="00837C26" w:rsidP="00837C26">
      <w:pPr>
        <w:pStyle w:val="Heading1"/>
        <w:ind w:left="709" w:hanging="709"/>
      </w:pPr>
      <w:bookmarkStart w:id="8" w:name="_Toc413139271"/>
      <w:bookmarkStart w:id="9" w:name="_Toc365847452"/>
      <w:r w:rsidRPr="00EA448D">
        <w:t>Purpose of application</w:t>
      </w:r>
      <w:bookmarkEnd w:id="8"/>
      <w:bookmarkEnd w:id="9"/>
    </w:p>
    <w:p w:rsidR="00E8337A" w:rsidRPr="000A212C" w:rsidRDefault="00696B42" w:rsidP="00A627FC">
      <w:pPr>
        <w:pStyle w:val="ListParagraph"/>
        <w:numPr>
          <w:ilvl w:val="1"/>
          <w:numId w:val="3"/>
        </w:numPr>
        <w:spacing w:before="0" w:after="120"/>
        <w:jc w:val="both"/>
      </w:pPr>
      <w:r>
        <w:t xml:space="preserve">General schedule </w:t>
      </w:r>
      <w:r w:rsidR="00837C26" w:rsidRPr="000A212C">
        <w:t xml:space="preserve">listing for </w:t>
      </w:r>
      <w:proofErr w:type="spellStart"/>
      <w:r w:rsidR="00837C26" w:rsidRPr="000A212C">
        <w:t>cladribine</w:t>
      </w:r>
      <w:proofErr w:type="spellEnd"/>
      <w:r w:rsidR="00837C26" w:rsidRPr="000A212C">
        <w:t xml:space="preserve"> tablets for </w:t>
      </w:r>
      <w:r w:rsidR="00E8337A" w:rsidRPr="000A212C">
        <w:t xml:space="preserve">the </w:t>
      </w:r>
      <w:r w:rsidR="00837C26" w:rsidRPr="000A212C">
        <w:t xml:space="preserve">treatment of relapsing remitting multiple sclerosis (RRMS). </w:t>
      </w:r>
    </w:p>
    <w:p w:rsidR="00A81977" w:rsidRPr="000A212C" w:rsidRDefault="00E8337A" w:rsidP="00A627FC">
      <w:pPr>
        <w:pStyle w:val="ListParagraph"/>
        <w:numPr>
          <w:ilvl w:val="1"/>
          <w:numId w:val="3"/>
        </w:numPr>
        <w:spacing w:before="0" w:after="120"/>
        <w:jc w:val="both"/>
      </w:pPr>
      <w:r w:rsidRPr="000A212C">
        <w:t xml:space="preserve">This is the second submission considered by the PBAC, the first </w:t>
      </w:r>
      <w:proofErr w:type="gramStart"/>
      <w:r w:rsidRPr="000A212C">
        <w:t>was</w:t>
      </w:r>
      <w:r w:rsidR="00036F4C" w:rsidRPr="000A212C">
        <w:t xml:space="preserve"> considered</w:t>
      </w:r>
      <w:proofErr w:type="gramEnd"/>
      <w:r w:rsidR="00036F4C" w:rsidRPr="000A212C">
        <w:t xml:space="preserve"> in March 2011.</w:t>
      </w:r>
    </w:p>
    <w:p w:rsidR="00837C26" w:rsidRPr="000A212C" w:rsidRDefault="00837C26" w:rsidP="00A627FC">
      <w:pPr>
        <w:pStyle w:val="ListParagraph"/>
        <w:numPr>
          <w:ilvl w:val="1"/>
          <w:numId w:val="3"/>
        </w:numPr>
        <w:spacing w:before="0" w:after="120"/>
        <w:jc w:val="both"/>
      </w:pPr>
      <w:r w:rsidRPr="000A212C">
        <w:t xml:space="preserve">The resubmission sought listing </w:t>
      </w:r>
      <w:r w:rsidR="00AE5740" w:rsidRPr="000A212C">
        <w:t>based on</w:t>
      </w:r>
      <w:r w:rsidRPr="000A212C">
        <w:t xml:space="preserve"> a cost-minimisation analysis </w:t>
      </w:r>
      <w:r w:rsidR="00E8337A" w:rsidRPr="000A212C">
        <w:t>versus</w:t>
      </w:r>
      <w:r w:rsidRPr="000A212C">
        <w:t xml:space="preserve"> </w:t>
      </w:r>
      <w:proofErr w:type="spellStart"/>
      <w:r w:rsidRPr="000A212C">
        <w:t>fingolimod</w:t>
      </w:r>
      <w:proofErr w:type="spellEnd"/>
      <w:r w:rsidRPr="000A212C">
        <w:t>.</w:t>
      </w:r>
    </w:p>
    <w:p w:rsidR="00837C26" w:rsidRPr="000A212C" w:rsidRDefault="00837C26" w:rsidP="00036F4C">
      <w:pPr>
        <w:pStyle w:val="TableHeading0"/>
      </w:pPr>
      <w:r w:rsidRPr="000A212C">
        <w:t>Table 1: Key components of the clinical issue addressed by the submission</w:t>
      </w:r>
    </w:p>
    <w:tbl>
      <w:tblPr>
        <w:tblStyle w:val="TableGridbeth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985"/>
        <w:gridCol w:w="8099"/>
      </w:tblGrid>
      <w:tr w:rsidR="00E8337A" w:rsidRPr="000A212C" w:rsidTr="00E8337A">
        <w:trPr>
          <w:cnfStyle w:val="100000000000" w:firstRow="1" w:lastRow="0" w:firstColumn="0" w:lastColumn="0" w:oddVBand="0" w:evenVBand="0" w:oddHBand="0" w:evenHBand="0" w:firstRowFirstColumn="0" w:firstRowLastColumn="0" w:lastRowFirstColumn="0" w:lastRowLastColumn="0"/>
          <w:cantSplit/>
          <w:tblHeader/>
        </w:trPr>
        <w:tc>
          <w:tcPr>
            <w:tcW w:w="0" w:type="auto"/>
            <w:shd w:val="clear" w:color="auto" w:fill="auto"/>
          </w:tcPr>
          <w:p w:rsidR="00E8337A" w:rsidRPr="000A212C" w:rsidRDefault="00E8337A" w:rsidP="00E8337A">
            <w:pPr>
              <w:keepNext/>
              <w:spacing w:before="40" w:after="40"/>
              <w:rPr>
                <w:rFonts w:ascii="Arial Narrow" w:eastAsia="Calibri" w:hAnsi="Arial Narrow" w:cs="Arial"/>
                <w:b w:val="0"/>
                <w:sz w:val="20"/>
              </w:rPr>
            </w:pPr>
            <w:bookmarkStart w:id="10" w:name="_Toc413139272"/>
            <w:bookmarkStart w:id="11" w:name="_Toc365847453"/>
            <w:r w:rsidRPr="000A212C">
              <w:rPr>
                <w:rFonts w:ascii="Arial Narrow" w:eastAsia="Calibri" w:hAnsi="Arial Narrow" w:cs="Arial"/>
                <w:sz w:val="20"/>
              </w:rPr>
              <w:t>Component</w:t>
            </w:r>
          </w:p>
        </w:tc>
        <w:tc>
          <w:tcPr>
            <w:tcW w:w="0" w:type="auto"/>
            <w:shd w:val="clear" w:color="auto" w:fill="auto"/>
          </w:tcPr>
          <w:p w:rsidR="00E8337A" w:rsidRPr="000A212C" w:rsidRDefault="00E8337A" w:rsidP="00E8337A">
            <w:pPr>
              <w:keepNext/>
              <w:spacing w:before="40" w:after="40"/>
              <w:rPr>
                <w:rFonts w:ascii="Arial Narrow" w:eastAsia="Calibri" w:hAnsi="Arial Narrow" w:cs="Arial"/>
                <w:b w:val="0"/>
                <w:sz w:val="20"/>
              </w:rPr>
            </w:pPr>
            <w:r w:rsidRPr="000A212C">
              <w:rPr>
                <w:rFonts w:ascii="Arial Narrow" w:eastAsia="Calibri" w:hAnsi="Arial Narrow" w:cs="Arial"/>
                <w:sz w:val="20"/>
              </w:rPr>
              <w:t>Description</w:t>
            </w:r>
          </w:p>
        </w:tc>
      </w:tr>
      <w:tr w:rsidR="00E8337A" w:rsidRPr="000A212C" w:rsidTr="00E8337A">
        <w:trPr>
          <w:cantSplit/>
        </w:trPr>
        <w:tc>
          <w:tcPr>
            <w:tcW w:w="0" w:type="auto"/>
            <w:shd w:val="clear" w:color="auto" w:fill="auto"/>
          </w:tcPr>
          <w:p w:rsidR="00E8337A" w:rsidRPr="000A212C" w:rsidRDefault="00E8337A" w:rsidP="00E8337A">
            <w:pPr>
              <w:keepNext/>
              <w:spacing w:before="40" w:after="40"/>
              <w:rPr>
                <w:rFonts w:ascii="Arial Narrow" w:eastAsia="Calibri" w:hAnsi="Arial Narrow" w:cs="Arial"/>
                <w:sz w:val="20"/>
              </w:rPr>
            </w:pPr>
            <w:r w:rsidRPr="000A212C">
              <w:rPr>
                <w:rFonts w:ascii="Arial Narrow" w:eastAsia="Calibri" w:hAnsi="Arial Narrow" w:cs="Arial"/>
                <w:sz w:val="20"/>
              </w:rPr>
              <w:t>Population</w:t>
            </w:r>
          </w:p>
        </w:tc>
        <w:tc>
          <w:tcPr>
            <w:tcW w:w="0" w:type="auto"/>
            <w:shd w:val="clear" w:color="auto" w:fill="auto"/>
          </w:tcPr>
          <w:p w:rsidR="00E8337A" w:rsidRPr="000A212C" w:rsidRDefault="00E8337A" w:rsidP="00E8337A">
            <w:pPr>
              <w:keepNext/>
              <w:spacing w:before="40" w:after="40"/>
              <w:rPr>
                <w:rFonts w:ascii="Times" w:eastAsia="Times New Roman" w:hAnsi="Times" w:cs="Times New Roman"/>
                <w:sz w:val="20"/>
                <w:lang w:val="en-AU"/>
              </w:rPr>
            </w:pPr>
            <w:r w:rsidRPr="000A212C">
              <w:rPr>
                <w:rFonts w:ascii="Arial Narrow" w:eastAsia="Calibri" w:hAnsi="Arial Narrow" w:cs="Arial"/>
                <w:sz w:val="20"/>
                <w:lang w:val="en-AU"/>
              </w:rPr>
              <w:t>Relapsing remitting multiple sclerosis (RRMS)</w:t>
            </w:r>
          </w:p>
        </w:tc>
      </w:tr>
      <w:tr w:rsidR="00E8337A" w:rsidRPr="000A212C" w:rsidTr="00E8337A">
        <w:trPr>
          <w:cantSplit/>
        </w:trPr>
        <w:tc>
          <w:tcPr>
            <w:tcW w:w="0" w:type="auto"/>
            <w:shd w:val="clear" w:color="auto" w:fill="auto"/>
          </w:tcPr>
          <w:p w:rsidR="00E8337A" w:rsidRPr="000A212C" w:rsidRDefault="00E8337A" w:rsidP="00E8337A">
            <w:pPr>
              <w:keepNext/>
              <w:spacing w:before="40" w:after="40"/>
              <w:rPr>
                <w:rFonts w:ascii="Times" w:eastAsia="Times New Roman" w:hAnsi="Times" w:cs="Times New Roman"/>
                <w:sz w:val="20"/>
              </w:rPr>
            </w:pPr>
            <w:r w:rsidRPr="000A212C">
              <w:rPr>
                <w:rFonts w:ascii="Arial Narrow" w:eastAsia="Calibri" w:hAnsi="Arial Narrow" w:cs="Arial"/>
                <w:sz w:val="20"/>
              </w:rPr>
              <w:t>Intervention</w:t>
            </w:r>
          </w:p>
        </w:tc>
        <w:tc>
          <w:tcPr>
            <w:tcW w:w="0" w:type="auto"/>
            <w:shd w:val="clear" w:color="auto" w:fill="auto"/>
          </w:tcPr>
          <w:p w:rsidR="00E8337A" w:rsidRPr="000A212C" w:rsidRDefault="00E8337A" w:rsidP="00E8337A">
            <w:pPr>
              <w:keepNext/>
              <w:spacing w:before="40" w:after="40"/>
              <w:rPr>
                <w:rFonts w:ascii="Times" w:eastAsia="Times New Roman" w:hAnsi="Times" w:cs="Times New Roman"/>
                <w:sz w:val="20"/>
                <w:lang w:val="en-AU"/>
              </w:rPr>
            </w:pPr>
            <w:proofErr w:type="spellStart"/>
            <w:r w:rsidRPr="000A212C">
              <w:rPr>
                <w:rFonts w:ascii="Arial Narrow" w:eastAsia="Calibri" w:hAnsi="Arial Narrow" w:cs="Arial"/>
                <w:sz w:val="20"/>
                <w:lang w:val="en-AU"/>
              </w:rPr>
              <w:t>Cladribine</w:t>
            </w:r>
            <w:proofErr w:type="spellEnd"/>
            <w:r w:rsidRPr="000A212C">
              <w:rPr>
                <w:rFonts w:ascii="Arial Narrow" w:eastAsia="Calibri" w:hAnsi="Arial Narrow" w:cs="Arial"/>
                <w:sz w:val="20"/>
                <w:lang w:val="en-AU"/>
              </w:rPr>
              <w:t xml:space="preserve"> tablets </w:t>
            </w:r>
            <w:proofErr w:type="gramStart"/>
            <w:r w:rsidRPr="000A212C">
              <w:rPr>
                <w:rFonts w:ascii="Arial Narrow" w:eastAsia="Calibri" w:hAnsi="Arial Narrow" w:cs="Arial"/>
                <w:sz w:val="20"/>
                <w:lang w:val="en-AU"/>
              </w:rPr>
              <w:t>are taken</w:t>
            </w:r>
            <w:proofErr w:type="gramEnd"/>
            <w:r w:rsidRPr="000A212C">
              <w:rPr>
                <w:rFonts w:ascii="Arial Narrow" w:eastAsia="Calibri" w:hAnsi="Arial Narrow" w:cs="Arial"/>
                <w:sz w:val="20"/>
                <w:lang w:val="en-AU"/>
              </w:rPr>
              <w:t xml:space="preserve"> over 4-5 days in Weeks 1 and 5 in each of the first two years of therapy to give a cumulative dose of 3.5mg/kg, followed by observation only for two further years. </w:t>
            </w:r>
          </w:p>
        </w:tc>
      </w:tr>
      <w:tr w:rsidR="00E8337A" w:rsidRPr="000A212C" w:rsidTr="00E8337A">
        <w:trPr>
          <w:cantSplit/>
        </w:trPr>
        <w:tc>
          <w:tcPr>
            <w:tcW w:w="0" w:type="auto"/>
            <w:shd w:val="clear" w:color="auto" w:fill="auto"/>
          </w:tcPr>
          <w:p w:rsidR="00E8337A" w:rsidRPr="000A212C" w:rsidRDefault="00E8337A" w:rsidP="00E8337A">
            <w:pPr>
              <w:keepNext/>
              <w:spacing w:before="40" w:after="40"/>
              <w:rPr>
                <w:rFonts w:ascii="Times" w:eastAsia="Times New Roman" w:hAnsi="Times" w:cs="Times New Roman"/>
                <w:sz w:val="20"/>
              </w:rPr>
            </w:pPr>
            <w:r w:rsidRPr="000A212C">
              <w:rPr>
                <w:rFonts w:ascii="Arial Narrow" w:eastAsia="Calibri" w:hAnsi="Arial Narrow" w:cs="Arial"/>
                <w:sz w:val="20"/>
              </w:rPr>
              <w:t>Comparator</w:t>
            </w:r>
          </w:p>
        </w:tc>
        <w:tc>
          <w:tcPr>
            <w:tcW w:w="0" w:type="auto"/>
            <w:shd w:val="clear" w:color="auto" w:fill="auto"/>
          </w:tcPr>
          <w:p w:rsidR="00E8337A" w:rsidRPr="000A212C" w:rsidRDefault="00E8337A" w:rsidP="00E8337A">
            <w:pPr>
              <w:keepNext/>
              <w:spacing w:before="40" w:after="40"/>
              <w:rPr>
                <w:rFonts w:ascii="Times" w:eastAsia="Times New Roman" w:hAnsi="Times" w:cs="Times New Roman"/>
                <w:sz w:val="20"/>
                <w:lang w:val="en-AU"/>
              </w:rPr>
            </w:pPr>
            <w:r w:rsidRPr="000A212C">
              <w:rPr>
                <w:rFonts w:ascii="Arial Narrow" w:eastAsia="Calibri" w:hAnsi="Arial Narrow" w:cs="Arial"/>
                <w:sz w:val="20"/>
                <w:lang w:val="en-AU"/>
              </w:rPr>
              <w:t xml:space="preserve">The main comparator for </w:t>
            </w:r>
            <w:proofErr w:type="spellStart"/>
            <w:r w:rsidRPr="000A212C">
              <w:rPr>
                <w:rFonts w:ascii="Arial Narrow" w:eastAsia="Calibri" w:hAnsi="Arial Narrow" w:cs="Arial"/>
                <w:sz w:val="20"/>
                <w:lang w:val="en-AU"/>
              </w:rPr>
              <w:t>cladribine</w:t>
            </w:r>
            <w:proofErr w:type="spellEnd"/>
            <w:r w:rsidRPr="000A212C">
              <w:rPr>
                <w:rFonts w:ascii="Arial Narrow" w:eastAsia="Calibri" w:hAnsi="Arial Narrow" w:cs="Arial"/>
                <w:sz w:val="20"/>
                <w:lang w:val="en-AU"/>
              </w:rPr>
              <w:t xml:space="preserve"> is </w:t>
            </w:r>
            <w:proofErr w:type="spellStart"/>
            <w:r w:rsidRPr="000A212C">
              <w:rPr>
                <w:rFonts w:ascii="Arial Narrow" w:eastAsia="Calibri" w:hAnsi="Arial Narrow" w:cs="Arial"/>
                <w:sz w:val="20"/>
                <w:lang w:val="en-AU"/>
              </w:rPr>
              <w:t>fingolimod</w:t>
            </w:r>
            <w:proofErr w:type="spellEnd"/>
            <w:r w:rsidRPr="000A212C">
              <w:rPr>
                <w:rFonts w:ascii="Arial Narrow" w:eastAsia="Calibri" w:hAnsi="Arial Narrow" w:cs="Arial"/>
                <w:sz w:val="20"/>
                <w:lang w:val="en-AU"/>
              </w:rPr>
              <w:t xml:space="preserve"> 0.5mg administered daily (over four years to match duration of therapeutic effect for </w:t>
            </w:r>
            <w:proofErr w:type="spellStart"/>
            <w:r w:rsidRPr="000A212C">
              <w:rPr>
                <w:rFonts w:ascii="Arial Narrow" w:eastAsia="Calibri" w:hAnsi="Arial Narrow" w:cs="Arial"/>
                <w:sz w:val="20"/>
                <w:lang w:val="en-AU"/>
              </w:rPr>
              <w:t>cladribine</w:t>
            </w:r>
            <w:proofErr w:type="spellEnd"/>
            <w:r w:rsidRPr="000A212C">
              <w:rPr>
                <w:rFonts w:ascii="Arial Narrow" w:eastAsia="Calibri" w:hAnsi="Arial Narrow" w:cs="Arial"/>
                <w:sz w:val="20"/>
                <w:lang w:val="en-AU"/>
              </w:rPr>
              <w:t xml:space="preserve">). </w:t>
            </w:r>
            <w:proofErr w:type="spellStart"/>
            <w:r w:rsidRPr="000A212C">
              <w:rPr>
                <w:rFonts w:ascii="Arial Narrow" w:eastAsia="Calibri" w:hAnsi="Arial Narrow" w:cs="Arial"/>
                <w:sz w:val="20"/>
                <w:lang w:val="en-AU"/>
              </w:rPr>
              <w:t>Fingolimod</w:t>
            </w:r>
            <w:proofErr w:type="spellEnd"/>
            <w:r w:rsidRPr="000A212C">
              <w:rPr>
                <w:rFonts w:ascii="Arial Narrow" w:eastAsia="Calibri" w:hAnsi="Arial Narrow" w:cs="Arial"/>
                <w:sz w:val="20"/>
                <w:lang w:val="en-AU"/>
              </w:rPr>
              <w:t xml:space="preserve"> is a relevant comparator, but not the only comparator.</w:t>
            </w:r>
          </w:p>
        </w:tc>
      </w:tr>
      <w:tr w:rsidR="00E8337A" w:rsidRPr="000A212C" w:rsidTr="00E8337A">
        <w:trPr>
          <w:cantSplit/>
        </w:trPr>
        <w:tc>
          <w:tcPr>
            <w:tcW w:w="0" w:type="auto"/>
            <w:shd w:val="clear" w:color="auto" w:fill="auto"/>
          </w:tcPr>
          <w:p w:rsidR="00E8337A" w:rsidRPr="000A212C" w:rsidRDefault="00E8337A" w:rsidP="00E8337A">
            <w:pPr>
              <w:keepNext/>
              <w:spacing w:before="40" w:after="40"/>
              <w:rPr>
                <w:rFonts w:ascii="Times" w:eastAsia="Times New Roman" w:hAnsi="Times" w:cs="Times New Roman"/>
                <w:sz w:val="20"/>
              </w:rPr>
            </w:pPr>
            <w:r w:rsidRPr="000A212C">
              <w:rPr>
                <w:rFonts w:ascii="Arial Narrow" w:eastAsia="Calibri" w:hAnsi="Arial Narrow" w:cs="Arial"/>
                <w:sz w:val="20"/>
              </w:rPr>
              <w:t>Outcomes</w:t>
            </w:r>
          </w:p>
        </w:tc>
        <w:tc>
          <w:tcPr>
            <w:tcW w:w="0" w:type="auto"/>
            <w:shd w:val="clear" w:color="auto" w:fill="auto"/>
          </w:tcPr>
          <w:p w:rsidR="00E8337A" w:rsidRPr="000A212C" w:rsidRDefault="00E8337A" w:rsidP="00E8337A">
            <w:pPr>
              <w:keepNext/>
              <w:spacing w:before="40" w:after="40"/>
              <w:rPr>
                <w:rFonts w:ascii="Times" w:eastAsia="Times New Roman" w:hAnsi="Times" w:cs="Times New Roman"/>
                <w:sz w:val="20"/>
                <w:lang w:val="en-AU"/>
              </w:rPr>
            </w:pPr>
            <w:r w:rsidRPr="000A212C">
              <w:rPr>
                <w:rFonts w:ascii="Arial Narrow" w:eastAsia="Calibri" w:hAnsi="Arial Narrow" w:cs="Arial"/>
                <w:sz w:val="20"/>
                <w:lang w:val="en-AU"/>
              </w:rPr>
              <w:t>Annualised relapse rate, proportion of subjects remaining free from relapses, proportion of subjects remaining free from sustained progression of disability (as measured by an Expanded Disability Status Scale [EDSS]).</w:t>
            </w:r>
          </w:p>
        </w:tc>
      </w:tr>
      <w:tr w:rsidR="00E8337A" w:rsidRPr="000A212C" w:rsidTr="00E8337A">
        <w:trPr>
          <w:cantSplit/>
        </w:trPr>
        <w:tc>
          <w:tcPr>
            <w:tcW w:w="0" w:type="auto"/>
            <w:shd w:val="clear" w:color="auto" w:fill="auto"/>
          </w:tcPr>
          <w:p w:rsidR="00E8337A" w:rsidRPr="000A212C" w:rsidRDefault="00E8337A" w:rsidP="00E8337A">
            <w:pPr>
              <w:keepNext/>
              <w:spacing w:before="40" w:after="40"/>
              <w:rPr>
                <w:rFonts w:ascii="Times" w:eastAsia="Times New Roman" w:hAnsi="Times" w:cs="Times New Roman"/>
                <w:sz w:val="20"/>
              </w:rPr>
            </w:pPr>
            <w:r w:rsidRPr="000A212C">
              <w:rPr>
                <w:rFonts w:ascii="Arial Narrow" w:eastAsia="Calibri" w:hAnsi="Arial Narrow" w:cs="Arial"/>
                <w:sz w:val="20"/>
              </w:rPr>
              <w:t>Clinical claim</w:t>
            </w:r>
          </w:p>
        </w:tc>
        <w:tc>
          <w:tcPr>
            <w:tcW w:w="0" w:type="auto"/>
            <w:shd w:val="clear" w:color="auto" w:fill="auto"/>
          </w:tcPr>
          <w:p w:rsidR="00E8337A" w:rsidRPr="000A212C" w:rsidRDefault="00E8337A" w:rsidP="00FA0A0E">
            <w:pPr>
              <w:keepNext/>
              <w:spacing w:before="40" w:after="40"/>
              <w:rPr>
                <w:rFonts w:ascii="Times" w:eastAsia="Times New Roman" w:hAnsi="Times" w:cs="Times New Roman"/>
                <w:sz w:val="20"/>
                <w:lang w:val="en-AU"/>
              </w:rPr>
            </w:pPr>
            <w:proofErr w:type="spellStart"/>
            <w:r w:rsidRPr="000A212C">
              <w:rPr>
                <w:rFonts w:ascii="Arial Narrow" w:eastAsia="Calibri" w:hAnsi="Arial Narrow" w:cs="Arial"/>
                <w:sz w:val="20"/>
                <w:lang w:val="en-AU"/>
              </w:rPr>
              <w:t>Cladribine</w:t>
            </w:r>
            <w:proofErr w:type="spellEnd"/>
            <w:r w:rsidRPr="000A212C">
              <w:rPr>
                <w:rFonts w:ascii="Arial Narrow" w:eastAsia="Calibri" w:hAnsi="Arial Narrow" w:cs="Arial"/>
                <w:sz w:val="20"/>
                <w:lang w:val="en-AU"/>
              </w:rPr>
              <w:t xml:space="preserve"> is non-inferior in terms of effectiveness compared with </w:t>
            </w:r>
            <w:proofErr w:type="spellStart"/>
            <w:r w:rsidRPr="000A212C">
              <w:rPr>
                <w:rFonts w:ascii="Arial Narrow" w:eastAsia="Calibri" w:hAnsi="Arial Narrow" w:cs="Arial"/>
                <w:sz w:val="20"/>
                <w:lang w:val="en-AU"/>
              </w:rPr>
              <w:t>fingolimod</w:t>
            </w:r>
            <w:proofErr w:type="spellEnd"/>
            <w:r w:rsidRPr="000A212C">
              <w:rPr>
                <w:rFonts w:ascii="Arial Narrow" w:eastAsia="Calibri" w:hAnsi="Arial Narrow" w:cs="Arial"/>
                <w:sz w:val="20"/>
                <w:lang w:val="en-AU"/>
              </w:rPr>
              <w:t xml:space="preserve">. </w:t>
            </w:r>
            <w:proofErr w:type="spellStart"/>
            <w:r w:rsidRPr="000A212C">
              <w:rPr>
                <w:rFonts w:ascii="Arial Narrow" w:eastAsia="Calibri" w:hAnsi="Arial Narrow" w:cs="Arial"/>
                <w:sz w:val="20"/>
                <w:lang w:val="en-AU"/>
              </w:rPr>
              <w:t>Cladribine</w:t>
            </w:r>
            <w:proofErr w:type="spellEnd"/>
            <w:r w:rsidRPr="000A212C">
              <w:rPr>
                <w:rFonts w:ascii="Arial Narrow" w:eastAsia="Calibri" w:hAnsi="Arial Narrow" w:cs="Arial"/>
                <w:sz w:val="20"/>
                <w:lang w:val="en-AU"/>
              </w:rPr>
              <w:t xml:space="preserve"> is non-inferior in terms of safety compared with </w:t>
            </w:r>
            <w:proofErr w:type="spellStart"/>
            <w:r w:rsidRPr="000A212C">
              <w:rPr>
                <w:rFonts w:ascii="Arial Narrow" w:eastAsia="Calibri" w:hAnsi="Arial Narrow" w:cs="Arial"/>
                <w:sz w:val="20"/>
                <w:lang w:val="en-AU"/>
              </w:rPr>
              <w:t>fingolimod</w:t>
            </w:r>
            <w:proofErr w:type="spellEnd"/>
            <w:r w:rsidRPr="000A212C">
              <w:rPr>
                <w:rFonts w:ascii="Arial Narrow" w:eastAsia="Calibri" w:hAnsi="Arial Narrow" w:cs="Arial"/>
                <w:sz w:val="20"/>
                <w:lang w:val="en-AU"/>
              </w:rPr>
              <w:t xml:space="preserve">. The two agents have different but comparable safety profiles. Whether </w:t>
            </w:r>
            <w:proofErr w:type="spellStart"/>
            <w:r w:rsidRPr="000A212C">
              <w:rPr>
                <w:rFonts w:ascii="Arial Narrow" w:eastAsia="Calibri" w:hAnsi="Arial Narrow" w:cs="Arial"/>
                <w:sz w:val="20"/>
                <w:lang w:val="en-AU"/>
              </w:rPr>
              <w:t>cladribine</w:t>
            </w:r>
            <w:proofErr w:type="spellEnd"/>
            <w:r w:rsidRPr="000A212C">
              <w:rPr>
                <w:rFonts w:ascii="Arial Narrow" w:eastAsia="Calibri" w:hAnsi="Arial Narrow" w:cs="Arial"/>
                <w:sz w:val="20"/>
                <w:lang w:val="en-AU"/>
              </w:rPr>
              <w:t xml:space="preserve"> is non-inferior in terms of safety and efficacy may require consideration.</w:t>
            </w:r>
          </w:p>
        </w:tc>
      </w:tr>
    </w:tbl>
    <w:p w:rsidR="00E8337A" w:rsidRPr="000A212C" w:rsidRDefault="00E8337A" w:rsidP="00E8337A">
      <w:pPr>
        <w:widowControl w:val="0"/>
        <w:spacing w:before="0" w:after="120"/>
        <w:contextualSpacing/>
        <w:jc w:val="both"/>
        <w:rPr>
          <w:rFonts w:ascii="Arial Narrow" w:eastAsia="Times New Roman" w:hAnsi="Arial Narrow" w:cs="Arial"/>
          <w:snapToGrid w:val="0"/>
          <w:sz w:val="18"/>
          <w:szCs w:val="20"/>
        </w:rPr>
      </w:pPr>
      <w:proofErr w:type="gramStart"/>
      <w:r w:rsidRPr="000A212C">
        <w:rPr>
          <w:rFonts w:ascii="Arial Narrow" w:eastAsia="Times New Roman" w:hAnsi="Arial Narrow" w:cs="Arial"/>
          <w:snapToGrid w:val="0"/>
          <w:sz w:val="18"/>
          <w:szCs w:val="20"/>
        </w:rPr>
        <w:t>Source: Table 1.1.1, p 19 of the resubmission.</w:t>
      </w:r>
      <w:proofErr w:type="gramEnd"/>
      <w:r w:rsidRPr="000A212C">
        <w:rPr>
          <w:rFonts w:ascii="Arial Narrow" w:eastAsia="Times New Roman" w:hAnsi="Arial Narrow" w:cs="Arial"/>
          <w:snapToGrid w:val="0"/>
          <w:sz w:val="18"/>
          <w:szCs w:val="20"/>
        </w:rPr>
        <w:t xml:space="preserve"> EDSS = Expanded Disability Status Scale</w:t>
      </w:r>
    </w:p>
    <w:p w:rsidR="00837C26" w:rsidRPr="00EA448D" w:rsidRDefault="00837C26" w:rsidP="00837C26">
      <w:pPr>
        <w:pStyle w:val="Heading1"/>
        <w:ind w:left="709" w:hanging="709"/>
      </w:pPr>
      <w:r w:rsidRPr="00EA448D">
        <w:lastRenderedPageBreak/>
        <w:t>Requested listing</w:t>
      </w:r>
      <w:bookmarkEnd w:id="10"/>
      <w:bookmarkEnd w:id="11"/>
      <w:r w:rsidRPr="00EA448D">
        <w:t xml:space="preserve"> </w:t>
      </w:r>
    </w:p>
    <w:tbl>
      <w:tblPr>
        <w:tblW w:w="5010" w:type="pct"/>
        <w:tblLayout w:type="fixed"/>
        <w:tblCellMar>
          <w:left w:w="28" w:type="dxa"/>
          <w:right w:w="28" w:type="dxa"/>
        </w:tblCellMar>
        <w:tblLook w:val="0000" w:firstRow="0" w:lastRow="0" w:firstColumn="0" w:lastColumn="0" w:noHBand="0" w:noVBand="0"/>
      </w:tblPr>
      <w:tblGrid>
        <w:gridCol w:w="2139"/>
        <w:gridCol w:w="339"/>
        <w:gridCol w:w="1338"/>
        <w:gridCol w:w="723"/>
        <w:gridCol w:w="2739"/>
        <w:gridCol w:w="1822"/>
      </w:tblGrid>
      <w:tr w:rsidR="00837C26" w:rsidRPr="00EA448D" w:rsidTr="00E8337A">
        <w:trPr>
          <w:cantSplit/>
          <w:trHeight w:val="463"/>
        </w:trPr>
        <w:tc>
          <w:tcPr>
            <w:tcW w:w="1362" w:type="pct"/>
            <w:gridSpan w:val="2"/>
            <w:tcBorders>
              <w:bottom w:val="single" w:sz="4" w:space="0" w:color="auto"/>
            </w:tcBorders>
          </w:tcPr>
          <w:p w:rsidR="00837C26" w:rsidRPr="00EA448D" w:rsidRDefault="00837C26" w:rsidP="00AE7068">
            <w:pPr>
              <w:pStyle w:val="TableText"/>
              <w:rPr>
                <w:b/>
              </w:rPr>
            </w:pPr>
            <w:r w:rsidRPr="00EA448D">
              <w:rPr>
                <w:rFonts w:eastAsia="Times New Roman" w:cs="Times New Roman"/>
                <w:b/>
                <w:szCs w:val="20"/>
              </w:rPr>
              <w:t>Name, restriction, manner of administration, form</w:t>
            </w:r>
          </w:p>
        </w:tc>
        <w:tc>
          <w:tcPr>
            <w:tcW w:w="735" w:type="pct"/>
            <w:tcBorders>
              <w:bottom w:val="single" w:sz="4" w:space="0" w:color="auto"/>
            </w:tcBorders>
            <w:vAlign w:val="center"/>
          </w:tcPr>
          <w:p w:rsidR="00837C26" w:rsidRPr="00EA448D" w:rsidRDefault="00837C26" w:rsidP="00E8337A">
            <w:pPr>
              <w:pStyle w:val="TableText"/>
              <w:jc w:val="center"/>
              <w:rPr>
                <w:b/>
              </w:rPr>
            </w:pPr>
            <w:r w:rsidRPr="00EA448D">
              <w:rPr>
                <w:rFonts w:eastAsia="Times New Roman" w:cs="Times New Roman"/>
                <w:b/>
                <w:szCs w:val="20"/>
              </w:rPr>
              <w:t>Maximum quantity (units)</w:t>
            </w:r>
          </w:p>
        </w:tc>
        <w:tc>
          <w:tcPr>
            <w:tcW w:w="397" w:type="pct"/>
            <w:tcBorders>
              <w:bottom w:val="single" w:sz="4" w:space="0" w:color="auto"/>
            </w:tcBorders>
            <w:vAlign w:val="center"/>
          </w:tcPr>
          <w:p w:rsidR="00837C26" w:rsidRPr="00EA448D" w:rsidRDefault="00837C26" w:rsidP="00E8337A">
            <w:pPr>
              <w:pStyle w:val="TableText"/>
              <w:jc w:val="center"/>
              <w:rPr>
                <w:b/>
              </w:rPr>
            </w:pPr>
            <w:r w:rsidRPr="00EA448D">
              <w:rPr>
                <w:rFonts w:eastAsia="Times New Roman" w:cs="Times New Roman"/>
                <w:b/>
                <w:szCs w:val="20"/>
              </w:rPr>
              <w:t>No. of repeats</w:t>
            </w:r>
          </w:p>
        </w:tc>
        <w:tc>
          <w:tcPr>
            <w:tcW w:w="1505" w:type="pct"/>
            <w:tcBorders>
              <w:bottom w:val="single" w:sz="4" w:space="0" w:color="auto"/>
            </w:tcBorders>
            <w:vAlign w:val="center"/>
          </w:tcPr>
          <w:p w:rsidR="00837C26" w:rsidRPr="00EA448D" w:rsidRDefault="00837C26" w:rsidP="00E8337A">
            <w:pPr>
              <w:pStyle w:val="TableText"/>
              <w:jc w:val="center"/>
              <w:rPr>
                <w:b/>
              </w:rPr>
            </w:pPr>
            <w:r w:rsidRPr="00EA448D">
              <w:rPr>
                <w:rFonts w:eastAsia="Times New Roman" w:cs="Times New Roman"/>
                <w:b/>
                <w:szCs w:val="20"/>
              </w:rPr>
              <w:t>Dispensed price for maximum quantity</w:t>
            </w:r>
          </w:p>
        </w:tc>
        <w:tc>
          <w:tcPr>
            <w:tcW w:w="1001" w:type="pct"/>
            <w:tcBorders>
              <w:bottom w:val="single" w:sz="4" w:space="0" w:color="auto"/>
            </w:tcBorders>
            <w:vAlign w:val="center"/>
          </w:tcPr>
          <w:p w:rsidR="00837C26" w:rsidRPr="00EA448D" w:rsidRDefault="00837C26" w:rsidP="00E8337A">
            <w:pPr>
              <w:pStyle w:val="TableText"/>
              <w:jc w:val="center"/>
              <w:rPr>
                <w:b/>
                <w:lang w:val="fr-FR"/>
              </w:rPr>
            </w:pPr>
            <w:r w:rsidRPr="00EA448D">
              <w:rPr>
                <w:rFonts w:eastAsia="Times New Roman" w:cs="Times New Roman"/>
                <w:b/>
                <w:szCs w:val="20"/>
              </w:rPr>
              <w:t>Proprietary name and manufacturer</w:t>
            </w:r>
          </w:p>
        </w:tc>
      </w:tr>
      <w:tr w:rsidR="00E8337A" w:rsidRPr="00EA448D" w:rsidTr="00C8103C">
        <w:trPr>
          <w:cantSplit/>
          <w:trHeight w:val="567"/>
        </w:trPr>
        <w:tc>
          <w:tcPr>
            <w:tcW w:w="1362" w:type="pct"/>
            <w:gridSpan w:val="2"/>
            <w:tcBorders>
              <w:top w:val="single" w:sz="4" w:space="0" w:color="auto"/>
              <w:bottom w:val="single" w:sz="4" w:space="0" w:color="auto"/>
            </w:tcBorders>
          </w:tcPr>
          <w:p w:rsidR="00E8337A" w:rsidRPr="00EA448D" w:rsidRDefault="00E8337A" w:rsidP="00AE7068">
            <w:pPr>
              <w:pStyle w:val="TableText"/>
              <w:rPr>
                <w:rFonts w:eastAsia="Times New Roman" w:cs="Times New Roman"/>
                <w:szCs w:val="20"/>
              </w:rPr>
            </w:pPr>
            <w:r w:rsidRPr="00EA448D">
              <w:rPr>
                <w:rFonts w:eastAsia="Times New Roman" w:cs="Times New Roman"/>
                <w:szCs w:val="20"/>
              </w:rPr>
              <w:t>CLADRIBINE, Tablet 10mg</w:t>
            </w:r>
          </w:p>
          <w:p w:rsidR="00E8337A" w:rsidRPr="00EA448D" w:rsidRDefault="00E8337A" w:rsidP="00AE7068">
            <w:pPr>
              <w:pStyle w:val="TableText"/>
            </w:pPr>
          </w:p>
        </w:tc>
        <w:tc>
          <w:tcPr>
            <w:tcW w:w="735" w:type="pct"/>
            <w:tcBorders>
              <w:top w:val="single" w:sz="4" w:space="0" w:color="auto"/>
              <w:bottom w:val="single" w:sz="4" w:space="0" w:color="auto"/>
            </w:tcBorders>
          </w:tcPr>
          <w:p w:rsidR="00E8337A" w:rsidRPr="00EA448D" w:rsidRDefault="00E8337A" w:rsidP="00EC35A8">
            <w:pPr>
              <w:pStyle w:val="TableText"/>
              <w:jc w:val="center"/>
              <w:rPr>
                <w:rFonts w:eastAsia="Times New Roman" w:cs="Times New Roman"/>
                <w:szCs w:val="20"/>
              </w:rPr>
            </w:pPr>
            <w:r w:rsidRPr="00EA448D">
              <w:rPr>
                <w:rFonts w:eastAsia="Times New Roman" w:cs="Times New Roman"/>
                <w:szCs w:val="20"/>
              </w:rPr>
              <w:t>10</w:t>
            </w:r>
          </w:p>
          <w:p w:rsidR="00E8337A" w:rsidRPr="00EA448D" w:rsidRDefault="00E8337A" w:rsidP="00EC35A8">
            <w:pPr>
              <w:pStyle w:val="TableText"/>
              <w:jc w:val="center"/>
            </w:pPr>
          </w:p>
        </w:tc>
        <w:tc>
          <w:tcPr>
            <w:tcW w:w="397" w:type="pct"/>
            <w:tcBorders>
              <w:top w:val="single" w:sz="4" w:space="0" w:color="auto"/>
              <w:bottom w:val="single" w:sz="4" w:space="0" w:color="auto"/>
            </w:tcBorders>
          </w:tcPr>
          <w:p w:rsidR="00E8337A" w:rsidRPr="00EA448D" w:rsidRDefault="00E8337A" w:rsidP="00EC35A8">
            <w:pPr>
              <w:pStyle w:val="TableText"/>
              <w:jc w:val="center"/>
              <w:rPr>
                <w:rFonts w:eastAsia="Times New Roman" w:cs="Times New Roman"/>
                <w:szCs w:val="20"/>
              </w:rPr>
            </w:pPr>
            <w:r w:rsidRPr="00EA448D">
              <w:rPr>
                <w:rFonts w:eastAsia="Times New Roman" w:cs="Times New Roman"/>
                <w:szCs w:val="20"/>
              </w:rPr>
              <w:t>0</w:t>
            </w:r>
          </w:p>
          <w:p w:rsidR="00E8337A" w:rsidRPr="00EA448D" w:rsidRDefault="00E8337A" w:rsidP="00EC35A8">
            <w:pPr>
              <w:pStyle w:val="TableText"/>
              <w:jc w:val="center"/>
            </w:pPr>
          </w:p>
        </w:tc>
        <w:tc>
          <w:tcPr>
            <w:tcW w:w="1505" w:type="pct"/>
            <w:tcBorders>
              <w:top w:val="single" w:sz="4" w:space="0" w:color="auto"/>
              <w:bottom w:val="single" w:sz="4" w:space="0" w:color="auto"/>
            </w:tcBorders>
          </w:tcPr>
          <w:p w:rsidR="00E8337A" w:rsidRPr="00EA448D" w:rsidRDefault="00E8337A" w:rsidP="00C8103C">
            <w:pPr>
              <w:pStyle w:val="TableText"/>
              <w:jc w:val="center"/>
              <w:rPr>
                <w:rFonts w:eastAsia="Times New Roman" w:cs="Times New Roman"/>
                <w:szCs w:val="20"/>
              </w:rPr>
            </w:pPr>
            <w:r w:rsidRPr="00EA448D">
              <w:rPr>
                <w:rFonts w:eastAsia="Times New Roman" w:cs="Times New Roman"/>
                <w:szCs w:val="20"/>
              </w:rPr>
              <w:t>$</w:t>
            </w:r>
            <w:r w:rsidR="00FD3E0B">
              <w:rPr>
                <w:rFonts w:eastAsia="Times New Roman" w:cs="Times New Roman"/>
                <w:noProof/>
                <w:color w:val="000000"/>
                <w:szCs w:val="20"/>
                <w:highlight w:val="black"/>
              </w:rPr>
              <w:t>''''''''''''''''''''''</w:t>
            </w:r>
          </w:p>
          <w:p w:rsidR="00E8337A" w:rsidRPr="00EA448D" w:rsidRDefault="00E8337A" w:rsidP="00C8103C">
            <w:pPr>
              <w:pStyle w:val="TableText"/>
              <w:jc w:val="center"/>
            </w:pPr>
          </w:p>
        </w:tc>
        <w:tc>
          <w:tcPr>
            <w:tcW w:w="1001" w:type="pct"/>
            <w:tcBorders>
              <w:top w:val="single" w:sz="4" w:space="0" w:color="auto"/>
              <w:bottom w:val="single" w:sz="4" w:space="0" w:color="auto"/>
            </w:tcBorders>
          </w:tcPr>
          <w:p w:rsidR="00E8337A" w:rsidRPr="00EA448D" w:rsidRDefault="00E8337A" w:rsidP="00C8103C">
            <w:pPr>
              <w:pStyle w:val="TableText"/>
              <w:jc w:val="center"/>
              <w:rPr>
                <w:rFonts w:eastAsia="Times New Roman" w:cs="Times New Roman"/>
                <w:szCs w:val="20"/>
              </w:rPr>
            </w:pPr>
            <w:r w:rsidRPr="00EA448D">
              <w:rPr>
                <w:rFonts w:eastAsia="Times New Roman" w:cs="Times New Roman"/>
                <w:szCs w:val="20"/>
              </w:rPr>
              <w:t>MAVENCLAD®,</w:t>
            </w:r>
          </w:p>
          <w:p w:rsidR="00E8337A" w:rsidRPr="00EA448D" w:rsidRDefault="00E8337A" w:rsidP="00C8103C">
            <w:pPr>
              <w:pStyle w:val="TableText"/>
              <w:jc w:val="center"/>
            </w:pPr>
            <w:r w:rsidRPr="00EA448D">
              <w:rPr>
                <w:rFonts w:eastAsia="Times New Roman" w:cs="Times New Roman"/>
                <w:szCs w:val="20"/>
              </w:rPr>
              <w:t>Merck</w:t>
            </w:r>
          </w:p>
        </w:tc>
      </w:tr>
      <w:tr w:rsidR="00837C26" w:rsidRPr="00EA448D" w:rsidTr="00D13160">
        <w:tblPrEx>
          <w:tblCellMar>
            <w:left w:w="108" w:type="dxa"/>
            <w:right w:w="108" w:type="dxa"/>
          </w:tblCellMar>
        </w:tblPrEx>
        <w:trPr>
          <w:cantSplit/>
          <w:trHeight w:val="360"/>
        </w:trPr>
        <w:tc>
          <w:tcPr>
            <w:tcW w:w="1176" w:type="pct"/>
            <w:tcBorders>
              <w:top w:val="single" w:sz="4" w:space="0" w:color="auto"/>
              <w:left w:val="single" w:sz="4" w:space="0" w:color="auto"/>
              <w:bottom w:val="single" w:sz="4" w:space="0" w:color="auto"/>
              <w:right w:val="single" w:sz="4" w:space="0" w:color="auto"/>
            </w:tcBorders>
          </w:tcPr>
          <w:p w:rsidR="00837C26" w:rsidRPr="00EA448D" w:rsidRDefault="00837C26" w:rsidP="00AE7068">
            <w:pPr>
              <w:pStyle w:val="TableText"/>
              <w:rPr>
                <w:rFonts w:ascii="Times" w:eastAsia="Times New Roman" w:hAnsi="Times" w:cs="Times New Roman"/>
                <w:szCs w:val="20"/>
                <w:lang w:val="en-US"/>
              </w:rPr>
            </w:pPr>
            <w:r w:rsidRPr="00EA448D">
              <w:rPr>
                <w:rFonts w:eastAsia="Calibri" w:cs="Arial"/>
                <w:b/>
                <w:lang w:eastAsia="en-AU"/>
              </w:rPr>
              <w:t>Category / Program</w:t>
            </w:r>
          </w:p>
        </w:tc>
        <w:tc>
          <w:tcPr>
            <w:tcW w:w="3824" w:type="pct"/>
            <w:gridSpan w:val="5"/>
            <w:tcBorders>
              <w:top w:val="single" w:sz="4" w:space="0" w:color="auto"/>
              <w:left w:val="single" w:sz="4" w:space="0" w:color="auto"/>
              <w:bottom w:val="single" w:sz="4" w:space="0" w:color="auto"/>
              <w:right w:val="single" w:sz="4" w:space="0" w:color="auto"/>
            </w:tcBorders>
          </w:tcPr>
          <w:p w:rsidR="00837C26" w:rsidRPr="00EA448D" w:rsidRDefault="00837C26" w:rsidP="00AE7068">
            <w:pPr>
              <w:pStyle w:val="TableText"/>
            </w:pPr>
            <w:r w:rsidRPr="00EA448D">
              <w:rPr>
                <w:rFonts w:eastAsia="Times New Roman" w:cs="Times New Roman"/>
                <w:szCs w:val="24"/>
                <w:lang w:eastAsia="en-AU"/>
              </w:rPr>
              <w:t>Section 85</w:t>
            </w:r>
          </w:p>
        </w:tc>
      </w:tr>
      <w:tr w:rsidR="00837C26" w:rsidRPr="00EA448D" w:rsidTr="00D13160">
        <w:tblPrEx>
          <w:tblCellMar>
            <w:left w:w="108" w:type="dxa"/>
            <w:right w:w="108" w:type="dxa"/>
          </w:tblCellMar>
        </w:tblPrEx>
        <w:trPr>
          <w:cantSplit/>
          <w:trHeight w:val="360"/>
        </w:trPr>
        <w:tc>
          <w:tcPr>
            <w:tcW w:w="1176" w:type="pct"/>
            <w:tcBorders>
              <w:top w:val="single" w:sz="4" w:space="0" w:color="auto"/>
              <w:left w:val="single" w:sz="4" w:space="0" w:color="auto"/>
              <w:bottom w:val="single" w:sz="4" w:space="0" w:color="auto"/>
              <w:right w:val="single" w:sz="4" w:space="0" w:color="auto"/>
            </w:tcBorders>
          </w:tcPr>
          <w:p w:rsidR="00837C26" w:rsidRPr="00EA448D" w:rsidRDefault="00837C26" w:rsidP="00AE7068">
            <w:pPr>
              <w:pStyle w:val="TableText"/>
              <w:rPr>
                <w:rFonts w:eastAsia="Calibri" w:cs="Arial"/>
                <w:b/>
                <w:lang w:eastAsia="en-AU"/>
              </w:rPr>
            </w:pPr>
            <w:r w:rsidRPr="00EA448D">
              <w:rPr>
                <w:rFonts w:eastAsia="Times New Roman" w:cs="Arial"/>
                <w:b/>
                <w:szCs w:val="20"/>
                <w:lang w:eastAsia="en-AU"/>
              </w:rPr>
              <w:t>Condition:</w:t>
            </w:r>
          </w:p>
        </w:tc>
        <w:tc>
          <w:tcPr>
            <w:tcW w:w="3824" w:type="pct"/>
            <w:gridSpan w:val="5"/>
            <w:tcBorders>
              <w:top w:val="single" w:sz="4" w:space="0" w:color="auto"/>
              <w:left w:val="single" w:sz="4" w:space="0" w:color="auto"/>
              <w:bottom w:val="single" w:sz="4" w:space="0" w:color="auto"/>
              <w:right w:val="single" w:sz="4" w:space="0" w:color="auto"/>
            </w:tcBorders>
          </w:tcPr>
          <w:p w:rsidR="00837C26" w:rsidRPr="00EA448D" w:rsidRDefault="00837C26" w:rsidP="00AE7068">
            <w:pPr>
              <w:pStyle w:val="TableText"/>
              <w:rPr>
                <w:rFonts w:eastAsia="Times New Roman" w:cs="Times New Roman"/>
                <w:szCs w:val="24"/>
                <w:lang w:eastAsia="en-AU"/>
              </w:rPr>
            </w:pPr>
            <w:r w:rsidRPr="00EA448D">
              <w:rPr>
                <w:rFonts w:eastAsia="Times New Roman" w:cs="Times New Roman"/>
                <w:szCs w:val="24"/>
                <w:lang w:eastAsia="en-AU"/>
              </w:rPr>
              <w:t>Relapsing remitting multiple sclerosis</w:t>
            </w:r>
          </w:p>
        </w:tc>
      </w:tr>
      <w:tr w:rsidR="00837C26" w:rsidRPr="00EA448D" w:rsidTr="00D13160">
        <w:tblPrEx>
          <w:tblCellMar>
            <w:left w:w="108" w:type="dxa"/>
            <w:right w:w="108" w:type="dxa"/>
          </w:tblCellMar>
        </w:tblPrEx>
        <w:trPr>
          <w:cantSplit/>
          <w:trHeight w:val="360"/>
        </w:trPr>
        <w:tc>
          <w:tcPr>
            <w:tcW w:w="1176" w:type="pct"/>
            <w:tcBorders>
              <w:top w:val="single" w:sz="4" w:space="0" w:color="auto"/>
              <w:left w:val="single" w:sz="4" w:space="0" w:color="auto"/>
              <w:bottom w:val="single" w:sz="4" w:space="0" w:color="auto"/>
              <w:right w:val="single" w:sz="4" w:space="0" w:color="auto"/>
            </w:tcBorders>
          </w:tcPr>
          <w:p w:rsidR="00837C26" w:rsidRPr="00EA448D" w:rsidRDefault="00837C26" w:rsidP="00AE7068">
            <w:pPr>
              <w:pStyle w:val="TableText"/>
              <w:rPr>
                <w:rFonts w:eastAsia="Times New Roman" w:cs="Arial"/>
                <w:b/>
                <w:szCs w:val="20"/>
                <w:lang w:eastAsia="en-AU"/>
              </w:rPr>
            </w:pPr>
            <w:r w:rsidRPr="00EA448D">
              <w:rPr>
                <w:rFonts w:eastAsia="Times New Roman" w:cs="Arial"/>
                <w:b/>
                <w:szCs w:val="20"/>
                <w:lang w:eastAsia="en-AU"/>
              </w:rPr>
              <w:t>PBS Indication:</w:t>
            </w:r>
          </w:p>
        </w:tc>
        <w:tc>
          <w:tcPr>
            <w:tcW w:w="3824" w:type="pct"/>
            <w:gridSpan w:val="5"/>
            <w:tcBorders>
              <w:top w:val="single" w:sz="4" w:space="0" w:color="auto"/>
              <w:left w:val="single" w:sz="4" w:space="0" w:color="auto"/>
              <w:bottom w:val="single" w:sz="4" w:space="0" w:color="auto"/>
              <w:right w:val="single" w:sz="4" w:space="0" w:color="auto"/>
            </w:tcBorders>
          </w:tcPr>
          <w:p w:rsidR="00837C26" w:rsidRPr="00EA448D" w:rsidRDefault="00837C26" w:rsidP="00AE7068">
            <w:pPr>
              <w:pStyle w:val="TableText"/>
              <w:rPr>
                <w:rFonts w:eastAsia="Times New Roman" w:cs="Times New Roman"/>
                <w:szCs w:val="24"/>
                <w:lang w:eastAsia="en-AU"/>
              </w:rPr>
            </w:pPr>
            <w:r w:rsidRPr="00EA448D">
              <w:rPr>
                <w:rFonts w:eastAsia="Times New Roman" w:cs="Times New Roman"/>
                <w:szCs w:val="24"/>
                <w:lang w:eastAsia="en-AU"/>
              </w:rPr>
              <w:t>Multiple sclerosis</w:t>
            </w:r>
          </w:p>
        </w:tc>
      </w:tr>
      <w:tr w:rsidR="00837C26" w:rsidRPr="00EA448D" w:rsidTr="00D13160">
        <w:tblPrEx>
          <w:tblCellMar>
            <w:left w:w="108" w:type="dxa"/>
            <w:right w:w="108" w:type="dxa"/>
          </w:tblCellMar>
        </w:tblPrEx>
        <w:trPr>
          <w:cantSplit/>
          <w:trHeight w:val="360"/>
        </w:trPr>
        <w:tc>
          <w:tcPr>
            <w:tcW w:w="1176" w:type="pct"/>
            <w:tcBorders>
              <w:top w:val="single" w:sz="4" w:space="0" w:color="auto"/>
              <w:left w:val="single" w:sz="4" w:space="0" w:color="auto"/>
              <w:bottom w:val="single" w:sz="4" w:space="0" w:color="auto"/>
              <w:right w:val="single" w:sz="4" w:space="0" w:color="auto"/>
            </w:tcBorders>
          </w:tcPr>
          <w:p w:rsidR="00837C26" w:rsidRPr="00EA448D" w:rsidRDefault="00837C26" w:rsidP="00AE7068">
            <w:pPr>
              <w:pStyle w:val="TableText"/>
              <w:rPr>
                <w:rFonts w:eastAsia="Times New Roman" w:cs="Arial"/>
                <w:b/>
                <w:szCs w:val="20"/>
                <w:lang w:eastAsia="en-AU"/>
              </w:rPr>
            </w:pPr>
            <w:r w:rsidRPr="00EA448D">
              <w:rPr>
                <w:rFonts w:eastAsia="Times New Roman" w:cs="Arial"/>
                <w:b/>
                <w:szCs w:val="20"/>
                <w:lang w:eastAsia="en-AU"/>
              </w:rPr>
              <w:t>Treatment phase:</w:t>
            </w:r>
          </w:p>
        </w:tc>
        <w:tc>
          <w:tcPr>
            <w:tcW w:w="3824" w:type="pct"/>
            <w:gridSpan w:val="5"/>
            <w:tcBorders>
              <w:top w:val="single" w:sz="4" w:space="0" w:color="auto"/>
              <w:left w:val="single" w:sz="4" w:space="0" w:color="auto"/>
              <w:bottom w:val="single" w:sz="4" w:space="0" w:color="auto"/>
              <w:right w:val="single" w:sz="4" w:space="0" w:color="auto"/>
            </w:tcBorders>
          </w:tcPr>
          <w:p w:rsidR="00837C26" w:rsidRPr="00EA448D" w:rsidRDefault="00837C26" w:rsidP="00AE7068">
            <w:pPr>
              <w:pStyle w:val="TableText"/>
              <w:rPr>
                <w:rFonts w:eastAsia="Times New Roman" w:cs="Times New Roman"/>
                <w:szCs w:val="24"/>
                <w:lang w:eastAsia="en-AU"/>
              </w:rPr>
            </w:pPr>
            <w:r w:rsidRPr="00EA448D">
              <w:rPr>
                <w:rFonts w:eastAsia="Times New Roman" w:cs="Times New Roman"/>
                <w:szCs w:val="24"/>
                <w:lang w:eastAsia="en-AU"/>
              </w:rPr>
              <w:t>Initial</w:t>
            </w:r>
          </w:p>
        </w:tc>
      </w:tr>
      <w:tr w:rsidR="00837C26" w:rsidRPr="00EA448D" w:rsidTr="00D13160">
        <w:tblPrEx>
          <w:tblCellMar>
            <w:left w:w="108" w:type="dxa"/>
            <w:right w:w="108" w:type="dxa"/>
          </w:tblCellMar>
        </w:tblPrEx>
        <w:trPr>
          <w:cantSplit/>
          <w:trHeight w:val="360"/>
        </w:trPr>
        <w:tc>
          <w:tcPr>
            <w:tcW w:w="1176" w:type="pct"/>
            <w:tcBorders>
              <w:top w:val="single" w:sz="4" w:space="0" w:color="auto"/>
              <w:left w:val="single" w:sz="4" w:space="0" w:color="auto"/>
              <w:bottom w:val="single" w:sz="4" w:space="0" w:color="auto"/>
              <w:right w:val="single" w:sz="4" w:space="0" w:color="auto"/>
            </w:tcBorders>
          </w:tcPr>
          <w:p w:rsidR="00837C26" w:rsidRPr="00EA448D" w:rsidRDefault="00837C26" w:rsidP="00AE7068">
            <w:pPr>
              <w:pStyle w:val="TableText"/>
              <w:rPr>
                <w:rFonts w:eastAsia="Times New Roman" w:cs="Arial"/>
                <w:b/>
                <w:szCs w:val="20"/>
                <w:lang w:eastAsia="en-AU"/>
              </w:rPr>
            </w:pPr>
            <w:r w:rsidRPr="00EA448D">
              <w:rPr>
                <w:rFonts w:eastAsia="Times New Roman" w:cs="Arial"/>
                <w:b/>
                <w:szCs w:val="20"/>
                <w:lang w:eastAsia="en-AU"/>
              </w:rPr>
              <w:t>Restriction:</w:t>
            </w:r>
          </w:p>
        </w:tc>
        <w:tc>
          <w:tcPr>
            <w:tcW w:w="3824" w:type="pct"/>
            <w:gridSpan w:val="5"/>
            <w:tcBorders>
              <w:top w:val="single" w:sz="4" w:space="0" w:color="auto"/>
              <w:left w:val="single" w:sz="4" w:space="0" w:color="auto"/>
              <w:bottom w:val="single" w:sz="4" w:space="0" w:color="auto"/>
              <w:right w:val="single" w:sz="4" w:space="0" w:color="auto"/>
            </w:tcBorders>
          </w:tcPr>
          <w:p w:rsidR="00837C26" w:rsidRPr="00EA448D" w:rsidRDefault="00837C26" w:rsidP="00AE7068">
            <w:pPr>
              <w:spacing w:before="40" w:after="40" w:line="360" w:lineRule="auto"/>
              <w:rPr>
                <w:rFonts w:ascii="Arial Narrow" w:eastAsia="Times New Roman" w:hAnsi="Arial Narrow" w:cs="Arial"/>
                <w:sz w:val="20"/>
                <w:szCs w:val="20"/>
                <w:lang w:eastAsia="en-AU"/>
              </w:rPr>
            </w:pPr>
            <w:r w:rsidRPr="00EA448D">
              <w:rPr>
                <w:rFonts w:ascii="Arial Narrow" w:eastAsia="Times New Roman" w:hAnsi="Arial Narrow" w:cs="Arial"/>
                <w:sz w:val="20"/>
                <w:szCs w:val="20"/>
                <w:lang w:eastAsia="en-AU"/>
              </w:rPr>
              <w:fldChar w:fldCharType="begin">
                <w:ffData>
                  <w:name w:val="Check1"/>
                  <w:enabled/>
                  <w:calcOnExit w:val="0"/>
                  <w:checkBox>
                    <w:sizeAuto/>
                    <w:default w:val="0"/>
                  </w:checkBox>
                </w:ffData>
              </w:fldChar>
            </w:r>
            <w:r w:rsidRPr="00EA448D">
              <w:rPr>
                <w:rFonts w:ascii="Arial Narrow" w:eastAsia="Times New Roman" w:hAnsi="Arial Narrow" w:cs="Arial"/>
                <w:sz w:val="20"/>
                <w:szCs w:val="20"/>
                <w:lang w:eastAsia="en-AU"/>
              </w:rPr>
              <w:instrText xml:space="preserve"> FORMCHECKBOX </w:instrText>
            </w:r>
            <w:r w:rsidR="008A0B2B">
              <w:rPr>
                <w:rFonts w:ascii="Arial Narrow" w:eastAsia="Times New Roman" w:hAnsi="Arial Narrow" w:cs="Arial"/>
                <w:sz w:val="20"/>
                <w:szCs w:val="20"/>
                <w:lang w:eastAsia="en-AU"/>
              </w:rPr>
            </w:r>
            <w:r w:rsidR="008A0B2B">
              <w:rPr>
                <w:rFonts w:ascii="Arial Narrow" w:eastAsia="Times New Roman" w:hAnsi="Arial Narrow" w:cs="Arial"/>
                <w:sz w:val="20"/>
                <w:szCs w:val="20"/>
                <w:lang w:eastAsia="en-AU"/>
              </w:rPr>
              <w:fldChar w:fldCharType="separate"/>
            </w:r>
            <w:r w:rsidRPr="00EA448D">
              <w:rPr>
                <w:rFonts w:ascii="Arial Narrow" w:eastAsia="Times New Roman" w:hAnsi="Arial Narrow" w:cs="Arial"/>
                <w:sz w:val="20"/>
                <w:szCs w:val="20"/>
                <w:lang w:eastAsia="en-AU"/>
              </w:rPr>
              <w:fldChar w:fldCharType="end"/>
            </w:r>
            <w:r w:rsidRPr="00EA448D">
              <w:rPr>
                <w:rFonts w:ascii="Arial Narrow" w:eastAsia="Times New Roman" w:hAnsi="Arial Narrow" w:cs="Arial"/>
                <w:sz w:val="20"/>
                <w:szCs w:val="20"/>
                <w:lang w:eastAsia="en-AU"/>
              </w:rPr>
              <w:t>Restricted benefit</w:t>
            </w:r>
          </w:p>
          <w:p w:rsidR="00837C26" w:rsidRPr="00EA448D" w:rsidRDefault="00837C26" w:rsidP="00AE7068">
            <w:pPr>
              <w:spacing w:before="40" w:after="40" w:line="360" w:lineRule="auto"/>
              <w:rPr>
                <w:rFonts w:ascii="Arial Narrow" w:eastAsia="Times New Roman" w:hAnsi="Arial Narrow" w:cs="Arial"/>
                <w:sz w:val="20"/>
                <w:szCs w:val="20"/>
                <w:lang w:eastAsia="en-AU"/>
              </w:rPr>
            </w:pPr>
            <w:r w:rsidRPr="00EA448D">
              <w:rPr>
                <w:rFonts w:ascii="Arial Narrow" w:eastAsia="Times New Roman" w:hAnsi="Arial Narrow" w:cs="Arial"/>
                <w:sz w:val="20"/>
                <w:szCs w:val="20"/>
                <w:lang w:eastAsia="en-AU"/>
              </w:rPr>
              <w:fldChar w:fldCharType="begin">
                <w:ffData>
                  <w:name w:val=""/>
                  <w:enabled/>
                  <w:calcOnExit w:val="0"/>
                  <w:checkBox>
                    <w:sizeAuto/>
                    <w:default w:val="0"/>
                  </w:checkBox>
                </w:ffData>
              </w:fldChar>
            </w:r>
            <w:r w:rsidRPr="00EA448D">
              <w:rPr>
                <w:rFonts w:ascii="Arial Narrow" w:eastAsia="Times New Roman" w:hAnsi="Arial Narrow" w:cs="Arial"/>
                <w:sz w:val="20"/>
                <w:szCs w:val="20"/>
                <w:lang w:eastAsia="en-AU"/>
              </w:rPr>
              <w:instrText xml:space="preserve"> FORMCHECKBOX </w:instrText>
            </w:r>
            <w:r w:rsidR="008A0B2B">
              <w:rPr>
                <w:rFonts w:ascii="Arial Narrow" w:eastAsia="Times New Roman" w:hAnsi="Arial Narrow" w:cs="Arial"/>
                <w:sz w:val="20"/>
                <w:szCs w:val="20"/>
                <w:lang w:eastAsia="en-AU"/>
              </w:rPr>
            </w:r>
            <w:r w:rsidR="008A0B2B">
              <w:rPr>
                <w:rFonts w:ascii="Arial Narrow" w:eastAsia="Times New Roman" w:hAnsi="Arial Narrow" w:cs="Arial"/>
                <w:sz w:val="20"/>
                <w:szCs w:val="20"/>
                <w:lang w:eastAsia="en-AU"/>
              </w:rPr>
              <w:fldChar w:fldCharType="separate"/>
            </w:r>
            <w:r w:rsidRPr="00EA448D">
              <w:rPr>
                <w:rFonts w:ascii="Arial Narrow" w:eastAsia="Times New Roman" w:hAnsi="Arial Narrow" w:cs="Arial"/>
                <w:sz w:val="20"/>
                <w:szCs w:val="20"/>
                <w:lang w:eastAsia="en-AU"/>
              </w:rPr>
              <w:fldChar w:fldCharType="end"/>
            </w:r>
            <w:r w:rsidRPr="00EA448D">
              <w:rPr>
                <w:rFonts w:ascii="Arial Narrow" w:eastAsia="Times New Roman" w:hAnsi="Arial Narrow" w:cs="Arial"/>
                <w:sz w:val="20"/>
                <w:szCs w:val="20"/>
                <w:lang w:eastAsia="en-AU"/>
              </w:rPr>
              <w:t>Authority Required - In Writing</w:t>
            </w:r>
          </w:p>
          <w:p w:rsidR="00837C26" w:rsidRPr="00EA448D" w:rsidRDefault="00837C26" w:rsidP="00AE7068">
            <w:pPr>
              <w:spacing w:before="40" w:after="40" w:line="360" w:lineRule="auto"/>
              <w:rPr>
                <w:rFonts w:ascii="Arial Narrow" w:eastAsia="Times New Roman" w:hAnsi="Arial Narrow" w:cs="Arial"/>
                <w:sz w:val="20"/>
                <w:szCs w:val="20"/>
                <w:lang w:eastAsia="en-AU"/>
              </w:rPr>
            </w:pPr>
            <w:r w:rsidRPr="00EA448D">
              <w:rPr>
                <w:rFonts w:ascii="Arial Narrow" w:eastAsia="Times New Roman" w:hAnsi="Arial Narrow" w:cs="Arial"/>
                <w:sz w:val="20"/>
                <w:szCs w:val="20"/>
                <w:lang w:eastAsia="en-AU"/>
              </w:rPr>
              <w:t>X Authority Required - Telephone</w:t>
            </w:r>
          </w:p>
          <w:p w:rsidR="00837C26" w:rsidRPr="00EA448D" w:rsidRDefault="00837C26" w:rsidP="00AE7068">
            <w:pPr>
              <w:spacing w:before="40" w:after="40" w:line="360" w:lineRule="auto"/>
              <w:rPr>
                <w:rFonts w:ascii="Arial Narrow" w:eastAsia="Times New Roman" w:hAnsi="Arial Narrow" w:cs="Arial"/>
                <w:sz w:val="20"/>
                <w:szCs w:val="20"/>
                <w:lang w:eastAsia="en-AU"/>
              </w:rPr>
            </w:pPr>
            <w:r w:rsidRPr="00EA448D">
              <w:rPr>
                <w:rFonts w:ascii="Arial Narrow" w:eastAsia="Times New Roman" w:hAnsi="Arial Narrow" w:cs="Arial"/>
                <w:sz w:val="20"/>
                <w:szCs w:val="20"/>
                <w:lang w:eastAsia="en-AU"/>
              </w:rPr>
              <w:t>X Authority Required – Emergency</w:t>
            </w:r>
          </w:p>
          <w:p w:rsidR="00837C26" w:rsidRPr="00EA448D" w:rsidRDefault="00837C26" w:rsidP="00AE7068">
            <w:pPr>
              <w:spacing w:before="40" w:after="40" w:line="360" w:lineRule="auto"/>
              <w:rPr>
                <w:rFonts w:ascii="Arial Narrow" w:eastAsia="Times New Roman" w:hAnsi="Arial Narrow" w:cs="Arial"/>
                <w:sz w:val="20"/>
                <w:szCs w:val="20"/>
                <w:lang w:eastAsia="en-AU"/>
              </w:rPr>
            </w:pPr>
            <w:r w:rsidRPr="00EA448D">
              <w:rPr>
                <w:rFonts w:ascii="Arial Narrow" w:eastAsia="Times New Roman" w:hAnsi="Arial Narrow" w:cs="Arial"/>
                <w:sz w:val="20"/>
                <w:szCs w:val="20"/>
                <w:lang w:eastAsia="en-AU"/>
              </w:rPr>
              <w:t>X Authority Required - Electronic</w:t>
            </w:r>
          </w:p>
          <w:p w:rsidR="00837C26" w:rsidRPr="00EA448D" w:rsidRDefault="00837C26" w:rsidP="00AE7068">
            <w:pPr>
              <w:pStyle w:val="TableText"/>
              <w:rPr>
                <w:rFonts w:eastAsia="Times New Roman" w:cs="Times New Roman"/>
                <w:szCs w:val="24"/>
                <w:lang w:eastAsia="en-AU"/>
              </w:rPr>
            </w:pPr>
            <w:r w:rsidRPr="00EA448D">
              <w:rPr>
                <w:rFonts w:eastAsia="Times New Roman" w:cs="Arial"/>
                <w:szCs w:val="20"/>
                <w:lang w:eastAsia="en-AU"/>
              </w:rPr>
              <w:fldChar w:fldCharType="begin">
                <w:ffData>
                  <w:name w:val="Check5"/>
                  <w:enabled/>
                  <w:calcOnExit w:val="0"/>
                  <w:checkBox>
                    <w:sizeAuto/>
                    <w:default w:val="0"/>
                  </w:checkBox>
                </w:ffData>
              </w:fldChar>
            </w:r>
            <w:r w:rsidRPr="00EA448D">
              <w:rPr>
                <w:rFonts w:eastAsia="Times New Roman" w:cs="Arial"/>
                <w:szCs w:val="20"/>
                <w:lang w:eastAsia="en-AU"/>
              </w:rPr>
              <w:instrText xml:space="preserve"> FORMCHECKBOX </w:instrText>
            </w:r>
            <w:r w:rsidR="008A0B2B">
              <w:rPr>
                <w:rFonts w:eastAsia="Times New Roman" w:cs="Arial"/>
                <w:szCs w:val="20"/>
                <w:lang w:eastAsia="en-AU"/>
              </w:rPr>
            </w:r>
            <w:r w:rsidR="008A0B2B">
              <w:rPr>
                <w:rFonts w:eastAsia="Times New Roman" w:cs="Arial"/>
                <w:szCs w:val="20"/>
                <w:lang w:eastAsia="en-AU"/>
              </w:rPr>
              <w:fldChar w:fldCharType="separate"/>
            </w:r>
            <w:r w:rsidRPr="00EA448D">
              <w:rPr>
                <w:rFonts w:eastAsia="Times New Roman" w:cs="Arial"/>
                <w:szCs w:val="20"/>
                <w:lang w:eastAsia="en-AU"/>
              </w:rPr>
              <w:fldChar w:fldCharType="end"/>
            </w:r>
            <w:r w:rsidRPr="00EA448D">
              <w:rPr>
                <w:rFonts w:eastAsia="Times New Roman" w:cs="Arial"/>
                <w:szCs w:val="20"/>
                <w:lang w:eastAsia="en-AU"/>
              </w:rPr>
              <w:t>Streamlined</w:t>
            </w:r>
          </w:p>
        </w:tc>
      </w:tr>
      <w:tr w:rsidR="00837C26" w:rsidRPr="00EA448D" w:rsidTr="00D13160">
        <w:tblPrEx>
          <w:tblCellMar>
            <w:left w:w="108" w:type="dxa"/>
            <w:right w:w="108" w:type="dxa"/>
          </w:tblCellMar>
        </w:tblPrEx>
        <w:trPr>
          <w:cantSplit/>
          <w:trHeight w:val="70"/>
        </w:trPr>
        <w:tc>
          <w:tcPr>
            <w:tcW w:w="1176" w:type="pct"/>
            <w:tcBorders>
              <w:top w:val="single" w:sz="4" w:space="0" w:color="auto"/>
              <w:left w:val="single" w:sz="4" w:space="0" w:color="auto"/>
              <w:bottom w:val="single" w:sz="4" w:space="0" w:color="auto"/>
              <w:right w:val="single" w:sz="4" w:space="0" w:color="auto"/>
            </w:tcBorders>
          </w:tcPr>
          <w:p w:rsidR="00837C26" w:rsidRPr="00EA448D" w:rsidRDefault="00837C26" w:rsidP="00AE7068">
            <w:pPr>
              <w:pStyle w:val="TableText"/>
              <w:rPr>
                <w:rFonts w:eastAsia="Times New Roman" w:cs="Arial"/>
                <w:b/>
                <w:szCs w:val="20"/>
                <w:lang w:eastAsia="en-AU"/>
              </w:rPr>
            </w:pPr>
            <w:r w:rsidRPr="00EA448D">
              <w:rPr>
                <w:rFonts w:eastAsia="Times New Roman" w:cs="Arial"/>
                <w:b/>
                <w:szCs w:val="20"/>
                <w:lang w:eastAsia="en-AU"/>
              </w:rPr>
              <w:t>Treatment criteria:</w:t>
            </w:r>
          </w:p>
        </w:tc>
        <w:tc>
          <w:tcPr>
            <w:tcW w:w="3824" w:type="pct"/>
            <w:gridSpan w:val="5"/>
            <w:tcBorders>
              <w:top w:val="single" w:sz="4" w:space="0" w:color="auto"/>
              <w:left w:val="single" w:sz="4" w:space="0" w:color="auto"/>
              <w:bottom w:val="single" w:sz="4" w:space="0" w:color="auto"/>
              <w:right w:val="single" w:sz="4" w:space="0" w:color="auto"/>
            </w:tcBorders>
          </w:tcPr>
          <w:p w:rsidR="00837C26" w:rsidRPr="00EA448D" w:rsidRDefault="00837C26" w:rsidP="00AE7068">
            <w:pPr>
              <w:spacing w:before="40" w:after="40" w:line="360" w:lineRule="auto"/>
              <w:rPr>
                <w:rFonts w:ascii="Arial Narrow" w:eastAsia="Times New Roman" w:hAnsi="Arial Narrow" w:cs="Arial"/>
                <w:sz w:val="20"/>
                <w:szCs w:val="20"/>
                <w:lang w:eastAsia="en-AU"/>
              </w:rPr>
            </w:pPr>
            <w:r w:rsidRPr="00EA448D">
              <w:rPr>
                <w:rFonts w:ascii="Arial Narrow" w:eastAsia="Times New Roman" w:hAnsi="Arial Narrow" w:cs="Arial"/>
                <w:sz w:val="20"/>
                <w:szCs w:val="20"/>
                <w:lang w:eastAsia="en-AU"/>
              </w:rPr>
              <w:t>Must be initiated and supervised by neurologists</w:t>
            </w:r>
          </w:p>
        </w:tc>
      </w:tr>
      <w:tr w:rsidR="00837C26" w:rsidRPr="00EA448D" w:rsidTr="00D13160">
        <w:tblPrEx>
          <w:tblCellMar>
            <w:left w:w="108" w:type="dxa"/>
            <w:right w:w="108" w:type="dxa"/>
          </w:tblCellMar>
        </w:tblPrEx>
        <w:trPr>
          <w:cantSplit/>
          <w:trHeight w:val="360"/>
        </w:trPr>
        <w:tc>
          <w:tcPr>
            <w:tcW w:w="1176" w:type="pct"/>
            <w:tcBorders>
              <w:top w:val="single" w:sz="4" w:space="0" w:color="auto"/>
              <w:left w:val="single" w:sz="4" w:space="0" w:color="auto"/>
              <w:bottom w:val="single" w:sz="4" w:space="0" w:color="auto"/>
              <w:right w:val="single" w:sz="4" w:space="0" w:color="auto"/>
            </w:tcBorders>
          </w:tcPr>
          <w:p w:rsidR="00837C26" w:rsidRPr="00EA448D" w:rsidRDefault="00837C26" w:rsidP="00AE7068">
            <w:pPr>
              <w:pStyle w:val="TableText"/>
              <w:rPr>
                <w:rFonts w:eastAsia="Times New Roman" w:cs="Arial"/>
                <w:b/>
                <w:szCs w:val="20"/>
                <w:lang w:eastAsia="en-AU"/>
              </w:rPr>
            </w:pPr>
            <w:r w:rsidRPr="00EA448D">
              <w:rPr>
                <w:rFonts w:eastAsia="Times New Roman" w:cs="Arial"/>
                <w:b/>
                <w:szCs w:val="20"/>
                <w:lang w:eastAsia="en-AU"/>
              </w:rPr>
              <w:t>Clinical criteria:</w:t>
            </w:r>
          </w:p>
        </w:tc>
        <w:tc>
          <w:tcPr>
            <w:tcW w:w="3824" w:type="pct"/>
            <w:gridSpan w:val="5"/>
            <w:tcBorders>
              <w:top w:val="single" w:sz="4" w:space="0" w:color="auto"/>
              <w:left w:val="single" w:sz="4" w:space="0" w:color="auto"/>
              <w:bottom w:val="single" w:sz="4" w:space="0" w:color="auto"/>
              <w:right w:val="single" w:sz="4" w:space="0" w:color="auto"/>
            </w:tcBorders>
          </w:tcPr>
          <w:p w:rsidR="00837C26" w:rsidRPr="00EA448D" w:rsidRDefault="00837C26" w:rsidP="00AE7068">
            <w:pPr>
              <w:spacing w:before="40" w:after="40"/>
              <w:rPr>
                <w:rFonts w:ascii="Arial Narrow" w:eastAsia="Times New Roman" w:hAnsi="Arial Narrow" w:cs="Arial"/>
                <w:sz w:val="20"/>
                <w:szCs w:val="20"/>
                <w:lang w:eastAsia="en-AU"/>
              </w:rPr>
            </w:pPr>
            <w:r w:rsidRPr="00EA448D">
              <w:rPr>
                <w:rFonts w:ascii="Arial Narrow" w:eastAsia="Times New Roman" w:hAnsi="Arial Narrow" w:cs="Arial"/>
                <w:sz w:val="20"/>
                <w:szCs w:val="20"/>
                <w:lang w:eastAsia="en-AU"/>
              </w:rPr>
              <w:t xml:space="preserve">The condition must be diagnosed as clinically definite relapsing-remitting multiple sclerosis by magnetic resonance imaging of the brain and/or spinal cord; OR the condition must be diagnosed as clinically definite relapsing remitting multiple sclerosis by accompanying written certification provided by a radiologist that a magnetic resonance imaging scan is contraindicated because of the risk of physical (not psychological) injury to the patient </w:t>
            </w:r>
          </w:p>
          <w:p w:rsidR="00837C26" w:rsidRPr="00EA448D" w:rsidRDefault="00837C26" w:rsidP="00AE7068">
            <w:pPr>
              <w:spacing w:before="40" w:after="40"/>
              <w:rPr>
                <w:rFonts w:ascii="Arial Narrow" w:eastAsia="Times New Roman" w:hAnsi="Arial Narrow" w:cs="Arial"/>
                <w:sz w:val="20"/>
                <w:szCs w:val="20"/>
                <w:lang w:eastAsia="en-AU"/>
              </w:rPr>
            </w:pPr>
            <w:r w:rsidRPr="00EA448D">
              <w:rPr>
                <w:rFonts w:ascii="Arial Narrow" w:eastAsia="Times New Roman" w:hAnsi="Arial Narrow" w:cs="Arial"/>
                <w:sz w:val="20"/>
                <w:szCs w:val="20"/>
                <w:lang w:eastAsia="en-AU"/>
              </w:rPr>
              <w:t>AND</w:t>
            </w:r>
          </w:p>
          <w:p w:rsidR="00837C26" w:rsidRPr="00EA448D" w:rsidRDefault="00837C26" w:rsidP="00AE7068">
            <w:pPr>
              <w:spacing w:before="40" w:after="40"/>
              <w:rPr>
                <w:rFonts w:ascii="Arial Narrow" w:eastAsia="Times New Roman" w:hAnsi="Arial Narrow" w:cs="Arial"/>
                <w:sz w:val="20"/>
                <w:szCs w:val="20"/>
                <w:lang w:eastAsia="en-AU"/>
              </w:rPr>
            </w:pPr>
            <w:r w:rsidRPr="00EA448D">
              <w:rPr>
                <w:rFonts w:ascii="Arial Narrow" w:eastAsia="Times New Roman" w:hAnsi="Arial Narrow" w:cs="Arial"/>
                <w:sz w:val="20"/>
                <w:szCs w:val="20"/>
                <w:lang w:eastAsia="en-AU"/>
              </w:rPr>
              <w:t xml:space="preserve">The treatment must be a sole PBS subsidised disease modifying treatment therapy for this condition, </w:t>
            </w:r>
          </w:p>
          <w:p w:rsidR="00837C26" w:rsidRPr="00EA448D" w:rsidRDefault="00837C26" w:rsidP="00AE7068">
            <w:pPr>
              <w:spacing w:before="40" w:after="40"/>
              <w:rPr>
                <w:rFonts w:ascii="Arial Narrow" w:eastAsia="Times New Roman" w:hAnsi="Arial Narrow" w:cs="Arial"/>
                <w:sz w:val="20"/>
                <w:szCs w:val="20"/>
                <w:lang w:eastAsia="en-AU"/>
              </w:rPr>
            </w:pPr>
            <w:r w:rsidRPr="00EA448D">
              <w:rPr>
                <w:rFonts w:ascii="Arial Narrow" w:eastAsia="Times New Roman" w:hAnsi="Arial Narrow" w:cs="Arial"/>
                <w:sz w:val="20"/>
                <w:szCs w:val="20"/>
                <w:lang w:eastAsia="en-AU"/>
              </w:rPr>
              <w:t xml:space="preserve">AND </w:t>
            </w:r>
          </w:p>
          <w:p w:rsidR="00837C26" w:rsidRPr="00EA448D" w:rsidRDefault="00837C26" w:rsidP="00AE7068">
            <w:pPr>
              <w:spacing w:before="40" w:after="40"/>
              <w:rPr>
                <w:rFonts w:ascii="Arial Narrow" w:eastAsia="Times New Roman" w:hAnsi="Arial Narrow" w:cs="Arial"/>
                <w:sz w:val="20"/>
                <w:szCs w:val="20"/>
                <w:lang w:eastAsia="en-AU"/>
              </w:rPr>
            </w:pPr>
            <w:r w:rsidRPr="00EA448D">
              <w:rPr>
                <w:rFonts w:ascii="Arial Narrow" w:eastAsia="Times New Roman" w:hAnsi="Arial Narrow" w:cs="Arial"/>
                <w:sz w:val="20"/>
                <w:szCs w:val="20"/>
                <w:lang w:eastAsia="en-AU"/>
              </w:rPr>
              <w:t xml:space="preserve">Patient must have experienced at least 2 documented attacks of neurological dysfunction, believed to be due to the multiple sclerosis, in the preceding 2 years </w:t>
            </w:r>
          </w:p>
          <w:p w:rsidR="00837C26" w:rsidRPr="00EA448D" w:rsidRDefault="00837C26" w:rsidP="00AE7068">
            <w:pPr>
              <w:spacing w:before="40" w:after="40"/>
              <w:rPr>
                <w:rFonts w:ascii="Arial Narrow" w:eastAsia="Times New Roman" w:hAnsi="Arial Narrow" w:cs="Arial"/>
                <w:sz w:val="20"/>
                <w:szCs w:val="20"/>
                <w:lang w:eastAsia="en-AU"/>
              </w:rPr>
            </w:pPr>
            <w:r w:rsidRPr="00EA448D">
              <w:rPr>
                <w:rFonts w:ascii="Arial Narrow" w:eastAsia="Times New Roman" w:hAnsi="Arial Narrow" w:cs="Arial"/>
                <w:sz w:val="20"/>
                <w:szCs w:val="20"/>
                <w:lang w:eastAsia="en-AU"/>
              </w:rPr>
              <w:t>AND</w:t>
            </w:r>
          </w:p>
          <w:p w:rsidR="00837C26" w:rsidRPr="00EA448D" w:rsidRDefault="00837C26" w:rsidP="00AE7068">
            <w:pPr>
              <w:spacing w:before="40" w:after="40"/>
              <w:rPr>
                <w:rFonts w:ascii="Arial Narrow" w:eastAsia="Times New Roman" w:hAnsi="Arial Narrow" w:cs="Arial"/>
                <w:sz w:val="20"/>
                <w:szCs w:val="20"/>
                <w:lang w:eastAsia="en-AU"/>
              </w:rPr>
            </w:pPr>
            <w:r w:rsidRPr="00EA448D">
              <w:rPr>
                <w:rFonts w:ascii="Arial Narrow" w:eastAsia="Times New Roman" w:hAnsi="Arial Narrow" w:cs="Arial"/>
                <w:sz w:val="20"/>
                <w:szCs w:val="20"/>
                <w:lang w:eastAsia="en-AU"/>
              </w:rPr>
              <w:t>Patient must be ambulatory (without assistance or support).</w:t>
            </w:r>
          </w:p>
          <w:p w:rsidR="00837C26" w:rsidRPr="00EA448D" w:rsidRDefault="00837C26" w:rsidP="00D13160">
            <w:pPr>
              <w:spacing w:before="40" w:after="40"/>
              <w:rPr>
                <w:rFonts w:ascii="Arial Narrow" w:eastAsia="Times New Roman" w:hAnsi="Arial Narrow" w:cs="Arial"/>
                <w:sz w:val="20"/>
                <w:szCs w:val="20"/>
                <w:lang w:eastAsia="en-AU"/>
              </w:rPr>
            </w:pPr>
            <w:r w:rsidRPr="00EA448D">
              <w:rPr>
                <w:rFonts w:ascii="Arial Narrow" w:eastAsia="Times New Roman" w:hAnsi="Arial Narrow" w:cs="Arial"/>
                <w:sz w:val="20"/>
                <w:szCs w:val="20"/>
                <w:lang w:eastAsia="en-AU"/>
              </w:rPr>
              <w:t xml:space="preserve">Where applicable, the date of the magnetic resonance imaging scan </w:t>
            </w:r>
            <w:proofErr w:type="gramStart"/>
            <w:r w:rsidRPr="00EA448D">
              <w:rPr>
                <w:rFonts w:ascii="Arial Narrow" w:eastAsia="Times New Roman" w:hAnsi="Arial Narrow" w:cs="Arial"/>
                <w:sz w:val="20"/>
                <w:szCs w:val="20"/>
                <w:lang w:eastAsia="en-AU"/>
              </w:rPr>
              <w:t>must be recorded</w:t>
            </w:r>
            <w:proofErr w:type="gramEnd"/>
            <w:r w:rsidRPr="00EA448D">
              <w:rPr>
                <w:rFonts w:ascii="Arial Narrow" w:eastAsia="Times New Roman" w:hAnsi="Arial Narrow" w:cs="Arial"/>
                <w:sz w:val="20"/>
                <w:szCs w:val="20"/>
                <w:lang w:eastAsia="en-AU"/>
              </w:rPr>
              <w:t xml:space="preserve"> in </w:t>
            </w:r>
            <w:r w:rsidR="00D13160" w:rsidRPr="00EA448D">
              <w:rPr>
                <w:rFonts w:ascii="Arial Narrow" w:eastAsia="Times New Roman" w:hAnsi="Arial Narrow" w:cs="Arial"/>
                <w:sz w:val="20"/>
                <w:szCs w:val="20"/>
                <w:lang w:eastAsia="en-AU"/>
              </w:rPr>
              <w:t>t</w:t>
            </w:r>
            <w:r w:rsidRPr="00EA448D">
              <w:rPr>
                <w:rFonts w:ascii="Arial Narrow" w:eastAsia="Times New Roman" w:hAnsi="Arial Narrow" w:cs="Arial"/>
                <w:sz w:val="20"/>
                <w:szCs w:val="20"/>
                <w:lang w:eastAsia="en-AU"/>
              </w:rPr>
              <w:t xml:space="preserve">he patient’s medical records. </w:t>
            </w:r>
          </w:p>
        </w:tc>
      </w:tr>
      <w:tr w:rsidR="00837C26" w:rsidRPr="00EA448D" w:rsidTr="00D13160">
        <w:tblPrEx>
          <w:tblCellMar>
            <w:left w:w="108" w:type="dxa"/>
            <w:right w:w="108" w:type="dxa"/>
          </w:tblCellMar>
        </w:tblPrEx>
        <w:trPr>
          <w:cantSplit/>
          <w:trHeight w:val="360"/>
        </w:trPr>
        <w:tc>
          <w:tcPr>
            <w:tcW w:w="1176" w:type="pct"/>
            <w:tcBorders>
              <w:top w:val="single" w:sz="4" w:space="0" w:color="auto"/>
              <w:left w:val="single" w:sz="4" w:space="0" w:color="auto"/>
              <w:bottom w:val="single" w:sz="4" w:space="0" w:color="auto"/>
              <w:right w:val="single" w:sz="4" w:space="0" w:color="auto"/>
            </w:tcBorders>
          </w:tcPr>
          <w:p w:rsidR="00837C26" w:rsidRPr="00EA448D" w:rsidRDefault="00837C26" w:rsidP="00AE7068">
            <w:pPr>
              <w:spacing w:before="40" w:after="40"/>
              <w:jc w:val="both"/>
              <w:rPr>
                <w:rFonts w:ascii="Arial Narrow" w:eastAsia="Times New Roman" w:hAnsi="Arial Narrow" w:cs="Arial"/>
                <w:b/>
                <w:sz w:val="20"/>
                <w:szCs w:val="20"/>
                <w:lang w:eastAsia="en-AU"/>
              </w:rPr>
            </w:pPr>
            <w:r w:rsidRPr="00EA448D">
              <w:rPr>
                <w:rFonts w:ascii="Arial Narrow" w:eastAsia="Times New Roman" w:hAnsi="Arial Narrow" w:cs="Arial"/>
                <w:b/>
                <w:sz w:val="20"/>
                <w:szCs w:val="20"/>
                <w:lang w:eastAsia="en-AU"/>
              </w:rPr>
              <w:t>Administrative Advice</w:t>
            </w:r>
          </w:p>
          <w:p w:rsidR="00837C26" w:rsidRPr="00EA448D" w:rsidRDefault="00837C26" w:rsidP="00AE7068">
            <w:pPr>
              <w:spacing w:before="40" w:after="40"/>
              <w:jc w:val="both"/>
              <w:rPr>
                <w:rFonts w:ascii="Arial Narrow" w:eastAsia="Times New Roman" w:hAnsi="Arial Narrow" w:cs="Arial"/>
                <w:b/>
                <w:sz w:val="20"/>
                <w:szCs w:val="20"/>
                <w:lang w:eastAsia="en-AU"/>
              </w:rPr>
            </w:pPr>
          </w:p>
        </w:tc>
        <w:tc>
          <w:tcPr>
            <w:tcW w:w="3824" w:type="pct"/>
            <w:gridSpan w:val="5"/>
            <w:tcBorders>
              <w:top w:val="single" w:sz="4" w:space="0" w:color="auto"/>
              <w:left w:val="single" w:sz="4" w:space="0" w:color="auto"/>
              <w:bottom w:val="single" w:sz="4" w:space="0" w:color="auto"/>
              <w:right w:val="single" w:sz="4" w:space="0" w:color="auto"/>
            </w:tcBorders>
          </w:tcPr>
          <w:p w:rsidR="00837C26" w:rsidRPr="00EA448D" w:rsidRDefault="00837C26" w:rsidP="00AE7068">
            <w:pPr>
              <w:spacing w:before="40" w:after="40"/>
              <w:rPr>
                <w:rFonts w:ascii="Arial Narrow" w:eastAsia="Times New Roman" w:hAnsi="Arial Narrow" w:cs="Arial"/>
                <w:sz w:val="20"/>
                <w:szCs w:val="20"/>
                <w:lang w:eastAsia="en-AU"/>
              </w:rPr>
            </w:pPr>
            <w:r w:rsidRPr="00EA448D">
              <w:rPr>
                <w:rFonts w:ascii="Arial Narrow" w:eastAsia="Times New Roman" w:hAnsi="Arial Narrow" w:cs="Arial"/>
                <w:sz w:val="20"/>
                <w:szCs w:val="20"/>
                <w:lang w:eastAsia="en-AU"/>
              </w:rPr>
              <w:t>No increase in the maximum quantity may be authorised</w:t>
            </w:r>
          </w:p>
          <w:p w:rsidR="00837C26" w:rsidRPr="00EA448D" w:rsidRDefault="00837C26" w:rsidP="00AE7068">
            <w:pPr>
              <w:spacing w:before="40" w:after="40"/>
              <w:rPr>
                <w:rFonts w:ascii="Arial Narrow" w:eastAsia="Times New Roman" w:hAnsi="Arial Narrow" w:cs="Arial"/>
                <w:sz w:val="20"/>
                <w:szCs w:val="20"/>
                <w:lang w:eastAsia="en-AU"/>
              </w:rPr>
            </w:pPr>
            <w:r w:rsidRPr="00EA448D">
              <w:rPr>
                <w:rFonts w:ascii="Arial Narrow" w:eastAsia="Times New Roman" w:hAnsi="Arial Narrow" w:cs="Arial"/>
                <w:sz w:val="20"/>
                <w:szCs w:val="20"/>
                <w:lang w:eastAsia="en-AU"/>
              </w:rPr>
              <w:t>No increase in the maximum number of repeats may be authorised</w:t>
            </w:r>
          </w:p>
          <w:p w:rsidR="00837C26" w:rsidRPr="00EA448D" w:rsidRDefault="00837C26" w:rsidP="00AE7068">
            <w:pPr>
              <w:spacing w:before="40" w:after="40"/>
              <w:rPr>
                <w:rFonts w:ascii="Arial Narrow" w:eastAsia="Times New Roman" w:hAnsi="Arial Narrow" w:cs="Arial"/>
                <w:sz w:val="20"/>
                <w:szCs w:val="20"/>
                <w:lang w:eastAsia="en-AU"/>
              </w:rPr>
            </w:pPr>
            <w:r w:rsidRPr="00EA448D">
              <w:rPr>
                <w:rFonts w:ascii="Arial Narrow" w:eastAsia="Times New Roman" w:hAnsi="Arial Narrow" w:cs="Arial"/>
                <w:sz w:val="20"/>
                <w:szCs w:val="20"/>
                <w:lang w:eastAsia="en-AU"/>
              </w:rPr>
              <w:t>Special Pricing Arrangements apply</w:t>
            </w:r>
          </w:p>
          <w:p w:rsidR="00837C26" w:rsidRPr="00EA448D" w:rsidRDefault="00837C26" w:rsidP="00AE7068">
            <w:pPr>
              <w:spacing w:before="40" w:after="40"/>
              <w:rPr>
                <w:rFonts w:ascii="Arial Narrow" w:eastAsia="Times New Roman" w:hAnsi="Arial Narrow" w:cs="Arial"/>
                <w:sz w:val="20"/>
                <w:szCs w:val="20"/>
                <w:lang w:eastAsia="en-AU"/>
              </w:rPr>
            </w:pPr>
            <w:r w:rsidRPr="00EA448D">
              <w:rPr>
                <w:rFonts w:ascii="Arial Narrow" w:eastAsia="Times New Roman" w:hAnsi="Arial Narrow" w:cs="Arial"/>
                <w:sz w:val="20"/>
                <w:szCs w:val="20"/>
                <w:lang w:eastAsia="en-AU"/>
              </w:rPr>
              <w:t>A grandfathering clause applies</w:t>
            </w:r>
          </w:p>
        </w:tc>
      </w:tr>
      <w:tr w:rsidR="00837C26" w:rsidRPr="00EA448D" w:rsidTr="00D13160">
        <w:tblPrEx>
          <w:tblCellMar>
            <w:left w:w="108" w:type="dxa"/>
            <w:right w:w="108" w:type="dxa"/>
          </w:tblCellMar>
        </w:tblPrEx>
        <w:trPr>
          <w:cantSplit/>
          <w:trHeight w:val="360"/>
        </w:trPr>
        <w:tc>
          <w:tcPr>
            <w:tcW w:w="1176" w:type="pct"/>
            <w:tcBorders>
              <w:top w:val="single" w:sz="4" w:space="0" w:color="auto"/>
              <w:left w:val="single" w:sz="4" w:space="0" w:color="auto"/>
              <w:bottom w:val="single" w:sz="4" w:space="0" w:color="auto"/>
              <w:right w:val="single" w:sz="4" w:space="0" w:color="auto"/>
            </w:tcBorders>
          </w:tcPr>
          <w:p w:rsidR="00837C26" w:rsidRPr="00EA448D" w:rsidRDefault="00837C26" w:rsidP="00AE7068">
            <w:pPr>
              <w:spacing w:before="40" w:after="40"/>
              <w:jc w:val="both"/>
              <w:rPr>
                <w:rFonts w:ascii="Arial Narrow" w:eastAsia="Times New Roman" w:hAnsi="Arial Narrow" w:cs="Arial"/>
                <w:b/>
                <w:sz w:val="20"/>
                <w:szCs w:val="20"/>
                <w:lang w:eastAsia="en-AU"/>
              </w:rPr>
            </w:pPr>
            <w:r w:rsidRPr="00EA448D">
              <w:rPr>
                <w:rFonts w:ascii="Arial Narrow" w:eastAsia="Calibri" w:hAnsi="Arial Narrow" w:cs="Arial"/>
                <w:b/>
                <w:sz w:val="20"/>
                <w:lang w:eastAsia="en-AU"/>
              </w:rPr>
              <w:t>Category / Program</w:t>
            </w:r>
          </w:p>
        </w:tc>
        <w:tc>
          <w:tcPr>
            <w:tcW w:w="3824" w:type="pct"/>
            <w:gridSpan w:val="5"/>
            <w:tcBorders>
              <w:top w:val="single" w:sz="4" w:space="0" w:color="auto"/>
              <w:left w:val="single" w:sz="4" w:space="0" w:color="auto"/>
              <w:bottom w:val="single" w:sz="4" w:space="0" w:color="auto"/>
              <w:right w:val="single" w:sz="4" w:space="0" w:color="auto"/>
            </w:tcBorders>
          </w:tcPr>
          <w:p w:rsidR="00837C26" w:rsidRPr="00EA448D" w:rsidRDefault="00837C26" w:rsidP="00AE7068">
            <w:pPr>
              <w:spacing w:before="40" w:after="40"/>
              <w:rPr>
                <w:rFonts w:ascii="Arial Narrow" w:eastAsia="Times New Roman" w:hAnsi="Arial Narrow" w:cs="Arial"/>
                <w:sz w:val="20"/>
                <w:szCs w:val="20"/>
                <w:lang w:eastAsia="en-AU"/>
              </w:rPr>
            </w:pPr>
            <w:r w:rsidRPr="00EA448D">
              <w:rPr>
                <w:rFonts w:ascii="Arial Narrow" w:eastAsia="Times New Roman" w:hAnsi="Arial Narrow" w:cs="Times New Roman"/>
                <w:sz w:val="20"/>
                <w:szCs w:val="24"/>
                <w:lang w:eastAsia="en-AU"/>
              </w:rPr>
              <w:t>Section 85</w:t>
            </w:r>
          </w:p>
        </w:tc>
      </w:tr>
      <w:tr w:rsidR="00837C26" w:rsidRPr="00EA448D" w:rsidTr="00D13160">
        <w:tblPrEx>
          <w:tblCellMar>
            <w:left w:w="108" w:type="dxa"/>
            <w:right w:w="108" w:type="dxa"/>
          </w:tblCellMar>
        </w:tblPrEx>
        <w:trPr>
          <w:cantSplit/>
          <w:trHeight w:val="360"/>
        </w:trPr>
        <w:tc>
          <w:tcPr>
            <w:tcW w:w="1176" w:type="pct"/>
            <w:tcBorders>
              <w:top w:val="single" w:sz="4" w:space="0" w:color="auto"/>
              <w:left w:val="single" w:sz="4" w:space="0" w:color="auto"/>
              <w:bottom w:val="single" w:sz="4" w:space="0" w:color="auto"/>
              <w:right w:val="single" w:sz="4" w:space="0" w:color="auto"/>
            </w:tcBorders>
          </w:tcPr>
          <w:p w:rsidR="00837C26" w:rsidRPr="00EA448D" w:rsidRDefault="00837C26" w:rsidP="00AE7068">
            <w:pPr>
              <w:spacing w:before="40" w:after="40"/>
              <w:jc w:val="both"/>
              <w:rPr>
                <w:rFonts w:ascii="Arial Narrow" w:eastAsia="Times New Roman" w:hAnsi="Arial Narrow" w:cs="Arial"/>
                <w:b/>
                <w:sz w:val="20"/>
                <w:szCs w:val="20"/>
                <w:lang w:eastAsia="en-AU"/>
              </w:rPr>
            </w:pPr>
            <w:r w:rsidRPr="00EA448D">
              <w:rPr>
                <w:rFonts w:ascii="Arial Narrow" w:eastAsia="Times New Roman" w:hAnsi="Arial Narrow" w:cs="Arial"/>
                <w:b/>
                <w:sz w:val="20"/>
                <w:szCs w:val="20"/>
                <w:lang w:eastAsia="en-AU"/>
              </w:rPr>
              <w:t>Condition:</w:t>
            </w:r>
          </w:p>
        </w:tc>
        <w:tc>
          <w:tcPr>
            <w:tcW w:w="3824" w:type="pct"/>
            <w:gridSpan w:val="5"/>
            <w:tcBorders>
              <w:top w:val="single" w:sz="4" w:space="0" w:color="auto"/>
              <w:left w:val="single" w:sz="4" w:space="0" w:color="auto"/>
              <w:bottom w:val="single" w:sz="4" w:space="0" w:color="auto"/>
              <w:right w:val="single" w:sz="4" w:space="0" w:color="auto"/>
            </w:tcBorders>
          </w:tcPr>
          <w:p w:rsidR="00837C26" w:rsidRPr="00EA448D" w:rsidRDefault="00837C26" w:rsidP="00AE7068">
            <w:pPr>
              <w:spacing w:before="40" w:after="40"/>
              <w:rPr>
                <w:rFonts w:ascii="Arial Narrow" w:eastAsia="Times New Roman" w:hAnsi="Arial Narrow" w:cs="Arial"/>
                <w:sz w:val="20"/>
                <w:szCs w:val="20"/>
                <w:lang w:eastAsia="en-AU"/>
              </w:rPr>
            </w:pPr>
            <w:r w:rsidRPr="00EA448D">
              <w:rPr>
                <w:rFonts w:ascii="Arial Narrow" w:eastAsia="Times New Roman" w:hAnsi="Arial Narrow" w:cs="Arial"/>
                <w:sz w:val="20"/>
                <w:szCs w:val="20"/>
                <w:lang w:eastAsia="en-AU"/>
              </w:rPr>
              <w:t>Relapsing remitting multiple sclerosis</w:t>
            </w:r>
          </w:p>
        </w:tc>
      </w:tr>
      <w:tr w:rsidR="00837C26" w:rsidRPr="00EA448D" w:rsidTr="00D13160">
        <w:tblPrEx>
          <w:tblCellMar>
            <w:left w:w="108" w:type="dxa"/>
            <w:right w:w="108" w:type="dxa"/>
          </w:tblCellMar>
        </w:tblPrEx>
        <w:trPr>
          <w:cantSplit/>
          <w:trHeight w:val="360"/>
        </w:trPr>
        <w:tc>
          <w:tcPr>
            <w:tcW w:w="1176" w:type="pct"/>
            <w:tcBorders>
              <w:top w:val="single" w:sz="4" w:space="0" w:color="auto"/>
              <w:left w:val="single" w:sz="4" w:space="0" w:color="auto"/>
              <w:bottom w:val="single" w:sz="4" w:space="0" w:color="auto"/>
              <w:right w:val="single" w:sz="4" w:space="0" w:color="auto"/>
            </w:tcBorders>
          </w:tcPr>
          <w:p w:rsidR="00837C26" w:rsidRPr="00EA448D" w:rsidRDefault="00837C26" w:rsidP="00AE7068">
            <w:pPr>
              <w:spacing w:before="40" w:after="40"/>
              <w:jc w:val="both"/>
              <w:rPr>
                <w:rFonts w:ascii="Arial Narrow" w:eastAsia="Times New Roman" w:hAnsi="Arial Narrow" w:cs="Arial"/>
                <w:b/>
                <w:sz w:val="20"/>
                <w:szCs w:val="20"/>
                <w:lang w:eastAsia="en-AU"/>
              </w:rPr>
            </w:pPr>
            <w:r w:rsidRPr="00EA448D">
              <w:rPr>
                <w:rFonts w:ascii="Arial Narrow" w:eastAsia="Times New Roman" w:hAnsi="Arial Narrow" w:cs="Arial"/>
                <w:b/>
                <w:sz w:val="20"/>
                <w:szCs w:val="20"/>
                <w:lang w:eastAsia="en-AU"/>
              </w:rPr>
              <w:t>PBS Indication:</w:t>
            </w:r>
          </w:p>
        </w:tc>
        <w:tc>
          <w:tcPr>
            <w:tcW w:w="3824" w:type="pct"/>
            <w:gridSpan w:val="5"/>
            <w:tcBorders>
              <w:top w:val="single" w:sz="4" w:space="0" w:color="auto"/>
              <w:left w:val="single" w:sz="4" w:space="0" w:color="auto"/>
              <w:bottom w:val="single" w:sz="4" w:space="0" w:color="auto"/>
              <w:right w:val="single" w:sz="4" w:space="0" w:color="auto"/>
            </w:tcBorders>
          </w:tcPr>
          <w:p w:rsidR="00837C26" w:rsidRPr="00EA448D" w:rsidRDefault="00837C26" w:rsidP="00AE7068">
            <w:pPr>
              <w:spacing w:before="40" w:after="40"/>
              <w:rPr>
                <w:rFonts w:ascii="Arial Narrow" w:eastAsia="Times New Roman" w:hAnsi="Arial Narrow" w:cs="Arial"/>
                <w:sz w:val="20"/>
                <w:szCs w:val="20"/>
                <w:lang w:eastAsia="en-AU"/>
              </w:rPr>
            </w:pPr>
            <w:r w:rsidRPr="00EA448D">
              <w:rPr>
                <w:rFonts w:ascii="Arial Narrow" w:eastAsia="Times New Roman" w:hAnsi="Arial Narrow" w:cs="Arial"/>
                <w:sz w:val="20"/>
                <w:szCs w:val="20"/>
                <w:lang w:eastAsia="en-AU"/>
              </w:rPr>
              <w:t>Multiple sclerosis</w:t>
            </w:r>
          </w:p>
        </w:tc>
      </w:tr>
      <w:tr w:rsidR="00837C26" w:rsidRPr="00EA448D" w:rsidTr="00D13160">
        <w:tblPrEx>
          <w:tblCellMar>
            <w:left w:w="108" w:type="dxa"/>
            <w:right w:w="108" w:type="dxa"/>
          </w:tblCellMar>
        </w:tblPrEx>
        <w:trPr>
          <w:cantSplit/>
          <w:trHeight w:val="360"/>
        </w:trPr>
        <w:tc>
          <w:tcPr>
            <w:tcW w:w="1176" w:type="pct"/>
            <w:tcBorders>
              <w:top w:val="single" w:sz="4" w:space="0" w:color="auto"/>
              <w:left w:val="single" w:sz="4" w:space="0" w:color="auto"/>
              <w:bottom w:val="single" w:sz="4" w:space="0" w:color="auto"/>
              <w:right w:val="single" w:sz="4" w:space="0" w:color="auto"/>
            </w:tcBorders>
          </w:tcPr>
          <w:p w:rsidR="00837C26" w:rsidRPr="00EA448D" w:rsidRDefault="00837C26" w:rsidP="00AE7068">
            <w:pPr>
              <w:spacing w:before="40" w:after="40"/>
              <w:jc w:val="both"/>
              <w:rPr>
                <w:rFonts w:ascii="Arial Narrow" w:eastAsia="Times New Roman" w:hAnsi="Arial Narrow" w:cs="Arial"/>
                <w:b/>
                <w:sz w:val="20"/>
                <w:szCs w:val="20"/>
                <w:lang w:eastAsia="en-AU"/>
              </w:rPr>
            </w:pPr>
            <w:r w:rsidRPr="00EA448D">
              <w:rPr>
                <w:rFonts w:ascii="Arial Narrow" w:eastAsia="Times New Roman" w:hAnsi="Arial Narrow" w:cs="Arial"/>
                <w:b/>
                <w:sz w:val="20"/>
                <w:szCs w:val="20"/>
                <w:lang w:eastAsia="en-AU"/>
              </w:rPr>
              <w:t>Treatment phase:</w:t>
            </w:r>
          </w:p>
        </w:tc>
        <w:tc>
          <w:tcPr>
            <w:tcW w:w="3824" w:type="pct"/>
            <w:gridSpan w:val="5"/>
            <w:tcBorders>
              <w:top w:val="single" w:sz="4" w:space="0" w:color="auto"/>
              <w:left w:val="single" w:sz="4" w:space="0" w:color="auto"/>
              <w:bottom w:val="single" w:sz="4" w:space="0" w:color="auto"/>
              <w:right w:val="single" w:sz="4" w:space="0" w:color="auto"/>
            </w:tcBorders>
          </w:tcPr>
          <w:p w:rsidR="00837C26" w:rsidRPr="00EA448D" w:rsidRDefault="00837C26" w:rsidP="00AE7068">
            <w:pPr>
              <w:spacing w:before="40" w:after="40"/>
              <w:rPr>
                <w:rFonts w:ascii="Arial Narrow" w:eastAsia="Times New Roman" w:hAnsi="Arial Narrow" w:cs="Arial"/>
                <w:sz w:val="20"/>
                <w:szCs w:val="20"/>
                <w:lang w:eastAsia="en-AU"/>
              </w:rPr>
            </w:pPr>
            <w:r w:rsidRPr="00EA448D">
              <w:rPr>
                <w:rFonts w:ascii="Arial Narrow" w:eastAsia="Times New Roman" w:hAnsi="Arial Narrow" w:cs="Arial"/>
                <w:sz w:val="20"/>
                <w:szCs w:val="20"/>
                <w:lang w:eastAsia="en-AU"/>
              </w:rPr>
              <w:t>Continuing</w:t>
            </w:r>
          </w:p>
        </w:tc>
      </w:tr>
      <w:tr w:rsidR="00837C26" w:rsidRPr="00EA448D" w:rsidTr="00D13160">
        <w:tblPrEx>
          <w:tblCellMar>
            <w:left w:w="108" w:type="dxa"/>
            <w:right w:w="108" w:type="dxa"/>
          </w:tblCellMar>
        </w:tblPrEx>
        <w:trPr>
          <w:cantSplit/>
          <w:trHeight w:val="360"/>
        </w:trPr>
        <w:tc>
          <w:tcPr>
            <w:tcW w:w="1176" w:type="pct"/>
            <w:tcBorders>
              <w:top w:val="single" w:sz="4" w:space="0" w:color="auto"/>
              <w:left w:val="single" w:sz="4" w:space="0" w:color="auto"/>
              <w:bottom w:val="single" w:sz="4" w:space="0" w:color="auto"/>
              <w:right w:val="single" w:sz="4" w:space="0" w:color="auto"/>
            </w:tcBorders>
          </w:tcPr>
          <w:p w:rsidR="00837C26" w:rsidRPr="00EA448D" w:rsidRDefault="00837C26" w:rsidP="00AE7068">
            <w:pPr>
              <w:spacing w:before="40" w:after="40"/>
              <w:jc w:val="both"/>
              <w:rPr>
                <w:rFonts w:ascii="Arial Narrow" w:eastAsia="Times New Roman" w:hAnsi="Arial Narrow" w:cs="Arial"/>
                <w:b/>
                <w:sz w:val="20"/>
                <w:szCs w:val="20"/>
                <w:lang w:eastAsia="en-AU"/>
              </w:rPr>
            </w:pPr>
            <w:r w:rsidRPr="00EA448D">
              <w:rPr>
                <w:rFonts w:ascii="Arial Narrow" w:eastAsia="Times New Roman" w:hAnsi="Arial Narrow" w:cs="Arial"/>
                <w:b/>
                <w:sz w:val="20"/>
                <w:szCs w:val="20"/>
                <w:lang w:eastAsia="en-AU"/>
              </w:rPr>
              <w:t>Restriction:</w:t>
            </w:r>
          </w:p>
          <w:p w:rsidR="00837C26" w:rsidRPr="00EA448D" w:rsidRDefault="00837C26" w:rsidP="00AE7068">
            <w:pPr>
              <w:spacing w:before="40" w:after="40"/>
              <w:jc w:val="both"/>
              <w:rPr>
                <w:rFonts w:ascii="Arial Narrow" w:eastAsia="Times New Roman" w:hAnsi="Arial Narrow" w:cs="Arial"/>
                <w:b/>
                <w:sz w:val="20"/>
                <w:szCs w:val="20"/>
                <w:lang w:eastAsia="en-AU"/>
              </w:rPr>
            </w:pPr>
          </w:p>
        </w:tc>
        <w:tc>
          <w:tcPr>
            <w:tcW w:w="3824" w:type="pct"/>
            <w:gridSpan w:val="5"/>
            <w:tcBorders>
              <w:top w:val="single" w:sz="4" w:space="0" w:color="auto"/>
              <w:left w:val="single" w:sz="4" w:space="0" w:color="auto"/>
              <w:bottom w:val="single" w:sz="4" w:space="0" w:color="auto"/>
              <w:right w:val="single" w:sz="4" w:space="0" w:color="auto"/>
            </w:tcBorders>
          </w:tcPr>
          <w:p w:rsidR="00837C26" w:rsidRPr="00EA448D" w:rsidRDefault="00837C26" w:rsidP="00AE7068">
            <w:pPr>
              <w:spacing w:before="40" w:after="40"/>
              <w:rPr>
                <w:rFonts w:ascii="Arial Narrow" w:eastAsia="Times New Roman" w:hAnsi="Arial Narrow" w:cs="Arial"/>
                <w:sz w:val="20"/>
                <w:szCs w:val="20"/>
                <w:lang w:eastAsia="en-AU"/>
              </w:rPr>
            </w:pPr>
            <w:r w:rsidRPr="00EA448D">
              <w:rPr>
                <w:rFonts w:ascii="Arial Narrow" w:eastAsia="Times New Roman" w:hAnsi="Arial Narrow" w:cs="Arial"/>
                <w:sz w:val="20"/>
                <w:szCs w:val="20"/>
                <w:lang w:eastAsia="en-AU"/>
              </w:rPr>
              <w:fldChar w:fldCharType="begin">
                <w:ffData>
                  <w:name w:val="Check1"/>
                  <w:enabled/>
                  <w:calcOnExit w:val="0"/>
                  <w:checkBox>
                    <w:sizeAuto/>
                    <w:default w:val="0"/>
                  </w:checkBox>
                </w:ffData>
              </w:fldChar>
            </w:r>
            <w:r w:rsidRPr="00EA448D">
              <w:rPr>
                <w:rFonts w:ascii="Arial Narrow" w:eastAsia="Times New Roman" w:hAnsi="Arial Narrow" w:cs="Arial"/>
                <w:sz w:val="20"/>
                <w:szCs w:val="20"/>
                <w:lang w:eastAsia="en-AU"/>
              </w:rPr>
              <w:instrText xml:space="preserve"> FORMCHECKBOX </w:instrText>
            </w:r>
            <w:r w:rsidR="008A0B2B">
              <w:rPr>
                <w:rFonts w:ascii="Arial Narrow" w:eastAsia="Times New Roman" w:hAnsi="Arial Narrow" w:cs="Arial"/>
                <w:sz w:val="20"/>
                <w:szCs w:val="20"/>
                <w:lang w:eastAsia="en-AU"/>
              </w:rPr>
            </w:r>
            <w:r w:rsidR="008A0B2B">
              <w:rPr>
                <w:rFonts w:ascii="Arial Narrow" w:eastAsia="Times New Roman" w:hAnsi="Arial Narrow" w:cs="Arial"/>
                <w:sz w:val="20"/>
                <w:szCs w:val="20"/>
                <w:lang w:eastAsia="en-AU"/>
              </w:rPr>
              <w:fldChar w:fldCharType="separate"/>
            </w:r>
            <w:r w:rsidRPr="00EA448D">
              <w:rPr>
                <w:rFonts w:ascii="Arial Narrow" w:eastAsia="Times New Roman" w:hAnsi="Arial Narrow" w:cs="Arial"/>
                <w:sz w:val="20"/>
                <w:szCs w:val="20"/>
                <w:lang w:eastAsia="en-AU"/>
              </w:rPr>
              <w:fldChar w:fldCharType="end"/>
            </w:r>
            <w:r w:rsidRPr="00EA448D">
              <w:rPr>
                <w:rFonts w:ascii="Arial Narrow" w:eastAsia="Times New Roman" w:hAnsi="Arial Narrow" w:cs="Arial"/>
                <w:sz w:val="20"/>
                <w:szCs w:val="20"/>
                <w:lang w:eastAsia="en-AU"/>
              </w:rPr>
              <w:t>Restricted benefit</w:t>
            </w:r>
          </w:p>
          <w:p w:rsidR="00837C26" w:rsidRPr="00EA448D" w:rsidRDefault="00837C26" w:rsidP="00AE7068">
            <w:pPr>
              <w:spacing w:before="40" w:after="40"/>
              <w:rPr>
                <w:rFonts w:ascii="Arial Narrow" w:eastAsia="Times New Roman" w:hAnsi="Arial Narrow" w:cs="Arial"/>
                <w:sz w:val="20"/>
                <w:szCs w:val="20"/>
                <w:lang w:eastAsia="en-AU"/>
              </w:rPr>
            </w:pPr>
            <w:r w:rsidRPr="00EA448D">
              <w:rPr>
                <w:rFonts w:ascii="Arial Narrow" w:eastAsia="Times New Roman" w:hAnsi="Arial Narrow" w:cs="Arial"/>
                <w:sz w:val="20"/>
                <w:szCs w:val="20"/>
                <w:lang w:eastAsia="en-AU"/>
              </w:rPr>
              <w:fldChar w:fldCharType="begin">
                <w:ffData>
                  <w:name w:val=""/>
                  <w:enabled/>
                  <w:calcOnExit w:val="0"/>
                  <w:checkBox>
                    <w:sizeAuto/>
                    <w:default w:val="0"/>
                  </w:checkBox>
                </w:ffData>
              </w:fldChar>
            </w:r>
            <w:r w:rsidRPr="00EA448D">
              <w:rPr>
                <w:rFonts w:ascii="Arial Narrow" w:eastAsia="Times New Roman" w:hAnsi="Arial Narrow" w:cs="Arial"/>
                <w:sz w:val="20"/>
                <w:szCs w:val="20"/>
                <w:lang w:eastAsia="en-AU"/>
              </w:rPr>
              <w:instrText xml:space="preserve"> FORMCHECKBOX </w:instrText>
            </w:r>
            <w:r w:rsidR="008A0B2B">
              <w:rPr>
                <w:rFonts w:ascii="Arial Narrow" w:eastAsia="Times New Roman" w:hAnsi="Arial Narrow" w:cs="Arial"/>
                <w:sz w:val="20"/>
                <w:szCs w:val="20"/>
                <w:lang w:eastAsia="en-AU"/>
              </w:rPr>
            </w:r>
            <w:r w:rsidR="008A0B2B">
              <w:rPr>
                <w:rFonts w:ascii="Arial Narrow" w:eastAsia="Times New Roman" w:hAnsi="Arial Narrow" w:cs="Arial"/>
                <w:sz w:val="20"/>
                <w:szCs w:val="20"/>
                <w:lang w:eastAsia="en-AU"/>
              </w:rPr>
              <w:fldChar w:fldCharType="separate"/>
            </w:r>
            <w:r w:rsidRPr="00EA448D">
              <w:rPr>
                <w:rFonts w:ascii="Arial Narrow" w:eastAsia="Times New Roman" w:hAnsi="Arial Narrow" w:cs="Arial"/>
                <w:sz w:val="20"/>
                <w:szCs w:val="20"/>
                <w:lang w:eastAsia="en-AU"/>
              </w:rPr>
              <w:fldChar w:fldCharType="end"/>
            </w:r>
            <w:r w:rsidRPr="00EA448D">
              <w:rPr>
                <w:rFonts w:ascii="Arial Narrow" w:eastAsia="Times New Roman" w:hAnsi="Arial Narrow" w:cs="Arial"/>
                <w:sz w:val="20"/>
                <w:szCs w:val="20"/>
                <w:lang w:eastAsia="en-AU"/>
              </w:rPr>
              <w:t>Authority Required - In Writing</w:t>
            </w:r>
          </w:p>
          <w:p w:rsidR="00837C26" w:rsidRPr="00EA448D" w:rsidRDefault="00837C26" w:rsidP="00AE7068">
            <w:pPr>
              <w:spacing w:before="40" w:after="40"/>
              <w:rPr>
                <w:rFonts w:ascii="Arial Narrow" w:eastAsia="Times New Roman" w:hAnsi="Arial Narrow" w:cs="Arial"/>
                <w:sz w:val="20"/>
                <w:szCs w:val="20"/>
                <w:lang w:eastAsia="en-AU"/>
              </w:rPr>
            </w:pPr>
            <w:r w:rsidRPr="00EA448D">
              <w:rPr>
                <w:rFonts w:ascii="Arial Narrow" w:eastAsia="Times New Roman" w:hAnsi="Arial Narrow" w:cs="Arial"/>
                <w:sz w:val="20"/>
                <w:szCs w:val="20"/>
                <w:lang w:eastAsia="en-AU"/>
              </w:rPr>
              <w:t>X Authority Required - Telephone</w:t>
            </w:r>
          </w:p>
          <w:p w:rsidR="00837C26" w:rsidRPr="00EA448D" w:rsidRDefault="00837C26" w:rsidP="00AE7068">
            <w:pPr>
              <w:spacing w:before="40" w:after="40"/>
              <w:rPr>
                <w:rFonts w:ascii="Arial Narrow" w:eastAsia="Times New Roman" w:hAnsi="Arial Narrow" w:cs="Arial"/>
                <w:sz w:val="20"/>
                <w:szCs w:val="20"/>
                <w:lang w:eastAsia="en-AU"/>
              </w:rPr>
            </w:pPr>
            <w:r w:rsidRPr="00EA448D">
              <w:rPr>
                <w:rFonts w:ascii="Arial Narrow" w:eastAsia="Times New Roman" w:hAnsi="Arial Narrow" w:cs="Arial"/>
                <w:sz w:val="20"/>
                <w:szCs w:val="20"/>
                <w:lang w:eastAsia="en-AU"/>
              </w:rPr>
              <w:t>X Authority Required – Emergency</w:t>
            </w:r>
          </w:p>
          <w:p w:rsidR="00837C26" w:rsidRPr="00EA448D" w:rsidRDefault="00837C26" w:rsidP="00AE7068">
            <w:pPr>
              <w:spacing w:before="40" w:after="40"/>
              <w:rPr>
                <w:rFonts w:ascii="Arial Narrow" w:eastAsia="Times New Roman" w:hAnsi="Arial Narrow" w:cs="Arial"/>
                <w:sz w:val="20"/>
                <w:szCs w:val="20"/>
                <w:lang w:eastAsia="en-AU"/>
              </w:rPr>
            </w:pPr>
            <w:r w:rsidRPr="00EA448D">
              <w:rPr>
                <w:rFonts w:ascii="Arial Narrow" w:eastAsia="Times New Roman" w:hAnsi="Arial Narrow" w:cs="Arial"/>
                <w:sz w:val="20"/>
                <w:szCs w:val="20"/>
                <w:lang w:eastAsia="en-AU"/>
              </w:rPr>
              <w:t>X Authority Required - Electronic</w:t>
            </w:r>
          </w:p>
          <w:p w:rsidR="00837C26" w:rsidRPr="00EA448D" w:rsidRDefault="00837C26" w:rsidP="00AE7068">
            <w:pPr>
              <w:spacing w:before="40" w:after="40"/>
              <w:rPr>
                <w:rFonts w:ascii="Arial Narrow" w:eastAsia="Times New Roman" w:hAnsi="Arial Narrow" w:cs="Arial"/>
                <w:sz w:val="20"/>
                <w:szCs w:val="20"/>
                <w:lang w:eastAsia="en-AU"/>
              </w:rPr>
            </w:pPr>
            <w:r w:rsidRPr="00EA448D">
              <w:rPr>
                <w:rFonts w:ascii="Arial Narrow" w:eastAsia="Times New Roman" w:hAnsi="Arial Narrow" w:cs="Arial"/>
                <w:sz w:val="20"/>
                <w:szCs w:val="20"/>
                <w:lang w:eastAsia="en-AU"/>
              </w:rPr>
              <w:fldChar w:fldCharType="begin">
                <w:ffData>
                  <w:name w:val="Check5"/>
                  <w:enabled/>
                  <w:calcOnExit w:val="0"/>
                  <w:checkBox>
                    <w:sizeAuto/>
                    <w:default w:val="0"/>
                  </w:checkBox>
                </w:ffData>
              </w:fldChar>
            </w:r>
            <w:r w:rsidRPr="00EA448D">
              <w:rPr>
                <w:rFonts w:ascii="Arial Narrow" w:eastAsia="Times New Roman" w:hAnsi="Arial Narrow" w:cs="Arial"/>
                <w:sz w:val="20"/>
                <w:szCs w:val="20"/>
                <w:lang w:eastAsia="en-AU"/>
              </w:rPr>
              <w:instrText xml:space="preserve"> FORMCHECKBOX </w:instrText>
            </w:r>
            <w:r w:rsidR="008A0B2B">
              <w:rPr>
                <w:rFonts w:ascii="Arial Narrow" w:eastAsia="Times New Roman" w:hAnsi="Arial Narrow" w:cs="Arial"/>
                <w:sz w:val="20"/>
                <w:szCs w:val="20"/>
                <w:lang w:eastAsia="en-AU"/>
              </w:rPr>
            </w:r>
            <w:r w:rsidR="008A0B2B">
              <w:rPr>
                <w:rFonts w:ascii="Arial Narrow" w:eastAsia="Times New Roman" w:hAnsi="Arial Narrow" w:cs="Arial"/>
                <w:sz w:val="20"/>
                <w:szCs w:val="20"/>
                <w:lang w:eastAsia="en-AU"/>
              </w:rPr>
              <w:fldChar w:fldCharType="separate"/>
            </w:r>
            <w:r w:rsidRPr="00EA448D">
              <w:rPr>
                <w:rFonts w:ascii="Arial Narrow" w:eastAsia="Times New Roman" w:hAnsi="Arial Narrow" w:cs="Arial"/>
                <w:sz w:val="20"/>
                <w:szCs w:val="20"/>
                <w:lang w:eastAsia="en-AU"/>
              </w:rPr>
              <w:fldChar w:fldCharType="end"/>
            </w:r>
            <w:r w:rsidRPr="00EA448D">
              <w:rPr>
                <w:rFonts w:ascii="Arial Narrow" w:eastAsia="Times New Roman" w:hAnsi="Arial Narrow" w:cs="Arial"/>
                <w:sz w:val="20"/>
                <w:szCs w:val="20"/>
                <w:lang w:eastAsia="en-AU"/>
              </w:rPr>
              <w:t>Streamlined</w:t>
            </w:r>
          </w:p>
        </w:tc>
      </w:tr>
      <w:tr w:rsidR="00837C26" w:rsidRPr="00EA448D" w:rsidTr="00D13160">
        <w:tblPrEx>
          <w:tblCellMar>
            <w:left w:w="108" w:type="dxa"/>
            <w:right w:w="108" w:type="dxa"/>
          </w:tblCellMar>
        </w:tblPrEx>
        <w:trPr>
          <w:cantSplit/>
          <w:trHeight w:val="360"/>
        </w:trPr>
        <w:tc>
          <w:tcPr>
            <w:tcW w:w="1176" w:type="pct"/>
            <w:tcBorders>
              <w:top w:val="single" w:sz="4" w:space="0" w:color="auto"/>
              <w:left w:val="single" w:sz="4" w:space="0" w:color="auto"/>
              <w:bottom w:val="single" w:sz="4" w:space="0" w:color="auto"/>
              <w:right w:val="single" w:sz="4" w:space="0" w:color="auto"/>
            </w:tcBorders>
          </w:tcPr>
          <w:p w:rsidR="00837C26" w:rsidRPr="00EA448D" w:rsidRDefault="00837C26" w:rsidP="00AE7068">
            <w:pPr>
              <w:spacing w:before="40" w:after="40"/>
              <w:jc w:val="both"/>
              <w:rPr>
                <w:rFonts w:ascii="Arial Narrow" w:eastAsia="Times New Roman" w:hAnsi="Arial Narrow" w:cs="Arial"/>
                <w:b/>
                <w:sz w:val="20"/>
                <w:szCs w:val="20"/>
                <w:lang w:eastAsia="en-AU"/>
              </w:rPr>
            </w:pPr>
            <w:r w:rsidRPr="00EA448D">
              <w:rPr>
                <w:rFonts w:ascii="Arial Narrow" w:eastAsia="Times New Roman" w:hAnsi="Arial Narrow" w:cs="Arial"/>
                <w:b/>
                <w:sz w:val="20"/>
                <w:szCs w:val="20"/>
                <w:lang w:eastAsia="en-AU"/>
              </w:rPr>
              <w:lastRenderedPageBreak/>
              <w:t>Treatment criteria:</w:t>
            </w:r>
          </w:p>
        </w:tc>
        <w:tc>
          <w:tcPr>
            <w:tcW w:w="3824" w:type="pct"/>
            <w:gridSpan w:val="5"/>
            <w:tcBorders>
              <w:top w:val="single" w:sz="4" w:space="0" w:color="auto"/>
              <w:left w:val="single" w:sz="4" w:space="0" w:color="auto"/>
              <w:bottom w:val="single" w:sz="4" w:space="0" w:color="auto"/>
              <w:right w:val="single" w:sz="4" w:space="0" w:color="auto"/>
            </w:tcBorders>
          </w:tcPr>
          <w:p w:rsidR="00837C26" w:rsidRPr="00EA448D" w:rsidRDefault="00837C26" w:rsidP="00AE7068">
            <w:pPr>
              <w:spacing w:before="40" w:after="40"/>
              <w:rPr>
                <w:rFonts w:ascii="Arial Narrow" w:eastAsia="Times New Roman" w:hAnsi="Arial Narrow" w:cs="Arial"/>
                <w:sz w:val="20"/>
                <w:szCs w:val="20"/>
                <w:lang w:eastAsia="en-AU"/>
              </w:rPr>
            </w:pPr>
            <w:r w:rsidRPr="00EA448D">
              <w:rPr>
                <w:rFonts w:ascii="Arial Narrow" w:eastAsia="Times New Roman" w:hAnsi="Arial Narrow" w:cs="Arial"/>
                <w:sz w:val="20"/>
                <w:szCs w:val="20"/>
                <w:lang w:eastAsia="en-AU"/>
              </w:rPr>
              <w:t>Must be initiated and supervised by neurologists</w:t>
            </w:r>
          </w:p>
        </w:tc>
      </w:tr>
      <w:tr w:rsidR="00837C26" w:rsidRPr="00EA448D" w:rsidTr="00D13160">
        <w:tblPrEx>
          <w:tblCellMar>
            <w:left w:w="108" w:type="dxa"/>
            <w:right w:w="108" w:type="dxa"/>
          </w:tblCellMar>
        </w:tblPrEx>
        <w:trPr>
          <w:cantSplit/>
          <w:trHeight w:val="360"/>
        </w:trPr>
        <w:tc>
          <w:tcPr>
            <w:tcW w:w="1176" w:type="pct"/>
            <w:tcBorders>
              <w:top w:val="single" w:sz="4" w:space="0" w:color="auto"/>
              <w:left w:val="single" w:sz="4" w:space="0" w:color="auto"/>
              <w:bottom w:val="single" w:sz="4" w:space="0" w:color="auto"/>
              <w:right w:val="single" w:sz="4" w:space="0" w:color="auto"/>
            </w:tcBorders>
          </w:tcPr>
          <w:p w:rsidR="00837C26" w:rsidRPr="00EA448D" w:rsidRDefault="00837C26" w:rsidP="00AE7068">
            <w:pPr>
              <w:spacing w:before="40" w:after="40"/>
              <w:jc w:val="both"/>
              <w:rPr>
                <w:rFonts w:ascii="Arial Narrow" w:eastAsia="Times New Roman" w:hAnsi="Arial Narrow" w:cs="Arial"/>
                <w:b/>
                <w:sz w:val="20"/>
                <w:szCs w:val="20"/>
                <w:lang w:eastAsia="en-AU"/>
              </w:rPr>
            </w:pPr>
            <w:r w:rsidRPr="00EA448D">
              <w:rPr>
                <w:rFonts w:ascii="Arial Narrow" w:eastAsia="Times New Roman" w:hAnsi="Arial Narrow" w:cs="Arial"/>
                <w:b/>
                <w:sz w:val="20"/>
                <w:szCs w:val="20"/>
                <w:lang w:eastAsia="en-AU"/>
              </w:rPr>
              <w:t>Clinical criteria:</w:t>
            </w:r>
          </w:p>
        </w:tc>
        <w:tc>
          <w:tcPr>
            <w:tcW w:w="3824" w:type="pct"/>
            <w:gridSpan w:val="5"/>
            <w:tcBorders>
              <w:top w:val="single" w:sz="4" w:space="0" w:color="auto"/>
              <w:left w:val="single" w:sz="4" w:space="0" w:color="auto"/>
              <w:bottom w:val="single" w:sz="4" w:space="0" w:color="auto"/>
              <w:right w:val="single" w:sz="4" w:space="0" w:color="auto"/>
            </w:tcBorders>
          </w:tcPr>
          <w:p w:rsidR="00837C26" w:rsidRPr="00EA448D" w:rsidRDefault="00837C26" w:rsidP="00AE7068">
            <w:pPr>
              <w:spacing w:before="40" w:after="40"/>
              <w:rPr>
                <w:rFonts w:ascii="Arial Narrow" w:eastAsia="Times New Roman" w:hAnsi="Arial Narrow" w:cs="Arial"/>
                <w:sz w:val="20"/>
                <w:szCs w:val="20"/>
                <w:lang w:eastAsia="en-AU"/>
              </w:rPr>
            </w:pPr>
            <w:r w:rsidRPr="00EA448D">
              <w:rPr>
                <w:rFonts w:ascii="Arial Narrow" w:eastAsia="Times New Roman" w:hAnsi="Arial Narrow" w:cs="Arial"/>
                <w:sz w:val="20"/>
                <w:szCs w:val="20"/>
                <w:lang w:eastAsia="en-AU"/>
              </w:rPr>
              <w:t xml:space="preserve">The condition must be diagnosed as clinically definite relapsing –remitting multiple sclerosis, </w:t>
            </w:r>
          </w:p>
          <w:p w:rsidR="00837C26" w:rsidRPr="00EA448D" w:rsidRDefault="00837C26" w:rsidP="00AE7068">
            <w:pPr>
              <w:spacing w:before="40" w:after="40"/>
              <w:rPr>
                <w:rFonts w:ascii="Arial Narrow" w:eastAsia="Times New Roman" w:hAnsi="Arial Narrow" w:cs="Arial"/>
                <w:sz w:val="20"/>
                <w:szCs w:val="20"/>
                <w:lang w:eastAsia="en-AU"/>
              </w:rPr>
            </w:pPr>
            <w:r w:rsidRPr="00EA448D">
              <w:rPr>
                <w:rFonts w:ascii="Arial Narrow" w:eastAsia="Times New Roman" w:hAnsi="Arial Narrow" w:cs="Arial"/>
                <w:sz w:val="20"/>
                <w:szCs w:val="20"/>
                <w:lang w:eastAsia="en-AU"/>
              </w:rPr>
              <w:t xml:space="preserve">AND </w:t>
            </w:r>
          </w:p>
          <w:p w:rsidR="00837C26" w:rsidRPr="00EA448D" w:rsidRDefault="00837C26" w:rsidP="00AE7068">
            <w:pPr>
              <w:spacing w:before="40" w:after="40"/>
              <w:rPr>
                <w:rFonts w:ascii="Arial Narrow" w:eastAsia="Times New Roman" w:hAnsi="Arial Narrow" w:cs="Arial"/>
                <w:sz w:val="20"/>
                <w:szCs w:val="20"/>
                <w:lang w:eastAsia="en-AU"/>
              </w:rPr>
            </w:pPr>
            <w:r w:rsidRPr="00EA448D">
              <w:rPr>
                <w:rFonts w:ascii="Arial Narrow" w:eastAsia="Times New Roman" w:hAnsi="Arial Narrow" w:cs="Arial"/>
                <w:sz w:val="20"/>
                <w:szCs w:val="20"/>
                <w:lang w:eastAsia="en-AU"/>
              </w:rPr>
              <w:t xml:space="preserve">The treatment must be a sole PBS-subsidised disease modifying therapy for this condition </w:t>
            </w:r>
          </w:p>
          <w:p w:rsidR="00837C26" w:rsidRPr="00EA448D" w:rsidRDefault="00837C26" w:rsidP="00AE7068">
            <w:pPr>
              <w:spacing w:before="40" w:after="40"/>
              <w:rPr>
                <w:rFonts w:ascii="Arial Narrow" w:eastAsia="Times New Roman" w:hAnsi="Arial Narrow" w:cs="Arial"/>
                <w:sz w:val="20"/>
                <w:szCs w:val="20"/>
                <w:lang w:eastAsia="en-AU"/>
              </w:rPr>
            </w:pPr>
            <w:r w:rsidRPr="00EA448D">
              <w:rPr>
                <w:rFonts w:ascii="Arial Narrow" w:eastAsia="Times New Roman" w:hAnsi="Arial Narrow" w:cs="Arial"/>
                <w:sz w:val="20"/>
                <w:szCs w:val="20"/>
                <w:lang w:eastAsia="en-AU"/>
              </w:rPr>
              <w:t>AND</w:t>
            </w:r>
          </w:p>
          <w:p w:rsidR="00837C26" w:rsidRPr="00EA448D" w:rsidRDefault="00837C26" w:rsidP="00AE7068">
            <w:pPr>
              <w:spacing w:before="40" w:after="40"/>
              <w:rPr>
                <w:rFonts w:ascii="Arial Narrow" w:eastAsia="Times New Roman" w:hAnsi="Arial Narrow" w:cs="Arial"/>
                <w:sz w:val="20"/>
                <w:szCs w:val="20"/>
                <w:lang w:eastAsia="en-AU"/>
              </w:rPr>
            </w:pPr>
            <w:r w:rsidRPr="00EA448D">
              <w:rPr>
                <w:rFonts w:ascii="Arial Narrow" w:eastAsia="Times New Roman" w:hAnsi="Arial Narrow" w:cs="Arial"/>
                <w:sz w:val="20"/>
                <w:szCs w:val="20"/>
                <w:lang w:eastAsia="en-AU"/>
              </w:rPr>
              <w:t>Patient must have previously received PBS subsidised treatment with this drug for this condition</w:t>
            </w:r>
          </w:p>
          <w:p w:rsidR="00837C26" w:rsidRPr="00EA448D" w:rsidRDefault="00837C26" w:rsidP="00AE7068">
            <w:pPr>
              <w:spacing w:before="40" w:after="40"/>
              <w:rPr>
                <w:rFonts w:ascii="Arial Narrow" w:eastAsia="Times New Roman" w:hAnsi="Arial Narrow" w:cs="Arial"/>
                <w:sz w:val="20"/>
                <w:szCs w:val="20"/>
                <w:lang w:eastAsia="en-AU"/>
              </w:rPr>
            </w:pPr>
            <w:r w:rsidRPr="00EA448D">
              <w:rPr>
                <w:rFonts w:ascii="Arial Narrow" w:eastAsia="Times New Roman" w:hAnsi="Arial Narrow" w:cs="Arial"/>
                <w:sz w:val="20"/>
                <w:szCs w:val="20"/>
                <w:lang w:eastAsia="en-AU"/>
              </w:rPr>
              <w:t xml:space="preserve">AND </w:t>
            </w:r>
          </w:p>
          <w:p w:rsidR="00837C26" w:rsidRPr="00EA448D" w:rsidRDefault="00837C26" w:rsidP="00AE7068">
            <w:pPr>
              <w:spacing w:before="40" w:after="40"/>
              <w:rPr>
                <w:rFonts w:ascii="Arial Narrow" w:eastAsia="Times New Roman" w:hAnsi="Arial Narrow" w:cs="Arial"/>
                <w:sz w:val="20"/>
                <w:szCs w:val="20"/>
                <w:lang w:eastAsia="en-AU"/>
              </w:rPr>
            </w:pPr>
            <w:r w:rsidRPr="00EA448D">
              <w:rPr>
                <w:rFonts w:ascii="Arial Narrow" w:eastAsia="Times New Roman" w:hAnsi="Arial Narrow" w:cs="Arial"/>
                <w:sz w:val="20"/>
                <w:szCs w:val="20"/>
                <w:lang w:eastAsia="en-AU"/>
              </w:rPr>
              <w:t xml:space="preserve">Patient must not show continuing progression of disability while on treatment with this drug </w:t>
            </w:r>
          </w:p>
          <w:p w:rsidR="00837C26" w:rsidRPr="00EA448D" w:rsidRDefault="00837C26" w:rsidP="00AE7068">
            <w:pPr>
              <w:spacing w:before="40" w:after="40"/>
              <w:rPr>
                <w:rFonts w:ascii="Arial Narrow" w:eastAsia="Times New Roman" w:hAnsi="Arial Narrow" w:cs="Arial"/>
                <w:sz w:val="20"/>
                <w:szCs w:val="20"/>
                <w:lang w:eastAsia="en-AU"/>
              </w:rPr>
            </w:pPr>
            <w:r w:rsidRPr="00EA448D">
              <w:rPr>
                <w:rFonts w:ascii="Arial Narrow" w:eastAsia="Times New Roman" w:hAnsi="Arial Narrow" w:cs="Arial"/>
                <w:sz w:val="20"/>
                <w:szCs w:val="20"/>
                <w:lang w:eastAsia="en-AU"/>
              </w:rPr>
              <w:t>AND</w:t>
            </w:r>
          </w:p>
          <w:p w:rsidR="00837C26" w:rsidRPr="00EA448D" w:rsidRDefault="00837C26" w:rsidP="00AE7068">
            <w:pPr>
              <w:spacing w:before="40" w:after="40"/>
              <w:rPr>
                <w:rFonts w:ascii="Arial Narrow" w:eastAsia="Times New Roman" w:hAnsi="Arial Narrow" w:cs="Arial"/>
                <w:sz w:val="20"/>
                <w:szCs w:val="20"/>
                <w:lang w:eastAsia="en-AU"/>
              </w:rPr>
            </w:pPr>
            <w:r w:rsidRPr="00EA448D">
              <w:rPr>
                <w:rFonts w:ascii="Arial Narrow" w:eastAsia="Times New Roman" w:hAnsi="Arial Narrow" w:cs="Arial"/>
                <w:sz w:val="20"/>
                <w:szCs w:val="20"/>
                <w:lang w:eastAsia="en-AU"/>
              </w:rPr>
              <w:t>Patient must have demonstrated compliance with, and an ability to tolerate this therapy</w:t>
            </w:r>
          </w:p>
        </w:tc>
      </w:tr>
    </w:tbl>
    <w:p w:rsidR="00837C26" w:rsidRPr="00EA448D" w:rsidRDefault="00837C26" w:rsidP="00A627FC">
      <w:pPr>
        <w:pStyle w:val="ListParagraph"/>
        <w:numPr>
          <w:ilvl w:val="1"/>
          <w:numId w:val="1"/>
        </w:numPr>
        <w:jc w:val="both"/>
      </w:pPr>
      <w:r w:rsidRPr="00EA448D">
        <w:t xml:space="preserve">The resubmission based the </w:t>
      </w:r>
      <w:proofErr w:type="spellStart"/>
      <w:r w:rsidRPr="00EA448D">
        <w:t>cladribine</w:t>
      </w:r>
      <w:proofErr w:type="spellEnd"/>
      <w:r w:rsidRPr="00EA448D">
        <w:t xml:space="preserve"> requested price on a cost-minimisation analysis </w:t>
      </w:r>
      <w:r w:rsidR="00D13160" w:rsidRPr="00EA448D">
        <w:t xml:space="preserve">versus the published price of </w:t>
      </w:r>
      <w:proofErr w:type="spellStart"/>
      <w:r w:rsidRPr="00EA448D">
        <w:t>fingolimod</w:t>
      </w:r>
      <w:proofErr w:type="spellEnd"/>
      <w:r w:rsidRPr="00EA448D">
        <w:t xml:space="preserve">. The resubmission noted that it </w:t>
      </w:r>
      <w:proofErr w:type="gramStart"/>
      <w:r w:rsidRPr="00EA448D">
        <w:t>is expected</w:t>
      </w:r>
      <w:proofErr w:type="gramEnd"/>
      <w:r w:rsidRPr="00EA448D">
        <w:t xml:space="preserve"> that the effective price of </w:t>
      </w:r>
      <w:proofErr w:type="spellStart"/>
      <w:r w:rsidRPr="00EA448D">
        <w:t>fingolimod</w:t>
      </w:r>
      <w:proofErr w:type="spellEnd"/>
      <w:r w:rsidRPr="00EA448D">
        <w:t xml:space="preserve"> is lower than its published price.  </w:t>
      </w:r>
    </w:p>
    <w:p w:rsidR="00837C26" w:rsidRPr="00EA448D" w:rsidRDefault="00837C26" w:rsidP="00A627FC">
      <w:pPr>
        <w:pStyle w:val="ListParagraph"/>
        <w:numPr>
          <w:ilvl w:val="1"/>
          <w:numId w:val="1"/>
        </w:numPr>
        <w:spacing w:before="0" w:after="120"/>
        <w:jc w:val="both"/>
      </w:pPr>
      <w:r w:rsidRPr="00EA448D">
        <w:t>In the March 20</w:t>
      </w:r>
      <w:r w:rsidR="00D13160" w:rsidRPr="00EA448D">
        <w:t>11 submission, the requested ex-</w:t>
      </w:r>
      <w:r w:rsidRPr="00EA448D">
        <w:t xml:space="preserve">manufacturer price for </w:t>
      </w:r>
      <w:r w:rsidR="00CC5CE6">
        <w:t>ten</w:t>
      </w:r>
      <w:r w:rsidRPr="00EA448D">
        <w:t xml:space="preserve"> 10mg tablets (consistent with current maximum quantity) was $</w:t>
      </w:r>
      <w:r w:rsidR="00FD3E0B">
        <w:rPr>
          <w:noProof/>
          <w:color w:val="000000"/>
          <w:highlight w:val="black"/>
        </w:rPr>
        <w:t>''''''''''''</w:t>
      </w:r>
      <w:r w:rsidR="00740386" w:rsidRPr="00EA448D">
        <w:t xml:space="preserve"> compared to </w:t>
      </w:r>
      <w:r w:rsidR="00740386" w:rsidRPr="00EA448D">
        <w:rPr>
          <w:rFonts w:ascii="Calibri" w:eastAsia="Calibri" w:hAnsi="Calibri" w:cs="Arial"/>
        </w:rPr>
        <w:t>$</w:t>
      </w:r>
      <w:r w:rsidR="00FD3E0B">
        <w:rPr>
          <w:rFonts w:ascii="Calibri" w:eastAsia="Calibri" w:hAnsi="Calibri" w:cs="Arial"/>
          <w:noProof/>
          <w:color w:val="000000"/>
          <w:highlight w:val="black"/>
        </w:rPr>
        <w:t>''''''''''''''''''''</w:t>
      </w:r>
      <w:r w:rsidR="00740386" w:rsidRPr="00EA448D">
        <w:rPr>
          <w:rFonts w:ascii="Calibri" w:eastAsia="Calibri" w:hAnsi="Calibri" w:cs="Arial"/>
        </w:rPr>
        <w:t xml:space="preserve"> in the resubmission.</w:t>
      </w:r>
    </w:p>
    <w:p w:rsidR="005C4397" w:rsidRDefault="00D13160" w:rsidP="00A627FC">
      <w:pPr>
        <w:pStyle w:val="ListParagraph"/>
        <w:numPr>
          <w:ilvl w:val="1"/>
          <w:numId w:val="1"/>
        </w:numPr>
        <w:spacing w:before="0" w:after="120"/>
        <w:jc w:val="both"/>
      </w:pPr>
      <w:r w:rsidRPr="00EA448D">
        <w:t>Alt</w:t>
      </w:r>
      <w:r w:rsidR="00837C26" w:rsidRPr="00EA448D">
        <w:t xml:space="preserve">hough </w:t>
      </w:r>
      <w:r w:rsidR="00CC5CE6">
        <w:t>ten</w:t>
      </w:r>
      <w:r w:rsidR="00837C26" w:rsidRPr="00EA448D">
        <w:t xml:space="preserve"> tablets constituted the maximum quantity </w:t>
      </w:r>
      <w:r w:rsidR="00205E20" w:rsidRPr="00EA448D">
        <w:t xml:space="preserve">requested </w:t>
      </w:r>
      <w:r w:rsidR="00837C26" w:rsidRPr="00EA448D">
        <w:t xml:space="preserve">per script, the price </w:t>
      </w:r>
      <w:r w:rsidR="00E64394" w:rsidRPr="00EA448D">
        <w:t xml:space="preserve">derived </w:t>
      </w:r>
      <w:r w:rsidR="003F1249" w:rsidRPr="00EA448D">
        <w:t>from</w:t>
      </w:r>
      <w:r w:rsidR="00E64394" w:rsidRPr="00EA448D">
        <w:t xml:space="preserve"> the cost-minimisation analysis </w:t>
      </w:r>
      <w:r w:rsidR="00837C26" w:rsidRPr="00EA448D">
        <w:t xml:space="preserve">and </w:t>
      </w:r>
      <w:r w:rsidR="003F1249" w:rsidRPr="00EA448D">
        <w:t>applied</w:t>
      </w:r>
      <w:r w:rsidR="00837C26" w:rsidRPr="00EA448D">
        <w:t xml:space="preserve"> in the financial estimates </w:t>
      </w:r>
      <w:proofErr w:type="gramStart"/>
      <w:r w:rsidR="00837C26" w:rsidRPr="00EA448D">
        <w:t>was based</w:t>
      </w:r>
      <w:proofErr w:type="gramEnd"/>
      <w:r w:rsidR="00837C26" w:rsidRPr="00EA448D">
        <w:t xml:space="preserve"> on an average of </w:t>
      </w:r>
      <w:r w:rsidR="00CC5CE6">
        <w:t>seven</w:t>
      </w:r>
      <w:r w:rsidR="00837C26" w:rsidRPr="00EA448D">
        <w:t xml:space="preserve"> tablets per script based on the estimated average weight </w:t>
      </w:r>
      <w:r w:rsidR="00E64394" w:rsidRPr="00EA448D">
        <w:t xml:space="preserve">(76.6kg) </w:t>
      </w:r>
      <w:r w:rsidR="00837C26" w:rsidRPr="00EA448D">
        <w:t xml:space="preserve">of patients </w:t>
      </w:r>
      <w:r w:rsidR="00A957FE" w:rsidRPr="00EA448D">
        <w:t xml:space="preserve">in an Australian MS longitudinal study </w:t>
      </w:r>
      <w:r w:rsidR="00837C26" w:rsidRPr="00EA448D">
        <w:t xml:space="preserve">receiving </w:t>
      </w:r>
      <w:proofErr w:type="spellStart"/>
      <w:r w:rsidR="00837C26" w:rsidRPr="00EA448D">
        <w:t>cladribine</w:t>
      </w:r>
      <w:proofErr w:type="spellEnd"/>
      <w:r w:rsidR="00837C26" w:rsidRPr="00EA448D">
        <w:t xml:space="preserve">. </w:t>
      </w:r>
    </w:p>
    <w:p w:rsidR="001D125F" w:rsidRPr="001D125F" w:rsidRDefault="001D125F" w:rsidP="001D125F">
      <w:pPr>
        <w:pStyle w:val="ListParagraph"/>
        <w:ind w:left="709"/>
        <w:jc w:val="both"/>
        <w:rPr>
          <w:i/>
        </w:rPr>
      </w:pPr>
      <w:r w:rsidRPr="005C4397">
        <w:rPr>
          <w:i/>
        </w:rPr>
        <w:t>For more detail on PBAC’s view, see section 7 PBAC outcome.</w:t>
      </w:r>
    </w:p>
    <w:p w:rsidR="00837C26" w:rsidRPr="00EA448D" w:rsidRDefault="00837C26" w:rsidP="00837C26">
      <w:pPr>
        <w:pStyle w:val="Heading1"/>
        <w:ind w:left="709" w:hanging="709"/>
      </w:pPr>
      <w:bookmarkStart w:id="12" w:name="_Toc413139273"/>
      <w:bookmarkStart w:id="13" w:name="_Toc365847454"/>
      <w:r w:rsidRPr="00EA448D">
        <w:t>Background</w:t>
      </w:r>
      <w:bookmarkEnd w:id="12"/>
      <w:bookmarkEnd w:id="13"/>
    </w:p>
    <w:p w:rsidR="00837C26" w:rsidRPr="005430B8" w:rsidRDefault="00837C26" w:rsidP="00837C26">
      <w:pPr>
        <w:pStyle w:val="Heading2"/>
        <w:rPr>
          <w:i w:val="0"/>
        </w:rPr>
      </w:pPr>
      <w:bookmarkStart w:id="14" w:name="_Toc365847455"/>
      <w:r w:rsidRPr="005430B8">
        <w:rPr>
          <w:i w:val="0"/>
        </w:rPr>
        <w:t>Registration status</w:t>
      </w:r>
      <w:bookmarkEnd w:id="14"/>
    </w:p>
    <w:p w:rsidR="00837C26" w:rsidRPr="005430B8" w:rsidRDefault="00837C26" w:rsidP="00A627FC">
      <w:pPr>
        <w:pStyle w:val="ListParagraph"/>
        <w:numPr>
          <w:ilvl w:val="1"/>
          <w:numId w:val="1"/>
        </w:numPr>
        <w:spacing w:after="0"/>
        <w:ind w:left="578" w:hanging="578"/>
        <w:jc w:val="both"/>
        <w:rPr>
          <w:rFonts w:ascii="Calibri" w:eastAsia="Calibri" w:hAnsi="Calibri" w:cs="Arial"/>
        </w:rPr>
      </w:pPr>
      <w:proofErr w:type="spellStart"/>
      <w:r w:rsidRPr="005430B8">
        <w:rPr>
          <w:rFonts w:ascii="Calibri" w:eastAsia="Calibri" w:hAnsi="Calibri" w:cs="Arial"/>
        </w:rPr>
        <w:t>Cladribine</w:t>
      </w:r>
      <w:proofErr w:type="spellEnd"/>
      <w:r w:rsidRPr="005430B8">
        <w:rPr>
          <w:rFonts w:ascii="Calibri" w:eastAsia="Calibri" w:hAnsi="Calibri" w:cs="Arial"/>
        </w:rPr>
        <w:t xml:space="preserve"> was approved for the treatment of RRMS by the TGA in September 2010 for the following indication:</w:t>
      </w:r>
    </w:p>
    <w:p w:rsidR="00837C26" w:rsidRPr="005430B8" w:rsidRDefault="00837C26" w:rsidP="00A627FC">
      <w:pPr>
        <w:pStyle w:val="ListParagraph"/>
        <w:numPr>
          <w:ilvl w:val="0"/>
          <w:numId w:val="7"/>
        </w:numPr>
        <w:spacing w:before="0"/>
        <w:ind w:left="993" w:hanging="426"/>
        <w:jc w:val="both"/>
        <w:rPr>
          <w:rFonts w:ascii="Calibri" w:eastAsia="Calibri" w:hAnsi="Calibri" w:cs="Arial"/>
        </w:rPr>
      </w:pPr>
      <w:proofErr w:type="gramStart"/>
      <w:r w:rsidRPr="005430B8">
        <w:rPr>
          <w:rFonts w:ascii="Calibri" w:eastAsia="Calibri" w:hAnsi="Calibri" w:cs="Times New Roman"/>
          <w:szCs w:val="24"/>
        </w:rPr>
        <w:t>the</w:t>
      </w:r>
      <w:proofErr w:type="gramEnd"/>
      <w:r w:rsidRPr="005430B8">
        <w:rPr>
          <w:rFonts w:ascii="Calibri" w:eastAsia="Calibri" w:hAnsi="Calibri" w:cs="Times New Roman"/>
          <w:szCs w:val="24"/>
        </w:rPr>
        <w:t xml:space="preserve"> treatment of relapsing-remitting multiple sclerosis (</w:t>
      </w:r>
      <w:r w:rsidR="00D13160" w:rsidRPr="005430B8">
        <w:rPr>
          <w:rFonts w:ascii="Calibri" w:eastAsia="Calibri" w:hAnsi="Calibri" w:cs="Times New Roman"/>
          <w:szCs w:val="24"/>
        </w:rPr>
        <w:t>RR</w:t>
      </w:r>
      <w:r w:rsidRPr="005430B8">
        <w:rPr>
          <w:rFonts w:ascii="Calibri" w:eastAsia="Calibri" w:hAnsi="Calibri" w:cs="Times New Roman"/>
          <w:szCs w:val="24"/>
        </w:rPr>
        <w:t>MS) for a maximum duration of two years.</w:t>
      </w:r>
    </w:p>
    <w:p w:rsidR="00844185" w:rsidRDefault="00844185" w:rsidP="00A627FC">
      <w:pPr>
        <w:pStyle w:val="ListParagraph"/>
        <w:numPr>
          <w:ilvl w:val="1"/>
          <w:numId w:val="1"/>
        </w:numPr>
        <w:jc w:val="both"/>
        <w:rPr>
          <w:rFonts w:ascii="Calibri" w:eastAsia="Calibri" w:hAnsi="Calibri" w:cs="Arial"/>
        </w:rPr>
      </w:pPr>
      <w:r>
        <w:rPr>
          <w:rFonts w:ascii="Calibri" w:eastAsia="Calibri" w:hAnsi="Calibri" w:cs="Arial"/>
        </w:rPr>
        <w:t xml:space="preserve">The PBAC noted that an application to the European Medicines Agency (EMA) </w:t>
      </w:r>
      <w:proofErr w:type="gramStart"/>
      <w:r w:rsidRPr="00844185">
        <w:rPr>
          <w:rFonts w:ascii="Calibri" w:eastAsia="Calibri" w:hAnsi="Calibri" w:cs="Arial"/>
        </w:rPr>
        <w:t>was made</w:t>
      </w:r>
      <w:proofErr w:type="gramEnd"/>
      <w:r w:rsidRPr="00844185">
        <w:rPr>
          <w:rFonts w:ascii="Calibri" w:eastAsia="Calibri" w:hAnsi="Calibri" w:cs="Arial"/>
        </w:rPr>
        <w:t xml:space="preserve"> for approval of oral </w:t>
      </w:r>
      <w:proofErr w:type="spellStart"/>
      <w:r w:rsidRPr="00844185">
        <w:rPr>
          <w:rFonts w:ascii="Calibri" w:eastAsia="Calibri" w:hAnsi="Calibri" w:cs="Arial"/>
        </w:rPr>
        <w:t>cladribine</w:t>
      </w:r>
      <w:proofErr w:type="spellEnd"/>
      <w:r w:rsidRPr="00844185">
        <w:rPr>
          <w:rFonts w:ascii="Calibri" w:eastAsia="Calibri" w:hAnsi="Calibri" w:cs="Arial"/>
        </w:rPr>
        <w:t xml:space="preserve"> tablets for </w:t>
      </w:r>
      <w:r>
        <w:rPr>
          <w:rFonts w:ascii="Calibri" w:eastAsia="Calibri" w:hAnsi="Calibri" w:cs="Arial"/>
        </w:rPr>
        <w:t>the treatment of RRMS</w:t>
      </w:r>
      <w:r w:rsidRPr="00844185">
        <w:rPr>
          <w:rFonts w:ascii="Calibri" w:eastAsia="Calibri" w:hAnsi="Calibri" w:cs="Arial"/>
        </w:rPr>
        <w:t xml:space="preserve"> in 2009, which was rejected in 2010, and an appeal was denied in 2011. </w:t>
      </w:r>
      <w:r w:rsidR="00AE5740" w:rsidRPr="00844185">
        <w:rPr>
          <w:rFonts w:ascii="Calibri" w:eastAsia="Calibri" w:hAnsi="Calibri" w:cs="Arial"/>
        </w:rPr>
        <w:t>The FDA rejected a similar application</w:t>
      </w:r>
      <w:r w:rsidRPr="00844185">
        <w:rPr>
          <w:rFonts w:ascii="Calibri" w:eastAsia="Calibri" w:hAnsi="Calibri" w:cs="Arial"/>
        </w:rPr>
        <w:t xml:space="preserve"> in 2011. The concerns of the European Committee for Medicinal Products for Human Use </w:t>
      </w:r>
      <w:r>
        <w:rPr>
          <w:rFonts w:ascii="Calibri" w:eastAsia="Calibri" w:hAnsi="Calibri" w:cs="Arial"/>
        </w:rPr>
        <w:t>(</w:t>
      </w:r>
      <w:r w:rsidRPr="00844185">
        <w:rPr>
          <w:rFonts w:ascii="Calibri" w:eastAsia="Calibri" w:hAnsi="Calibri" w:cs="Arial"/>
        </w:rPr>
        <w:t>CHMP</w:t>
      </w:r>
      <w:r>
        <w:rPr>
          <w:rFonts w:ascii="Calibri" w:eastAsia="Calibri" w:hAnsi="Calibri" w:cs="Arial"/>
        </w:rPr>
        <w:t>)</w:t>
      </w:r>
      <w:r w:rsidRPr="00844185">
        <w:rPr>
          <w:rFonts w:ascii="Calibri" w:eastAsia="Calibri" w:hAnsi="Calibri" w:cs="Arial"/>
        </w:rPr>
        <w:t xml:space="preserve"> leading to rejection were: </w:t>
      </w:r>
    </w:p>
    <w:p w:rsidR="00844185" w:rsidRDefault="00844185" w:rsidP="00A627FC">
      <w:pPr>
        <w:pStyle w:val="ListParagraph"/>
        <w:numPr>
          <w:ilvl w:val="0"/>
          <w:numId w:val="10"/>
        </w:numPr>
        <w:jc w:val="both"/>
        <w:rPr>
          <w:rFonts w:ascii="Calibri" w:eastAsia="Calibri" w:hAnsi="Calibri" w:cs="Arial"/>
        </w:rPr>
      </w:pPr>
      <w:r w:rsidRPr="00844185">
        <w:rPr>
          <w:rFonts w:ascii="Calibri" w:eastAsia="Calibri" w:hAnsi="Calibri" w:cs="Arial"/>
        </w:rPr>
        <w:t xml:space="preserve">The disproportionate numbers of patients developing malignancies in the </w:t>
      </w:r>
      <w:proofErr w:type="spellStart"/>
      <w:r w:rsidRPr="00844185">
        <w:rPr>
          <w:rFonts w:ascii="Calibri" w:eastAsia="Calibri" w:hAnsi="Calibri" w:cs="Arial"/>
        </w:rPr>
        <w:t>cladribine</w:t>
      </w:r>
      <w:proofErr w:type="spellEnd"/>
      <w:r w:rsidRPr="00844185">
        <w:rPr>
          <w:rFonts w:ascii="Calibri" w:eastAsia="Calibri" w:hAnsi="Calibri" w:cs="Arial"/>
        </w:rPr>
        <w:t xml:space="preserve"> treatment arms of clinical</w:t>
      </w:r>
      <w:r>
        <w:rPr>
          <w:rFonts w:ascii="Calibri" w:eastAsia="Calibri" w:hAnsi="Calibri" w:cs="Arial"/>
        </w:rPr>
        <w:t xml:space="preserve"> studies, compared with placebo;</w:t>
      </w:r>
    </w:p>
    <w:p w:rsidR="00844185" w:rsidRDefault="00844185" w:rsidP="00A627FC">
      <w:pPr>
        <w:pStyle w:val="ListParagraph"/>
        <w:numPr>
          <w:ilvl w:val="0"/>
          <w:numId w:val="10"/>
        </w:numPr>
        <w:jc w:val="both"/>
        <w:rPr>
          <w:rFonts w:ascii="Calibri" w:eastAsia="Calibri" w:hAnsi="Calibri" w:cs="Arial"/>
        </w:rPr>
      </w:pPr>
      <w:r w:rsidRPr="00844185">
        <w:rPr>
          <w:rFonts w:ascii="Calibri" w:eastAsia="Calibri" w:hAnsi="Calibri" w:cs="Arial"/>
        </w:rPr>
        <w:t xml:space="preserve">The risk of developing Grade 3 or </w:t>
      </w:r>
      <w:proofErr w:type="gramStart"/>
      <w:r w:rsidRPr="00844185">
        <w:rPr>
          <w:rFonts w:ascii="Calibri" w:eastAsia="Calibri" w:hAnsi="Calibri" w:cs="Arial"/>
        </w:rPr>
        <w:t>4</w:t>
      </w:r>
      <w:proofErr w:type="gramEnd"/>
      <w:r w:rsidRPr="00844185">
        <w:rPr>
          <w:rFonts w:ascii="Calibri" w:eastAsia="Calibri" w:hAnsi="Calibri" w:cs="Arial"/>
        </w:rPr>
        <w:t xml:space="preserve"> lymphopenia, which was thought to be associated with an increased risk of infection. The prolonged recovery time from lymphopenia in some patients was thought to</w:t>
      </w:r>
      <w:r>
        <w:rPr>
          <w:rFonts w:ascii="Calibri" w:eastAsia="Calibri" w:hAnsi="Calibri" w:cs="Arial"/>
        </w:rPr>
        <w:t xml:space="preserve"> expose these patients to risks</w:t>
      </w:r>
    </w:p>
    <w:p w:rsidR="00844185" w:rsidRDefault="00844185" w:rsidP="00A627FC">
      <w:pPr>
        <w:pStyle w:val="ListParagraph"/>
        <w:numPr>
          <w:ilvl w:val="0"/>
          <w:numId w:val="10"/>
        </w:numPr>
        <w:jc w:val="both"/>
        <w:rPr>
          <w:rFonts w:ascii="Calibri" w:eastAsia="Calibri" w:hAnsi="Calibri" w:cs="Arial"/>
        </w:rPr>
      </w:pPr>
      <w:r w:rsidRPr="00844185">
        <w:rPr>
          <w:rFonts w:ascii="Calibri" w:eastAsia="Calibri" w:hAnsi="Calibri" w:cs="Arial"/>
        </w:rPr>
        <w:lastRenderedPageBreak/>
        <w:t>The subsequently proposed patient population (patients with high disease activity) consisted of what the committee considered to be too small a proportion of the patients who had been studied in the</w:t>
      </w:r>
      <w:r>
        <w:rPr>
          <w:rFonts w:ascii="Calibri" w:eastAsia="Calibri" w:hAnsi="Calibri" w:cs="Arial"/>
        </w:rPr>
        <w:t xml:space="preserve"> clinical development programme;</w:t>
      </w:r>
    </w:p>
    <w:p w:rsidR="00844185" w:rsidRPr="00844185" w:rsidRDefault="00844185" w:rsidP="00A627FC">
      <w:pPr>
        <w:pStyle w:val="ListParagraph"/>
        <w:numPr>
          <w:ilvl w:val="0"/>
          <w:numId w:val="10"/>
        </w:numPr>
        <w:jc w:val="both"/>
        <w:rPr>
          <w:rFonts w:ascii="Calibri" w:eastAsia="Calibri" w:hAnsi="Calibri" w:cs="Arial"/>
        </w:rPr>
      </w:pPr>
      <w:r w:rsidRPr="00844185">
        <w:rPr>
          <w:rFonts w:ascii="Calibri" w:eastAsia="Calibri" w:hAnsi="Calibri" w:cs="Arial"/>
        </w:rPr>
        <w:t xml:space="preserve">In the above context, it </w:t>
      </w:r>
      <w:proofErr w:type="gramStart"/>
      <w:r w:rsidRPr="00844185">
        <w:rPr>
          <w:rFonts w:ascii="Calibri" w:eastAsia="Calibri" w:hAnsi="Calibri" w:cs="Arial"/>
        </w:rPr>
        <w:t>was considered</w:t>
      </w:r>
      <w:proofErr w:type="gramEnd"/>
      <w:r w:rsidRPr="00844185">
        <w:rPr>
          <w:rFonts w:ascii="Calibri" w:eastAsia="Calibri" w:hAnsi="Calibri" w:cs="Arial"/>
        </w:rPr>
        <w:t xml:space="preserve"> that the optimal dose and the revised treatment regimen had not been adequately investigated in the target patient population.</w:t>
      </w:r>
    </w:p>
    <w:p w:rsidR="00837C26" w:rsidRPr="00EA448D" w:rsidRDefault="00837C26" w:rsidP="00A627FC">
      <w:pPr>
        <w:pStyle w:val="ListParagraph"/>
        <w:numPr>
          <w:ilvl w:val="1"/>
          <w:numId w:val="1"/>
        </w:numPr>
        <w:jc w:val="both"/>
        <w:rPr>
          <w:rFonts w:ascii="Calibri" w:eastAsia="Calibri" w:hAnsi="Calibri" w:cs="Arial"/>
        </w:rPr>
      </w:pPr>
      <w:proofErr w:type="spellStart"/>
      <w:r w:rsidRPr="00EA448D">
        <w:rPr>
          <w:rFonts w:ascii="Calibri" w:eastAsia="Calibri" w:hAnsi="Calibri" w:cs="Arial"/>
        </w:rPr>
        <w:t>Cladribine</w:t>
      </w:r>
      <w:proofErr w:type="spellEnd"/>
      <w:r w:rsidRPr="00EA448D">
        <w:rPr>
          <w:rFonts w:ascii="Calibri" w:eastAsia="Calibri" w:hAnsi="Calibri" w:cs="Arial"/>
        </w:rPr>
        <w:t xml:space="preserve"> was voluntarily withdrawn from the Australian Market in December 2011. </w:t>
      </w:r>
    </w:p>
    <w:p w:rsidR="00844185" w:rsidRDefault="00837C26" w:rsidP="00A627FC">
      <w:pPr>
        <w:pStyle w:val="ListParagraph"/>
        <w:numPr>
          <w:ilvl w:val="1"/>
          <w:numId w:val="1"/>
        </w:numPr>
        <w:jc w:val="both"/>
        <w:rPr>
          <w:rFonts w:ascii="Calibri" w:eastAsia="Calibri" w:hAnsi="Calibri" w:cs="Arial"/>
        </w:rPr>
      </w:pPr>
      <w:r w:rsidRPr="00EA448D">
        <w:rPr>
          <w:rFonts w:ascii="Calibri" w:eastAsia="Calibri" w:hAnsi="Calibri" w:cs="Arial"/>
        </w:rPr>
        <w:t xml:space="preserve">In 2015 and 2016, new analyses </w:t>
      </w:r>
      <w:r w:rsidR="00D13160" w:rsidRPr="00EA448D">
        <w:rPr>
          <w:rFonts w:ascii="Calibri" w:eastAsia="Calibri" w:hAnsi="Calibri" w:cs="Arial"/>
        </w:rPr>
        <w:t xml:space="preserve">of the </w:t>
      </w:r>
      <w:r w:rsidRPr="00EA448D">
        <w:rPr>
          <w:rFonts w:ascii="Calibri" w:eastAsia="Calibri" w:hAnsi="Calibri" w:cs="Arial"/>
        </w:rPr>
        <w:t xml:space="preserve">clinical and safety data for </w:t>
      </w:r>
      <w:proofErr w:type="spellStart"/>
      <w:r w:rsidRPr="00EA448D">
        <w:rPr>
          <w:rFonts w:ascii="Calibri" w:eastAsia="Calibri" w:hAnsi="Calibri" w:cs="Arial"/>
        </w:rPr>
        <w:t>cladribine</w:t>
      </w:r>
      <w:proofErr w:type="spellEnd"/>
      <w:r w:rsidRPr="00EA448D">
        <w:rPr>
          <w:rFonts w:ascii="Calibri" w:eastAsia="Calibri" w:hAnsi="Calibri" w:cs="Arial"/>
        </w:rPr>
        <w:t xml:space="preserve"> from </w:t>
      </w:r>
      <w:r w:rsidR="00D13160" w:rsidRPr="00EA448D">
        <w:rPr>
          <w:rFonts w:ascii="Calibri" w:eastAsia="Calibri" w:hAnsi="Calibri" w:cs="Arial"/>
        </w:rPr>
        <w:t xml:space="preserve">the </w:t>
      </w:r>
      <w:r w:rsidRPr="00EA448D">
        <w:rPr>
          <w:rFonts w:ascii="Calibri" w:eastAsia="Calibri" w:hAnsi="Calibri" w:cs="Arial"/>
        </w:rPr>
        <w:t xml:space="preserve">ongoing </w:t>
      </w:r>
      <w:r w:rsidR="00D13160" w:rsidRPr="00EA448D">
        <w:rPr>
          <w:rFonts w:ascii="Calibri" w:eastAsia="Calibri" w:hAnsi="Calibri" w:cs="Arial"/>
        </w:rPr>
        <w:t>CLARITY e</w:t>
      </w:r>
      <w:r w:rsidRPr="00EA448D">
        <w:rPr>
          <w:rFonts w:ascii="Calibri" w:eastAsia="Calibri" w:hAnsi="Calibri" w:cs="Arial"/>
        </w:rPr>
        <w:t xml:space="preserve">xtension, </w:t>
      </w:r>
      <w:r w:rsidR="003423F1">
        <w:rPr>
          <w:rFonts w:ascii="Calibri" w:eastAsia="Calibri" w:hAnsi="Calibri" w:cs="Arial"/>
        </w:rPr>
        <w:t>ORACLE</w:t>
      </w:r>
      <w:r w:rsidRPr="00EA448D">
        <w:rPr>
          <w:rFonts w:ascii="Calibri" w:eastAsia="Calibri" w:hAnsi="Calibri" w:cs="Arial"/>
        </w:rPr>
        <w:t xml:space="preserve">-MS and ONWARD trials </w:t>
      </w:r>
      <w:proofErr w:type="gramStart"/>
      <w:r w:rsidR="00D13160" w:rsidRPr="00EA448D">
        <w:rPr>
          <w:rFonts w:ascii="Calibri" w:eastAsia="Calibri" w:hAnsi="Calibri" w:cs="Arial"/>
        </w:rPr>
        <w:t>were performed</w:t>
      </w:r>
      <w:proofErr w:type="gramEnd"/>
      <w:r w:rsidR="00D13160" w:rsidRPr="00EA448D">
        <w:rPr>
          <w:rFonts w:ascii="Calibri" w:eastAsia="Calibri" w:hAnsi="Calibri" w:cs="Arial"/>
        </w:rPr>
        <w:t>.</w:t>
      </w:r>
      <w:r w:rsidRPr="00EA448D">
        <w:rPr>
          <w:rFonts w:ascii="Calibri" w:eastAsia="Calibri" w:hAnsi="Calibri" w:cs="Arial"/>
        </w:rPr>
        <w:t xml:space="preserve"> </w:t>
      </w:r>
      <w:r w:rsidR="00844185">
        <w:rPr>
          <w:rFonts w:ascii="Calibri" w:eastAsia="Calibri" w:hAnsi="Calibri" w:cs="Arial"/>
        </w:rPr>
        <w:t xml:space="preserve">The PBAC noted that in June 2017, the CHMP recommended the approval of </w:t>
      </w:r>
      <w:proofErr w:type="spellStart"/>
      <w:r w:rsidR="00844185">
        <w:rPr>
          <w:rFonts w:ascii="Calibri" w:eastAsia="Calibri" w:hAnsi="Calibri" w:cs="Arial"/>
        </w:rPr>
        <w:t>cladribine</w:t>
      </w:r>
      <w:proofErr w:type="spellEnd"/>
      <w:r w:rsidR="00844185">
        <w:rPr>
          <w:rFonts w:ascii="Calibri" w:eastAsia="Calibri" w:hAnsi="Calibri" w:cs="Arial"/>
        </w:rPr>
        <w:t xml:space="preserve"> in the European Union, however, for the indication of, “</w:t>
      </w:r>
      <w:r w:rsidR="00844185" w:rsidRPr="00844185">
        <w:rPr>
          <w:rFonts w:ascii="Calibri" w:eastAsia="Calibri" w:hAnsi="Calibri" w:cs="Arial"/>
        </w:rPr>
        <w:t>Treatment of adult patients with highly active relapsing multiple sclerosis (MS) as defined by clinical or imaging features</w:t>
      </w:r>
      <w:r w:rsidR="00844185">
        <w:rPr>
          <w:rFonts w:ascii="Calibri" w:eastAsia="Calibri" w:hAnsi="Calibri" w:cs="Arial"/>
        </w:rPr>
        <w:t>”, which is narrower than the</w:t>
      </w:r>
      <w:r w:rsidR="005430B8">
        <w:rPr>
          <w:rFonts w:ascii="Calibri" w:eastAsia="Calibri" w:hAnsi="Calibri" w:cs="Arial"/>
        </w:rPr>
        <w:t xml:space="preserve"> TGA indication and PBS</w:t>
      </w:r>
      <w:r w:rsidR="00844185">
        <w:rPr>
          <w:rFonts w:ascii="Calibri" w:eastAsia="Calibri" w:hAnsi="Calibri" w:cs="Arial"/>
        </w:rPr>
        <w:t xml:space="preserve"> population sought by the resubmission. </w:t>
      </w:r>
    </w:p>
    <w:p w:rsidR="00837C26" w:rsidRPr="00844185" w:rsidRDefault="00837C26" w:rsidP="00A627FC">
      <w:pPr>
        <w:pStyle w:val="ListParagraph"/>
        <w:numPr>
          <w:ilvl w:val="1"/>
          <w:numId w:val="1"/>
        </w:numPr>
        <w:jc w:val="both"/>
        <w:rPr>
          <w:rFonts w:ascii="Calibri" w:eastAsia="Calibri" w:hAnsi="Calibri" w:cs="Arial"/>
        </w:rPr>
      </w:pPr>
      <w:r w:rsidRPr="00EA448D">
        <w:rPr>
          <w:rFonts w:ascii="Calibri" w:eastAsia="Calibri" w:hAnsi="Calibri" w:cs="Arial"/>
        </w:rPr>
        <w:t xml:space="preserve">In Australia, a minor Category 1 </w:t>
      </w:r>
      <w:r w:rsidR="00D13160" w:rsidRPr="00EA448D">
        <w:rPr>
          <w:rFonts w:ascii="Calibri" w:eastAsia="Calibri" w:hAnsi="Calibri" w:cs="Arial"/>
        </w:rPr>
        <w:t>(C)</w:t>
      </w:r>
      <w:r w:rsidRPr="00EA448D">
        <w:rPr>
          <w:rFonts w:ascii="Calibri" w:eastAsia="Calibri" w:hAnsi="Calibri" w:cs="Arial"/>
        </w:rPr>
        <w:t xml:space="preserve"> (Product Information update) </w:t>
      </w:r>
      <w:proofErr w:type="gramStart"/>
      <w:r w:rsidRPr="00EA448D">
        <w:rPr>
          <w:rFonts w:ascii="Calibri" w:eastAsia="Calibri" w:hAnsi="Calibri" w:cs="Arial"/>
        </w:rPr>
        <w:t>was submitted</w:t>
      </w:r>
      <w:proofErr w:type="gramEnd"/>
      <w:r w:rsidRPr="00EA448D">
        <w:rPr>
          <w:rFonts w:ascii="Calibri" w:eastAsia="Calibri" w:hAnsi="Calibri" w:cs="Arial"/>
        </w:rPr>
        <w:t xml:space="preserve"> to the TGA in January 2017. Final approval </w:t>
      </w:r>
      <w:proofErr w:type="gramStart"/>
      <w:r w:rsidRPr="00EA448D">
        <w:rPr>
          <w:rFonts w:ascii="Calibri" w:eastAsia="Calibri" w:hAnsi="Calibri" w:cs="Arial"/>
        </w:rPr>
        <w:t>is anticipated</w:t>
      </w:r>
      <w:proofErr w:type="gramEnd"/>
      <w:r w:rsidRPr="00EA448D">
        <w:rPr>
          <w:rFonts w:ascii="Calibri" w:eastAsia="Calibri" w:hAnsi="Calibri" w:cs="Arial"/>
        </w:rPr>
        <w:t xml:space="preserve"> in January 2018. </w:t>
      </w:r>
      <w:r w:rsidR="00581358">
        <w:rPr>
          <w:rFonts w:ascii="Calibri" w:eastAsia="Calibri" w:hAnsi="Calibri" w:cs="Arial"/>
        </w:rPr>
        <w:t xml:space="preserve">The PBAC noted </w:t>
      </w:r>
      <w:r w:rsidR="00844185">
        <w:rPr>
          <w:rFonts w:ascii="Calibri" w:eastAsia="Calibri" w:hAnsi="Calibri" w:cs="Arial"/>
        </w:rPr>
        <w:t>the TGA Delegate’s Overview</w:t>
      </w:r>
      <w:r w:rsidR="005430B8">
        <w:rPr>
          <w:rFonts w:ascii="Calibri" w:eastAsia="Calibri" w:hAnsi="Calibri" w:cs="Arial"/>
        </w:rPr>
        <w:t xml:space="preserve"> (17 October 2017)</w:t>
      </w:r>
      <w:r w:rsidR="00581358">
        <w:rPr>
          <w:rFonts w:ascii="Calibri" w:eastAsia="Calibri" w:hAnsi="Calibri" w:cs="Arial"/>
        </w:rPr>
        <w:t xml:space="preserve"> to recommend</w:t>
      </w:r>
      <w:r w:rsidR="00844185">
        <w:rPr>
          <w:rFonts w:ascii="Calibri" w:eastAsia="Calibri" w:hAnsi="Calibri" w:cs="Arial"/>
        </w:rPr>
        <w:t xml:space="preserve"> amendment </w:t>
      </w:r>
      <w:r w:rsidR="00581358">
        <w:rPr>
          <w:rFonts w:ascii="Calibri" w:eastAsia="Calibri" w:hAnsi="Calibri" w:cs="Arial"/>
        </w:rPr>
        <w:t xml:space="preserve">of </w:t>
      </w:r>
      <w:proofErr w:type="spellStart"/>
      <w:r w:rsidR="00581358">
        <w:rPr>
          <w:rFonts w:ascii="Calibri" w:eastAsia="Calibri" w:hAnsi="Calibri" w:cs="Arial"/>
        </w:rPr>
        <w:t>cladribine’s</w:t>
      </w:r>
      <w:proofErr w:type="spellEnd"/>
      <w:r w:rsidR="00844185">
        <w:rPr>
          <w:rFonts w:ascii="Calibri" w:eastAsia="Calibri" w:hAnsi="Calibri" w:cs="Arial"/>
        </w:rPr>
        <w:t xml:space="preserve"> indication to</w:t>
      </w:r>
      <w:r w:rsidR="005430B8">
        <w:rPr>
          <w:rFonts w:ascii="Calibri" w:eastAsia="Calibri" w:hAnsi="Calibri" w:cs="Arial"/>
        </w:rPr>
        <w:t>,</w:t>
      </w:r>
      <w:r w:rsidR="00844185">
        <w:rPr>
          <w:rFonts w:ascii="Calibri" w:eastAsia="Calibri" w:hAnsi="Calibri" w:cs="Arial"/>
        </w:rPr>
        <w:t xml:space="preserve"> “(</w:t>
      </w:r>
      <w:proofErr w:type="spellStart"/>
      <w:r w:rsidR="00844185">
        <w:rPr>
          <w:rFonts w:ascii="Calibri" w:eastAsia="Calibri" w:hAnsi="Calibri" w:cs="Arial"/>
        </w:rPr>
        <w:t>cladribine</w:t>
      </w:r>
      <w:proofErr w:type="spellEnd"/>
      <w:r w:rsidR="00844185">
        <w:rPr>
          <w:rFonts w:ascii="Calibri" w:eastAsia="Calibri" w:hAnsi="Calibri" w:cs="Arial"/>
        </w:rPr>
        <w:t xml:space="preserve">) </w:t>
      </w:r>
      <w:r w:rsidR="00844185" w:rsidRPr="00844185">
        <w:rPr>
          <w:rFonts w:ascii="Calibri" w:eastAsia="Calibri" w:hAnsi="Calibri" w:cs="Arial"/>
        </w:rPr>
        <w:t xml:space="preserve">is indicated for the treatment of relapsing-remitting multiple sclerosis to reduce the frequency of clinical relapses and to delay the progression of physical disability. Following completion of the </w:t>
      </w:r>
      <w:proofErr w:type="gramStart"/>
      <w:r w:rsidR="00844185" w:rsidRPr="00844185">
        <w:rPr>
          <w:rFonts w:ascii="Calibri" w:eastAsia="Calibri" w:hAnsi="Calibri" w:cs="Arial"/>
        </w:rPr>
        <w:t>2</w:t>
      </w:r>
      <w:proofErr w:type="gramEnd"/>
      <w:r w:rsidR="00844185" w:rsidRPr="00844185">
        <w:rPr>
          <w:rFonts w:ascii="Calibri" w:eastAsia="Calibri" w:hAnsi="Calibri" w:cs="Arial"/>
        </w:rPr>
        <w:t xml:space="preserve"> treatment courses, no further </w:t>
      </w:r>
      <w:proofErr w:type="spellStart"/>
      <w:r w:rsidR="00844185" w:rsidRPr="00844185">
        <w:rPr>
          <w:rFonts w:ascii="Calibri" w:eastAsia="Calibri" w:hAnsi="Calibri" w:cs="Arial"/>
        </w:rPr>
        <w:t>cladribine</w:t>
      </w:r>
      <w:proofErr w:type="spellEnd"/>
      <w:r w:rsidR="00844185" w:rsidRPr="00844185">
        <w:rPr>
          <w:rFonts w:ascii="Calibri" w:eastAsia="Calibri" w:hAnsi="Calibri" w:cs="Arial"/>
        </w:rPr>
        <w:t xml:space="preserve"> treatment is required in years 3 and 4. Re-initiation of therapy aft</w:t>
      </w:r>
      <w:r w:rsidR="00844185">
        <w:rPr>
          <w:rFonts w:ascii="Calibri" w:eastAsia="Calibri" w:hAnsi="Calibri" w:cs="Arial"/>
        </w:rPr>
        <w:t>er year 4 has not been studied.”</w:t>
      </w:r>
    </w:p>
    <w:p w:rsidR="001D125F" w:rsidRPr="005430B8" w:rsidRDefault="001D125F" w:rsidP="005430B8">
      <w:pPr>
        <w:pStyle w:val="ListParagraph"/>
        <w:ind w:left="709"/>
        <w:jc w:val="both"/>
      </w:pPr>
      <w:r w:rsidRPr="005430B8">
        <w:rPr>
          <w:i/>
        </w:rPr>
        <w:t>For more detail on PBAC’s view, see section 7 PBAC outcome.</w:t>
      </w:r>
    </w:p>
    <w:p w:rsidR="00837C26" w:rsidRPr="00EA448D" w:rsidRDefault="00837C26" w:rsidP="00837C26">
      <w:pPr>
        <w:pStyle w:val="Heading2"/>
        <w:rPr>
          <w:i w:val="0"/>
        </w:rPr>
      </w:pPr>
      <w:bookmarkStart w:id="15" w:name="_Toc365847456"/>
      <w:r w:rsidRPr="00EA448D">
        <w:rPr>
          <w:i w:val="0"/>
        </w:rPr>
        <w:t>Previous PBAC consideration</w:t>
      </w:r>
      <w:bookmarkEnd w:id="15"/>
    </w:p>
    <w:p w:rsidR="00837C26" w:rsidRPr="00EA448D" w:rsidRDefault="00D13160" w:rsidP="00A627FC">
      <w:pPr>
        <w:pStyle w:val="ListParagraph"/>
        <w:numPr>
          <w:ilvl w:val="1"/>
          <w:numId w:val="1"/>
        </w:numPr>
        <w:spacing w:before="0" w:after="120"/>
        <w:jc w:val="both"/>
      </w:pPr>
      <w:r w:rsidRPr="00EA448D">
        <w:t>In its consideration of the previous submission in March 2011, t</w:t>
      </w:r>
      <w:r w:rsidR="00837C26" w:rsidRPr="00EA448D">
        <w:t xml:space="preserve">he PBAC </w:t>
      </w:r>
      <w:r w:rsidRPr="00EA448D">
        <w:t>noted</w:t>
      </w:r>
      <w:r w:rsidR="00837C26" w:rsidRPr="00EA448D">
        <w:t xml:space="preserve"> several matters of concern. </w:t>
      </w:r>
      <w:proofErr w:type="gramStart"/>
      <w:r w:rsidR="00837C26" w:rsidRPr="00EA448D">
        <w:t xml:space="preserve">However, most related to a comparison </w:t>
      </w:r>
      <w:r w:rsidRPr="00EA448D">
        <w:t xml:space="preserve">versus </w:t>
      </w:r>
      <w:proofErr w:type="spellStart"/>
      <w:r w:rsidRPr="00EA448D">
        <w:t>natalizumab</w:t>
      </w:r>
      <w:proofErr w:type="spellEnd"/>
      <w:r w:rsidRPr="00EA448D">
        <w:t xml:space="preserve"> a</w:t>
      </w:r>
      <w:r w:rsidR="00837C26" w:rsidRPr="00EA448D">
        <w:t>nd the cost-effectiveness model presented at the time</w:t>
      </w:r>
      <w:r w:rsidR="00CC5CE6">
        <w:t>.</w:t>
      </w:r>
      <w:proofErr w:type="gramEnd"/>
      <w:r w:rsidR="00837C26" w:rsidRPr="00EA448D">
        <w:t xml:space="preserve"> </w:t>
      </w:r>
      <w:r w:rsidR="001B1B61" w:rsidRPr="00EA448D">
        <w:t>Since</w:t>
      </w:r>
      <w:r w:rsidR="00EC663B" w:rsidRPr="00EA448D">
        <w:t xml:space="preserve"> the PBAC’s first consideration of </w:t>
      </w:r>
      <w:proofErr w:type="spellStart"/>
      <w:r w:rsidR="00EC663B" w:rsidRPr="00EA448D">
        <w:t>cladribine</w:t>
      </w:r>
      <w:proofErr w:type="spellEnd"/>
      <w:r w:rsidR="00EC663B" w:rsidRPr="00EA448D">
        <w:t xml:space="preserve"> </w:t>
      </w:r>
      <w:r w:rsidR="00837C26" w:rsidRPr="00EA448D">
        <w:t xml:space="preserve">in 2011, the RRMS landscape has evolved substantially. </w:t>
      </w:r>
      <w:r w:rsidRPr="00EA448D">
        <w:t>Table 2</w:t>
      </w:r>
      <w:r w:rsidR="00837C26" w:rsidRPr="00EA448D">
        <w:t xml:space="preserve"> summarises </w:t>
      </w:r>
      <w:r w:rsidR="00CC5CE6">
        <w:t>the</w:t>
      </w:r>
      <w:r w:rsidR="00837C26" w:rsidRPr="00EA448D">
        <w:t xml:space="preserve"> </w:t>
      </w:r>
      <w:r w:rsidRPr="00EA448D">
        <w:t xml:space="preserve">remaining relevant, </w:t>
      </w:r>
      <w:r w:rsidR="00837C26" w:rsidRPr="00EA448D">
        <w:t xml:space="preserve">key matters of concerns and how they </w:t>
      </w:r>
      <w:proofErr w:type="gramStart"/>
      <w:r w:rsidR="00837C26" w:rsidRPr="00EA448D">
        <w:t>were addressed</w:t>
      </w:r>
      <w:proofErr w:type="gramEnd"/>
      <w:r w:rsidR="00837C26" w:rsidRPr="00EA448D">
        <w:t xml:space="preserve"> by the resubmission.</w:t>
      </w:r>
    </w:p>
    <w:p w:rsidR="00837C26" w:rsidRPr="00EA448D" w:rsidRDefault="00837C26" w:rsidP="00D13160">
      <w:pPr>
        <w:pStyle w:val="TableHeading0"/>
      </w:pPr>
      <w:r w:rsidRPr="00EA448D">
        <w:lastRenderedPageBreak/>
        <w:t>Table 2: Summary of matters of concern from the</w:t>
      </w:r>
      <w:r w:rsidR="008E66B1">
        <w:t xml:space="preserve"> </w:t>
      </w:r>
      <w:proofErr w:type="spellStart"/>
      <w:r w:rsidR="008E66B1">
        <w:t>cladribine</w:t>
      </w:r>
      <w:proofErr w:type="spellEnd"/>
      <w:r w:rsidRPr="00EA448D">
        <w:t xml:space="preserve"> March 2011 </w:t>
      </w:r>
      <w:r w:rsidR="008E66B1">
        <w:t>Public Summary Document (PSD)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423"/>
        <w:gridCol w:w="4659"/>
      </w:tblGrid>
      <w:tr w:rsidR="00D13160" w:rsidRPr="00EA448D" w:rsidTr="00D13160">
        <w:tc>
          <w:tcPr>
            <w:tcW w:w="2435" w:type="pct"/>
            <w:shd w:val="clear" w:color="auto" w:fill="auto"/>
            <w:vAlign w:val="center"/>
          </w:tcPr>
          <w:p w:rsidR="00D13160" w:rsidRPr="00EA448D" w:rsidRDefault="00D13160" w:rsidP="00D13160">
            <w:pPr>
              <w:pStyle w:val="TableText"/>
              <w:jc w:val="center"/>
              <w:rPr>
                <w:b/>
              </w:rPr>
            </w:pPr>
            <w:r w:rsidRPr="00EA448D">
              <w:rPr>
                <w:b/>
              </w:rPr>
              <w:t>Matter of concern</w:t>
            </w:r>
          </w:p>
        </w:tc>
        <w:tc>
          <w:tcPr>
            <w:tcW w:w="2565" w:type="pct"/>
            <w:shd w:val="clear" w:color="auto" w:fill="auto"/>
            <w:vAlign w:val="center"/>
          </w:tcPr>
          <w:p w:rsidR="00D13160" w:rsidRPr="00EA448D" w:rsidRDefault="00D13160" w:rsidP="00D13160">
            <w:pPr>
              <w:pStyle w:val="TableText"/>
              <w:jc w:val="center"/>
              <w:rPr>
                <w:b/>
              </w:rPr>
            </w:pPr>
            <w:r w:rsidRPr="00EA448D">
              <w:rPr>
                <w:b/>
              </w:rPr>
              <w:t>How the resubmission addresses it</w:t>
            </w:r>
          </w:p>
        </w:tc>
      </w:tr>
      <w:tr w:rsidR="00D13160" w:rsidRPr="00EA448D" w:rsidTr="00D13160">
        <w:tc>
          <w:tcPr>
            <w:tcW w:w="2435" w:type="pct"/>
            <w:shd w:val="clear" w:color="auto" w:fill="auto"/>
          </w:tcPr>
          <w:p w:rsidR="00D13160" w:rsidRPr="00EA448D" w:rsidRDefault="00D13160" w:rsidP="00D13160">
            <w:pPr>
              <w:pStyle w:val="TableText"/>
            </w:pPr>
            <w:r w:rsidRPr="00EA448D">
              <w:t xml:space="preserve">Uncertainty of usefulness of </w:t>
            </w:r>
            <w:proofErr w:type="spellStart"/>
            <w:r w:rsidRPr="00EA448D">
              <w:t>cladribine</w:t>
            </w:r>
            <w:proofErr w:type="spellEnd"/>
            <w:r w:rsidRPr="00EA448D">
              <w:t xml:space="preserve"> given treatment is limited to two years due to safety concerns (p6)</w:t>
            </w:r>
            <w:r w:rsidR="00EC663B" w:rsidRPr="00EA448D">
              <w:t>.</w:t>
            </w:r>
          </w:p>
        </w:tc>
        <w:tc>
          <w:tcPr>
            <w:tcW w:w="2565" w:type="pct"/>
            <w:shd w:val="clear" w:color="auto" w:fill="auto"/>
          </w:tcPr>
          <w:p w:rsidR="00D13160" w:rsidRPr="00EA448D" w:rsidRDefault="00D13160" w:rsidP="001942F9">
            <w:pPr>
              <w:pStyle w:val="TableText"/>
            </w:pPr>
            <w:r w:rsidRPr="00EA448D">
              <w:t xml:space="preserve">The </w:t>
            </w:r>
            <w:r w:rsidR="001942F9" w:rsidRPr="00EA448D">
              <w:t>resubmission</w:t>
            </w:r>
            <w:r w:rsidR="00CC5CE6">
              <w:t xml:space="preserve"> </w:t>
            </w:r>
            <w:r w:rsidRPr="00EA448D">
              <w:t>pre</w:t>
            </w:r>
            <w:r w:rsidR="001942F9" w:rsidRPr="00EA448D">
              <w:t>sented several years of follow-</w:t>
            </w:r>
            <w:r w:rsidRPr="00EA448D">
              <w:t>up safety data and requested an amendment to the TGA P</w:t>
            </w:r>
            <w:r w:rsidR="001942F9" w:rsidRPr="00EA448D">
              <w:t>I</w:t>
            </w:r>
            <w:r w:rsidRPr="00EA448D">
              <w:t xml:space="preserve"> to remove the </w:t>
            </w:r>
            <w:proofErr w:type="gramStart"/>
            <w:r w:rsidRPr="00EA448D">
              <w:t>two year</w:t>
            </w:r>
            <w:proofErr w:type="gramEnd"/>
            <w:r w:rsidRPr="00EA448D">
              <w:t xml:space="preserve"> restriction for treatment</w:t>
            </w:r>
            <w:r w:rsidR="00EC663B" w:rsidRPr="00EA448D">
              <w:t>.</w:t>
            </w:r>
          </w:p>
        </w:tc>
      </w:tr>
      <w:tr w:rsidR="00D13160" w:rsidRPr="00EA448D" w:rsidTr="00D13160">
        <w:tc>
          <w:tcPr>
            <w:tcW w:w="2435" w:type="pct"/>
            <w:shd w:val="clear" w:color="auto" w:fill="auto"/>
          </w:tcPr>
          <w:p w:rsidR="00D13160" w:rsidRPr="00EA448D" w:rsidRDefault="00CC5CE6" w:rsidP="00AE7068">
            <w:pPr>
              <w:pStyle w:val="TableText"/>
            </w:pPr>
            <w:r>
              <w:t xml:space="preserve">The </w:t>
            </w:r>
            <w:r w:rsidR="00D13160" w:rsidRPr="00EA448D">
              <w:t xml:space="preserve">PBAC did not accept </w:t>
            </w:r>
            <w:proofErr w:type="spellStart"/>
            <w:r w:rsidR="00D13160" w:rsidRPr="00EA448D">
              <w:t>natalizumab</w:t>
            </w:r>
            <w:proofErr w:type="spellEnd"/>
            <w:r w:rsidR="00D13160" w:rsidRPr="00EA448D">
              <w:t xml:space="preserve"> as the main comparator</w:t>
            </w:r>
            <w:r w:rsidR="00EC663B" w:rsidRPr="00EA448D">
              <w:t>.</w:t>
            </w:r>
          </w:p>
        </w:tc>
        <w:tc>
          <w:tcPr>
            <w:tcW w:w="2565" w:type="pct"/>
            <w:shd w:val="clear" w:color="auto" w:fill="auto"/>
          </w:tcPr>
          <w:p w:rsidR="00D13160" w:rsidRPr="00EA448D" w:rsidRDefault="00EC663B" w:rsidP="00AE7068">
            <w:pPr>
              <w:pStyle w:val="TableText"/>
            </w:pPr>
            <w:r w:rsidRPr="00EA448D">
              <w:t xml:space="preserve">The resubmission </w:t>
            </w:r>
            <w:r w:rsidR="00D13160" w:rsidRPr="00EA448D">
              <w:t>nominated</w:t>
            </w:r>
            <w:r w:rsidRPr="00EA448D">
              <w:t xml:space="preserve"> </w:t>
            </w:r>
            <w:proofErr w:type="spellStart"/>
            <w:r w:rsidRPr="00EA448D">
              <w:t>fingolimod</w:t>
            </w:r>
            <w:proofErr w:type="spellEnd"/>
            <w:r w:rsidRPr="00EA448D">
              <w:t xml:space="preserve"> as the main comparator.</w:t>
            </w:r>
          </w:p>
        </w:tc>
      </w:tr>
      <w:tr w:rsidR="00CC5CE6" w:rsidRPr="00EA448D" w:rsidTr="00D13160">
        <w:tc>
          <w:tcPr>
            <w:tcW w:w="2435" w:type="pct"/>
            <w:shd w:val="clear" w:color="auto" w:fill="auto"/>
          </w:tcPr>
          <w:p w:rsidR="00CC5CE6" w:rsidRPr="00EA448D" w:rsidRDefault="00CC5CE6" w:rsidP="00AE7068">
            <w:pPr>
              <w:pStyle w:val="TableText"/>
            </w:pPr>
            <w:r>
              <w:t xml:space="preserve">The PBAC did not accept the claim that </w:t>
            </w:r>
            <w:proofErr w:type="spellStart"/>
            <w:r>
              <w:t>cladribine</w:t>
            </w:r>
            <w:proofErr w:type="spellEnd"/>
            <w:r>
              <w:t xml:space="preserve"> was of superior efficacy over interferon beta 1a and was non-inferior to </w:t>
            </w:r>
            <w:proofErr w:type="spellStart"/>
            <w:r>
              <w:t>natalizumab</w:t>
            </w:r>
            <w:proofErr w:type="spellEnd"/>
            <w:r>
              <w:t>.</w:t>
            </w:r>
          </w:p>
        </w:tc>
        <w:tc>
          <w:tcPr>
            <w:tcW w:w="2565" w:type="pct"/>
            <w:shd w:val="clear" w:color="auto" w:fill="auto"/>
          </w:tcPr>
          <w:p w:rsidR="00CC5CE6" w:rsidRPr="00EA448D" w:rsidRDefault="00CC5CE6" w:rsidP="00AE7068">
            <w:pPr>
              <w:pStyle w:val="TableText"/>
            </w:pPr>
            <w:proofErr w:type="gramStart"/>
            <w:r>
              <w:t>Not address</w:t>
            </w:r>
            <w:r w:rsidR="00F00E6F">
              <w:t>ed</w:t>
            </w:r>
            <w:r>
              <w:t xml:space="preserve"> by the resubmission.</w:t>
            </w:r>
            <w:proofErr w:type="gramEnd"/>
            <w:r>
              <w:t xml:space="preserve"> </w:t>
            </w:r>
          </w:p>
        </w:tc>
      </w:tr>
    </w:tbl>
    <w:p w:rsidR="00837C26" w:rsidRPr="00EA448D" w:rsidRDefault="00837C26" w:rsidP="00837C26">
      <w:pPr>
        <w:pStyle w:val="Heading1"/>
        <w:ind w:left="709" w:hanging="709"/>
      </w:pPr>
      <w:bookmarkStart w:id="16" w:name="_Toc365847457"/>
      <w:r w:rsidRPr="00EA448D">
        <w:t>Population and disease</w:t>
      </w:r>
      <w:bookmarkEnd w:id="16"/>
    </w:p>
    <w:p w:rsidR="00837C26" w:rsidRPr="00EA448D" w:rsidRDefault="00837C26" w:rsidP="00A627FC">
      <w:pPr>
        <w:pStyle w:val="ListParagraph"/>
        <w:numPr>
          <w:ilvl w:val="1"/>
          <w:numId w:val="1"/>
        </w:numPr>
        <w:jc w:val="both"/>
        <w:rPr>
          <w:rFonts w:ascii="Calibri" w:eastAsia="Calibri" w:hAnsi="Calibri" w:cs="Arial"/>
        </w:rPr>
      </w:pPr>
      <w:r w:rsidRPr="00EA448D">
        <w:rPr>
          <w:rFonts w:ascii="Calibri" w:eastAsia="Calibri" w:hAnsi="Calibri" w:cs="Arial"/>
        </w:rPr>
        <w:t xml:space="preserve">Multiple </w:t>
      </w:r>
      <w:r w:rsidR="006510CD" w:rsidRPr="00EA448D">
        <w:rPr>
          <w:rFonts w:ascii="Calibri" w:eastAsia="Calibri" w:hAnsi="Calibri" w:cs="Arial"/>
        </w:rPr>
        <w:t>s</w:t>
      </w:r>
      <w:r w:rsidRPr="00EA448D">
        <w:rPr>
          <w:rFonts w:ascii="Calibri" w:eastAsia="Calibri" w:hAnsi="Calibri" w:cs="Arial"/>
        </w:rPr>
        <w:t xml:space="preserve">clerosis </w:t>
      </w:r>
      <w:r w:rsidR="006510CD" w:rsidRPr="00EA448D">
        <w:rPr>
          <w:rFonts w:ascii="Calibri" w:eastAsia="Calibri" w:hAnsi="Calibri" w:cs="Arial"/>
        </w:rPr>
        <w:t xml:space="preserve">(MS) </w:t>
      </w:r>
      <w:r w:rsidRPr="00EA448D">
        <w:rPr>
          <w:rFonts w:ascii="Calibri" w:eastAsia="Calibri" w:hAnsi="Calibri" w:cs="Arial"/>
        </w:rPr>
        <w:t xml:space="preserve">is a central nervous system disease associated with the loss of the myelin sheath, a fatty material that insulates nerves. MS disrupts the ability to conduct electrical impulses to and from the brain. Once MS presents, the condition is permanent and degenerative. Relapsing remitting MS (RRMS) is characterised by unpredictable relapses during which new symptoms appear or existing symptoms become more severe, followed by periods of relative clinical stability. Approximately 85% of MS patients </w:t>
      </w:r>
      <w:proofErr w:type="gramStart"/>
      <w:r w:rsidRPr="00EA448D">
        <w:rPr>
          <w:rFonts w:ascii="Calibri" w:eastAsia="Calibri" w:hAnsi="Calibri" w:cs="Arial"/>
        </w:rPr>
        <w:t>are initially diagnosed</w:t>
      </w:r>
      <w:proofErr w:type="gramEnd"/>
      <w:r w:rsidRPr="00EA448D">
        <w:rPr>
          <w:rFonts w:ascii="Calibri" w:eastAsia="Calibri" w:hAnsi="Calibri" w:cs="Arial"/>
        </w:rPr>
        <w:t xml:space="preserve"> with RRMS. Over time, there is less recovery from relapses and</w:t>
      </w:r>
      <w:r w:rsidR="006510CD" w:rsidRPr="00EA448D">
        <w:rPr>
          <w:rFonts w:ascii="Calibri" w:eastAsia="Calibri" w:hAnsi="Calibri" w:cs="Arial"/>
        </w:rPr>
        <w:t xml:space="preserve"> patients</w:t>
      </w:r>
      <w:r w:rsidRPr="00EA448D">
        <w:rPr>
          <w:rFonts w:ascii="Calibri" w:eastAsia="Calibri" w:hAnsi="Calibri" w:cs="Arial"/>
        </w:rPr>
        <w:t xml:space="preserve"> accumulat</w:t>
      </w:r>
      <w:r w:rsidR="006510CD" w:rsidRPr="00EA448D">
        <w:rPr>
          <w:rFonts w:ascii="Calibri" w:eastAsia="Calibri" w:hAnsi="Calibri" w:cs="Arial"/>
        </w:rPr>
        <w:t>e</w:t>
      </w:r>
      <w:r w:rsidRPr="00EA448D">
        <w:rPr>
          <w:rFonts w:ascii="Calibri" w:eastAsia="Calibri" w:hAnsi="Calibri" w:cs="Arial"/>
        </w:rPr>
        <w:t xml:space="preserve"> underlying disability</w:t>
      </w:r>
      <w:r w:rsidR="006510CD" w:rsidRPr="00EA448D">
        <w:rPr>
          <w:rFonts w:ascii="Calibri" w:eastAsia="Calibri" w:hAnsi="Calibri" w:cs="Arial"/>
        </w:rPr>
        <w:t>.</w:t>
      </w:r>
      <w:r w:rsidR="00745323" w:rsidRPr="00EA448D">
        <w:rPr>
          <w:rFonts w:ascii="Calibri" w:eastAsia="Calibri" w:hAnsi="Calibri" w:cs="Arial"/>
        </w:rPr>
        <w:t xml:space="preserve"> </w:t>
      </w:r>
      <w:r w:rsidR="006510CD" w:rsidRPr="00EA448D">
        <w:rPr>
          <w:rFonts w:ascii="Calibri" w:eastAsia="Calibri" w:hAnsi="Calibri" w:cs="Arial"/>
        </w:rPr>
        <w:t>M</w:t>
      </w:r>
      <w:r w:rsidRPr="00EA448D">
        <w:rPr>
          <w:rFonts w:ascii="Calibri" w:eastAsia="Calibri" w:hAnsi="Calibri" w:cs="Arial"/>
        </w:rPr>
        <w:t xml:space="preserve">ost </w:t>
      </w:r>
      <w:r w:rsidR="000F0AF3" w:rsidRPr="00EA448D">
        <w:rPr>
          <w:rFonts w:ascii="Calibri" w:eastAsia="Calibri" w:hAnsi="Calibri" w:cs="Arial"/>
        </w:rPr>
        <w:t xml:space="preserve">RRMS </w:t>
      </w:r>
      <w:r w:rsidRPr="00EA448D">
        <w:rPr>
          <w:rFonts w:ascii="Calibri" w:eastAsia="Calibri" w:hAnsi="Calibri" w:cs="Arial"/>
        </w:rPr>
        <w:t xml:space="preserve">patients progress to secondary progressive MS (SPMS), characterised by ongoing deterioration in function with interspersed relapses. </w:t>
      </w:r>
    </w:p>
    <w:p w:rsidR="00837C26" w:rsidRDefault="00E01931" w:rsidP="00A627FC">
      <w:pPr>
        <w:pStyle w:val="ListParagraph"/>
        <w:numPr>
          <w:ilvl w:val="1"/>
          <w:numId w:val="1"/>
        </w:numPr>
        <w:spacing w:before="0" w:after="120"/>
        <w:jc w:val="both"/>
      </w:pPr>
      <w:r>
        <w:t xml:space="preserve">In Australia, </w:t>
      </w:r>
      <w:proofErr w:type="spellStart"/>
      <w:r>
        <w:t>c</w:t>
      </w:r>
      <w:r w:rsidR="00837C26" w:rsidRPr="00EA448D">
        <w:t>ladribine</w:t>
      </w:r>
      <w:proofErr w:type="spellEnd"/>
      <w:r w:rsidR="00837C26" w:rsidRPr="00EA448D">
        <w:t xml:space="preserve"> </w:t>
      </w:r>
      <w:r>
        <w:t>(</w:t>
      </w:r>
      <w:r w:rsidR="00837C26" w:rsidRPr="00EA448D">
        <w:t>tablet</w:t>
      </w:r>
      <w:r>
        <w:t>)</w:t>
      </w:r>
      <w:r w:rsidR="00837C26" w:rsidRPr="00EA448D">
        <w:t xml:space="preserve"> </w:t>
      </w:r>
      <w:proofErr w:type="gramStart"/>
      <w:r w:rsidR="00BB6814">
        <w:t>is indicated</w:t>
      </w:r>
      <w:proofErr w:type="gramEnd"/>
      <w:r w:rsidR="00BB6814">
        <w:t xml:space="preserve"> for RRMS</w:t>
      </w:r>
      <w:r w:rsidR="00837C26" w:rsidRPr="00EA448D">
        <w:t xml:space="preserve"> regardless of line of treatment.</w:t>
      </w:r>
    </w:p>
    <w:p w:rsidR="00837C26" w:rsidRPr="00EA448D" w:rsidRDefault="00837C26" w:rsidP="00837C26">
      <w:pPr>
        <w:pStyle w:val="Heading1"/>
        <w:ind w:left="709" w:hanging="709"/>
      </w:pPr>
      <w:bookmarkStart w:id="17" w:name="_Toc413139275"/>
      <w:bookmarkStart w:id="18" w:name="_Toc365847458"/>
      <w:r w:rsidRPr="00EA448D">
        <w:t>Comparator</w:t>
      </w:r>
      <w:bookmarkEnd w:id="17"/>
      <w:bookmarkEnd w:id="18"/>
    </w:p>
    <w:p w:rsidR="003D2D89" w:rsidRPr="00EA448D" w:rsidRDefault="00837C26" w:rsidP="00A627FC">
      <w:pPr>
        <w:pStyle w:val="ListParagraph"/>
        <w:numPr>
          <w:ilvl w:val="1"/>
          <w:numId w:val="1"/>
        </w:numPr>
        <w:jc w:val="both"/>
        <w:rPr>
          <w:lang w:val="en-GB"/>
        </w:rPr>
      </w:pPr>
      <w:r w:rsidRPr="00EA448D">
        <w:t xml:space="preserve">The resubmission nominated </w:t>
      </w:r>
      <w:proofErr w:type="spellStart"/>
      <w:r w:rsidRPr="00EA448D">
        <w:t>fingolimod</w:t>
      </w:r>
      <w:proofErr w:type="spellEnd"/>
      <w:r w:rsidRPr="00EA448D">
        <w:t xml:space="preserve"> as the main </w:t>
      </w:r>
      <w:r w:rsidRPr="00F253E4">
        <w:t xml:space="preserve">comparator. </w:t>
      </w:r>
      <w:r w:rsidR="00FC3DA9" w:rsidRPr="00F253E4">
        <w:t xml:space="preserve">The PBAC accepted </w:t>
      </w:r>
      <w:proofErr w:type="spellStart"/>
      <w:r w:rsidR="00FC3DA9" w:rsidRPr="00F253E4">
        <w:t>fingolimod</w:t>
      </w:r>
      <w:proofErr w:type="spellEnd"/>
      <w:r w:rsidR="00FC3DA9" w:rsidRPr="00F253E4">
        <w:t xml:space="preserve"> as the appropriate main </w:t>
      </w:r>
      <w:proofErr w:type="gramStart"/>
      <w:r w:rsidR="00FC3DA9" w:rsidRPr="00F253E4">
        <w:t>comparator,</w:t>
      </w:r>
      <w:proofErr w:type="gramEnd"/>
      <w:r w:rsidR="00FC3DA9" w:rsidRPr="00F253E4">
        <w:t xml:space="preserve"> however, considered that </w:t>
      </w:r>
      <w:proofErr w:type="spellStart"/>
      <w:r w:rsidR="00FC3DA9" w:rsidRPr="00F253E4">
        <w:t>cladribine</w:t>
      </w:r>
      <w:proofErr w:type="spellEnd"/>
      <w:r w:rsidR="00FC3DA9" w:rsidRPr="00F253E4">
        <w:t xml:space="preserve"> was likely to replace or displace all PBS listed RRMS treatments.</w:t>
      </w:r>
    </w:p>
    <w:p w:rsidR="00161BEE" w:rsidRPr="00EA448D" w:rsidRDefault="00161BEE" w:rsidP="00A627FC">
      <w:pPr>
        <w:pStyle w:val="ListParagraph"/>
        <w:numPr>
          <w:ilvl w:val="1"/>
          <w:numId w:val="1"/>
        </w:numPr>
        <w:jc w:val="both"/>
        <w:rPr>
          <w:lang w:val="en-GB"/>
        </w:rPr>
      </w:pPr>
      <w:r w:rsidRPr="00EA448D">
        <w:rPr>
          <w:rFonts w:ascii="Calibri" w:eastAsia="Calibri" w:hAnsi="Calibri" w:cs="Arial"/>
        </w:rPr>
        <w:t xml:space="preserve">The resubmission included informal comparisons of key trial evidence </w:t>
      </w:r>
      <w:r w:rsidR="0038212E" w:rsidRPr="00EA448D">
        <w:rPr>
          <w:rFonts w:ascii="Calibri" w:eastAsia="Calibri" w:hAnsi="Calibri" w:cs="Arial"/>
        </w:rPr>
        <w:t>versus</w:t>
      </w:r>
      <w:r w:rsidRPr="00EA448D">
        <w:rPr>
          <w:rFonts w:ascii="Calibri" w:eastAsia="Calibri" w:hAnsi="Calibri" w:cs="Arial"/>
        </w:rPr>
        <w:t xml:space="preserve"> dimethyl fumarate, </w:t>
      </w:r>
      <w:proofErr w:type="spellStart"/>
      <w:r w:rsidRPr="00EA448D">
        <w:rPr>
          <w:rFonts w:ascii="Calibri" w:eastAsia="Calibri" w:hAnsi="Calibri" w:cs="Arial"/>
        </w:rPr>
        <w:t>daclizumab</w:t>
      </w:r>
      <w:proofErr w:type="spellEnd"/>
      <w:r w:rsidRPr="00EA448D">
        <w:rPr>
          <w:rFonts w:ascii="Calibri" w:eastAsia="Calibri" w:hAnsi="Calibri" w:cs="Arial"/>
        </w:rPr>
        <w:t xml:space="preserve">, </w:t>
      </w:r>
      <w:proofErr w:type="spellStart"/>
      <w:r w:rsidRPr="00EA448D">
        <w:rPr>
          <w:rFonts w:ascii="Calibri" w:eastAsia="Calibri" w:hAnsi="Calibri" w:cs="Arial"/>
        </w:rPr>
        <w:t>alemtuzumab</w:t>
      </w:r>
      <w:proofErr w:type="spellEnd"/>
      <w:r w:rsidRPr="00EA448D">
        <w:rPr>
          <w:rFonts w:ascii="Calibri" w:eastAsia="Calibri" w:hAnsi="Calibri" w:cs="Arial"/>
        </w:rPr>
        <w:t xml:space="preserve"> and </w:t>
      </w:r>
      <w:proofErr w:type="spellStart"/>
      <w:r w:rsidRPr="00EA448D">
        <w:rPr>
          <w:rFonts w:ascii="Calibri" w:eastAsia="Calibri" w:hAnsi="Calibri" w:cs="Arial"/>
        </w:rPr>
        <w:t>ocrelizumab</w:t>
      </w:r>
      <w:proofErr w:type="spellEnd"/>
      <w:r w:rsidRPr="00EA448D">
        <w:rPr>
          <w:rFonts w:ascii="Calibri" w:eastAsia="Calibri" w:hAnsi="Calibri" w:cs="Arial"/>
        </w:rPr>
        <w:t xml:space="preserve">. No conclusions regarding comparative efficacy or safety </w:t>
      </w:r>
      <w:proofErr w:type="gramStart"/>
      <w:r w:rsidRPr="00EA448D">
        <w:rPr>
          <w:rFonts w:ascii="Calibri" w:eastAsia="Calibri" w:hAnsi="Calibri" w:cs="Arial"/>
        </w:rPr>
        <w:t>could be made</w:t>
      </w:r>
      <w:proofErr w:type="gramEnd"/>
      <w:r w:rsidRPr="00EA448D">
        <w:rPr>
          <w:rFonts w:ascii="Calibri" w:eastAsia="Calibri" w:hAnsi="Calibri" w:cs="Arial"/>
        </w:rPr>
        <w:t xml:space="preserve"> from these comparisons. </w:t>
      </w:r>
    </w:p>
    <w:p w:rsidR="003C321F" w:rsidRPr="00FC3DA9" w:rsidRDefault="003D2D89" w:rsidP="00A627FC">
      <w:pPr>
        <w:pStyle w:val="ListParagraph"/>
        <w:numPr>
          <w:ilvl w:val="1"/>
          <w:numId w:val="1"/>
        </w:numPr>
        <w:jc w:val="both"/>
        <w:rPr>
          <w:lang w:val="en-GB"/>
        </w:rPr>
      </w:pPr>
      <w:r w:rsidRPr="00EA448D">
        <w:t xml:space="preserve">Interferon beta-1b has the lowest cost (as the result of a statutory price reduction), whilst the remaining ABCR/BRACE therapies, dimethyl fumarate and </w:t>
      </w:r>
      <w:proofErr w:type="spellStart"/>
      <w:r w:rsidRPr="00EA448D">
        <w:t>teriflunomide</w:t>
      </w:r>
      <w:proofErr w:type="spellEnd"/>
      <w:r w:rsidRPr="00EA448D">
        <w:t xml:space="preserve"> were all listed on a cost-minimisation basis with interferon beta.</w:t>
      </w:r>
      <w:r w:rsidR="00740386" w:rsidRPr="00EA448D">
        <w:t xml:space="preserve"> </w:t>
      </w:r>
      <w:proofErr w:type="spellStart"/>
      <w:r w:rsidR="00740386" w:rsidRPr="00EA448D">
        <w:t>Fingolimod</w:t>
      </w:r>
      <w:proofErr w:type="spellEnd"/>
      <w:r w:rsidR="00740386" w:rsidRPr="00EA448D">
        <w:t xml:space="preserve"> </w:t>
      </w:r>
      <w:r w:rsidR="00976E05" w:rsidRPr="00EA448D">
        <w:t xml:space="preserve">and </w:t>
      </w:r>
      <w:proofErr w:type="spellStart"/>
      <w:r w:rsidR="00976E05" w:rsidRPr="00EA448D">
        <w:t>natalizumab</w:t>
      </w:r>
      <w:proofErr w:type="spellEnd"/>
      <w:r w:rsidR="00976E05" w:rsidRPr="00EA448D">
        <w:t xml:space="preserve"> </w:t>
      </w:r>
      <w:proofErr w:type="gramStart"/>
      <w:r w:rsidR="00976E05" w:rsidRPr="00EA448D">
        <w:t>were</w:t>
      </w:r>
      <w:r w:rsidR="00740386" w:rsidRPr="00EA448D">
        <w:t xml:space="preserve"> listed</w:t>
      </w:r>
      <w:proofErr w:type="gramEnd"/>
      <w:r w:rsidR="00740386" w:rsidRPr="00EA448D">
        <w:t xml:space="preserve"> on a cost-effectiveness basis against interferon</w:t>
      </w:r>
      <w:r w:rsidR="00976E05" w:rsidRPr="00EA448D">
        <w:t xml:space="preserve"> beta. </w:t>
      </w:r>
      <w:proofErr w:type="spellStart"/>
      <w:r w:rsidR="00976E05" w:rsidRPr="00EA448D">
        <w:t>Alemtuzumab</w:t>
      </w:r>
      <w:proofErr w:type="spellEnd"/>
      <w:r w:rsidR="00976E05" w:rsidRPr="00EA448D">
        <w:t xml:space="preserve"> </w:t>
      </w:r>
      <w:proofErr w:type="gramStart"/>
      <w:r w:rsidR="00976E05" w:rsidRPr="00EA448D">
        <w:t>was listed</w:t>
      </w:r>
      <w:proofErr w:type="gramEnd"/>
      <w:r w:rsidR="00976E05" w:rsidRPr="00EA448D">
        <w:t xml:space="preserve"> on a cost-minimisation basis with </w:t>
      </w:r>
      <w:proofErr w:type="spellStart"/>
      <w:r w:rsidR="00976E05" w:rsidRPr="00EA448D">
        <w:t>fingolimod</w:t>
      </w:r>
      <w:proofErr w:type="spellEnd"/>
      <w:r w:rsidR="00976E05" w:rsidRPr="00EA448D">
        <w:t xml:space="preserve"> and </w:t>
      </w:r>
      <w:proofErr w:type="spellStart"/>
      <w:r w:rsidR="00976E05" w:rsidRPr="00EA448D">
        <w:t>natalizumab</w:t>
      </w:r>
      <w:proofErr w:type="spellEnd"/>
      <w:r w:rsidR="00976E05" w:rsidRPr="00EA448D">
        <w:t xml:space="preserve">. </w:t>
      </w:r>
      <w:proofErr w:type="spellStart"/>
      <w:r w:rsidR="00976E05" w:rsidRPr="00EA448D">
        <w:t>Fingolimod</w:t>
      </w:r>
      <w:proofErr w:type="spellEnd"/>
      <w:r w:rsidR="00976E05" w:rsidRPr="00EA448D">
        <w:t xml:space="preserve"> and </w:t>
      </w:r>
      <w:proofErr w:type="spellStart"/>
      <w:r w:rsidR="00976E05" w:rsidRPr="00EA448D">
        <w:t>alemtuzumab</w:t>
      </w:r>
      <w:proofErr w:type="spellEnd"/>
      <w:r w:rsidR="00976E05" w:rsidRPr="00EA448D">
        <w:t xml:space="preserve"> have Special Pricing Arrangements. </w:t>
      </w:r>
      <w:proofErr w:type="spellStart"/>
      <w:r w:rsidR="00FC3DA9" w:rsidRPr="00EA448D">
        <w:t>Ocrelizumab</w:t>
      </w:r>
      <w:proofErr w:type="spellEnd"/>
      <w:r w:rsidR="00FC3DA9" w:rsidRPr="00EA448D">
        <w:t xml:space="preserve"> received a positive recommendation for the treatment of RRMS at the July 2017 PBAC meeting on a cost-minimisation basis with </w:t>
      </w:r>
      <w:proofErr w:type="spellStart"/>
      <w:r w:rsidR="00FC3DA9" w:rsidRPr="00EA448D">
        <w:t>fingolimod</w:t>
      </w:r>
      <w:proofErr w:type="spellEnd"/>
      <w:r w:rsidR="00FC3DA9" w:rsidRPr="00EA448D">
        <w:t>.</w:t>
      </w:r>
    </w:p>
    <w:p w:rsidR="00427A0D" w:rsidRPr="00EA448D" w:rsidRDefault="00427A0D" w:rsidP="00A627FC">
      <w:pPr>
        <w:pStyle w:val="ListParagraph"/>
        <w:numPr>
          <w:ilvl w:val="1"/>
          <w:numId w:val="1"/>
        </w:numPr>
        <w:jc w:val="both"/>
        <w:rPr>
          <w:lang w:val="en-GB"/>
        </w:rPr>
      </w:pPr>
      <w:proofErr w:type="spellStart"/>
      <w:proofErr w:type="gramStart"/>
      <w:r w:rsidRPr="00EA448D">
        <w:rPr>
          <w:lang w:val="en-GB"/>
        </w:rPr>
        <w:t>Daclizumab</w:t>
      </w:r>
      <w:proofErr w:type="spellEnd"/>
      <w:r w:rsidRPr="00EA448D">
        <w:rPr>
          <w:lang w:val="en-GB"/>
        </w:rPr>
        <w:t xml:space="preserve"> was recommended for listing in November 2016 on the basis that the presented direct comparison of IM interferon β-1a and indirect comparisons of </w:t>
      </w:r>
      <w:proofErr w:type="spellStart"/>
      <w:r w:rsidRPr="00EA448D">
        <w:rPr>
          <w:lang w:val="en-GB"/>
        </w:rPr>
        <w:t>daclizumab</w:t>
      </w:r>
      <w:proofErr w:type="spellEnd"/>
      <w:r w:rsidRPr="00EA448D">
        <w:rPr>
          <w:lang w:val="en-GB"/>
        </w:rPr>
        <w:t xml:space="preserve"> and </w:t>
      </w:r>
      <w:proofErr w:type="spellStart"/>
      <w:r w:rsidRPr="00EA448D">
        <w:rPr>
          <w:lang w:val="en-GB"/>
        </w:rPr>
        <w:t>fingolimod</w:t>
      </w:r>
      <w:proofErr w:type="spellEnd"/>
      <w:r w:rsidRPr="00EA448D">
        <w:rPr>
          <w:lang w:val="en-GB"/>
        </w:rPr>
        <w:t xml:space="preserve"> supported a conclusion that </w:t>
      </w:r>
      <w:proofErr w:type="spellStart"/>
      <w:r w:rsidRPr="00EA448D">
        <w:rPr>
          <w:lang w:val="en-GB"/>
        </w:rPr>
        <w:t>daclizumab</w:t>
      </w:r>
      <w:proofErr w:type="spellEnd"/>
      <w:r w:rsidRPr="00EA448D">
        <w:rPr>
          <w:lang w:val="en-GB"/>
        </w:rPr>
        <w:t xml:space="preserve"> is likely to be superior to interferon beta-1a and may be non-inferior to </w:t>
      </w:r>
      <w:proofErr w:type="spellStart"/>
      <w:r w:rsidRPr="00EA448D">
        <w:rPr>
          <w:lang w:val="en-GB"/>
        </w:rPr>
        <w:t>fingolimod</w:t>
      </w:r>
      <w:proofErr w:type="spellEnd"/>
      <w:r w:rsidRPr="00EA448D">
        <w:rPr>
          <w:lang w:val="en-GB"/>
        </w:rPr>
        <w:t xml:space="preserve"> with regard to comparative efficacy, but may be inferior to interferon beta-1a with regard to comparative safety.</w:t>
      </w:r>
      <w:proofErr w:type="gramEnd"/>
      <w:r w:rsidRPr="00EA448D">
        <w:rPr>
          <w:lang w:val="en-GB"/>
        </w:rPr>
        <w:t xml:space="preserve"> The PBAC recommended that although the superior comparative </w:t>
      </w:r>
      <w:r w:rsidRPr="00EA448D">
        <w:rPr>
          <w:lang w:val="en-GB"/>
        </w:rPr>
        <w:lastRenderedPageBreak/>
        <w:t xml:space="preserve">efficacy over IFN β-1a justified the cost of </w:t>
      </w:r>
      <w:proofErr w:type="spellStart"/>
      <w:r w:rsidRPr="00EA448D">
        <w:rPr>
          <w:lang w:val="en-GB"/>
        </w:rPr>
        <w:t>daclizumab</w:t>
      </w:r>
      <w:proofErr w:type="spellEnd"/>
      <w:r w:rsidRPr="00EA448D">
        <w:rPr>
          <w:lang w:val="en-GB"/>
        </w:rPr>
        <w:t xml:space="preserve"> per patient per course being higher than IFN β-1a, there were insufficient grounds for the cost per patient per course to be as high as </w:t>
      </w:r>
      <w:proofErr w:type="spellStart"/>
      <w:r w:rsidRPr="00EA448D">
        <w:rPr>
          <w:lang w:val="en-GB"/>
        </w:rPr>
        <w:t>fingolimod</w:t>
      </w:r>
      <w:proofErr w:type="spellEnd"/>
      <w:r w:rsidRPr="00EA448D">
        <w:rPr>
          <w:lang w:val="en-GB"/>
        </w:rPr>
        <w:t xml:space="preserve"> because of the substantial uncertainty about the indirect comparisons with </w:t>
      </w:r>
      <w:proofErr w:type="spellStart"/>
      <w:r w:rsidRPr="00EA448D">
        <w:rPr>
          <w:lang w:val="en-GB"/>
        </w:rPr>
        <w:t>fingolimod</w:t>
      </w:r>
      <w:proofErr w:type="spellEnd"/>
      <w:r w:rsidRPr="00EA448D">
        <w:rPr>
          <w:lang w:val="en-GB"/>
        </w:rPr>
        <w:t>.</w:t>
      </w:r>
      <w:r w:rsidR="00111F6E" w:rsidRPr="00EA448D">
        <w:rPr>
          <w:lang w:val="en-GB"/>
        </w:rPr>
        <w:t xml:space="preserve"> </w:t>
      </w:r>
      <w:proofErr w:type="spellStart"/>
      <w:r w:rsidR="00111F6E" w:rsidRPr="00EA448D">
        <w:rPr>
          <w:lang w:val="en-GB"/>
        </w:rPr>
        <w:t>Daclizumab</w:t>
      </w:r>
      <w:proofErr w:type="spellEnd"/>
      <w:r w:rsidR="00111F6E" w:rsidRPr="00EA448D">
        <w:rPr>
          <w:lang w:val="en-GB"/>
        </w:rPr>
        <w:t xml:space="preserve"> has a Special Pricing Arrangement.</w:t>
      </w:r>
    </w:p>
    <w:p w:rsidR="00427A0D" w:rsidRPr="00EA448D" w:rsidRDefault="00427A0D" w:rsidP="00A627FC">
      <w:pPr>
        <w:pStyle w:val="ListParagraph"/>
        <w:numPr>
          <w:ilvl w:val="1"/>
          <w:numId w:val="1"/>
        </w:numPr>
        <w:rPr>
          <w:lang w:val="en-GB"/>
        </w:rPr>
      </w:pPr>
      <w:r w:rsidRPr="00EA448D">
        <w:rPr>
          <w:lang w:val="en-GB"/>
        </w:rPr>
        <w:t xml:space="preserve">If treatment with </w:t>
      </w:r>
      <w:proofErr w:type="spellStart"/>
      <w:r w:rsidRPr="00EA448D">
        <w:rPr>
          <w:lang w:val="en-GB"/>
        </w:rPr>
        <w:t>cladribine</w:t>
      </w:r>
      <w:proofErr w:type="spellEnd"/>
      <w:r w:rsidRPr="00EA448D">
        <w:rPr>
          <w:lang w:val="en-GB"/>
        </w:rPr>
        <w:t xml:space="preserve"> is substantially more costly than an alternative therapy or alternative therapies, the PBAC could only recommend listing of </w:t>
      </w:r>
      <w:proofErr w:type="spellStart"/>
      <w:r w:rsidRPr="00EA448D">
        <w:rPr>
          <w:lang w:val="en-GB"/>
        </w:rPr>
        <w:t>cladribine</w:t>
      </w:r>
      <w:proofErr w:type="spellEnd"/>
      <w:r w:rsidRPr="00EA448D">
        <w:rPr>
          <w:lang w:val="en-GB"/>
        </w:rPr>
        <w:t xml:space="preserve"> if it is satisfied that </w:t>
      </w:r>
      <w:proofErr w:type="spellStart"/>
      <w:r w:rsidRPr="00EA448D">
        <w:rPr>
          <w:lang w:val="en-GB"/>
        </w:rPr>
        <w:t>cladribine</w:t>
      </w:r>
      <w:proofErr w:type="spellEnd"/>
      <w:r w:rsidRPr="00EA448D">
        <w:rPr>
          <w:lang w:val="en-GB"/>
        </w:rPr>
        <w:t xml:space="preserve"> provides, for some patients, a significant improvement in efficacy or reduction of toxicity over the alternative therapy or therapies </w:t>
      </w:r>
      <w:r w:rsidRPr="00D0500D">
        <w:rPr>
          <w:i/>
          <w:lang w:val="en-GB"/>
        </w:rPr>
        <w:t>(National Health Act 1953,</w:t>
      </w:r>
      <w:r w:rsidRPr="00EA448D">
        <w:rPr>
          <w:lang w:val="en-GB"/>
        </w:rPr>
        <w:t xml:space="preserve"> Section 101(3B)). The alternative therapies in this case may include interfer</w:t>
      </w:r>
      <w:r w:rsidR="00AE5740">
        <w:rPr>
          <w:lang w:val="en-GB"/>
        </w:rPr>
        <w:t xml:space="preserve">on beta, dimethyl fumarate, </w:t>
      </w:r>
      <w:proofErr w:type="spellStart"/>
      <w:r w:rsidR="00AE5740">
        <w:rPr>
          <w:lang w:val="en-GB"/>
        </w:rPr>
        <w:t>terifluno</w:t>
      </w:r>
      <w:r w:rsidRPr="00EA448D">
        <w:rPr>
          <w:lang w:val="en-GB"/>
        </w:rPr>
        <w:t>mide</w:t>
      </w:r>
      <w:proofErr w:type="spellEnd"/>
      <w:r w:rsidRPr="00EA448D">
        <w:rPr>
          <w:lang w:val="en-GB"/>
        </w:rPr>
        <w:t xml:space="preserve"> and </w:t>
      </w:r>
      <w:proofErr w:type="spellStart"/>
      <w:r w:rsidRPr="00EA448D">
        <w:rPr>
          <w:lang w:val="en-GB"/>
        </w:rPr>
        <w:t>daclizumab</w:t>
      </w:r>
      <w:proofErr w:type="spellEnd"/>
      <w:r w:rsidRPr="00EA448D">
        <w:rPr>
          <w:lang w:val="en-GB"/>
        </w:rPr>
        <w:t>.</w:t>
      </w:r>
    </w:p>
    <w:p w:rsidR="003D2D89" w:rsidRPr="00FC3DA9" w:rsidRDefault="003D2D89" w:rsidP="00A627FC">
      <w:pPr>
        <w:pStyle w:val="ListParagraph"/>
        <w:numPr>
          <w:ilvl w:val="1"/>
          <w:numId w:val="1"/>
        </w:numPr>
        <w:jc w:val="both"/>
        <w:rPr>
          <w:lang w:val="en-GB"/>
        </w:rPr>
      </w:pPr>
      <w:proofErr w:type="gramStart"/>
      <w:r w:rsidRPr="00EA448D">
        <w:rPr>
          <w:rFonts w:ascii="Calibri" w:eastAsia="Calibri" w:hAnsi="Calibri" w:cs="Arial"/>
        </w:rPr>
        <w:t xml:space="preserve">At the March 2011 PBAC meeting, in its consideration of the indirect comparison of </w:t>
      </w:r>
      <w:proofErr w:type="spellStart"/>
      <w:r w:rsidRPr="00EA448D">
        <w:rPr>
          <w:rFonts w:ascii="Calibri" w:eastAsia="Calibri" w:hAnsi="Calibri" w:cs="Arial"/>
        </w:rPr>
        <w:t>cladribine</w:t>
      </w:r>
      <w:proofErr w:type="spellEnd"/>
      <w:r w:rsidRPr="00EA448D">
        <w:rPr>
          <w:rFonts w:ascii="Calibri" w:eastAsia="Calibri" w:hAnsi="Calibri" w:cs="Arial"/>
        </w:rPr>
        <w:t xml:space="preserve"> versus interferon beta</w:t>
      </w:r>
      <w:r w:rsidR="00427A0D" w:rsidRPr="00EA448D">
        <w:rPr>
          <w:rFonts w:ascii="Calibri" w:eastAsia="Calibri" w:hAnsi="Calibri" w:cs="Arial"/>
        </w:rPr>
        <w:t>, the lowest cost comparator,</w:t>
      </w:r>
      <w:r w:rsidR="0038212E" w:rsidRPr="00EA448D">
        <w:rPr>
          <w:rFonts w:ascii="Calibri" w:eastAsia="Calibri" w:hAnsi="Calibri" w:cs="Arial"/>
        </w:rPr>
        <w:t xml:space="preserve"> presented in the previous submission</w:t>
      </w:r>
      <w:r w:rsidRPr="00EA448D">
        <w:rPr>
          <w:rFonts w:ascii="Calibri" w:eastAsia="Calibri" w:hAnsi="Calibri" w:cs="Arial"/>
        </w:rPr>
        <w:t xml:space="preserve">, the PBAC noted that </w:t>
      </w:r>
      <w:proofErr w:type="spellStart"/>
      <w:r w:rsidRPr="00EA448D">
        <w:rPr>
          <w:rFonts w:ascii="Calibri" w:eastAsia="Calibri" w:hAnsi="Calibri" w:cs="Arial"/>
        </w:rPr>
        <w:t>cladribine</w:t>
      </w:r>
      <w:proofErr w:type="spellEnd"/>
      <w:r w:rsidRPr="00EA448D">
        <w:rPr>
          <w:rFonts w:ascii="Calibri" w:eastAsia="Calibri" w:hAnsi="Calibri" w:cs="Arial"/>
        </w:rPr>
        <w:t xml:space="preserve"> may be more effective than interferon beta</w:t>
      </w:r>
      <w:r w:rsidRPr="00EA448D" w:rsidDel="00DE3E9A">
        <w:rPr>
          <w:rFonts w:ascii="Calibri" w:eastAsia="Calibri" w:hAnsi="Calibri" w:cs="Arial"/>
        </w:rPr>
        <w:t xml:space="preserve"> </w:t>
      </w:r>
      <w:r w:rsidRPr="00EA448D">
        <w:rPr>
          <w:rFonts w:ascii="Calibri" w:eastAsia="Calibri" w:hAnsi="Calibri" w:cs="Arial"/>
        </w:rPr>
        <w:t>in terms of reducing the annualised relapse rate</w:t>
      </w:r>
      <w:r w:rsidR="003C321F" w:rsidRPr="00EA448D">
        <w:rPr>
          <w:rFonts w:ascii="Calibri" w:eastAsia="Calibri" w:hAnsi="Calibri" w:cs="Arial"/>
        </w:rPr>
        <w:t>,</w:t>
      </w:r>
      <w:r w:rsidRPr="00EA448D">
        <w:rPr>
          <w:rFonts w:ascii="Calibri" w:eastAsia="Calibri" w:hAnsi="Calibri" w:cs="Arial"/>
        </w:rPr>
        <w:t xml:space="preserve"> but given the differences in the annualised relapse rates reported for the placebo arms in the trials, it was uncertain whether these trials and their populations were sufficiently comparable to inform a meaningful indirect comparison.</w:t>
      </w:r>
      <w:proofErr w:type="gramEnd"/>
      <w:r w:rsidRPr="00EA448D">
        <w:rPr>
          <w:rFonts w:ascii="Calibri" w:eastAsia="Calibri" w:hAnsi="Calibri" w:cs="Arial"/>
        </w:rPr>
        <w:t xml:space="preserve"> The PBAC therefore considered that there was uncertainty about a claim of superiority of </w:t>
      </w:r>
      <w:proofErr w:type="spellStart"/>
      <w:r w:rsidRPr="00EA448D">
        <w:rPr>
          <w:rFonts w:ascii="Calibri" w:eastAsia="Calibri" w:hAnsi="Calibri" w:cs="Arial"/>
        </w:rPr>
        <w:t>cladribine</w:t>
      </w:r>
      <w:proofErr w:type="spellEnd"/>
      <w:r w:rsidRPr="00EA448D">
        <w:rPr>
          <w:rFonts w:ascii="Calibri" w:eastAsia="Calibri" w:hAnsi="Calibri" w:cs="Arial"/>
        </w:rPr>
        <w:t xml:space="preserve"> over interferon beta 1a (</w:t>
      </w:r>
      <w:proofErr w:type="spellStart"/>
      <w:r w:rsidRPr="00EA448D">
        <w:rPr>
          <w:rFonts w:ascii="Calibri" w:eastAsia="Calibri" w:hAnsi="Calibri" w:cs="Arial"/>
        </w:rPr>
        <w:t>Cladribine</w:t>
      </w:r>
      <w:proofErr w:type="spellEnd"/>
      <w:r w:rsidRPr="00EA448D">
        <w:rPr>
          <w:rFonts w:ascii="Calibri" w:eastAsia="Calibri" w:hAnsi="Calibri" w:cs="Arial"/>
        </w:rPr>
        <w:t>, March 2011 PSD, p6).</w:t>
      </w:r>
    </w:p>
    <w:p w:rsidR="00FD5588" w:rsidRPr="00C126B5" w:rsidRDefault="00FC3DA9" w:rsidP="00A627FC">
      <w:pPr>
        <w:pStyle w:val="ListParagraph"/>
        <w:numPr>
          <w:ilvl w:val="1"/>
          <w:numId w:val="1"/>
        </w:numPr>
        <w:jc w:val="both"/>
        <w:rPr>
          <w:lang w:val="en-GB"/>
        </w:rPr>
      </w:pPr>
      <w:r w:rsidRPr="00C126B5">
        <w:rPr>
          <w:rFonts w:ascii="Calibri" w:eastAsia="Calibri" w:hAnsi="Calibri" w:cs="Arial"/>
        </w:rPr>
        <w:t>The PBAC</w:t>
      </w:r>
      <w:r w:rsidR="00503D1C" w:rsidRPr="00C126B5">
        <w:rPr>
          <w:rFonts w:ascii="Calibri" w:eastAsia="Calibri" w:hAnsi="Calibri" w:cs="Arial"/>
        </w:rPr>
        <w:t xml:space="preserve"> also</w:t>
      </w:r>
      <w:r w:rsidRPr="00C126B5">
        <w:rPr>
          <w:rFonts w:ascii="Calibri" w:eastAsia="Calibri" w:hAnsi="Calibri" w:cs="Arial"/>
        </w:rPr>
        <w:t xml:space="preserve"> recalled that the March 2011 submission</w:t>
      </w:r>
      <w:r w:rsidR="00503D1C" w:rsidRPr="00C126B5">
        <w:rPr>
          <w:rFonts w:ascii="Calibri" w:eastAsia="Calibri" w:hAnsi="Calibri" w:cs="Arial"/>
        </w:rPr>
        <w:t xml:space="preserve"> </w:t>
      </w:r>
      <w:r w:rsidR="00503D1C">
        <w:t xml:space="preserve">claimed </w:t>
      </w:r>
      <w:proofErr w:type="spellStart"/>
      <w:r w:rsidR="00503D1C" w:rsidRPr="00420F61">
        <w:t>cladribine</w:t>
      </w:r>
      <w:proofErr w:type="spellEnd"/>
      <w:r w:rsidR="00503D1C" w:rsidRPr="00420F61">
        <w:t xml:space="preserve"> </w:t>
      </w:r>
      <w:r w:rsidR="00E01931">
        <w:t>w</w:t>
      </w:r>
      <w:r w:rsidR="00503D1C" w:rsidRPr="00420F61">
        <w:t>as non-inferior in terms of c</w:t>
      </w:r>
      <w:r w:rsidR="00503D1C">
        <w:t>omparative effectiveness and with</w:t>
      </w:r>
      <w:r w:rsidR="00503D1C" w:rsidRPr="00420F61">
        <w:t xml:space="preserve"> a different safety profile to </w:t>
      </w:r>
      <w:proofErr w:type="spellStart"/>
      <w:proofErr w:type="gramStart"/>
      <w:r w:rsidR="00503D1C" w:rsidRPr="00420F61">
        <w:t>natalizumab</w:t>
      </w:r>
      <w:proofErr w:type="spellEnd"/>
      <w:r w:rsidR="00503D1C" w:rsidRPr="00C126B5">
        <w:rPr>
          <w:rFonts w:ascii="Calibri" w:eastAsia="Calibri" w:hAnsi="Calibri" w:cs="Arial"/>
        </w:rPr>
        <w:t xml:space="preserve"> ,</w:t>
      </w:r>
      <w:proofErr w:type="gramEnd"/>
      <w:r w:rsidR="00503D1C" w:rsidRPr="00C126B5">
        <w:rPr>
          <w:rFonts w:ascii="Calibri" w:eastAsia="Calibri" w:hAnsi="Calibri" w:cs="Arial"/>
        </w:rPr>
        <w:t xml:space="preserve"> based on an indirect comparison of </w:t>
      </w:r>
      <w:proofErr w:type="spellStart"/>
      <w:r w:rsidR="00503D1C" w:rsidRPr="00C126B5">
        <w:rPr>
          <w:rFonts w:ascii="Calibri" w:eastAsia="Calibri" w:hAnsi="Calibri" w:cs="Arial"/>
        </w:rPr>
        <w:t>cladribine</w:t>
      </w:r>
      <w:proofErr w:type="spellEnd"/>
      <w:r w:rsidR="00503D1C" w:rsidRPr="00C126B5">
        <w:rPr>
          <w:rFonts w:ascii="Calibri" w:eastAsia="Calibri" w:hAnsi="Calibri" w:cs="Arial"/>
        </w:rPr>
        <w:t xml:space="preserve"> versus </w:t>
      </w:r>
      <w:proofErr w:type="spellStart"/>
      <w:r w:rsidR="00503D1C" w:rsidRPr="00C126B5">
        <w:rPr>
          <w:rFonts w:ascii="Calibri" w:eastAsia="Calibri" w:hAnsi="Calibri" w:cs="Arial"/>
        </w:rPr>
        <w:t>natalizumab</w:t>
      </w:r>
      <w:proofErr w:type="spellEnd"/>
      <w:r w:rsidR="00503D1C" w:rsidRPr="00C126B5">
        <w:rPr>
          <w:rFonts w:ascii="Calibri" w:eastAsia="Calibri" w:hAnsi="Calibri" w:cs="Arial"/>
        </w:rPr>
        <w:t xml:space="preserve">, with placebo as the common reference. </w:t>
      </w:r>
      <w:r w:rsidR="00E86AF0" w:rsidRPr="00C126B5">
        <w:rPr>
          <w:rFonts w:ascii="Calibri" w:eastAsia="Calibri" w:hAnsi="Calibri" w:cs="Arial"/>
        </w:rPr>
        <w:t xml:space="preserve">The PBAC recalled that, “Concerning the comparison with </w:t>
      </w:r>
      <w:proofErr w:type="spellStart"/>
      <w:r w:rsidR="00E86AF0" w:rsidRPr="00C126B5">
        <w:rPr>
          <w:rFonts w:ascii="Calibri" w:eastAsia="Calibri" w:hAnsi="Calibri" w:cs="Arial"/>
        </w:rPr>
        <w:t>natalizumab</w:t>
      </w:r>
      <w:proofErr w:type="spellEnd"/>
      <w:r w:rsidR="00E86AF0" w:rsidRPr="00C126B5">
        <w:rPr>
          <w:rFonts w:ascii="Calibri" w:eastAsia="Calibri" w:hAnsi="Calibri" w:cs="Arial"/>
        </w:rPr>
        <w:t xml:space="preserve">, the PBAC did not accept the claim of non-inferiority based on the non-significant differences for the indirect comparison. The reported annualised relapse rates amongst the placebo arms in each of the trials differ, which suggests that the populations in the trials are not exchangeable and therefore could indicate that the conduct of such an indirect comparison is not appropriate. Based on the entry criteria for the trials, the likelihood of relapse may be higher in the </w:t>
      </w:r>
      <w:proofErr w:type="spellStart"/>
      <w:r w:rsidR="00E86AF0" w:rsidRPr="00C126B5">
        <w:rPr>
          <w:rFonts w:ascii="Calibri" w:eastAsia="Calibri" w:hAnsi="Calibri" w:cs="Arial"/>
        </w:rPr>
        <w:t>natalizumab</w:t>
      </w:r>
      <w:proofErr w:type="spellEnd"/>
      <w:r w:rsidR="00E86AF0" w:rsidRPr="00C126B5">
        <w:rPr>
          <w:rFonts w:ascii="Calibri" w:eastAsia="Calibri" w:hAnsi="Calibri" w:cs="Arial"/>
        </w:rPr>
        <w:t xml:space="preserve"> trial (AFFIRM) and (in conjunction with the definition of relapse being more stringent in CLARITY) </w:t>
      </w:r>
      <w:proofErr w:type="spellStart"/>
      <w:r w:rsidR="00E86AF0" w:rsidRPr="00C126B5">
        <w:rPr>
          <w:rFonts w:ascii="Calibri" w:eastAsia="Calibri" w:hAnsi="Calibri" w:cs="Arial"/>
        </w:rPr>
        <w:t>natalizumab</w:t>
      </w:r>
      <w:proofErr w:type="spellEnd"/>
      <w:r w:rsidR="00E86AF0" w:rsidRPr="00C126B5">
        <w:rPr>
          <w:rFonts w:ascii="Calibri" w:eastAsia="Calibri" w:hAnsi="Calibri" w:cs="Arial"/>
        </w:rPr>
        <w:t xml:space="preserve"> may be likely to show a greater improvement in the primary outcome of annualised relapse rate, than is </w:t>
      </w:r>
      <w:proofErr w:type="spellStart"/>
      <w:r w:rsidR="00E86AF0" w:rsidRPr="00C126B5">
        <w:rPr>
          <w:rFonts w:ascii="Calibri" w:eastAsia="Calibri" w:hAnsi="Calibri" w:cs="Arial"/>
        </w:rPr>
        <w:t>cladribine</w:t>
      </w:r>
      <w:proofErr w:type="spellEnd"/>
      <w:r w:rsidR="00E86AF0" w:rsidRPr="00C126B5">
        <w:rPr>
          <w:rFonts w:ascii="Calibri" w:eastAsia="Calibri" w:hAnsi="Calibri" w:cs="Arial"/>
        </w:rPr>
        <w:t xml:space="preserve">.” (March 2011 </w:t>
      </w:r>
      <w:proofErr w:type="spellStart"/>
      <w:r w:rsidR="00E86AF0" w:rsidRPr="00C126B5">
        <w:rPr>
          <w:rFonts w:ascii="Calibri" w:eastAsia="Calibri" w:hAnsi="Calibri" w:cs="Arial"/>
        </w:rPr>
        <w:t>Cladribine</w:t>
      </w:r>
      <w:proofErr w:type="spellEnd"/>
      <w:r w:rsidR="00E86AF0" w:rsidRPr="00C126B5">
        <w:rPr>
          <w:rFonts w:ascii="Calibri" w:eastAsia="Calibri" w:hAnsi="Calibri" w:cs="Arial"/>
        </w:rPr>
        <w:t xml:space="preserve"> </w:t>
      </w:r>
      <w:r w:rsidR="00FA0A0E">
        <w:rPr>
          <w:rFonts w:ascii="Calibri" w:eastAsia="Calibri" w:hAnsi="Calibri" w:cs="Arial"/>
        </w:rPr>
        <w:t>PSD</w:t>
      </w:r>
      <w:r w:rsidR="00E86AF0" w:rsidRPr="00C126B5">
        <w:rPr>
          <w:rFonts w:ascii="Calibri" w:eastAsia="Calibri" w:hAnsi="Calibri" w:cs="Arial"/>
        </w:rPr>
        <w:t>)</w:t>
      </w:r>
      <w:r w:rsidR="00C126B5" w:rsidRPr="00C126B5">
        <w:rPr>
          <w:rFonts w:ascii="Calibri" w:eastAsia="Calibri" w:hAnsi="Calibri" w:cs="Arial"/>
        </w:rPr>
        <w:t>.</w:t>
      </w:r>
    </w:p>
    <w:p w:rsidR="00B50DD3" w:rsidRDefault="00FD5588" w:rsidP="00A627FC">
      <w:pPr>
        <w:pStyle w:val="ListParagraph"/>
        <w:numPr>
          <w:ilvl w:val="1"/>
          <w:numId w:val="1"/>
        </w:numPr>
        <w:jc w:val="both"/>
        <w:rPr>
          <w:lang w:val="en-GB"/>
        </w:rPr>
      </w:pPr>
      <w:r w:rsidRPr="00855228">
        <w:rPr>
          <w:lang w:val="en-GB"/>
        </w:rPr>
        <w:t xml:space="preserve">The </w:t>
      </w:r>
      <w:r w:rsidR="006B7CC8">
        <w:rPr>
          <w:lang w:val="en-GB"/>
        </w:rPr>
        <w:t>Pre-Sub-Committee Response (</w:t>
      </w:r>
      <w:r w:rsidRPr="00855228">
        <w:rPr>
          <w:lang w:val="en-GB"/>
        </w:rPr>
        <w:t>PSCR</w:t>
      </w:r>
      <w:r w:rsidR="006B7CC8">
        <w:rPr>
          <w:lang w:val="en-GB"/>
        </w:rPr>
        <w:t>)</w:t>
      </w:r>
      <w:r w:rsidRPr="00855228">
        <w:rPr>
          <w:lang w:val="en-GB"/>
        </w:rPr>
        <w:t xml:space="preserve"> (p1) acknowledged that there is the potential for therapies other than </w:t>
      </w:r>
      <w:proofErr w:type="spellStart"/>
      <w:r w:rsidRPr="00855228">
        <w:rPr>
          <w:lang w:val="en-GB"/>
        </w:rPr>
        <w:t>fingolimod</w:t>
      </w:r>
      <w:proofErr w:type="spellEnd"/>
      <w:r w:rsidRPr="00855228">
        <w:rPr>
          <w:lang w:val="en-GB"/>
        </w:rPr>
        <w:t xml:space="preserve"> to also </w:t>
      </w:r>
      <w:proofErr w:type="gramStart"/>
      <w:r w:rsidRPr="00855228">
        <w:rPr>
          <w:lang w:val="en-GB"/>
        </w:rPr>
        <w:t>be replaced</w:t>
      </w:r>
      <w:proofErr w:type="gramEnd"/>
      <w:r w:rsidRPr="00855228">
        <w:rPr>
          <w:lang w:val="en-GB"/>
        </w:rPr>
        <w:t xml:space="preserve"> by </w:t>
      </w:r>
      <w:proofErr w:type="spellStart"/>
      <w:r w:rsidRPr="00855228">
        <w:rPr>
          <w:lang w:val="en-GB"/>
        </w:rPr>
        <w:t>cladribine</w:t>
      </w:r>
      <w:proofErr w:type="spellEnd"/>
      <w:r w:rsidRPr="00855228">
        <w:rPr>
          <w:lang w:val="en-GB"/>
        </w:rPr>
        <w:t xml:space="preserve">. However, the PSCR argued that due to the dominance of </w:t>
      </w:r>
      <w:proofErr w:type="spellStart"/>
      <w:r w:rsidRPr="00855228">
        <w:rPr>
          <w:lang w:val="en-GB"/>
        </w:rPr>
        <w:t>fingolimod’s</w:t>
      </w:r>
      <w:proofErr w:type="spellEnd"/>
      <w:r w:rsidRPr="00855228">
        <w:rPr>
          <w:lang w:val="en-GB"/>
        </w:rPr>
        <w:t xml:space="preserve"> market share, and the non-inferior efficacy and different but non-inferior safety of </w:t>
      </w:r>
      <w:proofErr w:type="spellStart"/>
      <w:r w:rsidRPr="00855228">
        <w:rPr>
          <w:lang w:val="en-GB"/>
        </w:rPr>
        <w:t>cladribine</w:t>
      </w:r>
      <w:proofErr w:type="spellEnd"/>
      <w:r w:rsidRPr="00855228">
        <w:rPr>
          <w:lang w:val="en-GB"/>
        </w:rPr>
        <w:t xml:space="preserve"> compared to </w:t>
      </w:r>
      <w:proofErr w:type="spellStart"/>
      <w:r w:rsidRPr="00855228">
        <w:rPr>
          <w:lang w:val="en-GB"/>
        </w:rPr>
        <w:t>fingolimod</w:t>
      </w:r>
      <w:proofErr w:type="spellEnd"/>
      <w:r w:rsidRPr="00855228">
        <w:rPr>
          <w:lang w:val="en-GB"/>
        </w:rPr>
        <w:t xml:space="preserve">, that substitution of </w:t>
      </w:r>
      <w:proofErr w:type="spellStart"/>
      <w:r w:rsidRPr="00855228">
        <w:rPr>
          <w:lang w:val="en-GB"/>
        </w:rPr>
        <w:t>fingolimod</w:t>
      </w:r>
      <w:proofErr w:type="spellEnd"/>
      <w:r w:rsidRPr="00855228">
        <w:rPr>
          <w:lang w:val="en-GB"/>
        </w:rPr>
        <w:t xml:space="preserve"> will predominate.  </w:t>
      </w:r>
      <w:r w:rsidR="00F8250F" w:rsidRPr="00855228">
        <w:rPr>
          <w:lang w:val="en-GB"/>
        </w:rPr>
        <w:t xml:space="preserve">The PSCR further argued that, “The non-inferiority of </w:t>
      </w:r>
      <w:proofErr w:type="spellStart"/>
      <w:r w:rsidR="00F8250F" w:rsidRPr="00855228">
        <w:rPr>
          <w:lang w:val="en-GB"/>
        </w:rPr>
        <w:t>cladribine</w:t>
      </w:r>
      <w:proofErr w:type="spellEnd"/>
      <w:r w:rsidR="00F8250F" w:rsidRPr="00855228">
        <w:rPr>
          <w:lang w:val="en-GB"/>
        </w:rPr>
        <w:t xml:space="preserve"> to </w:t>
      </w:r>
      <w:proofErr w:type="spellStart"/>
      <w:r w:rsidR="00F8250F" w:rsidRPr="00855228">
        <w:rPr>
          <w:lang w:val="en-GB"/>
        </w:rPr>
        <w:t>fingolimod</w:t>
      </w:r>
      <w:proofErr w:type="spellEnd"/>
      <w:r w:rsidR="00F8250F" w:rsidRPr="00855228">
        <w:rPr>
          <w:lang w:val="en-GB"/>
        </w:rPr>
        <w:t xml:space="preserve">, which has already been deemed by the PBAC to be more effective than IFNB, means that it is entirely appropriate for the cost of </w:t>
      </w:r>
      <w:proofErr w:type="spellStart"/>
      <w:r w:rsidR="00F8250F" w:rsidRPr="00855228">
        <w:rPr>
          <w:lang w:val="en-GB"/>
        </w:rPr>
        <w:t>cladribine</w:t>
      </w:r>
      <w:proofErr w:type="spellEnd"/>
      <w:r w:rsidR="00F8250F" w:rsidRPr="00855228">
        <w:rPr>
          <w:lang w:val="en-GB"/>
        </w:rPr>
        <w:t xml:space="preserve"> to be higher than that of the cheapest alternatives on the PBS”. The ESC noted however, that the PBAC considered there was uncertainty regarding whether </w:t>
      </w:r>
      <w:proofErr w:type="spellStart"/>
      <w:r w:rsidR="00F8250F" w:rsidRPr="00855228">
        <w:rPr>
          <w:lang w:val="en-GB"/>
        </w:rPr>
        <w:t>cladribine</w:t>
      </w:r>
      <w:proofErr w:type="spellEnd"/>
      <w:r w:rsidR="00F8250F" w:rsidRPr="00855228">
        <w:rPr>
          <w:lang w:val="en-GB"/>
        </w:rPr>
        <w:t xml:space="preserve"> was superior over interferon beta 1a at the March 2011 PBAC meeting (refer to paragraph 5.</w:t>
      </w:r>
      <w:r w:rsidR="00E01931">
        <w:rPr>
          <w:lang w:val="en-GB"/>
        </w:rPr>
        <w:t>6</w:t>
      </w:r>
      <w:r w:rsidR="00F8250F" w:rsidRPr="00855228">
        <w:rPr>
          <w:lang w:val="en-GB"/>
        </w:rPr>
        <w:t>).</w:t>
      </w:r>
      <w:r w:rsidR="00BD3CBC" w:rsidRPr="00855228">
        <w:rPr>
          <w:lang w:val="en-GB"/>
        </w:rPr>
        <w:t xml:space="preserve"> </w:t>
      </w:r>
      <w:r w:rsidR="003B2EBD" w:rsidRPr="00855228">
        <w:rPr>
          <w:lang w:val="en-GB"/>
        </w:rPr>
        <w:t xml:space="preserve">The ESC further noted that dimethyl fumarate </w:t>
      </w:r>
      <w:r w:rsidR="00562DF3" w:rsidRPr="00855228">
        <w:rPr>
          <w:lang w:val="en-GB"/>
        </w:rPr>
        <w:t>may be</w:t>
      </w:r>
      <w:r w:rsidR="003B2EBD" w:rsidRPr="00855228">
        <w:rPr>
          <w:lang w:val="en-GB"/>
        </w:rPr>
        <w:t xml:space="preserve"> considered by clinicians to be an alternative therapy to </w:t>
      </w:r>
      <w:proofErr w:type="spellStart"/>
      <w:r w:rsidR="003B2EBD" w:rsidRPr="00855228">
        <w:rPr>
          <w:lang w:val="en-GB"/>
        </w:rPr>
        <w:lastRenderedPageBreak/>
        <w:t>fingol</w:t>
      </w:r>
      <w:r w:rsidR="00FC3DA9">
        <w:rPr>
          <w:lang w:val="en-GB"/>
        </w:rPr>
        <w:t>i</w:t>
      </w:r>
      <w:r w:rsidR="003B2EBD" w:rsidRPr="00855228">
        <w:rPr>
          <w:lang w:val="en-GB"/>
        </w:rPr>
        <w:t>m</w:t>
      </w:r>
      <w:r w:rsidR="00FC3DA9">
        <w:rPr>
          <w:lang w:val="en-GB"/>
        </w:rPr>
        <w:t>o</w:t>
      </w:r>
      <w:r w:rsidR="003B2EBD" w:rsidRPr="00855228">
        <w:rPr>
          <w:lang w:val="en-GB"/>
        </w:rPr>
        <w:t>d</w:t>
      </w:r>
      <w:proofErr w:type="spellEnd"/>
      <w:r w:rsidR="003B2EBD" w:rsidRPr="00855228">
        <w:rPr>
          <w:lang w:val="en-GB"/>
        </w:rPr>
        <w:t xml:space="preserve">, and it is </w:t>
      </w:r>
      <w:proofErr w:type="gramStart"/>
      <w:r w:rsidR="003B2EBD" w:rsidRPr="00855228">
        <w:rPr>
          <w:lang w:val="en-GB"/>
        </w:rPr>
        <w:t>therefore also</w:t>
      </w:r>
      <w:proofErr w:type="gramEnd"/>
      <w:r w:rsidR="003B2EBD" w:rsidRPr="00855228">
        <w:rPr>
          <w:lang w:val="en-GB"/>
        </w:rPr>
        <w:t xml:space="preserve"> likely to be replaced in practice. </w:t>
      </w:r>
      <w:r w:rsidR="00BD3CBC" w:rsidRPr="00855228">
        <w:rPr>
          <w:lang w:val="en-GB"/>
        </w:rPr>
        <w:t xml:space="preserve">The ESC also considered that due to the convenience of the </w:t>
      </w:r>
      <w:proofErr w:type="spellStart"/>
      <w:r w:rsidR="00BD3CBC" w:rsidRPr="00855228">
        <w:rPr>
          <w:lang w:val="en-GB"/>
        </w:rPr>
        <w:t>cladribine</w:t>
      </w:r>
      <w:proofErr w:type="spellEnd"/>
      <w:r w:rsidR="00BD3CBC" w:rsidRPr="00855228">
        <w:rPr>
          <w:lang w:val="en-GB"/>
        </w:rPr>
        <w:t xml:space="preserve"> treatment regimen, </w:t>
      </w:r>
      <w:proofErr w:type="gramStart"/>
      <w:r w:rsidR="00BD3CBC" w:rsidRPr="00855228">
        <w:rPr>
          <w:lang w:val="en-GB"/>
        </w:rPr>
        <w:t>it is possible that some patients on other RRMS therapies may</w:t>
      </w:r>
      <w:proofErr w:type="gramEnd"/>
      <w:r w:rsidR="00BD3CBC" w:rsidRPr="00855228">
        <w:rPr>
          <w:lang w:val="en-GB"/>
        </w:rPr>
        <w:t xml:space="preserve"> switch to </w:t>
      </w:r>
      <w:proofErr w:type="spellStart"/>
      <w:r w:rsidR="00BD3CBC" w:rsidRPr="00855228">
        <w:rPr>
          <w:lang w:val="en-GB"/>
        </w:rPr>
        <w:t>cladribine</w:t>
      </w:r>
      <w:proofErr w:type="spellEnd"/>
      <w:r w:rsidR="00BD3CBC" w:rsidRPr="00855228">
        <w:rPr>
          <w:lang w:val="en-GB"/>
        </w:rPr>
        <w:t xml:space="preserve"> for increased compliance.</w:t>
      </w:r>
      <w:r w:rsidR="003B2EBD" w:rsidRPr="00855228">
        <w:rPr>
          <w:lang w:val="en-GB"/>
        </w:rPr>
        <w:t xml:space="preserve"> </w:t>
      </w:r>
    </w:p>
    <w:p w:rsidR="00E71C6B" w:rsidRPr="00444F5B" w:rsidRDefault="00E71C6B" w:rsidP="00A627FC">
      <w:pPr>
        <w:pStyle w:val="ListParagraph"/>
        <w:numPr>
          <w:ilvl w:val="1"/>
          <w:numId w:val="1"/>
        </w:numPr>
        <w:jc w:val="both"/>
        <w:rPr>
          <w:lang w:val="en-GB"/>
        </w:rPr>
      </w:pPr>
      <w:r>
        <w:rPr>
          <w:rFonts w:ascii="Calibri" w:eastAsia="Calibri" w:hAnsi="Calibri" w:cs="Arial"/>
        </w:rPr>
        <w:t xml:space="preserve">The pre-PBAC response (p2-3) maintained that </w:t>
      </w:r>
      <w:proofErr w:type="spellStart"/>
      <w:r>
        <w:rPr>
          <w:rFonts w:ascii="Calibri" w:eastAsia="Calibri" w:hAnsi="Calibri" w:cs="Arial"/>
        </w:rPr>
        <w:t>fingolimod</w:t>
      </w:r>
      <w:proofErr w:type="spellEnd"/>
      <w:r>
        <w:rPr>
          <w:rFonts w:ascii="Calibri" w:eastAsia="Calibri" w:hAnsi="Calibri" w:cs="Arial"/>
        </w:rPr>
        <w:t xml:space="preserve"> was the appropriate main clinical and economic comparator for </w:t>
      </w:r>
      <w:proofErr w:type="spellStart"/>
      <w:r>
        <w:rPr>
          <w:rFonts w:ascii="Calibri" w:eastAsia="Calibri" w:hAnsi="Calibri" w:cs="Arial"/>
        </w:rPr>
        <w:t>cladribine</w:t>
      </w:r>
      <w:proofErr w:type="spellEnd"/>
      <w:r>
        <w:rPr>
          <w:rFonts w:ascii="Calibri" w:eastAsia="Calibri" w:hAnsi="Calibri" w:cs="Arial"/>
        </w:rPr>
        <w:t xml:space="preserve">. </w:t>
      </w:r>
    </w:p>
    <w:p w:rsidR="00444F5B" w:rsidRPr="00E71C6B" w:rsidRDefault="00444F5B" w:rsidP="00A627FC">
      <w:pPr>
        <w:pStyle w:val="ListParagraph"/>
        <w:numPr>
          <w:ilvl w:val="1"/>
          <w:numId w:val="1"/>
        </w:numPr>
        <w:jc w:val="both"/>
        <w:rPr>
          <w:lang w:val="en-GB"/>
        </w:rPr>
      </w:pPr>
      <w:r>
        <w:t xml:space="preserve">The PBAC accepted </w:t>
      </w:r>
      <w:proofErr w:type="spellStart"/>
      <w:r>
        <w:t>fingolimod</w:t>
      </w:r>
      <w:proofErr w:type="spellEnd"/>
      <w:r>
        <w:t xml:space="preserve"> as the appropriate main comparator, however, considered that </w:t>
      </w:r>
      <w:proofErr w:type="spellStart"/>
      <w:r>
        <w:t>cladribine</w:t>
      </w:r>
      <w:proofErr w:type="spellEnd"/>
      <w:r>
        <w:t xml:space="preserve"> </w:t>
      </w:r>
      <w:r w:rsidR="00944353">
        <w:t>may</w:t>
      </w:r>
      <w:r>
        <w:t xml:space="preserve"> replace or displace all PBS listed RRMS treatments</w:t>
      </w:r>
      <w:r w:rsidR="00944353">
        <w:t xml:space="preserve"> to some extent</w:t>
      </w:r>
      <w:r>
        <w:t>. The PBAC considered it was uncertain</w:t>
      </w:r>
      <w:r w:rsidRPr="004B0868">
        <w:t xml:space="preserve"> whether </w:t>
      </w:r>
      <w:proofErr w:type="spellStart"/>
      <w:r w:rsidRPr="004B0868">
        <w:t>cladrib</w:t>
      </w:r>
      <w:r>
        <w:t>ine</w:t>
      </w:r>
      <w:proofErr w:type="spellEnd"/>
      <w:r>
        <w:t xml:space="preserve"> was</w:t>
      </w:r>
      <w:r w:rsidRPr="004B0868">
        <w:t xml:space="preserve"> superior over interferon beta 1a</w:t>
      </w:r>
      <w:r>
        <w:t xml:space="preserve"> in terms of efficacy, however, the Committee considered that </w:t>
      </w:r>
      <w:proofErr w:type="spellStart"/>
      <w:r>
        <w:t>cladribine</w:t>
      </w:r>
      <w:proofErr w:type="spellEnd"/>
      <w:r>
        <w:t xml:space="preserve"> was superior over interferon beta 1a in terms of safety. </w:t>
      </w:r>
    </w:p>
    <w:p w:rsidR="001D125F" w:rsidRPr="001D125F" w:rsidRDefault="001D125F" w:rsidP="001D125F">
      <w:pPr>
        <w:pStyle w:val="ListParagraph"/>
        <w:ind w:left="709"/>
        <w:jc w:val="both"/>
        <w:rPr>
          <w:i/>
        </w:rPr>
      </w:pPr>
      <w:r w:rsidRPr="00E71C6B">
        <w:rPr>
          <w:i/>
        </w:rPr>
        <w:t>For more detail on PBAC’s view, see section 7 PBAC outcome.</w:t>
      </w:r>
    </w:p>
    <w:p w:rsidR="00432993" w:rsidRPr="00432993" w:rsidRDefault="00837C26" w:rsidP="00432993">
      <w:pPr>
        <w:pStyle w:val="Heading1"/>
        <w:ind w:left="709" w:hanging="709"/>
      </w:pPr>
      <w:bookmarkStart w:id="19" w:name="_Toc413139276"/>
      <w:bookmarkStart w:id="20" w:name="_Toc365847459"/>
      <w:r w:rsidRPr="00EA448D">
        <w:t>Consideration of the evidence</w:t>
      </w:r>
      <w:bookmarkEnd w:id="19"/>
      <w:bookmarkEnd w:id="20"/>
    </w:p>
    <w:p w:rsidR="00432993" w:rsidRPr="00852E6B" w:rsidRDefault="00432993" w:rsidP="00667C92">
      <w:pPr>
        <w:widowControl w:val="0"/>
        <w:spacing w:before="240" w:line="276" w:lineRule="auto"/>
        <w:jc w:val="both"/>
        <w:outlineLvl w:val="1"/>
        <w:rPr>
          <w:rFonts w:cs="Arial"/>
          <w:b/>
          <w:bCs/>
          <w:i/>
          <w:snapToGrid w:val="0"/>
          <w:sz w:val="28"/>
          <w:szCs w:val="28"/>
        </w:rPr>
      </w:pPr>
      <w:r w:rsidRPr="00852E6B">
        <w:rPr>
          <w:rFonts w:cs="Arial"/>
          <w:b/>
          <w:bCs/>
          <w:i/>
          <w:snapToGrid w:val="0"/>
          <w:sz w:val="28"/>
          <w:szCs w:val="28"/>
        </w:rPr>
        <w:t>Sponsor hearing</w:t>
      </w:r>
    </w:p>
    <w:p w:rsidR="000046E2" w:rsidRDefault="000046E2" w:rsidP="00A627FC">
      <w:pPr>
        <w:widowControl w:val="0"/>
        <w:numPr>
          <w:ilvl w:val="1"/>
          <w:numId w:val="1"/>
        </w:numPr>
        <w:spacing w:before="0" w:after="120"/>
        <w:jc w:val="both"/>
        <w:rPr>
          <w:rFonts w:cs="Arial"/>
          <w:bCs/>
          <w:snapToGrid w:val="0"/>
        </w:rPr>
      </w:pPr>
      <w:r>
        <w:rPr>
          <w:rFonts w:cs="Arial"/>
          <w:bCs/>
          <w:snapToGrid w:val="0"/>
        </w:rPr>
        <w:t>The sponsor requested a hearing for this item. The clinician discussed the CLARITY and CLARITY EXT trial design and endpoints</w:t>
      </w:r>
      <w:r w:rsidR="004662FA">
        <w:rPr>
          <w:rFonts w:cs="Arial"/>
          <w:bCs/>
          <w:snapToGrid w:val="0"/>
        </w:rPr>
        <w:t>;</w:t>
      </w:r>
      <w:r>
        <w:rPr>
          <w:rFonts w:cs="Arial"/>
          <w:bCs/>
          <w:snapToGrid w:val="0"/>
        </w:rPr>
        <w:t xml:space="preserve"> how </w:t>
      </w:r>
      <w:proofErr w:type="spellStart"/>
      <w:r>
        <w:rPr>
          <w:rFonts w:cs="Arial"/>
          <w:bCs/>
          <w:snapToGrid w:val="0"/>
        </w:rPr>
        <w:t>cladribine</w:t>
      </w:r>
      <w:proofErr w:type="spellEnd"/>
      <w:r>
        <w:rPr>
          <w:rFonts w:cs="Arial"/>
          <w:bCs/>
          <w:snapToGrid w:val="0"/>
        </w:rPr>
        <w:t xml:space="preserve"> </w:t>
      </w:r>
      <w:proofErr w:type="gramStart"/>
      <w:r>
        <w:rPr>
          <w:rFonts w:cs="Arial"/>
          <w:bCs/>
          <w:snapToGrid w:val="0"/>
        </w:rPr>
        <w:t>will be used</w:t>
      </w:r>
      <w:proofErr w:type="gramEnd"/>
      <w:r>
        <w:rPr>
          <w:rFonts w:cs="Arial"/>
          <w:bCs/>
          <w:snapToGrid w:val="0"/>
        </w:rPr>
        <w:t xml:space="preserve"> in practice</w:t>
      </w:r>
      <w:r w:rsidR="004662FA">
        <w:rPr>
          <w:rFonts w:cs="Arial"/>
          <w:bCs/>
          <w:snapToGrid w:val="0"/>
        </w:rPr>
        <w:t>;</w:t>
      </w:r>
      <w:r>
        <w:rPr>
          <w:rFonts w:cs="Arial"/>
          <w:bCs/>
          <w:snapToGrid w:val="0"/>
        </w:rPr>
        <w:t xml:space="preserve"> safety data regarding the risk of malignancy</w:t>
      </w:r>
      <w:r w:rsidR="004662FA">
        <w:rPr>
          <w:rFonts w:cs="Arial"/>
          <w:bCs/>
          <w:snapToGrid w:val="0"/>
        </w:rPr>
        <w:t>;</w:t>
      </w:r>
      <w:r>
        <w:rPr>
          <w:rFonts w:cs="Arial"/>
          <w:bCs/>
          <w:snapToGrid w:val="0"/>
        </w:rPr>
        <w:t xml:space="preserve"> and other matters in response to the Committee’s questions. The PBAC noted the clinician’s view that </w:t>
      </w:r>
      <w:proofErr w:type="spellStart"/>
      <w:r>
        <w:rPr>
          <w:rFonts w:cs="Arial"/>
          <w:bCs/>
          <w:snapToGrid w:val="0"/>
        </w:rPr>
        <w:t>cladribine</w:t>
      </w:r>
      <w:proofErr w:type="spellEnd"/>
      <w:r>
        <w:rPr>
          <w:rFonts w:cs="Arial"/>
          <w:bCs/>
          <w:snapToGrid w:val="0"/>
        </w:rPr>
        <w:t xml:space="preserve"> was not associated with a higher risk of malignancy</w:t>
      </w:r>
      <w:r w:rsidR="004662FA">
        <w:rPr>
          <w:rFonts w:cs="Arial"/>
          <w:bCs/>
          <w:snapToGrid w:val="0"/>
        </w:rPr>
        <w:t>;</w:t>
      </w:r>
      <w:r>
        <w:rPr>
          <w:rFonts w:cs="Arial"/>
          <w:bCs/>
          <w:snapToGrid w:val="0"/>
        </w:rPr>
        <w:t xml:space="preserve"> that treatment switching is common in clinical practice</w:t>
      </w:r>
      <w:r w:rsidR="004662FA">
        <w:rPr>
          <w:rFonts w:cs="Arial"/>
          <w:bCs/>
          <w:snapToGrid w:val="0"/>
        </w:rPr>
        <w:t>;</w:t>
      </w:r>
      <w:r>
        <w:rPr>
          <w:rFonts w:cs="Arial"/>
          <w:bCs/>
          <w:snapToGrid w:val="0"/>
        </w:rPr>
        <w:t xml:space="preserve"> and that </w:t>
      </w:r>
      <w:proofErr w:type="spellStart"/>
      <w:r>
        <w:rPr>
          <w:rFonts w:cs="Arial"/>
          <w:bCs/>
          <w:snapToGrid w:val="0"/>
        </w:rPr>
        <w:t>cladribine</w:t>
      </w:r>
      <w:proofErr w:type="spellEnd"/>
      <w:r>
        <w:rPr>
          <w:rFonts w:cs="Arial"/>
          <w:bCs/>
          <w:snapToGrid w:val="0"/>
        </w:rPr>
        <w:t xml:space="preserve"> </w:t>
      </w:r>
      <w:proofErr w:type="gramStart"/>
      <w:r>
        <w:rPr>
          <w:rFonts w:cs="Arial"/>
          <w:bCs/>
          <w:snapToGrid w:val="0"/>
        </w:rPr>
        <w:t>is viewed</w:t>
      </w:r>
      <w:proofErr w:type="gramEnd"/>
      <w:r>
        <w:rPr>
          <w:rFonts w:cs="Arial"/>
          <w:bCs/>
          <w:snapToGrid w:val="0"/>
        </w:rPr>
        <w:t xml:space="preserve"> as a higher efficacy medicine among medicines available to treat RRMS. The clinician explained that</w:t>
      </w:r>
      <w:r w:rsidR="00A33B3F">
        <w:rPr>
          <w:rFonts w:cs="Arial"/>
          <w:bCs/>
          <w:snapToGrid w:val="0"/>
        </w:rPr>
        <w:t xml:space="preserve"> in Europe the clinical algorithm for</w:t>
      </w:r>
      <w:r>
        <w:rPr>
          <w:rFonts w:cs="Arial"/>
          <w:bCs/>
          <w:snapToGrid w:val="0"/>
        </w:rPr>
        <w:t xml:space="preserve"> medicines for RRMS </w:t>
      </w:r>
      <w:proofErr w:type="gramStart"/>
      <w:r w:rsidR="00A33B3F">
        <w:rPr>
          <w:rFonts w:cs="Arial"/>
          <w:bCs/>
          <w:snapToGrid w:val="0"/>
        </w:rPr>
        <w:t>are based</w:t>
      </w:r>
      <w:proofErr w:type="gramEnd"/>
      <w:r w:rsidR="00A33B3F">
        <w:rPr>
          <w:rFonts w:cs="Arial"/>
          <w:bCs/>
          <w:snapToGrid w:val="0"/>
        </w:rPr>
        <w:t xml:space="preserve"> on lines of therapy</w:t>
      </w:r>
      <w:r w:rsidR="004662FA">
        <w:rPr>
          <w:rFonts w:cs="Arial"/>
          <w:bCs/>
          <w:snapToGrid w:val="0"/>
        </w:rPr>
        <w:t>,</w:t>
      </w:r>
      <w:r w:rsidR="00A33B3F">
        <w:rPr>
          <w:rFonts w:cs="Arial"/>
          <w:bCs/>
          <w:snapToGrid w:val="0"/>
        </w:rPr>
        <w:t xml:space="preserve"> whereas this is not the case in Australia. The clinician expressed the view that </w:t>
      </w:r>
      <w:proofErr w:type="spellStart"/>
      <w:r w:rsidR="00A33B3F">
        <w:rPr>
          <w:rFonts w:cs="Arial"/>
          <w:bCs/>
          <w:snapToGrid w:val="0"/>
        </w:rPr>
        <w:t>cladribine</w:t>
      </w:r>
      <w:proofErr w:type="spellEnd"/>
      <w:r w:rsidR="00A33B3F">
        <w:rPr>
          <w:rFonts w:cs="Arial"/>
          <w:bCs/>
          <w:snapToGrid w:val="0"/>
        </w:rPr>
        <w:t xml:space="preserve"> should therefore not be restricted to patient subgroups with highly active disease.</w:t>
      </w:r>
    </w:p>
    <w:p w:rsidR="00432993" w:rsidRPr="004C5803" w:rsidRDefault="00432993" w:rsidP="00667C92">
      <w:pPr>
        <w:widowControl w:val="0"/>
        <w:spacing w:before="240" w:line="276" w:lineRule="auto"/>
        <w:jc w:val="both"/>
        <w:outlineLvl w:val="1"/>
        <w:rPr>
          <w:rFonts w:cs="Arial"/>
          <w:b/>
          <w:bCs/>
          <w:i/>
          <w:snapToGrid w:val="0"/>
          <w:sz w:val="28"/>
          <w:szCs w:val="28"/>
        </w:rPr>
      </w:pPr>
      <w:r w:rsidRPr="004C5803">
        <w:rPr>
          <w:rFonts w:cs="Arial"/>
          <w:b/>
          <w:bCs/>
          <w:i/>
          <w:snapToGrid w:val="0"/>
          <w:sz w:val="28"/>
          <w:szCs w:val="28"/>
        </w:rPr>
        <w:t>Consumer comments</w:t>
      </w:r>
    </w:p>
    <w:p w:rsidR="002A331F" w:rsidRPr="002A331F" w:rsidRDefault="002A331F" w:rsidP="00A627FC">
      <w:pPr>
        <w:widowControl w:val="0"/>
        <w:numPr>
          <w:ilvl w:val="1"/>
          <w:numId w:val="1"/>
        </w:numPr>
        <w:spacing w:before="0" w:after="120"/>
        <w:jc w:val="both"/>
        <w:rPr>
          <w:rFonts w:cs="Arial"/>
          <w:bCs/>
          <w:snapToGrid w:val="0"/>
        </w:rPr>
      </w:pPr>
      <w:r w:rsidRPr="00585AAB">
        <w:t xml:space="preserve">The PBAC noted and welcomed the input from </w:t>
      </w:r>
      <w:r>
        <w:t xml:space="preserve">health professionals (4), </w:t>
      </w:r>
      <w:r w:rsidRPr="00585AAB">
        <w:t>individuals (</w:t>
      </w:r>
      <w:r>
        <w:t>5</w:t>
      </w:r>
      <w:r w:rsidRPr="00585AAB">
        <w:t>), and organisations (2) via the Consumer Comments facility on the PBS website</w:t>
      </w:r>
      <w:r>
        <w:t>.</w:t>
      </w:r>
      <w:r w:rsidR="003A0BF3">
        <w:t xml:space="preserve"> The comments described a range of benefits of treatment with </w:t>
      </w:r>
      <w:proofErr w:type="spellStart"/>
      <w:r w:rsidR="003A0BF3">
        <w:t>cladribine</w:t>
      </w:r>
      <w:proofErr w:type="spellEnd"/>
      <w:r w:rsidR="003A0BF3">
        <w:t xml:space="preserve">, including its efficacy, safety profile, </w:t>
      </w:r>
      <w:r w:rsidR="009D24DB">
        <w:t xml:space="preserve">and </w:t>
      </w:r>
      <w:r w:rsidR="003A0BF3">
        <w:t xml:space="preserve">ease of administration as an oral medicine with infrequent dosing and </w:t>
      </w:r>
      <w:r w:rsidR="004662FA">
        <w:t xml:space="preserve">long </w:t>
      </w:r>
      <w:r w:rsidR="003A0BF3">
        <w:t xml:space="preserve">duration of effect. </w:t>
      </w:r>
    </w:p>
    <w:p w:rsidR="00432993" w:rsidRPr="00867320" w:rsidRDefault="002A331F" w:rsidP="00A627FC">
      <w:pPr>
        <w:widowControl w:val="0"/>
        <w:numPr>
          <w:ilvl w:val="1"/>
          <w:numId w:val="1"/>
        </w:numPr>
        <w:spacing w:before="0" w:after="120"/>
        <w:jc w:val="both"/>
        <w:rPr>
          <w:rFonts w:cs="Arial"/>
          <w:bCs/>
          <w:snapToGrid w:val="0"/>
        </w:rPr>
      </w:pPr>
      <w:r w:rsidRPr="00585AAB">
        <w:t>The PBAC noted input received from MS Australia and MS Research Australia in support of subsidi</w:t>
      </w:r>
      <w:r>
        <w:t>s</w:t>
      </w:r>
      <w:r w:rsidRPr="00585AAB">
        <w:t xml:space="preserve">ing </w:t>
      </w:r>
      <w:proofErr w:type="spellStart"/>
      <w:r>
        <w:t>cladribine</w:t>
      </w:r>
      <w:proofErr w:type="spellEnd"/>
      <w:r w:rsidRPr="00585AAB">
        <w:t xml:space="preserve"> through the PBS</w:t>
      </w:r>
      <w:r w:rsidR="00867320">
        <w:t xml:space="preserve">. The organisations described the impact of MS on patients’ lives and that of their families, and </w:t>
      </w:r>
      <w:r w:rsidR="00867320" w:rsidRPr="00585AAB">
        <w:t>highlighted the significance of a new effective treatme</w:t>
      </w:r>
      <w:r w:rsidR="00867320">
        <w:t>nt option</w:t>
      </w:r>
      <w:r w:rsidR="00867320" w:rsidRPr="00585AAB">
        <w:t>, which will allow increased choice for patients and clinicians</w:t>
      </w:r>
      <w:r w:rsidR="00867320">
        <w:t xml:space="preserve">. MS Australia also provided various testimonials from patients who </w:t>
      </w:r>
      <w:proofErr w:type="gramStart"/>
      <w:r w:rsidR="00867320">
        <w:t>have been prescribed</w:t>
      </w:r>
      <w:proofErr w:type="gramEnd"/>
      <w:r w:rsidR="00867320">
        <w:t xml:space="preserve"> </w:t>
      </w:r>
      <w:proofErr w:type="spellStart"/>
      <w:r w:rsidR="00867320">
        <w:t>cladribine</w:t>
      </w:r>
      <w:proofErr w:type="spellEnd"/>
      <w:r w:rsidR="00867320">
        <w:t xml:space="preserve">. </w:t>
      </w:r>
    </w:p>
    <w:p w:rsidR="00432993" w:rsidRPr="00432993" w:rsidRDefault="00432993" w:rsidP="00432993">
      <w:pPr>
        <w:pStyle w:val="Heading2"/>
        <w:rPr>
          <w:i w:val="0"/>
        </w:rPr>
      </w:pPr>
      <w:bookmarkStart w:id="21" w:name="_Toc413139277"/>
      <w:bookmarkStart w:id="22" w:name="_Toc365847460"/>
      <w:r w:rsidRPr="00EA448D">
        <w:rPr>
          <w:i w:val="0"/>
        </w:rPr>
        <w:t>Clinical trials</w:t>
      </w:r>
      <w:bookmarkEnd w:id="21"/>
      <w:bookmarkEnd w:id="22"/>
    </w:p>
    <w:p w:rsidR="00837C26" w:rsidRPr="00EA448D" w:rsidRDefault="00837C26" w:rsidP="00A627FC">
      <w:pPr>
        <w:pStyle w:val="ListParagraph"/>
        <w:numPr>
          <w:ilvl w:val="1"/>
          <w:numId w:val="1"/>
        </w:numPr>
        <w:jc w:val="both"/>
        <w:rPr>
          <w:szCs w:val="24"/>
        </w:rPr>
      </w:pPr>
      <w:r w:rsidRPr="00EA448D">
        <w:rPr>
          <w:szCs w:val="24"/>
        </w:rPr>
        <w:t xml:space="preserve">The indirect comparison between </w:t>
      </w:r>
      <w:proofErr w:type="spellStart"/>
      <w:r w:rsidRPr="00EA448D">
        <w:rPr>
          <w:szCs w:val="24"/>
        </w:rPr>
        <w:t>cladribine</w:t>
      </w:r>
      <w:proofErr w:type="spellEnd"/>
      <w:r w:rsidRPr="00EA448D">
        <w:rPr>
          <w:szCs w:val="24"/>
        </w:rPr>
        <w:t xml:space="preserve"> and </w:t>
      </w:r>
      <w:proofErr w:type="spellStart"/>
      <w:r w:rsidRPr="00EA448D">
        <w:rPr>
          <w:szCs w:val="24"/>
        </w:rPr>
        <w:t>fingolimod</w:t>
      </w:r>
      <w:proofErr w:type="spellEnd"/>
      <w:r w:rsidRPr="00EA448D">
        <w:rPr>
          <w:szCs w:val="24"/>
        </w:rPr>
        <w:t xml:space="preserve"> was based </w:t>
      </w:r>
      <w:r w:rsidR="00981422" w:rsidRPr="00EA448D">
        <w:rPr>
          <w:szCs w:val="24"/>
        </w:rPr>
        <w:t xml:space="preserve">on </w:t>
      </w:r>
      <w:r w:rsidRPr="00EA448D">
        <w:rPr>
          <w:szCs w:val="24"/>
        </w:rPr>
        <w:t xml:space="preserve">one </w:t>
      </w:r>
      <w:r w:rsidR="001942F9" w:rsidRPr="00EA448D">
        <w:rPr>
          <w:szCs w:val="24"/>
        </w:rPr>
        <w:t xml:space="preserve">trial </w:t>
      </w:r>
      <w:r w:rsidRPr="00EA448D">
        <w:rPr>
          <w:szCs w:val="24"/>
        </w:rPr>
        <w:t xml:space="preserve">comparing </w:t>
      </w:r>
      <w:proofErr w:type="spellStart"/>
      <w:r w:rsidRPr="00EA448D">
        <w:rPr>
          <w:szCs w:val="24"/>
        </w:rPr>
        <w:t>cladribine</w:t>
      </w:r>
      <w:proofErr w:type="spellEnd"/>
      <w:r w:rsidRPr="00EA448D">
        <w:rPr>
          <w:szCs w:val="24"/>
        </w:rPr>
        <w:t xml:space="preserve"> to placebo </w:t>
      </w:r>
      <w:r w:rsidR="001942F9" w:rsidRPr="00EA448D">
        <w:rPr>
          <w:szCs w:val="24"/>
        </w:rPr>
        <w:t xml:space="preserve">(CLARITY; </w:t>
      </w:r>
      <w:r w:rsidR="001942F9" w:rsidRPr="00EA448D">
        <w:rPr>
          <w:rFonts w:cs="Arial"/>
          <w:szCs w:val="24"/>
        </w:rPr>
        <w:t>N=1,326</w:t>
      </w:r>
      <w:r w:rsidR="001942F9" w:rsidRPr="00EA448D">
        <w:rPr>
          <w:szCs w:val="24"/>
        </w:rPr>
        <w:t xml:space="preserve">), </w:t>
      </w:r>
      <w:r w:rsidRPr="00EA448D">
        <w:rPr>
          <w:szCs w:val="24"/>
        </w:rPr>
        <w:t xml:space="preserve">and </w:t>
      </w:r>
      <w:r w:rsidR="001942F9" w:rsidRPr="00EA448D">
        <w:rPr>
          <w:szCs w:val="24"/>
        </w:rPr>
        <w:t xml:space="preserve">two trials comparing </w:t>
      </w:r>
      <w:proofErr w:type="spellStart"/>
      <w:r w:rsidR="001942F9" w:rsidRPr="00EA448D">
        <w:rPr>
          <w:szCs w:val="24"/>
        </w:rPr>
        <w:lastRenderedPageBreak/>
        <w:t>fingolimod</w:t>
      </w:r>
      <w:proofErr w:type="spellEnd"/>
      <w:r w:rsidR="001942F9" w:rsidRPr="00EA448D">
        <w:rPr>
          <w:szCs w:val="24"/>
        </w:rPr>
        <w:t xml:space="preserve"> to placebo (</w:t>
      </w:r>
      <w:r w:rsidRPr="00EA448D">
        <w:rPr>
          <w:szCs w:val="24"/>
        </w:rPr>
        <w:t>FREEDOMS</w:t>
      </w:r>
      <w:r w:rsidR="001942F9" w:rsidRPr="00EA448D">
        <w:rPr>
          <w:szCs w:val="24"/>
        </w:rPr>
        <w:t xml:space="preserve">; </w:t>
      </w:r>
      <w:r w:rsidRPr="00EA448D">
        <w:rPr>
          <w:rFonts w:cs="Arial"/>
          <w:szCs w:val="24"/>
        </w:rPr>
        <w:t>N=1,272</w:t>
      </w:r>
      <w:r w:rsidRPr="00EA448D">
        <w:rPr>
          <w:szCs w:val="24"/>
        </w:rPr>
        <w:t xml:space="preserve"> and FREEDOMS II</w:t>
      </w:r>
      <w:r w:rsidR="001942F9" w:rsidRPr="00EA448D">
        <w:rPr>
          <w:szCs w:val="24"/>
        </w:rPr>
        <w:t xml:space="preserve">; </w:t>
      </w:r>
      <w:r w:rsidRPr="00EA448D">
        <w:rPr>
          <w:rFonts w:cs="Arial"/>
          <w:szCs w:val="24"/>
        </w:rPr>
        <w:t>N=1,083</w:t>
      </w:r>
      <w:r w:rsidRPr="00EA448D">
        <w:rPr>
          <w:szCs w:val="24"/>
        </w:rPr>
        <w:t>)</w:t>
      </w:r>
      <w:r w:rsidR="003A4AD9" w:rsidRPr="00EA448D">
        <w:rPr>
          <w:szCs w:val="24"/>
        </w:rPr>
        <w:t xml:space="preserve"> and their respective extension studies</w:t>
      </w:r>
      <w:r w:rsidRPr="00EA448D">
        <w:rPr>
          <w:szCs w:val="24"/>
        </w:rPr>
        <w:t>.</w:t>
      </w:r>
      <w:r w:rsidR="003A4AD9" w:rsidRPr="00EA448D">
        <w:rPr>
          <w:szCs w:val="24"/>
        </w:rPr>
        <w:t xml:space="preserve"> </w:t>
      </w:r>
    </w:p>
    <w:p w:rsidR="00837C26" w:rsidRPr="00EA448D" w:rsidRDefault="00837C26" w:rsidP="00A627FC">
      <w:pPr>
        <w:pStyle w:val="ListParagraph"/>
        <w:numPr>
          <w:ilvl w:val="1"/>
          <w:numId w:val="1"/>
        </w:numPr>
        <w:spacing w:before="0" w:after="120"/>
        <w:jc w:val="both"/>
      </w:pPr>
      <w:r w:rsidRPr="00EA448D">
        <w:t xml:space="preserve">Details of the trials presented in the submission </w:t>
      </w:r>
      <w:proofErr w:type="gramStart"/>
      <w:r w:rsidRPr="00EA448D">
        <w:t>are provided</w:t>
      </w:r>
      <w:proofErr w:type="gramEnd"/>
      <w:r w:rsidRPr="00EA448D">
        <w:t xml:space="preserve"> in </w:t>
      </w:r>
      <w:r w:rsidR="001942F9" w:rsidRPr="00EA448D">
        <w:t>Table 3</w:t>
      </w:r>
      <w:r w:rsidRPr="00EA448D">
        <w:t>.</w:t>
      </w:r>
      <w:r w:rsidR="003A4AD9" w:rsidRPr="00EA448D">
        <w:t xml:space="preserve"> The reported citations relate to the primary publications of the trials and citations relating to conference abstracts (except for the two abstracts describing the FREEDOMS II extension) </w:t>
      </w:r>
      <w:proofErr w:type="gramStart"/>
      <w:r w:rsidR="003A4AD9" w:rsidRPr="00EA448D">
        <w:t xml:space="preserve">have </w:t>
      </w:r>
      <w:r w:rsidR="00D549E7">
        <w:t>been excluded</w:t>
      </w:r>
      <w:proofErr w:type="gramEnd"/>
      <w:r w:rsidR="003A4AD9" w:rsidRPr="00EA448D">
        <w:t>.</w:t>
      </w:r>
    </w:p>
    <w:p w:rsidR="00837C26" w:rsidRPr="00EA448D" w:rsidRDefault="00837C26" w:rsidP="00837C26">
      <w:pPr>
        <w:pStyle w:val="TableHeading0"/>
      </w:pPr>
      <w:r w:rsidRPr="00EA448D">
        <w:t>Table 3: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37"/>
        <w:gridCol w:w="5807"/>
        <w:gridCol w:w="2138"/>
      </w:tblGrid>
      <w:tr w:rsidR="00837C26" w:rsidRPr="00EA448D" w:rsidTr="00AE7068">
        <w:trPr>
          <w:tblHeader/>
        </w:trPr>
        <w:tc>
          <w:tcPr>
            <w:tcW w:w="626" w:type="pct"/>
          </w:tcPr>
          <w:p w:rsidR="00837C26" w:rsidRPr="00EA448D" w:rsidRDefault="00837C26" w:rsidP="00AE7068">
            <w:pPr>
              <w:spacing w:before="40" w:after="40"/>
              <w:rPr>
                <w:b/>
                <w:szCs w:val="20"/>
              </w:rPr>
            </w:pPr>
            <w:r w:rsidRPr="00EA448D">
              <w:rPr>
                <w:rFonts w:ascii="Arial Narrow" w:hAnsi="Arial Narrow"/>
                <w:b/>
                <w:sz w:val="20"/>
                <w:szCs w:val="20"/>
              </w:rPr>
              <w:t>Trial ID</w:t>
            </w:r>
          </w:p>
        </w:tc>
        <w:tc>
          <w:tcPr>
            <w:tcW w:w="3197" w:type="pct"/>
            <w:vAlign w:val="center"/>
          </w:tcPr>
          <w:p w:rsidR="00837C26" w:rsidRPr="00EA448D" w:rsidRDefault="00837C26" w:rsidP="00AE7068">
            <w:pPr>
              <w:spacing w:before="40" w:after="40"/>
              <w:rPr>
                <w:b/>
                <w:szCs w:val="20"/>
              </w:rPr>
            </w:pPr>
            <w:r w:rsidRPr="00EA448D">
              <w:rPr>
                <w:rFonts w:ascii="Arial Narrow" w:hAnsi="Arial Narrow"/>
                <w:b/>
                <w:sz w:val="20"/>
                <w:szCs w:val="20"/>
              </w:rPr>
              <w:t>Protocol title/ Publication title</w:t>
            </w:r>
          </w:p>
        </w:tc>
        <w:tc>
          <w:tcPr>
            <w:tcW w:w="1177" w:type="pct"/>
            <w:vAlign w:val="center"/>
          </w:tcPr>
          <w:p w:rsidR="00837C26" w:rsidRPr="00EA448D" w:rsidRDefault="00837C26" w:rsidP="00AE7068">
            <w:pPr>
              <w:spacing w:before="40" w:after="40"/>
              <w:rPr>
                <w:b/>
                <w:szCs w:val="20"/>
              </w:rPr>
            </w:pPr>
            <w:r w:rsidRPr="00EA448D">
              <w:rPr>
                <w:rFonts w:ascii="Arial Narrow" w:hAnsi="Arial Narrow"/>
                <w:b/>
                <w:sz w:val="20"/>
                <w:szCs w:val="20"/>
              </w:rPr>
              <w:t>Publication citation</w:t>
            </w:r>
          </w:p>
        </w:tc>
      </w:tr>
      <w:tr w:rsidR="00837C26" w:rsidRPr="00EA448D" w:rsidTr="00AE7068">
        <w:tc>
          <w:tcPr>
            <w:tcW w:w="5000" w:type="pct"/>
            <w:gridSpan w:val="3"/>
            <w:tcBorders>
              <w:bottom w:val="single" w:sz="4" w:space="0" w:color="auto"/>
            </w:tcBorders>
          </w:tcPr>
          <w:p w:rsidR="00837C26" w:rsidRPr="00EA448D" w:rsidRDefault="00837C26" w:rsidP="00AE7068">
            <w:pPr>
              <w:spacing w:before="40" w:after="40"/>
              <w:rPr>
                <w:szCs w:val="20"/>
              </w:rPr>
            </w:pPr>
            <w:r w:rsidRPr="00EA448D">
              <w:rPr>
                <w:rFonts w:ascii="Arial Narrow" w:hAnsi="Arial Narrow"/>
                <w:sz w:val="20"/>
                <w:szCs w:val="20"/>
              </w:rPr>
              <w:t>Direct randomised trials</w:t>
            </w:r>
          </w:p>
        </w:tc>
      </w:tr>
      <w:tr w:rsidR="00837C26" w:rsidRPr="00EA448D" w:rsidTr="00AE7068">
        <w:trPr>
          <w:trHeight w:val="70"/>
        </w:trPr>
        <w:tc>
          <w:tcPr>
            <w:tcW w:w="626" w:type="pct"/>
            <w:vMerge w:val="restart"/>
          </w:tcPr>
          <w:p w:rsidR="00837C26" w:rsidRPr="00EA448D" w:rsidRDefault="00837C26" w:rsidP="00AE7068">
            <w:pPr>
              <w:spacing w:before="40" w:after="40"/>
              <w:rPr>
                <w:szCs w:val="20"/>
              </w:rPr>
            </w:pPr>
            <w:r w:rsidRPr="00EA448D">
              <w:rPr>
                <w:rFonts w:ascii="Arial Narrow" w:hAnsi="Arial Narrow"/>
                <w:sz w:val="20"/>
                <w:szCs w:val="20"/>
              </w:rPr>
              <w:t>CLARITY</w:t>
            </w:r>
          </w:p>
        </w:tc>
        <w:tc>
          <w:tcPr>
            <w:tcW w:w="3197" w:type="pct"/>
            <w:tcBorders>
              <w:bottom w:val="nil"/>
            </w:tcBorders>
          </w:tcPr>
          <w:p w:rsidR="00837C26" w:rsidRPr="00EA448D" w:rsidRDefault="00837C26" w:rsidP="00AE7068">
            <w:pPr>
              <w:spacing w:before="40" w:after="40"/>
              <w:rPr>
                <w:rFonts w:ascii="Arial Narrow" w:eastAsia="Times New Roman" w:hAnsi="Arial Narrow" w:cs="Courier New"/>
                <w:sz w:val="20"/>
                <w:szCs w:val="20"/>
                <w:lang w:eastAsia="en-AU"/>
              </w:rPr>
            </w:pPr>
            <w:proofErr w:type="gramStart"/>
            <w:r w:rsidRPr="00EA448D">
              <w:rPr>
                <w:rFonts w:ascii="Arial Narrow" w:eastAsia="Times New Roman" w:hAnsi="Arial Narrow" w:cs="Courier New"/>
                <w:sz w:val="20"/>
                <w:szCs w:val="20"/>
                <w:lang w:eastAsia="en-AU"/>
              </w:rPr>
              <w:t>CLARITY CSR report.</w:t>
            </w:r>
            <w:proofErr w:type="gramEnd"/>
          </w:p>
        </w:tc>
        <w:tc>
          <w:tcPr>
            <w:tcW w:w="1177" w:type="pct"/>
            <w:tcBorders>
              <w:bottom w:val="nil"/>
            </w:tcBorders>
          </w:tcPr>
          <w:p w:rsidR="00837C26" w:rsidRPr="00EA448D" w:rsidRDefault="00837C26" w:rsidP="00AE7068">
            <w:pPr>
              <w:spacing w:before="40" w:after="40"/>
              <w:rPr>
                <w:rFonts w:eastAsia="Times New Roman" w:cs="Courier New"/>
                <w:szCs w:val="20"/>
                <w:lang w:eastAsia="en-AU"/>
              </w:rPr>
            </w:pPr>
            <w:r w:rsidRPr="00EA448D">
              <w:rPr>
                <w:rFonts w:ascii="Arial Narrow" w:eastAsia="Times New Roman" w:hAnsi="Arial Narrow" w:cs="Courier New"/>
                <w:sz w:val="20"/>
                <w:szCs w:val="20"/>
                <w:lang w:eastAsia="en-AU"/>
              </w:rPr>
              <w:t>18 May 2010</w:t>
            </w:r>
          </w:p>
        </w:tc>
      </w:tr>
      <w:tr w:rsidR="00837C26" w:rsidRPr="00EA448D" w:rsidTr="00AE7068">
        <w:trPr>
          <w:trHeight w:val="269"/>
        </w:trPr>
        <w:tc>
          <w:tcPr>
            <w:tcW w:w="626" w:type="pct"/>
            <w:vMerge/>
            <w:tcBorders>
              <w:bottom w:val="nil"/>
            </w:tcBorders>
          </w:tcPr>
          <w:p w:rsidR="00837C26" w:rsidRPr="00EA448D" w:rsidRDefault="00837C26" w:rsidP="00AE7068">
            <w:pPr>
              <w:spacing w:before="40" w:after="40"/>
              <w:rPr>
                <w:rFonts w:ascii="Arial Narrow" w:eastAsia="Times New Roman" w:hAnsi="Arial Narrow" w:cs="Times New Roman"/>
                <w:szCs w:val="20"/>
              </w:rPr>
            </w:pPr>
          </w:p>
        </w:tc>
        <w:tc>
          <w:tcPr>
            <w:tcW w:w="3197" w:type="pct"/>
            <w:tcBorders>
              <w:top w:val="nil"/>
              <w:bottom w:val="nil"/>
            </w:tcBorders>
          </w:tcPr>
          <w:p w:rsidR="00837C26" w:rsidRPr="00EA448D" w:rsidRDefault="00837C26" w:rsidP="00AE7068">
            <w:pPr>
              <w:spacing w:before="40" w:after="40"/>
              <w:rPr>
                <w:rFonts w:ascii="Arial Narrow" w:eastAsia="Times New Roman" w:hAnsi="Arial Narrow" w:cs="Courier New"/>
                <w:sz w:val="20"/>
                <w:szCs w:val="20"/>
                <w:lang w:eastAsia="en-AU"/>
              </w:rPr>
            </w:pPr>
            <w:r w:rsidRPr="00EA448D">
              <w:rPr>
                <w:rFonts w:ascii="Arial Narrow" w:eastAsia="Times New Roman" w:hAnsi="Arial Narrow" w:cs="Courier New"/>
                <w:sz w:val="20"/>
                <w:szCs w:val="20"/>
                <w:lang w:eastAsia="en-AU"/>
              </w:rPr>
              <w:t xml:space="preserve">Cook S et al. (2009) “Safety of </w:t>
            </w:r>
            <w:proofErr w:type="spellStart"/>
            <w:r w:rsidRPr="00EA448D">
              <w:rPr>
                <w:rFonts w:ascii="Arial Narrow" w:eastAsia="Times New Roman" w:hAnsi="Arial Narrow" w:cs="Courier New"/>
                <w:sz w:val="20"/>
                <w:szCs w:val="20"/>
                <w:lang w:eastAsia="en-AU"/>
              </w:rPr>
              <w:t>Cladribine</w:t>
            </w:r>
            <w:proofErr w:type="spellEnd"/>
            <w:r w:rsidRPr="00EA448D">
              <w:rPr>
                <w:rFonts w:ascii="Arial Narrow" w:eastAsia="Times New Roman" w:hAnsi="Arial Narrow" w:cs="Courier New"/>
                <w:sz w:val="20"/>
                <w:szCs w:val="20"/>
                <w:lang w:eastAsia="en-AU"/>
              </w:rPr>
              <w:t xml:space="preserve"> Tablets in the Treatment of Relapsing-Remitting Multiple Sclerosis (RRMS): Results from the CLARITY Study, a 96-week, Phase III, Double-blind, </w:t>
            </w:r>
            <w:proofErr w:type="gramStart"/>
            <w:r w:rsidRPr="00EA448D">
              <w:rPr>
                <w:rFonts w:ascii="Arial Narrow" w:eastAsia="Times New Roman" w:hAnsi="Arial Narrow" w:cs="Courier New"/>
                <w:sz w:val="20"/>
                <w:szCs w:val="20"/>
                <w:lang w:eastAsia="en-AU"/>
              </w:rPr>
              <w:t>Placebo</w:t>
            </w:r>
            <w:proofErr w:type="gramEnd"/>
            <w:r w:rsidRPr="00EA448D">
              <w:rPr>
                <w:rFonts w:ascii="Arial Narrow" w:eastAsia="Times New Roman" w:hAnsi="Arial Narrow" w:cs="Courier New"/>
                <w:sz w:val="20"/>
                <w:szCs w:val="20"/>
                <w:lang w:eastAsia="en-AU"/>
              </w:rPr>
              <w:t xml:space="preserve">-Controlled Trial.” </w:t>
            </w:r>
          </w:p>
        </w:tc>
        <w:tc>
          <w:tcPr>
            <w:tcW w:w="1177" w:type="pct"/>
            <w:tcBorders>
              <w:top w:val="nil"/>
              <w:bottom w:val="nil"/>
            </w:tcBorders>
          </w:tcPr>
          <w:p w:rsidR="00837C26" w:rsidRPr="00EA448D" w:rsidRDefault="00837C26" w:rsidP="00AE7068">
            <w:pPr>
              <w:spacing w:before="40" w:after="40"/>
              <w:rPr>
                <w:rFonts w:ascii="Arial Narrow" w:eastAsia="Times New Roman" w:hAnsi="Arial Narrow" w:cs="Times New Roman"/>
                <w:szCs w:val="20"/>
              </w:rPr>
            </w:pPr>
            <w:r w:rsidRPr="00EA448D">
              <w:rPr>
                <w:rFonts w:ascii="Arial Narrow" w:eastAsia="Times New Roman" w:hAnsi="Arial Narrow" w:cs="Courier New"/>
                <w:sz w:val="20"/>
                <w:szCs w:val="20"/>
                <w:lang w:eastAsia="en-AU"/>
              </w:rPr>
              <w:t>Journal of Neurology 2009; 259(Suppl. 2):S128 ;360</w:t>
            </w:r>
          </w:p>
        </w:tc>
      </w:tr>
      <w:tr w:rsidR="00837C26" w:rsidRPr="00EA448D" w:rsidTr="00AE7068">
        <w:tc>
          <w:tcPr>
            <w:tcW w:w="626" w:type="pct"/>
            <w:tcBorders>
              <w:top w:val="nil"/>
              <w:bottom w:val="nil"/>
            </w:tcBorders>
          </w:tcPr>
          <w:p w:rsidR="00837C26" w:rsidRPr="00EA448D" w:rsidRDefault="00837C26" w:rsidP="00AE7068">
            <w:pPr>
              <w:spacing w:before="40" w:after="40"/>
              <w:rPr>
                <w:szCs w:val="20"/>
              </w:rPr>
            </w:pPr>
          </w:p>
        </w:tc>
        <w:tc>
          <w:tcPr>
            <w:tcW w:w="3197" w:type="pct"/>
            <w:tcBorders>
              <w:top w:val="nil"/>
              <w:bottom w:val="nil"/>
            </w:tcBorders>
          </w:tcPr>
          <w:p w:rsidR="00837C26" w:rsidRPr="00EA448D" w:rsidRDefault="00837C26" w:rsidP="00AE7068">
            <w:pPr>
              <w:spacing w:before="40" w:after="40"/>
              <w:rPr>
                <w:rFonts w:ascii="Arial Narrow" w:eastAsia="Times New Roman" w:hAnsi="Arial Narrow" w:cs="Courier New"/>
                <w:sz w:val="20"/>
                <w:szCs w:val="20"/>
                <w:lang w:eastAsia="en-AU"/>
              </w:rPr>
            </w:pPr>
            <w:proofErr w:type="gramStart"/>
            <w:r w:rsidRPr="00EA448D">
              <w:rPr>
                <w:rFonts w:ascii="Arial Narrow" w:eastAsia="Times New Roman" w:hAnsi="Arial Narrow" w:cs="Courier New"/>
                <w:sz w:val="20"/>
                <w:szCs w:val="20"/>
                <w:lang w:eastAsia="en-AU"/>
              </w:rPr>
              <w:t>De Stefano, N., et al. "</w:t>
            </w:r>
            <w:proofErr w:type="spellStart"/>
            <w:r w:rsidRPr="00EA448D">
              <w:rPr>
                <w:rFonts w:ascii="Arial Narrow" w:eastAsia="Times New Roman" w:hAnsi="Arial Narrow" w:cs="Courier New"/>
                <w:sz w:val="20"/>
                <w:szCs w:val="20"/>
                <w:lang w:eastAsia="en-AU"/>
              </w:rPr>
              <w:t>Cladribine</w:t>
            </w:r>
            <w:proofErr w:type="spellEnd"/>
            <w:r w:rsidRPr="00EA448D">
              <w:rPr>
                <w:rFonts w:ascii="Arial Narrow" w:eastAsia="Times New Roman" w:hAnsi="Arial Narrow" w:cs="Courier New"/>
                <w:sz w:val="20"/>
                <w:szCs w:val="20"/>
                <w:lang w:eastAsia="en-AU"/>
              </w:rPr>
              <w:t xml:space="preserve"> effect on brain volume loss and its correlation with disability progression in patients with relapsing multiple sclerosis."</w:t>
            </w:r>
            <w:proofErr w:type="gramEnd"/>
            <w:r w:rsidRPr="00EA448D">
              <w:rPr>
                <w:rFonts w:ascii="Arial Narrow" w:eastAsia="Times New Roman" w:hAnsi="Arial Narrow" w:cs="Courier New"/>
                <w:sz w:val="20"/>
                <w:szCs w:val="20"/>
                <w:lang w:eastAsia="en-AU"/>
              </w:rPr>
              <w:t xml:space="preserve"> </w:t>
            </w:r>
          </w:p>
        </w:tc>
        <w:tc>
          <w:tcPr>
            <w:tcW w:w="1177" w:type="pct"/>
            <w:tcBorders>
              <w:top w:val="nil"/>
              <w:bottom w:val="nil"/>
            </w:tcBorders>
          </w:tcPr>
          <w:p w:rsidR="00837C26" w:rsidRPr="00EA448D" w:rsidRDefault="00837C26" w:rsidP="00AE7068">
            <w:pPr>
              <w:spacing w:before="40" w:after="40"/>
              <w:rPr>
                <w:rFonts w:ascii="Arial Narrow" w:eastAsia="Times New Roman" w:hAnsi="Arial Narrow" w:cs="Times New Roman"/>
                <w:szCs w:val="20"/>
              </w:rPr>
            </w:pPr>
            <w:r w:rsidRPr="00EA448D">
              <w:rPr>
                <w:rFonts w:ascii="Arial Narrow" w:eastAsia="Times New Roman" w:hAnsi="Arial Narrow" w:cs="Courier New"/>
                <w:sz w:val="20"/>
                <w:szCs w:val="20"/>
                <w:lang w:eastAsia="en-AU"/>
              </w:rPr>
              <w:t>Multiple Sclerosis 2016; 22: 216-217.</w:t>
            </w:r>
          </w:p>
        </w:tc>
      </w:tr>
      <w:tr w:rsidR="00837C26" w:rsidRPr="00EA448D" w:rsidTr="00AE7068">
        <w:trPr>
          <w:trHeight w:val="103"/>
        </w:trPr>
        <w:tc>
          <w:tcPr>
            <w:tcW w:w="626" w:type="pct"/>
            <w:tcBorders>
              <w:top w:val="nil"/>
              <w:bottom w:val="single" w:sz="4" w:space="0" w:color="auto"/>
            </w:tcBorders>
          </w:tcPr>
          <w:p w:rsidR="00837C26" w:rsidRPr="00EA448D" w:rsidRDefault="00837C26" w:rsidP="00AE7068">
            <w:pPr>
              <w:spacing w:before="40" w:after="40"/>
              <w:rPr>
                <w:szCs w:val="20"/>
              </w:rPr>
            </w:pPr>
          </w:p>
        </w:tc>
        <w:tc>
          <w:tcPr>
            <w:tcW w:w="3197" w:type="pct"/>
            <w:tcBorders>
              <w:top w:val="nil"/>
              <w:bottom w:val="single" w:sz="4" w:space="0" w:color="auto"/>
            </w:tcBorders>
          </w:tcPr>
          <w:p w:rsidR="00837C26" w:rsidRPr="00EA448D" w:rsidRDefault="00837C26" w:rsidP="00AE7068">
            <w:pPr>
              <w:spacing w:before="40" w:after="40"/>
              <w:rPr>
                <w:rFonts w:ascii="Arial Narrow" w:eastAsia="Times New Roman" w:hAnsi="Arial Narrow" w:cs="Courier New"/>
                <w:sz w:val="20"/>
                <w:szCs w:val="20"/>
                <w:lang w:eastAsia="en-AU"/>
              </w:rPr>
            </w:pPr>
            <w:proofErr w:type="spellStart"/>
            <w:r w:rsidRPr="00EA448D">
              <w:rPr>
                <w:rFonts w:ascii="Arial Narrow" w:eastAsia="Times New Roman" w:hAnsi="Arial Narrow" w:cs="Courier New"/>
                <w:sz w:val="20"/>
                <w:szCs w:val="20"/>
                <w:lang w:eastAsia="en-AU"/>
              </w:rPr>
              <w:t>Giovannoni</w:t>
            </w:r>
            <w:proofErr w:type="spellEnd"/>
            <w:r w:rsidRPr="00EA448D">
              <w:rPr>
                <w:rFonts w:ascii="Arial Narrow" w:eastAsia="Times New Roman" w:hAnsi="Arial Narrow" w:cs="Courier New"/>
                <w:sz w:val="20"/>
                <w:szCs w:val="20"/>
                <w:lang w:eastAsia="en-AU"/>
              </w:rPr>
              <w:t xml:space="preserve">, G., et al. "A placebo-controlled trial of oral </w:t>
            </w:r>
            <w:proofErr w:type="spellStart"/>
            <w:r w:rsidRPr="00EA448D">
              <w:rPr>
                <w:rFonts w:ascii="Arial Narrow" w:eastAsia="Times New Roman" w:hAnsi="Arial Narrow" w:cs="Courier New"/>
                <w:sz w:val="20"/>
                <w:szCs w:val="20"/>
                <w:lang w:eastAsia="en-AU"/>
              </w:rPr>
              <w:t>cladribine</w:t>
            </w:r>
            <w:proofErr w:type="spellEnd"/>
            <w:r w:rsidRPr="00EA448D">
              <w:rPr>
                <w:rFonts w:ascii="Arial Narrow" w:eastAsia="Times New Roman" w:hAnsi="Arial Narrow" w:cs="Courier New"/>
                <w:sz w:val="20"/>
                <w:szCs w:val="20"/>
                <w:lang w:eastAsia="en-AU"/>
              </w:rPr>
              <w:t xml:space="preserve"> for relapsing multiple sclerosis."</w:t>
            </w:r>
          </w:p>
        </w:tc>
        <w:tc>
          <w:tcPr>
            <w:tcW w:w="1177" w:type="pct"/>
            <w:tcBorders>
              <w:top w:val="nil"/>
              <w:bottom w:val="single" w:sz="4" w:space="0" w:color="auto"/>
            </w:tcBorders>
          </w:tcPr>
          <w:p w:rsidR="00837C26" w:rsidRPr="00EA448D" w:rsidRDefault="00837C26" w:rsidP="00AE7068">
            <w:pPr>
              <w:spacing w:before="40" w:after="40"/>
              <w:rPr>
                <w:szCs w:val="20"/>
              </w:rPr>
            </w:pPr>
            <w:r w:rsidRPr="00EA448D">
              <w:rPr>
                <w:rFonts w:ascii="Arial Narrow" w:eastAsia="Times New Roman" w:hAnsi="Arial Narrow" w:cs="Courier New"/>
                <w:sz w:val="20"/>
                <w:szCs w:val="20"/>
                <w:lang w:eastAsia="en-AU"/>
              </w:rPr>
              <w:t xml:space="preserve">N </w:t>
            </w:r>
            <w:proofErr w:type="spellStart"/>
            <w:r w:rsidRPr="00EA448D">
              <w:rPr>
                <w:rFonts w:ascii="Arial Narrow" w:eastAsia="Times New Roman" w:hAnsi="Arial Narrow" w:cs="Courier New"/>
                <w:sz w:val="20"/>
                <w:szCs w:val="20"/>
                <w:lang w:eastAsia="en-AU"/>
              </w:rPr>
              <w:t>Eng</w:t>
            </w:r>
            <w:proofErr w:type="spellEnd"/>
            <w:r w:rsidRPr="00EA448D">
              <w:rPr>
                <w:rFonts w:ascii="Arial Narrow" w:eastAsia="Times New Roman" w:hAnsi="Arial Narrow" w:cs="Courier New"/>
                <w:sz w:val="20"/>
                <w:szCs w:val="20"/>
                <w:lang w:eastAsia="en-AU"/>
              </w:rPr>
              <w:t xml:space="preserve"> J Med 2010; 362(5): 416-426</w:t>
            </w:r>
          </w:p>
        </w:tc>
      </w:tr>
      <w:tr w:rsidR="00837C26" w:rsidRPr="00EA448D" w:rsidTr="00AE7068">
        <w:trPr>
          <w:trHeight w:val="93"/>
        </w:trPr>
        <w:tc>
          <w:tcPr>
            <w:tcW w:w="626" w:type="pct"/>
            <w:vMerge w:val="restart"/>
          </w:tcPr>
          <w:p w:rsidR="00837C26" w:rsidRPr="00EA448D" w:rsidRDefault="003A4AD9" w:rsidP="00AE7068">
            <w:pPr>
              <w:spacing w:before="40" w:after="40"/>
              <w:rPr>
                <w:rFonts w:ascii="Arial Narrow" w:eastAsia="Times New Roman" w:hAnsi="Arial Narrow" w:cs="Times New Roman"/>
                <w:szCs w:val="20"/>
              </w:rPr>
            </w:pPr>
            <w:r w:rsidRPr="00EA448D">
              <w:rPr>
                <w:rFonts w:ascii="Arial Narrow" w:hAnsi="Arial Narrow"/>
                <w:sz w:val="20"/>
                <w:szCs w:val="20"/>
              </w:rPr>
              <w:t>CLARITY e</w:t>
            </w:r>
            <w:r w:rsidR="00837C26" w:rsidRPr="00EA448D">
              <w:rPr>
                <w:rFonts w:ascii="Arial Narrow" w:hAnsi="Arial Narrow"/>
                <w:sz w:val="20"/>
                <w:szCs w:val="20"/>
              </w:rPr>
              <w:t>xtension</w:t>
            </w:r>
          </w:p>
        </w:tc>
        <w:tc>
          <w:tcPr>
            <w:tcW w:w="3197" w:type="pct"/>
            <w:tcBorders>
              <w:bottom w:val="nil"/>
            </w:tcBorders>
          </w:tcPr>
          <w:p w:rsidR="00837C26" w:rsidRPr="00EA448D" w:rsidRDefault="00837C26" w:rsidP="00AE7068">
            <w:pPr>
              <w:spacing w:before="40" w:after="40"/>
              <w:rPr>
                <w:rFonts w:ascii="Arial Narrow" w:eastAsia="Times New Roman" w:hAnsi="Arial Narrow" w:cs="Times New Roman"/>
                <w:szCs w:val="20"/>
              </w:rPr>
            </w:pPr>
            <w:r w:rsidRPr="00EA448D">
              <w:rPr>
                <w:rFonts w:ascii="Arial Narrow" w:hAnsi="Arial Narrow"/>
                <w:sz w:val="20"/>
                <w:szCs w:val="20"/>
              </w:rPr>
              <w:t xml:space="preserve">CLARITY EXT CSR report </w:t>
            </w:r>
          </w:p>
        </w:tc>
        <w:tc>
          <w:tcPr>
            <w:tcW w:w="1177" w:type="pct"/>
            <w:tcBorders>
              <w:bottom w:val="nil"/>
            </w:tcBorders>
          </w:tcPr>
          <w:p w:rsidR="00837C26" w:rsidRPr="00EA448D" w:rsidRDefault="00837C26" w:rsidP="00AE7068">
            <w:pPr>
              <w:spacing w:before="40" w:after="40"/>
              <w:rPr>
                <w:rFonts w:ascii="Arial Narrow" w:eastAsia="Times New Roman" w:hAnsi="Arial Narrow" w:cs="Times New Roman"/>
                <w:szCs w:val="20"/>
              </w:rPr>
            </w:pPr>
            <w:r w:rsidRPr="00EA448D">
              <w:rPr>
                <w:rFonts w:ascii="Arial Narrow" w:hAnsi="Arial Narrow"/>
                <w:sz w:val="20"/>
                <w:szCs w:val="20"/>
              </w:rPr>
              <w:t>22 April 2016</w:t>
            </w:r>
          </w:p>
        </w:tc>
      </w:tr>
      <w:tr w:rsidR="00837C26" w:rsidRPr="00EA448D" w:rsidTr="00AE7068">
        <w:trPr>
          <w:trHeight w:val="368"/>
        </w:trPr>
        <w:tc>
          <w:tcPr>
            <w:tcW w:w="626" w:type="pct"/>
            <w:vMerge/>
            <w:tcBorders>
              <w:bottom w:val="single" w:sz="4" w:space="0" w:color="auto"/>
            </w:tcBorders>
          </w:tcPr>
          <w:p w:rsidR="00837C26" w:rsidRPr="00EA448D" w:rsidRDefault="00837C26" w:rsidP="00AE7068">
            <w:pPr>
              <w:spacing w:before="40" w:after="40"/>
              <w:rPr>
                <w:szCs w:val="20"/>
              </w:rPr>
            </w:pPr>
          </w:p>
        </w:tc>
        <w:tc>
          <w:tcPr>
            <w:tcW w:w="3197" w:type="pct"/>
            <w:tcBorders>
              <w:top w:val="nil"/>
              <w:bottom w:val="single" w:sz="4" w:space="0" w:color="auto"/>
            </w:tcBorders>
          </w:tcPr>
          <w:p w:rsidR="00837C26" w:rsidRPr="00EA448D" w:rsidRDefault="00837C26" w:rsidP="00AE7068">
            <w:pPr>
              <w:spacing w:before="40" w:after="40"/>
              <w:rPr>
                <w:rFonts w:ascii="Arial Narrow" w:eastAsia="Times New Roman" w:hAnsi="Arial Narrow" w:cs="Times New Roman"/>
                <w:szCs w:val="20"/>
              </w:rPr>
            </w:pPr>
            <w:proofErr w:type="spellStart"/>
            <w:r w:rsidRPr="00EA448D">
              <w:rPr>
                <w:rFonts w:ascii="Arial Narrow" w:eastAsia="Times New Roman" w:hAnsi="Arial Narrow" w:cs="Courier New"/>
                <w:sz w:val="20"/>
                <w:szCs w:val="20"/>
                <w:lang w:eastAsia="en-AU"/>
              </w:rPr>
              <w:t>Giovannoni</w:t>
            </w:r>
            <w:proofErr w:type="spellEnd"/>
            <w:r w:rsidRPr="00EA448D">
              <w:rPr>
                <w:rFonts w:ascii="Arial Narrow" w:eastAsia="Times New Roman" w:hAnsi="Arial Narrow" w:cs="Courier New"/>
                <w:sz w:val="20"/>
                <w:szCs w:val="20"/>
                <w:lang w:eastAsia="en-AU"/>
              </w:rPr>
              <w:t xml:space="preserve">, G., et al. (2016). "Benefits of </w:t>
            </w:r>
            <w:proofErr w:type="spellStart"/>
            <w:r w:rsidRPr="00EA448D">
              <w:rPr>
                <w:rFonts w:ascii="Arial Narrow" w:eastAsia="Times New Roman" w:hAnsi="Arial Narrow" w:cs="Courier New"/>
                <w:sz w:val="20"/>
                <w:szCs w:val="20"/>
                <w:lang w:eastAsia="en-AU"/>
              </w:rPr>
              <w:t>cladribine</w:t>
            </w:r>
            <w:proofErr w:type="spellEnd"/>
            <w:r w:rsidRPr="00EA448D">
              <w:rPr>
                <w:rFonts w:ascii="Arial Narrow" w:eastAsia="Times New Roman" w:hAnsi="Arial Narrow" w:cs="Courier New"/>
                <w:sz w:val="20"/>
                <w:szCs w:val="20"/>
                <w:lang w:eastAsia="en-AU"/>
              </w:rPr>
              <w:t xml:space="preserve"> tablets on the proportion of patients with multiple sclerosis free from clinical and radiological indicators of disease activity in the CLARITY EXTENSION study." </w:t>
            </w:r>
          </w:p>
        </w:tc>
        <w:tc>
          <w:tcPr>
            <w:tcW w:w="1177" w:type="pct"/>
            <w:tcBorders>
              <w:top w:val="nil"/>
              <w:bottom w:val="single" w:sz="4" w:space="0" w:color="auto"/>
            </w:tcBorders>
          </w:tcPr>
          <w:p w:rsidR="00837C26" w:rsidRPr="00EA448D" w:rsidRDefault="00837C26" w:rsidP="00AE7068">
            <w:pPr>
              <w:spacing w:before="40" w:after="40"/>
              <w:rPr>
                <w:rFonts w:ascii="Arial Narrow" w:eastAsia="Times New Roman" w:hAnsi="Arial Narrow" w:cs="Times New Roman"/>
                <w:szCs w:val="20"/>
              </w:rPr>
            </w:pPr>
            <w:r w:rsidRPr="00EA448D">
              <w:rPr>
                <w:rFonts w:ascii="Arial Narrow" w:eastAsia="Times New Roman" w:hAnsi="Arial Narrow" w:cs="Courier New"/>
                <w:sz w:val="20"/>
                <w:szCs w:val="20"/>
                <w:lang w:eastAsia="en-AU"/>
              </w:rPr>
              <w:t>Multiple Sclerosis 22: 300-301</w:t>
            </w:r>
          </w:p>
        </w:tc>
      </w:tr>
      <w:tr w:rsidR="00837C26" w:rsidRPr="00EA448D" w:rsidTr="00AE7068">
        <w:tc>
          <w:tcPr>
            <w:tcW w:w="626" w:type="pct"/>
            <w:tcBorders>
              <w:top w:val="single" w:sz="4" w:space="0" w:color="auto"/>
              <w:bottom w:val="nil"/>
            </w:tcBorders>
          </w:tcPr>
          <w:p w:rsidR="00837C26" w:rsidRPr="00EA448D" w:rsidRDefault="00837C26" w:rsidP="00AE7068">
            <w:pPr>
              <w:spacing w:before="40" w:after="40"/>
              <w:rPr>
                <w:szCs w:val="20"/>
              </w:rPr>
            </w:pPr>
            <w:r w:rsidRPr="00EA448D">
              <w:rPr>
                <w:rFonts w:ascii="Arial Narrow" w:hAnsi="Arial Narrow"/>
                <w:sz w:val="20"/>
                <w:szCs w:val="20"/>
              </w:rPr>
              <w:t xml:space="preserve">Pooled data for </w:t>
            </w:r>
            <w:proofErr w:type="spellStart"/>
            <w:r w:rsidRPr="00EA448D">
              <w:rPr>
                <w:rFonts w:ascii="Arial Narrow" w:hAnsi="Arial Narrow"/>
                <w:sz w:val="20"/>
                <w:szCs w:val="20"/>
              </w:rPr>
              <w:t>Cladribine</w:t>
            </w:r>
            <w:proofErr w:type="spellEnd"/>
          </w:p>
        </w:tc>
        <w:tc>
          <w:tcPr>
            <w:tcW w:w="3197" w:type="pct"/>
            <w:tcBorders>
              <w:top w:val="single" w:sz="4" w:space="0" w:color="auto"/>
              <w:bottom w:val="nil"/>
            </w:tcBorders>
          </w:tcPr>
          <w:p w:rsidR="00837C26" w:rsidRPr="00EA448D" w:rsidRDefault="00837C26" w:rsidP="00AE7068">
            <w:pPr>
              <w:spacing w:before="40" w:after="40"/>
              <w:rPr>
                <w:rFonts w:ascii="Arial Narrow" w:eastAsia="Times New Roman" w:hAnsi="Arial Narrow" w:cs="Courier New"/>
                <w:sz w:val="20"/>
                <w:szCs w:val="20"/>
                <w:lang w:eastAsia="en-AU"/>
              </w:rPr>
            </w:pPr>
            <w:proofErr w:type="spellStart"/>
            <w:proofErr w:type="gramStart"/>
            <w:r w:rsidRPr="00EA448D">
              <w:rPr>
                <w:rFonts w:ascii="Arial Narrow" w:eastAsia="Times New Roman" w:hAnsi="Arial Narrow" w:cs="Courier New"/>
                <w:sz w:val="20"/>
                <w:szCs w:val="20"/>
                <w:lang w:eastAsia="en-AU"/>
              </w:rPr>
              <w:t>Giovannoni</w:t>
            </w:r>
            <w:proofErr w:type="spellEnd"/>
            <w:r w:rsidRPr="00EA448D">
              <w:rPr>
                <w:rFonts w:ascii="Arial Narrow" w:eastAsia="Times New Roman" w:hAnsi="Arial Narrow" w:cs="Courier New"/>
                <w:sz w:val="20"/>
                <w:szCs w:val="20"/>
                <w:lang w:eastAsia="en-AU"/>
              </w:rPr>
              <w:t xml:space="preserve">, G., et al. "Benefits of </w:t>
            </w:r>
            <w:proofErr w:type="spellStart"/>
            <w:r w:rsidRPr="00EA448D">
              <w:rPr>
                <w:rFonts w:ascii="Arial Narrow" w:eastAsia="Times New Roman" w:hAnsi="Arial Narrow" w:cs="Courier New"/>
                <w:sz w:val="20"/>
                <w:szCs w:val="20"/>
                <w:lang w:eastAsia="en-AU"/>
              </w:rPr>
              <w:t>cladribine</w:t>
            </w:r>
            <w:proofErr w:type="spellEnd"/>
            <w:r w:rsidRPr="00EA448D">
              <w:rPr>
                <w:rFonts w:ascii="Arial Narrow" w:eastAsia="Times New Roman" w:hAnsi="Arial Narrow" w:cs="Courier New"/>
                <w:sz w:val="20"/>
                <w:szCs w:val="20"/>
                <w:lang w:eastAsia="en-AU"/>
              </w:rPr>
              <w:t xml:space="preserve"> tablets on magnetic resonance imaging (MRI) outcomes in patients with multiple sclerosis: Analysis of pooled double-blind data from the CLARITY and ONWARD studies."</w:t>
            </w:r>
            <w:proofErr w:type="gramEnd"/>
            <w:r w:rsidRPr="00EA448D">
              <w:rPr>
                <w:rFonts w:ascii="Arial Narrow" w:eastAsia="Times New Roman" w:hAnsi="Arial Narrow" w:cs="Courier New"/>
                <w:sz w:val="20"/>
                <w:szCs w:val="20"/>
                <w:lang w:eastAsia="en-AU"/>
              </w:rPr>
              <w:t xml:space="preserve"> </w:t>
            </w:r>
          </w:p>
        </w:tc>
        <w:tc>
          <w:tcPr>
            <w:tcW w:w="1177" w:type="pct"/>
            <w:tcBorders>
              <w:top w:val="single" w:sz="4" w:space="0" w:color="auto"/>
              <w:bottom w:val="nil"/>
            </w:tcBorders>
          </w:tcPr>
          <w:p w:rsidR="00837C26" w:rsidRPr="00EA448D" w:rsidRDefault="00837C26" w:rsidP="00AE7068">
            <w:pPr>
              <w:spacing w:before="40" w:after="40"/>
              <w:rPr>
                <w:rFonts w:eastAsia="Times New Roman" w:cs="Courier New"/>
                <w:szCs w:val="20"/>
                <w:lang w:eastAsia="en-AU"/>
              </w:rPr>
            </w:pPr>
            <w:r w:rsidRPr="00EA448D">
              <w:rPr>
                <w:rFonts w:ascii="Arial Narrow" w:eastAsia="Times New Roman" w:hAnsi="Arial Narrow" w:cs="Courier New"/>
                <w:sz w:val="20"/>
                <w:szCs w:val="20"/>
                <w:lang w:eastAsia="en-AU"/>
              </w:rPr>
              <w:t>Multiple Sclerosis 2016; 22: 304</w:t>
            </w:r>
          </w:p>
        </w:tc>
      </w:tr>
      <w:tr w:rsidR="00837C26" w:rsidRPr="00EA448D" w:rsidTr="00AE7068">
        <w:tc>
          <w:tcPr>
            <w:tcW w:w="626" w:type="pct"/>
            <w:tcBorders>
              <w:top w:val="nil"/>
              <w:bottom w:val="nil"/>
            </w:tcBorders>
          </w:tcPr>
          <w:p w:rsidR="00837C26" w:rsidRPr="00EA448D" w:rsidRDefault="00837C26" w:rsidP="00AE7068">
            <w:pPr>
              <w:spacing w:before="40" w:after="40"/>
              <w:rPr>
                <w:szCs w:val="20"/>
              </w:rPr>
            </w:pPr>
          </w:p>
        </w:tc>
        <w:tc>
          <w:tcPr>
            <w:tcW w:w="3197" w:type="pct"/>
            <w:tcBorders>
              <w:top w:val="nil"/>
              <w:bottom w:val="nil"/>
            </w:tcBorders>
          </w:tcPr>
          <w:p w:rsidR="00837C26" w:rsidRPr="00EA448D" w:rsidRDefault="00837C26" w:rsidP="00AE7068">
            <w:pPr>
              <w:spacing w:before="40" w:after="40"/>
              <w:rPr>
                <w:rFonts w:ascii="Arial Narrow" w:eastAsia="Times New Roman" w:hAnsi="Arial Narrow" w:cs="Courier New"/>
                <w:sz w:val="20"/>
                <w:szCs w:val="20"/>
                <w:lang w:eastAsia="en-AU"/>
              </w:rPr>
            </w:pPr>
            <w:proofErr w:type="spellStart"/>
            <w:r w:rsidRPr="00EA448D">
              <w:rPr>
                <w:rFonts w:ascii="Arial Narrow" w:eastAsia="Times New Roman" w:hAnsi="Arial Narrow" w:cs="Courier New"/>
                <w:sz w:val="20"/>
                <w:szCs w:val="20"/>
                <w:lang w:eastAsia="en-AU"/>
              </w:rPr>
              <w:t>Giovannoni</w:t>
            </w:r>
            <w:proofErr w:type="spellEnd"/>
            <w:r w:rsidRPr="00EA448D">
              <w:rPr>
                <w:rFonts w:ascii="Arial Narrow" w:eastAsia="Times New Roman" w:hAnsi="Arial Narrow" w:cs="Courier New"/>
                <w:sz w:val="20"/>
                <w:szCs w:val="20"/>
                <w:lang w:eastAsia="en-AU"/>
              </w:rPr>
              <w:t xml:space="preserve">, G., et al. "Durable efficacy of </w:t>
            </w:r>
            <w:proofErr w:type="spellStart"/>
            <w:r w:rsidRPr="00EA448D">
              <w:rPr>
                <w:rFonts w:ascii="Arial Narrow" w:eastAsia="Times New Roman" w:hAnsi="Arial Narrow" w:cs="Courier New"/>
                <w:sz w:val="20"/>
                <w:szCs w:val="20"/>
                <w:lang w:eastAsia="en-AU"/>
              </w:rPr>
              <w:t>cladribine</w:t>
            </w:r>
            <w:proofErr w:type="spellEnd"/>
            <w:r w:rsidRPr="00EA448D">
              <w:rPr>
                <w:rFonts w:ascii="Arial Narrow" w:eastAsia="Times New Roman" w:hAnsi="Arial Narrow" w:cs="Courier New"/>
                <w:sz w:val="20"/>
                <w:szCs w:val="20"/>
                <w:lang w:eastAsia="en-AU"/>
              </w:rPr>
              <w:t xml:space="preserve"> tablets in patients with multiple sclerosis: Analysis of relapse rates and relapse-free patients in the CLARITY and CLARITY Extension studies." </w:t>
            </w:r>
          </w:p>
        </w:tc>
        <w:tc>
          <w:tcPr>
            <w:tcW w:w="1177" w:type="pct"/>
            <w:tcBorders>
              <w:top w:val="nil"/>
              <w:bottom w:val="nil"/>
            </w:tcBorders>
          </w:tcPr>
          <w:p w:rsidR="00837C26" w:rsidRPr="00EA448D" w:rsidRDefault="00837C26" w:rsidP="003A4AD9">
            <w:pPr>
              <w:spacing w:before="40" w:after="40"/>
              <w:rPr>
                <w:rFonts w:eastAsia="Times New Roman" w:cs="Courier New"/>
                <w:szCs w:val="20"/>
                <w:lang w:eastAsia="en-AU"/>
              </w:rPr>
            </w:pPr>
            <w:r w:rsidRPr="00EA448D">
              <w:rPr>
                <w:rFonts w:ascii="Arial Narrow" w:eastAsia="Times New Roman" w:hAnsi="Arial Narrow" w:cs="Courier New"/>
                <w:sz w:val="20"/>
                <w:szCs w:val="20"/>
                <w:lang w:eastAsia="en-AU"/>
              </w:rPr>
              <w:t>Multiple Sclerosis 2016; 22: 48-49.</w:t>
            </w:r>
          </w:p>
        </w:tc>
      </w:tr>
      <w:tr w:rsidR="00837C26" w:rsidRPr="00EA448D" w:rsidTr="00AE7068">
        <w:tc>
          <w:tcPr>
            <w:tcW w:w="626" w:type="pct"/>
            <w:tcBorders>
              <w:top w:val="nil"/>
              <w:bottom w:val="single" w:sz="4" w:space="0" w:color="auto"/>
            </w:tcBorders>
          </w:tcPr>
          <w:p w:rsidR="00837C26" w:rsidRPr="00EA448D" w:rsidRDefault="00837C26" w:rsidP="00AE7068">
            <w:pPr>
              <w:spacing w:before="40" w:after="40"/>
              <w:rPr>
                <w:szCs w:val="20"/>
              </w:rPr>
            </w:pPr>
          </w:p>
        </w:tc>
        <w:tc>
          <w:tcPr>
            <w:tcW w:w="3197" w:type="pct"/>
            <w:tcBorders>
              <w:top w:val="nil"/>
              <w:bottom w:val="single" w:sz="4" w:space="0" w:color="auto"/>
            </w:tcBorders>
          </w:tcPr>
          <w:p w:rsidR="00837C26" w:rsidRPr="00EA448D" w:rsidRDefault="00837C26" w:rsidP="00AE7068">
            <w:pPr>
              <w:spacing w:before="40" w:after="40"/>
              <w:rPr>
                <w:rFonts w:eastAsia="Times New Roman" w:cs="Courier New"/>
                <w:szCs w:val="20"/>
                <w:lang w:eastAsia="en-AU"/>
              </w:rPr>
            </w:pPr>
            <w:proofErr w:type="spellStart"/>
            <w:r w:rsidRPr="00EA448D">
              <w:rPr>
                <w:rFonts w:ascii="Arial Narrow" w:eastAsia="Times New Roman" w:hAnsi="Arial Narrow" w:cs="Courier New"/>
                <w:sz w:val="20"/>
                <w:szCs w:val="20"/>
                <w:lang w:eastAsia="en-AU"/>
              </w:rPr>
              <w:t>Soelberg</w:t>
            </w:r>
            <w:proofErr w:type="spellEnd"/>
            <w:r w:rsidRPr="00EA448D">
              <w:rPr>
                <w:rFonts w:ascii="Arial Narrow" w:eastAsia="Times New Roman" w:hAnsi="Arial Narrow" w:cs="Courier New"/>
                <w:sz w:val="20"/>
                <w:szCs w:val="20"/>
                <w:lang w:eastAsia="en-AU"/>
              </w:rPr>
              <w:t xml:space="preserve">-Sorensen, P., et al. "Absolute lymphocyte count recovery in patients with relapsing-remitting multiple sclerosis (RRMS) treated with </w:t>
            </w:r>
            <w:proofErr w:type="spellStart"/>
            <w:r w:rsidRPr="00EA448D">
              <w:rPr>
                <w:rFonts w:ascii="Arial Narrow" w:eastAsia="Times New Roman" w:hAnsi="Arial Narrow" w:cs="Courier New"/>
                <w:sz w:val="20"/>
                <w:szCs w:val="20"/>
                <w:lang w:eastAsia="en-AU"/>
              </w:rPr>
              <w:t>cladribine</w:t>
            </w:r>
            <w:proofErr w:type="spellEnd"/>
            <w:r w:rsidRPr="00EA448D">
              <w:rPr>
                <w:rFonts w:ascii="Arial Narrow" w:eastAsia="Times New Roman" w:hAnsi="Arial Narrow" w:cs="Courier New"/>
                <w:sz w:val="20"/>
                <w:szCs w:val="20"/>
                <w:lang w:eastAsia="en-AU"/>
              </w:rPr>
              <w:t xml:space="preserve"> tablets 3.5 mg/kg in CLARITY and CLARITY Extension." </w:t>
            </w:r>
          </w:p>
        </w:tc>
        <w:tc>
          <w:tcPr>
            <w:tcW w:w="1177" w:type="pct"/>
            <w:tcBorders>
              <w:top w:val="nil"/>
              <w:bottom w:val="single" w:sz="4" w:space="0" w:color="auto"/>
            </w:tcBorders>
          </w:tcPr>
          <w:p w:rsidR="00837C26" w:rsidRPr="00EA448D" w:rsidRDefault="00837C26" w:rsidP="00AE7068">
            <w:pPr>
              <w:spacing w:before="40" w:after="40"/>
              <w:rPr>
                <w:rFonts w:eastAsia="Times New Roman" w:cs="Courier New"/>
                <w:szCs w:val="20"/>
                <w:lang w:eastAsia="en-AU"/>
              </w:rPr>
            </w:pPr>
            <w:r w:rsidRPr="00EA448D">
              <w:rPr>
                <w:rFonts w:ascii="Arial Narrow" w:eastAsia="Times New Roman" w:hAnsi="Arial Narrow" w:cs="Courier New"/>
                <w:sz w:val="20"/>
                <w:szCs w:val="20"/>
                <w:lang w:eastAsia="en-AU"/>
              </w:rPr>
              <w:t>Neurology 2017; 88(16)</w:t>
            </w:r>
          </w:p>
        </w:tc>
      </w:tr>
      <w:tr w:rsidR="00837C26" w:rsidRPr="00EA448D" w:rsidTr="00AE7068">
        <w:trPr>
          <w:trHeight w:val="768"/>
        </w:trPr>
        <w:tc>
          <w:tcPr>
            <w:tcW w:w="626" w:type="pct"/>
            <w:vMerge w:val="restart"/>
            <w:tcBorders>
              <w:bottom w:val="single" w:sz="4" w:space="0" w:color="auto"/>
            </w:tcBorders>
          </w:tcPr>
          <w:p w:rsidR="00837C26" w:rsidRPr="00EA448D" w:rsidRDefault="00837C26" w:rsidP="00AE7068">
            <w:pPr>
              <w:spacing w:before="40" w:after="40"/>
              <w:rPr>
                <w:rFonts w:ascii="Arial Narrow" w:eastAsia="Times New Roman" w:hAnsi="Arial Narrow" w:cs="Times New Roman"/>
                <w:szCs w:val="20"/>
              </w:rPr>
            </w:pPr>
            <w:r w:rsidRPr="00EA448D">
              <w:rPr>
                <w:rFonts w:ascii="Arial Narrow" w:hAnsi="Arial Narrow"/>
                <w:sz w:val="20"/>
                <w:szCs w:val="20"/>
              </w:rPr>
              <w:t>FREEDOMS</w:t>
            </w:r>
          </w:p>
        </w:tc>
        <w:tc>
          <w:tcPr>
            <w:tcW w:w="3197" w:type="pct"/>
            <w:tcBorders>
              <w:bottom w:val="nil"/>
            </w:tcBorders>
          </w:tcPr>
          <w:p w:rsidR="00837C26" w:rsidRPr="00EA448D" w:rsidRDefault="00837C26" w:rsidP="00AE7068">
            <w:pPr>
              <w:spacing w:before="40" w:after="40"/>
              <w:rPr>
                <w:rFonts w:ascii="Arial Narrow" w:eastAsia="Times New Roman" w:hAnsi="Arial Narrow" w:cs="Times New Roman"/>
                <w:sz w:val="20"/>
                <w:szCs w:val="20"/>
              </w:rPr>
            </w:pPr>
            <w:proofErr w:type="spellStart"/>
            <w:r w:rsidRPr="00EA448D">
              <w:rPr>
                <w:rFonts w:ascii="Arial Narrow" w:hAnsi="Arial Narrow"/>
                <w:sz w:val="20"/>
                <w:szCs w:val="20"/>
              </w:rPr>
              <w:t>Calabresi</w:t>
            </w:r>
            <w:proofErr w:type="spellEnd"/>
            <w:r w:rsidRPr="00EA448D">
              <w:rPr>
                <w:rFonts w:ascii="Arial Narrow" w:hAnsi="Arial Narrow"/>
                <w:sz w:val="20"/>
                <w:szCs w:val="20"/>
              </w:rPr>
              <w:t xml:space="preserve">, P. A., et al. "Safety and efficacy of </w:t>
            </w:r>
            <w:proofErr w:type="spellStart"/>
            <w:r w:rsidRPr="00EA448D">
              <w:rPr>
                <w:rFonts w:ascii="Arial Narrow" w:hAnsi="Arial Narrow"/>
                <w:sz w:val="20"/>
                <w:szCs w:val="20"/>
              </w:rPr>
              <w:t>fingolimod</w:t>
            </w:r>
            <w:proofErr w:type="spellEnd"/>
            <w:r w:rsidRPr="00EA448D">
              <w:rPr>
                <w:rFonts w:ascii="Arial Narrow" w:hAnsi="Arial Narrow"/>
                <w:sz w:val="20"/>
                <w:szCs w:val="20"/>
              </w:rPr>
              <w:t xml:space="preserve"> in patients with relapsing-remitting multiple sclerosis (FREEDOMS II): A double-blind, randomised, placebo-controlled, phase 3 trial." </w:t>
            </w:r>
          </w:p>
        </w:tc>
        <w:tc>
          <w:tcPr>
            <w:tcW w:w="1177" w:type="pct"/>
            <w:tcBorders>
              <w:bottom w:val="nil"/>
            </w:tcBorders>
          </w:tcPr>
          <w:p w:rsidR="00837C26" w:rsidRPr="00EA448D" w:rsidRDefault="00837C26" w:rsidP="00AE7068">
            <w:pPr>
              <w:spacing w:before="40" w:after="40"/>
              <w:rPr>
                <w:rFonts w:ascii="Arial Narrow" w:eastAsia="Times New Roman" w:hAnsi="Arial Narrow" w:cs="Times New Roman"/>
                <w:szCs w:val="20"/>
              </w:rPr>
            </w:pPr>
            <w:r w:rsidRPr="00EA448D">
              <w:rPr>
                <w:rFonts w:ascii="Arial Narrow" w:hAnsi="Arial Narrow"/>
                <w:sz w:val="20"/>
                <w:szCs w:val="20"/>
              </w:rPr>
              <w:t>The Lancet Neurology 2014; 13(6): 545-556.</w:t>
            </w:r>
          </w:p>
        </w:tc>
      </w:tr>
      <w:tr w:rsidR="00837C26" w:rsidRPr="00EA448D" w:rsidTr="00AE7068">
        <w:trPr>
          <w:trHeight w:val="243"/>
        </w:trPr>
        <w:tc>
          <w:tcPr>
            <w:tcW w:w="626" w:type="pct"/>
            <w:vMerge/>
            <w:tcBorders>
              <w:bottom w:val="single" w:sz="4" w:space="0" w:color="auto"/>
            </w:tcBorders>
          </w:tcPr>
          <w:p w:rsidR="00837C26" w:rsidRPr="00EA448D" w:rsidRDefault="00837C26" w:rsidP="00AE7068">
            <w:pPr>
              <w:spacing w:before="40" w:after="40"/>
              <w:rPr>
                <w:szCs w:val="20"/>
              </w:rPr>
            </w:pPr>
          </w:p>
        </w:tc>
        <w:tc>
          <w:tcPr>
            <w:tcW w:w="3197" w:type="pct"/>
            <w:tcBorders>
              <w:top w:val="nil"/>
              <w:bottom w:val="single" w:sz="4" w:space="0" w:color="auto"/>
            </w:tcBorders>
          </w:tcPr>
          <w:p w:rsidR="00837C26" w:rsidRPr="00EA448D" w:rsidRDefault="00837C26" w:rsidP="00AE7068">
            <w:pPr>
              <w:spacing w:before="40" w:after="40"/>
              <w:rPr>
                <w:rFonts w:ascii="Arial Narrow" w:hAnsi="Arial Narrow"/>
                <w:sz w:val="20"/>
                <w:szCs w:val="20"/>
              </w:rPr>
            </w:pPr>
            <w:proofErr w:type="spellStart"/>
            <w:r w:rsidRPr="00EA448D">
              <w:rPr>
                <w:rFonts w:ascii="Arial Narrow" w:hAnsi="Arial Narrow"/>
                <w:sz w:val="20"/>
                <w:szCs w:val="20"/>
              </w:rPr>
              <w:t>Kappos</w:t>
            </w:r>
            <w:proofErr w:type="spellEnd"/>
            <w:r w:rsidRPr="00EA448D">
              <w:rPr>
                <w:rFonts w:ascii="Arial Narrow" w:hAnsi="Arial Narrow"/>
                <w:sz w:val="20"/>
                <w:szCs w:val="20"/>
              </w:rPr>
              <w:t xml:space="preserve">, L., et al. "A placebo-controlled trial of oral </w:t>
            </w:r>
            <w:proofErr w:type="spellStart"/>
            <w:r w:rsidRPr="00EA448D">
              <w:rPr>
                <w:rFonts w:ascii="Arial Narrow" w:hAnsi="Arial Narrow"/>
                <w:sz w:val="20"/>
                <w:szCs w:val="20"/>
              </w:rPr>
              <w:t>fingolimod</w:t>
            </w:r>
            <w:proofErr w:type="spellEnd"/>
            <w:r w:rsidRPr="00EA448D">
              <w:rPr>
                <w:rFonts w:ascii="Arial Narrow" w:hAnsi="Arial Narrow"/>
                <w:sz w:val="20"/>
                <w:szCs w:val="20"/>
              </w:rPr>
              <w:t xml:space="preserve"> in relapsing multiple sclerosis." </w:t>
            </w:r>
          </w:p>
        </w:tc>
        <w:tc>
          <w:tcPr>
            <w:tcW w:w="1177" w:type="pct"/>
            <w:tcBorders>
              <w:top w:val="nil"/>
              <w:bottom w:val="single" w:sz="4" w:space="0" w:color="auto"/>
            </w:tcBorders>
          </w:tcPr>
          <w:p w:rsidR="00837C26" w:rsidRPr="00EA448D" w:rsidRDefault="00837C26" w:rsidP="00AE7068">
            <w:pPr>
              <w:spacing w:before="40" w:after="40"/>
              <w:rPr>
                <w:rFonts w:ascii="Arial Narrow" w:hAnsi="Arial Narrow"/>
                <w:sz w:val="20"/>
                <w:szCs w:val="20"/>
              </w:rPr>
            </w:pPr>
            <w:r w:rsidRPr="00EA448D">
              <w:rPr>
                <w:rFonts w:ascii="Arial Narrow" w:hAnsi="Arial Narrow"/>
                <w:sz w:val="20"/>
                <w:szCs w:val="20"/>
              </w:rPr>
              <w:t>New England Journal of Medicine 2010; 362(5): 387-401.</w:t>
            </w:r>
          </w:p>
        </w:tc>
      </w:tr>
      <w:tr w:rsidR="00837C26" w:rsidRPr="00EA448D" w:rsidTr="00AE7068">
        <w:trPr>
          <w:trHeight w:val="778"/>
        </w:trPr>
        <w:tc>
          <w:tcPr>
            <w:tcW w:w="626" w:type="pct"/>
            <w:vMerge w:val="restart"/>
            <w:tcBorders>
              <w:bottom w:val="single" w:sz="4" w:space="0" w:color="auto"/>
            </w:tcBorders>
          </w:tcPr>
          <w:p w:rsidR="00837C26" w:rsidRPr="00EA448D" w:rsidRDefault="00837C26" w:rsidP="00AE7068">
            <w:pPr>
              <w:spacing w:before="40" w:after="40"/>
              <w:rPr>
                <w:rFonts w:ascii="Arial Narrow" w:eastAsia="Times New Roman" w:hAnsi="Arial Narrow" w:cs="Times New Roman"/>
                <w:szCs w:val="20"/>
              </w:rPr>
            </w:pPr>
            <w:r w:rsidRPr="00EA448D">
              <w:rPr>
                <w:rFonts w:ascii="Arial Narrow" w:hAnsi="Arial Narrow"/>
                <w:sz w:val="20"/>
                <w:szCs w:val="20"/>
              </w:rPr>
              <w:t>FREEDOMS II</w:t>
            </w:r>
          </w:p>
        </w:tc>
        <w:tc>
          <w:tcPr>
            <w:tcW w:w="3197" w:type="pct"/>
            <w:tcBorders>
              <w:bottom w:val="nil"/>
            </w:tcBorders>
          </w:tcPr>
          <w:p w:rsidR="00837C26" w:rsidRPr="00EA448D" w:rsidRDefault="00837C26" w:rsidP="00AE7068">
            <w:pPr>
              <w:spacing w:before="40" w:after="40"/>
              <w:rPr>
                <w:rFonts w:ascii="Arial Narrow" w:eastAsia="Times New Roman" w:hAnsi="Arial Narrow" w:cs="Times New Roman"/>
                <w:szCs w:val="20"/>
              </w:rPr>
            </w:pPr>
            <w:proofErr w:type="spellStart"/>
            <w:r w:rsidRPr="00EA448D">
              <w:rPr>
                <w:rFonts w:ascii="Arial Narrow" w:hAnsi="Arial Narrow"/>
                <w:sz w:val="20"/>
                <w:szCs w:val="20"/>
              </w:rPr>
              <w:t>Calabresi</w:t>
            </w:r>
            <w:proofErr w:type="spellEnd"/>
            <w:r w:rsidRPr="00EA448D">
              <w:rPr>
                <w:rFonts w:ascii="Arial Narrow" w:hAnsi="Arial Narrow"/>
                <w:sz w:val="20"/>
                <w:szCs w:val="20"/>
              </w:rPr>
              <w:t xml:space="preserve"> P et al., “Efficacy and safety of </w:t>
            </w:r>
            <w:proofErr w:type="spellStart"/>
            <w:r w:rsidRPr="00EA448D">
              <w:rPr>
                <w:rFonts w:ascii="Arial Narrow" w:hAnsi="Arial Narrow"/>
                <w:sz w:val="20"/>
                <w:szCs w:val="20"/>
              </w:rPr>
              <w:t>fingolimod</w:t>
            </w:r>
            <w:proofErr w:type="spellEnd"/>
            <w:r w:rsidRPr="00EA448D">
              <w:rPr>
                <w:rFonts w:ascii="Arial Narrow" w:hAnsi="Arial Narrow"/>
                <w:sz w:val="20"/>
                <w:szCs w:val="20"/>
              </w:rPr>
              <w:t xml:space="preserve"> in patients with relapsing-remitting multiple sclerosis (RRMS): Results from an additional 24-month double-blind, placebo-controlled study (freedoms II study).” </w:t>
            </w:r>
          </w:p>
        </w:tc>
        <w:tc>
          <w:tcPr>
            <w:tcW w:w="1177" w:type="pct"/>
            <w:tcBorders>
              <w:bottom w:val="nil"/>
            </w:tcBorders>
          </w:tcPr>
          <w:p w:rsidR="00837C26" w:rsidRPr="00EA448D" w:rsidRDefault="00837C26" w:rsidP="00AE7068">
            <w:pPr>
              <w:spacing w:before="40" w:after="40"/>
              <w:rPr>
                <w:rFonts w:ascii="Arial Narrow" w:eastAsia="Times New Roman" w:hAnsi="Arial Narrow" w:cs="Times New Roman"/>
                <w:szCs w:val="20"/>
              </w:rPr>
            </w:pPr>
            <w:r w:rsidRPr="00EA448D">
              <w:rPr>
                <w:rFonts w:ascii="Arial Narrow" w:hAnsi="Arial Narrow"/>
                <w:sz w:val="20"/>
                <w:szCs w:val="20"/>
              </w:rPr>
              <w:t>Neurology 2012; 79(11): e90-e91</w:t>
            </w:r>
          </w:p>
        </w:tc>
      </w:tr>
      <w:tr w:rsidR="00837C26" w:rsidRPr="00EA448D" w:rsidTr="00AE7068">
        <w:tc>
          <w:tcPr>
            <w:tcW w:w="626" w:type="pct"/>
            <w:vMerge/>
          </w:tcPr>
          <w:p w:rsidR="00837C26" w:rsidRPr="00EA448D" w:rsidRDefault="00837C26" w:rsidP="00AE7068">
            <w:pPr>
              <w:spacing w:before="40" w:after="40"/>
              <w:rPr>
                <w:szCs w:val="20"/>
              </w:rPr>
            </w:pPr>
          </w:p>
        </w:tc>
        <w:tc>
          <w:tcPr>
            <w:tcW w:w="3197" w:type="pct"/>
            <w:tcBorders>
              <w:top w:val="nil"/>
              <w:bottom w:val="nil"/>
            </w:tcBorders>
          </w:tcPr>
          <w:p w:rsidR="00837C26" w:rsidRPr="00EA448D" w:rsidRDefault="00837C26" w:rsidP="00AE7068">
            <w:pPr>
              <w:spacing w:before="40" w:after="40"/>
              <w:rPr>
                <w:rFonts w:ascii="Arial Narrow" w:hAnsi="Arial Narrow"/>
                <w:sz w:val="20"/>
                <w:szCs w:val="20"/>
              </w:rPr>
            </w:pPr>
            <w:proofErr w:type="spellStart"/>
            <w:r w:rsidRPr="00EA448D">
              <w:rPr>
                <w:rFonts w:ascii="Arial Narrow" w:hAnsi="Arial Narrow"/>
                <w:sz w:val="20"/>
                <w:szCs w:val="20"/>
              </w:rPr>
              <w:t>Calabresi</w:t>
            </w:r>
            <w:proofErr w:type="spellEnd"/>
            <w:r w:rsidRPr="00EA448D">
              <w:rPr>
                <w:rFonts w:ascii="Arial Narrow" w:hAnsi="Arial Narrow"/>
                <w:sz w:val="20"/>
                <w:szCs w:val="20"/>
              </w:rPr>
              <w:t xml:space="preserve"> PA et al., “Efficacy and safety of </w:t>
            </w:r>
            <w:proofErr w:type="spellStart"/>
            <w:r w:rsidRPr="00EA448D">
              <w:rPr>
                <w:rFonts w:ascii="Arial Narrow" w:hAnsi="Arial Narrow"/>
                <w:sz w:val="20"/>
                <w:szCs w:val="20"/>
              </w:rPr>
              <w:t>fingolimod</w:t>
            </w:r>
            <w:proofErr w:type="spellEnd"/>
            <w:r w:rsidRPr="00EA448D">
              <w:rPr>
                <w:rFonts w:ascii="Arial Narrow" w:hAnsi="Arial Narrow"/>
                <w:sz w:val="20"/>
                <w:szCs w:val="20"/>
              </w:rPr>
              <w:t xml:space="preserve"> versus placebo: Primary outcomes from the phase 3 FREEDOMS II study in patients with relapsing-remitting multiple sclerosis.”  </w:t>
            </w:r>
          </w:p>
        </w:tc>
        <w:tc>
          <w:tcPr>
            <w:tcW w:w="1177" w:type="pct"/>
            <w:tcBorders>
              <w:top w:val="nil"/>
              <w:bottom w:val="nil"/>
            </w:tcBorders>
          </w:tcPr>
          <w:p w:rsidR="00837C26" w:rsidRPr="00EA448D" w:rsidRDefault="00837C26" w:rsidP="00AE7068">
            <w:pPr>
              <w:spacing w:before="40" w:after="40"/>
              <w:rPr>
                <w:szCs w:val="20"/>
              </w:rPr>
            </w:pPr>
            <w:r w:rsidRPr="00EA448D">
              <w:rPr>
                <w:rFonts w:ascii="Arial Narrow" w:hAnsi="Arial Narrow"/>
                <w:sz w:val="20"/>
                <w:szCs w:val="20"/>
              </w:rPr>
              <w:t xml:space="preserve">Multiple sclerosis: 2012; 18 (4) Suppl. 1; 205-6 </w:t>
            </w:r>
          </w:p>
        </w:tc>
      </w:tr>
      <w:tr w:rsidR="00837C26" w:rsidRPr="00EA448D" w:rsidTr="00AE7068">
        <w:tc>
          <w:tcPr>
            <w:tcW w:w="626" w:type="pct"/>
            <w:vMerge/>
            <w:tcBorders>
              <w:bottom w:val="single" w:sz="4" w:space="0" w:color="auto"/>
            </w:tcBorders>
          </w:tcPr>
          <w:p w:rsidR="00837C26" w:rsidRPr="00EA448D" w:rsidRDefault="00837C26" w:rsidP="00AE7068">
            <w:pPr>
              <w:spacing w:before="40" w:after="40"/>
              <w:rPr>
                <w:szCs w:val="20"/>
              </w:rPr>
            </w:pPr>
          </w:p>
        </w:tc>
        <w:tc>
          <w:tcPr>
            <w:tcW w:w="3197" w:type="pct"/>
            <w:tcBorders>
              <w:top w:val="nil"/>
              <w:bottom w:val="single" w:sz="4" w:space="0" w:color="auto"/>
            </w:tcBorders>
          </w:tcPr>
          <w:p w:rsidR="00837C26" w:rsidRPr="00EA448D" w:rsidRDefault="00837C26" w:rsidP="00AE7068">
            <w:pPr>
              <w:spacing w:before="40" w:after="40"/>
              <w:rPr>
                <w:rFonts w:ascii="Arial Narrow" w:hAnsi="Arial Narrow"/>
                <w:sz w:val="20"/>
                <w:szCs w:val="20"/>
              </w:rPr>
            </w:pPr>
            <w:proofErr w:type="spellStart"/>
            <w:r w:rsidRPr="00EA448D">
              <w:rPr>
                <w:rFonts w:ascii="Arial Narrow" w:hAnsi="Arial Narrow"/>
                <w:sz w:val="20"/>
                <w:szCs w:val="20"/>
              </w:rPr>
              <w:t>Calabresi</w:t>
            </w:r>
            <w:proofErr w:type="spellEnd"/>
            <w:r w:rsidRPr="00EA448D">
              <w:rPr>
                <w:rFonts w:ascii="Arial Narrow" w:hAnsi="Arial Narrow"/>
                <w:sz w:val="20"/>
                <w:szCs w:val="20"/>
              </w:rPr>
              <w:t xml:space="preserve">, P. A., et al. "Safety and efficacy of </w:t>
            </w:r>
            <w:proofErr w:type="spellStart"/>
            <w:r w:rsidRPr="00EA448D">
              <w:rPr>
                <w:rFonts w:ascii="Arial Narrow" w:hAnsi="Arial Narrow"/>
                <w:sz w:val="20"/>
                <w:szCs w:val="20"/>
              </w:rPr>
              <w:t>fingolimod</w:t>
            </w:r>
            <w:proofErr w:type="spellEnd"/>
            <w:r w:rsidRPr="00EA448D">
              <w:rPr>
                <w:rFonts w:ascii="Arial Narrow" w:hAnsi="Arial Narrow"/>
                <w:sz w:val="20"/>
                <w:szCs w:val="20"/>
              </w:rPr>
              <w:t xml:space="preserve"> in patients with relapsing-remitting multiple sclerosis (FREEDOMS II): A double-blind, randomised, placebo-controlled, phase 3 trial." </w:t>
            </w:r>
          </w:p>
        </w:tc>
        <w:tc>
          <w:tcPr>
            <w:tcW w:w="1177" w:type="pct"/>
            <w:tcBorders>
              <w:top w:val="nil"/>
              <w:bottom w:val="single" w:sz="4" w:space="0" w:color="auto"/>
            </w:tcBorders>
          </w:tcPr>
          <w:p w:rsidR="00837C26" w:rsidRPr="00EA448D" w:rsidRDefault="00837C26" w:rsidP="00AE7068">
            <w:pPr>
              <w:spacing w:before="40" w:after="40"/>
              <w:rPr>
                <w:szCs w:val="20"/>
              </w:rPr>
            </w:pPr>
            <w:r w:rsidRPr="00EA448D">
              <w:rPr>
                <w:rFonts w:ascii="Arial Narrow" w:hAnsi="Arial Narrow"/>
                <w:sz w:val="20"/>
                <w:szCs w:val="20"/>
              </w:rPr>
              <w:t>The Lancet Neurology 2014 13(6): 545-556</w:t>
            </w:r>
          </w:p>
        </w:tc>
      </w:tr>
      <w:tr w:rsidR="00837C26" w:rsidRPr="00EA448D" w:rsidTr="00AE7068">
        <w:tc>
          <w:tcPr>
            <w:tcW w:w="626" w:type="pct"/>
            <w:tcBorders>
              <w:bottom w:val="single" w:sz="4" w:space="0" w:color="auto"/>
            </w:tcBorders>
          </w:tcPr>
          <w:p w:rsidR="00837C26" w:rsidRPr="00EA448D" w:rsidRDefault="00837C26" w:rsidP="003A4AD9">
            <w:pPr>
              <w:spacing w:before="40" w:after="40"/>
              <w:rPr>
                <w:rFonts w:ascii="Arial Narrow" w:hAnsi="Arial Narrow"/>
                <w:sz w:val="20"/>
                <w:szCs w:val="20"/>
              </w:rPr>
            </w:pPr>
            <w:r w:rsidRPr="00EA448D">
              <w:rPr>
                <w:rFonts w:ascii="Arial Narrow" w:hAnsi="Arial Narrow"/>
                <w:sz w:val="20"/>
                <w:szCs w:val="20"/>
              </w:rPr>
              <w:t xml:space="preserve">FREEDOMS </w:t>
            </w:r>
            <w:r w:rsidR="003A4AD9" w:rsidRPr="00EA448D">
              <w:rPr>
                <w:rFonts w:ascii="Arial Narrow" w:hAnsi="Arial Narrow"/>
                <w:sz w:val="20"/>
                <w:szCs w:val="20"/>
              </w:rPr>
              <w:t>ext</w:t>
            </w:r>
            <w:r w:rsidR="003F4918" w:rsidRPr="00EA448D">
              <w:rPr>
                <w:rFonts w:ascii="Arial Narrow" w:hAnsi="Arial Narrow"/>
                <w:sz w:val="20"/>
                <w:szCs w:val="20"/>
              </w:rPr>
              <w:t>ension</w:t>
            </w:r>
          </w:p>
        </w:tc>
        <w:tc>
          <w:tcPr>
            <w:tcW w:w="3197" w:type="pct"/>
            <w:tcBorders>
              <w:top w:val="nil"/>
              <w:bottom w:val="single" w:sz="4" w:space="0" w:color="auto"/>
            </w:tcBorders>
          </w:tcPr>
          <w:p w:rsidR="00837C26" w:rsidRPr="00EA448D" w:rsidRDefault="00837C26" w:rsidP="00AE7068">
            <w:pPr>
              <w:spacing w:before="40" w:after="40"/>
              <w:rPr>
                <w:rFonts w:ascii="Arial Narrow" w:hAnsi="Arial Narrow"/>
                <w:sz w:val="20"/>
                <w:szCs w:val="20"/>
              </w:rPr>
            </w:pPr>
            <w:proofErr w:type="spellStart"/>
            <w:r w:rsidRPr="00EA448D">
              <w:rPr>
                <w:rFonts w:ascii="Arial Narrow" w:hAnsi="Arial Narrow"/>
                <w:sz w:val="20"/>
                <w:szCs w:val="20"/>
              </w:rPr>
              <w:t>Kappos</w:t>
            </w:r>
            <w:proofErr w:type="spellEnd"/>
            <w:r w:rsidRPr="00EA448D">
              <w:rPr>
                <w:rFonts w:ascii="Arial Narrow" w:hAnsi="Arial Narrow"/>
                <w:sz w:val="20"/>
                <w:szCs w:val="20"/>
              </w:rPr>
              <w:t xml:space="preserve">, L., et al. Long-term effects of </w:t>
            </w:r>
            <w:proofErr w:type="spellStart"/>
            <w:r w:rsidRPr="00EA448D">
              <w:rPr>
                <w:rFonts w:ascii="Arial Narrow" w:hAnsi="Arial Narrow"/>
                <w:sz w:val="20"/>
                <w:szCs w:val="20"/>
              </w:rPr>
              <w:t>fingolimod</w:t>
            </w:r>
            <w:proofErr w:type="spellEnd"/>
            <w:r w:rsidRPr="00EA448D">
              <w:rPr>
                <w:rFonts w:ascii="Arial Narrow" w:hAnsi="Arial Narrow"/>
                <w:sz w:val="20"/>
                <w:szCs w:val="20"/>
              </w:rPr>
              <w:t xml:space="preserve"> in multiple sclerosis: the randomized FREEDOMS extension trial.</w:t>
            </w:r>
          </w:p>
        </w:tc>
        <w:tc>
          <w:tcPr>
            <w:tcW w:w="1177" w:type="pct"/>
            <w:tcBorders>
              <w:top w:val="nil"/>
              <w:bottom w:val="single" w:sz="4" w:space="0" w:color="auto"/>
            </w:tcBorders>
          </w:tcPr>
          <w:p w:rsidR="00837C26" w:rsidRPr="00EA448D" w:rsidRDefault="00837C26" w:rsidP="00AE7068">
            <w:pPr>
              <w:spacing w:before="40" w:after="40"/>
              <w:rPr>
                <w:rFonts w:ascii="Arial Narrow" w:hAnsi="Arial Narrow"/>
                <w:sz w:val="20"/>
                <w:szCs w:val="20"/>
              </w:rPr>
            </w:pPr>
            <w:r w:rsidRPr="00EA448D">
              <w:rPr>
                <w:rFonts w:ascii="Arial Narrow" w:hAnsi="Arial Narrow"/>
                <w:sz w:val="20"/>
                <w:szCs w:val="20"/>
              </w:rPr>
              <w:t>Neurology  2015; 84(15): 1582-1591</w:t>
            </w:r>
          </w:p>
        </w:tc>
      </w:tr>
      <w:tr w:rsidR="00837C26" w:rsidRPr="00EA448D" w:rsidTr="00AE7068">
        <w:tc>
          <w:tcPr>
            <w:tcW w:w="626" w:type="pct"/>
            <w:tcBorders>
              <w:top w:val="single" w:sz="4" w:space="0" w:color="auto"/>
              <w:bottom w:val="nil"/>
            </w:tcBorders>
          </w:tcPr>
          <w:p w:rsidR="00837C26" w:rsidRPr="00EA448D" w:rsidRDefault="00837C26" w:rsidP="003A4AD9">
            <w:pPr>
              <w:spacing w:before="40" w:after="40"/>
              <w:rPr>
                <w:rFonts w:ascii="Arial Narrow" w:hAnsi="Arial Narrow"/>
                <w:sz w:val="20"/>
                <w:szCs w:val="20"/>
              </w:rPr>
            </w:pPr>
            <w:r w:rsidRPr="00EA448D">
              <w:rPr>
                <w:rFonts w:ascii="Arial Narrow" w:hAnsi="Arial Narrow"/>
                <w:sz w:val="20"/>
                <w:szCs w:val="20"/>
              </w:rPr>
              <w:t xml:space="preserve">FREEDOMS II </w:t>
            </w:r>
            <w:r w:rsidR="003A4AD9" w:rsidRPr="00EA448D">
              <w:rPr>
                <w:rFonts w:ascii="Arial Narrow" w:hAnsi="Arial Narrow"/>
                <w:sz w:val="20"/>
                <w:szCs w:val="20"/>
              </w:rPr>
              <w:t>ext</w:t>
            </w:r>
            <w:r w:rsidR="003F4918" w:rsidRPr="00EA448D">
              <w:rPr>
                <w:rFonts w:ascii="Arial Narrow" w:hAnsi="Arial Narrow"/>
                <w:sz w:val="20"/>
                <w:szCs w:val="20"/>
              </w:rPr>
              <w:t>ension</w:t>
            </w:r>
          </w:p>
        </w:tc>
        <w:tc>
          <w:tcPr>
            <w:tcW w:w="3197" w:type="pct"/>
            <w:tcBorders>
              <w:top w:val="single" w:sz="4" w:space="0" w:color="auto"/>
              <w:bottom w:val="nil"/>
            </w:tcBorders>
          </w:tcPr>
          <w:p w:rsidR="00837C26" w:rsidRPr="00EA448D" w:rsidRDefault="00837C26" w:rsidP="00AE7068">
            <w:pPr>
              <w:spacing w:before="40" w:after="40"/>
              <w:rPr>
                <w:rFonts w:ascii="Arial Narrow" w:hAnsi="Arial Narrow"/>
                <w:sz w:val="20"/>
                <w:szCs w:val="20"/>
              </w:rPr>
            </w:pPr>
            <w:r w:rsidRPr="00EA448D">
              <w:rPr>
                <w:rFonts w:ascii="Arial Narrow" w:hAnsi="Arial Narrow"/>
                <w:sz w:val="20"/>
                <w:szCs w:val="20"/>
              </w:rPr>
              <w:t xml:space="preserve">Vollmer T et al., (2013) “Long-term safety of </w:t>
            </w:r>
            <w:proofErr w:type="spellStart"/>
            <w:r w:rsidRPr="00EA448D">
              <w:rPr>
                <w:rFonts w:ascii="Arial Narrow" w:hAnsi="Arial Narrow"/>
                <w:sz w:val="20"/>
                <w:szCs w:val="20"/>
              </w:rPr>
              <w:t>fingolimod</w:t>
            </w:r>
            <w:proofErr w:type="spellEnd"/>
            <w:r w:rsidRPr="00EA448D">
              <w:rPr>
                <w:rFonts w:ascii="Arial Narrow" w:hAnsi="Arial Narrow"/>
                <w:sz w:val="20"/>
                <w:szCs w:val="20"/>
              </w:rPr>
              <w:t xml:space="preserve"> in patients with relapsing-remitting multiple sclerosis: Results from phase 3 freedoms II extension study” YR: 2013 VL: 80</w:t>
            </w:r>
          </w:p>
        </w:tc>
        <w:tc>
          <w:tcPr>
            <w:tcW w:w="1177" w:type="pct"/>
            <w:tcBorders>
              <w:top w:val="single" w:sz="4" w:space="0" w:color="auto"/>
              <w:bottom w:val="nil"/>
            </w:tcBorders>
          </w:tcPr>
          <w:p w:rsidR="00837C26" w:rsidRPr="00EA448D" w:rsidRDefault="00837C26" w:rsidP="00AE7068">
            <w:pPr>
              <w:spacing w:before="40" w:after="40"/>
              <w:rPr>
                <w:rFonts w:ascii="Arial Narrow" w:hAnsi="Arial Narrow"/>
                <w:sz w:val="20"/>
                <w:szCs w:val="20"/>
              </w:rPr>
            </w:pPr>
            <w:r w:rsidRPr="00EA448D">
              <w:rPr>
                <w:rFonts w:ascii="Arial Narrow" w:hAnsi="Arial Narrow"/>
                <w:sz w:val="20"/>
                <w:szCs w:val="20"/>
              </w:rPr>
              <w:t xml:space="preserve">Unidentified congress 2013 (abstract) </w:t>
            </w:r>
          </w:p>
        </w:tc>
      </w:tr>
      <w:tr w:rsidR="00837C26" w:rsidRPr="00EA448D" w:rsidTr="00AE7068">
        <w:tc>
          <w:tcPr>
            <w:tcW w:w="626" w:type="pct"/>
            <w:tcBorders>
              <w:top w:val="nil"/>
              <w:bottom w:val="single" w:sz="4" w:space="0" w:color="auto"/>
            </w:tcBorders>
          </w:tcPr>
          <w:p w:rsidR="00837C26" w:rsidRPr="00EA448D" w:rsidRDefault="00837C26" w:rsidP="00AE7068">
            <w:pPr>
              <w:spacing w:before="40" w:after="40"/>
              <w:rPr>
                <w:rFonts w:ascii="Arial Narrow" w:hAnsi="Arial Narrow"/>
                <w:sz w:val="20"/>
                <w:szCs w:val="20"/>
              </w:rPr>
            </w:pPr>
          </w:p>
        </w:tc>
        <w:tc>
          <w:tcPr>
            <w:tcW w:w="3197" w:type="pct"/>
            <w:tcBorders>
              <w:top w:val="nil"/>
              <w:bottom w:val="single" w:sz="4" w:space="0" w:color="auto"/>
            </w:tcBorders>
          </w:tcPr>
          <w:p w:rsidR="00837C26" w:rsidRPr="00EA448D" w:rsidRDefault="00837C26" w:rsidP="00AE7068">
            <w:pPr>
              <w:spacing w:before="40" w:after="40"/>
              <w:rPr>
                <w:rFonts w:ascii="Arial Narrow" w:hAnsi="Arial Narrow"/>
                <w:sz w:val="20"/>
                <w:szCs w:val="20"/>
              </w:rPr>
            </w:pPr>
            <w:r w:rsidRPr="00EA448D">
              <w:rPr>
                <w:rFonts w:ascii="Arial Narrow" w:hAnsi="Arial Narrow"/>
                <w:sz w:val="20"/>
                <w:szCs w:val="20"/>
              </w:rPr>
              <w:t>Cree BAC et al</w:t>
            </w:r>
            <w:proofErr w:type="gramStart"/>
            <w:r w:rsidRPr="00EA448D">
              <w:rPr>
                <w:rFonts w:ascii="Arial Narrow" w:hAnsi="Arial Narrow"/>
                <w:sz w:val="20"/>
                <w:szCs w:val="20"/>
              </w:rPr>
              <w:t>,.</w:t>
            </w:r>
            <w:proofErr w:type="gramEnd"/>
            <w:r w:rsidRPr="00EA448D">
              <w:rPr>
                <w:rFonts w:ascii="Arial Narrow" w:hAnsi="Arial Narrow"/>
                <w:sz w:val="20"/>
                <w:szCs w:val="20"/>
              </w:rPr>
              <w:t xml:space="preserve"> Long-term effects of </w:t>
            </w:r>
            <w:proofErr w:type="spellStart"/>
            <w:r w:rsidRPr="00EA448D">
              <w:rPr>
                <w:rFonts w:ascii="Arial Narrow" w:hAnsi="Arial Narrow"/>
                <w:sz w:val="20"/>
                <w:szCs w:val="20"/>
              </w:rPr>
              <w:t>fingolimod</w:t>
            </w:r>
            <w:proofErr w:type="spellEnd"/>
            <w:r w:rsidRPr="00EA448D">
              <w:rPr>
                <w:rFonts w:ascii="Arial Narrow" w:hAnsi="Arial Narrow"/>
                <w:sz w:val="20"/>
                <w:szCs w:val="20"/>
              </w:rPr>
              <w:t xml:space="preserve"> on no evidence of disease activity (NEDA) by year of treatment”. </w:t>
            </w:r>
          </w:p>
        </w:tc>
        <w:tc>
          <w:tcPr>
            <w:tcW w:w="1177" w:type="pct"/>
            <w:tcBorders>
              <w:top w:val="nil"/>
              <w:bottom w:val="single" w:sz="4" w:space="0" w:color="auto"/>
            </w:tcBorders>
          </w:tcPr>
          <w:p w:rsidR="00837C26" w:rsidRPr="00EA448D" w:rsidRDefault="00837C26" w:rsidP="00AE7068">
            <w:pPr>
              <w:spacing w:before="40" w:after="40"/>
              <w:rPr>
                <w:rFonts w:ascii="Arial Narrow" w:hAnsi="Arial Narrow"/>
                <w:sz w:val="20"/>
                <w:szCs w:val="20"/>
              </w:rPr>
            </w:pPr>
            <w:r w:rsidRPr="00EA448D">
              <w:rPr>
                <w:rFonts w:ascii="Arial Narrow" w:hAnsi="Arial Narrow"/>
                <w:sz w:val="20"/>
                <w:szCs w:val="20"/>
              </w:rPr>
              <w:t>MENACTRIMS Congress 2016; 22 (6) (abstract)</w:t>
            </w:r>
          </w:p>
        </w:tc>
      </w:tr>
      <w:tr w:rsidR="00837C26" w:rsidRPr="00EA448D" w:rsidTr="00AE7068">
        <w:tc>
          <w:tcPr>
            <w:tcW w:w="5000" w:type="pct"/>
            <w:gridSpan w:val="3"/>
            <w:tcBorders>
              <w:bottom w:val="single" w:sz="4" w:space="0" w:color="auto"/>
            </w:tcBorders>
          </w:tcPr>
          <w:p w:rsidR="00837C26" w:rsidRPr="00EA448D" w:rsidRDefault="00837C26" w:rsidP="00AE7068">
            <w:pPr>
              <w:spacing w:before="40" w:after="40"/>
              <w:rPr>
                <w:szCs w:val="20"/>
              </w:rPr>
            </w:pPr>
            <w:r w:rsidRPr="00EA448D">
              <w:rPr>
                <w:rFonts w:ascii="Arial Narrow" w:hAnsi="Arial Narrow"/>
                <w:sz w:val="20"/>
                <w:szCs w:val="20"/>
              </w:rPr>
              <w:t>Meta-analyses of direct randomised trials</w:t>
            </w:r>
          </w:p>
        </w:tc>
      </w:tr>
      <w:tr w:rsidR="00837C26" w:rsidRPr="00EA448D" w:rsidTr="00AE7068">
        <w:tc>
          <w:tcPr>
            <w:tcW w:w="626" w:type="pct"/>
            <w:vMerge w:val="restart"/>
          </w:tcPr>
          <w:p w:rsidR="00837C26" w:rsidRPr="00EA448D" w:rsidRDefault="00837C26" w:rsidP="00AE7068">
            <w:pPr>
              <w:spacing w:before="40" w:after="40"/>
              <w:rPr>
                <w:rFonts w:ascii="Arial Narrow" w:eastAsia="Times New Roman" w:hAnsi="Arial Narrow" w:cs="Times New Roman"/>
                <w:szCs w:val="20"/>
              </w:rPr>
            </w:pPr>
            <w:r w:rsidRPr="00EA448D">
              <w:rPr>
                <w:rFonts w:ascii="Arial Narrow" w:hAnsi="Arial Narrow"/>
                <w:sz w:val="20"/>
                <w:szCs w:val="20"/>
              </w:rPr>
              <w:t>Pooled FREEDOMS and FREEDOMS II</w:t>
            </w:r>
          </w:p>
        </w:tc>
        <w:tc>
          <w:tcPr>
            <w:tcW w:w="3197" w:type="pct"/>
            <w:tcBorders>
              <w:bottom w:val="nil"/>
            </w:tcBorders>
          </w:tcPr>
          <w:p w:rsidR="00837C26" w:rsidRPr="00EA448D" w:rsidRDefault="00837C26" w:rsidP="00AE7068">
            <w:pPr>
              <w:spacing w:before="40" w:after="40"/>
              <w:rPr>
                <w:rFonts w:ascii="Arial Narrow" w:eastAsia="Times New Roman" w:hAnsi="Arial Narrow" w:cs="Times New Roman"/>
                <w:szCs w:val="20"/>
              </w:rPr>
            </w:pPr>
            <w:proofErr w:type="spellStart"/>
            <w:r w:rsidRPr="00EA448D">
              <w:rPr>
                <w:rFonts w:ascii="Arial Narrow" w:hAnsi="Arial Narrow"/>
                <w:sz w:val="20"/>
                <w:szCs w:val="20"/>
              </w:rPr>
              <w:t>Agius</w:t>
            </w:r>
            <w:proofErr w:type="spellEnd"/>
            <w:r w:rsidRPr="00EA448D">
              <w:rPr>
                <w:rFonts w:ascii="Arial Narrow" w:hAnsi="Arial Narrow"/>
                <w:sz w:val="20"/>
                <w:szCs w:val="20"/>
              </w:rPr>
              <w:t xml:space="preserve"> M et al., “</w:t>
            </w:r>
            <w:proofErr w:type="spellStart"/>
            <w:r w:rsidRPr="00EA448D">
              <w:rPr>
                <w:rFonts w:ascii="Arial Narrow" w:hAnsi="Arial Narrow"/>
                <w:sz w:val="20"/>
                <w:szCs w:val="20"/>
              </w:rPr>
              <w:t>Fingolimod</w:t>
            </w:r>
            <w:proofErr w:type="spellEnd"/>
            <w:r w:rsidRPr="00EA448D">
              <w:rPr>
                <w:rFonts w:ascii="Arial Narrow" w:hAnsi="Arial Narrow"/>
                <w:sz w:val="20"/>
                <w:szCs w:val="20"/>
              </w:rPr>
              <w:t xml:space="preserve"> therapy in early multiple sclerosis: an efficacy analysis of the TRANSFORMS and FREEDOMS studies by time since first symptom.” </w:t>
            </w:r>
          </w:p>
        </w:tc>
        <w:tc>
          <w:tcPr>
            <w:tcW w:w="1177" w:type="pct"/>
            <w:tcBorders>
              <w:bottom w:val="nil"/>
            </w:tcBorders>
          </w:tcPr>
          <w:p w:rsidR="00837C26" w:rsidRPr="00EA448D" w:rsidRDefault="00837C26" w:rsidP="00AE7068">
            <w:pPr>
              <w:spacing w:before="40" w:after="40"/>
              <w:rPr>
                <w:rFonts w:ascii="Arial Narrow" w:eastAsia="Times New Roman" w:hAnsi="Arial Narrow" w:cs="Times New Roman"/>
                <w:szCs w:val="20"/>
              </w:rPr>
            </w:pPr>
            <w:r w:rsidRPr="00EA448D">
              <w:rPr>
                <w:rFonts w:ascii="Arial Narrow" w:hAnsi="Arial Narrow"/>
                <w:sz w:val="20"/>
                <w:szCs w:val="20"/>
              </w:rPr>
              <w:t>CNS neuroscience &amp; therapeutics 2014; 20(5)</w:t>
            </w:r>
          </w:p>
        </w:tc>
      </w:tr>
      <w:tr w:rsidR="00837C26" w:rsidRPr="00EA448D" w:rsidTr="00AE7068">
        <w:tc>
          <w:tcPr>
            <w:tcW w:w="626" w:type="pct"/>
            <w:vMerge/>
          </w:tcPr>
          <w:p w:rsidR="00837C26" w:rsidRPr="00EA448D" w:rsidRDefault="00837C26" w:rsidP="00AE7068">
            <w:pPr>
              <w:spacing w:before="40" w:after="40"/>
              <w:rPr>
                <w:szCs w:val="20"/>
              </w:rPr>
            </w:pPr>
          </w:p>
        </w:tc>
        <w:tc>
          <w:tcPr>
            <w:tcW w:w="3197" w:type="pct"/>
            <w:tcBorders>
              <w:top w:val="nil"/>
              <w:bottom w:val="nil"/>
            </w:tcBorders>
          </w:tcPr>
          <w:p w:rsidR="00837C26" w:rsidRPr="00EA448D" w:rsidRDefault="00837C26" w:rsidP="00AE7068">
            <w:pPr>
              <w:spacing w:before="40" w:after="40"/>
              <w:rPr>
                <w:rFonts w:ascii="Arial Narrow" w:eastAsia="Times New Roman" w:hAnsi="Arial Narrow" w:cs="Times New Roman"/>
                <w:szCs w:val="20"/>
              </w:rPr>
            </w:pPr>
            <w:proofErr w:type="spellStart"/>
            <w:r w:rsidRPr="00EA448D">
              <w:rPr>
                <w:rFonts w:ascii="Arial Narrow" w:hAnsi="Arial Narrow"/>
                <w:sz w:val="20"/>
                <w:szCs w:val="20"/>
              </w:rPr>
              <w:t>Bergvall</w:t>
            </w:r>
            <w:proofErr w:type="spellEnd"/>
            <w:r w:rsidRPr="00EA448D">
              <w:rPr>
                <w:rFonts w:ascii="Arial Narrow" w:hAnsi="Arial Narrow"/>
                <w:sz w:val="20"/>
                <w:szCs w:val="20"/>
              </w:rPr>
              <w:t xml:space="preserve"> N et al., “Effects of </w:t>
            </w:r>
            <w:proofErr w:type="spellStart"/>
            <w:r w:rsidRPr="00EA448D">
              <w:rPr>
                <w:rFonts w:ascii="Arial Narrow" w:hAnsi="Arial Narrow"/>
                <w:sz w:val="20"/>
                <w:szCs w:val="20"/>
              </w:rPr>
              <w:t>fingolimod</w:t>
            </w:r>
            <w:proofErr w:type="spellEnd"/>
            <w:r w:rsidRPr="00EA448D">
              <w:rPr>
                <w:rFonts w:ascii="Arial Narrow" w:hAnsi="Arial Narrow"/>
                <w:sz w:val="20"/>
                <w:szCs w:val="20"/>
              </w:rPr>
              <w:t xml:space="preserve"> on disability progression in patients with disability as measured by </w:t>
            </w:r>
            <w:proofErr w:type="spellStart"/>
            <w:r w:rsidRPr="00EA448D">
              <w:rPr>
                <w:rFonts w:ascii="Arial Narrow" w:hAnsi="Arial Narrow"/>
                <w:sz w:val="20"/>
                <w:szCs w:val="20"/>
              </w:rPr>
              <w:t>edss</w:t>
            </w:r>
            <w:proofErr w:type="spellEnd"/>
            <w:r w:rsidRPr="00EA448D">
              <w:rPr>
                <w:rFonts w:ascii="Arial Narrow" w:hAnsi="Arial Narrow"/>
                <w:sz w:val="20"/>
                <w:szCs w:val="20"/>
              </w:rPr>
              <w:t xml:space="preserve"> at baseline: Post-HOC analyses of freedoms I and II.” </w:t>
            </w:r>
          </w:p>
        </w:tc>
        <w:tc>
          <w:tcPr>
            <w:tcW w:w="1177" w:type="pct"/>
            <w:tcBorders>
              <w:top w:val="nil"/>
              <w:bottom w:val="nil"/>
            </w:tcBorders>
          </w:tcPr>
          <w:p w:rsidR="00837C26" w:rsidRPr="00EA448D" w:rsidRDefault="00837C26" w:rsidP="00AE7068">
            <w:pPr>
              <w:spacing w:before="40" w:after="40"/>
              <w:rPr>
                <w:szCs w:val="20"/>
              </w:rPr>
            </w:pPr>
            <w:r w:rsidRPr="00EA448D">
              <w:rPr>
                <w:rFonts w:ascii="Arial Narrow" w:hAnsi="Arial Narrow"/>
                <w:sz w:val="20"/>
                <w:szCs w:val="20"/>
              </w:rPr>
              <w:t>Neurology 2013; 80</w:t>
            </w:r>
          </w:p>
        </w:tc>
      </w:tr>
      <w:tr w:rsidR="00837C26" w:rsidRPr="00EA448D" w:rsidTr="00AE7068">
        <w:tc>
          <w:tcPr>
            <w:tcW w:w="626" w:type="pct"/>
            <w:vMerge/>
            <w:tcBorders>
              <w:bottom w:val="single" w:sz="4" w:space="0" w:color="auto"/>
            </w:tcBorders>
          </w:tcPr>
          <w:p w:rsidR="00837C26" w:rsidRPr="00EA448D" w:rsidRDefault="00837C26" w:rsidP="00AE7068">
            <w:pPr>
              <w:spacing w:before="40" w:after="40"/>
              <w:rPr>
                <w:szCs w:val="20"/>
              </w:rPr>
            </w:pPr>
          </w:p>
        </w:tc>
        <w:tc>
          <w:tcPr>
            <w:tcW w:w="3197" w:type="pct"/>
            <w:tcBorders>
              <w:top w:val="nil"/>
              <w:bottom w:val="single" w:sz="4" w:space="0" w:color="auto"/>
            </w:tcBorders>
          </w:tcPr>
          <w:p w:rsidR="00837C26" w:rsidRPr="00EA448D" w:rsidRDefault="00837C26" w:rsidP="00AE7068">
            <w:pPr>
              <w:spacing w:before="40" w:after="40"/>
              <w:rPr>
                <w:rFonts w:ascii="Arial Narrow" w:eastAsia="Times New Roman" w:hAnsi="Arial Narrow" w:cs="Times New Roman"/>
                <w:szCs w:val="20"/>
              </w:rPr>
            </w:pPr>
            <w:proofErr w:type="spellStart"/>
            <w:r w:rsidRPr="00EA448D">
              <w:rPr>
                <w:rFonts w:ascii="Arial Narrow" w:hAnsi="Arial Narrow" w:cs="Arial"/>
                <w:sz w:val="20"/>
                <w:szCs w:val="20"/>
              </w:rPr>
              <w:t>Sfikas</w:t>
            </w:r>
            <w:proofErr w:type="spellEnd"/>
            <w:r w:rsidRPr="00EA448D">
              <w:rPr>
                <w:rFonts w:ascii="Arial Narrow" w:hAnsi="Arial Narrow" w:cs="Arial"/>
                <w:sz w:val="20"/>
                <w:szCs w:val="20"/>
              </w:rPr>
              <w:t xml:space="preserve"> et al. “</w:t>
            </w:r>
            <w:r w:rsidRPr="00EA448D">
              <w:rPr>
                <w:rFonts w:ascii="Arial Narrow" w:hAnsi="Arial Narrow"/>
                <w:sz w:val="20"/>
                <w:szCs w:val="20"/>
              </w:rPr>
              <w:t xml:space="preserve">: Effect of </w:t>
            </w:r>
            <w:proofErr w:type="spellStart"/>
            <w:r w:rsidRPr="00EA448D">
              <w:rPr>
                <w:rFonts w:ascii="Arial Narrow" w:hAnsi="Arial Narrow"/>
                <w:sz w:val="20"/>
                <w:szCs w:val="20"/>
              </w:rPr>
              <w:t>fingolimod</w:t>
            </w:r>
            <w:proofErr w:type="spellEnd"/>
            <w:r w:rsidRPr="00EA448D">
              <w:rPr>
                <w:rFonts w:ascii="Arial Narrow" w:hAnsi="Arial Narrow"/>
                <w:sz w:val="20"/>
                <w:szCs w:val="20"/>
              </w:rPr>
              <w:t xml:space="preserve"> in patients with no disability as measured by EDSS at baseline: Post-Hoc analyses of freedoms I and II.” </w:t>
            </w:r>
          </w:p>
        </w:tc>
        <w:tc>
          <w:tcPr>
            <w:tcW w:w="1177" w:type="pct"/>
            <w:tcBorders>
              <w:top w:val="nil"/>
              <w:bottom w:val="single" w:sz="4" w:space="0" w:color="auto"/>
            </w:tcBorders>
          </w:tcPr>
          <w:p w:rsidR="00837C26" w:rsidRPr="00EA448D" w:rsidRDefault="00837C26" w:rsidP="00AE7068">
            <w:pPr>
              <w:spacing w:before="40" w:after="40"/>
              <w:rPr>
                <w:szCs w:val="20"/>
              </w:rPr>
            </w:pPr>
            <w:r w:rsidRPr="00EA448D">
              <w:rPr>
                <w:rFonts w:ascii="Arial Narrow" w:hAnsi="Arial Narrow"/>
                <w:sz w:val="20"/>
                <w:szCs w:val="20"/>
              </w:rPr>
              <w:t>Neurology 2013; 80(1)</w:t>
            </w:r>
          </w:p>
        </w:tc>
      </w:tr>
    </w:tbl>
    <w:p w:rsidR="00837C26" w:rsidRPr="00EA448D" w:rsidRDefault="00837C26" w:rsidP="00837C26">
      <w:pPr>
        <w:pStyle w:val="TableFooter"/>
      </w:pPr>
      <w:r w:rsidRPr="00EA448D">
        <w:t>Source: Table 2</w:t>
      </w:r>
      <w:r w:rsidR="003F4918" w:rsidRPr="00EA448D">
        <w:t>.2.2 p59-68 of the resubmission</w:t>
      </w:r>
    </w:p>
    <w:p w:rsidR="007D6C42" w:rsidRPr="00EA448D" w:rsidRDefault="007D6C42" w:rsidP="00A627FC">
      <w:pPr>
        <w:pStyle w:val="ListParagraph"/>
        <w:numPr>
          <w:ilvl w:val="1"/>
          <w:numId w:val="1"/>
        </w:numPr>
        <w:spacing w:before="0" w:after="120"/>
        <w:jc w:val="both"/>
      </w:pPr>
      <w:r w:rsidRPr="00EA448D">
        <w:t>The CLARITY and FREEDOMS trials have been previously considered by the PBAC (</w:t>
      </w:r>
      <w:proofErr w:type="spellStart"/>
      <w:r w:rsidRPr="00EA448D">
        <w:t>Cladribine</w:t>
      </w:r>
      <w:proofErr w:type="spellEnd"/>
      <w:r w:rsidRPr="00EA448D">
        <w:t>, March 2011) and (</w:t>
      </w:r>
      <w:proofErr w:type="spellStart"/>
      <w:r w:rsidRPr="00EA448D">
        <w:t>Fingolimod</w:t>
      </w:r>
      <w:proofErr w:type="spellEnd"/>
      <w:r w:rsidRPr="00EA448D">
        <w:t xml:space="preserve">, March 2011), respectively. The FREEDOMS II trial </w:t>
      </w:r>
      <w:proofErr w:type="gramStart"/>
      <w:r w:rsidRPr="00EA448D">
        <w:t>has been considered</w:t>
      </w:r>
      <w:proofErr w:type="gramEnd"/>
      <w:r w:rsidRPr="00EA448D">
        <w:t xml:space="preserve"> by the PBAC in the context of </w:t>
      </w:r>
      <w:r w:rsidR="00AE5740">
        <w:t xml:space="preserve">comparisons versus </w:t>
      </w:r>
      <w:proofErr w:type="spellStart"/>
      <w:r w:rsidR="00AE5740">
        <w:t>fingolimod</w:t>
      </w:r>
      <w:proofErr w:type="spellEnd"/>
      <w:r w:rsidR="00AE5740">
        <w:t xml:space="preserve"> (</w:t>
      </w:r>
      <w:proofErr w:type="spellStart"/>
      <w:r w:rsidR="00AE5740">
        <w:t>alemtuzumab</w:t>
      </w:r>
      <w:proofErr w:type="spellEnd"/>
      <w:r w:rsidR="00AE5740">
        <w:t xml:space="preserve"> July 2014, </w:t>
      </w:r>
      <w:proofErr w:type="spellStart"/>
      <w:r w:rsidR="00AE5740">
        <w:t>da</w:t>
      </w:r>
      <w:r w:rsidRPr="00EA448D">
        <w:t>clizumab</w:t>
      </w:r>
      <w:proofErr w:type="spellEnd"/>
      <w:r w:rsidRPr="00EA448D">
        <w:t xml:space="preserve"> November 2016).</w:t>
      </w:r>
      <w:r w:rsidR="00774FA5" w:rsidRPr="00EA448D">
        <w:t xml:space="preserve"> In </w:t>
      </w:r>
      <w:r w:rsidR="00DB3977" w:rsidRPr="00EA448D">
        <w:t>contrast</w:t>
      </w:r>
      <w:r w:rsidR="00774FA5" w:rsidRPr="00EA448D">
        <w:t xml:space="preserve"> to the March 2011 submission, the resubmission presented data from the CLARITY extension trial </w:t>
      </w:r>
      <w:r w:rsidR="00DB3977" w:rsidRPr="00EA448D">
        <w:t xml:space="preserve">as well as the </w:t>
      </w:r>
      <w:r w:rsidR="008E66B1">
        <w:t xml:space="preserve">extension </w:t>
      </w:r>
      <w:r w:rsidR="00DB3977" w:rsidRPr="00EA448D">
        <w:t xml:space="preserve">trials for </w:t>
      </w:r>
      <w:proofErr w:type="spellStart"/>
      <w:r w:rsidR="00DB3977" w:rsidRPr="00EA448D">
        <w:t>fingolimod</w:t>
      </w:r>
      <w:proofErr w:type="spellEnd"/>
      <w:r w:rsidR="00DB3977" w:rsidRPr="00EA448D">
        <w:t>.</w:t>
      </w:r>
    </w:p>
    <w:p w:rsidR="00837C26" w:rsidRPr="00EA448D" w:rsidRDefault="00837C26" w:rsidP="00A627FC">
      <w:pPr>
        <w:pStyle w:val="ListParagraph"/>
        <w:numPr>
          <w:ilvl w:val="1"/>
          <w:numId w:val="1"/>
        </w:numPr>
        <w:spacing w:before="0" w:after="120"/>
        <w:jc w:val="both"/>
      </w:pPr>
      <w:r w:rsidRPr="00EA448D">
        <w:t xml:space="preserve">The key features of the direct randomised trials </w:t>
      </w:r>
      <w:r w:rsidR="003A4AD9" w:rsidRPr="00EA448D">
        <w:t xml:space="preserve">and their extension studies </w:t>
      </w:r>
      <w:r w:rsidRPr="00EA448D">
        <w:t xml:space="preserve">are summarised </w:t>
      </w:r>
      <w:r w:rsidR="003A4AD9" w:rsidRPr="00EA448D">
        <w:t>in Table 4</w:t>
      </w:r>
      <w:r w:rsidRPr="00EA448D">
        <w:t xml:space="preserve">.  </w:t>
      </w:r>
    </w:p>
    <w:p w:rsidR="00837C26" w:rsidRPr="00EA448D" w:rsidRDefault="00837C26" w:rsidP="007967FD">
      <w:pPr>
        <w:spacing w:before="0" w:line="259" w:lineRule="auto"/>
      </w:pPr>
      <w:r w:rsidRPr="00EA448D">
        <w:t xml:space="preserve">Table 4: Key features of the included evidence </w:t>
      </w:r>
      <w:proofErr w:type="spellStart"/>
      <w:r w:rsidRPr="00EA448D">
        <w:t>cladribine</w:t>
      </w:r>
      <w:proofErr w:type="spellEnd"/>
      <w:r w:rsidRPr="00EA448D">
        <w:t xml:space="preserve"> versus </w:t>
      </w:r>
      <w:proofErr w:type="spellStart"/>
      <w:r w:rsidRPr="00EA448D">
        <w:t>fingolimod</w:t>
      </w:r>
      <w:proofErr w:type="spellEnd"/>
      <w:r w:rsidRPr="00EA448D">
        <w:t xml:space="preserve"> – indirect comparison</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0"/>
        <w:gridCol w:w="713"/>
        <w:gridCol w:w="1586"/>
        <w:gridCol w:w="1060"/>
        <w:gridCol w:w="915"/>
        <w:gridCol w:w="2955"/>
      </w:tblGrid>
      <w:tr w:rsidR="00837C26" w:rsidRPr="00EA448D" w:rsidTr="003A4AD9">
        <w:tc>
          <w:tcPr>
            <w:tcW w:w="956" w:type="pct"/>
            <w:shd w:val="clear" w:color="auto" w:fill="auto"/>
            <w:vAlign w:val="center"/>
          </w:tcPr>
          <w:p w:rsidR="00837C26" w:rsidRPr="00EA448D" w:rsidRDefault="00837C26" w:rsidP="00AE7068">
            <w:pPr>
              <w:pStyle w:val="TableText"/>
              <w:rPr>
                <w:b/>
              </w:rPr>
            </w:pPr>
            <w:r w:rsidRPr="00EA448D">
              <w:rPr>
                <w:b/>
              </w:rPr>
              <w:t>Trial</w:t>
            </w:r>
          </w:p>
        </w:tc>
        <w:tc>
          <w:tcPr>
            <w:tcW w:w="399" w:type="pct"/>
            <w:shd w:val="clear" w:color="auto" w:fill="auto"/>
            <w:vAlign w:val="center"/>
          </w:tcPr>
          <w:p w:rsidR="00837C26" w:rsidRPr="00EA448D" w:rsidRDefault="00837C26" w:rsidP="003A4AD9">
            <w:pPr>
              <w:pStyle w:val="TableText"/>
              <w:jc w:val="center"/>
              <w:rPr>
                <w:b/>
              </w:rPr>
            </w:pPr>
            <w:r w:rsidRPr="00EA448D">
              <w:rPr>
                <w:b/>
              </w:rPr>
              <w:t>N</w:t>
            </w:r>
          </w:p>
        </w:tc>
        <w:tc>
          <w:tcPr>
            <w:tcW w:w="887" w:type="pct"/>
            <w:shd w:val="clear" w:color="auto" w:fill="auto"/>
            <w:vAlign w:val="center"/>
          </w:tcPr>
          <w:p w:rsidR="00837C26" w:rsidRPr="00EA448D" w:rsidRDefault="00837C26" w:rsidP="003A4AD9">
            <w:pPr>
              <w:pStyle w:val="TableText"/>
              <w:jc w:val="center"/>
              <w:rPr>
                <w:b/>
              </w:rPr>
            </w:pPr>
            <w:r w:rsidRPr="00EA448D">
              <w:rPr>
                <w:b/>
              </w:rPr>
              <w:t>Design/ duration of follow-up</w:t>
            </w:r>
          </w:p>
        </w:tc>
        <w:tc>
          <w:tcPr>
            <w:tcW w:w="593" w:type="pct"/>
            <w:shd w:val="clear" w:color="auto" w:fill="auto"/>
            <w:vAlign w:val="center"/>
          </w:tcPr>
          <w:p w:rsidR="00837C26" w:rsidRPr="00EA448D" w:rsidRDefault="00837C26" w:rsidP="003A4AD9">
            <w:pPr>
              <w:pStyle w:val="TableText"/>
              <w:jc w:val="center"/>
              <w:rPr>
                <w:b/>
              </w:rPr>
            </w:pPr>
            <w:r w:rsidRPr="00EA448D">
              <w:rPr>
                <w:b/>
              </w:rPr>
              <w:t>Risk of bias</w:t>
            </w:r>
          </w:p>
        </w:tc>
        <w:tc>
          <w:tcPr>
            <w:tcW w:w="512" w:type="pct"/>
            <w:shd w:val="clear" w:color="auto" w:fill="auto"/>
            <w:vAlign w:val="center"/>
          </w:tcPr>
          <w:p w:rsidR="00837C26" w:rsidRPr="00EA448D" w:rsidRDefault="00837C26" w:rsidP="003A4AD9">
            <w:pPr>
              <w:pStyle w:val="TableText"/>
              <w:jc w:val="center"/>
              <w:rPr>
                <w:b/>
              </w:rPr>
            </w:pPr>
            <w:r w:rsidRPr="00EA448D">
              <w:rPr>
                <w:b/>
              </w:rPr>
              <w:t>Patient population</w:t>
            </w:r>
          </w:p>
        </w:tc>
        <w:tc>
          <w:tcPr>
            <w:tcW w:w="1653" w:type="pct"/>
            <w:shd w:val="clear" w:color="auto" w:fill="auto"/>
            <w:vAlign w:val="center"/>
          </w:tcPr>
          <w:p w:rsidR="00837C26" w:rsidRPr="00EA448D" w:rsidRDefault="00837C26" w:rsidP="003A4AD9">
            <w:pPr>
              <w:pStyle w:val="TableText"/>
              <w:jc w:val="center"/>
              <w:rPr>
                <w:b/>
              </w:rPr>
            </w:pPr>
            <w:r w:rsidRPr="00EA448D">
              <w:rPr>
                <w:b/>
              </w:rPr>
              <w:t>Outcomes</w:t>
            </w:r>
          </w:p>
        </w:tc>
      </w:tr>
      <w:tr w:rsidR="00837C26" w:rsidRPr="00EA448D" w:rsidTr="00AE7068">
        <w:tc>
          <w:tcPr>
            <w:tcW w:w="5000" w:type="pct"/>
            <w:gridSpan w:val="6"/>
            <w:shd w:val="clear" w:color="auto" w:fill="auto"/>
            <w:vAlign w:val="center"/>
          </w:tcPr>
          <w:p w:rsidR="00837C26" w:rsidRPr="00EA448D" w:rsidRDefault="00837C26" w:rsidP="00AE7068">
            <w:pPr>
              <w:pStyle w:val="TableText"/>
            </w:pPr>
            <w:proofErr w:type="spellStart"/>
            <w:r w:rsidRPr="00EA448D">
              <w:t>Cladribine</w:t>
            </w:r>
            <w:proofErr w:type="spellEnd"/>
            <w:r w:rsidRPr="00EA448D">
              <w:t xml:space="preserve"> versus placebo</w:t>
            </w:r>
          </w:p>
        </w:tc>
      </w:tr>
      <w:tr w:rsidR="00837C26" w:rsidRPr="00EA448D" w:rsidTr="003A4AD9">
        <w:tc>
          <w:tcPr>
            <w:tcW w:w="956" w:type="pct"/>
            <w:shd w:val="clear" w:color="auto" w:fill="auto"/>
            <w:vAlign w:val="center"/>
          </w:tcPr>
          <w:p w:rsidR="00837C26" w:rsidRPr="00EA448D" w:rsidRDefault="00837C26" w:rsidP="00AE7068">
            <w:pPr>
              <w:pStyle w:val="TableText"/>
            </w:pPr>
            <w:r w:rsidRPr="00EA448D">
              <w:t>CLARITY</w:t>
            </w:r>
          </w:p>
        </w:tc>
        <w:tc>
          <w:tcPr>
            <w:tcW w:w="399" w:type="pct"/>
            <w:shd w:val="clear" w:color="auto" w:fill="auto"/>
            <w:vAlign w:val="center"/>
          </w:tcPr>
          <w:p w:rsidR="00837C26" w:rsidRPr="00EA448D" w:rsidRDefault="00837C26" w:rsidP="003A4AD9">
            <w:pPr>
              <w:pStyle w:val="TableText"/>
              <w:jc w:val="center"/>
              <w:rPr>
                <w:rFonts w:eastAsia="Times New Roman" w:cs="Times New Roman"/>
              </w:rPr>
            </w:pPr>
            <w:r w:rsidRPr="00EA448D">
              <w:rPr>
                <w:rFonts w:eastAsia="Times New Roman" w:cs="Times New Roman"/>
              </w:rPr>
              <w:t>870*</w:t>
            </w:r>
          </w:p>
        </w:tc>
        <w:tc>
          <w:tcPr>
            <w:tcW w:w="887" w:type="pct"/>
            <w:shd w:val="clear" w:color="auto" w:fill="auto"/>
            <w:vAlign w:val="center"/>
          </w:tcPr>
          <w:p w:rsidR="00837C26" w:rsidRPr="00EA448D" w:rsidRDefault="00837C26" w:rsidP="003A4AD9">
            <w:pPr>
              <w:pStyle w:val="TableText"/>
              <w:jc w:val="center"/>
              <w:rPr>
                <w:rFonts w:ascii="Times" w:eastAsia="Times New Roman" w:hAnsi="Times" w:cs="Times New Roman"/>
              </w:rPr>
            </w:pPr>
            <w:r w:rsidRPr="00EA448D">
              <w:t>R, DB</w:t>
            </w:r>
          </w:p>
          <w:p w:rsidR="00837C26" w:rsidRPr="00EA448D" w:rsidRDefault="00837C26" w:rsidP="003A4AD9">
            <w:pPr>
              <w:pStyle w:val="TableText"/>
              <w:jc w:val="center"/>
              <w:rPr>
                <w:rFonts w:ascii="Times" w:eastAsia="Times New Roman" w:hAnsi="Times" w:cs="Times New Roman"/>
              </w:rPr>
            </w:pPr>
            <w:r w:rsidRPr="00EA448D">
              <w:t>96 weeks</w:t>
            </w:r>
          </w:p>
        </w:tc>
        <w:tc>
          <w:tcPr>
            <w:tcW w:w="593" w:type="pct"/>
            <w:shd w:val="clear" w:color="auto" w:fill="auto"/>
            <w:vAlign w:val="center"/>
          </w:tcPr>
          <w:p w:rsidR="00837C26" w:rsidRPr="00EA448D" w:rsidRDefault="00837C26" w:rsidP="003A4AD9">
            <w:pPr>
              <w:pStyle w:val="TableText"/>
              <w:jc w:val="center"/>
              <w:rPr>
                <w:rFonts w:ascii="Times" w:eastAsia="Times New Roman" w:hAnsi="Times" w:cs="Times New Roman"/>
              </w:rPr>
            </w:pPr>
            <w:r w:rsidRPr="00EA448D">
              <w:t>Low</w:t>
            </w:r>
          </w:p>
        </w:tc>
        <w:tc>
          <w:tcPr>
            <w:tcW w:w="512" w:type="pct"/>
            <w:shd w:val="clear" w:color="auto" w:fill="auto"/>
            <w:vAlign w:val="center"/>
          </w:tcPr>
          <w:p w:rsidR="00837C26" w:rsidRPr="00EA448D" w:rsidRDefault="00837C26" w:rsidP="003A4AD9">
            <w:pPr>
              <w:pStyle w:val="TableText"/>
              <w:jc w:val="center"/>
              <w:rPr>
                <w:rFonts w:ascii="Times" w:eastAsia="Times New Roman" w:hAnsi="Times" w:cs="Times New Roman"/>
              </w:rPr>
            </w:pPr>
            <w:r w:rsidRPr="00EA448D">
              <w:t>RRMS</w:t>
            </w:r>
          </w:p>
        </w:tc>
        <w:tc>
          <w:tcPr>
            <w:tcW w:w="1653" w:type="pct"/>
            <w:shd w:val="clear" w:color="auto" w:fill="auto"/>
            <w:vAlign w:val="center"/>
          </w:tcPr>
          <w:p w:rsidR="00837C26" w:rsidRPr="00EA448D" w:rsidRDefault="00837C26" w:rsidP="003A4AD9">
            <w:pPr>
              <w:pStyle w:val="TableText"/>
              <w:jc w:val="center"/>
              <w:rPr>
                <w:rFonts w:ascii="Times" w:eastAsia="Times New Roman" w:hAnsi="Times" w:cs="Times New Roman"/>
              </w:rPr>
            </w:pPr>
            <w:r w:rsidRPr="00EA448D">
              <w:t>ARR, % remaining relapse free, 3- month disability progression</w:t>
            </w:r>
          </w:p>
        </w:tc>
      </w:tr>
      <w:tr w:rsidR="00837C26" w:rsidRPr="00EA448D" w:rsidTr="00AE7068">
        <w:tc>
          <w:tcPr>
            <w:tcW w:w="5000" w:type="pct"/>
            <w:gridSpan w:val="6"/>
            <w:shd w:val="clear" w:color="auto" w:fill="auto"/>
            <w:vAlign w:val="center"/>
          </w:tcPr>
          <w:p w:rsidR="00837C26" w:rsidRPr="00EA448D" w:rsidRDefault="00837C26" w:rsidP="00AE7068">
            <w:pPr>
              <w:pStyle w:val="TableText"/>
            </w:pPr>
            <w:proofErr w:type="spellStart"/>
            <w:r w:rsidRPr="00EA448D">
              <w:t>Fingolimod</w:t>
            </w:r>
            <w:proofErr w:type="spellEnd"/>
            <w:r w:rsidRPr="00EA448D">
              <w:t xml:space="preserve"> versus placebo</w:t>
            </w:r>
          </w:p>
        </w:tc>
      </w:tr>
      <w:tr w:rsidR="00837C26" w:rsidRPr="00EA448D" w:rsidTr="003A4AD9">
        <w:tc>
          <w:tcPr>
            <w:tcW w:w="956" w:type="pct"/>
            <w:shd w:val="clear" w:color="auto" w:fill="auto"/>
            <w:vAlign w:val="center"/>
          </w:tcPr>
          <w:p w:rsidR="00837C26" w:rsidRPr="00EA448D" w:rsidRDefault="00837C26" w:rsidP="00AE7068">
            <w:pPr>
              <w:pStyle w:val="TableText"/>
              <w:rPr>
                <w:rFonts w:ascii="Times" w:eastAsia="Times New Roman" w:hAnsi="Times" w:cs="Times New Roman"/>
              </w:rPr>
            </w:pPr>
            <w:r w:rsidRPr="00EA448D">
              <w:t>FREEDOMS</w:t>
            </w:r>
          </w:p>
        </w:tc>
        <w:tc>
          <w:tcPr>
            <w:tcW w:w="399" w:type="pct"/>
            <w:shd w:val="clear" w:color="auto" w:fill="auto"/>
            <w:vAlign w:val="center"/>
          </w:tcPr>
          <w:p w:rsidR="00837C26" w:rsidRPr="00EA448D" w:rsidRDefault="00837C26" w:rsidP="003A4AD9">
            <w:pPr>
              <w:pStyle w:val="TableText"/>
              <w:jc w:val="center"/>
              <w:rPr>
                <w:rFonts w:eastAsia="Times New Roman" w:cs="Times New Roman"/>
              </w:rPr>
            </w:pPr>
            <w:r w:rsidRPr="00EA448D">
              <w:rPr>
                <w:rFonts w:eastAsia="Times New Roman" w:cs="Times New Roman"/>
              </w:rPr>
              <w:t>843*</w:t>
            </w:r>
          </w:p>
        </w:tc>
        <w:tc>
          <w:tcPr>
            <w:tcW w:w="887" w:type="pct"/>
            <w:shd w:val="clear" w:color="auto" w:fill="auto"/>
            <w:vAlign w:val="center"/>
          </w:tcPr>
          <w:p w:rsidR="00837C26" w:rsidRPr="00EA448D" w:rsidRDefault="00837C26" w:rsidP="003A4AD9">
            <w:pPr>
              <w:pStyle w:val="TableText"/>
              <w:jc w:val="center"/>
              <w:rPr>
                <w:rFonts w:ascii="Times" w:eastAsia="Times New Roman" w:hAnsi="Times" w:cs="Times New Roman"/>
              </w:rPr>
            </w:pPr>
            <w:r w:rsidRPr="00EA448D">
              <w:t>R, DB</w:t>
            </w:r>
          </w:p>
          <w:p w:rsidR="00837C26" w:rsidRPr="00EA448D" w:rsidRDefault="00837C26" w:rsidP="003A4AD9">
            <w:pPr>
              <w:pStyle w:val="TableText"/>
              <w:jc w:val="center"/>
              <w:rPr>
                <w:rFonts w:ascii="Times" w:eastAsia="Times New Roman" w:hAnsi="Times" w:cs="Times New Roman"/>
              </w:rPr>
            </w:pPr>
            <w:r w:rsidRPr="00EA448D">
              <w:t>96 weeks</w:t>
            </w:r>
          </w:p>
        </w:tc>
        <w:tc>
          <w:tcPr>
            <w:tcW w:w="593" w:type="pct"/>
            <w:shd w:val="clear" w:color="auto" w:fill="auto"/>
            <w:vAlign w:val="center"/>
          </w:tcPr>
          <w:p w:rsidR="00837C26" w:rsidRPr="00EA448D" w:rsidRDefault="00837C26" w:rsidP="003A4AD9">
            <w:pPr>
              <w:pStyle w:val="TableText"/>
              <w:jc w:val="center"/>
              <w:rPr>
                <w:rFonts w:ascii="Times" w:eastAsia="Times New Roman" w:hAnsi="Times" w:cs="Times New Roman"/>
              </w:rPr>
            </w:pPr>
            <w:r w:rsidRPr="00EA448D">
              <w:t>Low</w:t>
            </w:r>
          </w:p>
        </w:tc>
        <w:tc>
          <w:tcPr>
            <w:tcW w:w="512" w:type="pct"/>
            <w:vMerge w:val="restart"/>
            <w:shd w:val="clear" w:color="auto" w:fill="auto"/>
            <w:vAlign w:val="center"/>
          </w:tcPr>
          <w:p w:rsidR="00837C26" w:rsidRPr="00EA448D" w:rsidRDefault="00837C26" w:rsidP="003A4AD9">
            <w:pPr>
              <w:pStyle w:val="TableText"/>
              <w:jc w:val="center"/>
              <w:rPr>
                <w:rFonts w:ascii="Times" w:eastAsia="Times New Roman" w:hAnsi="Times" w:cs="Times New Roman"/>
              </w:rPr>
            </w:pPr>
            <w:r w:rsidRPr="00EA448D">
              <w:t>RRMS</w:t>
            </w:r>
          </w:p>
        </w:tc>
        <w:tc>
          <w:tcPr>
            <w:tcW w:w="1653" w:type="pct"/>
            <w:vMerge w:val="restart"/>
            <w:shd w:val="clear" w:color="auto" w:fill="auto"/>
            <w:vAlign w:val="center"/>
          </w:tcPr>
          <w:p w:rsidR="00837C26" w:rsidRPr="00EA448D" w:rsidRDefault="00837C26" w:rsidP="003A4AD9">
            <w:pPr>
              <w:pStyle w:val="TableText"/>
              <w:jc w:val="center"/>
              <w:rPr>
                <w:rFonts w:ascii="Times" w:eastAsia="Times New Roman" w:hAnsi="Times" w:cs="Times New Roman"/>
              </w:rPr>
            </w:pPr>
            <w:r w:rsidRPr="00EA448D">
              <w:t>ARR, % remaining relapse free, 3- month disability progression, 6 month disability progression</w:t>
            </w:r>
          </w:p>
        </w:tc>
      </w:tr>
      <w:tr w:rsidR="00837C26" w:rsidRPr="00EA448D" w:rsidTr="003A4AD9">
        <w:tc>
          <w:tcPr>
            <w:tcW w:w="956" w:type="pct"/>
            <w:shd w:val="clear" w:color="auto" w:fill="auto"/>
            <w:vAlign w:val="center"/>
          </w:tcPr>
          <w:p w:rsidR="00837C26" w:rsidRPr="00EA448D" w:rsidRDefault="00837C26" w:rsidP="00AE7068">
            <w:pPr>
              <w:pStyle w:val="TableText"/>
              <w:rPr>
                <w:rFonts w:ascii="Times" w:eastAsia="Times New Roman" w:hAnsi="Times" w:cs="Times New Roman"/>
              </w:rPr>
            </w:pPr>
            <w:r w:rsidRPr="00EA448D">
              <w:t>FREEDOMS II</w:t>
            </w:r>
          </w:p>
        </w:tc>
        <w:tc>
          <w:tcPr>
            <w:tcW w:w="399" w:type="pct"/>
            <w:shd w:val="clear" w:color="auto" w:fill="auto"/>
            <w:vAlign w:val="center"/>
          </w:tcPr>
          <w:p w:rsidR="00837C26" w:rsidRPr="00EA448D" w:rsidRDefault="00837C26" w:rsidP="003A4AD9">
            <w:pPr>
              <w:pStyle w:val="TableText"/>
              <w:jc w:val="center"/>
              <w:rPr>
                <w:rFonts w:eastAsia="Times New Roman" w:cs="Times New Roman"/>
              </w:rPr>
            </w:pPr>
            <w:r w:rsidRPr="00EA448D">
              <w:rPr>
                <w:rFonts w:eastAsia="Times New Roman" w:cs="Times New Roman"/>
              </w:rPr>
              <w:t>713*</w:t>
            </w:r>
          </w:p>
        </w:tc>
        <w:tc>
          <w:tcPr>
            <w:tcW w:w="887" w:type="pct"/>
            <w:shd w:val="clear" w:color="auto" w:fill="auto"/>
            <w:vAlign w:val="center"/>
          </w:tcPr>
          <w:p w:rsidR="00837C26" w:rsidRPr="00EA448D" w:rsidRDefault="00837C26" w:rsidP="003A4AD9">
            <w:pPr>
              <w:pStyle w:val="TableText"/>
              <w:jc w:val="center"/>
              <w:rPr>
                <w:rFonts w:ascii="Times" w:eastAsia="Times New Roman" w:hAnsi="Times" w:cs="Times New Roman"/>
              </w:rPr>
            </w:pPr>
            <w:r w:rsidRPr="00EA448D">
              <w:t>R, DB</w:t>
            </w:r>
          </w:p>
          <w:p w:rsidR="00837C26" w:rsidRPr="00EA448D" w:rsidRDefault="00837C26" w:rsidP="003A4AD9">
            <w:pPr>
              <w:pStyle w:val="TableText"/>
              <w:jc w:val="center"/>
              <w:rPr>
                <w:rFonts w:ascii="Times" w:eastAsia="Times New Roman" w:hAnsi="Times" w:cs="Times New Roman"/>
              </w:rPr>
            </w:pPr>
            <w:r w:rsidRPr="00EA448D">
              <w:t>96 weeks</w:t>
            </w:r>
          </w:p>
        </w:tc>
        <w:tc>
          <w:tcPr>
            <w:tcW w:w="593" w:type="pct"/>
            <w:shd w:val="clear" w:color="auto" w:fill="auto"/>
            <w:vAlign w:val="center"/>
          </w:tcPr>
          <w:p w:rsidR="00837C26" w:rsidRPr="00EA448D" w:rsidRDefault="00837C26" w:rsidP="003A4AD9">
            <w:pPr>
              <w:pStyle w:val="TableText"/>
              <w:jc w:val="center"/>
              <w:rPr>
                <w:rFonts w:ascii="Times" w:eastAsia="Times New Roman" w:hAnsi="Times" w:cs="Times New Roman"/>
              </w:rPr>
            </w:pPr>
            <w:r w:rsidRPr="00EA448D">
              <w:t>Low</w:t>
            </w:r>
          </w:p>
        </w:tc>
        <w:tc>
          <w:tcPr>
            <w:tcW w:w="512" w:type="pct"/>
            <w:vMerge/>
            <w:shd w:val="clear" w:color="auto" w:fill="auto"/>
            <w:vAlign w:val="center"/>
          </w:tcPr>
          <w:p w:rsidR="00837C26" w:rsidRPr="00EA448D" w:rsidRDefault="00837C26" w:rsidP="00AE7068">
            <w:pPr>
              <w:pStyle w:val="TableText"/>
              <w:rPr>
                <w:rFonts w:ascii="Times" w:eastAsia="Times New Roman" w:hAnsi="Times" w:cs="Times New Roman"/>
              </w:rPr>
            </w:pPr>
          </w:p>
        </w:tc>
        <w:tc>
          <w:tcPr>
            <w:tcW w:w="1653" w:type="pct"/>
            <w:vMerge/>
            <w:shd w:val="clear" w:color="auto" w:fill="auto"/>
            <w:vAlign w:val="center"/>
          </w:tcPr>
          <w:p w:rsidR="00837C26" w:rsidRPr="00EA448D" w:rsidRDefault="00837C26" w:rsidP="00AE7068">
            <w:pPr>
              <w:pStyle w:val="TableText"/>
              <w:rPr>
                <w:rFonts w:ascii="Times" w:eastAsia="Times New Roman" w:hAnsi="Times" w:cs="Times New Roman"/>
              </w:rPr>
            </w:pPr>
          </w:p>
        </w:tc>
      </w:tr>
      <w:tr w:rsidR="00837C26" w:rsidRPr="00EA448D" w:rsidTr="003A4AD9">
        <w:tc>
          <w:tcPr>
            <w:tcW w:w="956" w:type="pct"/>
            <w:shd w:val="clear" w:color="auto" w:fill="auto"/>
            <w:vAlign w:val="center"/>
          </w:tcPr>
          <w:p w:rsidR="00837C26" w:rsidRPr="00EA448D" w:rsidRDefault="00837C26" w:rsidP="00AE7068">
            <w:pPr>
              <w:pStyle w:val="TableText"/>
              <w:rPr>
                <w:rFonts w:ascii="Times" w:eastAsia="Times New Roman" w:hAnsi="Times" w:cs="Times New Roman"/>
              </w:rPr>
            </w:pPr>
            <w:r w:rsidRPr="00EA448D">
              <w:t>Meta-analysis</w:t>
            </w:r>
          </w:p>
        </w:tc>
        <w:tc>
          <w:tcPr>
            <w:tcW w:w="399" w:type="pct"/>
            <w:shd w:val="clear" w:color="auto" w:fill="auto"/>
            <w:vAlign w:val="center"/>
          </w:tcPr>
          <w:p w:rsidR="00837C26" w:rsidRPr="00EA448D" w:rsidRDefault="00837C26" w:rsidP="00AE7068">
            <w:pPr>
              <w:pStyle w:val="TableText"/>
              <w:rPr>
                <w:rFonts w:eastAsia="Times New Roman" w:cs="Times New Roman"/>
              </w:rPr>
            </w:pPr>
            <w:r w:rsidRPr="00EA448D">
              <w:rPr>
                <w:rFonts w:eastAsia="Times New Roman" w:cs="Times New Roman"/>
              </w:rPr>
              <w:t>NA</w:t>
            </w:r>
          </w:p>
        </w:tc>
        <w:tc>
          <w:tcPr>
            <w:tcW w:w="3645" w:type="pct"/>
            <w:gridSpan w:val="4"/>
            <w:shd w:val="clear" w:color="auto" w:fill="auto"/>
            <w:vAlign w:val="center"/>
          </w:tcPr>
          <w:p w:rsidR="00837C26" w:rsidRPr="00EA448D" w:rsidRDefault="00837C26" w:rsidP="00AE7068">
            <w:pPr>
              <w:pStyle w:val="TableText"/>
              <w:rPr>
                <w:rFonts w:ascii="Times" w:eastAsia="Times New Roman" w:hAnsi="Times" w:cs="Times New Roman"/>
              </w:rPr>
            </w:pPr>
            <w:r w:rsidRPr="00EA448D">
              <w:t>Pooled analysis of FREEDOMS and FREEDOMS II</w:t>
            </w:r>
          </w:p>
        </w:tc>
      </w:tr>
      <w:tr w:rsidR="00837C26" w:rsidRPr="00EA448D" w:rsidTr="00AE7068">
        <w:tc>
          <w:tcPr>
            <w:tcW w:w="5000" w:type="pct"/>
            <w:gridSpan w:val="6"/>
            <w:shd w:val="clear" w:color="auto" w:fill="auto"/>
            <w:vAlign w:val="center"/>
          </w:tcPr>
          <w:p w:rsidR="00837C26" w:rsidRPr="00EA448D" w:rsidRDefault="00837C26" w:rsidP="00AE7068">
            <w:pPr>
              <w:pStyle w:val="TableText"/>
            </w:pPr>
            <w:r w:rsidRPr="00EA448D">
              <w:t>Trial extensions</w:t>
            </w:r>
          </w:p>
        </w:tc>
      </w:tr>
      <w:tr w:rsidR="00837C26" w:rsidRPr="00EA448D" w:rsidTr="003A4AD9">
        <w:tc>
          <w:tcPr>
            <w:tcW w:w="956" w:type="pct"/>
            <w:shd w:val="clear" w:color="auto" w:fill="auto"/>
            <w:vAlign w:val="center"/>
          </w:tcPr>
          <w:p w:rsidR="00837C26" w:rsidRPr="00EA448D" w:rsidRDefault="003A4AD9" w:rsidP="00AE7068">
            <w:pPr>
              <w:pStyle w:val="TableText"/>
            </w:pPr>
            <w:r w:rsidRPr="00EA448D">
              <w:t xml:space="preserve">CLARITY </w:t>
            </w:r>
            <w:proofErr w:type="spellStart"/>
            <w:r w:rsidRPr="00EA448D">
              <w:t>e</w:t>
            </w:r>
            <w:r w:rsidR="00837C26" w:rsidRPr="00EA448D">
              <w:t>xt</w:t>
            </w:r>
            <w:proofErr w:type="spellEnd"/>
          </w:p>
        </w:tc>
        <w:tc>
          <w:tcPr>
            <w:tcW w:w="399" w:type="pct"/>
            <w:shd w:val="clear" w:color="auto" w:fill="auto"/>
            <w:vAlign w:val="center"/>
          </w:tcPr>
          <w:p w:rsidR="00837C26" w:rsidRPr="00EA448D" w:rsidRDefault="00837C26" w:rsidP="003A4AD9">
            <w:pPr>
              <w:pStyle w:val="TableText"/>
              <w:jc w:val="center"/>
              <w:rPr>
                <w:rFonts w:eastAsia="Times New Roman" w:cs="Times New Roman"/>
              </w:rPr>
            </w:pPr>
            <w:r w:rsidRPr="00EA448D">
              <w:rPr>
                <w:rFonts w:eastAsia="Times New Roman" w:cs="Times New Roman"/>
              </w:rPr>
              <w:t>284**</w:t>
            </w:r>
          </w:p>
        </w:tc>
        <w:tc>
          <w:tcPr>
            <w:tcW w:w="887" w:type="pct"/>
            <w:shd w:val="clear" w:color="auto" w:fill="auto"/>
            <w:vAlign w:val="center"/>
          </w:tcPr>
          <w:p w:rsidR="00837C26" w:rsidRPr="00EA448D" w:rsidRDefault="00837C26" w:rsidP="003A4AD9">
            <w:pPr>
              <w:pStyle w:val="TableText"/>
              <w:jc w:val="center"/>
            </w:pPr>
            <w:r w:rsidRPr="00EA448D">
              <w:t>R, DB</w:t>
            </w:r>
          </w:p>
        </w:tc>
        <w:tc>
          <w:tcPr>
            <w:tcW w:w="593" w:type="pct"/>
            <w:shd w:val="clear" w:color="auto" w:fill="auto"/>
            <w:vAlign w:val="center"/>
          </w:tcPr>
          <w:p w:rsidR="00837C26" w:rsidRPr="00EA448D" w:rsidRDefault="00837C26" w:rsidP="003A4AD9">
            <w:pPr>
              <w:pStyle w:val="TableText"/>
              <w:jc w:val="center"/>
            </w:pPr>
            <w:r w:rsidRPr="00EA448D">
              <w:t>Unclear</w:t>
            </w:r>
          </w:p>
        </w:tc>
        <w:tc>
          <w:tcPr>
            <w:tcW w:w="512" w:type="pct"/>
            <w:vMerge w:val="restart"/>
            <w:shd w:val="clear" w:color="auto" w:fill="auto"/>
            <w:vAlign w:val="center"/>
          </w:tcPr>
          <w:p w:rsidR="00837C26" w:rsidRPr="00EA448D" w:rsidRDefault="00837C26" w:rsidP="003A4AD9">
            <w:pPr>
              <w:pStyle w:val="TableText"/>
              <w:jc w:val="center"/>
            </w:pPr>
            <w:r w:rsidRPr="00EA448D">
              <w:t>RRMS</w:t>
            </w:r>
          </w:p>
        </w:tc>
        <w:tc>
          <w:tcPr>
            <w:tcW w:w="1653" w:type="pct"/>
            <w:vMerge w:val="restart"/>
            <w:shd w:val="clear" w:color="auto" w:fill="auto"/>
            <w:vAlign w:val="center"/>
          </w:tcPr>
          <w:p w:rsidR="00837C26" w:rsidRPr="00EA448D" w:rsidRDefault="00837C26" w:rsidP="003A4AD9">
            <w:pPr>
              <w:pStyle w:val="TableText"/>
              <w:jc w:val="center"/>
            </w:pPr>
            <w:r w:rsidRPr="00EA448D">
              <w:t>ARR, % remaining relapse free, 3- month disability progression, 6 month disability progression</w:t>
            </w:r>
          </w:p>
        </w:tc>
      </w:tr>
      <w:tr w:rsidR="00837C26" w:rsidRPr="00EA448D" w:rsidTr="003A4AD9">
        <w:tc>
          <w:tcPr>
            <w:tcW w:w="956" w:type="pct"/>
            <w:shd w:val="clear" w:color="auto" w:fill="auto"/>
            <w:vAlign w:val="center"/>
          </w:tcPr>
          <w:p w:rsidR="00837C26" w:rsidRPr="00EA448D" w:rsidRDefault="00837C26" w:rsidP="003A4AD9">
            <w:pPr>
              <w:pStyle w:val="TableText"/>
            </w:pPr>
            <w:r w:rsidRPr="00EA448D">
              <w:t xml:space="preserve">FREEDOMS </w:t>
            </w:r>
            <w:proofErr w:type="spellStart"/>
            <w:r w:rsidR="003A4AD9" w:rsidRPr="00EA448D">
              <w:t>e</w:t>
            </w:r>
            <w:r w:rsidRPr="00EA448D">
              <w:t>xt</w:t>
            </w:r>
            <w:proofErr w:type="spellEnd"/>
          </w:p>
        </w:tc>
        <w:tc>
          <w:tcPr>
            <w:tcW w:w="399" w:type="pct"/>
            <w:shd w:val="clear" w:color="auto" w:fill="auto"/>
            <w:vAlign w:val="center"/>
          </w:tcPr>
          <w:p w:rsidR="00837C26" w:rsidRPr="00EA448D" w:rsidRDefault="00837C26" w:rsidP="003A4AD9">
            <w:pPr>
              <w:pStyle w:val="TableText"/>
              <w:jc w:val="center"/>
              <w:rPr>
                <w:rFonts w:eastAsia="Times New Roman" w:cs="Times New Roman"/>
              </w:rPr>
            </w:pPr>
            <w:r w:rsidRPr="00EA448D">
              <w:rPr>
                <w:rFonts w:eastAsia="Times New Roman" w:cs="Times New Roman"/>
              </w:rPr>
              <w:t>486</w:t>
            </w:r>
          </w:p>
        </w:tc>
        <w:tc>
          <w:tcPr>
            <w:tcW w:w="887" w:type="pct"/>
            <w:shd w:val="clear" w:color="auto" w:fill="auto"/>
            <w:vAlign w:val="center"/>
          </w:tcPr>
          <w:p w:rsidR="00837C26" w:rsidRPr="00EA448D" w:rsidRDefault="00837C26" w:rsidP="003A4AD9">
            <w:pPr>
              <w:pStyle w:val="TableText"/>
              <w:jc w:val="center"/>
            </w:pPr>
            <w:r w:rsidRPr="00EA448D">
              <w:t>R, DB</w:t>
            </w:r>
          </w:p>
        </w:tc>
        <w:tc>
          <w:tcPr>
            <w:tcW w:w="593" w:type="pct"/>
            <w:shd w:val="clear" w:color="auto" w:fill="auto"/>
            <w:vAlign w:val="center"/>
          </w:tcPr>
          <w:p w:rsidR="00837C26" w:rsidRPr="00EA448D" w:rsidRDefault="00837C26" w:rsidP="003A4AD9">
            <w:pPr>
              <w:pStyle w:val="TableText"/>
              <w:jc w:val="center"/>
            </w:pPr>
            <w:r w:rsidRPr="00EA448D">
              <w:t>Unclear</w:t>
            </w:r>
          </w:p>
        </w:tc>
        <w:tc>
          <w:tcPr>
            <w:tcW w:w="512" w:type="pct"/>
            <w:vMerge/>
            <w:shd w:val="clear" w:color="auto" w:fill="auto"/>
            <w:vAlign w:val="center"/>
          </w:tcPr>
          <w:p w:rsidR="00837C26" w:rsidRPr="00EA448D" w:rsidRDefault="00837C26" w:rsidP="00AE7068">
            <w:pPr>
              <w:pStyle w:val="TableText"/>
            </w:pPr>
          </w:p>
        </w:tc>
        <w:tc>
          <w:tcPr>
            <w:tcW w:w="1653" w:type="pct"/>
            <w:vMerge/>
            <w:shd w:val="clear" w:color="auto" w:fill="auto"/>
            <w:vAlign w:val="center"/>
          </w:tcPr>
          <w:p w:rsidR="00837C26" w:rsidRPr="00EA448D" w:rsidRDefault="00837C26" w:rsidP="00AE7068">
            <w:pPr>
              <w:pStyle w:val="TableText"/>
            </w:pPr>
          </w:p>
        </w:tc>
      </w:tr>
      <w:tr w:rsidR="00837C26" w:rsidRPr="00EA448D" w:rsidTr="003A4AD9">
        <w:tc>
          <w:tcPr>
            <w:tcW w:w="956" w:type="pct"/>
            <w:shd w:val="clear" w:color="auto" w:fill="auto"/>
            <w:vAlign w:val="center"/>
          </w:tcPr>
          <w:p w:rsidR="00837C26" w:rsidRPr="00EA448D" w:rsidRDefault="003A4AD9" w:rsidP="00AE7068">
            <w:pPr>
              <w:pStyle w:val="TableText"/>
            </w:pPr>
            <w:r w:rsidRPr="00EA448D">
              <w:t xml:space="preserve">FREEDOMS II </w:t>
            </w:r>
            <w:proofErr w:type="spellStart"/>
            <w:r w:rsidRPr="00EA448D">
              <w:t>e</w:t>
            </w:r>
            <w:r w:rsidR="00837C26" w:rsidRPr="00EA448D">
              <w:t>xt</w:t>
            </w:r>
            <w:proofErr w:type="spellEnd"/>
          </w:p>
        </w:tc>
        <w:tc>
          <w:tcPr>
            <w:tcW w:w="399" w:type="pct"/>
            <w:shd w:val="clear" w:color="auto" w:fill="auto"/>
            <w:vAlign w:val="center"/>
          </w:tcPr>
          <w:p w:rsidR="00837C26" w:rsidRPr="00EA448D" w:rsidRDefault="00837C26" w:rsidP="003A4AD9">
            <w:pPr>
              <w:pStyle w:val="TableText"/>
              <w:jc w:val="center"/>
              <w:rPr>
                <w:rFonts w:eastAsia="Times New Roman" w:cs="Times New Roman"/>
              </w:rPr>
            </w:pPr>
            <w:r w:rsidRPr="00EA448D">
              <w:rPr>
                <w:rFonts w:eastAsia="Times New Roman" w:cs="Times New Roman"/>
              </w:rPr>
              <w:t>632</w:t>
            </w:r>
          </w:p>
        </w:tc>
        <w:tc>
          <w:tcPr>
            <w:tcW w:w="887" w:type="pct"/>
            <w:shd w:val="clear" w:color="auto" w:fill="auto"/>
            <w:vAlign w:val="center"/>
          </w:tcPr>
          <w:p w:rsidR="00837C26" w:rsidRPr="00EA448D" w:rsidRDefault="00837C26" w:rsidP="003A4AD9">
            <w:pPr>
              <w:pStyle w:val="TableText"/>
              <w:jc w:val="center"/>
            </w:pPr>
            <w:r w:rsidRPr="00EA448D">
              <w:t>Trial design not reported,</w:t>
            </w:r>
          </w:p>
        </w:tc>
        <w:tc>
          <w:tcPr>
            <w:tcW w:w="593" w:type="pct"/>
            <w:shd w:val="clear" w:color="auto" w:fill="auto"/>
            <w:vAlign w:val="center"/>
          </w:tcPr>
          <w:p w:rsidR="00837C26" w:rsidRPr="00EA448D" w:rsidRDefault="00837C26" w:rsidP="003A4AD9">
            <w:pPr>
              <w:pStyle w:val="TableText"/>
              <w:jc w:val="center"/>
            </w:pPr>
            <w:r w:rsidRPr="00EA448D">
              <w:t>Unclear</w:t>
            </w:r>
          </w:p>
        </w:tc>
        <w:tc>
          <w:tcPr>
            <w:tcW w:w="512" w:type="pct"/>
            <w:vMerge/>
            <w:shd w:val="clear" w:color="auto" w:fill="auto"/>
            <w:vAlign w:val="center"/>
          </w:tcPr>
          <w:p w:rsidR="00837C26" w:rsidRPr="00EA448D" w:rsidRDefault="00837C26" w:rsidP="00AE7068">
            <w:pPr>
              <w:pStyle w:val="TableText"/>
            </w:pPr>
          </w:p>
        </w:tc>
        <w:tc>
          <w:tcPr>
            <w:tcW w:w="1653" w:type="pct"/>
            <w:vMerge/>
            <w:shd w:val="clear" w:color="auto" w:fill="auto"/>
            <w:vAlign w:val="center"/>
          </w:tcPr>
          <w:p w:rsidR="00837C26" w:rsidRPr="00EA448D" w:rsidRDefault="00837C26" w:rsidP="00AE7068">
            <w:pPr>
              <w:pStyle w:val="TableText"/>
            </w:pPr>
          </w:p>
        </w:tc>
      </w:tr>
    </w:tbl>
    <w:p w:rsidR="00837C26" w:rsidRPr="00EA448D" w:rsidRDefault="001F6D9D" w:rsidP="00837C26">
      <w:pPr>
        <w:pStyle w:val="TableFooter"/>
      </w:pPr>
      <w:r w:rsidRPr="00EA448D">
        <w:t xml:space="preserve">ARR=annualised relapse rate; </w:t>
      </w:r>
      <w:r w:rsidR="00837C26" w:rsidRPr="00EA448D">
        <w:t>DB=double blind; MC=multi-centre; NA = not applicable OL=open label; OS=overall survival; PFS=progression-free survival; R=randomised.</w:t>
      </w:r>
    </w:p>
    <w:p w:rsidR="00837C26" w:rsidRPr="00EA448D" w:rsidRDefault="00837C26" w:rsidP="00837C26">
      <w:pPr>
        <w:pStyle w:val="TableFooter"/>
      </w:pPr>
      <w:r w:rsidRPr="00EA448D">
        <w:t>Source: compiled during the evaluation</w:t>
      </w:r>
    </w:p>
    <w:p w:rsidR="00837C26" w:rsidRPr="00EA448D" w:rsidRDefault="00837C26" w:rsidP="003A4AD9">
      <w:pPr>
        <w:pStyle w:val="TableFooter"/>
        <w:tabs>
          <w:tab w:val="left" w:pos="284"/>
        </w:tabs>
        <w:ind w:left="284" w:hanging="284"/>
      </w:pPr>
      <w:r w:rsidRPr="00EA448D">
        <w:t>*</w:t>
      </w:r>
      <w:r w:rsidR="003A4AD9" w:rsidRPr="00EA448D">
        <w:tab/>
      </w:r>
      <w:r w:rsidRPr="00EA448D">
        <w:t xml:space="preserve">N based on total </w:t>
      </w:r>
      <w:r w:rsidR="003A4AD9" w:rsidRPr="00EA448D">
        <w:t xml:space="preserve">randomised to the </w:t>
      </w:r>
      <w:r w:rsidRPr="00EA448D">
        <w:t xml:space="preserve">relevant active </w:t>
      </w:r>
      <w:r w:rsidR="003A4AD9" w:rsidRPr="00EA448D">
        <w:t xml:space="preserve">treatment </w:t>
      </w:r>
      <w:r w:rsidRPr="00EA448D">
        <w:t xml:space="preserve">arm (3.5mg/kg </w:t>
      </w:r>
      <w:proofErr w:type="spellStart"/>
      <w:r w:rsidR="003A4AD9" w:rsidRPr="00EA448D">
        <w:t>cladribine</w:t>
      </w:r>
      <w:proofErr w:type="spellEnd"/>
      <w:r w:rsidRPr="00EA448D">
        <w:t xml:space="preserve"> and 0.5mg </w:t>
      </w:r>
      <w:proofErr w:type="spellStart"/>
      <w:r w:rsidR="003A4AD9" w:rsidRPr="00EA448D">
        <w:t>fingolimod</w:t>
      </w:r>
      <w:proofErr w:type="spellEnd"/>
      <w:r w:rsidRPr="00EA448D">
        <w:t>) plus placebo only</w:t>
      </w:r>
    </w:p>
    <w:p w:rsidR="00837C26" w:rsidRPr="00EA448D" w:rsidRDefault="003A4AD9" w:rsidP="003A4AD9">
      <w:pPr>
        <w:pStyle w:val="TableFooter"/>
        <w:tabs>
          <w:tab w:val="left" w:pos="284"/>
        </w:tabs>
      </w:pPr>
      <w:r w:rsidRPr="00EA448D">
        <w:t>**</w:t>
      </w:r>
      <w:r w:rsidRPr="00EA448D">
        <w:tab/>
        <w:t xml:space="preserve">based </w:t>
      </w:r>
      <w:r w:rsidR="00837C26" w:rsidRPr="00EA448D">
        <w:t>only on relevant arms of extension study</w:t>
      </w:r>
      <w:r w:rsidRPr="00EA448D">
        <w:t xml:space="preserve"> </w:t>
      </w:r>
      <w:r w:rsidR="00837C26" w:rsidRPr="00EA448D">
        <w:t>(</w:t>
      </w:r>
      <w:proofErr w:type="spellStart"/>
      <w:r w:rsidR="00837C26" w:rsidRPr="00EA448D">
        <w:t>cladribine</w:t>
      </w:r>
      <w:proofErr w:type="spellEnd"/>
      <w:r w:rsidR="00837C26" w:rsidRPr="00EA448D">
        <w:t xml:space="preserve"> </w:t>
      </w:r>
      <w:r w:rsidRPr="00EA448D">
        <w:t xml:space="preserve">3.5mg/kg </w:t>
      </w:r>
      <w:r w:rsidR="00837C26" w:rsidRPr="00EA448D">
        <w:t xml:space="preserve">to placebo arm and </w:t>
      </w:r>
      <w:proofErr w:type="spellStart"/>
      <w:r w:rsidR="00837C26" w:rsidRPr="00EA448D">
        <w:t>cladribine</w:t>
      </w:r>
      <w:proofErr w:type="spellEnd"/>
      <w:r w:rsidR="00837C26" w:rsidRPr="00EA448D">
        <w:t xml:space="preserve"> </w:t>
      </w:r>
      <w:r w:rsidRPr="00EA448D">
        <w:t xml:space="preserve">3.5mg/kg </w:t>
      </w:r>
      <w:r w:rsidR="00837C26" w:rsidRPr="00EA448D">
        <w:t>continued arm</w:t>
      </w:r>
      <w:r w:rsidRPr="00EA448D">
        <w:t>)</w:t>
      </w:r>
    </w:p>
    <w:p w:rsidR="00837C26" w:rsidRPr="00EA448D" w:rsidRDefault="00837C26" w:rsidP="00A627FC">
      <w:pPr>
        <w:pStyle w:val="ListParagraph"/>
        <w:numPr>
          <w:ilvl w:val="1"/>
          <w:numId w:val="1"/>
        </w:numPr>
        <w:spacing w:before="0" w:after="120"/>
        <w:jc w:val="both"/>
      </w:pPr>
      <w:r w:rsidRPr="00EA448D">
        <w:t xml:space="preserve">The resubmission stated that CLARITY </w:t>
      </w:r>
      <w:proofErr w:type="gramStart"/>
      <w:r w:rsidRPr="00EA448D">
        <w:t>was powered</w:t>
      </w:r>
      <w:proofErr w:type="gramEnd"/>
      <w:r w:rsidRPr="00EA448D">
        <w:t xml:space="preserve"> to detect a meaningful 25% relative reduction in</w:t>
      </w:r>
      <w:r w:rsidR="001F6D9D" w:rsidRPr="00EA448D">
        <w:t xml:space="preserve"> the</w:t>
      </w:r>
      <w:r w:rsidRPr="00EA448D">
        <w:t xml:space="preserve"> </w:t>
      </w:r>
      <w:r w:rsidR="001F6D9D" w:rsidRPr="00EA448D">
        <w:t>annualised relapse rate (</w:t>
      </w:r>
      <w:r w:rsidRPr="00EA448D">
        <w:t>ARR</w:t>
      </w:r>
      <w:r w:rsidR="001F6D9D" w:rsidRPr="00EA448D">
        <w:t>)</w:t>
      </w:r>
      <w:r w:rsidRPr="00EA448D">
        <w:t xml:space="preserve"> when comparing each of the </w:t>
      </w:r>
      <w:proofErr w:type="spellStart"/>
      <w:r w:rsidRPr="00EA448D">
        <w:t>cladribine</w:t>
      </w:r>
      <w:proofErr w:type="spellEnd"/>
      <w:r w:rsidRPr="00EA448D">
        <w:t xml:space="preserve"> dose groups to the placebo group, but no </w:t>
      </w:r>
      <w:r w:rsidR="001F6D9D" w:rsidRPr="00EA448D">
        <w:t xml:space="preserve">minimal clinically important </w:t>
      </w:r>
      <w:r w:rsidR="001F6D9D" w:rsidRPr="00EA448D">
        <w:lastRenderedPageBreak/>
        <w:t>difference (</w:t>
      </w:r>
      <w:r w:rsidRPr="00EA448D">
        <w:t>MCID</w:t>
      </w:r>
      <w:r w:rsidR="001F6D9D" w:rsidRPr="00EA448D">
        <w:t>)</w:t>
      </w:r>
      <w:r w:rsidRPr="00EA448D">
        <w:t xml:space="preserve"> was reported for CLARITY or for any of the trials included in the resubmission.</w:t>
      </w:r>
    </w:p>
    <w:p w:rsidR="00837C26" w:rsidRPr="00EA448D" w:rsidRDefault="00837C26" w:rsidP="00A627FC">
      <w:pPr>
        <w:pStyle w:val="ListParagraph"/>
        <w:numPr>
          <w:ilvl w:val="1"/>
          <w:numId w:val="1"/>
        </w:numPr>
        <w:spacing w:before="0" w:after="120"/>
        <w:jc w:val="both"/>
      </w:pPr>
      <w:r w:rsidRPr="00EA448D">
        <w:t xml:space="preserve">The resubmission further noted that there was no universally </w:t>
      </w:r>
      <w:r w:rsidR="00020660" w:rsidRPr="00EA448D">
        <w:t xml:space="preserve">accepted </w:t>
      </w:r>
      <w:r w:rsidRPr="00EA448D">
        <w:t>MCID in the treatment of RRMS, and stated that a review of Public Summary Documents for treatments used in RRMS revealed no MCID either proposed or validated by the PBAC.</w:t>
      </w:r>
      <w:r w:rsidR="001E35F3" w:rsidRPr="00EA448D">
        <w:t xml:space="preserve"> An independent review of previous PBAC considerations similarly did not </w:t>
      </w:r>
      <w:r w:rsidR="00E64394" w:rsidRPr="00EA448D">
        <w:t>identify</w:t>
      </w:r>
      <w:r w:rsidR="001E35F3" w:rsidRPr="00EA448D">
        <w:t xml:space="preserve"> an accepted MCID. However, in its consideration of </w:t>
      </w:r>
      <w:proofErr w:type="spellStart"/>
      <w:r w:rsidR="001E35F3" w:rsidRPr="00EA448D">
        <w:t>daclizumab</w:t>
      </w:r>
      <w:proofErr w:type="spellEnd"/>
      <w:r w:rsidR="001E35F3" w:rsidRPr="00EA448D">
        <w:t>, the PBAC noted ‘that a non-inferiority margin was not proposed in the submission and that non-inferiority was claimed based on lack of a statistically significant difference. The PBAC considered this approach was not robust, especially given the wide 95% confidence limits [RR=0.95 (95% CI: 0.63, 1.43)) for the indirect comparisons’ (</w:t>
      </w:r>
      <w:proofErr w:type="spellStart"/>
      <w:r w:rsidR="001E35F3" w:rsidRPr="00EA448D">
        <w:t>Daclizumab</w:t>
      </w:r>
      <w:proofErr w:type="spellEnd"/>
      <w:r w:rsidR="001E35F3" w:rsidRPr="00EA448D">
        <w:t xml:space="preserve"> PSD, November 20</w:t>
      </w:r>
      <w:r w:rsidR="00DD270B" w:rsidRPr="00EA448D">
        <w:t>1</w:t>
      </w:r>
      <w:r w:rsidR="001E35F3" w:rsidRPr="00EA448D">
        <w:t>6).</w:t>
      </w:r>
    </w:p>
    <w:p w:rsidR="00837C26" w:rsidRPr="00EA448D" w:rsidRDefault="00837C26" w:rsidP="00A627FC">
      <w:pPr>
        <w:pStyle w:val="ListParagraph"/>
        <w:numPr>
          <w:ilvl w:val="1"/>
          <w:numId w:val="1"/>
        </w:numPr>
        <w:spacing w:before="0" w:after="120"/>
        <w:jc w:val="both"/>
      </w:pPr>
      <w:r w:rsidRPr="00EA448D">
        <w:t>The resubmission adopted a statistical approach to selecting an MCID (</w:t>
      </w:r>
      <w:proofErr w:type="spellStart"/>
      <w:r w:rsidRPr="00EA448D">
        <w:t>Massacessi</w:t>
      </w:r>
      <w:proofErr w:type="spellEnd"/>
      <w:r w:rsidRPr="00EA448D">
        <w:t xml:space="preserve">, 2013, 2014). This method defined </w:t>
      </w:r>
      <w:r w:rsidR="003F5222">
        <w:t>the</w:t>
      </w:r>
      <w:r w:rsidRPr="00EA448D">
        <w:t xml:space="preserve"> MCID as 50% of the excess to 1.0 of the relapse ratio for </w:t>
      </w:r>
      <w:proofErr w:type="spellStart"/>
      <w:r w:rsidRPr="00EA448D">
        <w:t>fingolimod</w:t>
      </w:r>
      <w:proofErr w:type="spellEnd"/>
      <w:r w:rsidRPr="00EA448D">
        <w:t xml:space="preserve"> compared to placebo. For example, the ARR in FREEDOMS was 0.40 for placebo and 0.18 for </w:t>
      </w:r>
      <w:proofErr w:type="spellStart"/>
      <w:r w:rsidRPr="00EA448D">
        <w:t>fingolimod</w:t>
      </w:r>
      <w:proofErr w:type="spellEnd"/>
      <w:r w:rsidRPr="00EA448D">
        <w:t xml:space="preserve">. The rate ratio was 2.17 (1/0.46), the excess to 1.0 was 1.17 and 50% of this difference gave the MCID of 1.59. The resubmission noted that the </w:t>
      </w:r>
      <w:r w:rsidR="007919B2" w:rsidRPr="00EA448D">
        <w:t xml:space="preserve">more </w:t>
      </w:r>
      <w:r w:rsidR="00020660" w:rsidRPr="00EA448D">
        <w:t>strict</w:t>
      </w:r>
      <w:r w:rsidRPr="00EA448D">
        <w:t xml:space="preserve"> M</w:t>
      </w:r>
      <w:r w:rsidR="001E35F3" w:rsidRPr="00EA448D">
        <w:t>C</w:t>
      </w:r>
      <w:r w:rsidRPr="00EA448D">
        <w:t xml:space="preserve">ID for </w:t>
      </w:r>
      <w:proofErr w:type="spellStart"/>
      <w:r w:rsidRPr="00EA448D">
        <w:t>fingolimod</w:t>
      </w:r>
      <w:proofErr w:type="spellEnd"/>
      <w:r w:rsidRPr="00EA448D">
        <w:t xml:space="preserve"> was 1.46, (the MCID derived from the FREEDOMS II trial</w:t>
      </w:r>
      <w:r w:rsidR="001E35F3" w:rsidRPr="00EA448D">
        <w:t>)</w:t>
      </w:r>
      <w:r w:rsidRPr="00EA448D">
        <w:t>, and provided a narrower margin within which a product could be said to demonstrate non-inferiority.</w:t>
      </w:r>
    </w:p>
    <w:p w:rsidR="009D43F7" w:rsidRDefault="00837C26" w:rsidP="00A627FC">
      <w:pPr>
        <w:pStyle w:val="ListParagraph"/>
        <w:numPr>
          <w:ilvl w:val="1"/>
          <w:numId w:val="1"/>
        </w:numPr>
        <w:spacing w:before="0" w:after="120"/>
        <w:jc w:val="both"/>
      </w:pPr>
      <w:r w:rsidRPr="00EA448D">
        <w:t xml:space="preserve">The resubmission did not provide any explanation about how the </w:t>
      </w:r>
      <w:proofErr w:type="spellStart"/>
      <w:r w:rsidRPr="00EA448D">
        <w:t>Massacessi</w:t>
      </w:r>
      <w:proofErr w:type="spellEnd"/>
      <w:r w:rsidRPr="00EA448D">
        <w:t xml:space="preserve"> </w:t>
      </w:r>
      <w:r w:rsidR="001E35F3" w:rsidRPr="00EA448D">
        <w:t xml:space="preserve">(2013, 2014) </w:t>
      </w:r>
      <w:r w:rsidRPr="00EA448D">
        <w:t xml:space="preserve">approach </w:t>
      </w:r>
      <w:proofErr w:type="gramStart"/>
      <w:r w:rsidRPr="00EA448D">
        <w:t>was validated</w:t>
      </w:r>
      <w:proofErr w:type="gramEnd"/>
      <w:r w:rsidRPr="00EA448D">
        <w:t>.</w:t>
      </w:r>
      <w:r w:rsidR="003F5222">
        <w:t xml:space="preserve"> T</w:t>
      </w:r>
      <w:r w:rsidRPr="00EA448D">
        <w:t xml:space="preserve">here was no statistical or clinical explanation for why the MCID </w:t>
      </w:r>
      <w:proofErr w:type="gramStart"/>
      <w:r w:rsidRPr="00EA448D">
        <w:t>was defined</w:t>
      </w:r>
      <w:proofErr w:type="gramEnd"/>
      <w:r w:rsidRPr="00EA448D">
        <w:t xml:space="preserve"> as 50% of the exces</w:t>
      </w:r>
      <w:r w:rsidR="001E35F3" w:rsidRPr="00EA448D">
        <w:t xml:space="preserve">s of 1.0 of the relapse ratio. </w:t>
      </w:r>
      <w:r w:rsidRPr="00EA448D">
        <w:t>The resubmission cited a presentation and a publication, which did not adequately justify this approach.</w:t>
      </w:r>
      <w:r w:rsidR="009D43F7">
        <w:t xml:space="preserve"> </w:t>
      </w:r>
    </w:p>
    <w:p w:rsidR="00837C26" w:rsidRDefault="009D43F7" w:rsidP="00716BD1">
      <w:pPr>
        <w:pStyle w:val="ListParagraph"/>
        <w:numPr>
          <w:ilvl w:val="1"/>
          <w:numId w:val="1"/>
        </w:numPr>
        <w:spacing w:before="0" w:after="120"/>
        <w:jc w:val="both"/>
      </w:pPr>
      <w:r w:rsidRPr="00855228">
        <w:t xml:space="preserve">The PSCR (p1) stated that in order to confirm the MCID of 1.46 the sponsor attempted to define the MCID by applying distribution based methods to data from CLARITY as described by </w:t>
      </w:r>
      <w:proofErr w:type="spellStart"/>
      <w:r w:rsidRPr="00855228">
        <w:t>Copay</w:t>
      </w:r>
      <w:proofErr w:type="spellEnd"/>
      <w:r w:rsidRPr="00855228">
        <w:t xml:space="preserve"> 2007. Of these methods, the one found suitable on effect size, defined as the mean change between placebo and treatment relative to the placebo standard deviation. </w:t>
      </w:r>
      <w:r w:rsidR="003F5222">
        <w:t xml:space="preserve">The </w:t>
      </w:r>
      <w:r w:rsidRPr="00855228">
        <w:t xml:space="preserve">ARR in CLARITY was 0.33 for placebo and 0.14 for </w:t>
      </w:r>
      <w:proofErr w:type="spellStart"/>
      <w:r w:rsidRPr="00855228">
        <w:t>cladribine</w:t>
      </w:r>
      <w:proofErr w:type="spellEnd"/>
      <w:r w:rsidRPr="00855228">
        <w:t xml:space="preserve"> 3.5mg/kg. The estimated effect size was 0.33-0.13 /</w:t>
      </w:r>
      <w:proofErr w:type="gramStart"/>
      <w:r w:rsidRPr="00855228">
        <w:t>√(</w:t>
      </w:r>
      <w:proofErr w:type="gramEnd"/>
      <w:r w:rsidRPr="00855228">
        <w:t>0.33) equal to 0.33. The PSCR stated that this surpasses the small effect size, which by convention is considered to be 0.2, leading to a threshold on the treatment effect of ARR of 0.2151. This corresponds to an effect of 1.53 (0.33 / 0.2151) when expressed as an ARR ratio. The PSCR considered that the consistency of this estimate with that presented in the resubmission confirms 1.46 as a reasonable MCID.</w:t>
      </w:r>
      <w:r w:rsidR="00944353">
        <w:t xml:space="preserve"> T</w:t>
      </w:r>
      <w:r w:rsidR="00944353" w:rsidRPr="00944353">
        <w:t>he PBAC considered that the method of calculating the MCID was not adequately justified, nor could it replicate the calculations</w:t>
      </w:r>
      <w:r w:rsidR="00944353">
        <w:t>.</w:t>
      </w:r>
    </w:p>
    <w:p w:rsidR="00837C26" w:rsidRPr="00EA448D" w:rsidRDefault="00837C26" w:rsidP="00837C26">
      <w:pPr>
        <w:pStyle w:val="Heading2"/>
        <w:rPr>
          <w:i w:val="0"/>
        </w:rPr>
      </w:pPr>
      <w:bookmarkStart w:id="23" w:name="_Toc413139278"/>
      <w:bookmarkStart w:id="24" w:name="_Toc365847461"/>
      <w:r w:rsidRPr="00EA448D">
        <w:rPr>
          <w:i w:val="0"/>
        </w:rPr>
        <w:t>Comparative effectiveness</w:t>
      </w:r>
      <w:bookmarkEnd w:id="23"/>
      <w:bookmarkEnd w:id="24"/>
      <w:r w:rsidRPr="00EA448D">
        <w:rPr>
          <w:i w:val="0"/>
        </w:rPr>
        <w:t xml:space="preserve"> </w:t>
      </w:r>
    </w:p>
    <w:p w:rsidR="00D62BBD" w:rsidRDefault="00D62BBD" w:rsidP="00A627FC">
      <w:pPr>
        <w:pStyle w:val="ListParagraph"/>
        <w:numPr>
          <w:ilvl w:val="1"/>
          <w:numId w:val="1"/>
        </w:numPr>
        <w:spacing w:before="0" w:after="120"/>
        <w:jc w:val="both"/>
      </w:pPr>
      <w:r>
        <w:t>T</w:t>
      </w:r>
      <w:r w:rsidR="00837C26" w:rsidRPr="00EA448D">
        <w:t xml:space="preserve">he results of the </w:t>
      </w:r>
      <w:r w:rsidR="00720792" w:rsidRPr="00EA448D">
        <w:t>direct (</w:t>
      </w:r>
      <w:proofErr w:type="spellStart"/>
      <w:r w:rsidR="00720792" w:rsidRPr="00EA448D">
        <w:t>cladribine</w:t>
      </w:r>
      <w:proofErr w:type="spellEnd"/>
      <w:r w:rsidR="00720792" w:rsidRPr="00EA448D">
        <w:t xml:space="preserve"> and </w:t>
      </w:r>
      <w:proofErr w:type="spellStart"/>
      <w:r w:rsidR="00720792" w:rsidRPr="00EA448D">
        <w:t>fingolimod</w:t>
      </w:r>
      <w:proofErr w:type="spellEnd"/>
      <w:r w:rsidR="00720792" w:rsidRPr="00EA448D">
        <w:t xml:space="preserve"> versus placebo) and </w:t>
      </w:r>
      <w:r w:rsidR="00837C26" w:rsidRPr="00EA448D">
        <w:t xml:space="preserve">indirect </w:t>
      </w:r>
      <w:r w:rsidR="00E64394" w:rsidRPr="00EA448D">
        <w:t>(</w:t>
      </w:r>
      <w:proofErr w:type="spellStart"/>
      <w:r w:rsidR="00E64394" w:rsidRPr="00EA448D">
        <w:t>cladribine</w:t>
      </w:r>
      <w:proofErr w:type="spellEnd"/>
      <w:r w:rsidR="00E64394" w:rsidRPr="00EA448D">
        <w:t xml:space="preserve"> versus </w:t>
      </w:r>
      <w:proofErr w:type="spellStart"/>
      <w:r w:rsidR="00E64394" w:rsidRPr="00EA448D">
        <w:t>fingolimod</w:t>
      </w:r>
      <w:proofErr w:type="spellEnd"/>
      <w:r w:rsidR="00E64394" w:rsidRPr="00EA448D">
        <w:t xml:space="preserve">) </w:t>
      </w:r>
      <w:r w:rsidR="00837C26" w:rsidRPr="00EA448D">
        <w:t>comparison</w:t>
      </w:r>
      <w:r w:rsidR="00E64394" w:rsidRPr="00EA448D">
        <w:t>s</w:t>
      </w:r>
      <w:r>
        <w:t xml:space="preserve"> are presented in Table 5. </w:t>
      </w:r>
    </w:p>
    <w:p w:rsidR="00D62BBD" w:rsidRPr="00EA448D" w:rsidRDefault="00D62BBD" w:rsidP="00D62BBD">
      <w:pPr>
        <w:pStyle w:val="TableHeading0"/>
      </w:pPr>
      <w:r w:rsidRPr="00EA448D">
        <w:lastRenderedPageBreak/>
        <w:t xml:space="preserve">Table 5: Results of the indirect comparison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77"/>
        <w:gridCol w:w="1430"/>
        <w:gridCol w:w="1428"/>
        <w:gridCol w:w="1904"/>
        <w:gridCol w:w="2043"/>
      </w:tblGrid>
      <w:tr w:rsidR="00D62BBD" w:rsidRPr="00EA448D" w:rsidTr="00126470">
        <w:trPr>
          <w:tblHeader/>
        </w:trPr>
        <w:tc>
          <w:tcPr>
            <w:tcW w:w="1254" w:type="pct"/>
            <w:shd w:val="clear" w:color="auto" w:fill="auto"/>
            <w:vAlign w:val="center"/>
          </w:tcPr>
          <w:p w:rsidR="00D62BBD" w:rsidRPr="00EA448D" w:rsidRDefault="00D62BBD" w:rsidP="00126470">
            <w:pPr>
              <w:pStyle w:val="TableText"/>
              <w:rPr>
                <w:b/>
              </w:rPr>
            </w:pPr>
            <w:r w:rsidRPr="00EA448D">
              <w:rPr>
                <w:b/>
              </w:rPr>
              <w:t>Endpoint</w:t>
            </w:r>
          </w:p>
        </w:tc>
        <w:tc>
          <w:tcPr>
            <w:tcW w:w="787" w:type="pct"/>
            <w:shd w:val="clear" w:color="auto" w:fill="auto"/>
            <w:vAlign w:val="center"/>
          </w:tcPr>
          <w:p w:rsidR="00D62BBD" w:rsidRPr="00EA448D" w:rsidRDefault="00D62BBD" w:rsidP="00126470">
            <w:pPr>
              <w:pStyle w:val="TableText"/>
              <w:jc w:val="center"/>
              <w:rPr>
                <w:b/>
                <w:color w:val="4472C4" w:themeColor="accent5"/>
              </w:rPr>
            </w:pPr>
            <w:r w:rsidRPr="00EA448D">
              <w:rPr>
                <w:b/>
                <w:iCs/>
              </w:rPr>
              <w:t>Active treatment</w:t>
            </w:r>
          </w:p>
        </w:tc>
        <w:tc>
          <w:tcPr>
            <w:tcW w:w="785" w:type="pct"/>
            <w:shd w:val="clear" w:color="auto" w:fill="auto"/>
            <w:vAlign w:val="center"/>
          </w:tcPr>
          <w:p w:rsidR="00D62BBD" w:rsidRPr="00EA448D" w:rsidRDefault="00D62BBD" w:rsidP="00126470">
            <w:pPr>
              <w:pStyle w:val="TableText"/>
              <w:jc w:val="center"/>
              <w:rPr>
                <w:b/>
              </w:rPr>
            </w:pPr>
            <w:r w:rsidRPr="00EA448D">
              <w:rPr>
                <w:b/>
              </w:rPr>
              <w:t>Placebo</w:t>
            </w:r>
          </w:p>
        </w:tc>
        <w:tc>
          <w:tcPr>
            <w:tcW w:w="1048" w:type="pct"/>
            <w:shd w:val="clear" w:color="auto" w:fill="auto"/>
            <w:vAlign w:val="center"/>
          </w:tcPr>
          <w:p w:rsidR="00D62BBD" w:rsidRPr="00EA448D" w:rsidRDefault="00D62BBD" w:rsidP="00126470">
            <w:pPr>
              <w:pStyle w:val="TableText"/>
              <w:jc w:val="center"/>
              <w:rPr>
                <w:b/>
              </w:rPr>
            </w:pPr>
            <w:r w:rsidRPr="00EA448D">
              <w:rPr>
                <w:b/>
              </w:rPr>
              <w:t>Relative risk (95% CI)</w:t>
            </w:r>
          </w:p>
        </w:tc>
        <w:tc>
          <w:tcPr>
            <w:tcW w:w="1125" w:type="pct"/>
            <w:shd w:val="clear" w:color="auto" w:fill="auto"/>
            <w:vAlign w:val="center"/>
          </w:tcPr>
          <w:p w:rsidR="00D62BBD" w:rsidRPr="00EA448D" w:rsidRDefault="00D62BBD" w:rsidP="00126470">
            <w:pPr>
              <w:pStyle w:val="TableText"/>
              <w:jc w:val="center"/>
              <w:rPr>
                <w:b/>
              </w:rPr>
            </w:pPr>
            <w:r w:rsidRPr="00EA448D">
              <w:rPr>
                <w:b/>
              </w:rPr>
              <w:t>Risk difference (95% CI)</w:t>
            </w:r>
          </w:p>
        </w:tc>
      </w:tr>
      <w:tr w:rsidR="00D62BBD" w:rsidRPr="00EA448D" w:rsidTr="00126470">
        <w:tc>
          <w:tcPr>
            <w:tcW w:w="5000" w:type="pct"/>
            <w:gridSpan w:val="5"/>
            <w:shd w:val="clear" w:color="auto" w:fill="auto"/>
            <w:vAlign w:val="center"/>
          </w:tcPr>
          <w:p w:rsidR="00D62BBD" w:rsidRPr="00EA448D" w:rsidRDefault="00D62BBD" w:rsidP="00126470">
            <w:pPr>
              <w:pStyle w:val="TableText"/>
              <w:rPr>
                <w:rFonts w:eastAsia="Times New Roman" w:cs="Times New Roman"/>
                <w:b/>
              </w:rPr>
            </w:pPr>
            <w:r w:rsidRPr="00EA448D">
              <w:rPr>
                <w:rFonts w:eastAsia="Times New Roman" w:cs="Times New Roman"/>
                <w:b/>
              </w:rPr>
              <w:t>Annualised relapse rate (95% CI)</w:t>
            </w:r>
          </w:p>
        </w:tc>
      </w:tr>
      <w:tr w:rsidR="00D62BBD" w:rsidRPr="00EA448D" w:rsidTr="00126470">
        <w:tc>
          <w:tcPr>
            <w:tcW w:w="1254" w:type="pct"/>
            <w:shd w:val="clear" w:color="auto" w:fill="auto"/>
          </w:tcPr>
          <w:p w:rsidR="00D62BBD" w:rsidRPr="00EA448D" w:rsidRDefault="00D62BBD" w:rsidP="00126470">
            <w:pPr>
              <w:pStyle w:val="TableText"/>
              <w:rPr>
                <w:rFonts w:eastAsia="Times New Roman" w:cs="Times New Roman"/>
              </w:rPr>
            </w:pPr>
            <w:r w:rsidRPr="00EA448D">
              <w:rPr>
                <w:rFonts w:eastAsia="Times New Roman" w:cs="Times New Roman"/>
              </w:rPr>
              <w:t>CLARITY</w:t>
            </w:r>
          </w:p>
        </w:tc>
        <w:tc>
          <w:tcPr>
            <w:tcW w:w="787" w:type="pct"/>
            <w:shd w:val="clear" w:color="auto" w:fill="auto"/>
            <w:vAlign w:val="center"/>
          </w:tcPr>
          <w:p w:rsidR="00D62BBD" w:rsidRPr="00EA448D" w:rsidRDefault="00D62BBD" w:rsidP="00126470">
            <w:pPr>
              <w:pStyle w:val="TableText"/>
              <w:jc w:val="center"/>
              <w:rPr>
                <w:rFonts w:eastAsia="Times New Roman" w:cs="Times New Roman"/>
              </w:rPr>
            </w:pPr>
            <w:r w:rsidRPr="00EA448D">
              <w:rPr>
                <w:iCs/>
              </w:rPr>
              <w:t>0.14 (0.12, 0.17)</w:t>
            </w:r>
          </w:p>
        </w:tc>
        <w:tc>
          <w:tcPr>
            <w:tcW w:w="785" w:type="pct"/>
            <w:shd w:val="clear" w:color="auto" w:fill="auto"/>
            <w:vAlign w:val="center"/>
          </w:tcPr>
          <w:p w:rsidR="00D62BBD" w:rsidRPr="00EA448D" w:rsidRDefault="00D62BBD" w:rsidP="00126470">
            <w:pPr>
              <w:pStyle w:val="TableText"/>
              <w:jc w:val="center"/>
              <w:rPr>
                <w:rFonts w:eastAsia="Times New Roman" w:cs="Times New Roman"/>
              </w:rPr>
            </w:pPr>
            <w:r w:rsidRPr="00EA448D">
              <w:rPr>
                <w:iCs/>
              </w:rPr>
              <w:t>0.33 (0.29, 0.38)</w:t>
            </w:r>
          </w:p>
        </w:tc>
        <w:tc>
          <w:tcPr>
            <w:tcW w:w="1048" w:type="pct"/>
            <w:shd w:val="clear" w:color="auto" w:fill="auto"/>
            <w:vAlign w:val="center"/>
          </w:tcPr>
          <w:p w:rsidR="00D62BBD" w:rsidRPr="00EA448D" w:rsidRDefault="00D62BBD" w:rsidP="00126470">
            <w:pPr>
              <w:pStyle w:val="TableText"/>
              <w:jc w:val="center"/>
              <w:rPr>
                <w:rFonts w:eastAsia="Times New Roman" w:cs="Times New Roman"/>
                <w:b/>
              </w:rPr>
            </w:pPr>
            <w:r w:rsidRPr="00EA448D">
              <w:rPr>
                <w:rFonts w:eastAsia="Times New Roman" w:cs="Times New Roman"/>
                <w:b/>
              </w:rPr>
              <w:t>0.43 (0.34, 0.54)</w:t>
            </w:r>
          </w:p>
        </w:tc>
        <w:tc>
          <w:tcPr>
            <w:tcW w:w="1125" w:type="pct"/>
            <w:vMerge w:val="restart"/>
            <w:shd w:val="clear" w:color="auto" w:fill="auto"/>
            <w:vAlign w:val="center"/>
          </w:tcPr>
          <w:p w:rsidR="00D62BBD" w:rsidRPr="00EA448D" w:rsidRDefault="00D62BBD" w:rsidP="00126470">
            <w:pPr>
              <w:pStyle w:val="TableText"/>
              <w:jc w:val="center"/>
              <w:rPr>
                <w:rFonts w:eastAsia="Times New Roman" w:cs="Times New Roman"/>
              </w:rPr>
            </w:pPr>
            <w:r w:rsidRPr="00EA448D">
              <w:rPr>
                <w:rFonts w:eastAsia="Times New Roman" w:cs="Times New Roman"/>
              </w:rPr>
              <w:t>NR</w:t>
            </w:r>
          </w:p>
        </w:tc>
      </w:tr>
      <w:tr w:rsidR="00D62BBD" w:rsidRPr="00EA448D" w:rsidTr="00126470">
        <w:tc>
          <w:tcPr>
            <w:tcW w:w="1254" w:type="pct"/>
            <w:shd w:val="clear" w:color="auto" w:fill="auto"/>
          </w:tcPr>
          <w:p w:rsidR="00D62BBD" w:rsidRPr="00EA448D" w:rsidRDefault="00D62BBD" w:rsidP="00126470">
            <w:pPr>
              <w:pStyle w:val="TableText"/>
              <w:rPr>
                <w:rFonts w:ascii="Times" w:eastAsia="Times New Roman" w:hAnsi="Times" w:cs="Times New Roman"/>
              </w:rPr>
            </w:pPr>
            <w:r w:rsidRPr="00EA448D">
              <w:t>FREEDOMS</w:t>
            </w:r>
          </w:p>
        </w:tc>
        <w:tc>
          <w:tcPr>
            <w:tcW w:w="787" w:type="pct"/>
            <w:shd w:val="clear" w:color="auto" w:fill="auto"/>
            <w:vAlign w:val="center"/>
          </w:tcPr>
          <w:p w:rsidR="00D62BBD" w:rsidRPr="00EA448D" w:rsidRDefault="00D62BBD" w:rsidP="00126470">
            <w:pPr>
              <w:pStyle w:val="TableText"/>
              <w:jc w:val="center"/>
              <w:rPr>
                <w:rFonts w:eastAsia="Times New Roman" w:cs="Times New Roman"/>
              </w:rPr>
            </w:pPr>
            <w:r w:rsidRPr="00EA448D">
              <w:rPr>
                <w:iCs/>
              </w:rPr>
              <w:t>0.18 (0.15, 0.22)</w:t>
            </w:r>
          </w:p>
        </w:tc>
        <w:tc>
          <w:tcPr>
            <w:tcW w:w="785" w:type="pct"/>
            <w:shd w:val="clear" w:color="auto" w:fill="auto"/>
            <w:vAlign w:val="center"/>
          </w:tcPr>
          <w:p w:rsidR="00D62BBD" w:rsidRPr="00EA448D" w:rsidRDefault="00D62BBD" w:rsidP="00126470">
            <w:pPr>
              <w:pStyle w:val="TableText"/>
              <w:jc w:val="center"/>
              <w:rPr>
                <w:rFonts w:eastAsia="Times New Roman" w:cs="Times New Roman"/>
              </w:rPr>
            </w:pPr>
            <w:r w:rsidRPr="00EA448D">
              <w:rPr>
                <w:rFonts w:eastAsia="Times New Roman" w:cs="Times New Roman"/>
              </w:rPr>
              <w:t>0.40 (0.34, 0.47)</w:t>
            </w:r>
          </w:p>
        </w:tc>
        <w:tc>
          <w:tcPr>
            <w:tcW w:w="1048" w:type="pct"/>
            <w:shd w:val="clear" w:color="auto" w:fill="auto"/>
            <w:vAlign w:val="center"/>
          </w:tcPr>
          <w:p w:rsidR="00D62BBD" w:rsidRPr="00EA448D" w:rsidRDefault="00D62BBD" w:rsidP="00126470">
            <w:pPr>
              <w:pStyle w:val="TableText"/>
              <w:jc w:val="center"/>
              <w:rPr>
                <w:rFonts w:eastAsia="Times New Roman" w:cs="Times New Roman"/>
                <w:b/>
              </w:rPr>
            </w:pPr>
            <w:r w:rsidRPr="00EA448D">
              <w:rPr>
                <w:rFonts w:eastAsia="Times New Roman" w:cs="Times New Roman"/>
                <w:b/>
              </w:rPr>
              <w:t>0.46 (0.37, 0.57)</w:t>
            </w:r>
          </w:p>
        </w:tc>
        <w:tc>
          <w:tcPr>
            <w:tcW w:w="1125" w:type="pct"/>
            <w:vMerge/>
            <w:shd w:val="clear" w:color="auto" w:fill="auto"/>
            <w:vAlign w:val="center"/>
          </w:tcPr>
          <w:p w:rsidR="00D62BBD" w:rsidRPr="00EA448D" w:rsidRDefault="00D62BBD" w:rsidP="00126470">
            <w:pPr>
              <w:pStyle w:val="TableText"/>
              <w:jc w:val="center"/>
              <w:rPr>
                <w:rFonts w:ascii="Times" w:eastAsia="Times New Roman" w:hAnsi="Times" w:cs="Times New Roman"/>
                <w:color w:val="4472C4" w:themeColor="accent5"/>
              </w:rPr>
            </w:pPr>
          </w:p>
        </w:tc>
      </w:tr>
      <w:tr w:rsidR="00D62BBD" w:rsidRPr="00EA448D" w:rsidTr="00126470">
        <w:tc>
          <w:tcPr>
            <w:tcW w:w="1254" w:type="pct"/>
            <w:shd w:val="clear" w:color="auto" w:fill="auto"/>
          </w:tcPr>
          <w:p w:rsidR="00D62BBD" w:rsidRPr="00EA448D" w:rsidRDefault="00D62BBD" w:rsidP="00126470">
            <w:pPr>
              <w:pStyle w:val="TableText"/>
              <w:rPr>
                <w:rFonts w:ascii="Times" w:eastAsia="Times New Roman" w:hAnsi="Times" w:cs="Times New Roman"/>
              </w:rPr>
            </w:pPr>
            <w:r w:rsidRPr="00EA448D">
              <w:t>FREEDOMS II</w:t>
            </w:r>
          </w:p>
        </w:tc>
        <w:tc>
          <w:tcPr>
            <w:tcW w:w="787" w:type="pct"/>
            <w:shd w:val="clear" w:color="auto" w:fill="auto"/>
            <w:vAlign w:val="center"/>
          </w:tcPr>
          <w:p w:rsidR="00D62BBD" w:rsidRPr="00EA448D" w:rsidRDefault="00D62BBD" w:rsidP="00126470">
            <w:pPr>
              <w:pStyle w:val="TableText"/>
              <w:jc w:val="center"/>
              <w:rPr>
                <w:rFonts w:eastAsia="Times New Roman" w:cs="Times New Roman"/>
              </w:rPr>
            </w:pPr>
            <w:r w:rsidRPr="00EA448D">
              <w:t>0.21 (0.17, 0.25)</w:t>
            </w:r>
          </w:p>
        </w:tc>
        <w:tc>
          <w:tcPr>
            <w:tcW w:w="785" w:type="pct"/>
            <w:shd w:val="clear" w:color="auto" w:fill="auto"/>
            <w:vAlign w:val="center"/>
          </w:tcPr>
          <w:p w:rsidR="00D62BBD" w:rsidRPr="00EA448D" w:rsidRDefault="00D62BBD" w:rsidP="00126470">
            <w:pPr>
              <w:pStyle w:val="TableText"/>
              <w:jc w:val="center"/>
              <w:rPr>
                <w:rFonts w:eastAsia="Times New Roman" w:cs="Times New Roman"/>
              </w:rPr>
            </w:pPr>
            <w:r w:rsidRPr="00EA448D">
              <w:t>0.40 (0.34, 0.48)</w:t>
            </w:r>
          </w:p>
        </w:tc>
        <w:tc>
          <w:tcPr>
            <w:tcW w:w="1048" w:type="pct"/>
            <w:shd w:val="clear" w:color="auto" w:fill="auto"/>
            <w:vAlign w:val="center"/>
          </w:tcPr>
          <w:p w:rsidR="00D62BBD" w:rsidRPr="00EA448D" w:rsidRDefault="00D62BBD" w:rsidP="00126470">
            <w:pPr>
              <w:pStyle w:val="TableText"/>
              <w:jc w:val="center"/>
              <w:rPr>
                <w:rFonts w:eastAsia="Times New Roman" w:cs="Times New Roman"/>
                <w:b/>
              </w:rPr>
            </w:pPr>
            <w:r w:rsidRPr="00EA448D">
              <w:rPr>
                <w:rFonts w:eastAsia="Times New Roman" w:cs="Times New Roman"/>
                <w:b/>
              </w:rPr>
              <w:t>0.52 (0.40, 0.66)</w:t>
            </w:r>
          </w:p>
        </w:tc>
        <w:tc>
          <w:tcPr>
            <w:tcW w:w="1125" w:type="pct"/>
            <w:vMerge/>
            <w:shd w:val="clear" w:color="auto" w:fill="auto"/>
            <w:vAlign w:val="center"/>
          </w:tcPr>
          <w:p w:rsidR="00D62BBD" w:rsidRPr="00EA448D" w:rsidRDefault="00D62BBD" w:rsidP="00126470">
            <w:pPr>
              <w:pStyle w:val="TableText"/>
              <w:jc w:val="center"/>
              <w:rPr>
                <w:rFonts w:ascii="Times" w:eastAsia="Times New Roman" w:hAnsi="Times" w:cs="Times New Roman"/>
                <w:color w:val="4472C4" w:themeColor="accent5"/>
              </w:rPr>
            </w:pPr>
          </w:p>
        </w:tc>
      </w:tr>
      <w:tr w:rsidR="00D62BBD" w:rsidRPr="00EA448D" w:rsidTr="00126470">
        <w:tc>
          <w:tcPr>
            <w:tcW w:w="2827" w:type="pct"/>
            <w:gridSpan w:val="3"/>
            <w:shd w:val="clear" w:color="auto" w:fill="auto"/>
            <w:vAlign w:val="center"/>
          </w:tcPr>
          <w:p w:rsidR="00D62BBD" w:rsidRPr="00EA448D" w:rsidRDefault="00D62BBD" w:rsidP="00126470">
            <w:pPr>
              <w:pStyle w:val="TableText"/>
              <w:jc w:val="right"/>
            </w:pPr>
            <w:proofErr w:type="spellStart"/>
            <w:r w:rsidRPr="00EA448D">
              <w:t>Fingolimod</w:t>
            </w:r>
            <w:proofErr w:type="spellEnd"/>
            <w:r w:rsidRPr="00EA448D">
              <w:t xml:space="preserve"> pooled</w:t>
            </w:r>
          </w:p>
        </w:tc>
        <w:tc>
          <w:tcPr>
            <w:tcW w:w="1048" w:type="pct"/>
            <w:shd w:val="clear" w:color="auto" w:fill="auto"/>
            <w:vAlign w:val="center"/>
          </w:tcPr>
          <w:p w:rsidR="00D62BBD" w:rsidRPr="00EA448D" w:rsidRDefault="00D62BBD" w:rsidP="00126470">
            <w:pPr>
              <w:pStyle w:val="TableText"/>
              <w:jc w:val="center"/>
            </w:pPr>
            <w:r w:rsidRPr="00EA448D">
              <w:t>0.48 (0.41, 0.57)</w:t>
            </w:r>
          </w:p>
        </w:tc>
        <w:tc>
          <w:tcPr>
            <w:tcW w:w="1125" w:type="pct"/>
            <w:vMerge/>
            <w:shd w:val="clear" w:color="auto" w:fill="auto"/>
            <w:vAlign w:val="center"/>
          </w:tcPr>
          <w:p w:rsidR="00D62BBD" w:rsidRPr="00EA448D" w:rsidRDefault="00D62BBD" w:rsidP="00126470">
            <w:pPr>
              <w:pStyle w:val="TableText"/>
              <w:jc w:val="center"/>
              <w:rPr>
                <w:color w:val="4472C4" w:themeColor="accent5"/>
              </w:rPr>
            </w:pPr>
          </w:p>
        </w:tc>
      </w:tr>
      <w:tr w:rsidR="00D62BBD" w:rsidRPr="00EA448D" w:rsidTr="00126470">
        <w:tc>
          <w:tcPr>
            <w:tcW w:w="2827" w:type="pct"/>
            <w:gridSpan w:val="3"/>
            <w:shd w:val="clear" w:color="auto" w:fill="auto"/>
          </w:tcPr>
          <w:p w:rsidR="00D62BBD" w:rsidRPr="00EA448D" w:rsidRDefault="00D62BBD" w:rsidP="00126470">
            <w:pPr>
              <w:pStyle w:val="TableText"/>
            </w:pPr>
            <w:r w:rsidRPr="00EA448D">
              <w:t>Indirect comparison CLARITY vs FREEDOMS</w:t>
            </w:r>
          </w:p>
        </w:tc>
        <w:tc>
          <w:tcPr>
            <w:tcW w:w="1048" w:type="pct"/>
            <w:shd w:val="clear" w:color="auto" w:fill="auto"/>
            <w:vAlign w:val="center"/>
          </w:tcPr>
          <w:p w:rsidR="00D62BBD" w:rsidRPr="00FD3E0B" w:rsidRDefault="00FD3E0B" w:rsidP="00126470">
            <w:pPr>
              <w:pStyle w:val="TableText"/>
              <w:jc w:val="center"/>
              <w:rPr>
                <w:highlight w:val="black"/>
              </w:rPr>
            </w:pPr>
            <w:r>
              <w:rPr>
                <w:noProof/>
                <w:color w:val="000000"/>
                <w:highlight w:val="black"/>
              </w:rPr>
              <w:t>'''''''''' '''''''''''''' ''''''''''''''</w:t>
            </w:r>
          </w:p>
        </w:tc>
        <w:tc>
          <w:tcPr>
            <w:tcW w:w="1125" w:type="pct"/>
            <w:vMerge/>
            <w:shd w:val="clear" w:color="auto" w:fill="auto"/>
            <w:vAlign w:val="center"/>
          </w:tcPr>
          <w:p w:rsidR="00D62BBD" w:rsidRPr="00EA448D" w:rsidRDefault="00D62BBD" w:rsidP="00126470">
            <w:pPr>
              <w:pStyle w:val="TableText"/>
              <w:jc w:val="center"/>
              <w:rPr>
                <w:color w:val="4472C4" w:themeColor="accent5"/>
              </w:rPr>
            </w:pPr>
          </w:p>
        </w:tc>
      </w:tr>
      <w:tr w:rsidR="00D62BBD" w:rsidRPr="00EA448D" w:rsidTr="00126470">
        <w:tc>
          <w:tcPr>
            <w:tcW w:w="2827" w:type="pct"/>
            <w:gridSpan w:val="3"/>
            <w:shd w:val="clear" w:color="auto" w:fill="auto"/>
          </w:tcPr>
          <w:p w:rsidR="00D62BBD" w:rsidRPr="00EA448D" w:rsidRDefault="00D62BBD" w:rsidP="00126470">
            <w:pPr>
              <w:pStyle w:val="TableText"/>
            </w:pPr>
            <w:r w:rsidRPr="00EA448D">
              <w:t>Indirect comparison CLARITY vs FREEDOMS II</w:t>
            </w:r>
          </w:p>
        </w:tc>
        <w:tc>
          <w:tcPr>
            <w:tcW w:w="1048" w:type="pct"/>
            <w:shd w:val="clear" w:color="auto" w:fill="auto"/>
            <w:vAlign w:val="center"/>
          </w:tcPr>
          <w:p w:rsidR="00D62BBD" w:rsidRPr="00FD3E0B" w:rsidRDefault="00FD3E0B" w:rsidP="00126470">
            <w:pPr>
              <w:pStyle w:val="TableText"/>
              <w:jc w:val="center"/>
              <w:rPr>
                <w:highlight w:val="black"/>
              </w:rPr>
            </w:pPr>
            <w:r>
              <w:rPr>
                <w:noProof/>
                <w:color w:val="000000"/>
                <w:highlight w:val="black"/>
              </w:rPr>
              <w:t>'''''''''' ''''''''''''' '''''''''''</w:t>
            </w:r>
          </w:p>
        </w:tc>
        <w:tc>
          <w:tcPr>
            <w:tcW w:w="1125" w:type="pct"/>
            <w:vMerge/>
            <w:shd w:val="clear" w:color="auto" w:fill="auto"/>
            <w:vAlign w:val="center"/>
          </w:tcPr>
          <w:p w:rsidR="00D62BBD" w:rsidRPr="00EA448D" w:rsidRDefault="00D62BBD" w:rsidP="00126470">
            <w:pPr>
              <w:pStyle w:val="TableText"/>
              <w:jc w:val="center"/>
              <w:rPr>
                <w:color w:val="4472C4" w:themeColor="accent5"/>
              </w:rPr>
            </w:pPr>
          </w:p>
        </w:tc>
      </w:tr>
      <w:tr w:rsidR="00D62BBD" w:rsidRPr="00EA448D" w:rsidTr="00126470">
        <w:tc>
          <w:tcPr>
            <w:tcW w:w="2827" w:type="pct"/>
            <w:gridSpan w:val="3"/>
            <w:shd w:val="clear" w:color="auto" w:fill="auto"/>
          </w:tcPr>
          <w:p w:rsidR="00D62BBD" w:rsidRPr="00EA448D" w:rsidRDefault="00D62BBD" w:rsidP="00126470">
            <w:pPr>
              <w:pStyle w:val="TableText"/>
            </w:pPr>
            <w:r w:rsidRPr="00EA448D">
              <w:t xml:space="preserve">Indirect comparison CLARITY vs pooled </w:t>
            </w:r>
            <w:proofErr w:type="spellStart"/>
            <w:r w:rsidRPr="00EA448D">
              <w:t>fingolimod</w:t>
            </w:r>
            <w:proofErr w:type="spellEnd"/>
            <w:r w:rsidRPr="00EA448D">
              <w:t xml:space="preserve"> trials</w:t>
            </w:r>
          </w:p>
        </w:tc>
        <w:tc>
          <w:tcPr>
            <w:tcW w:w="1048" w:type="pct"/>
            <w:shd w:val="clear" w:color="auto" w:fill="auto"/>
            <w:vAlign w:val="center"/>
          </w:tcPr>
          <w:p w:rsidR="00D62BBD" w:rsidRPr="00FD3E0B" w:rsidRDefault="00FD3E0B" w:rsidP="00126470">
            <w:pPr>
              <w:pStyle w:val="TableText"/>
              <w:jc w:val="center"/>
              <w:rPr>
                <w:highlight w:val="black"/>
              </w:rPr>
            </w:pPr>
            <w:r>
              <w:rPr>
                <w:noProof/>
                <w:color w:val="000000"/>
                <w:highlight w:val="black"/>
              </w:rPr>
              <w:t>'''''''''' ''''''''''''''''''''''''''''</w:t>
            </w:r>
          </w:p>
        </w:tc>
        <w:tc>
          <w:tcPr>
            <w:tcW w:w="1125" w:type="pct"/>
            <w:vMerge/>
            <w:shd w:val="clear" w:color="auto" w:fill="auto"/>
            <w:vAlign w:val="center"/>
          </w:tcPr>
          <w:p w:rsidR="00D62BBD" w:rsidRPr="00EA448D" w:rsidRDefault="00D62BBD" w:rsidP="00126470">
            <w:pPr>
              <w:pStyle w:val="TableText"/>
              <w:jc w:val="center"/>
              <w:rPr>
                <w:color w:val="4472C4" w:themeColor="accent5"/>
              </w:rPr>
            </w:pPr>
          </w:p>
        </w:tc>
      </w:tr>
      <w:tr w:rsidR="00D62BBD" w:rsidRPr="00EA448D" w:rsidTr="00126470">
        <w:tc>
          <w:tcPr>
            <w:tcW w:w="5000" w:type="pct"/>
            <w:gridSpan w:val="5"/>
            <w:shd w:val="clear" w:color="auto" w:fill="auto"/>
            <w:vAlign w:val="center"/>
          </w:tcPr>
          <w:p w:rsidR="00D62BBD" w:rsidRPr="00EA448D" w:rsidRDefault="00D62BBD" w:rsidP="00126470">
            <w:pPr>
              <w:pStyle w:val="TableText"/>
              <w:rPr>
                <w:rFonts w:ascii="Times" w:eastAsia="Times New Roman" w:hAnsi="Times" w:cs="Times New Roman"/>
                <w:b/>
              </w:rPr>
            </w:pPr>
            <w:r w:rsidRPr="00EA448D">
              <w:rPr>
                <w:b/>
              </w:rPr>
              <w:t>Proportion of patients remaining relapse free</w:t>
            </w:r>
          </w:p>
        </w:tc>
      </w:tr>
      <w:tr w:rsidR="00D62BBD" w:rsidRPr="00EA448D" w:rsidTr="00126470">
        <w:tc>
          <w:tcPr>
            <w:tcW w:w="1254" w:type="pct"/>
            <w:shd w:val="clear" w:color="auto" w:fill="auto"/>
          </w:tcPr>
          <w:p w:rsidR="00D62BBD" w:rsidRPr="00EA448D" w:rsidRDefault="00D62BBD" w:rsidP="00126470">
            <w:pPr>
              <w:pStyle w:val="TableText"/>
            </w:pPr>
            <w:r w:rsidRPr="00EA448D">
              <w:rPr>
                <w:rFonts w:eastAsia="Times New Roman" w:cs="Times New Roman"/>
              </w:rPr>
              <w:t>CLARITY, n/N (%)</w:t>
            </w:r>
          </w:p>
        </w:tc>
        <w:tc>
          <w:tcPr>
            <w:tcW w:w="787" w:type="pct"/>
            <w:shd w:val="clear" w:color="auto" w:fill="auto"/>
            <w:vAlign w:val="center"/>
          </w:tcPr>
          <w:p w:rsidR="00D62BBD" w:rsidRPr="00EA448D" w:rsidRDefault="00D62BBD" w:rsidP="00126470">
            <w:pPr>
              <w:pStyle w:val="TableText"/>
              <w:jc w:val="center"/>
            </w:pPr>
            <w:r w:rsidRPr="00EA448D">
              <w:t>345/433 (79.7%)</w:t>
            </w:r>
          </w:p>
        </w:tc>
        <w:tc>
          <w:tcPr>
            <w:tcW w:w="785" w:type="pct"/>
            <w:shd w:val="clear" w:color="auto" w:fill="auto"/>
            <w:vAlign w:val="center"/>
          </w:tcPr>
          <w:p w:rsidR="00D62BBD" w:rsidRPr="00EA448D" w:rsidRDefault="00D62BBD" w:rsidP="00126470">
            <w:pPr>
              <w:pStyle w:val="TableText"/>
              <w:jc w:val="center"/>
            </w:pPr>
            <w:r w:rsidRPr="00EA448D">
              <w:t>226/437 (60.9%)</w:t>
            </w:r>
          </w:p>
        </w:tc>
        <w:tc>
          <w:tcPr>
            <w:tcW w:w="1048" w:type="pct"/>
            <w:shd w:val="clear" w:color="auto" w:fill="auto"/>
            <w:vAlign w:val="center"/>
          </w:tcPr>
          <w:p w:rsidR="00D62BBD" w:rsidRPr="00EA448D" w:rsidRDefault="00D62BBD" w:rsidP="00126470">
            <w:pPr>
              <w:pStyle w:val="TableText"/>
              <w:jc w:val="center"/>
              <w:rPr>
                <w:b/>
              </w:rPr>
            </w:pPr>
            <w:r w:rsidRPr="00EA448D">
              <w:rPr>
                <w:b/>
              </w:rPr>
              <w:t>1.31 (1.2, 1.43)</w:t>
            </w:r>
          </w:p>
        </w:tc>
        <w:tc>
          <w:tcPr>
            <w:tcW w:w="1125" w:type="pct"/>
            <w:shd w:val="clear" w:color="auto" w:fill="auto"/>
            <w:vAlign w:val="center"/>
          </w:tcPr>
          <w:p w:rsidR="00D62BBD" w:rsidRPr="00EA448D" w:rsidRDefault="00D62BBD" w:rsidP="00126470">
            <w:pPr>
              <w:pStyle w:val="TableText"/>
              <w:jc w:val="center"/>
              <w:rPr>
                <w:b/>
              </w:rPr>
            </w:pPr>
            <w:r w:rsidRPr="00EA448D">
              <w:rPr>
                <w:b/>
              </w:rPr>
              <w:t>18.8 (12.9, 24.7)</w:t>
            </w:r>
          </w:p>
        </w:tc>
      </w:tr>
      <w:tr w:rsidR="00D62BBD" w:rsidRPr="00EA448D" w:rsidTr="00126470">
        <w:tc>
          <w:tcPr>
            <w:tcW w:w="1254" w:type="pct"/>
            <w:shd w:val="clear" w:color="auto" w:fill="auto"/>
          </w:tcPr>
          <w:p w:rsidR="00D62BBD" w:rsidRPr="00EA448D" w:rsidRDefault="00D62BBD" w:rsidP="00126470">
            <w:pPr>
              <w:pStyle w:val="TableText"/>
            </w:pPr>
            <w:r w:rsidRPr="00EA448D">
              <w:t>FREEDOMS, n/N (%)</w:t>
            </w:r>
          </w:p>
        </w:tc>
        <w:tc>
          <w:tcPr>
            <w:tcW w:w="787" w:type="pct"/>
            <w:shd w:val="clear" w:color="auto" w:fill="auto"/>
            <w:vAlign w:val="center"/>
          </w:tcPr>
          <w:p w:rsidR="00D62BBD" w:rsidRPr="00EA448D" w:rsidRDefault="00D62BBD" w:rsidP="00126470">
            <w:pPr>
              <w:pStyle w:val="TableText"/>
              <w:jc w:val="center"/>
            </w:pPr>
            <w:r w:rsidRPr="00EA448D">
              <w:t>229/425 (70.4%)</w:t>
            </w:r>
          </w:p>
        </w:tc>
        <w:tc>
          <w:tcPr>
            <w:tcW w:w="785" w:type="pct"/>
            <w:shd w:val="clear" w:color="auto" w:fill="auto"/>
            <w:vAlign w:val="center"/>
          </w:tcPr>
          <w:p w:rsidR="00D62BBD" w:rsidRPr="00EA448D" w:rsidRDefault="00D62BBD" w:rsidP="00126470">
            <w:pPr>
              <w:pStyle w:val="TableText"/>
              <w:jc w:val="center"/>
            </w:pPr>
            <w:r w:rsidRPr="00EA448D">
              <w:t>191/418 (45.7%)</w:t>
            </w:r>
          </w:p>
        </w:tc>
        <w:tc>
          <w:tcPr>
            <w:tcW w:w="1048" w:type="pct"/>
            <w:shd w:val="clear" w:color="auto" w:fill="auto"/>
            <w:vAlign w:val="center"/>
          </w:tcPr>
          <w:p w:rsidR="00D62BBD" w:rsidRPr="00EA448D" w:rsidRDefault="00D62BBD" w:rsidP="00126470">
            <w:pPr>
              <w:pStyle w:val="TableText"/>
              <w:jc w:val="center"/>
              <w:rPr>
                <w:b/>
              </w:rPr>
            </w:pPr>
            <w:r w:rsidRPr="00EA448D">
              <w:rPr>
                <w:b/>
              </w:rPr>
              <w:t>1.54 (1.36,1.74)</w:t>
            </w:r>
          </w:p>
        </w:tc>
        <w:tc>
          <w:tcPr>
            <w:tcW w:w="1125" w:type="pct"/>
            <w:shd w:val="clear" w:color="auto" w:fill="auto"/>
            <w:vAlign w:val="center"/>
          </w:tcPr>
          <w:p w:rsidR="00D62BBD" w:rsidRPr="00EA448D" w:rsidRDefault="00D62BBD" w:rsidP="00126470">
            <w:pPr>
              <w:pStyle w:val="TableText"/>
              <w:jc w:val="center"/>
              <w:rPr>
                <w:b/>
              </w:rPr>
            </w:pPr>
            <w:r w:rsidRPr="00EA448D">
              <w:rPr>
                <w:b/>
              </w:rPr>
              <w:t>24.7 (18.2, 31.1)</w:t>
            </w:r>
          </w:p>
        </w:tc>
      </w:tr>
      <w:tr w:rsidR="00D62BBD" w:rsidRPr="00EA448D" w:rsidTr="00126470">
        <w:tc>
          <w:tcPr>
            <w:tcW w:w="1254" w:type="pct"/>
            <w:shd w:val="clear" w:color="auto" w:fill="auto"/>
          </w:tcPr>
          <w:p w:rsidR="00D62BBD" w:rsidRPr="00EA448D" w:rsidRDefault="00D62BBD" w:rsidP="00126470">
            <w:pPr>
              <w:pStyle w:val="TableText"/>
            </w:pPr>
            <w:r w:rsidRPr="00EA448D">
              <w:t>FREEDOMS II, n/N (%)</w:t>
            </w:r>
          </w:p>
        </w:tc>
        <w:tc>
          <w:tcPr>
            <w:tcW w:w="787" w:type="pct"/>
            <w:shd w:val="clear" w:color="auto" w:fill="auto"/>
            <w:vAlign w:val="center"/>
          </w:tcPr>
          <w:p w:rsidR="00D62BBD" w:rsidRPr="00EA448D" w:rsidRDefault="00D62BBD" w:rsidP="00126470">
            <w:pPr>
              <w:pStyle w:val="TableText"/>
              <w:jc w:val="center"/>
            </w:pPr>
            <w:r w:rsidRPr="00EA448D">
              <w:t>256/358 (71.5%)</w:t>
            </w:r>
          </w:p>
        </w:tc>
        <w:tc>
          <w:tcPr>
            <w:tcW w:w="785" w:type="pct"/>
            <w:shd w:val="clear" w:color="auto" w:fill="auto"/>
            <w:vAlign w:val="center"/>
          </w:tcPr>
          <w:p w:rsidR="00D62BBD" w:rsidRPr="00EA448D" w:rsidRDefault="00D62BBD" w:rsidP="00126470">
            <w:pPr>
              <w:pStyle w:val="TableText"/>
              <w:jc w:val="center"/>
            </w:pPr>
            <w:r w:rsidRPr="00EA448D">
              <w:t>187/355 (52.7%)</w:t>
            </w:r>
          </w:p>
        </w:tc>
        <w:tc>
          <w:tcPr>
            <w:tcW w:w="1048" w:type="pct"/>
            <w:shd w:val="clear" w:color="auto" w:fill="auto"/>
            <w:vAlign w:val="center"/>
          </w:tcPr>
          <w:p w:rsidR="00D62BBD" w:rsidRPr="00EA448D" w:rsidRDefault="00D62BBD" w:rsidP="00126470">
            <w:pPr>
              <w:pStyle w:val="TableText"/>
              <w:jc w:val="center"/>
              <w:rPr>
                <w:b/>
              </w:rPr>
            </w:pPr>
            <w:r w:rsidRPr="00EA448D">
              <w:rPr>
                <w:b/>
              </w:rPr>
              <w:t>1.36 (1.21, 1.53)</w:t>
            </w:r>
          </w:p>
        </w:tc>
        <w:tc>
          <w:tcPr>
            <w:tcW w:w="1125" w:type="pct"/>
            <w:shd w:val="clear" w:color="auto" w:fill="auto"/>
            <w:vAlign w:val="center"/>
          </w:tcPr>
          <w:p w:rsidR="00D62BBD" w:rsidRPr="00EA448D" w:rsidRDefault="00D62BBD" w:rsidP="00126470">
            <w:pPr>
              <w:pStyle w:val="TableText"/>
              <w:jc w:val="center"/>
              <w:rPr>
                <w:b/>
              </w:rPr>
            </w:pPr>
            <w:r w:rsidRPr="00EA448D">
              <w:rPr>
                <w:b/>
              </w:rPr>
              <w:t>18.8 (11.8, 25.8)</w:t>
            </w:r>
          </w:p>
        </w:tc>
      </w:tr>
      <w:tr w:rsidR="00D62BBD" w:rsidRPr="00EA448D" w:rsidTr="00126470">
        <w:tc>
          <w:tcPr>
            <w:tcW w:w="2827" w:type="pct"/>
            <w:gridSpan w:val="3"/>
            <w:shd w:val="clear" w:color="auto" w:fill="auto"/>
            <w:vAlign w:val="center"/>
          </w:tcPr>
          <w:p w:rsidR="00D62BBD" w:rsidRPr="00EA448D" w:rsidRDefault="00D62BBD" w:rsidP="00126470">
            <w:pPr>
              <w:pStyle w:val="TableText"/>
              <w:jc w:val="right"/>
            </w:pPr>
            <w:proofErr w:type="spellStart"/>
            <w:r w:rsidRPr="00EA448D">
              <w:t>Fingolimod</w:t>
            </w:r>
            <w:proofErr w:type="spellEnd"/>
            <w:r w:rsidRPr="00EA448D">
              <w:t xml:space="preserve"> pooled</w:t>
            </w:r>
          </w:p>
        </w:tc>
        <w:tc>
          <w:tcPr>
            <w:tcW w:w="1048" w:type="pct"/>
            <w:shd w:val="clear" w:color="auto" w:fill="auto"/>
            <w:vAlign w:val="center"/>
          </w:tcPr>
          <w:p w:rsidR="00D62BBD" w:rsidRPr="00EA448D" w:rsidRDefault="00D62BBD" w:rsidP="00126470">
            <w:pPr>
              <w:pStyle w:val="TableText"/>
              <w:jc w:val="center"/>
            </w:pPr>
            <w:r w:rsidRPr="00EA448D">
              <w:t>1.45 (1.28, 1.64)</w:t>
            </w:r>
          </w:p>
        </w:tc>
        <w:tc>
          <w:tcPr>
            <w:tcW w:w="1125" w:type="pct"/>
            <w:shd w:val="clear" w:color="auto" w:fill="auto"/>
            <w:vAlign w:val="center"/>
          </w:tcPr>
          <w:p w:rsidR="00D62BBD" w:rsidRPr="00EA448D" w:rsidRDefault="00D62BBD" w:rsidP="00126470">
            <w:pPr>
              <w:pStyle w:val="TableText"/>
              <w:jc w:val="center"/>
            </w:pPr>
            <w:r w:rsidRPr="00EA448D">
              <w:t>21.9 (16.2, 27.6)</w:t>
            </w:r>
          </w:p>
        </w:tc>
      </w:tr>
      <w:tr w:rsidR="00D62BBD" w:rsidRPr="00EA448D" w:rsidTr="00126470">
        <w:tc>
          <w:tcPr>
            <w:tcW w:w="2827" w:type="pct"/>
            <w:gridSpan w:val="3"/>
            <w:shd w:val="clear" w:color="auto" w:fill="auto"/>
          </w:tcPr>
          <w:p w:rsidR="00D62BBD" w:rsidRPr="00EA448D" w:rsidRDefault="00D62BBD" w:rsidP="00126470">
            <w:pPr>
              <w:pStyle w:val="TableText"/>
            </w:pPr>
            <w:r w:rsidRPr="00EA448D">
              <w:t>Indirect comparison CLARITY vs FREEDOMS</w:t>
            </w:r>
          </w:p>
        </w:tc>
        <w:tc>
          <w:tcPr>
            <w:tcW w:w="1048" w:type="pct"/>
            <w:shd w:val="clear" w:color="auto" w:fill="auto"/>
            <w:vAlign w:val="center"/>
          </w:tcPr>
          <w:p w:rsidR="00D62BBD" w:rsidRPr="00FD3E0B" w:rsidRDefault="00FD3E0B" w:rsidP="00126470">
            <w:pPr>
              <w:pStyle w:val="TableText"/>
              <w:jc w:val="center"/>
              <w:rPr>
                <w:b/>
                <w:highlight w:val="black"/>
              </w:rPr>
            </w:pPr>
            <w:r>
              <w:rPr>
                <w:b/>
                <w:noProof/>
                <w:color w:val="000000"/>
                <w:highlight w:val="black"/>
              </w:rPr>
              <w:t>'''''''' ''''''''''' ''''''''''</w:t>
            </w:r>
          </w:p>
        </w:tc>
        <w:tc>
          <w:tcPr>
            <w:tcW w:w="1125" w:type="pct"/>
            <w:shd w:val="clear" w:color="auto" w:fill="auto"/>
            <w:vAlign w:val="center"/>
          </w:tcPr>
          <w:p w:rsidR="00D62BBD" w:rsidRPr="00FD3E0B" w:rsidRDefault="00FD3E0B" w:rsidP="00126470">
            <w:pPr>
              <w:pStyle w:val="TableText"/>
              <w:jc w:val="center"/>
              <w:rPr>
                <w:highlight w:val="black"/>
              </w:rPr>
            </w:pPr>
            <w:r>
              <w:rPr>
                <w:noProof/>
                <w:color w:val="000000"/>
                <w:highlight w:val="black"/>
              </w:rPr>
              <w:t>'''''''''' '''''''''''''' '''''''''</w:t>
            </w:r>
          </w:p>
        </w:tc>
      </w:tr>
      <w:tr w:rsidR="00D62BBD" w:rsidRPr="00EA448D" w:rsidTr="00126470">
        <w:tc>
          <w:tcPr>
            <w:tcW w:w="2827" w:type="pct"/>
            <w:gridSpan w:val="3"/>
            <w:shd w:val="clear" w:color="auto" w:fill="auto"/>
          </w:tcPr>
          <w:p w:rsidR="00D62BBD" w:rsidRPr="00EA448D" w:rsidRDefault="00D62BBD" w:rsidP="00126470">
            <w:pPr>
              <w:pStyle w:val="TableText"/>
            </w:pPr>
            <w:r w:rsidRPr="00EA448D">
              <w:t>Indirect comparison CLARITY vs FREEDOMS II</w:t>
            </w:r>
          </w:p>
        </w:tc>
        <w:tc>
          <w:tcPr>
            <w:tcW w:w="1048" w:type="pct"/>
            <w:shd w:val="clear" w:color="auto" w:fill="auto"/>
            <w:vAlign w:val="center"/>
          </w:tcPr>
          <w:p w:rsidR="00D62BBD" w:rsidRPr="00FD3E0B" w:rsidRDefault="00FD3E0B" w:rsidP="00126470">
            <w:pPr>
              <w:pStyle w:val="TableText"/>
              <w:jc w:val="center"/>
              <w:rPr>
                <w:highlight w:val="black"/>
              </w:rPr>
            </w:pPr>
            <w:r>
              <w:rPr>
                <w:noProof/>
                <w:color w:val="000000"/>
                <w:highlight w:val="black"/>
              </w:rPr>
              <w:t>'''''''''' ''''''''''''''' '''''''''''''</w:t>
            </w:r>
          </w:p>
        </w:tc>
        <w:tc>
          <w:tcPr>
            <w:tcW w:w="1125" w:type="pct"/>
            <w:shd w:val="clear" w:color="auto" w:fill="auto"/>
            <w:vAlign w:val="center"/>
          </w:tcPr>
          <w:p w:rsidR="00D62BBD" w:rsidRPr="00FD3E0B" w:rsidRDefault="00FD3E0B" w:rsidP="00126470">
            <w:pPr>
              <w:pStyle w:val="TableText"/>
              <w:jc w:val="center"/>
              <w:rPr>
                <w:highlight w:val="black"/>
              </w:rPr>
            </w:pPr>
            <w:r>
              <w:rPr>
                <w:noProof/>
                <w:color w:val="000000"/>
                <w:highlight w:val="black"/>
              </w:rPr>
              <w:t>''''''' ''''''''''''' ''''''''''</w:t>
            </w:r>
          </w:p>
        </w:tc>
      </w:tr>
      <w:tr w:rsidR="00D62BBD" w:rsidRPr="00EA448D" w:rsidTr="00126470">
        <w:tc>
          <w:tcPr>
            <w:tcW w:w="2827" w:type="pct"/>
            <w:gridSpan w:val="3"/>
            <w:shd w:val="clear" w:color="auto" w:fill="auto"/>
          </w:tcPr>
          <w:p w:rsidR="00D62BBD" w:rsidRPr="00EA448D" w:rsidRDefault="00D62BBD" w:rsidP="00126470">
            <w:pPr>
              <w:pStyle w:val="TableText"/>
            </w:pPr>
            <w:r w:rsidRPr="00EA448D">
              <w:t xml:space="preserve">Indirect comparison CLARITY vs pooled </w:t>
            </w:r>
            <w:proofErr w:type="spellStart"/>
            <w:r w:rsidRPr="00EA448D">
              <w:t>fingolimod</w:t>
            </w:r>
            <w:proofErr w:type="spellEnd"/>
            <w:r w:rsidRPr="00EA448D">
              <w:t xml:space="preserve"> trials</w:t>
            </w:r>
          </w:p>
        </w:tc>
        <w:tc>
          <w:tcPr>
            <w:tcW w:w="1048" w:type="pct"/>
            <w:shd w:val="clear" w:color="auto" w:fill="auto"/>
            <w:vAlign w:val="center"/>
          </w:tcPr>
          <w:p w:rsidR="00D62BBD" w:rsidRPr="00FD3E0B" w:rsidRDefault="00FD3E0B" w:rsidP="00126470">
            <w:pPr>
              <w:pStyle w:val="TableText"/>
              <w:jc w:val="center"/>
              <w:rPr>
                <w:highlight w:val="black"/>
              </w:rPr>
            </w:pPr>
            <w:r>
              <w:rPr>
                <w:noProof/>
                <w:color w:val="000000"/>
                <w:highlight w:val="black"/>
              </w:rPr>
              <w:t>'''''''''' ''''''''''''''' ''''''''''''</w:t>
            </w:r>
          </w:p>
        </w:tc>
        <w:tc>
          <w:tcPr>
            <w:tcW w:w="1125" w:type="pct"/>
            <w:shd w:val="clear" w:color="auto" w:fill="auto"/>
            <w:vAlign w:val="center"/>
          </w:tcPr>
          <w:p w:rsidR="00D62BBD" w:rsidRPr="00FD3E0B" w:rsidRDefault="00FD3E0B" w:rsidP="00126470">
            <w:pPr>
              <w:pStyle w:val="TableText"/>
              <w:jc w:val="center"/>
              <w:rPr>
                <w:highlight w:val="black"/>
              </w:rPr>
            </w:pPr>
            <w:r>
              <w:rPr>
                <w:noProof/>
                <w:color w:val="000000"/>
                <w:highlight w:val="black"/>
              </w:rPr>
              <w:t>'''''''''' '''''''''''''' '''''''''</w:t>
            </w:r>
          </w:p>
        </w:tc>
      </w:tr>
      <w:tr w:rsidR="00D62BBD" w:rsidRPr="00EA448D" w:rsidTr="00126470">
        <w:tc>
          <w:tcPr>
            <w:tcW w:w="5000" w:type="pct"/>
            <w:gridSpan w:val="5"/>
            <w:shd w:val="clear" w:color="auto" w:fill="auto"/>
            <w:vAlign w:val="center"/>
          </w:tcPr>
          <w:p w:rsidR="00D62BBD" w:rsidRPr="00EA448D" w:rsidRDefault="00D62BBD" w:rsidP="00126470">
            <w:pPr>
              <w:pStyle w:val="TableText"/>
              <w:rPr>
                <w:b/>
              </w:rPr>
            </w:pPr>
            <w:r w:rsidRPr="00EA448D">
              <w:rPr>
                <w:b/>
              </w:rPr>
              <w:t>Proportion of patients free from 3 month confirmed progression of disability</w:t>
            </w:r>
          </w:p>
        </w:tc>
      </w:tr>
      <w:tr w:rsidR="00D62BBD" w:rsidRPr="00EA448D" w:rsidTr="00126470">
        <w:tc>
          <w:tcPr>
            <w:tcW w:w="1254" w:type="pct"/>
            <w:shd w:val="clear" w:color="auto" w:fill="auto"/>
          </w:tcPr>
          <w:p w:rsidR="00D62BBD" w:rsidRPr="00EA448D" w:rsidRDefault="00D62BBD" w:rsidP="00126470">
            <w:pPr>
              <w:pStyle w:val="TableText"/>
            </w:pPr>
            <w:r w:rsidRPr="00EA448D">
              <w:rPr>
                <w:rFonts w:eastAsia="Times New Roman" w:cs="Times New Roman"/>
              </w:rPr>
              <w:t>CLARITY (post-hoc), n/N (%)</w:t>
            </w:r>
          </w:p>
        </w:tc>
        <w:tc>
          <w:tcPr>
            <w:tcW w:w="787" w:type="pct"/>
            <w:shd w:val="clear" w:color="auto" w:fill="auto"/>
            <w:vAlign w:val="center"/>
          </w:tcPr>
          <w:p w:rsidR="00D62BBD" w:rsidRPr="00EA448D" w:rsidRDefault="00D62BBD" w:rsidP="00126470">
            <w:pPr>
              <w:pStyle w:val="TableText"/>
              <w:jc w:val="center"/>
            </w:pPr>
            <w:r w:rsidRPr="00EA448D">
              <w:t>349/407 (85.7%)</w:t>
            </w:r>
          </w:p>
        </w:tc>
        <w:tc>
          <w:tcPr>
            <w:tcW w:w="785" w:type="pct"/>
            <w:shd w:val="clear" w:color="auto" w:fill="auto"/>
            <w:vAlign w:val="center"/>
          </w:tcPr>
          <w:p w:rsidR="00D62BBD" w:rsidRPr="00EA448D" w:rsidRDefault="00D62BBD" w:rsidP="00126470">
            <w:pPr>
              <w:pStyle w:val="TableText"/>
              <w:jc w:val="center"/>
            </w:pPr>
            <w:r w:rsidRPr="00EA448D">
              <w:t>306/388 (78.9%)</w:t>
            </w:r>
          </w:p>
        </w:tc>
        <w:tc>
          <w:tcPr>
            <w:tcW w:w="1048" w:type="pct"/>
            <w:shd w:val="clear" w:color="auto" w:fill="auto"/>
            <w:vAlign w:val="center"/>
          </w:tcPr>
          <w:p w:rsidR="00D62BBD" w:rsidRPr="00EA448D" w:rsidRDefault="00D62BBD" w:rsidP="00126470">
            <w:pPr>
              <w:pStyle w:val="TableText"/>
              <w:jc w:val="center"/>
              <w:rPr>
                <w:b/>
              </w:rPr>
            </w:pPr>
            <w:r w:rsidRPr="00EA448D">
              <w:rPr>
                <w:b/>
              </w:rPr>
              <w:t>1.09 (1.02, 1.16)</w:t>
            </w:r>
          </w:p>
        </w:tc>
        <w:tc>
          <w:tcPr>
            <w:tcW w:w="1125" w:type="pct"/>
            <w:shd w:val="clear" w:color="auto" w:fill="auto"/>
            <w:vAlign w:val="center"/>
          </w:tcPr>
          <w:p w:rsidR="00D62BBD" w:rsidRPr="00EA448D" w:rsidRDefault="00D62BBD" w:rsidP="00126470">
            <w:pPr>
              <w:pStyle w:val="TableText"/>
              <w:jc w:val="center"/>
              <w:rPr>
                <w:b/>
              </w:rPr>
            </w:pPr>
            <w:r w:rsidRPr="00EA448D">
              <w:rPr>
                <w:b/>
              </w:rPr>
              <w:t>6.9 (1.6, 12.2)</w:t>
            </w:r>
          </w:p>
        </w:tc>
      </w:tr>
      <w:tr w:rsidR="00D62BBD" w:rsidRPr="00EA448D" w:rsidTr="00126470">
        <w:tc>
          <w:tcPr>
            <w:tcW w:w="1254" w:type="pct"/>
            <w:shd w:val="clear" w:color="auto" w:fill="auto"/>
          </w:tcPr>
          <w:p w:rsidR="00D62BBD" w:rsidRPr="00EA448D" w:rsidRDefault="00D62BBD" w:rsidP="00126470">
            <w:pPr>
              <w:pStyle w:val="TableText"/>
              <w:rPr>
                <w:rFonts w:eastAsia="Times New Roman" w:cs="Times New Roman"/>
              </w:rPr>
            </w:pPr>
            <w:r w:rsidRPr="00EA448D">
              <w:rPr>
                <w:rFonts w:eastAsia="Times New Roman" w:cs="Times New Roman"/>
              </w:rPr>
              <w:t>CLARITY (ITT) n/N (%)</w:t>
            </w:r>
          </w:p>
        </w:tc>
        <w:tc>
          <w:tcPr>
            <w:tcW w:w="787" w:type="pct"/>
            <w:shd w:val="clear" w:color="auto" w:fill="auto"/>
            <w:vAlign w:val="center"/>
          </w:tcPr>
          <w:p w:rsidR="00D62BBD" w:rsidRPr="00EA448D" w:rsidRDefault="00D62BBD" w:rsidP="00126470">
            <w:pPr>
              <w:pStyle w:val="TableText"/>
              <w:jc w:val="center"/>
            </w:pPr>
            <w:r w:rsidRPr="00EA448D">
              <w:rPr>
                <w:rFonts w:eastAsia="Times New Roman" w:cs="Times New Roman"/>
                <w:bCs/>
                <w:iCs/>
                <w:color w:val="000000"/>
              </w:rPr>
              <w:t>375/433 (86.6)</w:t>
            </w:r>
          </w:p>
        </w:tc>
        <w:tc>
          <w:tcPr>
            <w:tcW w:w="785" w:type="pct"/>
            <w:shd w:val="clear" w:color="auto" w:fill="auto"/>
            <w:vAlign w:val="center"/>
          </w:tcPr>
          <w:p w:rsidR="00D62BBD" w:rsidRPr="00EA448D" w:rsidRDefault="00D62BBD" w:rsidP="00126470">
            <w:pPr>
              <w:pStyle w:val="TableText"/>
              <w:jc w:val="center"/>
            </w:pPr>
            <w:r w:rsidRPr="00EA448D">
              <w:rPr>
                <w:rFonts w:eastAsia="Times New Roman" w:cs="Times New Roman"/>
                <w:bCs/>
                <w:iCs/>
                <w:color w:val="000000"/>
              </w:rPr>
              <w:t>355/437 (81.2)</w:t>
            </w:r>
          </w:p>
        </w:tc>
        <w:tc>
          <w:tcPr>
            <w:tcW w:w="1048" w:type="pct"/>
            <w:shd w:val="clear" w:color="auto" w:fill="auto"/>
            <w:vAlign w:val="center"/>
          </w:tcPr>
          <w:p w:rsidR="00D62BBD" w:rsidRPr="00EA448D" w:rsidRDefault="00D62BBD" w:rsidP="00126470">
            <w:pPr>
              <w:pStyle w:val="TableText"/>
              <w:jc w:val="center"/>
              <w:rPr>
                <w:b/>
              </w:rPr>
            </w:pPr>
            <w:r w:rsidRPr="00EA448D">
              <w:rPr>
                <w:b/>
              </w:rPr>
              <w:t>1.07 (1.01, 1.13)</w:t>
            </w:r>
          </w:p>
        </w:tc>
        <w:tc>
          <w:tcPr>
            <w:tcW w:w="1125" w:type="pct"/>
            <w:shd w:val="clear" w:color="auto" w:fill="auto"/>
            <w:vAlign w:val="center"/>
          </w:tcPr>
          <w:p w:rsidR="00D62BBD" w:rsidRPr="00EA448D" w:rsidRDefault="00D62BBD" w:rsidP="00126470">
            <w:pPr>
              <w:pStyle w:val="TableText"/>
              <w:jc w:val="center"/>
              <w:rPr>
                <w:b/>
              </w:rPr>
            </w:pPr>
            <w:r w:rsidRPr="00EA448D">
              <w:rPr>
                <w:b/>
              </w:rPr>
              <w:t>5.4 (0.5, 10.3)</w:t>
            </w:r>
          </w:p>
        </w:tc>
      </w:tr>
      <w:tr w:rsidR="00D62BBD" w:rsidRPr="00EA448D" w:rsidTr="00126470">
        <w:tc>
          <w:tcPr>
            <w:tcW w:w="1254" w:type="pct"/>
            <w:shd w:val="clear" w:color="auto" w:fill="auto"/>
          </w:tcPr>
          <w:p w:rsidR="00D62BBD" w:rsidRPr="00EA448D" w:rsidRDefault="00D62BBD" w:rsidP="00126470">
            <w:pPr>
              <w:pStyle w:val="TableText"/>
            </w:pPr>
            <w:r w:rsidRPr="00EA448D">
              <w:t>FREEDOMS, n/N (%)</w:t>
            </w:r>
          </w:p>
        </w:tc>
        <w:tc>
          <w:tcPr>
            <w:tcW w:w="787" w:type="pct"/>
            <w:shd w:val="clear" w:color="auto" w:fill="auto"/>
            <w:vAlign w:val="center"/>
          </w:tcPr>
          <w:p w:rsidR="00D62BBD" w:rsidRPr="00EA448D" w:rsidRDefault="00D62BBD" w:rsidP="00126470">
            <w:pPr>
              <w:pStyle w:val="TableText"/>
              <w:jc w:val="center"/>
            </w:pPr>
            <w:r w:rsidRPr="00EA448D">
              <w:t>350/425 (82.4%)</w:t>
            </w:r>
          </w:p>
        </w:tc>
        <w:tc>
          <w:tcPr>
            <w:tcW w:w="785" w:type="pct"/>
            <w:shd w:val="clear" w:color="auto" w:fill="auto"/>
            <w:vAlign w:val="center"/>
          </w:tcPr>
          <w:p w:rsidR="00D62BBD" w:rsidRPr="00EA448D" w:rsidRDefault="00D62BBD" w:rsidP="00126470">
            <w:pPr>
              <w:pStyle w:val="TableText"/>
              <w:jc w:val="center"/>
            </w:pPr>
            <w:r w:rsidRPr="00EA448D">
              <w:t>317/418 (75.8%)</w:t>
            </w:r>
          </w:p>
        </w:tc>
        <w:tc>
          <w:tcPr>
            <w:tcW w:w="1048" w:type="pct"/>
            <w:shd w:val="clear" w:color="auto" w:fill="auto"/>
            <w:vAlign w:val="center"/>
          </w:tcPr>
          <w:p w:rsidR="00D62BBD" w:rsidRPr="00EA448D" w:rsidRDefault="00D62BBD" w:rsidP="00126470">
            <w:pPr>
              <w:pStyle w:val="TableText"/>
              <w:jc w:val="center"/>
              <w:rPr>
                <w:b/>
              </w:rPr>
            </w:pPr>
            <w:r w:rsidRPr="00EA448D">
              <w:rPr>
                <w:b/>
              </w:rPr>
              <w:t>1.09 (1.01, 1.16)</w:t>
            </w:r>
          </w:p>
        </w:tc>
        <w:tc>
          <w:tcPr>
            <w:tcW w:w="1125" w:type="pct"/>
            <w:shd w:val="clear" w:color="auto" w:fill="auto"/>
            <w:vAlign w:val="center"/>
          </w:tcPr>
          <w:p w:rsidR="00D62BBD" w:rsidRPr="00EA448D" w:rsidRDefault="00D62BBD" w:rsidP="00126470">
            <w:pPr>
              <w:pStyle w:val="TableText"/>
              <w:jc w:val="center"/>
              <w:rPr>
                <w:b/>
              </w:rPr>
            </w:pPr>
            <w:r w:rsidRPr="00EA448D">
              <w:rPr>
                <w:b/>
              </w:rPr>
              <w:t>6.5 (1.0, 12.0)</w:t>
            </w:r>
          </w:p>
        </w:tc>
      </w:tr>
      <w:tr w:rsidR="00D62BBD" w:rsidRPr="00EA448D" w:rsidTr="00126470">
        <w:tc>
          <w:tcPr>
            <w:tcW w:w="1254" w:type="pct"/>
            <w:shd w:val="clear" w:color="auto" w:fill="auto"/>
          </w:tcPr>
          <w:p w:rsidR="00D62BBD" w:rsidRPr="00EA448D" w:rsidRDefault="00D62BBD" w:rsidP="00126470">
            <w:pPr>
              <w:pStyle w:val="TableText"/>
            </w:pPr>
            <w:r w:rsidRPr="00EA448D">
              <w:t>FREEDOMS II, n/N (%)</w:t>
            </w:r>
          </w:p>
        </w:tc>
        <w:tc>
          <w:tcPr>
            <w:tcW w:w="787" w:type="pct"/>
            <w:shd w:val="clear" w:color="auto" w:fill="auto"/>
            <w:vAlign w:val="center"/>
          </w:tcPr>
          <w:p w:rsidR="00D62BBD" w:rsidRPr="00EA448D" w:rsidRDefault="00D62BBD" w:rsidP="00126470">
            <w:pPr>
              <w:pStyle w:val="TableText"/>
              <w:jc w:val="center"/>
            </w:pPr>
            <w:r w:rsidRPr="00EA448D">
              <w:t>267/358 (74.6%)</w:t>
            </w:r>
          </w:p>
        </w:tc>
        <w:tc>
          <w:tcPr>
            <w:tcW w:w="785" w:type="pct"/>
            <w:shd w:val="clear" w:color="auto" w:fill="auto"/>
            <w:vAlign w:val="center"/>
          </w:tcPr>
          <w:p w:rsidR="00D62BBD" w:rsidRPr="00EA448D" w:rsidRDefault="00D62BBD" w:rsidP="00126470">
            <w:pPr>
              <w:pStyle w:val="TableText"/>
              <w:jc w:val="center"/>
            </w:pPr>
            <w:r w:rsidRPr="00EA448D">
              <w:t>252/355 (71%)</w:t>
            </w:r>
          </w:p>
        </w:tc>
        <w:tc>
          <w:tcPr>
            <w:tcW w:w="1048" w:type="pct"/>
            <w:shd w:val="clear" w:color="auto" w:fill="auto"/>
            <w:vAlign w:val="center"/>
          </w:tcPr>
          <w:p w:rsidR="00D62BBD" w:rsidRPr="00EA448D" w:rsidRDefault="00D62BBD" w:rsidP="00126470">
            <w:pPr>
              <w:pStyle w:val="TableText"/>
              <w:jc w:val="center"/>
            </w:pPr>
            <w:r w:rsidRPr="00EA448D">
              <w:t>1.05 (0.96, 1.15)</w:t>
            </w:r>
          </w:p>
        </w:tc>
        <w:tc>
          <w:tcPr>
            <w:tcW w:w="1125" w:type="pct"/>
            <w:shd w:val="clear" w:color="auto" w:fill="auto"/>
            <w:vAlign w:val="center"/>
          </w:tcPr>
          <w:p w:rsidR="00D62BBD" w:rsidRPr="00EA448D" w:rsidRDefault="00D62BBD" w:rsidP="00126470">
            <w:pPr>
              <w:pStyle w:val="TableText"/>
              <w:jc w:val="center"/>
            </w:pPr>
            <w:r w:rsidRPr="00EA448D">
              <w:t>3.6 (-2.9, 10.1)</w:t>
            </w:r>
          </w:p>
        </w:tc>
      </w:tr>
      <w:tr w:rsidR="00D62BBD" w:rsidRPr="00EA448D" w:rsidTr="00126470">
        <w:tc>
          <w:tcPr>
            <w:tcW w:w="2827" w:type="pct"/>
            <w:gridSpan w:val="3"/>
            <w:shd w:val="clear" w:color="auto" w:fill="auto"/>
            <w:vAlign w:val="center"/>
          </w:tcPr>
          <w:p w:rsidR="00D62BBD" w:rsidRPr="00EA448D" w:rsidRDefault="00D62BBD" w:rsidP="00126470">
            <w:pPr>
              <w:pStyle w:val="TableText"/>
              <w:jc w:val="right"/>
            </w:pPr>
            <w:proofErr w:type="spellStart"/>
            <w:r w:rsidRPr="00EA448D">
              <w:t>Fingolimod</w:t>
            </w:r>
            <w:proofErr w:type="spellEnd"/>
            <w:r w:rsidRPr="00EA448D">
              <w:t xml:space="preserve"> pooled</w:t>
            </w:r>
          </w:p>
        </w:tc>
        <w:tc>
          <w:tcPr>
            <w:tcW w:w="1048" w:type="pct"/>
            <w:shd w:val="clear" w:color="auto" w:fill="auto"/>
            <w:vAlign w:val="center"/>
          </w:tcPr>
          <w:p w:rsidR="00D62BBD" w:rsidRPr="00EA448D" w:rsidRDefault="00D62BBD" w:rsidP="00126470">
            <w:pPr>
              <w:pStyle w:val="TableText"/>
              <w:jc w:val="center"/>
            </w:pPr>
            <w:r w:rsidRPr="00EA448D">
              <w:t>1.07 (1.02, 1.13)</w:t>
            </w:r>
          </w:p>
        </w:tc>
        <w:tc>
          <w:tcPr>
            <w:tcW w:w="1125" w:type="pct"/>
            <w:shd w:val="clear" w:color="auto" w:fill="auto"/>
            <w:vAlign w:val="center"/>
          </w:tcPr>
          <w:p w:rsidR="00D62BBD" w:rsidRPr="00EA448D" w:rsidRDefault="00D62BBD" w:rsidP="00126470">
            <w:pPr>
              <w:pStyle w:val="TableText"/>
              <w:jc w:val="center"/>
            </w:pPr>
            <w:r w:rsidRPr="00EA448D">
              <w:t>5.3 (1.1, 9.5)</w:t>
            </w:r>
          </w:p>
        </w:tc>
      </w:tr>
      <w:tr w:rsidR="00D62BBD" w:rsidRPr="00EA448D" w:rsidTr="00126470">
        <w:tc>
          <w:tcPr>
            <w:tcW w:w="2827" w:type="pct"/>
            <w:gridSpan w:val="3"/>
            <w:shd w:val="clear" w:color="auto" w:fill="auto"/>
          </w:tcPr>
          <w:p w:rsidR="00D62BBD" w:rsidRPr="00EA448D" w:rsidRDefault="00D62BBD" w:rsidP="00126470">
            <w:pPr>
              <w:pStyle w:val="TableText"/>
            </w:pPr>
            <w:r w:rsidRPr="00EA448D">
              <w:t>Indirect comparison CLARITY (post-hoc) vs FREEDOMS</w:t>
            </w:r>
          </w:p>
        </w:tc>
        <w:tc>
          <w:tcPr>
            <w:tcW w:w="1048" w:type="pct"/>
            <w:shd w:val="clear" w:color="auto" w:fill="auto"/>
            <w:vAlign w:val="center"/>
          </w:tcPr>
          <w:p w:rsidR="00D62BBD" w:rsidRPr="00FD3E0B" w:rsidRDefault="00FD3E0B" w:rsidP="00126470">
            <w:pPr>
              <w:pStyle w:val="TableText"/>
              <w:jc w:val="center"/>
              <w:rPr>
                <w:highlight w:val="black"/>
              </w:rPr>
            </w:pPr>
            <w:r>
              <w:rPr>
                <w:noProof/>
                <w:color w:val="000000"/>
                <w:highlight w:val="black"/>
              </w:rPr>
              <w:t>'''''''''' ''''''''''''' ''''''''''''</w:t>
            </w:r>
          </w:p>
        </w:tc>
        <w:tc>
          <w:tcPr>
            <w:tcW w:w="1125" w:type="pct"/>
            <w:shd w:val="clear" w:color="auto" w:fill="auto"/>
            <w:vAlign w:val="center"/>
          </w:tcPr>
          <w:p w:rsidR="00D62BBD" w:rsidRPr="00FD3E0B" w:rsidRDefault="00FD3E0B" w:rsidP="00126470">
            <w:pPr>
              <w:pStyle w:val="TableText"/>
              <w:jc w:val="center"/>
              <w:rPr>
                <w:highlight w:val="black"/>
              </w:rPr>
            </w:pPr>
            <w:r>
              <w:rPr>
                <w:noProof/>
                <w:color w:val="000000"/>
                <w:highlight w:val="black"/>
              </w:rPr>
              <w:t>''''''' '''''''''''''' ''''''''''</w:t>
            </w:r>
          </w:p>
        </w:tc>
      </w:tr>
      <w:tr w:rsidR="00D62BBD" w:rsidRPr="00EA448D" w:rsidTr="00126470">
        <w:tc>
          <w:tcPr>
            <w:tcW w:w="2827" w:type="pct"/>
            <w:gridSpan w:val="3"/>
            <w:shd w:val="clear" w:color="auto" w:fill="auto"/>
          </w:tcPr>
          <w:p w:rsidR="00D62BBD" w:rsidRPr="00EA448D" w:rsidRDefault="00D62BBD" w:rsidP="00126470">
            <w:pPr>
              <w:pStyle w:val="TableText"/>
            </w:pPr>
            <w:r w:rsidRPr="00EA448D">
              <w:t>Indirect comparison CLARITY (post-hoc) vs FREEDOMS II</w:t>
            </w:r>
          </w:p>
        </w:tc>
        <w:tc>
          <w:tcPr>
            <w:tcW w:w="1048" w:type="pct"/>
            <w:shd w:val="clear" w:color="auto" w:fill="auto"/>
            <w:vAlign w:val="center"/>
          </w:tcPr>
          <w:p w:rsidR="00D62BBD" w:rsidRPr="00FD3E0B" w:rsidRDefault="00FD3E0B" w:rsidP="00126470">
            <w:pPr>
              <w:pStyle w:val="TableText"/>
              <w:jc w:val="center"/>
              <w:rPr>
                <w:highlight w:val="black"/>
              </w:rPr>
            </w:pPr>
            <w:r>
              <w:rPr>
                <w:noProof/>
                <w:color w:val="000000"/>
                <w:highlight w:val="black"/>
              </w:rPr>
              <w:t>'''''''''' ''''''''''''''' '''''''''''</w:t>
            </w:r>
          </w:p>
        </w:tc>
        <w:tc>
          <w:tcPr>
            <w:tcW w:w="1125" w:type="pct"/>
            <w:shd w:val="clear" w:color="auto" w:fill="auto"/>
            <w:vAlign w:val="center"/>
          </w:tcPr>
          <w:p w:rsidR="00D62BBD" w:rsidRPr="00FD3E0B" w:rsidRDefault="00FD3E0B" w:rsidP="00126470">
            <w:pPr>
              <w:pStyle w:val="TableText"/>
              <w:jc w:val="center"/>
              <w:rPr>
                <w:highlight w:val="black"/>
              </w:rPr>
            </w:pPr>
            <w:r>
              <w:rPr>
                <w:noProof/>
                <w:color w:val="000000"/>
                <w:highlight w:val="black"/>
              </w:rPr>
              <w:t>'''''''' ''''''''''' ''''''''''''''</w:t>
            </w:r>
          </w:p>
        </w:tc>
      </w:tr>
      <w:tr w:rsidR="00D62BBD" w:rsidRPr="00EA448D" w:rsidTr="00126470">
        <w:tc>
          <w:tcPr>
            <w:tcW w:w="2827" w:type="pct"/>
            <w:gridSpan w:val="3"/>
            <w:shd w:val="clear" w:color="auto" w:fill="auto"/>
          </w:tcPr>
          <w:p w:rsidR="00D62BBD" w:rsidRPr="00EA448D" w:rsidRDefault="00D62BBD" w:rsidP="00126470">
            <w:pPr>
              <w:pStyle w:val="TableText"/>
            </w:pPr>
            <w:r w:rsidRPr="00EA448D">
              <w:t xml:space="preserve">Indirect comparison CLARITY (post-hoc) vs pooled </w:t>
            </w:r>
            <w:proofErr w:type="spellStart"/>
            <w:r w:rsidRPr="00EA448D">
              <w:t>fingolimod</w:t>
            </w:r>
            <w:proofErr w:type="spellEnd"/>
            <w:r w:rsidRPr="00EA448D">
              <w:t xml:space="preserve"> trials</w:t>
            </w:r>
          </w:p>
        </w:tc>
        <w:tc>
          <w:tcPr>
            <w:tcW w:w="1048" w:type="pct"/>
            <w:shd w:val="clear" w:color="auto" w:fill="auto"/>
            <w:vAlign w:val="center"/>
          </w:tcPr>
          <w:p w:rsidR="00D62BBD" w:rsidRPr="00FD3E0B" w:rsidRDefault="00FD3E0B" w:rsidP="00126470">
            <w:pPr>
              <w:pStyle w:val="TableText"/>
              <w:jc w:val="center"/>
              <w:rPr>
                <w:highlight w:val="black"/>
              </w:rPr>
            </w:pPr>
            <w:r>
              <w:rPr>
                <w:noProof/>
                <w:color w:val="000000"/>
                <w:highlight w:val="black"/>
              </w:rPr>
              <w:t>'''''''''' '''''''''''''''' ''''''''''''</w:t>
            </w:r>
          </w:p>
        </w:tc>
        <w:tc>
          <w:tcPr>
            <w:tcW w:w="1125" w:type="pct"/>
            <w:shd w:val="clear" w:color="auto" w:fill="auto"/>
            <w:vAlign w:val="center"/>
          </w:tcPr>
          <w:p w:rsidR="00D62BBD" w:rsidRPr="00FD3E0B" w:rsidRDefault="00FD3E0B" w:rsidP="00126470">
            <w:pPr>
              <w:pStyle w:val="TableText"/>
              <w:jc w:val="center"/>
              <w:rPr>
                <w:highlight w:val="black"/>
              </w:rPr>
            </w:pPr>
            <w:r>
              <w:rPr>
                <w:noProof/>
                <w:color w:val="000000"/>
                <w:highlight w:val="black"/>
              </w:rPr>
              <w:t>'''''''' '''''''''''''' ''''''''''</w:t>
            </w:r>
          </w:p>
        </w:tc>
      </w:tr>
      <w:tr w:rsidR="00D62BBD" w:rsidRPr="00EA448D" w:rsidTr="00126470">
        <w:tc>
          <w:tcPr>
            <w:tcW w:w="2827" w:type="pct"/>
            <w:gridSpan w:val="3"/>
            <w:shd w:val="clear" w:color="auto" w:fill="auto"/>
          </w:tcPr>
          <w:p w:rsidR="00D62BBD" w:rsidRPr="00EA448D" w:rsidRDefault="00D62BBD" w:rsidP="00126470">
            <w:pPr>
              <w:pStyle w:val="TableText"/>
            </w:pPr>
            <w:r w:rsidRPr="00EA448D">
              <w:t>Indirect comparison CLARITY (ITT) vs FREEDOMS</w:t>
            </w:r>
          </w:p>
        </w:tc>
        <w:tc>
          <w:tcPr>
            <w:tcW w:w="1048" w:type="pct"/>
            <w:shd w:val="clear" w:color="auto" w:fill="auto"/>
            <w:vAlign w:val="center"/>
          </w:tcPr>
          <w:p w:rsidR="00D62BBD" w:rsidRPr="00FD3E0B" w:rsidRDefault="00FD3E0B" w:rsidP="00126470">
            <w:pPr>
              <w:pStyle w:val="TableText"/>
              <w:jc w:val="center"/>
              <w:rPr>
                <w:highlight w:val="black"/>
              </w:rPr>
            </w:pPr>
            <w:r>
              <w:rPr>
                <w:noProof/>
                <w:color w:val="000000"/>
                <w:highlight w:val="black"/>
              </w:rPr>
              <w:t>'''''''''''' '''''''''' ''''''''''''</w:t>
            </w:r>
          </w:p>
        </w:tc>
        <w:tc>
          <w:tcPr>
            <w:tcW w:w="1125" w:type="pct"/>
            <w:shd w:val="clear" w:color="auto" w:fill="auto"/>
            <w:vAlign w:val="center"/>
          </w:tcPr>
          <w:p w:rsidR="00D62BBD" w:rsidRPr="00FD3E0B" w:rsidRDefault="00FD3E0B" w:rsidP="00126470">
            <w:pPr>
              <w:pStyle w:val="TableText"/>
              <w:jc w:val="center"/>
              <w:rPr>
                <w:highlight w:val="black"/>
              </w:rPr>
            </w:pPr>
            <w:r>
              <w:rPr>
                <w:noProof/>
                <w:color w:val="000000"/>
                <w:highlight w:val="black"/>
              </w:rPr>
              <w:t>'''''''''' ''''''''''' ''''''''''</w:t>
            </w:r>
          </w:p>
        </w:tc>
      </w:tr>
      <w:tr w:rsidR="00D62BBD" w:rsidRPr="00EA448D" w:rsidTr="00126470">
        <w:tc>
          <w:tcPr>
            <w:tcW w:w="2827" w:type="pct"/>
            <w:gridSpan w:val="3"/>
            <w:shd w:val="clear" w:color="auto" w:fill="auto"/>
          </w:tcPr>
          <w:p w:rsidR="00D62BBD" w:rsidRPr="00EA448D" w:rsidRDefault="00D62BBD" w:rsidP="00126470">
            <w:pPr>
              <w:pStyle w:val="TableText"/>
            </w:pPr>
            <w:r w:rsidRPr="00EA448D">
              <w:t>Indirect comparison CLARITY (ITT) vs FREEDOMS II</w:t>
            </w:r>
          </w:p>
        </w:tc>
        <w:tc>
          <w:tcPr>
            <w:tcW w:w="1048" w:type="pct"/>
            <w:shd w:val="clear" w:color="auto" w:fill="auto"/>
            <w:vAlign w:val="center"/>
          </w:tcPr>
          <w:p w:rsidR="00D62BBD" w:rsidRPr="00FD3E0B" w:rsidRDefault="00FD3E0B" w:rsidP="00126470">
            <w:pPr>
              <w:pStyle w:val="TableText"/>
              <w:jc w:val="center"/>
              <w:rPr>
                <w:highlight w:val="black"/>
              </w:rPr>
            </w:pPr>
            <w:r>
              <w:rPr>
                <w:noProof/>
                <w:color w:val="000000"/>
                <w:highlight w:val="black"/>
              </w:rPr>
              <w:t>''''''''''' '''''''''''''''' '''''''''''</w:t>
            </w:r>
          </w:p>
        </w:tc>
        <w:tc>
          <w:tcPr>
            <w:tcW w:w="1125" w:type="pct"/>
            <w:shd w:val="clear" w:color="auto" w:fill="auto"/>
            <w:vAlign w:val="center"/>
          </w:tcPr>
          <w:p w:rsidR="00D62BBD" w:rsidRPr="00FD3E0B" w:rsidRDefault="00FD3E0B" w:rsidP="00126470">
            <w:pPr>
              <w:pStyle w:val="TableText"/>
              <w:jc w:val="center"/>
              <w:rPr>
                <w:highlight w:val="black"/>
              </w:rPr>
            </w:pPr>
            <w:r>
              <w:rPr>
                <w:noProof/>
                <w:color w:val="000000"/>
                <w:highlight w:val="black"/>
              </w:rPr>
              <w:t>''''''' '''''''''''' ''''''''''</w:t>
            </w:r>
          </w:p>
        </w:tc>
      </w:tr>
      <w:tr w:rsidR="00D62BBD" w:rsidRPr="00EA448D" w:rsidTr="00126470">
        <w:tc>
          <w:tcPr>
            <w:tcW w:w="2827" w:type="pct"/>
            <w:gridSpan w:val="3"/>
            <w:shd w:val="clear" w:color="auto" w:fill="auto"/>
          </w:tcPr>
          <w:p w:rsidR="00D62BBD" w:rsidRPr="00EA448D" w:rsidRDefault="00D62BBD" w:rsidP="00126470">
            <w:pPr>
              <w:pStyle w:val="TableText"/>
            </w:pPr>
            <w:r w:rsidRPr="00EA448D">
              <w:t xml:space="preserve">Indirect comparison CLARITY (ITT) vs pooled </w:t>
            </w:r>
            <w:proofErr w:type="spellStart"/>
            <w:r w:rsidRPr="00EA448D">
              <w:t>fingolimod</w:t>
            </w:r>
            <w:proofErr w:type="spellEnd"/>
            <w:r w:rsidRPr="00EA448D">
              <w:t xml:space="preserve"> trials</w:t>
            </w:r>
          </w:p>
        </w:tc>
        <w:tc>
          <w:tcPr>
            <w:tcW w:w="1048" w:type="pct"/>
            <w:shd w:val="clear" w:color="auto" w:fill="auto"/>
            <w:vAlign w:val="center"/>
          </w:tcPr>
          <w:p w:rsidR="00D62BBD" w:rsidRPr="00FD3E0B" w:rsidRDefault="00FD3E0B" w:rsidP="00126470">
            <w:pPr>
              <w:pStyle w:val="TableText"/>
              <w:jc w:val="center"/>
              <w:rPr>
                <w:highlight w:val="black"/>
              </w:rPr>
            </w:pPr>
            <w:r>
              <w:rPr>
                <w:noProof/>
                <w:color w:val="000000"/>
                <w:highlight w:val="black"/>
              </w:rPr>
              <w:t>'''''''''' ''''''''''''' ''''''''''''</w:t>
            </w:r>
          </w:p>
        </w:tc>
        <w:tc>
          <w:tcPr>
            <w:tcW w:w="1125" w:type="pct"/>
            <w:shd w:val="clear" w:color="auto" w:fill="auto"/>
            <w:vAlign w:val="center"/>
          </w:tcPr>
          <w:p w:rsidR="00D62BBD" w:rsidRPr="00FD3E0B" w:rsidRDefault="00FD3E0B" w:rsidP="00126470">
            <w:pPr>
              <w:pStyle w:val="TableText"/>
              <w:jc w:val="center"/>
              <w:rPr>
                <w:highlight w:val="black"/>
              </w:rPr>
            </w:pPr>
            <w:r>
              <w:rPr>
                <w:noProof/>
                <w:color w:val="000000"/>
                <w:highlight w:val="black"/>
              </w:rPr>
              <w:t>'''''''' '''''''''''' ''''''''</w:t>
            </w:r>
          </w:p>
        </w:tc>
      </w:tr>
      <w:tr w:rsidR="00D62BBD" w:rsidRPr="00EA448D" w:rsidTr="00126470">
        <w:tc>
          <w:tcPr>
            <w:tcW w:w="5000" w:type="pct"/>
            <w:gridSpan w:val="5"/>
            <w:shd w:val="clear" w:color="auto" w:fill="auto"/>
            <w:vAlign w:val="center"/>
          </w:tcPr>
          <w:p w:rsidR="00D62BBD" w:rsidRPr="00EA448D" w:rsidRDefault="00D62BBD" w:rsidP="00126470">
            <w:pPr>
              <w:pStyle w:val="TableText"/>
              <w:rPr>
                <w:b/>
              </w:rPr>
            </w:pPr>
            <w:r w:rsidRPr="00EA448D">
              <w:rPr>
                <w:b/>
              </w:rPr>
              <w:t>Proportion of patients free from 6 month confirmed progression of disability</w:t>
            </w:r>
          </w:p>
        </w:tc>
      </w:tr>
      <w:tr w:rsidR="00D62BBD" w:rsidRPr="00EA448D" w:rsidTr="00126470">
        <w:tc>
          <w:tcPr>
            <w:tcW w:w="1254" w:type="pct"/>
            <w:shd w:val="clear" w:color="auto" w:fill="auto"/>
          </w:tcPr>
          <w:p w:rsidR="00D62BBD" w:rsidRPr="00EA448D" w:rsidRDefault="00D62BBD" w:rsidP="00126470">
            <w:pPr>
              <w:pStyle w:val="TableText"/>
            </w:pPr>
            <w:r w:rsidRPr="00EA448D">
              <w:rPr>
                <w:rFonts w:eastAsia="Times New Roman" w:cs="Times New Roman"/>
              </w:rPr>
              <w:t>CLARITY, n/N (%)</w:t>
            </w:r>
          </w:p>
        </w:tc>
        <w:tc>
          <w:tcPr>
            <w:tcW w:w="787" w:type="pct"/>
            <w:shd w:val="clear" w:color="auto" w:fill="auto"/>
            <w:vAlign w:val="center"/>
          </w:tcPr>
          <w:p w:rsidR="00D62BBD" w:rsidRPr="00EA448D" w:rsidRDefault="00D62BBD" w:rsidP="00126470">
            <w:pPr>
              <w:pStyle w:val="TableText"/>
              <w:jc w:val="center"/>
            </w:pPr>
            <w:r w:rsidRPr="00EA448D">
              <w:t>358/393 (91.1%)</w:t>
            </w:r>
          </w:p>
        </w:tc>
        <w:tc>
          <w:tcPr>
            <w:tcW w:w="785" w:type="pct"/>
            <w:shd w:val="clear" w:color="auto" w:fill="auto"/>
            <w:vAlign w:val="center"/>
          </w:tcPr>
          <w:p w:rsidR="00D62BBD" w:rsidRPr="00EA448D" w:rsidRDefault="00D62BBD" w:rsidP="00126470">
            <w:pPr>
              <w:pStyle w:val="TableText"/>
              <w:jc w:val="center"/>
            </w:pPr>
            <w:r w:rsidRPr="00EA448D">
              <w:t>310/366 (84.7%)</w:t>
            </w:r>
          </w:p>
        </w:tc>
        <w:tc>
          <w:tcPr>
            <w:tcW w:w="1048" w:type="pct"/>
            <w:shd w:val="clear" w:color="auto" w:fill="auto"/>
            <w:vAlign w:val="center"/>
          </w:tcPr>
          <w:p w:rsidR="00D62BBD" w:rsidRPr="00EA448D" w:rsidRDefault="00D62BBD" w:rsidP="00126470">
            <w:pPr>
              <w:pStyle w:val="TableText"/>
              <w:jc w:val="center"/>
              <w:rPr>
                <w:b/>
              </w:rPr>
            </w:pPr>
            <w:r w:rsidRPr="00EA448D">
              <w:rPr>
                <w:b/>
                <w:szCs w:val="20"/>
              </w:rPr>
              <w:t>1.08 (1.02, 1.13)</w:t>
            </w:r>
          </w:p>
        </w:tc>
        <w:tc>
          <w:tcPr>
            <w:tcW w:w="1125" w:type="pct"/>
            <w:shd w:val="clear" w:color="auto" w:fill="auto"/>
            <w:vAlign w:val="center"/>
          </w:tcPr>
          <w:p w:rsidR="00D62BBD" w:rsidRPr="00EA448D" w:rsidRDefault="00D62BBD" w:rsidP="00126470">
            <w:pPr>
              <w:pStyle w:val="TableText"/>
              <w:jc w:val="center"/>
              <w:rPr>
                <w:b/>
              </w:rPr>
            </w:pPr>
            <w:r w:rsidRPr="00EA448D">
              <w:rPr>
                <w:b/>
              </w:rPr>
              <w:t>6.4 (1.8, 11)</w:t>
            </w:r>
          </w:p>
        </w:tc>
      </w:tr>
      <w:tr w:rsidR="00D62BBD" w:rsidRPr="00EA448D" w:rsidTr="00126470">
        <w:tc>
          <w:tcPr>
            <w:tcW w:w="1254" w:type="pct"/>
            <w:shd w:val="clear" w:color="auto" w:fill="auto"/>
          </w:tcPr>
          <w:p w:rsidR="00D62BBD" w:rsidRPr="00EA448D" w:rsidRDefault="00D62BBD" w:rsidP="00126470">
            <w:pPr>
              <w:pStyle w:val="TableText"/>
            </w:pPr>
            <w:r w:rsidRPr="00EA448D">
              <w:t>FREEDOMS, n/N (%)</w:t>
            </w:r>
          </w:p>
        </w:tc>
        <w:tc>
          <w:tcPr>
            <w:tcW w:w="787" w:type="pct"/>
            <w:shd w:val="clear" w:color="auto" w:fill="auto"/>
            <w:vAlign w:val="center"/>
          </w:tcPr>
          <w:p w:rsidR="00D62BBD" w:rsidRPr="00EA448D" w:rsidRDefault="00D62BBD" w:rsidP="00126470">
            <w:pPr>
              <w:pStyle w:val="TableText"/>
              <w:jc w:val="center"/>
            </w:pPr>
            <w:r w:rsidRPr="00EA448D">
              <w:t>372/425 (87.5%)</w:t>
            </w:r>
          </w:p>
        </w:tc>
        <w:tc>
          <w:tcPr>
            <w:tcW w:w="785" w:type="pct"/>
            <w:shd w:val="clear" w:color="auto" w:fill="auto"/>
            <w:vAlign w:val="center"/>
          </w:tcPr>
          <w:p w:rsidR="00D62BBD" w:rsidRPr="00EA448D" w:rsidRDefault="00D62BBD" w:rsidP="00126470">
            <w:pPr>
              <w:pStyle w:val="TableText"/>
              <w:jc w:val="center"/>
            </w:pPr>
            <w:r w:rsidRPr="00EA448D">
              <w:t>339/418 (81.1%)</w:t>
            </w:r>
          </w:p>
        </w:tc>
        <w:tc>
          <w:tcPr>
            <w:tcW w:w="1048" w:type="pct"/>
            <w:shd w:val="clear" w:color="auto" w:fill="auto"/>
            <w:vAlign w:val="center"/>
          </w:tcPr>
          <w:p w:rsidR="00D62BBD" w:rsidRPr="00EA448D" w:rsidRDefault="00D62BBD" w:rsidP="00126470">
            <w:pPr>
              <w:pStyle w:val="TableText"/>
              <w:jc w:val="center"/>
              <w:rPr>
                <w:b/>
              </w:rPr>
            </w:pPr>
            <w:r w:rsidRPr="00EA448D">
              <w:rPr>
                <w:b/>
              </w:rPr>
              <w:t>1.08 (1.02, 1.14)</w:t>
            </w:r>
          </w:p>
        </w:tc>
        <w:tc>
          <w:tcPr>
            <w:tcW w:w="1125" w:type="pct"/>
            <w:shd w:val="clear" w:color="auto" w:fill="auto"/>
            <w:vAlign w:val="center"/>
          </w:tcPr>
          <w:p w:rsidR="00D62BBD" w:rsidRPr="00EA448D" w:rsidRDefault="00D62BBD" w:rsidP="00126470">
            <w:pPr>
              <w:pStyle w:val="TableText"/>
              <w:jc w:val="center"/>
              <w:rPr>
                <w:b/>
              </w:rPr>
            </w:pPr>
            <w:r w:rsidRPr="00EA448D">
              <w:rPr>
                <w:b/>
              </w:rPr>
              <w:t>6.4 (1.5, 11.3)</w:t>
            </w:r>
          </w:p>
        </w:tc>
      </w:tr>
      <w:tr w:rsidR="00D62BBD" w:rsidRPr="00EA448D" w:rsidTr="00126470">
        <w:tc>
          <w:tcPr>
            <w:tcW w:w="1254" w:type="pct"/>
            <w:shd w:val="clear" w:color="auto" w:fill="auto"/>
          </w:tcPr>
          <w:p w:rsidR="00D62BBD" w:rsidRPr="00EA448D" w:rsidRDefault="00D62BBD" w:rsidP="00126470">
            <w:pPr>
              <w:pStyle w:val="TableText"/>
            </w:pPr>
            <w:r w:rsidRPr="00EA448D">
              <w:t>FREEDOMS II, n/N (%)</w:t>
            </w:r>
          </w:p>
        </w:tc>
        <w:tc>
          <w:tcPr>
            <w:tcW w:w="787" w:type="pct"/>
            <w:shd w:val="clear" w:color="auto" w:fill="auto"/>
            <w:vAlign w:val="center"/>
          </w:tcPr>
          <w:p w:rsidR="00D62BBD" w:rsidRPr="00EA448D" w:rsidRDefault="00D62BBD" w:rsidP="00126470">
            <w:pPr>
              <w:pStyle w:val="TableText"/>
              <w:jc w:val="center"/>
            </w:pPr>
            <w:r w:rsidRPr="00EA448D">
              <w:t>309/358 (86.3%)</w:t>
            </w:r>
          </w:p>
        </w:tc>
        <w:tc>
          <w:tcPr>
            <w:tcW w:w="785" w:type="pct"/>
            <w:shd w:val="clear" w:color="auto" w:fill="auto"/>
            <w:vAlign w:val="center"/>
          </w:tcPr>
          <w:p w:rsidR="00D62BBD" w:rsidRPr="00EA448D" w:rsidRDefault="00D62BBD" w:rsidP="00126470">
            <w:pPr>
              <w:pStyle w:val="TableText"/>
              <w:jc w:val="center"/>
            </w:pPr>
            <w:r w:rsidRPr="00EA448D">
              <w:rPr>
                <w:szCs w:val="20"/>
              </w:rPr>
              <w:t>292/355 (82.3%)</w:t>
            </w:r>
          </w:p>
        </w:tc>
        <w:tc>
          <w:tcPr>
            <w:tcW w:w="1048" w:type="pct"/>
            <w:shd w:val="clear" w:color="auto" w:fill="auto"/>
            <w:vAlign w:val="center"/>
          </w:tcPr>
          <w:p w:rsidR="00D62BBD" w:rsidRPr="00EA448D" w:rsidRDefault="00D62BBD" w:rsidP="00126470">
            <w:pPr>
              <w:pStyle w:val="TableText"/>
              <w:jc w:val="center"/>
            </w:pPr>
            <w:r w:rsidRPr="00EA448D">
              <w:t>1.05 (0.98, 1.12)</w:t>
            </w:r>
          </w:p>
        </w:tc>
        <w:tc>
          <w:tcPr>
            <w:tcW w:w="1125" w:type="pct"/>
            <w:shd w:val="clear" w:color="auto" w:fill="auto"/>
            <w:vAlign w:val="center"/>
          </w:tcPr>
          <w:p w:rsidR="00D62BBD" w:rsidRPr="00EA448D" w:rsidRDefault="00D62BBD" w:rsidP="00126470">
            <w:pPr>
              <w:pStyle w:val="TableText"/>
              <w:jc w:val="center"/>
            </w:pPr>
            <w:r w:rsidRPr="00EA448D">
              <w:t>4.1 (-1.3, 9.4)</w:t>
            </w:r>
          </w:p>
        </w:tc>
      </w:tr>
      <w:tr w:rsidR="00D62BBD" w:rsidRPr="00EA448D" w:rsidTr="00126470">
        <w:tc>
          <w:tcPr>
            <w:tcW w:w="2827" w:type="pct"/>
            <w:gridSpan w:val="3"/>
            <w:shd w:val="clear" w:color="auto" w:fill="auto"/>
            <w:vAlign w:val="center"/>
          </w:tcPr>
          <w:p w:rsidR="00D62BBD" w:rsidRPr="00EA448D" w:rsidRDefault="00D62BBD" w:rsidP="00126470">
            <w:pPr>
              <w:pStyle w:val="TableText"/>
              <w:jc w:val="right"/>
            </w:pPr>
            <w:proofErr w:type="spellStart"/>
            <w:r w:rsidRPr="00EA448D">
              <w:t>Fingolimod</w:t>
            </w:r>
            <w:proofErr w:type="spellEnd"/>
            <w:r w:rsidRPr="00EA448D">
              <w:t xml:space="preserve"> pooled</w:t>
            </w:r>
          </w:p>
        </w:tc>
        <w:tc>
          <w:tcPr>
            <w:tcW w:w="1048" w:type="pct"/>
            <w:shd w:val="clear" w:color="auto" w:fill="auto"/>
            <w:vAlign w:val="center"/>
          </w:tcPr>
          <w:p w:rsidR="00D62BBD" w:rsidRPr="00EA448D" w:rsidRDefault="00D62BBD" w:rsidP="00126470">
            <w:pPr>
              <w:pStyle w:val="TableText"/>
              <w:jc w:val="center"/>
            </w:pPr>
            <w:r w:rsidRPr="00EA448D">
              <w:t>1.07 (1.02, 1.11)</w:t>
            </w:r>
          </w:p>
        </w:tc>
        <w:tc>
          <w:tcPr>
            <w:tcW w:w="1125" w:type="pct"/>
            <w:shd w:val="clear" w:color="auto" w:fill="auto"/>
            <w:vAlign w:val="center"/>
          </w:tcPr>
          <w:p w:rsidR="00D62BBD" w:rsidRPr="00EA448D" w:rsidRDefault="00D62BBD" w:rsidP="00126470">
            <w:pPr>
              <w:pStyle w:val="TableText"/>
              <w:jc w:val="center"/>
            </w:pPr>
            <w:r w:rsidRPr="00EA448D">
              <w:t>5.3 (1.7, 9.0)</w:t>
            </w:r>
          </w:p>
        </w:tc>
      </w:tr>
      <w:tr w:rsidR="00D62BBD" w:rsidRPr="00EA448D" w:rsidTr="00126470">
        <w:tc>
          <w:tcPr>
            <w:tcW w:w="2827" w:type="pct"/>
            <w:gridSpan w:val="3"/>
            <w:shd w:val="clear" w:color="auto" w:fill="auto"/>
          </w:tcPr>
          <w:p w:rsidR="00D62BBD" w:rsidRPr="00EA448D" w:rsidRDefault="00D62BBD" w:rsidP="00126470">
            <w:pPr>
              <w:pStyle w:val="TableText"/>
            </w:pPr>
            <w:r w:rsidRPr="00EA448D">
              <w:t>Indirect comparison CLARITY vs FREEDOMS</w:t>
            </w:r>
          </w:p>
        </w:tc>
        <w:tc>
          <w:tcPr>
            <w:tcW w:w="1048" w:type="pct"/>
            <w:shd w:val="clear" w:color="auto" w:fill="auto"/>
            <w:vAlign w:val="center"/>
          </w:tcPr>
          <w:p w:rsidR="00D62BBD" w:rsidRPr="00FD3E0B" w:rsidRDefault="00FD3E0B" w:rsidP="00126470">
            <w:pPr>
              <w:pStyle w:val="TableText"/>
              <w:jc w:val="center"/>
              <w:rPr>
                <w:highlight w:val="black"/>
              </w:rPr>
            </w:pPr>
            <w:r>
              <w:rPr>
                <w:noProof/>
                <w:color w:val="000000"/>
                <w:highlight w:val="black"/>
              </w:rPr>
              <w:t>'''''''''' ''''''''''''''' '''''''''''</w:t>
            </w:r>
          </w:p>
        </w:tc>
        <w:tc>
          <w:tcPr>
            <w:tcW w:w="1125" w:type="pct"/>
            <w:shd w:val="clear" w:color="auto" w:fill="auto"/>
            <w:vAlign w:val="center"/>
          </w:tcPr>
          <w:p w:rsidR="00D62BBD" w:rsidRPr="00FD3E0B" w:rsidRDefault="00FD3E0B" w:rsidP="00126470">
            <w:pPr>
              <w:pStyle w:val="TableText"/>
              <w:jc w:val="center"/>
              <w:rPr>
                <w:highlight w:val="black"/>
              </w:rPr>
            </w:pPr>
            <w:r>
              <w:rPr>
                <w:noProof/>
                <w:color w:val="000000"/>
                <w:highlight w:val="black"/>
              </w:rPr>
              <w:t>''' '''''''''''' ''''''''''</w:t>
            </w:r>
          </w:p>
        </w:tc>
      </w:tr>
      <w:tr w:rsidR="00D62BBD" w:rsidRPr="00EA448D" w:rsidTr="00126470">
        <w:tc>
          <w:tcPr>
            <w:tcW w:w="2827" w:type="pct"/>
            <w:gridSpan w:val="3"/>
            <w:shd w:val="clear" w:color="auto" w:fill="auto"/>
          </w:tcPr>
          <w:p w:rsidR="00D62BBD" w:rsidRPr="00EA448D" w:rsidRDefault="00D62BBD" w:rsidP="00126470">
            <w:pPr>
              <w:pStyle w:val="TableText"/>
            </w:pPr>
            <w:r w:rsidRPr="00EA448D">
              <w:t>Indirect comparison CLARITY vs FREEDOMS II</w:t>
            </w:r>
          </w:p>
        </w:tc>
        <w:tc>
          <w:tcPr>
            <w:tcW w:w="1048" w:type="pct"/>
            <w:shd w:val="clear" w:color="auto" w:fill="auto"/>
            <w:vAlign w:val="center"/>
          </w:tcPr>
          <w:p w:rsidR="00D62BBD" w:rsidRPr="00FD3E0B" w:rsidRDefault="00FD3E0B" w:rsidP="00126470">
            <w:pPr>
              <w:pStyle w:val="TableText"/>
              <w:jc w:val="center"/>
              <w:rPr>
                <w:highlight w:val="black"/>
              </w:rPr>
            </w:pPr>
            <w:r>
              <w:rPr>
                <w:noProof/>
                <w:color w:val="000000"/>
                <w:highlight w:val="black"/>
              </w:rPr>
              <w:t>'''''''''' ''''''''''''' '''''''''''</w:t>
            </w:r>
          </w:p>
        </w:tc>
        <w:tc>
          <w:tcPr>
            <w:tcW w:w="1125" w:type="pct"/>
            <w:shd w:val="clear" w:color="auto" w:fill="auto"/>
            <w:vAlign w:val="center"/>
          </w:tcPr>
          <w:p w:rsidR="00D62BBD" w:rsidRPr="00FD3E0B" w:rsidRDefault="00FD3E0B" w:rsidP="00126470">
            <w:pPr>
              <w:pStyle w:val="TableText"/>
              <w:jc w:val="center"/>
              <w:rPr>
                <w:highlight w:val="black"/>
              </w:rPr>
            </w:pPr>
            <w:r>
              <w:rPr>
                <w:noProof/>
                <w:color w:val="000000"/>
                <w:highlight w:val="black"/>
              </w:rPr>
              <w:t>'''''''' '''''''''''' ''''''''''</w:t>
            </w:r>
          </w:p>
        </w:tc>
      </w:tr>
      <w:tr w:rsidR="00D62BBD" w:rsidRPr="00EA448D" w:rsidTr="00126470">
        <w:tc>
          <w:tcPr>
            <w:tcW w:w="2827" w:type="pct"/>
            <w:gridSpan w:val="3"/>
            <w:shd w:val="clear" w:color="auto" w:fill="auto"/>
          </w:tcPr>
          <w:p w:rsidR="00D62BBD" w:rsidRPr="00EA448D" w:rsidRDefault="00D62BBD" w:rsidP="00126470">
            <w:pPr>
              <w:pStyle w:val="TableText"/>
            </w:pPr>
            <w:r w:rsidRPr="00EA448D">
              <w:t xml:space="preserve">Indirect comparison CLARITY vs pooled </w:t>
            </w:r>
            <w:proofErr w:type="spellStart"/>
            <w:r w:rsidRPr="00EA448D">
              <w:t>fingolimod</w:t>
            </w:r>
            <w:proofErr w:type="spellEnd"/>
            <w:r w:rsidRPr="00EA448D">
              <w:t xml:space="preserve"> trials</w:t>
            </w:r>
          </w:p>
        </w:tc>
        <w:tc>
          <w:tcPr>
            <w:tcW w:w="1048" w:type="pct"/>
            <w:shd w:val="clear" w:color="auto" w:fill="auto"/>
            <w:vAlign w:val="center"/>
          </w:tcPr>
          <w:p w:rsidR="00D62BBD" w:rsidRPr="00FD3E0B" w:rsidRDefault="00FD3E0B" w:rsidP="00126470">
            <w:pPr>
              <w:pStyle w:val="TableText"/>
              <w:jc w:val="center"/>
              <w:rPr>
                <w:highlight w:val="black"/>
              </w:rPr>
            </w:pPr>
            <w:r>
              <w:rPr>
                <w:noProof/>
                <w:color w:val="000000"/>
                <w:highlight w:val="black"/>
              </w:rPr>
              <w:t>'''''''''' '''''''''''''' '''''''''''</w:t>
            </w:r>
          </w:p>
        </w:tc>
        <w:tc>
          <w:tcPr>
            <w:tcW w:w="1125" w:type="pct"/>
            <w:shd w:val="clear" w:color="auto" w:fill="auto"/>
            <w:vAlign w:val="center"/>
          </w:tcPr>
          <w:p w:rsidR="00D62BBD" w:rsidRPr="00FD3E0B" w:rsidRDefault="00FD3E0B" w:rsidP="00126470">
            <w:pPr>
              <w:pStyle w:val="TableText"/>
              <w:jc w:val="center"/>
              <w:rPr>
                <w:highlight w:val="black"/>
              </w:rPr>
            </w:pPr>
            <w:r>
              <w:rPr>
                <w:noProof/>
                <w:color w:val="000000"/>
                <w:highlight w:val="black"/>
              </w:rPr>
              <w:t>''''''' ''''''''''''' ''''''''''</w:t>
            </w:r>
          </w:p>
        </w:tc>
      </w:tr>
    </w:tbl>
    <w:p w:rsidR="00D62BBD" w:rsidRPr="00EA448D" w:rsidRDefault="00D62BBD" w:rsidP="00D62BBD">
      <w:pPr>
        <w:pStyle w:val="TableFooter"/>
      </w:pPr>
      <w:proofErr w:type="gramStart"/>
      <w:r w:rsidRPr="00EA448D">
        <w:t>Source: Table 2.6.8, p185 of the resubmission.</w:t>
      </w:r>
      <w:proofErr w:type="gramEnd"/>
      <w:r w:rsidRPr="00EA448D">
        <w:t xml:space="preserve"> </w:t>
      </w:r>
    </w:p>
    <w:p w:rsidR="00D62BBD" w:rsidRPr="00EA448D" w:rsidRDefault="00D62BBD" w:rsidP="00D62BBD">
      <w:pPr>
        <w:pStyle w:val="TableFooter"/>
      </w:pPr>
      <w:r w:rsidRPr="00EA448D">
        <w:t>CI = confidence interval; n = number of participants with event; N = total number of participants in group; NR = not reported; RR = relative risk</w:t>
      </w:r>
    </w:p>
    <w:p w:rsidR="00D62BBD" w:rsidRPr="00EA448D" w:rsidRDefault="00D62BBD" w:rsidP="00D62BBD">
      <w:pPr>
        <w:pStyle w:val="TableFooter"/>
      </w:pPr>
      <w:r w:rsidRPr="00EA448D">
        <w:t>Bold typography indicates statistically significant differences</w:t>
      </w:r>
    </w:p>
    <w:p w:rsidR="00837C26" w:rsidRPr="00EA448D" w:rsidRDefault="00837C26" w:rsidP="00D62BBD">
      <w:pPr>
        <w:spacing w:before="0" w:after="120"/>
        <w:jc w:val="both"/>
      </w:pPr>
    </w:p>
    <w:p w:rsidR="00FB42D3" w:rsidRPr="00EA448D" w:rsidRDefault="00DD270B" w:rsidP="00A627FC">
      <w:pPr>
        <w:pStyle w:val="ListParagraph"/>
        <w:numPr>
          <w:ilvl w:val="1"/>
          <w:numId w:val="1"/>
        </w:numPr>
        <w:spacing w:before="0" w:after="0"/>
        <w:jc w:val="both"/>
      </w:pPr>
      <w:r w:rsidRPr="00EA448D">
        <w:lastRenderedPageBreak/>
        <w:t>A statistically significant difference</w:t>
      </w:r>
      <w:r w:rsidR="00AF6F84" w:rsidRPr="00EA448D">
        <w:t xml:space="preserve"> favouring </w:t>
      </w:r>
      <w:proofErr w:type="spellStart"/>
      <w:r w:rsidR="00AF6F84" w:rsidRPr="00EA448D">
        <w:t>cladribine</w:t>
      </w:r>
      <w:proofErr w:type="spellEnd"/>
      <w:r w:rsidRPr="00EA448D">
        <w:t xml:space="preserve"> was observed in the </w:t>
      </w:r>
      <w:r w:rsidR="00720792" w:rsidRPr="00EA448D">
        <w:t xml:space="preserve">direct </w:t>
      </w:r>
      <w:r w:rsidRPr="00EA448D">
        <w:t xml:space="preserve">comparison of </w:t>
      </w:r>
      <w:proofErr w:type="spellStart"/>
      <w:r w:rsidRPr="00EA448D">
        <w:t>cladribine</w:t>
      </w:r>
      <w:proofErr w:type="spellEnd"/>
      <w:r w:rsidRPr="00EA448D">
        <w:t xml:space="preserve"> 3.5mg/kg taken over 4-5 days in Weeks 1 and 5 of Years 1 and 2 versus placebo over 96 weeks with respect to</w:t>
      </w:r>
      <w:r w:rsidR="00D62BBD">
        <w:t xml:space="preserve"> the</w:t>
      </w:r>
      <w:r w:rsidR="00FB42D3" w:rsidRPr="00EA448D">
        <w:t>:</w:t>
      </w:r>
    </w:p>
    <w:p w:rsidR="00AF6F84" w:rsidRPr="00EA448D" w:rsidRDefault="00DD270B" w:rsidP="00A627FC">
      <w:pPr>
        <w:pStyle w:val="ListParagraph"/>
        <w:numPr>
          <w:ilvl w:val="0"/>
          <w:numId w:val="8"/>
        </w:numPr>
        <w:spacing w:before="0" w:after="0"/>
        <w:jc w:val="both"/>
      </w:pPr>
      <w:r w:rsidRPr="00EA448D">
        <w:t>annualised relapse rate</w:t>
      </w:r>
      <w:r w:rsidR="00942BD8" w:rsidRPr="00EA448D">
        <w:t>;</w:t>
      </w:r>
    </w:p>
    <w:p w:rsidR="00AF6F84" w:rsidRPr="00EA448D" w:rsidRDefault="00DD270B" w:rsidP="00A627FC">
      <w:pPr>
        <w:pStyle w:val="ListParagraph"/>
        <w:numPr>
          <w:ilvl w:val="0"/>
          <w:numId w:val="8"/>
        </w:numPr>
        <w:spacing w:before="0" w:after="0"/>
        <w:jc w:val="both"/>
      </w:pPr>
      <w:r w:rsidRPr="00EA448D">
        <w:t>proportion remaining relapse-free</w:t>
      </w:r>
      <w:r w:rsidR="00942BD8" w:rsidRPr="00EA448D">
        <w:t>;</w:t>
      </w:r>
      <w:r w:rsidRPr="00EA448D">
        <w:t xml:space="preserve"> and</w:t>
      </w:r>
    </w:p>
    <w:p w:rsidR="00DD270B" w:rsidRPr="00EA448D" w:rsidRDefault="00DD270B" w:rsidP="00A627FC">
      <w:pPr>
        <w:pStyle w:val="ListParagraph"/>
        <w:numPr>
          <w:ilvl w:val="0"/>
          <w:numId w:val="8"/>
        </w:numPr>
        <w:spacing w:before="0" w:after="120"/>
        <w:ind w:left="935" w:hanging="357"/>
        <w:jc w:val="both"/>
      </w:pPr>
      <w:proofErr w:type="gramStart"/>
      <w:r w:rsidRPr="00EA448D">
        <w:t>proportion</w:t>
      </w:r>
      <w:proofErr w:type="gramEnd"/>
      <w:r w:rsidRPr="00EA448D">
        <w:t xml:space="preserve"> of patients free from confirmed disability progression at</w:t>
      </w:r>
      <w:r w:rsidR="00942BD8" w:rsidRPr="00EA448D">
        <w:t xml:space="preserve"> </w:t>
      </w:r>
      <w:r w:rsidRPr="00EA448D">
        <w:t xml:space="preserve">3 months </w:t>
      </w:r>
      <w:r w:rsidR="00EB150E" w:rsidRPr="00EA448D">
        <w:t xml:space="preserve">(by the post-hoc analysis presented by the resubmission and by the ITT analyses conducted during the evaluation) </w:t>
      </w:r>
      <w:r w:rsidR="00545242" w:rsidRPr="00EA448D">
        <w:t>and</w:t>
      </w:r>
      <w:r w:rsidR="00942BD8" w:rsidRPr="00EA448D">
        <w:t xml:space="preserve"> </w:t>
      </w:r>
      <w:r w:rsidR="007919B2" w:rsidRPr="00EA448D">
        <w:t xml:space="preserve">at </w:t>
      </w:r>
      <w:r w:rsidRPr="00EA448D">
        <w:t>6 months</w:t>
      </w:r>
      <w:r w:rsidR="00942BD8" w:rsidRPr="00EA448D">
        <w:t>.</w:t>
      </w:r>
      <w:r w:rsidR="00C92B19">
        <w:t xml:space="preserve"> </w:t>
      </w:r>
    </w:p>
    <w:p w:rsidR="00AF6F84" w:rsidRPr="00EA448D" w:rsidRDefault="00DD270B" w:rsidP="00A627FC">
      <w:pPr>
        <w:pStyle w:val="ListParagraph"/>
        <w:numPr>
          <w:ilvl w:val="1"/>
          <w:numId w:val="1"/>
        </w:numPr>
        <w:spacing w:before="0" w:after="0"/>
        <w:ind w:left="578" w:hanging="578"/>
        <w:jc w:val="both"/>
      </w:pPr>
      <w:r w:rsidRPr="00EA448D">
        <w:t xml:space="preserve">A statistically significant difference </w:t>
      </w:r>
      <w:r w:rsidR="00AF6F84" w:rsidRPr="00EA448D">
        <w:t xml:space="preserve">favouring </w:t>
      </w:r>
      <w:proofErr w:type="spellStart"/>
      <w:r w:rsidR="00AF6F84" w:rsidRPr="00EA448D">
        <w:t>fingolimod</w:t>
      </w:r>
      <w:proofErr w:type="spellEnd"/>
      <w:r w:rsidR="00AF6F84" w:rsidRPr="00EA448D">
        <w:t xml:space="preserve"> </w:t>
      </w:r>
      <w:r w:rsidRPr="00EA448D">
        <w:t xml:space="preserve">was observed in the </w:t>
      </w:r>
      <w:r w:rsidR="00720792" w:rsidRPr="00EA448D">
        <w:t xml:space="preserve">direct </w:t>
      </w:r>
      <w:r w:rsidRPr="00EA448D">
        <w:t xml:space="preserve">comparison of </w:t>
      </w:r>
      <w:proofErr w:type="spellStart"/>
      <w:r w:rsidRPr="00EA448D">
        <w:t>fingolimod</w:t>
      </w:r>
      <w:proofErr w:type="spellEnd"/>
      <w:r w:rsidRPr="00EA448D">
        <w:t xml:space="preserve"> 0.5mg/day versus placebo over 96 weeks with respect to</w:t>
      </w:r>
      <w:r w:rsidR="00D62BBD">
        <w:t xml:space="preserve"> the</w:t>
      </w:r>
      <w:r w:rsidR="00AF6F84" w:rsidRPr="00EA448D">
        <w:t>:</w:t>
      </w:r>
    </w:p>
    <w:p w:rsidR="00AF6F84" w:rsidRPr="00EA448D" w:rsidRDefault="00AF6F84" w:rsidP="00A627FC">
      <w:pPr>
        <w:pStyle w:val="ListParagraph"/>
        <w:numPr>
          <w:ilvl w:val="0"/>
          <w:numId w:val="8"/>
        </w:numPr>
        <w:spacing w:before="0" w:after="0"/>
        <w:jc w:val="both"/>
      </w:pPr>
      <w:r w:rsidRPr="00EA448D">
        <w:t>annualised relapse rate,</w:t>
      </w:r>
    </w:p>
    <w:p w:rsidR="00AF6F84" w:rsidRPr="00EA448D" w:rsidRDefault="00AF6F84" w:rsidP="00A627FC">
      <w:pPr>
        <w:pStyle w:val="ListParagraph"/>
        <w:numPr>
          <w:ilvl w:val="0"/>
          <w:numId w:val="8"/>
        </w:numPr>
        <w:spacing w:before="0" w:after="0"/>
        <w:jc w:val="both"/>
      </w:pPr>
      <w:r w:rsidRPr="00EA448D">
        <w:t>proportion remaining relapse-free and;</w:t>
      </w:r>
    </w:p>
    <w:p w:rsidR="00DD270B" w:rsidRPr="00EA448D" w:rsidRDefault="00AF6F84" w:rsidP="00A627FC">
      <w:pPr>
        <w:pStyle w:val="ListParagraph"/>
        <w:numPr>
          <w:ilvl w:val="0"/>
          <w:numId w:val="8"/>
        </w:numPr>
        <w:spacing w:before="0" w:after="120"/>
        <w:ind w:left="935" w:hanging="357"/>
        <w:jc w:val="both"/>
      </w:pPr>
      <w:proofErr w:type="gramStart"/>
      <w:r w:rsidRPr="00EA448D">
        <w:t>proportion</w:t>
      </w:r>
      <w:proofErr w:type="gramEnd"/>
      <w:r w:rsidRPr="00EA448D">
        <w:t xml:space="preserve"> of patients free from confirmed disability progression at</w:t>
      </w:r>
      <w:r w:rsidR="00942BD8" w:rsidRPr="00EA448D">
        <w:t xml:space="preserve"> </w:t>
      </w:r>
      <w:r w:rsidRPr="00EA448D">
        <w:t xml:space="preserve">3 months </w:t>
      </w:r>
      <w:r w:rsidR="00020660" w:rsidRPr="00EA448D">
        <w:t xml:space="preserve">(in FREEDOMS but not FREEDOMS II) </w:t>
      </w:r>
      <w:r w:rsidRPr="00EA448D">
        <w:t>and</w:t>
      </w:r>
      <w:r w:rsidR="00942BD8" w:rsidRPr="00EA448D">
        <w:t xml:space="preserve"> </w:t>
      </w:r>
      <w:r w:rsidRPr="00EA448D">
        <w:t>6 months (in FREEDOMS but not FREEDOMS II)</w:t>
      </w:r>
      <w:r w:rsidR="00942BD8" w:rsidRPr="00EA448D">
        <w:t>.</w:t>
      </w:r>
    </w:p>
    <w:p w:rsidR="00545242" w:rsidRPr="00EA448D" w:rsidRDefault="001E35F3" w:rsidP="00A627FC">
      <w:pPr>
        <w:pStyle w:val="ListParagraph"/>
        <w:numPr>
          <w:ilvl w:val="1"/>
          <w:numId w:val="1"/>
        </w:numPr>
        <w:spacing w:before="0" w:after="0"/>
        <w:ind w:left="578" w:hanging="578"/>
        <w:jc w:val="both"/>
      </w:pPr>
      <w:r w:rsidRPr="00EA448D">
        <w:t xml:space="preserve">No statistically significant differences were observed </w:t>
      </w:r>
      <w:r w:rsidR="00720792" w:rsidRPr="00EA448D">
        <w:t>in the indirect comparison of</w:t>
      </w:r>
      <w:r w:rsidRPr="00EA448D">
        <w:t xml:space="preserve"> </w:t>
      </w:r>
      <w:proofErr w:type="spellStart"/>
      <w:r w:rsidRPr="00EA448D">
        <w:t>cladribine</w:t>
      </w:r>
      <w:proofErr w:type="spellEnd"/>
      <w:r w:rsidRPr="00EA448D">
        <w:t xml:space="preserve"> 3.5mg/kg </w:t>
      </w:r>
      <w:r w:rsidR="00DD270B" w:rsidRPr="00EA448D">
        <w:t xml:space="preserve">taken over 4-5 days in Weeks 1 and 5 of Years 1 and 2 </w:t>
      </w:r>
      <w:r w:rsidRPr="00EA448D">
        <w:t xml:space="preserve">versus </w:t>
      </w:r>
      <w:proofErr w:type="spellStart"/>
      <w:r w:rsidRPr="00EA448D">
        <w:t>fingolimod</w:t>
      </w:r>
      <w:proofErr w:type="spellEnd"/>
      <w:r w:rsidRPr="00EA448D">
        <w:t xml:space="preserve"> 0.5mg/day </w:t>
      </w:r>
      <w:r w:rsidR="00DD270B" w:rsidRPr="00EA448D">
        <w:t xml:space="preserve">over 96 weeks </w:t>
      </w:r>
      <w:r w:rsidRPr="00EA448D">
        <w:t>with respect to</w:t>
      </w:r>
      <w:r w:rsidR="00D62BBD">
        <w:t xml:space="preserve"> the</w:t>
      </w:r>
      <w:r w:rsidR="00545242" w:rsidRPr="00EA448D">
        <w:t>:</w:t>
      </w:r>
    </w:p>
    <w:p w:rsidR="00545242" w:rsidRPr="00EA448D" w:rsidRDefault="00545242" w:rsidP="00A627FC">
      <w:pPr>
        <w:pStyle w:val="ListParagraph"/>
        <w:numPr>
          <w:ilvl w:val="0"/>
          <w:numId w:val="8"/>
        </w:numPr>
        <w:spacing w:before="0" w:after="0"/>
        <w:jc w:val="both"/>
      </w:pPr>
      <w:r w:rsidRPr="00EA448D">
        <w:t>annualised relapse rate</w:t>
      </w:r>
      <w:r w:rsidR="00942BD8" w:rsidRPr="00EA448D">
        <w:t>;</w:t>
      </w:r>
    </w:p>
    <w:p w:rsidR="00545242" w:rsidRPr="00EA448D" w:rsidRDefault="00545242" w:rsidP="00A627FC">
      <w:pPr>
        <w:pStyle w:val="ListParagraph"/>
        <w:numPr>
          <w:ilvl w:val="0"/>
          <w:numId w:val="8"/>
        </w:numPr>
        <w:spacing w:before="0" w:after="0"/>
        <w:jc w:val="both"/>
      </w:pPr>
      <w:r w:rsidRPr="00EA448D">
        <w:t>proportion remaining relapse-free</w:t>
      </w:r>
      <w:r w:rsidR="00942BD8" w:rsidRPr="00EA448D">
        <w:t>;</w:t>
      </w:r>
      <w:r w:rsidRPr="00EA448D">
        <w:t xml:space="preserve"> and</w:t>
      </w:r>
    </w:p>
    <w:p w:rsidR="00545242" w:rsidRPr="00EA448D" w:rsidRDefault="00545242" w:rsidP="00A627FC">
      <w:pPr>
        <w:pStyle w:val="ListParagraph"/>
        <w:numPr>
          <w:ilvl w:val="0"/>
          <w:numId w:val="8"/>
        </w:numPr>
        <w:spacing w:before="0" w:after="0"/>
        <w:jc w:val="both"/>
      </w:pPr>
      <w:proofErr w:type="gramStart"/>
      <w:r w:rsidRPr="00EA448D">
        <w:t>proportion</w:t>
      </w:r>
      <w:proofErr w:type="gramEnd"/>
      <w:r w:rsidRPr="00EA448D">
        <w:t xml:space="preserve"> of patients free from confirmed disability progression at</w:t>
      </w:r>
      <w:r w:rsidR="00942BD8" w:rsidRPr="00EA448D">
        <w:t xml:space="preserve"> </w:t>
      </w:r>
      <w:r w:rsidRPr="00EA448D">
        <w:t xml:space="preserve">3 months (by the post-hoc analysis presented by the resubmission and by the ITT analyses conducted during the evaluation) </w:t>
      </w:r>
      <w:r w:rsidR="00942BD8" w:rsidRPr="00EA448D">
        <w:t>and</w:t>
      </w:r>
      <w:r w:rsidRPr="00EA448D">
        <w:t xml:space="preserve"> 6 months</w:t>
      </w:r>
      <w:r w:rsidR="00942BD8" w:rsidRPr="00EA448D">
        <w:t>.</w:t>
      </w:r>
    </w:p>
    <w:p w:rsidR="005E6AD2" w:rsidRPr="00EA448D" w:rsidRDefault="005E6AD2" w:rsidP="00C8103C">
      <w:pPr>
        <w:pStyle w:val="ListParagraph"/>
        <w:spacing w:before="0" w:after="0"/>
        <w:ind w:left="936"/>
        <w:jc w:val="both"/>
      </w:pPr>
    </w:p>
    <w:p w:rsidR="00545242" w:rsidRPr="00EA448D" w:rsidRDefault="00545242" w:rsidP="00A627FC">
      <w:pPr>
        <w:pStyle w:val="ListParagraph"/>
        <w:numPr>
          <w:ilvl w:val="1"/>
          <w:numId w:val="1"/>
        </w:numPr>
        <w:spacing w:before="0" w:after="120"/>
        <w:jc w:val="both"/>
      </w:pPr>
      <w:r w:rsidRPr="00EA448D">
        <w:t xml:space="preserve">There was a non-significant trend for </w:t>
      </w:r>
      <w:proofErr w:type="spellStart"/>
      <w:r w:rsidRPr="00EA448D">
        <w:t>cladribine</w:t>
      </w:r>
      <w:proofErr w:type="spellEnd"/>
      <w:r w:rsidRPr="00EA448D">
        <w:t xml:space="preserve"> to have fewer patients remaining relapse free.</w:t>
      </w:r>
    </w:p>
    <w:p w:rsidR="00EB150E" w:rsidRPr="00EA448D" w:rsidRDefault="00EB150E" w:rsidP="00A627FC">
      <w:pPr>
        <w:pStyle w:val="ListParagraph"/>
        <w:numPr>
          <w:ilvl w:val="1"/>
          <w:numId w:val="1"/>
        </w:numPr>
        <w:spacing w:before="0" w:after="120"/>
        <w:jc w:val="both"/>
      </w:pPr>
      <w:r w:rsidRPr="00EA448D">
        <w:t xml:space="preserve">The resubmission considered that the lack of statistical significance in the indirect comparisons across annualised relapse rate, proportion of patients remaining free from relapse, and proportion of patients remaining free of 3 or 6 month disability progression, as well as meeting the non-inferiority threshold for ARR of 1.46 (as described by </w:t>
      </w:r>
      <w:proofErr w:type="spellStart"/>
      <w:r w:rsidRPr="00EA448D">
        <w:t>Massacessi</w:t>
      </w:r>
      <w:proofErr w:type="spellEnd"/>
      <w:r w:rsidRPr="00EA448D">
        <w:t xml:space="preserve"> 2013, 2014) supported a claim of non-inferiority.</w:t>
      </w:r>
    </w:p>
    <w:p w:rsidR="00837C26" w:rsidRPr="00EA448D" w:rsidRDefault="00837C26" w:rsidP="00A627FC">
      <w:pPr>
        <w:pStyle w:val="ListParagraph"/>
        <w:numPr>
          <w:ilvl w:val="1"/>
          <w:numId w:val="1"/>
        </w:numPr>
        <w:spacing w:before="0" w:after="0"/>
        <w:ind w:left="578" w:hanging="578"/>
        <w:jc w:val="both"/>
      </w:pPr>
      <w:r w:rsidRPr="00EA448D">
        <w:t xml:space="preserve">In addition to concerns regarding the MCID, several </w:t>
      </w:r>
      <w:r w:rsidR="004E1C3B" w:rsidRPr="00EA448D">
        <w:t xml:space="preserve">differences </w:t>
      </w:r>
      <w:r w:rsidRPr="00EA448D">
        <w:t xml:space="preserve">existed between CLARITY and the </w:t>
      </w:r>
      <w:proofErr w:type="spellStart"/>
      <w:r w:rsidRPr="00EA448D">
        <w:t>fingolimod</w:t>
      </w:r>
      <w:proofErr w:type="spellEnd"/>
      <w:r w:rsidRPr="00EA448D">
        <w:t xml:space="preserve"> trials, which may have affected </w:t>
      </w:r>
      <w:r w:rsidR="005D25C4">
        <w:t xml:space="preserve">the </w:t>
      </w:r>
      <w:r w:rsidRPr="00EA448D">
        <w:t>results of the indirect comparison</w:t>
      </w:r>
      <w:r w:rsidR="004E1C3B" w:rsidRPr="00EA448D">
        <w:t xml:space="preserve">: </w:t>
      </w:r>
    </w:p>
    <w:p w:rsidR="00837C26" w:rsidRPr="00EA448D" w:rsidRDefault="004E1C3B" w:rsidP="00D62BBD">
      <w:pPr>
        <w:pStyle w:val="ListParagraph"/>
        <w:numPr>
          <w:ilvl w:val="0"/>
          <w:numId w:val="7"/>
        </w:numPr>
        <w:spacing w:before="0" w:after="0"/>
        <w:jc w:val="both"/>
      </w:pPr>
      <w:proofErr w:type="gramStart"/>
      <w:r w:rsidRPr="00EA448D">
        <w:t>B</w:t>
      </w:r>
      <w:r w:rsidR="00837C26" w:rsidRPr="00EA448D">
        <w:t xml:space="preserve">aseline prior use of disease modifying drugs </w:t>
      </w:r>
      <w:r w:rsidR="00DD270B" w:rsidRPr="00EA448D">
        <w:t xml:space="preserve">(DMDs) </w:t>
      </w:r>
      <w:r w:rsidR="00837C26" w:rsidRPr="00EA448D">
        <w:t xml:space="preserve">across the trials </w:t>
      </w:r>
      <w:r w:rsidR="00DD270B" w:rsidRPr="00EA448D">
        <w:t xml:space="preserve">(lower in CLARITY compared with the </w:t>
      </w:r>
      <w:proofErr w:type="spellStart"/>
      <w:r w:rsidR="00DD270B" w:rsidRPr="00EA448D">
        <w:t>fingolimod</w:t>
      </w:r>
      <w:proofErr w:type="spellEnd"/>
      <w:r w:rsidR="00DD270B" w:rsidRPr="00EA448D">
        <w:t xml:space="preserve"> trials).</w:t>
      </w:r>
      <w:proofErr w:type="gramEnd"/>
      <w:r w:rsidR="00DD270B" w:rsidRPr="00EA448D">
        <w:t xml:space="preserve"> </w:t>
      </w:r>
      <w:r w:rsidR="00837C26" w:rsidRPr="00EA448D">
        <w:t xml:space="preserve">CLARITY also had lower discontinuation rates than the </w:t>
      </w:r>
      <w:proofErr w:type="spellStart"/>
      <w:r w:rsidR="00837C26" w:rsidRPr="00EA448D">
        <w:t>fingolimod</w:t>
      </w:r>
      <w:proofErr w:type="spellEnd"/>
      <w:r w:rsidR="00837C26" w:rsidRPr="00EA448D">
        <w:t xml:space="preserve"> trials</w:t>
      </w:r>
      <w:r w:rsidR="00545242" w:rsidRPr="00EA448D">
        <w:t xml:space="preserve"> (this may have reflected the difference in dosing regimens)</w:t>
      </w:r>
      <w:r w:rsidR="00837C26" w:rsidRPr="00EA448D">
        <w:t xml:space="preserve">. </w:t>
      </w:r>
    </w:p>
    <w:p w:rsidR="00C948AA" w:rsidRPr="00EA448D" w:rsidRDefault="004E1C3B" w:rsidP="00D62BBD">
      <w:pPr>
        <w:pStyle w:val="ListParagraph"/>
        <w:numPr>
          <w:ilvl w:val="0"/>
          <w:numId w:val="7"/>
        </w:numPr>
        <w:spacing w:before="0" w:after="0"/>
        <w:jc w:val="both"/>
      </w:pPr>
      <w:proofErr w:type="gramStart"/>
      <w:r w:rsidRPr="00EA448D">
        <w:t>D</w:t>
      </w:r>
      <w:r w:rsidR="00837C26" w:rsidRPr="00EA448D">
        <w:t xml:space="preserve">efinitions </w:t>
      </w:r>
      <w:r w:rsidR="00C948AA" w:rsidRPr="00EA448D">
        <w:t>for</w:t>
      </w:r>
      <w:r w:rsidR="00837C26" w:rsidRPr="00EA448D">
        <w:t xml:space="preserve"> relapse </w:t>
      </w:r>
      <w:r w:rsidR="00C948AA" w:rsidRPr="00EA448D">
        <w:t>and</w:t>
      </w:r>
      <w:r w:rsidR="00837C26" w:rsidRPr="00EA448D">
        <w:t xml:space="preserve"> progression </w:t>
      </w:r>
      <w:r w:rsidR="00DD270B" w:rsidRPr="00EA448D">
        <w:t>across the trials</w:t>
      </w:r>
      <w:r w:rsidR="00837C26" w:rsidRPr="00EA448D">
        <w:t>.</w:t>
      </w:r>
      <w:proofErr w:type="gramEnd"/>
      <w:r w:rsidR="00837C26" w:rsidRPr="00EA448D">
        <w:t xml:space="preserve"> </w:t>
      </w:r>
      <w:r w:rsidR="00DD270B" w:rsidRPr="00EA448D">
        <w:t>T</w:t>
      </w:r>
      <w:r w:rsidR="00837C26" w:rsidRPr="00EA448D">
        <w:t xml:space="preserve">his may </w:t>
      </w:r>
      <w:r w:rsidR="00DD270B" w:rsidRPr="00EA448D">
        <w:t>explain the</w:t>
      </w:r>
      <w:r w:rsidR="00837C26" w:rsidRPr="00EA448D">
        <w:t xml:space="preserve"> differences in the </w:t>
      </w:r>
      <w:r w:rsidRPr="00EA448D">
        <w:t xml:space="preserve">rates of relapse and progression reported in the </w:t>
      </w:r>
      <w:r w:rsidR="00837C26" w:rsidRPr="00EA448D">
        <w:t xml:space="preserve">placebo arms of the </w:t>
      </w:r>
      <w:proofErr w:type="spellStart"/>
      <w:r w:rsidR="00837C26" w:rsidRPr="00EA448D">
        <w:t>cladribine</w:t>
      </w:r>
      <w:proofErr w:type="spellEnd"/>
      <w:r w:rsidR="00837C26" w:rsidRPr="00EA448D">
        <w:t xml:space="preserve"> and </w:t>
      </w:r>
      <w:proofErr w:type="spellStart"/>
      <w:r w:rsidR="00837C26" w:rsidRPr="00EA448D">
        <w:t>fingolimod</w:t>
      </w:r>
      <w:proofErr w:type="spellEnd"/>
      <w:r w:rsidR="00837C26" w:rsidRPr="00EA448D">
        <w:t xml:space="preserve"> trials. </w:t>
      </w:r>
    </w:p>
    <w:p w:rsidR="00837C26" w:rsidRPr="00EA448D" w:rsidRDefault="00837C26" w:rsidP="00C948AA">
      <w:pPr>
        <w:spacing w:before="0"/>
        <w:ind w:left="709"/>
        <w:jc w:val="both"/>
      </w:pPr>
      <w:r w:rsidRPr="00EA448D">
        <w:t>It</w:t>
      </w:r>
      <w:r w:rsidR="00DD243B" w:rsidRPr="00EA448D">
        <w:t xml:space="preserve"> was</w:t>
      </w:r>
      <w:r w:rsidRPr="00EA448D">
        <w:t xml:space="preserve"> </w:t>
      </w:r>
      <w:r w:rsidR="004E1C3B" w:rsidRPr="00EA448D">
        <w:t xml:space="preserve">unclear </w:t>
      </w:r>
      <w:r w:rsidRPr="00EA448D">
        <w:t>whether this biased results, and if so, in what direction this bias would have occurred.</w:t>
      </w:r>
    </w:p>
    <w:p w:rsidR="003F4918" w:rsidRPr="005D25C4" w:rsidRDefault="003F4918" w:rsidP="00A627FC">
      <w:pPr>
        <w:pStyle w:val="ListParagraph"/>
        <w:numPr>
          <w:ilvl w:val="1"/>
          <w:numId w:val="1"/>
        </w:numPr>
        <w:spacing w:before="0" w:after="120"/>
        <w:jc w:val="both"/>
      </w:pPr>
      <w:r w:rsidRPr="005D25C4">
        <w:lastRenderedPageBreak/>
        <w:t xml:space="preserve">Although </w:t>
      </w:r>
      <w:proofErr w:type="spellStart"/>
      <w:r w:rsidRPr="005D25C4">
        <w:t>cladribine</w:t>
      </w:r>
      <w:proofErr w:type="spellEnd"/>
      <w:r w:rsidRPr="005D25C4">
        <w:t xml:space="preserve"> satisfied non-inferiority to </w:t>
      </w:r>
      <w:proofErr w:type="spellStart"/>
      <w:r w:rsidRPr="005D25C4">
        <w:t>fingolimod</w:t>
      </w:r>
      <w:proofErr w:type="spellEnd"/>
      <w:r w:rsidRPr="005D25C4">
        <w:t xml:space="preserve"> according to a MCID of 1.46 for the relapse ratio nominated by the resubmission,</w:t>
      </w:r>
      <w:r w:rsidR="00944353">
        <w:t xml:space="preserve"> as noted above,</w:t>
      </w:r>
      <w:r w:rsidRPr="005D25C4">
        <w:t xml:space="preserve"> </w:t>
      </w:r>
      <w:r w:rsidR="00D62BBD" w:rsidRPr="005D25C4">
        <w:t>the PBAC considered that</w:t>
      </w:r>
      <w:r w:rsidRPr="005D25C4">
        <w:t xml:space="preserve"> the method of calculating th</w:t>
      </w:r>
      <w:r w:rsidR="005D25C4" w:rsidRPr="005D25C4">
        <w:t>e MCID</w:t>
      </w:r>
      <w:r w:rsidRPr="005D25C4">
        <w:t xml:space="preserve"> was not adequately justified. </w:t>
      </w:r>
      <w:r w:rsidR="00D62BBD" w:rsidRPr="005D25C4">
        <w:t xml:space="preserve">The PBAC </w:t>
      </w:r>
      <w:r w:rsidRPr="005D25C4">
        <w:t xml:space="preserve">noted that the confidence intervals were narrower </w:t>
      </w:r>
      <w:proofErr w:type="gramStart"/>
      <w:r w:rsidRPr="005D25C4">
        <w:t>than those</w:t>
      </w:r>
      <w:proofErr w:type="gramEnd"/>
      <w:r w:rsidRPr="005D25C4">
        <w:t xml:space="preserve"> reported for the comparison of </w:t>
      </w:r>
      <w:proofErr w:type="spellStart"/>
      <w:r w:rsidRPr="005D25C4">
        <w:t>daclizumab</w:t>
      </w:r>
      <w:proofErr w:type="spellEnd"/>
      <w:r w:rsidRPr="005D25C4">
        <w:t xml:space="preserve"> versus </w:t>
      </w:r>
      <w:proofErr w:type="spellStart"/>
      <w:r w:rsidRPr="005D25C4">
        <w:t>fingolimod</w:t>
      </w:r>
      <w:proofErr w:type="spellEnd"/>
      <w:r w:rsidRPr="005D25C4">
        <w:t xml:space="preserve"> (RR=0.95; 95% CI: 0.63, 1.43), however</w:t>
      </w:r>
      <w:r w:rsidR="005D25C4" w:rsidRPr="005D25C4">
        <w:t xml:space="preserve">, and consistent with the PBAC’s findings for </w:t>
      </w:r>
      <w:proofErr w:type="spellStart"/>
      <w:r w:rsidR="005D25C4" w:rsidRPr="005D25C4">
        <w:t>daclizumab</w:t>
      </w:r>
      <w:proofErr w:type="spellEnd"/>
      <w:r w:rsidR="005D25C4" w:rsidRPr="005D25C4">
        <w:t>,</w:t>
      </w:r>
      <w:r w:rsidR="00F253E4">
        <w:t xml:space="preserve"> </w:t>
      </w:r>
      <w:r w:rsidR="00D62BBD" w:rsidRPr="005D25C4">
        <w:t>the Committee considered</w:t>
      </w:r>
      <w:r w:rsidRPr="005D25C4">
        <w:t xml:space="preserve"> the possibility that </w:t>
      </w:r>
      <w:proofErr w:type="spellStart"/>
      <w:r w:rsidRPr="005D25C4">
        <w:t>cladribine</w:t>
      </w:r>
      <w:proofErr w:type="spellEnd"/>
      <w:r w:rsidRPr="005D25C4">
        <w:t xml:space="preserve"> is inferior to </w:t>
      </w:r>
      <w:proofErr w:type="spellStart"/>
      <w:r w:rsidRPr="005D25C4">
        <w:t>fingolimod</w:t>
      </w:r>
      <w:proofErr w:type="spellEnd"/>
      <w:r w:rsidRPr="005D25C4">
        <w:t xml:space="preserve"> c</w:t>
      </w:r>
      <w:r w:rsidR="00E64394" w:rsidRPr="005D25C4">
        <w:t xml:space="preserve">ould </w:t>
      </w:r>
      <w:r w:rsidRPr="005D25C4">
        <w:t>not be excluded.</w:t>
      </w:r>
    </w:p>
    <w:p w:rsidR="00837C26" w:rsidRPr="00EA448D" w:rsidRDefault="00837C26" w:rsidP="00A627FC">
      <w:pPr>
        <w:pStyle w:val="ListParagraph"/>
        <w:numPr>
          <w:ilvl w:val="1"/>
          <w:numId w:val="1"/>
        </w:numPr>
        <w:spacing w:before="0" w:after="120"/>
        <w:jc w:val="both"/>
      </w:pPr>
      <w:proofErr w:type="gramStart"/>
      <w:r w:rsidRPr="00EA448D">
        <w:t>The resubmission  pr</w:t>
      </w:r>
      <w:r w:rsidR="003F4918" w:rsidRPr="00EA448D">
        <w:t>esented results of the CLARITY e</w:t>
      </w:r>
      <w:r w:rsidRPr="00EA448D">
        <w:t xml:space="preserve">xtension </w:t>
      </w:r>
      <w:r w:rsidR="003F4918" w:rsidRPr="00EA448D">
        <w:t xml:space="preserve">study </w:t>
      </w:r>
      <w:r w:rsidRPr="00EA448D">
        <w:t xml:space="preserve">to support a claim that the therapeutic effect of two years of </w:t>
      </w:r>
      <w:proofErr w:type="spellStart"/>
      <w:r w:rsidRPr="00EA448D">
        <w:t>cladribine</w:t>
      </w:r>
      <w:proofErr w:type="spellEnd"/>
      <w:r w:rsidRPr="00EA448D">
        <w:t xml:space="preserve"> treatment was maintained with no treatment </w:t>
      </w:r>
      <w:r w:rsidR="003F4918" w:rsidRPr="00EA448D">
        <w:t xml:space="preserve">over the subsequent </w:t>
      </w:r>
      <w:r w:rsidRPr="00EA448D">
        <w:t>two years</w:t>
      </w:r>
      <w:r w:rsidR="003F4918" w:rsidRPr="00EA448D">
        <w:t xml:space="preserve"> </w:t>
      </w:r>
      <w:r w:rsidR="00643EC9" w:rsidRPr="00EA448D">
        <w:t xml:space="preserve">(patients originally randomised to </w:t>
      </w:r>
      <w:proofErr w:type="spellStart"/>
      <w:r w:rsidR="00643EC9" w:rsidRPr="00EA448D">
        <w:t>cladribine</w:t>
      </w:r>
      <w:proofErr w:type="spellEnd"/>
      <w:r w:rsidR="00643EC9" w:rsidRPr="00EA448D">
        <w:t xml:space="preserve"> 3.5mg/kg in the CLARITY trial who were re-randomised to placebo during the extension) </w:t>
      </w:r>
      <w:r w:rsidR="003F4918" w:rsidRPr="00EA448D">
        <w:t>compared with continued treatment</w:t>
      </w:r>
      <w:r w:rsidR="00643EC9" w:rsidRPr="00EA448D">
        <w:t xml:space="preserve"> (patients originally randomised to </w:t>
      </w:r>
      <w:proofErr w:type="spellStart"/>
      <w:r w:rsidR="00643EC9" w:rsidRPr="00EA448D">
        <w:t>cladribine</w:t>
      </w:r>
      <w:proofErr w:type="spellEnd"/>
      <w:r w:rsidR="00643EC9" w:rsidRPr="00EA448D">
        <w:t xml:space="preserve"> 3.5mg/kg who were re-randomised to continue this treatment during the extension)</w:t>
      </w:r>
      <w:r w:rsidRPr="00EA448D">
        <w:t>.</w:t>
      </w:r>
      <w:proofErr w:type="gramEnd"/>
      <w:r w:rsidRPr="00EA448D">
        <w:t xml:space="preserve"> The claim </w:t>
      </w:r>
      <w:proofErr w:type="gramStart"/>
      <w:r w:rsidRPr="00EA448D">
        <w:t>was based</w:t>
      </w:r>
      <w:proofErr w:type="gramEnd"/>
      <w:r w:rsidRPr="00EA448D">
        <w:t xml:space="preserve"> on the lack of statistically significant differences in multiple endpoints (ARR, proporti</w:t>
      </w:r>
      <w:r w:rsidR="003F4918" w:rsidRPr="00EA448D">
        <w:t>on of patents remaining relapse-</w:t>
      </w:r>
      <w:r w:rsidRPr="00EA448D">
        <w:t>free and proportion of patients r</w:t>
      </w:r>
      <w:r w:rsidR="003F4918" w:rsidRPr="00EA448D">
        <w:t>emaining disability progression-</w:t>
      </w:r>
      <w:r w:rsidRPr="00EA448D">
        <w:t>free).</w:t>
      </w:r>
    </w:p>
    <w:p w:rsidR="00643EC9" w:rsidRPr="00EA448D" w:rsidRDefault="00643EC9" w:rsidP="00A627FC">
      <w:pPr>
        <w:pStyle w:val="ListParagraph"/>
        <w:numPr>
          <w:ilvl w:val="1"/>
          <w:numId w:val="1"/>
        </w:numPr>
        <w:spacing w:before="0" w:after="120"/>
        <w:jc w:val="both"/>
      </w:pPr>
      <w:r w:rsidRPr="00EA448D">
        <w:t xml:space="preserve">The proportion of patients remaining relapse-free in the CLARITY extension indicated a sustained improvement in all randomised groups compared to patients initially randomised to placebo and subsequently administered </w:t>
      </w:r>
      <w:proofErr w:type="spellStart"/>
      <w:r w:rsidRPr="00EA448D">
        <w:t>cladribine</w:t>
      </w:r>
      <w:proofErr w:type="spellEnd"/>
      <w:r w:rsidRPr="00EA448D">
        <w:t xml:space="preserve"> 3.5mg/kg in the extensi</w:t>
      </w:r>
      <w:r w:rsidR="00D549E7">
        <w:t>on</w:t>
      </w:r>
      <w:r w:rsidRPr="00EA448D">
        <w:t xml:space="preserve">. It is also notable that while not statistically significantly different, sustained improvement was greater among those randomised to </w:t>
      </w:r>
      <w:proofErr w:type="spellStart"/>
      <w:r w:rsidRPr="00EA448D">
        <w:t>cladribine</w:t>
      </w:r>
      <w:proofErr w:type="spellEnd"/>
      <w:r w:rsidRPr="00EA448D">
        <w:t xml:space="preserve"> in CLARITY continuing </w:t>
      </w:r>
      <w:proofErr w:type="spellStart"/>
      <w:r w:rsidRPr="00EA448D">
        <w:t>cladribine</w:t>
      </w:r>
      <w:proofErr w:type="spellEnd"/>
      <w:r w:rsidRPr="00EA448D">
        <w:t xml:space="preserve"> 3.5mg/kg through the CLARITY extension compared with those re-randomised to placebo. This needs to </w:t>
      </w:r>
      <w:proofErr w:type="gramStart"/>
      <w:r w:rsidRPr="00EA448D">
        <w:t>be interpreted</w:t>
      </w:r>
      <w:proofErr w:type="gramEnd"/>
      <w:r w:rsidRPr="00EA448D">
        <w:t xml:space="preserve"> </w:t>
      </w:r>
      <w:r w:rsidR="00020660" w:rsidRPr="00EA448D">
        <w:t xml:space="preserve">with caution </w:t>
      </w:r>
      <w:r w:rsidRPr="00EA448D">
        <w:t xml:space="preserve">considering that the CLARITY extension was not powered to detect differences in efficacy outcomes. </w:t>
      </w:r>
    </w:p>
    <w:p w:rsidR="00837C26" w:rsidRDefault="00837C26" w:rsidP="00A627FC">
      <w:pPr>
        <w:pStyle w:val="ListParagraph"/>
        <w:numPr>
          <w:ilvl w:val="1"/>
          <w:numId w:val="1"/>
        </w:numPr>
        <w:spacing w:before="0" w:after="120"/>
        <w:jc w:val="both"/>
      </w:pPr>
      <w:r w:rsidRPr="00EA448D">
        <w:t>To support a claim of non-inferio</w:t>
      </w:r>
      <w:r w:rsidR="00EF381E">
        <w:t xml:space="preserve">r efficacy to </w:t>
      </w:r>
      <w:proofErr w:type="spellStart"/>
      <w:r w:rsidR="00EF381E">
        <w:t>fingolimod</w:t>
      </w:r>
      <w:proofErr w:type="spellEnd"/>
      <w:r w:rsidR="00EF381E">
        <w:t xml:space="preserve"> over a </w:t>
      </w:r>
      <w:r w:rsidR="008F0517">
        <w:t>four</w:t>
      </w:r>
      <w:r w:rsidRPr="00EA448D">
        <w:t xml:space="preserve">-year treatment duration the resubmission presented non-statistical comparisons of efficacy endpoints in the CLARITY and </w:t>
      </w:r>
      <w:proofErr w:type="spellStart"/>
      <w:r w:rsidRPr="00EA448D">
        <w:t>fingolimod</w:t>
      </w:r>
      <w:proofErr w:type="spellEnd"/>
      <w:r w:rsidRPr="00EA448D">
        <w:t xml:space="preserve"> extension</w:t>
      </w:r>
      <w:r w:rsidR="00E52D89" w:rsidRPr="00EA448D">
        <w:t xml:space="preserve"> studies</w:t>
      </w:r>
      <w:r w:rsidRPr="00EA448D">
        <w:t xml:space="preserve">. There were some similarities in endpoints, but as a statistical comparison was not possible, inferiority to </w:t>
      </w:r>
      <w:proofErr w:type="spellStart"/>
      <w:r w:rsidRPr="00EA448D">
        <w:t>fingolimod</w:t>
      </w:r>
      <w:proofErr w:type="spellEnd"/>
      <w:r w:rsidRPr="00EA448D">
        <w:t xml:space="preserve"> </w:t>
      </w:r>
      <w:proofErr w:type="gramStart"/>
      <w:r w:rsidRPr="00EA448D">
        <w:t xml:space="preserve">could not be </w:t>
      </w:r>
      <w:r w:rsidR="00643EC9" w:rsidRPr="00EA448D">
        <w:t>excluded</w:t>
      </w:r>
      <w:proofErr w:type="gramEnd"/>
      <w:r w:rsidRPr="00EA448D">
        <w:t xml:space="preserve">. </w:t>
      </w:r>
      <w:r w:rsidR="009E192B" w:rsidRPr="00EA448D">
        <w:t xml:space="preserve"> Th</w:t>
      </w:r>
      <w:r w:rsidR="00244986">
        <w:t>e PBAC considered that</w:t>
      </w:r>
      <w:r w:rsidR="009E192B" w:rsidRPr="00EA448D">
        <w:t xml:space="preserve"> the resubmission provided insufficient evidence to support the claim of durability of effect, to demonstrate that two years of </w:t>
      </w:r>
      <w:proofErr w:type="spellStart"/>
      <w:r w:rsidR="009E192B" w:rsidRPr="00EA448D">
        <w:t>cladribine</w:t>
      </w:r>
      <w:proofErr w:type="spellEnd"/>
      <w:r w:rsidR="009E192B" w:rsidRPr="00EA448D">
        <w:t xml:space="preserve"> treatment was comparable to four years of </w:t>
      </w:r>
      <w:proofErr w:type="spellStart"/>
      <w:r w:rsidR="009E192B" w:rsidRPr="00EA448D">
        <w:t>fingolimod</w:t>
      </w:r>
      <w:proofErr w:type="spellEnd"/>
      <w:r w:rsidR="009E192B" w:rsidRPr="00EA448D">
        <w:t xml:space="preserve"> treatment.</w:t>
      </w:r>
    </w:p>
    <w:p w:rsidR="00B601F9" w:rsidRPr="00855228" w:rsidRDefault="00B601F9" w:rsidP="00A627FC">
      <w:pPr>
        <w:pStyle w:val="ListParagraph"/>
        <w:numPr>
          <w:ilvl w:val="1"/>
          <w:numId w:val="1"/>
        </w:numPr>
        <w:spacing w:before="0" w:after="120"/>
        <w:jc w:val="both"/>
      </w:pPr>
      <w:r w:rsidRPr="00855228">
        <w:t>The ESC noted the randomisation and patient flow from the CLARITY trial to the CLARITY extension study, as presented below.</w:t>
      </w:r>
    </w:p>
    <w:p w:rsidR="00244986" w:rsidRPr="00244986" w:rsidRDefault="00244986" w:rsidP="00244986">
      <w:pPr>
        <w:pStyle w:val="Caption"/>
        <w:jc w:val="both"/>
        <w:rPr>
          <w:rFonts w:ascii="Arial Narrow" w:hAnsi="Arial Narrow"/>
        </w:rPr>
      </w:pPr>
      <w:r w:rsidRPr="00244986">
        <w:rPr>
          <w:rFonts w:ascii="Arial Narrow" w:hAnsi="Arial Narrow"/>
        </w:rPr>
        <w:lastRenderedPageBreak/>
        <w:t xml:space="preserve">Figure </w:t>
      </w:r>
      <w:r w:rsidRPr="00244986">
        <w:rPr>
          <w:rFonts w:ascii="Arial Narrow" w:hAnsi="Arial Narrow"/>
          <w:noProof/>
        </w:rPr>
        <w:t>1</w:t>
      </w:r>
      <w:r w:rsidRPr="00244986">
        <w:rPr>
          <w:rFonts w:ascii="Arial Narrow" w:hAnsi="Arial Narrow"/>
        </w:rPr>
        <w:t>: Subject randomisation in CLARITY and CLARITY EXT</w:t>
      </w:r>
    </w:p>
    <w:p w:rsidR="00B601F9" w:rsidRDefault="00B601F9" w:rsidP="00B601F9">
      <w:pPr>
        <w:spacing w:before="0" w:after="120"/>
        <w:jc w:val="both"/>
        <w:rPr>
          <w:i/>
        </w:rPr>
      </w:pPr>
      <w:r>
        <w:rPr>
          <w:noProof/>
          <w:lang w:eastAsia="en-AU"/>
        </w:rPr>
        <w:drawing>
          <wp:inline distT="0" distB="0" distL="0" distR="0" wp14:anchorId="1BE2F155" wp14:editId="5BFA4A11">
            <wp:extent cx="5731510" cy="375704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3757048"/>
                    </a:xfrm>
                    <a:prstGeom prst="rect">
                      <a:avLst/>
                    </a:prstGeom>
                  </pic:spPr>
                </pic:pic>
              </a:graphicData>
            </a:graphic>
          </wp:inline>
        </w:drawing>
      </w:r>
    </w:p>
    <w:p w:rsidR="00B601F9" w:rsidRPr="00244986" w:rsidRDefault="00B601F9" w:rsidP="00B601F9">
      <w:pPr>
        <w:spacing w:before="0" w:after="120"/>
        <w:jc w:val="both"/>
        <w:rPr>
          <w:rFonts w:ascii="Arial Narrow" w:hAnsi="Arial Narrow"/>
          <w:sz w:val="20"/>
          <w:szCs w:val="20"/>
        </w:rPr>
      </w:pPr>
      <w:r w:rsidRPr="00244986">
        <w:rPr>
          <w:rFonts w:ascii="Arial Narrow" w:hAnsi="Arial Narrow"/>
          <w:sz w:val="20"/>
          <w:szCs w:val="20"/>
        </w:rPr>
        <w:t>Source: p7, CLARITY EXT CSR provided with the submission</w:t>
      </w:r>
    </w:p>
    <w:p w:rsidR="000D2204" w:rsidRDefault="000D2204" w:rsidP="00A627FC">
      <w:pPr>
        <w:pStyle w:val="ListParagraph"/>
        <w:numPr>
          <w:ilvl w:val="1"/>
          <w:numId w:val="1"/>
        </w:numPr>
        <w:spacing w:before="0" w:after="120"/>
        <w:jc w:val="both"/>
      </w:pPr>
      <w:r w:rsidRPr="00855228">
        <w:t xml:space="preserve">The ESC noted that of those randomised to low dose (3.5mg/kg) </w:t>
      </w:r>
      <w:proofErr w:type="spellStart"/>
      <w:r w:rsidRPr="00855228">
        <w:t>cladribine</w:t>
      </w:r>
      <w:proofErr w:type="spellEnd"/>
      <w:r w:rsidRPr="00855228">
        <w:t xml:space="preserve"> in the CLARITY trial, only 71% (284/398) of subjects entered the extension study. Therefore, the ESC was concerned that the trial population for CLARITY and CLARITY EXT are not comparable. For example, the overall annualized relapse rate for the CLARITY treatment arm was 0.14, but the Low-dose CLARITY subgroup that was randomized to the Low dose (LLLL) and placebo (LLPP) arms of CLARITY EXT, had annualized relapse rates of 0.12 and 0.10 respectively in the CLARITY study itself. Thus the population randomized to the LLLL and LLPP arms may represent a disease population which has less severe disease than the original CLARITY population, and the proposed ‘sustained improvement’ may represent the natural history of a group with less severe disease, instead of ‘sustained improvement’. The ESC considered that there was insufficient evidence to support the claim that </w:t>
      </w:r>
      <w:proofErr w:type="spellStart"/>
      <w:r w:rsidRPr="00855228">
        <w:t>cladribine</w:t>
      </w:r>
      <w:proofErr w:type="spellEnd"/>
      <w:r w:rsidRPr="00855228">
        <w:t xml:space="preserve"> administered in the first two years of a four year period, is non-inferior to </w:t>
      </w:r>
      <w:proofErr w:type="spellStart"/>
      <w:r w:rsidRPr="00855228">
        <w:t>fingolimod</w:t>
      </w:r>
      <w:proofErr w:type="spellEnd"/>
      <w:r w:rsidRPr="00855228">
        <w:t xml:space="preserve"> administered throughout a  four year period,  in terms of efficacy or safety.</w:t>
      </w:r>
    </w:p>
    <w:p w:rsidR="000307D9" w:rsidRDefault="000307D9" w:rsidP="00A627FC">
      <w:pPr>
        <w:pStyle w:val="ListParagraph"/>
        <w:numPr>
          <w:ilvl w:val="1"/>
          <w:numId w:val="1"/>
        </w:numPr>
        <w:spacing w:before="0" w:after="120"/>
        <w:jc w:val="both"/>
      </w:pPr>
      <w:r>
        <w:t xml:space="preserve">The pre-PBAC response (p1-2) argued that the ‘sustained improvement’ in CLARITY EXT does not represent a population with less severe disease. </w:t>
      </w:r>
      <w:r w:rsidR="00022C8C">
        <w:t>It stated</w:t>
      </w:r>
      <w:r w:rsidR="00CF72E2">
        <w:t xml:space="preserve"> that the differences in annualised relapse rates mentioned by the ESC </w:t>
      </w:r>
      <w:r w:rsidR="00022C8C" w:rsidRPr="00022C8C">
        <w:t>rep</w:t>
      </w:r>
      <w:r w:rsidR="00126470">
        <w:t>resent a maximum difference of four</w:t>
      </w:r>
      <w:r w:rsidR="00022C8C" w:rsidRPr="00022C8C">
        <w:t xml:space="preserve"> relapses</w:t>
      </w:r>
      <w:r w:rsidR="00126470">
        <w:t xml:space="preserve"> per </w:t>
      </w:r>
      <w:r w:rsidR="00022C8C" w:rsidRPr="00022C8C">
        <w:t>100 patient-years</w:t>
      </w:r>
      <w:r w:rsidR="00022C8C">
        <w:t>. The pre-PBAC response compared this to the difference</w:t>
      </w:r>
      <w:r w:rsidR="00022C8C" w:rsidRPr="00022C8C">
        <w:t xml:space="preserve"> seen between patients treated with </w:t>
      </w:r>
      <w:proofErr w:type="spellStart"/>
      <w:r w:rsidR="00022C8C" w:rsidRPr="00022C8C">
        <w:t>fingolimod</w:t>
      </w:r>
      <w:proofErr w:type="spellEnd"/>
      <w:r w:rsidR="00022C8C" w:rsidRPr="00022C8C">
        <w:t xml:space="preserve"> in FREEDOMS (ARR 0.18) and those receiving ongoing treatment with </w:t>
      </w:r>
      <w:proofErr w:type="spellStart"/>
      <w:r w:rsidR="00022C8C" w:rsidRPr="00022C8C">
        <w:t>fingolimod</w:t>
      </w:r>
      <w:proofErr w:type="spellEnd"/>
      <w:r w:rsidR="00022C8C" w:rsidRPr="00022C8C">
        <w:t xml:space="preserve"> in FREEDOMS EXT (0.20)</w:t>
      </w:r>
      <w:r w:rsidR="00022C8C">
        <w:t xml:space="preserve"> as similar. It argued that these differences </w:t>
      </w:r>
      <w:r w:rsidR="00CF72E2">
        <w:t xml:space="preserve">reflect re-randomisation and are not clinically meaningful. The pre-PBAC response </w:t>
      </w:r>
      <w:r w:rsidR="00022C8C">
        <w:t xml:space="preserve">also argued that </w:t>
      </w:r>
      <w:proofErr w:type="spellStart"/>
      <w:r w:rsidR="00022C8C" w:rsidRPr="00022C8C">
        <w:t>cladribine</w:t>
      </w:r>
      <w:proofErr w:type="spellEnd"/>
      <w:r w:rsidR="00022C8C" w:rsidRPr="00022C8C">
        <w:t xml:space="preserve"> has demonstrated sustained improvement in patients with high disease activity (HDA) as defined by ≥1 relapse in the previous year while on DMD therapy and ≥1 T1Gd+ lesion </w:t>
      </w:r>
      <w:r w:rsidR="00022C8C" w:rsidRPr="00022C8C">
        <w:lastRenderedPageBreak/>
        <w:t>or 9 T2 lesions OR ≥2 relapses in the previous year (regardless of previous treatment status).</w:t>
      </w:r>
      <w:r w:rsidR="00022C8C">
        <w:t xml:space="preserve"> The pre-PBAC response claimed that approximately 70% of </w:t>
      </w:r>
      <w:proofErr w:type="spellStart"/>
      <w:r w:rsidR="00022C8C">
        <w:t>cladribine</w:t>
      </w:r>
      <w:proofErr w:type="spellEnd"/>
      <w:r w:rsidR="00022C8C">
        <w:t xml:space="preserve"> patients and 60% of </w:t>
      </w:r>
      <w:proofErr w:type="spellStart"/>
      <w:r w:rsidR="00022C8C">
        <w:t>fingolimod</w:t>
      </w:r>
      <w:proofErr w:type="spellEnd"/>
      <w:r w:rsidR="00022C8C">
        <w:t xml:space="preserve"> patients re</w:t>
      </w:r>
      <w:r w:rsidR="00126470">
        <w:t>main relapse-free at four</w:t>
      </w:r>
      <w:r w:rsidR="00022C8C">
        <w:t xml:space="preserve"> years</w:t>
      </w:r>
      <w:r w:rsidR="00305795">
        <w:t>.</w:t>
      </w:r>
    </w:p>
    <w:p w:rsidR="008102D6" w:rsidRPr="00855228" w:rsidRDefault="008102D6" w:rsidP="00A627FC">
      <w:pPr>
        <w:pStyle w:val="ListParagraph"/>
        <w:numPr>
          <w:ilvl w:val="1"/>
          <w:numId w:val="1"/>
        </w:numPr>
        <w:spacing w:before="0" w:after="120"/>
        <w:jc w:val="both"/>
      </w:pPr>
      <w:r>
        <w:t xml:space="preserve">The PBAC agreed with the ESC’s concerns that the trial population for CLARITY and CLARITY EXT may not be comparable. The PBAC considered that a naïve comparison of point estimates of the </w:t>
      </w:r>
      <w:proofErr w:type="spellStart"/>
      <w:r>
        <w:t>cladribine</w:t>
      </w:r>
      <w:proofErr w:type="spellEnd"/>
      <w:r>
        <w:t xml:space="preserve"> and </w:t>
      </w:r>
      <w:proofErr w:type="spellStart"/>
      <w:r>
        <w:t>fingolimod</w:t>
      </w:r>
      <w:proofErr w:type="spellEnd"/>
      <w:r>
        <w:t xml:space="preserve"> extension studies did not provide sufficient evidence to demonstrate </w:t>
      </w:r>
      <w:proofErr w:type="gramStart"/>
      <w:r>
        <w:t>that</w:t>
      </w:r>
      <w:proofErr w:type="gramEnd"/>
      <w:r>
        <w:t xml:space="preserve"> </w:t>
      </w:r>
      <w:r w:rsidRPr="00EA448D">
        <w:t xml:space="preserve">two years of </w:t>
      </w:r>
      <w:proofErr w:type="spellStart"/>
      <w:r w:rsidRPr="00EA448D">
        <w:t>cladribine</w:t>
      </w:r>
      <w:proofErr w:type="spellEnd"/>
      <w:r w:rsidRPr="00EA448D">
        <w:t xml:space="preserve"> treatment was comparable to four years of </w:t>
      </w:r>
      <w:proofErr w:type="spellStart"/>
      <w:r w:rsidRPr="00EA448D">
        <w:t>fingolimod</w:t>
      </w:r>
      <w:proofErr w:type="spellEnd"/>
      <w:r w:rsidRPr="00EA448D">
        <w:t xml:space="preserve"> treatment.</w:t>
      </w:r>
    </w:p>
    <w:p w:rsidR="008C007F" w:rsidRDefault="008C007F" w:rsidP="00A627FC">
      <w:pPr>
        <w:pStyle w:val="ListParagraph"/>
        <w:numPr>
          <w:ilvl w:val="1"/>
          <w:numId w:val="1"/>
        </w:numPr>
        <w:spacing w:before="0" w:after="120"/>
        <w:jc w:val="both"/>
      </w:pPr>
      <w:r>
        <w:t xml:space="preserve">The pre-PBAC response (p1) maintained that the clinical evidence justifies the </w:t>
      </w:r>
      <w:r w:rsidR="008F0517">
        <w:t>four</w:t>
      </w:r>
      <w:r>
        <w:t xml:space="preserve">-year treatment regimen for </w:t>
      </w:r>
      <w:proofErr w:type="spellStart"/>
      <w:r>
        <w:t>cladribine</w:t>
      </w:r>
      <w:proofErr w:type="spellEnd"/>
      <w:r>
        <w:t xml:space="preserve"> tablets. </w:t>
      </w:r>
      <w:r w:rsidR="00581358">
        <w:t xml:space="preserve">The pre-PBAC response argued that the TGA Delegate’s Overview (p9) confirms the proposed treatment regimen for </w:t>
      </w:r>
      <w:proofErr w:type="spellStart"/>
      <w:r w:rsidR="00581358">
        <w:t>cladribine</w:t>
      </w:r>
      <w:proofErr w:type="spellEnd"/>
      <w:r w:rsidR="00581358">
        <w:t>: “</w:t>
      </w:r>
      <w:r w:rsidR="00581358" w:rsidRPr="00581358">
        <w:t xml:space="preserve">The annualised relapse rate in these patients was similar to the annualised relapse rate in the CLARITY study, strongly suggesting continued benefit up to 6 years after commencing treatment with </w:t>
      </w:r>
      <w:proofErr w:type="spellStart"/>
      <w:r w:rsidR="00581358" w:rsidRPr="00581358">
        <w:t>cladribine</w:t>
      </w:r>
      <w:proofErr w:type="spellEnd"/>
      <w:r w:rsidR="00581358" w:rsidRPr="00581358">
        <w:t xml:space="preserve">. The risk of disability progression over the 96 weeks of the CLARITY study for patients given 3.5 mg </w:t>
      </w:r>
      <w:proofErr w:type="spellStart"/>
      <w:r w:rsidR="00581358" w:rsidRPr="00581358">
        <w:t>cladribine</w:t>
      </w:r>
      <w:proofErr w:type="spellEnd"/>
      <w:r w:rsidR="00581358" w:rsidRPr="00581358">
        <w:t xml:space="preserve"> was 33%. Disability progression occurred in 27.6% over the course of the extension study, again indicating sustained benefit from </w:t>
      </w:r>
      <w:proofErr w:type="spellStart"/>
      <w:r w:rsidR="00581358" w:rsidRPr="00581358">
        <w:t>cladribine</w:t>
      </w:r>
      <w:proofErr w:type="spellEnd"/>
      <w:r w:rsidR="00581358" w:rsidRPr="00581358">
        <w:t xml:space="preserve"> given only in the CLARITY study. These results strongly support continuing benefit from the current dose regimen.</w:t>
      </w:r>
      <w:r w:rsidR="00581358">
        <w:t xml:space="preserve">” </w:t>
      </w:r>
      <w:proofErr w:type="gramStart"/>
      <w:r w:rsidR="00581358">
        <w:t>(p9, Delegate’s Overview).</w:t>
      </w:r>
      <w:proofErr w:type="gramEnd"/>
      <w:r w:rsidR="00581358">
        <w:t xml:space="preserve"> </w:t>
      </w:r>
    </w:p>
    <w:p w:rsidR="00581358" w:rsidRDefault="00581358" w:rsidP="00A627FC">
      <w:pPr>
        <w:pStyle w:val="ListParagraph"/>
        <w:numPr>
          <w:ilvl w:val="1"/>
          <w:numId w:val="1"/>
        </w:numPr>
        <w:spacing w:before="0" w:after="120"/>
        <w:jc w:val="both"/>
      </w:pPr>
      <w:r>
        <w:t xml:space="preserve">The PBAC considered that in clinical practice, patients who </w:t>
      </w:r>
      <w:r w:rsidR="00126470">
        <w:t>complete the two</w:t>
      </w:r>
      <w:r>
        <w:t xml:space="preserve"> trea</w:t>
      </w:r>
      <w:r w:rsidR="00126470">
        <w:t xml:space="preserve">tment courses of </w:t>
      </w:r>
      <w:proofErr w:type="spellStart"/>
      <w:r w:rsidR="00126470">
        <w:t>cladribine</w:t>
      </w:r>
      <w:proofErr w:type="spellEnd"/>
      <w:r w:rsidR="00126470">
        <w:t xml:space="preserve"> in Y</w:t>
      </w:r>
      <w:r>
        <w:t xml:space="preserve">ears 1 and 2 but </w:t>
      </w:r>
      <w:r w:rsidR="00126470">
        <w:t>progress in Y</w:t>
      </w:r>
      <w:r>
        <w:t xml:space="preserve">ears 3 and 4 are highly likely to </w:t>
      </w:r>
      <w:proofErr w:type="gramStart"/>
      <w:r>
        <w:t>be prescribed</w:t>
      </w:r>
      <w:proofErr w:type="gramEnd"/>
      <w:r>
        <w:t xml:space="preserve"> other therapies for RRMS. </w:t>
      </w:r>
      <w:r w:rsidR="00126470">
        <w:t xml:space="preserve">Furthermore, the PBAC considered that in practice, not all patients who commence Year 1 of </w:t>
      </w:r>
      <w:proofErr w:type="spellStart"/>
      <w:r w:rsidR="00126470">
        <w:t>cladribine</w:t>
      </w:r>
      <w:proofErr w:type="spellEnd"/>
      <w:r w:rsidR="00126470">
        <w:t xml:space="preserve"> t</w:t>
      </w:r>
      <w:r w:rsidR="00F253E4">
        <w:t>reatment may continue in Year 2</w:t>
      </w:r>
      <w:r w:rsidR="00126470">
        <w:t xml:space="preserve">. </w:t>
      </w:r>
      <w:r>
        <w:t>As such, the PBAC considered that</w:t>
      </w:r>
      <w:r w:rsidR="0007644E">
        <w:t xml:space="preserve"> it was not appropriate to assume that two years of treatment with </w:t>
      </w:r>
      <w:proofErr w:type="spellStart"/>
      <w:r w:rsidR="0007644E">
        <w:t>cladribine</w:t>
      </w:r>
      <w:proofErr w:type="spellEnd"/>
      <w:r w:rsidR="0007644E">
        <w:t xml:space="preserve"> was equal to four years of treatment with </w:t>
      </w:r>
      <w:proofErr w:type="spellStart"/>
      <w:r w:rsidR="0007644E">
        <w:t>fingolimod</w:t>
      </w:r>
      <w:proofErr w:type="spellEnd"/>
      <w:r w:rsidR="0007644E">
        <w:t xml:space="preserve">. </w:t>
      </w:r>
    </w:p>
    <w:p w:rsidR="00837C26" w:rsidRPr="00EA448D" w:rsidRDefault="00837C26" w:rsidP="00837C26">
      <w:pPr>
        <w:pStyle w:val="Heading2"/>
        <w:rPr>
          <w:i w:val="0"/>
        </w:rPr>
      </w:pPr>
      <w:bookmarkStart w:id="25" w:name="_Toc413139279"/>
      <w:bookmarkStart w:id="26" w:name="_Toc365847462"/>
      <w:r w:rsidRPr="00EA448D">
        <w:rPr>
          <w:i w:val="0"/>
        </w:rPr>
        <w:t>Comparative harms</w:t>
      </w:r>
      <w:bookmarkEnd w:id="25"/>
      <w:bookmarkEnd w:id="26"/>
    </w:p>
    <w:p w:rsidR="00837C26" w:rsidRPr="00855228" w:rsidRDefault="00837C26" w:rsidP="00A627FC">
      <w:pPr>
        <w:pStyle w:val="ListParagraph"/>
        <w:numPr>
          <w:ilvl w:val="1"/>
          <w:numId w:val="1"/>
        </w:numPr>
        <w:spacing w:before="0" w:after="120"/>
        <w:jc w:val="both"/>
      </w:pPr>
      <w:r w:rsidRPr="00855228">
        <w:t>The PBAC ha</w:t>
      </w:r>
      <w:r w:rsidR="007D6C42" w:rsidRPr="00855228">
        <w:t>s</w:t>
      </w:r>
      <w:r w:rsidRPr="00855228">
        <w:t xml:space="preserve"> previously noted </w:t>
      </w:r>
      <w:r w:rsidR="007D6C42" w:rsidRPr="00855228">
        <w:t xml:space="preserve">that </w:t>
      </w:r>
      <w:proofErr w:type="spellStart"/>
      <w:r w:rsidRPr="00855228">
        <w:t>cladribi</w:t>
      </w:r>
      <w:r w:rsidR="007D6C42" w:rsidRPr="00855228">
        <w:t>ne</w:t>
      </w:r>
      <w:proofErr w:type="spellEnd"/>
      <w:r w:rsidR="007D6C42" w:rsidRPr="00855228">
        <w:t xml:space="preserve"> 3.5mg/kg was generally well tolerated and</w:t>
      </w:r>
      <w:r w:rsidRPr="00855228">
        <w:t xml:space="preserve"> that only slightly more patients in the </w:t>
      </w:r>
      <w:proofErr w:type="spellStart"/>
      <w:r w:rsidRPr="00855228">
        <w:t>cladribine</w:t>
      </w:r>
      <w:proofErr w:type="spellEnd"/>
      <w:r w:rsidRPr="00855228">
        <w:t xml:space="preserve"> group </w:t>
      </w:r>
      <w:r w:rsidR="007D6C42" w:rsidRPr="00855228">
        <w:t xml:space="preserve">of the CLARITY trial </w:t>
      </w:r>
      <w:r w:rsidRPr="00855228">
        <w:t>reported an adverse event (AE) (80.7% v 73.3%) or a serious adverse event (SAE) (8.4% v 6.4%), and demonstrated a low rate of discontinuations due to AEs (3.5% v 2.1%)</w:t>
      </w:r>
      <w:r w:rsidR="007D6C42" w:rsidRPr="00855228">
        <w:t xml:space="preserve"> compared with placebo</w:t>
      </w:r>
      <w:r w:rsidRPr="00855228">
        <w:t xml:space="preserve">. </w:t>
      </w:r>
      <w:proofErr w:type="spellStart"/>
      <w:r w:rsidR="00037A53" w:rsidRPr="00855228">
        <w:t>C</w:t>
      </w:r>
      <w:r w:rsidRPr="00855228">
        <w:t>ladribine</w:t>
      </w:r>
      <w:proofErr w:type="spellEnd"/>
      <w:r w:rsidRPr="00855228">
        <w:t xml:space="preserve"> </w:t>
      </w:r>
      <w:r w:rsidR="00037A53" w:rsidRPr="00855228">
        <w:t>was</w:t>
      </w:r>
      <w:r w:rsidRPr="00855228">
        <w:t xml:space="preserve"> associated with more cases of cancer than placebo </w:t>
      </w:r>
      <w:proofErr w:type="gramStart"/>
      <w:r w:rsidRPr="00855228">
        <w:t>(</w:t>
      </w:r>
      <w:r w:rsidR="007D6C42" w:rsidRPr="00855228">
        <w:t>6 v 0</w:t>
      </w:r>
      <w:r w:rsidR="00037A53" w:rsidRPr="00855228">
        <w:t>)</w:t>
      </w:r>
      <w:proofErr w:type="gramEnd"/>
      <w:r w:rsidR="00037A53" w:rsidRPr="00855228">
        <w:t xml:space="preserve"> </w:t>
      </w:r>
      <w:r w:rsidRPr="00855228">
        <w:t>(</w:t>
      </w:r>
      <w:proofErr w:type="spellStart"/>
      <w:r w:rsidRPr="00855228">
        <w:t>Cladribine</w:t>
      </w:r>
      <w:proofErr w:type="spellEnd"/>
      <w:r w:rsidRPr="00855228">
        <w:t xml:space="preserve"> March 2011 PSD)</w:t>
      </w:r>
      <w:r w:rsidR="007D6C42" w:rsidRPr="00855228">
        <w:t>.</w:t>
      </w:r>
    </w:p>
    <w:p w:rsidR="00837C26" w:rsidRPr="00855228" w:rsidRDefault="00837C26" w:rsidP="00A627FC">
      <w:pPr>
        <w:pStyle w:val="ListParagraph"/>
        <w:numPr>
          <w:ilvl w:val="1"/>
          <w:numId w:val="1"/>
        </w:numPr>
        <w:spacing w:before="0" w:after="120"/>
        <w:jc w:val="both"/>
      </w:pPr>
      <w:r w:rsidRPr="00855228">
        <w:t xml:space="preserve">The resubmission presented results of a meta-analysis of malignancy rates in the </w:t>
      </w:r>
      <w:proofErr w:type="spellStart"/>
      <w:r w:rsidRPr="00855228">
        <w:t>cladribine</w:t>
      </w:r>
      <w:proofErr w:type="spellEnd"/>
      <w:r w:rsidRPr="00855228">
        <w:t xml:space="preserve"> trials and concluded that the increase in cancers in comparison to placebo in the CLARITY trial was a result of uniquely low cance</w:t>
      </w:r>
      <w:r w:rsidR="009F7544" w:rsidRPr="00855228">
        <w:t>r rates in the placebo arm. The ESC considered that</w:t>
      </w:r>
      <w:r w:rsidR="00126470">
        <w:t xml:space="preserve"> the</w:t>
      </w:r>
      <w:r w:rsidR="009F7544" w:rsidRPr="00855228">
        <w:t xml:space="preserve"> resubmission’s explanation of low placebo cancer rates was inadequate to justify the increase in cancers in patients on </w:t>
      </w:r>
      <w:proofErr w:type="spellStart"/>
      <w:r w:rsidR="009F7544" w:rsidRPr="00855228">
        <w:t>cladribine</w:t>
      </w:r>
      <w:proofErr w:type="spellEnd"/>
      <w:r w:rsidR="009F7544" w:rsidRPr="00855228">
        <w:t xml:space="preserve">. The ESC considered that given patients </w:t>
      </w:r>
      <w:proofErr w:type="gramStart"/>
      <w:r w:rsidR="009F7544" w:rsidRPr="00855228">
        <w:t>were randomised</w:t>
      </w:r>
      <w:proofErr w:type="gramEnd"/>
      <w:r w:rsidR="009F7544" w:rsidRPr="00855228">
        <w:t xml:space="preserve"> to active and placebo arms, that the </w:t>
      </w:r>
      <w:r w:rsidR="00C92A43" w:rsidRPr="00855228">
        <w:t xml:space="preserve">low </w:t>
      </w:r>
      <w:r w:rsidR="009F7544" w:rsidRPr="00855228">
        <w:t>c</w:t>
      </w:r>
      <w:r w:rsidR="00C92A43" w:rsidRPr="00855228">
        <w:t xml:space="preserve">ancer rates in the placebo arm </w:t>
      </w:r>
      <w:r w:rsidR="009F7544" w:rsidRPr="00855228">
        <w:t>should reflect the underlying pop</w:t>
      </w:r>
      <w:r w:rsidR="00BD3CBC" w:rsidRPr="00855228">
        <w:t>ulation risk</w:t>
      </w:r>
      <w:r w:rsidR="004244F6" w:rsidRPr="00855228">
        <w:t xml:space="preserve"> in the trial population</w:t>
      </w:r>
      <w:r w:rsidR="00BD3CBC" w:rsidRPr="00855228">
        <w:t xml:space="preserve">. The ESC therefore considered that the resubmission’s argument would imply that the randomisation was not successful. </w:t>
      </w:r>
      <w:r w:rsidR="009F7544" w:rsidRPr="00855228">
        <w:t xml:space="preserve"> </w:t>
      </w:r>
    </w:p>
    <w:p w:rsidR="007D6C42" w:rsidRPr="00855228" w:rsidRDefault="00837C26" w:rsidP="00A627FC">
      <w:pPr>
        <w:pStyle w:val="ListParagraph"/>
        <w:numPr>
          <w:ilvl w:val="1"/>
          <w:numId w:val="1"/>
        </w:numPr>
        <w:spacing w:before="0" w:after="120"/>
        <w:jc w:val="both"/>
      </w:pPr>
      <w:r w:rsidRPr="00855228">
        <w:t xml:space="preserve">The resubmission presented a </w:t>
      </w:r>
      <w:r w:rsidR="00037A53" w:rsidRPr="00855228">
        <w:t>comparison</w:t>
      </w:r>
      <w:r w:rsidRPr="00855228">
        <w:t xml:space="preserve"> of adverse eve</w:t>
      </w:r>
      <w:r w:rsidR="007D6C42" w:rsidRPr="00855228">
        <w:t>nt</w:t>
      </w:r>
      <w:r w:rsidRPr="00855228">
        <w:t xml:space="preserve">s between </w:t>
      </w:r>
      <w:proofErr w:type="spellStart"/>
      <w:r w:rsidR="007D6C42" w:rsidRPr="00855228">
        <w:t>c</w:t>
      </w:r>
      <w:r w:rsidRPr="00855228">
        <w:t>ladribine</w:t>
      </w:r>
      <w:proofErr w:type="spellEnd"/>
      <w:r w:rsidRPr="00855228">
        <w:t xml:space="preserve"> and </w:t>
      </w:r>
      <w:proofErr w:type="spellStart"/>
      <w:r w:rsidRPr="00855228">
        <w:t>fingolimod</w:t>
      </w:r>
      <w:proofErr w:type="spellEnd"/>
      <w:r w:rsidR="00037A53" w:rsidRPr="00855228">
        <w:t xml:space="preserve"> with no statistical analysis (</w:t>
      </w:r>
      <w:r w:rsidR="00EF381E" w:rsidRPr="00855228">
        <w:t>e.g.</w:t>
      </w:r>
      <w:r w:rsidR="00037A53" w:rsidRPr="00855228">
        <w:t xml:space="preserve"> risk difference, relative risk)</w:t>
      </w:r>
      <w:r w:rsidRPr="00855228">
        <w:t xml:space="preserve">. There were </w:t>
      </w:r>
      <w:r w:rsidRPr="00855228">
        <w:lastRenderedPageBreak/>
        <w:t xml:space="preserve">substantial variations in the frequency of adverse events in the placebo arms of the </w:t>
      </w:r>
      <w:proofErr w:type="spellStart"/>
      <w:r w:rsidRPr="00855228">
        <w:t>cladribine</w:t>
      </w:r>
      <w:proofErr w:type="spellEnd"/>
      <w:r w:rsidRPr="00855228">
        <w:t xml:space="preserve"> and </w:t>
      </w:r>
      <w:proofErr w:type="spellStart"/>
      <w:r w:rsidRPr="00855228">
        <w:t>fingolimod</w:t>
      </w:r>
      <w:proofErr w:type="spellEnd"/>
      <w:r w:rsidRPr="00855228">
        <w:t xml:space="preserve"> trials, with adverse events being lower </w:t>
      </w:r>
      <w:r w:rsidR="007D6C42" w:rsidRPr="00855228">
        <w:t xml:space="preserve">in </w:t>
      </w:r>
      <w:r w:rsidR="004F4B52" w:rsidRPr="00855228">
        <w:t xml:space="preserve">the </w:t>
      </w:r>
      <w:r w:rsidRPr="00855228">
        <w:t xml:space="preserve">placebo arm of the CLARITY trial. </w:t>
      </w:r>
      <w:r w:rsidR="000A4EA9" w:rsidRPr="00855228">
        <w:t>Therefore,</w:t>
      </w:r>
      <w:r w:rsidRPr="00855228">
        <w:t xml:space="preserve"> a statistical analysis of safety without adj</w:t>
      </w:r>
      <w:r w:rsidR="007D6C42" w:rsidRPr="00855228">
        <w:t xml:space="preserve">ustments </w:t>
      </w:r>
      <w:r w:rsidR="004F4B52" w:rsidRPr="00855228">
        <w:t xml:space="preserve">may </w:t>
      </w:r>
      <w:proofErr w:type="gramStart"/>
      <w:r w:rsidR="004F4B52" w:rsidRPr="00855228">
        <w:t>not</w:t>
      </w:r>
      <w:r w:rsidR="007D6C42" w:rsidRPr="00855228">
        <w:t xml:space="preserve"> be informative</w:t>
      </w:r>
      <w:proofErr w:type="gramEnd"/>
      <w:r w:rsidR="007D6C42" w:rsidRPr="00855228">
        <w:t xml:space="preserve">. </w:t>
      </w:r>
    </w:p>
    <w:p w:rsidR="00837C26" w:rsidRDefault="007D6C42" w:rsidP="00A627FC">
      <w:pPr>
        <w:pStyle w:val="ListParagraph"/>
        <w:numPr>
          <w:ilvl w:val="1"/>
          <w:numId w:val="1"/>
        </w:numPr>
        <w:spacing w:before="0" w:after="120"/>
        <w:jc w:val="both"/>
      </w:pPr>
      <w:r w:rsidRPr="00EA448D">
        <w:t>Th</w:t>
      </w:r>
      <w:r w:rsidR="00837C26" w:rsidRPr="00EA448D">
        <w:t xml:space="preserve">e resubmission stated that </w:t>
      </w:r>
      <w:proofErr w:type="spellStart"/>
      <w:r w:rsidR="00837C26" w:rsidRPr="00EA448D">
        <w:t>cladribine</w:t>
      </w:r>
      <w:proofErr w:type="spellEnd"/>
      <w:r w:rsidR="00837C26" w:rsidRPr="00EA448D">
        <w:t xml:space="preserve"> ha</w:t>
      </w:r>
      <w:r w:rsidR="007D52BC" w:rsidRPr="00EA448D">
        <w:t>s</w:t>
      </w:r>
      <w:r w:rsidR="00837C26" w:rsidRPr="00EA448D">
        <w:t xml:space="preserve"> a different but comparable safety profile to </w:t>
      </w:r>
      <w:proofErr w:type="spellStart"/>
      <w:r w:rsidR="00837C26" w:rsidRPr="00EA448D">
        <w:t>fingolimod</w:t>
      </w:r>
      <w:proofErr w:type="spellEnd"/>
      <w:r w:rsidR="00837C26" w:rsidRPr="00EA448D">
        <w:t xml:space="preserve">. </w:t>
      </w:r>
      <w:r w:rsidRPr="00EA448D">
        <w:t xml:space="preserve">While the safety comparison did </w:t>
      </w:r>
      <w:proofErr w:type="gramStart"/>
      <w:r w:rsidRPr="00EA448D">
        <w:t>not demonstrate non-inferiority</w:t>
      </w:r>
      <w:proofErr w:type="gramEnd"/>
      <w:r w:rsidRPr="00EA448D">
        <w:t xml:space="preserve"> in terms of safety, there were similarly no strong indicators of inferiority. </w:t>
      </w:r>
      <w:r w:rsidR="00D818F6">
        <w:t xml:space="preserve">The evaluation considered that </w:t>
      </w:r>
      <w:proofErr w:type="gramStart"/>
      <w:r w:rsidR="00D818F6">
        <w:t>o</w:t>
      </w:r>
      <w:r w:rsidRPr="00EA448D">
        <w:t>verall,</w:t>
      </w:r>
      <w:proofErr w:type="gramEnd"/>
      <w:r w:rsidRPr="00EA448D">
        <w:t xml:space="preserve"> it was difficult to determine comparative safety amongst the two treatments.</w:t>
      </w:r>
    </w:p>
    <w:p w:rsidR="00837C26" w:rsidRPr="00EA448D" w:rsidRDefault="00837C26" w:rsidP="00837C26">
      <w:pPr>
        <w:pStyle w:val="Heading2"/>
        <w:rPr>
          <w:i w:val="0"/>
        </w:rPr>
      </w:pPr>
      <w:bookmarkStart w:id="27" w:name="_Toc365847463"/>
      <w:r w:rsidRPr="00EA448D">
        <w:rPr>
          <w:i w:val="0"/>
        </w:rPr>
        <w:t>Interpretation of clinical evidence</w:t>
      </w:r>
      <w:bookmarkEnd w:id="27"/>
    </w:p>
    <w:p w:rsidR="00837C26" w:rsidRPr="00EA448D" w:rsidRDefault="00837C26" w:rsidP="00A627FC">
      <w:pPr>
        <w:pStyle w:val="ListParagraph"/>
        <w:numPr>
          <w:ilvl w:val="1"/>
          <w:numId w:val="1"/>
        </w:numPr>
        <w:spacing w:before="0" w:after="120"/>
        <w:jc w:val="both"/>
      </w:pPr>
      <w:r w:rsidRPr="00EA448D">
        <w:t xml:space="preserve">The resubmission claimed that </w:t>
      </w:r>
      <w:proofErr w:type="spellStart"/>
      <w:r w:rsidRPr="00EA448D">
        <w:t>cladribine</w:t>
      </w:r>
      <w:proofErr w:type="spellEnd"/>
      <w:r w:rsidRPr="00EA448D">
        <w:t xml:space="preserve"> was non-inferior in terms of effectiveness compared with </w:t>
      </w:r>
      <w:proofErr w:type="spellStart"/>
      <w:r w:rsidRPr="00EA448D">
        <w:t>fingolimod</w:t>
      </w:r>
      <w:proofErr w:type="spellEnd"/>
      <w:r w:rsidRPr="00EA448D">
        <w:t xml:space="preserve"> over both a </w:t>
      </w:r>
      <w:proofErr w:type="gramStart"/>
      <w:r w:rsidRPr="00EA448D">
        <w:t>two year</w:t>
      </w:r>
      <w:proofErr w:type="gramEnd"/>
      <w:r w:rsidRPr="00EA448D">
        <w:t xml:space="preserve"> and a four year treatment period</w:t>
      </w:r>
      <w:r w:rsidR="000A4EA9">
        <w:t>.</w:t>
      </w:r>
      <w:r w:rsidRPr="00EA448D">
        <w:t xml:space="preserve"> </w:t>
      </w:r>
      <w:r w:rsidR="000A4EA9">
        <w:t>H</w:t>
      </w:r>
      <w:r w:rsidRPr="00EA448D">
        <w:t xml:space="preserve">owever, due to their different mechanisms of action, </w:t>
      </w:r>
      <w:proofErr w:type="spellStart"/>
      <w:r w:rsidRPr="00EA448D">
        <w:t>cladribine</w:t>
      </w:r>
      <w:proofErr w:type="spellEnd"/>
      <w:r w:rsidRPr="00EA448D">
        <w:t xml:space="preserve"> tablet</w:t>
      </w:r>
      <w:r w:rsidR="004B391B" w:rsidRPr="00EA448D">
        <w:t xml:space="preserve">s </w:t>
      </w:r>
      <w:proofErr w:type="gramStart"/>
      <w:r w:rsidR="004B391B" w:rsidRPr="00EA448D">
        <w:t>are administered</w:t>
      </w:r>
      <w:proofErr w:type="gramEnd"/>
      <w:r w:rsidR="004B391B" w:rsidRPr="00EA448D">
        <w:t xml:space="preserve"> over 4-5 </w:t>
      </w:r>
      <w:r w:rsidR="00E64394" w:rsidRPr="00EA448D">
        <w:t xml:space="preserve">days </w:t>
      </w:r>
      <w:r w:rsidR="004B391B" w:rsidRPr="00EA448D">
        <w:t>in W</w:t>
      </w:r>
      <w:r w:rsidRPr="00EA448D">
        <w:t xml:space="preserve">eeks 1 and 5 of the first two years of therapy only, followed by observation only in the following two years, whereas </w:t>
      </w:r>
      <w:proofErr w:type="spellStart"/>
      <w:r w:rsidRPr="00EA448D">
        <w:t>fingolimod</w:t>
      </w:r>
      <w:proofErr w:type="spellEnd"/>
      <w:r w:rsidRPr="00EA448D">
        <w:t xml:space="preserve"> must be administered on an ongoing daily basis. </w:t>
      </w:r>
    </w:p>
    <w:p w:rsidR="002B42E9" w:rsidRPr="00D53960" w:rsidRDefault="00D53960" w:rsidP="00D53960">
      <w:pPr>
        <w:pStyle w:val="ListParagraph"/>
        <w:numPr>
          <w:ilvl w:val="1"/>
          <w:numId w:val="1"/>
        </w:numPr>
        <w:spacing w:before="0" w:after="120"/>
        <w:jc w:val="both"/>
        <w:rPr>
          <w:rFonts w:cs="Arial"/>
          <w:snapToGrid w:val="0"/>
          <w:szCs w:val="20"/>
        </w:rPr>
      </w:pPr>
      <w:r>
        <w:rPr>
          <w:rFonts w:cs="Arial"/>
          <w:snapToGrid w:val="0"/>
          <w:szCs w:val="20"/>
        </w:rPr>
        <w:t xml:space="preserve">The PBAC considered there was uncertainty in the claim that </w:t>
      </w:r>
      <w:proofErr w:type="spellStart"/>
      <w:r>
        <w:rPr>
          <w:rFonts w:cs="Arial"/>
          <w:snapToGrid w:val="0"/>
          <w:szCs w:val="20"/>
        </w:rPr>
        <w:t>cladribine</w:t>
      </w:r>
      <w:proofErr w:type="spellEnd"/>
      <w:r>
        <w:rPr>
          <w:rFonts w:cs="Arial"/>
          <w:snapToGrid w:val="0"/>
          <w:szCs w:val="20"/>
        </w:rPr>
        <w:t xml:space="preserve"> is non-inferior to </w:t>
      </w:r>
      <w:proofErr w:type="spellStart"/>
      <w:r>
        <w:rPr>
          <w:rFonts w:cs="Arial"/>
          <w:snapToGrid w:val="0"/>
          <w:szCs w:val="20"/>
        </w:rPr>
        <w:t>fingolimod</w:t>
      </w:r>
      <w:proofErr w:type="spellEnd"/>
      <w:r>
        <w:rPr>
          <w:rFonts w:cs="Arial"/>
          <w:snapToGrid w:val="0"/>
          <w:szCs w:val="20"/>
        </w:rPr>
        <w:t xml:space="preserve"> in terms of efficacy over two years, as the Committee considered that the method of calculating the MCID was not adequately justified. </w:t>
      </w:r>
      <w:r w:rsidR="002B42E9" w:rsidRPr="00D53960">
        <w:rPr>
          <w:rFonts w:cs="Arial"/>
          <w:snapToGrid w:val="0"/>
          <w:szCs w:val="20"/>
        </w:rPr>
        <w:t>The PBAC considered that the claim of non-inferior comparative effectiveness</w:t>
      </w:r>
      <w:r w:rsidR="007967FD" w:rsidRPr="00D53960">
        <w:rPr>
          <w:rFonts w:cs="Arial"/>
          <w:snapToGrid w:val="0"/>
          <w:szCs w:val="20"/>
        </w:rPr>
        <w:t xml:space="preserve"> of two years of </w:t>
      </w:r>
      <w:proofErr w:type="spellStart"/>
      <w:r w:rsidR="007967FD" w:rsidRPr="00D53960">
        <w:rPr>
          <w:rFonts w:cs="Arial"/>
          <w:snapToGrid w:val="0"/>
          <w:szCs w:val="20"/>
        </w:rPr>
        <w:t>cladribine</w:t>
      </w:r>
      <w:proofErr w:type="spellEnd"/>
      <w:r w:rsidR="007967FD" w:rsidRPr="00D53960">
        <w:rPr>
          <w:rFonts w:cs="Arial"/>
          <w:snapToGrid w:val="0"/>
          <w:szCs w:val="20"/>
        </w:rPr>
        <w:t xml:space="preserve"> treatment versus four years of </w:t>
      </w:r>
      <w:proofErr w:type="spellStart"/>
      <w:r w:rsidR="007967FD" w:rsidRPr="00D53960">
        <w:rPr>
          <w:rFonts w:cs="Arial"/>
          <w:snapToGrid w:val="0"/>
          <w:szCs w:val="20"/>
        </w:rPr>
        <w:t>fingolimod</w:t>
      </w:r>
      <w:proofErr w:type="spellEnd"/>
      <w:r w:rsidR="007967FD" w:rsidRPr="00D53960">
        <w:rPr>
          <w:rFonts w:cs="Arial"/>
          <w:snapToGrid w:val="0"/>
          <w:szCs w:val="20"/>
        </w:rPr>
        <w:t xml:space="preserve"> treatment </w:t>
      </w:r>
      <w:proofErr w:type="gramStart"/>
      <w:r w:rsidR="002B42E9" w:rsidRPr="00D53960">
        <w:rPr>
          <w:rFonts w:cs="Arial"/>
          <w:snapToGrid w:val="0"/>
          <w:szCs w:val="20"/>
        </w:rPr>
        <w:t>was</w:t>
      </w:r>
      <w:r w:rsidR="007967FD" w:rsidRPr="00D53960">
        <w:rPr>
          <w:rFonts w:cs="Arial"/>
          <w:snapToGrid w:val="0"/>
          <w:szCs w:val="20"/>
        </w:rPr>
        <w:t xml:space="preserve"> </w:t>
      </w:r>
      <w:r w:rsidR="002B42E9" w:rsidRPr="00D53960">
        <w:rPr>
          <w:rFonts w:cs="Arial"/>
          <w:snapToGrid w:val="0"/>
          <w:szCs w:val="20"/>
        </w:rPr>
        <w:t>not adequately supported</w:t>
      </w:r>
      <w:proofErr w:type="gramEnd"/>
      <w:r w:rsidR="002B42E9" w:rsidRPr="00D53960">
        <w:rPr>
          <w:rFonts w:cs="Arial"/>
          <w:snapToGrid w:val="0"/>
          <w:szCs w:val="20"/>
        </w:rPr>
        <w:t xml:space="preserve"> by the data.</w:t>
      </w:r>
      <w:r w:rsidRPr="00D53960">
        <w:rPr>
          <w:rFonts w:cs="Arial"/>
          <w:snapToGrid w:val="0"/>
          <w:szCs w:val="20"/>
        </w:rPr>
        <w:t xml:space="preserve"> </w:t>
      </w:r>
    </w:p>
    <w:p w:rsidR="00D53960" w:rsidRPr="00D53960" w:rsidRDefault="00D53960" w:rsidP="00D53960">
      <w:pPr>
        <w:pStyle w:val="ListParagraph"/>
        <w:numPr>
          <w:ilvl w:val="1"/>
          <w:numId w:val="1"/>
        </w:numPr>
        <w:spacing w:before="0" w:after="120"/>
        <w:jc w:val="both"/>
      </w:pPr>
      <w:r w:rsidRPr="00EA448D">
        <w:t xml:space="preserve">The resubmission also claimed that </w:t>
      </w:r>
      <w:proofErr w:type="spellStart"/>
      <w:r w:rsidRPr="00EA448D">
        <w:t>cladribine</w:t>
      </w:r>
      <w:proofErr w:type="spellEnd"/>
      <w:r w:rsidRPr="00EA448D">
        <w:t xml:space="preserve"> was non-inferior in terms of safety compared with </w:t>
      </w:r>
      <w:proofErr w:type="spellStart"/>
      <w:r w:rsidRPr="00EA448D">
        <w:t>fingolimod</w:t>
      </w:r>
      <w:proofErr w:type="spellEnd"/>
      <w:r w:rsidRPr="00EA448D">
        <w:t xml:space="preserve">, </w:t>
      </w:r>
      <w:r>
        <w:t xml:space="preserve">and </w:t>
      </w:r>
      <w:r w:rsidRPr="00EA448D">
        <w:t xml:space="preserve">that the two agents had different but comparable safety profiles. </w:t>
      </w:r>
      <w:r w:rsidRPr="007967FD">
        <w:rPr>
          <w:rFonts w:cs="Arial"/>
          <w:snapToGrid w:val="0"/>
          <w:szCs w:val="20"/>
        </w:rPr>
        <w:t xml:space="preserve">The PBAC considered that the claim of non-inferior comparative safety </w:t>
      </w:r>
      <w:r>
        <w:rPr>
          <w:rFonts w:cs="Arial"/>
          <w:snapToGrid w:val="0"/>
          <w:szCs w:val="20"/>
        </w:rPr>
        <w:t xml:space="preserve">of two years of </w:t>
      </w:r>
      <w:proofErr w:type="spellStart"/>
      <w:r>
        <w:rPr>
          <w:rFonts w:cs="Arial"/>
          <w:snapToGrid w:val="0"/>
          <w:szCs w:val="20"/>
        </w:rPr>
        <w:t>cladribine</w:t>
      </w:r>
      <w:proofErr w:type="spellEnd"/>
      <w:r>
        <w:rPr>
          <w:rFonts w:cs="Arial"/>
          <w:snapToGrid w:val="0"/>
          <w:szCs w:val="20"/>
        </w:rPr>
        <w:t xml:space="preserve"> treatment versus four years of </w:t>
      </w:r>
      <w:proofErr w:type="spellStart"/>
      <w:r>
        <w:rPr>
          <w:rFonts w:cs="Arial"/>
          <w:snapToGrid w:val="0"/>
          <w:szCs w:val="20"/>
        </w:rPr>
        <w:t>fingolimod</w:t>
      </w:r>
      <w:proofErr w:type="spellEnd"/>
      <w:r>
        <w:rPr>
          <w:rFonts w:cs="Arial"/>
          <w:snapToGrid w:val="0"/>
          <w:szCs w:val="20"/>
        </w:rPr>
        <w:t xml:space="preserve"> treatment </w:t>
      </w:r>
      <w:proofErr w:type="gramStart"/>
      <w:r w:rsidRPr="007967FD">
        <w:rPr>
          <w:rFonts w:cs="Arial"/>
          <w:snapToGrid w:val="0"/>
          <w:szCs w:val="20"/>
        </w:rPr>
        <w:t>was not adequately supported</w:t>
      </w:r>
      <w:proofErr w:type="gramEnd"/>
      <w:r w:rsidRPr="007967FD">
        <w:rPr>
          <w:rFonts w:cs="Arial"/>
          <w:snapToGrid w:val="0"/>
          <w:szCs w:val="20"/>
        </w:rPr>
        <w:t xml:space="preserve"> by the data.</w:t>
      </w:r>
    </w:p>
    <w:p w:rsidR="00837C26" w:rsidRPr="00EA448D" w:rsidRDefault="00837C26" w:rsidP="00837C26">
      <w:pPr>
        <w:pStyle w:val="Heading2"/>
        <w:rPr>
          <w:i w:val="0"/>
        </w:rPr>
      </w:pPr>
      <w:bookmarkStart w:id="28" w:name="_Toc413139282"/>
      <w:bookmarkStart w:id="29" w:name="_Toc365847464"/>
      <w:r w:rsidRPr="00EA448D">
        <w:rPr>
          <w:i w:val="0"/>
        </w:rPr>
        <w:t>Economic analysis</w:t>
      </w:r>
      <w:bookmarkEnd w:id="28"/>
      <w:bookmarkEnd w:id="29"/>
    </w:p>
    <w:p w:rsidR="00837C26" w:rsidRPr="00EA448D" w:rsidRDefault="00837C26" w:rsidP="00A627FC">
      <w:pPr>
        <w:pStyle w:val="ListParagraph"/>
        <w:numPr>
          <w:ilvl w:val="1"/>
          <w:numId w:val="1"/>
        </w:numPr>
        <w:spacing w:before="0" w:after="120"/>
        <w:jc w:val="both"/>
      </w:pPr>
      <w:r w:rsidRPr="00EA448D">
        <w:t xml:space="preserve">The resubmission presented a cost minimisation analysis based on a claim of non-inferiority to </w:t>
      </w:r>
      <w:proofErr w:type="spellStart"/>
      <w:r w:rsidRPr="00EA448D">
        <w:t>fingolimod</w:t>
      </w:r>
      <w:proofErr w:type="spellEnd"/>
      <w:r w:rsidRPr="00EA448D">
        <w:t xml:space="preserve"> over a </w:t>
      </w:r>
      <w:r w:rsidR="008F0517">
        <w:t>four</w:t>
      </w:r>
      <w:r w:rsidRPr="00EA448D">
        <w:t>-year time horizon.</w:t>
      </w:r>
      <w:r w:rsidR="004B391B" w:rsidRPr="00EA448D">
        <w:t xml:space="preserve"> Table 6 summarises the components of the cost-minimisation analysis.</w:t>
      </w:r>
    </w:p>
    <w:p w:rsidR="00837C26" w:rsidRPr="00EA448D" w:rsidRDefault="00837C26" w:rsidP="00837C26">
      <w:pPr>
        <w:pStyle w:val="TableHeading0"/>
      </w:pPr>
      <w:r w:rsidRPr="00EA448D">
        <w:lastRenderedPageBreak/>
        <w:t xml:space="preserve">Table </w:t>
      </w:r>
      <w:r w:rsidR="004B391B" w:rsidRPr="00EA448D">
        <w:t>6</w:t>
      </w:r>
      <w:r w:rsidRPr="00EA448D">
        <w:t>: Summary of the cost minimisation analysis</w:t>
      </w:r>
    </w:p>
    <w:tbl>
      <w:tblPr>
        <w:tblStyle w:val="TableGridLigh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9"/>
        <w:gridCol w:w="7373"/>
      </w:tblGrid>
      <w:tr w:rsidR="004B391B" w:rsidRPr="00EA448D" w:rsidTr="002537DA">
        <w:trPr>
          <w:trHeight w:val="211"/>
        </w:trPr>
        <w:tc>
          <w:tcPr>
            <w:tcW w:w="0" w:type="auto"/>
          </w:tcPr>
          <w:p w:rsidR="004B391B" w:rsidRPr="00EA448D" w:rsidRDefault="004B391B" w:rsidP="002537DA">
            <w:pPr>
              <w:pStyle w:val="TableText"/>
            </w:pPr>
            <w:r w:rsidRPr="00EA448D">
              <w:rPr>
                <w:b/>
              </w:rPr>
              <w:t>Component</w:t>
            </w:r>
          </w:p>
        </w:tc>
        <w:tc>
          <w:tcPr>
            <w:tcW w:w="0" w:type="auto"/>
          </w:tcPr>
          <w:p w:rsidR="004B391B" w:rsidRPr="00EA448D" w:rsidRDefault="004B391B" w:rsidP="002537DA">
            <w:pPr>
              <w:pStyle w:val="TableText"/>
            </w:pPr>
            <w:r w:rsidRPr="00EA448D">
              <w:rPr>
                <w:b/>
              </w:rPr>
              <w:t>Claim or assumption</w:t>
            </w:r>
          </w:p>
        </w:tc>
      </w:tr>
      <w:tr w:rsidR="004B391B" w:rsidRPr="00EA448D" w:rsidTr="002537DA">
        <w:tc>
          <w:tcPr>
            <w:tcW w:w="0" w:type="auto"/>
          </w:tcPr>
          <w:p w:rsidR="004B391B" w:rsidRPr="00EA448D" w:rsidRDefault="004B391B" w:rsidP="002537DA">
            <w:pPr>
              <w:pStyle w:val="TableText"/>
            </w:pPr>
            <w:r w:rsidRPr="00EA448D">
              <w:t>Therapeutic claim: effectiveness</w:t>
            </w:r>
          </w:p>
        </w:tc>
        <w:tc>
          <w:tcPr>
            <w:tcW w:w="0" w:type="auto"/>
          </w:tcPr>
          <w:p w:rsidR="004B391B" w:rsidRPr="00EA448D" w:rsidRDefault="004B391B" w:rsidP="002537DA">
            <w:pPr>
              <w:pStyle w:val="TableText"/>
            </w:pPr>
            <w:proofErr w:type="spellStart"/>
            <w:r w:rsidRPr="00EA448D">
              <w:t>Cladribine</w:t>
            </w:r>
            <w:proofErr w:type="spellEnd"/>
            <w:r w:rsidRPr="00EA448D">
              <w:t xml:space="preserve"> </w:t>
            </w:r>
            <w:proofErr w:type="gramStart"/>
            <w:r w:rsidRPr="00EA448D">
              <w:t>is assumed</w:t>
            </w:r>
            <w:proofErr w:type="gramEnd"/>
            <w:r w:rsidRPr="00EA448D">
              <w:t xml:space="preserve"> to have non-inferior effectiveness to </w:t>
            </w:r>
            <w:proofErr w:type="spellStart"/>
            <w:r w:rsidRPr="00EA448D">
              <w:t>fingolimod</w:t>
            </w:r>
            <w:proofErr w:type="spellEnd"/>
            <w:r w:rsidRPr="00EA448D">
              <w:t xml:space="preserve"> over two years based on an indirect comparison</w:t>
            </w:r>
            <w:r w:rsidR="00F7162E" w:rsidRPr="00EA448D">
              <w:t>.</w:t>
            </w:r>
          </w:p>
          <w:p w:rsidR="004B391B" w:rsidRPr="00EA448D" w:rsidRDefault="004B391B" w:rsidP="002537DA">
            <w:pPr>
              <w:pStyle w:val="TableText"/>
            </w:pPr>
            <w:proofErr w:type="spellStart"/>
            <w:r w:rsidRPr="00EA448D">
              <w:t>Cladribine</w:t>
            </w:r>
            <w:proofErr w:type="spellEnd"/>
            <w:r w:rsidRPr="00EA448D">
              <w:t xml:space="preserve"> treatment for two years followed by two years of observation </w:t>
            </w:r>
            <w:proofErr w:type="gramStart"/>
            <w:r w:rsidRPr="00EA448D">
              <w:t>is assumed</w:t>
            </w:r>
            <w:proofErr w:type="gramEnd"/>
            <w:r w:rsidRPr="00EA448D">
              <w:t xml:space="preserve"> to have non-inferior effectiveness to </w:t>
            </w:r>
            <w:proofErr w:type="spellStart"/>
            <w:r w:rsidRPr="00EA448D">
              <w:t>fingolimod</w:t>
            </w:r>
            <w:proofErr w:type="spellEnd"/>
            <w:r w:rsidRPr="00EA448D">
              <w:t xml:space="preserve"> based on a non-statistical comparison of trial extensions</w:t>
            </w:r>
            <w:r w:rsidR="00F7162E" w:rsidRPr="00EA448D">
              <w:t>.</w:t>
            </w:r>
          </w:p>
          <w:p w:rsidR="004B391B" w:rsidRPr="00EA448D" w:rsidRDefault="004B391B" w:rsidP="00D549E7">
            <w:pPr>
              <w:pStyle w:val="TableText"/>
            </w:pPr>
            <w:r w:rsidRPr="00EA448D">
              <w:t>.</w:t>
            </w:r>
          </w:p>
        </w:tc>
      </w:tr>
      <w:tr w:rsidR="004B391B" w:rsidRPr="00EA448D" w:rsidTr="002537DA">
        <w:tc>
          <w:tcPr>
            <w:tcW w:w="0" w:type="auto"/>
          </w:tcPr>
          <w:p w:rsidR="004B391B" w:rsidRPr="00EA448D" w:rsidRDefault="004B391B" w:rsidP="002537DA">
            <w:pPr>
              <w:pStyle w:val="TableText"/>
            </w:pPr>
            <w:r w:rsidRPr="00EA448D">
              <w:t>Therapeutic claim: safety</w:t>
            </w:r>
          </w:p>
        </w:tc>
        <w:tc>
          <w:tcPr>
            <w:tcW w:w="0" w:type="auto"/>
          </w:tcPr>
          <w:p w:rsidR="004B391B" w:rsidRPr="00EA448D" w:rsidRDefault="004B391B" w:rsidP="002537DA">
            <w:pPr>
              <w:pStyle w:val="TableText"/>
              <w:rPr>
                <w:rFonts w:ascii="Times" w:eastAsia="Times New Roman" w:hAnsi="Times" w:cs="Times New Roman"/>
              </w:rPr>
            </w:pPr>
            <w:proofErr w:type="spellStart"/>
            <w:r w:rsidRPr="00EA448D">
              <w:t>Cladribine</w:t>
            </w:r>
            <w:proofErr w:type="spellEnd"/>
            <w:r w:rsidRPr="00EA448D">
              <w:t xml:space="preserve"> </w:t>
            </w:r>
            <w:proofErr w:type="gramStart"/>
            <w:r w:rsidRPr="00EA448D">
              <w:t>is assumed</w:t>
            </w:r>
            <w:proofErr w:type="gramEnd"/>
            <w:r w:rsidRPr="00EA448D">
              <w:t xml:space="preserve"> to have a different but comparable safety profile to </w:t>
            </w:r>
            <w:proofErr w:type="spellStart"/>
            <w:r w:rsidRPr="00EA448D">
              <w:t>fingolimod</w:t>
            </w:r>
            <w:proofErr w:type="spellEnd"/>
            <w:r w:rsidRPr="00EA448D">
              <w:t xml:space="preserve"> based on non-statistical comparisons of trial adverse event data.</w:t>
            </w:r>
          </w:p>
        </w:tc>
      </w:tr>
      <w:tr w:rsidR="004B391B" w:rsidRPr="00EA448D" w:rsidTr="002537DA">
        <w:tc>
          <w:tcPr>
            <w:tcW w:w="0" w:type="auto"/>
          </w:tcPr>
          <w:p w:rsidR="004B391B" w:rsidRPr="00EA448D" w:rsidRDefault="004B391B" w:rsidP="002537DA">
            <w:pPr>
              <w:pStyle w:val="TableText"/>
            </w:pPr>
            <w:r w:rsidRPr="00EA448D">
              <w:t>Evidence base</w:t>
            </w:r>
          </w:p>
        </w:tc>
        <w:tc>
          <w:tcPr>
            <w:tcW w:w="0" w:type="auto"/>
          </w:tcPr>
          <w:p w:rsidR="004B391B" w:rsidRPr="00EA448D" w:rsidRDefault="004B391B" w:rsidP="002537DA">
            <w:pPr>
              <w:pStyle w:val="TableText"/>
              <w:rPr>
                <w:rFonts w:ascii="Times" w:eastAsia="Times New Roman" w:hAnsi="Times" w:cs="Times New Roman"/>
              </w:rPr>
            </w:pPr>
            <w:r w:rsidRPr="00EA448D">
              <w:t xml:space="preserve">CLARITY, CLARITY </w:t>
            </w:r>
            <w:proofErr w:type="spellStart"/>
            <w:r w:rsidRPr="00EA448D">
              <w:t>ext</w:t>
            </w:r>
            <w:proofErr w:type="spellEnd"/>
            <w:r w:rsidRPr="00EA448D">
              <w:t xml:space="preserve">, FREEDOMS, FREEDOMS II, FREEDOMS </w:t>
            </w:r>
            <w:proofErr w:type="spellStart"/>
            <w:r w:rsidRPr="00EA448D">
              <w:t>ext</w:t>
            </w:r>
            <w:proofErr w:type="spellEnd"/>
            <w:r w:rsidRPr="00EA448D">
              <w:t>, FREEDOMS II ext</w:t>
            </w:r>
            <w:r w:rsidR="00F7162E" w:rsidRPr="00EA448D">
              <w:t>.</w:t>
            </w:r>
          </w:p>
        </w:tc>
      </w:tr>
      <w:tr w:rsidR="004B391B" w:rsidRPr="00EA448D" w:rsidTr="002537DA">
        <w:tc>
          <w:tcPr>
            <w:tcW w:w="0" w:type="auto"/>
          </w:tcPr>
          <w:p w:rsidR="004B391B" w:rsidRPr="00EA448D" w:rsidRDefault="004B391B" w:rsidP="002537DA">
            <w:pPr>
              <w:pStyle w:val="TableText"/>
            </w:pPr>
            <w:proofErr w:type="spellStart"/>
            <w:r w:rsidRPr="00EA448D">
              <w:t>Equi</w:t>
            </w:r>
            <w:proofErr w:type="spellEnd"/>
            <w:r w:rsidRPr="00EA448D">
              <w:t>-effective doses</w:t>
            </w:r>
          </w:p>
        </w:tc>
        <w:tc>
          <w:tcPr>
            <w:tcW w:w="0" w:type="auto"/>
            <w:vAlign w:val="center"/>
          </w:tcPr>
          <w:p w:rsidR="004B391B" w:rsidRPr="00EA448D" w:rsidRDefault="004B391B" w:rsidP="008F0517">
            <w:pPr>
              <w:pStyle w:val="TableText"/>
              <w:rPr>
                <w:rFonts w:ascii="Times" w:eastAsia="Times New Roman" w:hAnsi="Times" w:cs="Times New Roman"/>
              </w:rPr>
            </w:pPr>
            <w:r w:rsidRPr="00EA448D">
              <w:t xml:space="preserve">280 mg </w:t>
            </w:r>
            <w:proofErr w:type="spellStart"/>
            <w:r w:rsidRPr="00EA448D">
              <w:t>cladribine</w:t>
            </w:r>
            <w:proofErr w:type="spellEnd"/>
            <w:r w:rsidRPr="00EA448D">
              <w:t xml:space="preserve">  ≡ 730 mg </w:t>
            </w:r>
            <w:proofErr w:type="spellStart"/>
            <w:r w:rsidRPr="00EA448D">
              <w:t>fingolimod</w:t>
            </w:r>
            <w:proofErr w:type="spellEnd"/>
            <w:r w:rsidRPr="00EA448D">
              <w:t xml:space="preserve"> over a </w:t>
            </w:r>
            <w:r w:rsidR="008F0517">
              <w:t>four</w:t>
            </w:r>
            <w:r w:rsidRPr="00EA448D">
              <w:t>-year treatment horizon</w:t>
            </w:r>
          </w:p>
        </w:tc>
      </w:tr>
      <w:tr w:rsidR="004B391B" w:rsidRPr="00EA448D" w:rsidTr="002537DA">
        <w:tc>
          <w:tcPr>
            <w:tcW w:w="0" w:type="auto"/>
          </w:tcPr>
          <w:p w:rsidR="004B391B" w:rsidRPr="00EA448D" w:rsidRDefault="004B391B" w:rsidP="002537DA">
            <w:pPr>
              <w:pStyle w:val="TableText"/>
            </w:pPr>
            <w:r w:rsidRPr="00EA448D">
              <w:t>Direct medicine costs</w:t>
            </w:r>
          </w:p>
        </w:tc>
        <w:tc>
          <w:tcPr>
            <w:tcW w:w="0" w:type="auto"/>
          </w:tcPr>
          <w:p w:rsidR="004B391B" w:rsidRPr="00EA448D" w:rsidRDefault="004B391B" w:rsidP="008F0517">
            <w:pPr>
              <w:pStyle w:val="TableText"/>
              <w:rPr>
                <w:rFonts w:ascii="Times" w:eastAsia="Times New Roman" w:hAnsi="Times" w:cs="Times New Roman"/>
              </w:rPr>
            </w:pPr>
            <w:r w:rsidRPr="00EA448D">
              <w:t xml:space="preserve">Equivalent cost of </w:t>
            </w:r>
            <w:proofErr w:type="spellStart"/>
            <w:r w:rsidRPr="00EA448D">
              <w:t>cladribine</w:t>
            </w:r>
            <w:proofErr w:type="spellEnd"/>
            <w:r w:rsidRPr="00EA448D">
              <w:t xml:space="preserve"> vs </w:t>
            </w:r>
            <w:proofErr w:type="spellStart"/>
            <w:r w:rsidRPr="00EA448D">
              <w:t>fingolimod</w:t>
            </w:r>
            <w:proofErr w:type="spellEnd"/>
            <w:r w:rsidRPr="00EA448D">
              <w:t xml:space="preserve"> over a </w:t>
            </w:r>
            <w:r w:rsidR="008F0517">
              <w:t>four</w:t>
            </w:r>
            <w:r w:rsidRPr="00EA448D">
              <w:t xml:space="preserve">-year period. Costs of </w:t>
            </w:r>
            <w:proofErr w:type="spellStart"/>
            <w:r w:rsidRPr="00EA448D">
              <w:t>cladribine</w:t>
            </w:r>
            <w:proofErr w:type="spellEnd"/>
            <w:r w:rsidRPr="00EA448D">
              <w:t xml:space="preserve"> are substantially higher than </w:t>
            </w:r>
            <w:proofErr w:type="spellStart"/>
            <w:r w:rsidRPr="00EA448D">
              <w:t>fingolimod</w:t>
            </w:r>
            <w:proofErr w:type="spellEnd"/>
            <w:r w:rsidRPr="00EA448D">
              <w:t xml:space="preserve"> over shorter periods.</w:t>
            </w:r>
          </w:p>
        </w:tc>
      </w:tr>
      <w:tr w:rsidR="004B391B" w:rsidRPr="00EA448D" w:rsidTr="002537DA">
        <w:tc>
          <w:tcPr>
            <w:tcW w:w="0" w:type="auto"/>
          </w:tcPr>
          <w:p w:rsidR="004B391B" w:rsidRPr="00EA448D" w:rsidRDefault="004B391B" w:rsidP="002537DA">
            <w:pPr>
              <w:pStyle w:val="TableText"/>
            </w:pPr>
            <w:r w:rsidRPr="00EA448D">
              <w:t>Other costs or cost offsets</w:t>
            </w:r>
          </w:p>
        </w:tc>
        <w:tc>
          <w:tcPr>
            <w:tcW w:w="0" w:type="auto"/>
          </w:tcPr>
          <w:p w:rsidR="004B391B" w:rsidRPr="00EA448D" w:rsidRDefault="004B391B" w:rsidP="00037A53">
            <w:pPr>
              <w:pStyle w:val="TableText"/>
              <w:rPr>
                <w:rFonts w:ascii="Times" w:eastAsia="Times New Roman" w:hAnsi="Times" w:cs="Times New Roman"/>
              </w:rPr>
            </w:pPr>
            <w:r w:rsidRPr="00EA448D">
              <w:t xml:space="preserve">Monitoring costs were included. </w:t>
            </w:r>
          </w:p>
        </w:tc>
      </w:tr>
    </w:tbl>
    <w:p w:rsidR="004B391B" w:rsidRPr="00EA448D" w:rsidRDefault="004B391B" w:rsidP="004B391B">
      <w:pPr>
        <w:pStyle w:val="TableFooter"/>
      </w:pPr>
      <w:r w:rsidRPr="00EA448D">
        <w:t>Source: Table 3.1.1, p220 of the resubmission</w:t>
      </w:r>
    </w:p>
    <w:p w:rsidR="004B391B" w:rsidRPr="00EA448D" w:rsidRDefault="004B391B" w:rsidP="004B391B">
      <w:pPr>
        <w:pStyle w:val="TableFooter"/>
      </w:pPr>
      <w:proofErr w:type="spellStart"/>
      <w:proofErr w:type="gramStart"/>
      <w:r w:rsidRPr="00EA448D">
        <w:t>ext</w:t>
      </w:r>
      <w:proofErr w:type="spellEnd"/>
      <w:proofErr w:type="gramEnd"/>
      <w:r w:rsidRPr="00EA448D">
        <w:t xml:space="preserve"> = extension. </w:t>
      </w:r>
    </w:p>
    <w:p w:rsidR="004B391B" w:rsidRPr="00EA448D" w:rsidRDefault="00837C26" w:rsidP="00A627FC">
      <w:pPr>
        <w:pStyle w:val="ListParagraph"/>
        <w:numPr>
          <w:ilvl w:val="1"/>
          <w:numId w:val="1"/>
        </w:numPr>
        <w:spacing w:before="0" w:after="0"/>
        <w:ind w:left="578"/>
        <w:jc w:val="both"/>
      </w:pPr>
      <w:r w:rsidRPr="00EA448D">
        <w:t xml:space="preserve">The </w:t>
      </w:r>
      <w:proofErr w:type="spellStart"/>
      <w:r w:rsidRPr="00EA448D">
        <w:t>equi</w:t>
      </w:r>
      <w:proofErr w:type="spellEnd"/>
      <w:r w:rsidRPr="00EA448D">
        <w:t xml:space="preserve">-effective doses are estimated </w:t>
      </w:r>
      <w:r w:rsidR="00333AB9" w:rsidRPr="00EA448D">
        <w:t xml:space="preserve">over a four-year treatment horizon </w:t>
      </w:r>
      <w:r w:rsidRPr="00EA448D">
        <w:t>as</w:t>
      </w:r>
      <w:r w:rsidR="004B391B" w:rsidRPr="00EA448D">
        <w:t>:</w:t>
      </w:r>
    </w:p>
    <w:p w:rsidR="00333AB9" w:rsidRPr="00EA448D" w:rsidRDefault="00333AB9" w:rsidP="00333AB9">
      <w:pPr>
        <w:pStyle w:val="ListParagraph"/>
        <w:spacing w:before="0" w:after="0"/>
        <w:ind w:left="578"/>
        <w:jc w:val="center"/>
        <w:rPr>
          <w:rFonts w:cstheme="minorHAnsi"/>
        </w:rPr>
      </w:pPr>
      <w:r w:rsidRPr="00EA448D">
        <w:rPr>
          <w:rFonts w:cstheme="minorHAnsi"/>
        </w:rPr>
        <w:t>280</w:t>
      </w:r>
      <w:r w:rsidR="00837C26" w:rsidRPr="00EA448D">
        <w:rPr>
          <w:rFonts w:cstheme="minorHAnsi"/>
        </w:rPr>
        <w:t xml:space="preserve">mg </w:t>
      </w:r>
      <w:r w:rsidRPr="00EA448D">
        <w:rPr>
          <w:rFonts w:cstheme="minorHAnsi"/>
        </w:rPr>
        <w:t xml:space="preserve">(28 tablets; assuming average weight of 76.6kg) </w:t>
      </w:r>
      <w:proofErr w:type="spellStart"/>
      <w:r w:rsidR="00837C26" w:rsidRPr="00EA448D">
        <w:rPr>
          <w:rFonts w:cstheme="minorHAnsi"/>
        </w:rPr>
        <w:t>cladribine</w:t>
      </w:r>
      <w:proofErr w:type="spellEnd"/>
      <w:r w:rsidR="00837C26" w:rsidRPr="00EA448D">
        <w:rPr>
          <w:rFonts w:cstheme="minorHAnsi"/>
        </w:rPr>
        <w:t xml:space="preserve"> </w:t>
      </w:r>
      <w:r w:rsidR="004B391B" w:rsidRPr="00EA448D">
        <w:rPr>
          <w:rFonts w:cstheme="minorHAnsi"/>
        </w:rPr>
        <w:t>≡</w:t>
      </w:r>
    </w:p>
    <w:p w:rsidR="00333AB9" w:rsidRPr="00EA448D" w:rsidRDefault="00333AB9" w:rsidP="00333AB9">
      <w:pPr>
        <w:pStyle w:val="ListParagraph"/>
        <w:spacing w:before="0" w:after="0"/>
        <w:ind w:left="578"/>
        <w:jc w:val="center"/>
        <w:rPr>
          <w:rFonts w:cstheme="minorHAnsi"/>
        </w:rPr>
      </w:pPr>
      <w:r w:rsidRPr="00EA448D">
        <w:rPr>
          <w:rFonts w:cstheme="minorHAnsi"/>
        </w:rPr>
        <w:t>730</w:t>
      </w:r>
      <w:r w:rsidR="00837C26" w:rsidRPr="00EA448D">
        <w:rPr>
          <w:rFonts w:cstheme="minorHAnsi"/>
        </w:rPr>
        <w:t xml:space="preserve">mg </w:t>
      </w:r>
      <w:r w:rsidRPr="00EA448D">
        <w:rPr>
          <w:rFonts w:cstheme="minorHAnsi"/>
        </w:rPr>
        <w:t xml:space="preserve">(365 days x </w:t>
      </w:r>
      <w:r w:rsidR="008F0517">
        <w:rPr>
          <w:rFonts w:cstheme="minorHAnsi"/>
        </w:rPr>
        <w:t>four</w:t>
      </w:r>
      <w:r w:rsidR="008F0517" w:rsidRPr="00EA448D">
        <w:rPr>
          <w:rFonts w:cstheme="minorHAnsi"/>
        </w:rPr>
        <w:t xml:space="preserve"> </w:t>
      </w:r>
      <w:r w:rsidRPr="00EA448D">
        <w:rPr>
          <w:rFonts w:cstheme="minorHAnsi"/>
        </w:rPr>
        <w:t xml:space="preserve">years </w:t>
      </w:r>
      <w:proofErr w:type="gramStart"/>
      <w:r w:rsidRPr="00EA448D">
        <w:rPr>
          <w:rFonts w:cstheme="minorHAnsi"/>
        </w:rPr>
        <w:t>x 0.5mg/day</w:t>
      </w:r>
      <w:proofErr w:type="gramEnd"/>
      <w:r w:rsidRPr="00EA448D">
        <w:rPr>
          <w:rFonts w:cstheme="minorHAnsi"/>
        </w:rPr>
        <w:t xml:space="preserve">) </w:t>
      </w:r>
      <w:proofErr w:type="spellStart"/>
      <w:r w:rsidR="00837C26" w:rsidRPr="00EA448D">
        <w:rPr>
          <w:rFonts w:cstheme="minorHAnsi"/>
        </w:rPr>
        <w:t>fingolimod</w:t>
      </w:r>
      <w:proofErr w:type="spellEnd"/>
    </w:p>
    <w:p w:rsidR="00837C26" w:rsidRPr="00EA448D" w:rsidRDefault="00837C26" w:rsidP="004B391B">
      <w:pPr>
        <w:pStyle w:val="ListParagraph"/>
        <w:spacing w:before="0" w:after="120"/>
        <w:ind w:left="576"/>
        <w:jc w:val="both"/>
      </w:pPr>
      <w:r w:rsidRPr="00EA448D">
        <w:t xml:space="preserve">These </w:t>
      </w:r>
      <w:proofErr w:type="gramStart"/>
      <w:r w:rsidRPr="00EA448D">
        <w:t>are based</w:t>
      </w:r>
      <w:proofErr w:type="gramEnd"/>
      <w:r w:rsidRPr="00EA448D">
        <w:t xml:space="preserve"> on the </w:t>
      </w:r>
      <w:proofErr w:type="spellStart"/>
      <w:r w:rsidRPr="00EA448D">
        <w:t>fingolimod</w:t>
      </w:r>
      <w:proofErr w:type="spellEnd"/>
      <w:r w:rsidRPr="00EA448D">
        <w:t xml:space="preserve"> TGA approved dose and the </w:t>
      </w:r>
      <w:proofErr w:type="spellStart"/>
      <w:r w:rsidRPr="00EA448D">
        <w:t>cladribine</w:t>
      </w:r>
      <w:proofErr w:type="spellEnd"/>
      <w:r w:rsidRPr="00EA448D">
        <w:t xml:space="preserve"> proposed treatment regimen.</w:t>
      </w:r>
      <w:r w:rsidR="00037A53" w:rsidRPr="00EA448D">
        <w:t xml:space="preserve"> The </w:t>
      </w:r>
      <w:proofErr w:type="spellStart"/>
      <w:r w:rsidR="00037A53" w:rsidRPr="00EA448D">
        <w:t>equi</w:t>
      </w:r>
      <w:proofErr w:type="spellEnd"/>
      <w:r w:rsidR="00037A53" w:rsidRPr="00EA448D">
        <w:t xml:space="preserve">-effective doses were generally consistent with the clinical trials. The one main exception was the use of Australian data to derive an average weight of </w:t>
      </w:r>
      <w:r w:rsidR="00037A53" w:rsidRPr="0071262F">
        <w:t>76.6kg</w:t>
      </w:r>
      <w:r w:rsidR="00037A53" w:rsidRPr="00EA448D">
        <w:t xml:space="preserve"> versus the CLARITY average of </w:t>
      </w:r>
      <w:r w:rsidR="00522B63" w:rsidRPr="00EA448D">
        <w:t xml:space="preserve">69kg. This </w:t>
      </w:r>
      <w:r w:rsidR="00161841" w:rsidRPr="00EA448D">
        <w:t>approach</w:t>
      </w:r>
      <w:r w:rsidR="00522B63" w:rsidRPr="00EA448D">
        <w:t xml:space="preserve"> was more conservative and appropriate. </w:t>
      </w:r>
    </w:p>
    <w:p w:rsidR="00522B63" w:rsidRPr="00EA448D" w:rsidRDefault="00522B63" w:rsidP="00A627FC">
      <w:pPr>
        <w:pStyle w:val="ListParagraph"/>
        <w:numPr>
          <w:ilvl w:val="1"/>
          <w:numId w:val="1"/>
        </w:numPr>
        <w:spacing w:before="0" w:after="120"/>
        <w:ind w:left="578" w:hanging="578"/>
        <w:jc w:val="both"/>
      </w:pPr>
      <w:r w:rsidRPr="00EA448D">
        <w:t xml:space="preserve">The resubmission did not test different average weights or distributions of </w:t>
      </w:r>
      <w:r w:rsidR="00307D65" w:rsidRPr="00EA448D">
        <w:t>patients</w:t>
      </w:r>
      <w:r w:rsidRPr="00EA448D">
        <w:t xml:space="preserve"> requiring different numbers of tablets in the cost-minimisation analysis. The </w:t>
      </w:r>
      <w:r w:rsidR="00307D65" w:rsidRPr="00EA448D">
        <w:t>re</w:t>
      </w:r>
      <w:r w:rsidRPr="00EA448D">
        <w:t>submission note</w:t>
      </w:r>
      <w:r w:rsidR="00307D65" w:rsidRPr="00EA448D">
        <w:t>d</w:t>
      </w:r>
      <w:r w:rsidRPr="00EA448D">
        <w:t xml:space="preserve"> </w:t>
      </w:r>
      <w:r w:rsidR="000A4EA9" w:rsidRPr="00EA448D">
        <w:rPr>
          <w:rFonts w:ascii="Calibri" w:eastAsia="Calibri" w:hAnsi="Calibri" w:cs="Arial"/>
        </w:rPr>
        <w:t xml:space="preserve">seven tablets would meet the dosing requirements of </w:t>
      </w:r>
      <w:r w:rsidR="000A4EA9" w:rsidRPr="0071262F">
        <w:rPr>
          <w:rFonts w:ascii="Calibri" w:eastAsia="Calibri" w:hAnsi="Calibri" w:cs="Arial"/>
        </w:rPr>
        <w:t>80%</w:t>
      </w:r>
      <w:r w:rsidR="000A4EA9" w:rsidRPr="00EA448D">
        <w:rPr>
          <w:rFonts w:ascii="Calibri" w:eastAsia="Calibri" w:hAnsi="Calibri" w:cs="Arial"/>
        </w:rPr>
        <w:t xml:space="preserve"> of patients</w:t>
      </w:r>
      <w:r w:rsidRPr="00EA448D">
        <w:rPr>
          <w:rFonts w:ascii="Calibri" w:eastAsia="Calibri" w:hAnsi="Calibri" w:cs="Arial"/>
        </w:rPr>
        <w:t xml:space="preserve"> in each treatment week</w:t>
      </w:r>
      <w:r w:rsidR="00307D65" w:rsidRPr="00EA448D">
        <w:rPr>
          <w:rFonts w:ascii="Calibri" w:eastAsia="Calibri" w:hAnsi="Calibri" w:cs="Arial"/>
        </w:rPr>
        <w:t xml:space="preserve"> (consistent with the </w:t>
      </w:r>
      <w:proofErr w:type="spellStart"/>
      <w:r w:rsidR="00307D65" w:rsidRPr="00EA448D">
        <w:rPr>
          <w:rFonts w:ascii="Calibri" w:eastAsia="Calibri" w:hAnsi="Calibri" w:cs="Arial"/>
        </w:rPr>
        <w:t>equi</w:t>
      </w:r>
      <w:proofErr w:type="spellEnd"/>
      <w:r w:rsidR="00307D65" w:rsidRPr="00EA448D">
        <w:rPr>
          <w:rFonts w:ascii="Calibri" w:eastAsia="Calibri" w:hAnsi="Calibri" w:cs="Arial"/>
        </w:rPr>
        <w:t>-effective dose)</w:t>
      </w:r>
      <w:r w:rsidRPr="00EA448D">
        <w:rPr>
          <w:rFonts w:ascii="Calibri" w:eastAsia="Calibri" w:hAnsi="Calibri" w:cs="Arial"/>
        </w:rPr>
        <w:t>.</w:t>
      </w:r>
      <w:r w:rsidR="00307D65" w:rsidRPr="00EA448D">
        <w:rPr>
          <w:rFonts w:ascii="Calibri" w:eastAsia="Calibri" w:hAnsi="Calibri" w:cs="Arial"/>
        </w:rPr>
        <w:t xml:space="preserve"> </w:t>
      </w:r>
    </w:p>
    <w:p w:rsidR="00385EDD" w:rsidRPr="00855228" w:rsidRDefault="00385EDD" w:rsidP="00A627FC">
      <w:pPr>
        <w:pStyle w:val="ListParagraph"/>
        <w:numPr>
          <w:ilvl w:val="1"/>
          <w:numId w:val="1"/>
        </w:numPr>
        <w:spacing w:before="0" w:after="120"/>
        <w:jc w:val="both"/>
      </w:pPr>
      <w:r w:rsidRPr="00855228">
        <w:t>The resubmission propose</w:t>
      </w:r>
      <w:r w:rsidR="00C8103C" w:rsidRPr="00855228">
        <w:t>d</w:t>
      </w:r>
      <w:r w:rsidRPr="00855228">
        <w:t xml:space="preserve"> a maximum quantity</w:t>
      </w:r>
      <w:r w:rsidR="00A748DE" w:rsidRPr="00855228">
        <w:t xml:space="preserve"> (MQ)</w:t>
      </w:r>
      <w:r w:rsidRPr="00855228">
        <w:t xml:space="preserve"> of </w:t>
      </w:r>
      <w:r w:rsidR="00126470">
        <w:t>ten</w:t>
      </w:r>
      <w:r w:rsidRPr="00855228">
        <w:t xml:space="preserve"> tablets, rather than a quantity based on the weight of the patient up to a maximum of</w:t>
      </w:r>
      <w:r w:rsidR="00126470">
        <w:t xml:space="preserve"> ten</w:t>
      </w:r>
      <w:r w:rsidRPr="00855228">
        <w:t xml:space="preserve"> tablets.  This MQ creates a large potential for wastage </w:t>
      </w:r>
      <w:r w:rsidR="00A748DE" w:rsidRPr="00855228">
        <w:t>with significant financial implications for government</w:t>
      </w:r>
      <w:r w:rsidR="007D08A8" w:rsidRPr="00855228">
        <w:t xml:space="preserve"> as well as a quality use of medicine (QUM) issue.</w:t>
      </w:r>
      <w:r w:rsidR="00A748DE" w:rsidRPr="00855228">
        <w:t xml:space="preserve">  Th</w:t>
      </w:r>
      <w:r w:rsidR="007D08A8" w:rsidRPr="00855228">
        <w:t>e</w:t>
      </w:r>
      <w:r w:rsidR="00D818F6">
        <w:t xml:space="preserve"> evaluation considered that</w:t>
      </w:r>
      <w:r w:rsidR="007D08A8" w:rsidRPr="00855228">
        <w:t xml:space="preserve"> former of these</w:t>
      </w:r>
      <w:r w:rsidR="00A748DE" w:rsidRPr="00855228">
        <w:t xml:space="preserve"> </w:t>
      </w:r>
      <w:r w:rsidR="007D08A8" w:rsidRPr="00855228">
        <w:t xml:space="preserve">issues </w:t>
      </w:r>
      <w:proofErr w:type="gramStart"/>
      <w:r w:rsidR="00A748DE" w:rsidRPr="00855228">
        <w:t>could be addressed</w:t>
      </w:r>
      <w:proofErr w:type="gramEnd"/>
      <w:r w:rsidR="00A748DE" w:rsidRPr="00855228">
        <w:t xml:space="preserve"> in one of two ways:  (a) by basing the cost-minimised price on the MQ of </w:t>
      </w:r>
      <w:r w:rsidR="00126470">
        <w:t>ten</w:t>
      </w:r>
      <w:r w:rsidR="00A748DE" w:rsidRPr="00855228">
        <w:t xml:space="preserve"> tablets; or (b) by requiring the prescriber </w:t>
      </w:r>
      <w:r w:rsidR="00B5727C" w:rsidRPr="00855228">
        <w:t xml:space="preserve">to prescribe the </w:t>
      </w:r>
      <w:r w:rsidR="00A748DE" w:rsidRPr="00855228">
        <w:t xml:space="preserve">appropriate </w:t>
      </w:r>
      <w:r w:rsidR="00B5727C" w:rsidRPr="00855228">
        <w:t>combination of the listed packs (</w:t>
      </w:r>
      <w:r w:rsidR="008F0517">
        <w:t>one</w:t>
      </w:r>
      <w:r w:rsidR="00B5727C" w:rsidRPr="00855228">
        <w:t xml:space="preserve">, </w:t>
      </w:r>
      <w:r w:rsidR="008F0517">
        <w:t>four</w:t>
      </w:r>
      <w:r w:rsidR="00B5727C" w:rsidRPr="00855228">
        <w:t xml:space="preserve"> and </w:t>
      </w:r>
      <w:r w:rsidR="008F0517">
        <w:t>six</w:t>
      </w:r>
      <w:r w:rsidR="00B5727C" w:rsidRPr="00855228">
        <w:t xml:space="preserve"> tablets) </w:t>
      </w:r>
      <w:r w:rsidR="00A748DE" w:rsidRPr="00855228">
        <w:t>based on the weight of the patient</w:t>
      </w:r>
      <w:r w:rsidR="007D08A8" w:rsidRPr="00855228">
        <w:t xml:space="preserve">. The second of these methods </w:t>
      </w:r>
      <w:proofErr w:type="gramStart"/>
      <w:r w:rsidR="007D08A8" w:rsidRPr="00855228">
        <w:t>is preferred</w:t>
      </w:r>
      <w:proofErr w:type="gramEnd"/>
      <w:r w:rsidR="007D08A8" w:rsidRPr="00855228">
        <w:t xml:space="preserve"> by the Secretariat as it also addresses the QUM issue</w:t>
      </w:r>
      <w:r w:rsidR="007F3417" w:rsidRPr="00855228">
        <w:t xml:space="preserve">. </w:t>
      </w:r>
      <w:r w:rsidR="001D10DA" w:rsidRPr="00855228">
        <w:t>The PSCR (p3-4) stated that the sponsor welcomed the Secretariat proposed changes to the requested PBS restriction and MQ.</w:t>
      </w:r>
    </w:p>
    <w:p w:rsidR="00B273EB" w:rsidRPr="00855228" w:rsidRDefault="00B273EB" w:rsidP="00A627FC">
      <w:pPr>
        <w:pStyle w:val="ListParagraph"/>
        <w:numPr>
          <w:ilvl w:val="1"/>
          <w:numId w:val="1"/>
        </w:numPr>
        <w:spacing w:before="0" w:after="120"/>
        <w:ind w:left="578" w:hanging="578"/>
        <w:jc w:val="both"/>
      </w:pPr>
      <w:r w:rsidRPr="00855228">
        <w:t xml:space="preserve">The resubmission additionally included costs for monitoring </w:t>
      </w:r>
      <w:r w:rsidR="00F41555" w:rsidRPr="00855228">
        <w:t>for</w:t>
      </w:r>
      <w:r w:rsidRPr="00855228">
        <w:t xml:space="preserve"> </w:t>
      </w:r>
      <w:proofErr w:type="spellStart"/>
      <w:r w:rsidRPr="00855228">
        <w:t>cladribine</w:t>
      </w:r>
      <w:proofErr w:type="spellEnd"/>
      <w:r w:rsidRPr="00855228">
        <w:t xml:space="preserve"> (full blood count and a consultation) and </w:t>
      </w:r>
      <w:proofErr w:type="spellStart"/>
      <w:r w:rsidRPr="00855228">
        <w:t>fingolimod</w:t>
      </w:r>
      <w:proofErr w:type="spellEnd"/>
      <w:r w:rsidRPr="00855228">
        <w:t xml:space="preserve"> (two consultations, a same day hospital admission for required cardiac monitoring, and overnight hospitalisation for 1.7% of patients who have cardiac abnormalities). </w:t>
      </w:r>
      <w:proofErr w:type="spellStart"/>
      <w:r w:rsidRPr="00855228">
        <w:t>Fingolimod</w:t>
      </w:r>
      <w:proofErr w:type="spellEnd"/>
      <w:r w:rsidRPr="00855228">
        <w:t xml:space="preserve"> </w:t>
      </w:r>
      <w:proofErr w:type="gramStart"/>
      <w:r w:rsidRPr="00855228">
        <w:t>was estimated</w:t>
      </w:r>
      <w:proofErr w:type="gramEnd"/>
      <w:r w:rsidRPr="00855228">
        <w:t xml:space="preserve"> to have a greater monitoring burden than </w:t>
      </w:r>
      <w:proofErr w:type="spellStart"/>
      <w:r w:rsidRPr="00855228">
        <w:t>cladribine</w:t>
      </w:r>
      <w:proofErr w:type="spellEnd"/>
      <w:r w:rsidRPr="00855228">
        <w:t xml:space="preserve">. Relative to the drug acquisition costs of either treatment over </w:t>
      </w:r>
      <w:r w:rsidR="00F41555" w:rsidRPr="00855228">
        <w:t>four</w:t>
      </w:r>
      <w:r w:rsidRPr="00855228">
        <w:t xml:space="preserve"> years, the monitoring burden of both drugs was </w:t>
      </w:r>
      <w:r w:rsidR="00F7162E" w:rsidRPr="00855228">
        <w:t>minor</w:t>
      </w:r>
      <w:r w:rsidRPr="00855228">
        <w:t>.</w:t>
      </w:r>
    </w:p>
    <w:p w:rsidR="00837C26" w:rsidRPr="00855228" w:rsidRDefault="00837C26" w:rsidP="00A627FC">
      <w:pPr>
        <w:pStyle w:val="ListParagraph"/>
        <w:numPr>
          <w:ilvl w:val="1"/>
          <w:numId w:val="1"/>
        </w:numPr>
        <w:spacing w:before="0" w:after="120"/>
        <w:jc w:val="both"/>
      </w:pPr>
      <w:r w:rsidRPr="00855228">
        <w:lastRenderedPageBreak/>
        <w:t>The</w:t>
      </w:r>
      <w:r w:rsidR="004244F6" w:rsidRPr="00855228">
        <w:t xml:space="preserve"> evaluation considered that the</w:t>
      </w:r>
      <w:r w:rsidRPr="00855228">
        <w:t xml:space="preserve"> greatest concern </w:t>
      </w:r>
      <w:r w:rsidR="00E64394" w:rsidRPr="00855228">
        <w:t xml:space="preserve">regarding the approach to the cost-minimisation analysis </w:t>
      </w:r>
      <w:r w:rsidR="00333AB9" w:rsidRPr="00855228">
        <w:t>was</w:t>
      </w:r>
      <w:r w:rsidRPr="00855228">
        <w:t xml:space="preserve"> the selection of a </w:t>
      </w:r>
      <w:r w:rsidR="00333AB9" w:rsidRPr="00855228">
        <w:t>four</w:t>
      </w:r>
      <w:r w:rsidRPr="00855228">
        <w:t xml:space="preserve">-year </w:t>
      </w:r>
      <w:r w:rsidR="00E64394" w:rsidRPr="00855228">
        <w:t xml:space="preserve">treatment </w:t>
      </w:r>
      <w:r w:rsidRPr="00855228">
        <w:t>horizon. Aside from the clinical concerns on whether an efficacy</w:t>
      </w:r>
      <w:r w:rsidR="00333AB9" w:rsidRPr="00855228">
        <w:t xml:space="preserve"> claim of non-inferiority over four</w:t>
      </w:r>
      <w:r w:rsidRPr="00855228">
        <w:t xml:space="preserve"> year</w:t>
      </w:r>
      <w:r w:rsidR="00B273EB" w:rsidRPr="00855228">
        <w:t>s was adequately supported, it wa</w:t>
      </w:r>
      <w:r w:rsidRPr="00855228">
        <w:t>s</w:t>
      </w:r>
      <w:r w:rsidR="00B273EB" w:rsidRPr="00855228">
        <w:t xml:space="preserve"> </w:t>
      </w:r>
      <w:r w:rsidRPr="00855228">
        <w:t xml:space="preserve">unreasonable </w:t>
      </w:r>
      <w:r w:rsidR="00C61757" w:rsidRPr="00855228">
        <w:t xml:space="preserve">to </w:t>
      </w:r>
      <w:r w:rsidR="00B273EB" w:rsidRPr="00855228">
        <w:t xml:space="preserve">assume that </w:t>
      </w:r>
      <w:r w:rsidR="00FD3E0B">
        <w:rPr>
          <w:noProof/>
          <w:color w:val="000000"/>
          <w:highlight w:val="black"/>
        </w:rPr>
        <w:t>''''''''</w:t>
      </w:r>
      <w:r w:rsidR="00B273EB" w:rsidRPr="00855228">
        <w:t xml:space="preserve">% of patients would remain on </w:t>
      </w:r>
      <w:proofErr w:type="spellStart"/>
      <w:r w:rsidR="00B273EB" w:rsidRPr="00855228">
        <w:t>cladribine</w:t>
      </w:r>
      <w:proofErr w:type="spellEnd"/>
      <w:r w:rsidR="00B273EB" w:rsidRPr="00855228">
        <w:t xml:space="preserve"> or </w:t>
      </w:r>
      <w:proofErr w:type="spellStart"/>
      <w:r w:rsidR="00B273EB" w:rsidRPr="00855228">
        <w:t>fingolimod</w:t>
      </w:r>
      <w:proofErr w:type="spellEnd"/>
      <w:r w:rsidR="00B273EB" w:rsidRPr="00855228">
        <w:t xml:space="preserve"> for four years </w:t>
      </w:r>
      <w:r w:rsidRPr="00855228">
        <w:t xml:space="preserve">(or </w:t>
      </w:r>
      <w:r w:rsidR="00333AB9" w:rsidRPr="00855228">
        <w:t>more</w:t>
      </w:r>
      <w:r w:rsidRPr="00855228">
        <w:t xml:space="preserve"> importantly, that no subsequent DMDs would be used in the </w:t>
      </w:r>
      <w:r w:rsidR="00333AB9" w:rsidRPr="00855228">
        <w:t>four</w:t>
      </w:r>
      <w:r w:rsidRPr="00855228">
        <w:t xml:space="preserve"> year period)</w:t>
      </w:r>
      <w:r w:rsidR="00333AB9" w:rsidRPr="00855228">
        <w:t>.</w:t>
      </w:r>
      <w:r w:rsidR="005C4397">
        <w:t xml:space="preserve"> </w:t>
      </w:r>
    </w:p>
    <w:p w:rsidR="00837C26" w:rsidRPr="007C61DD" w:rsidRDefault="00837C26" w:rsidP="00A627FC">
      <w:pPr>
        <w:pStyle w:val="ListParagraph"/>
        <w:numPr>
          <w:ilvl w:val="1"/>
          <w:numId w:val="1"/>
        </w:numPr>
        <w:spacing w:before="0" w:after="120"/>
        <w:ind w:left="578" w:hanging="578"/>
        <w:jc w:val="both"/>
      </w:pPr>
      <w:r w:rsidRPr="007C61DD">
        <w:t xml:space="preserve">Data provided from </w:t>
      </w:r>
      <w:proofErr w:type="spellStart"/>
      <w:r w:rsidRPr="007C61DD">
        <w:t>MSBase</w:t>
      </w:r>
      <w:proofErr w:type="spellEnd"/>
      <w:r w:rsidRPr="007C61DD">
        <w:t xml:space="preserve"> noted that for Australian patients treated with </w:t>
      </w:r>
      <w:proofErr w:type="spellStart"/>
      <w:r w:rsidRPr="007C61DD">
        <w:t>cladribine</w:t>
      </w:r>
      <w:proofErr w:type="spellEnd"/>
      <w:r w:rsidRPr="007C61DD">
        <w:t>, 67%</w:t>
      </w:r>
      <w:r w:rsidR="00307D65" w:rsidRPr="007C61DD">
        <w:t xml:space="preserve"> (N=70)</w:t>
      </w:r>
      <w:r w:rsidRPr="007C61DD">
        <w:t xml:space="preserve"> reported using a subsequent DMD before </w:t>
      </w:r>
      <w:r w:rsidR="00333AB9" w:rsidRPr="007C61DD">
        <w:t xml:space="preserve">four years (and indicated a median time to subsequent DMD use of 1.2 years after the first year of </w:t>
      </w:r>
      <w:proofErr w:type="spellStart"/>
      <w:r w:rsidR="00333AB9" w:rsidRPr="007C61DD">
        <w:t>cladribine</w:t>
      </w:r>
      <w:proofErr w:type="spellEnd"/>
      <w:r w:rsidR="00333AB9" w:rsidRPr="007C61DD">
        <w:t xml:space="preserve"> treatment). </w:t>
      </w:r>
      <w:r w:rsidRPr="007C61DD">
        <w:t xml:space="preserve">Additionally, the financial estimates </w:t>
      </w:r>
      <w:r w:rsidR="00333AB9" w:rsidRPr="007C61DD">
        <w:t xml:space="preserve">provided in the resubmission </w:t>
      </w:r>
      <w:r w:rsidR="00B65ED1" w:rsidRPr="007C61DD">
        <w:t xml:space="preserve">demonstrate </w:t>
      </w:r>
      <w:r w:rsidRPr="007C61DD">
        <w:t xml:space="preserve">that when </w:t>
      </w:r>
      <w:proofErr w:type="gramStart"/>
      <w:r w:rsidR="00FD3E0B">
        <w:rPr>
          <w:noProof/>
          <w:color w:val="000000"/>
          <w:highlight w:val="black"/>
        </w:rPr>
        <w:t>''''''''</w:t>
      </w:r>
      <w:r w:rsidRPr="007C61DD">
        <w:t>%</w:t>
      </w:r>
      <w:proofErr w:type="gramEnd"/>
      <w:r w:rsidRPr="007C61DD">
        <w:t xml:space="preserve"> persistence is not assumed, net financial implications to the PBS are not cost neutral</w:t>
      </w:r>
      <w:r w:rsidR="00333AB9" w:rsidRPr="007C61DD">
        <w:t>.</w:t>
      </w:r>
      <w:r w:rsidR="00563093" w:rsidRPr="007C61DD">
        <w:t xml:space="preserve"> As such, the price estimated in the cost-minimisation analysis presented in the resubmission </w:t>
      </w:r>
      <w:proofErr w:type="gramStart"/>
      <w:r w:rsidR="00563093" w:rsidRPr="007C61DD">
        <w:t xml:space="preserve">was </w:t>
      </w:r>
      <w:r w:rsidR="00307D65" w:rsidRPr="007C61DD">
        <w:t>based</w:t>
      </w:r>
      <w:proofErr w:type="gramEnd"/>
      <w:r w:rsidR="00307D65" w:rsidRPr="007C61DD">
        <w:t xml:space="preserve"> on inappropriate assumptions</w:t>
      </w:r>
      <w:r w:rsidR="00563093" w:rsidRPr="007C61DD">
        <w:t>.</w:t>
      </w:r>
    </w:p>
    <w:p w:rsidR="00837C26" w:rsidRPr="00106F90" w:rsidRDefault="00661017" w:rsidP="00A627FC">
      <w:pPr>
        <w:pStyle w:val="ListParagraph"/>
        <w:numPr>
          <w:ilvl w:val="1"/>
          <w:numId w:val="1"/>
        </w:numPr>
        <w:spacing w:before="0" w:after="120"/>
        <w:jc w:val="both"/>
      </w:pPr>
      <w:r w:rsidRPr="007C61DD">
        <w:t>The evaluation considered that a</w:t>
      </w:r>
      <w:r w:rsidR="00837C26" w:rsidRPr="007C61DD">
        <w:t xml:space="preserve"> time horizon of </w:t>
      </w:r>
      <w:r w:rsidR="00333AB9" w:rsidRPr="007C61DD">
        <w:t>two</w:t>
      </w:r>
      <w:r w:rsidR="00837C26" w:rsidRPr="007C61DD">
        <w:t xml:space="preserve"> years appeared </w:t>
      </w:r>
      <w:r w:rsidR="00333AB9" w:rsidRPr="007C61DD">
        <w:t xml:space="preserve">to be </w:t>
      </w:r>
      <w:r w:rsidR="00837C26" w:rsidRPr="007C61DD">
        <w:t xml:space="preserve">more consistent with the </w:t>
      </w:r>
      <w:proofErr w:type="spellStart"/>
      <w:r w:rsidR="00837C26" w:rsidRPr="007C61DD">
        <w:t>MSBase</w:t>
      </w:r>
      <w:proofErr w:type="spellEnd"/>
      <w:r w:rsidR="00837C26" w:rsidRPr="007C61DD">
        <w:t xml:space="preserve"> data</w:t>
      </w:r>
      <w:r w:rsidRPr="007C61DD">
        <w:t xml:space="preserve">. The PSCR (p3) disagreed with the evaluation’s consideration that a </w:t>
      </w:r>
      <w:proofErr w:type="gramStart"/>
      <w:r w:rsidRPr="007C61DD">
        <w:t>two year</w:t>
      </w:r>
      <w:proofErr w:type="gramEnd"/>
      <w:r w:rsidRPr="007C61DD">
        <w:t xml:space="preserve"> time horizon for the cost-minimisation was more consistent with the </w:t>
      </w:r>
      <w:proofErr w:type="spellStart"/>
      <w:r w:rsidRPr="007C61DD">
        <w:t>MSBase</w:t>
      </w:r>
      <w:proofErr w:type="spellEnd"/>
      <w:r w:rsidRPr="007C61DD">
        <w:t xml:space="preserve"> Australian utilisation data. The PSCR noted that the patients in the </w:t>
      </w:r>
      <w:proofErr w:type="spellStart"/>
      <w:r w:rsidRPr="007C61DD">
        <w:t>MSBase</w:t>
      </w:r>
      <w:proofErr w:type="spellEnd"/>
      <w:r w:rsidRPr="007C61DD">
        <w:t xml:space="preserve"> registry only received </w:t>
      </w:r>
      <w:proofErr w:type="spellStart"/>
      <w:r w:rsidRPr="007C61DD">
        <w:t>cladribine</w:t>
      </w:r>
      <w:proofErr w:type="spellEnd"/>
      <w:r w:rsidRPr="007C61DD">
        <w:t xml:space="preserve"> for one year which was not consistent with the TGA approved dosage, and that initiation of another DMD was not necessarily driven by clinical or MRI outcomes</w:t>
      </w:r>
      <w:r w:rsidRPr="00661017">
        <w:rPr>
          <w:i/>
        </w:rPr>
        <w:t>.</w:t>
      </w:r>
    </w:p>
    <w:p w:rsidR="00106F90" w:rsidRPr="001D125F" w:rsidRDefault="00106F90" w:rsidP="00106F90">
      <w:pPr>
        <w:pStyle w:val="ListParagraph"/>
        <w:numPr>
          <w:ilvl w:val="1"/>
          <w:numId w:val="1"/>
        </w:numPr>
        <w:spacing w:before="0" w:after="120"/>
        <w:jc w:val="both"/>
      </w:pPr>
      <w:r w:rsidRPr="00106F90">
        <w:t xml:space="preserve">The pre-PBAC response (p4) agreed that it is implausible that all patients would persist with either </w:t>
      </w:r>
      <w:proofErr w:type="spellStart"/>
      <w:r w:rsidRPr="00106F90">
        <w:t>cladribine</w:t>
      </w:r>
      <w:proofErr w:type="spellEnd"/>
      <w:r w:rsidRPr="00106F90">
        <w:t xml:space="preserve"> or </w:t>
      </w:r>
      <w:proofErr w:type="spellStart"/>
      <w:r w:rsidRPr="00106F90">
        <w:t>fingolimod</w:t>
      </w:r>
      <w:proofErr w:type="spellEnd"/>
      <w:r w:rsidRPr="00106F90">
        <w:t xml:space="preserve"> over four years. It proposed that any uncertainty in this regard </w:t>
      </w:r>
      <w:proofErr w:type="gramStart"/>
      <w:r w:rsidRPr="00106F90">
        <w:t>could be managed</w:t>
      </w:r>
      <w:proofErr w:type="gramEnd"/>
      <w:r w:rsidRPr="00106F90">
        <w:t xml:space="preserve"> during pricing negotiations and/or the development of a mutually acceptable Risk Share Agreement</w:t>
      </w:r>
      <w:r>
        <w:t xml:space="preserve"> (RSA)</w:t>
      </w:r>
      <w:r w:rsidRPr="00106F90">
        <w:t>.  The PBAC considered that</w:t>
      </w:r>
      <w:r>
        <w:t xml:space="preserve"> it was most appropriate for this</w:t>
      </w:r>
      <w:r w:rsidRPr="00106F90">
        <w:t xml:space="preserve"> </w:t>
      </w:r>
      <w:r>
        <w:t xml:space="preserve">issue to </w:t>
      </w:r>
      <w:proofErr w:type="gramStart"/>
      <w:r>
        <w:t xml:space="preserve">be </w:t>
      </w:r>
      <w:r w:rsidRPr="00106F90">
        <w:t>dealt with</w:t>
      </w:r>
      <w:proofErr w:type="gramEnd"/>
      <w:r w:rsidRPr="00106F90">
        <w:t xml:space="preserve"> in the cost-minimisation analysis</w:t>
      </w:r>
      <w:r>
        <w:t>, particularly in view of the administrative burden of tracking individu</w:t>
      </w:r>
      <w:r w:rsidR="000A4EA9">
        <w:t>al patient’s treatment histories</w:t>
      </w:r>
      <w:r>
        <w:t xml:space="preserve"> through an RSA.</w:t>
      </w:r>
    </w:p>
    <w:p w:rsidR="00837C26" w:rsidRPr="00674858" w:rsidRDefault="00837C26" w:rsidP="00837C26">
      <w:pPr>
        <w:pStyle w:val="Heading2"/>
        <w:rPr>
          <w:i w:val="0"/>
        </w:rPr>
      </w:pPr>
      <w:bookmarkStart w:id="30" w:name="_Toc413139283"/>
      <w:bookmarkStart w:id="31" w:name="_Toc365847465"/>
      <w:r w:rsidRPr="00674858">
        <w:rPr>
          <w:i w:val="0"/>
        </w:rPr>
        <w:t>Drug cost/patient/course</w:t>
      </w:r>
      <w:bookmarkEnd w:id="30"/>
      <w:r w:rsidRPr="00674858">
        <w:rPr>
          <w:i w:val="0"/>
        </w:rPr>
        <w:t xml:space="preserve">: </w:t>
      </w:r>
      <w:r w:rsidR="00E90802">
        <w:rPr>
          <w:i w:val="0"/>
        </w:rPr>
        <w:t>$</w:t>
      </w:r>
      <w:bookmarkEnd w:id="31"/>
      <w:r w:rsidR="00FD3E0B">
        <w:rPr>
          <w:i w:val="0"/>
          <w:noProof/>
          <w:color w:val="000000"/>
          <w:highlight w:val="black"/>
        </w:rPr>
        <w:t>''''''''''''''</w:t>
      </w:r>
      <w:r w:rsidR="00E90802">
        <w:rPr>
          <w:rStyle w:val="FootnoteReference"/>
          <w:rFonts w:ascii="Calibri" w:eastAsia="Calibri" w:hAnsi="Calibri" w:cs="Arial"/>
          <w:i w:val="0"/>
        </w:rPr>
        <w:footnoteReference w:id="1"/>
      </w:r>
      <w:r w:rsidR="00832637" w:rsidRPr="00674858">
        <w:rPr>
          <w:i w:val="0"/>
        </w:rPr>
        <w:t xml:space="preserve"> </w:t>
      </w:r>
      <w:r w:rsidR="00774FA5" w:rsidRPr="00674858">
        <w:rPr>
          <w:i w:val="0"/>
        </w:rPr>
        <w:t>(</w:t>
      </w:r>
      <w:r w:rsidR="00832637" w:rsidRPr="00674858">
        <w:rPr>
          <w:i w:val="0"/>
        </w:rPr>
        <w:t>based on treatment in years 1 and 2, and no treatment in years 3 and 4</w:t>
      </w:r>
      <w:r w:rsidR="00774FA5" w:rsidRPr="00674858">
        <w:rPr>
          <w:i w:val="0"/>
        </w:rPr>
        <w:t>)</w:t>
      </w:r>
    </w:p>
    <w:p w:rsidR="00307D65" w:rsidRPr="00674858" w:rsidRDefault="00233718" w:rsidP="008F5809">
      <w:pPr>
        <w:pStyle w:val="ListParagraph"/>
        <w:numPr>
          <w:ilvl w:val="1"/>
          <w:numId w:val="1"/>
        </w:numPr>
        <w:spacing w:before="0" w:after="120"/>
        <w:jc w:val="both"/>
      </w:pPr>
      <w:r w:rsidRPr="00674858">
        <w:rPr>
          <w:rFonts w:ascii="Calibri" w:eastAsia="Calibri" w:hAnsi="Calibri" w:cs="Arial"/>
        </w:rPr>
        <w:t>The drug cost per patient per cou</w:t>
      </w:r>
      <w:r w:rsidR="00187777">
        <w:rPr>
          <w:rFonts w:ascii="Calibri" w:eastAsia="Calibri" w:hAnsi="Calibri" w:cs="Arial"/>
        </w:rPr>
        <w:t>rse, assuming</w:t>
      </w:r>
      <w:r w:rsidRPr="00233718">
        <w:rPr>
          <w:rFonts w:ascii="Calibri" w:eastAsia="Calibri" w:hAnsi="Calibri" w:cs="Arial"/>
        </w:rPr>
        <w:t xml:space="preserve"> </w:t>
      </w:r>
      <w:r>
        <w:rPr>
          <w:rFonts w:ascii="Calibri" w:eastAsia="Calibri" w:hAnsi="Calibri" w:cs="Arial"/>
        </w:rPr>
        <w:t xml:space="preserve">an average </w:t>
      </w:r>
      <w:r w:rsidR="00187777">
        <w:rPr>
          <w:rFonts w:ascii="Calibri" w:eastAsia="Calibri" w:hAnsi="Calibri" w:cs="Arial"/>
        </w:rPr>
        <w:t xml:space="preserve">requirement </w:t>
      </w:r>
      <w:r>
        <w:rPr>
          <w:rFonts w:ascii="Calibri" w:eastAsia="Calibri" w:hAnsi="Calibri" w:cs="Arial"/>
        </w:rPr>
        <w:t xml:space="preserve">of seven tablets per patient, based on the average weight (76.6kg) of patients in an Australian MS longitudinal study receiving </w:t>
      </w:r>
      <w:proofErr w:type="spellStart"/>
      <w:r>
        <w:rPr>
          <w:rFonts w:ascii="Calibri" w:eastAsia="Calibri" w:hAnsi="Calibri" w:cs="Arial"/>
        </w:rPr>
        <w:t>cladribine</w:t>
      </w:r>
      <w:proofErr w:type="spellEnd"/>
      <w:r w:rsidRPr="00674858">
        <w:rPr>
          <w:rFonts w:ascii="Calibri" w:eastAsia="Calibri" w:hAnsi="Calibri" w:cs="Arial"/>
        </w:rPr>
        <w:t xml:space="preserve"> </w:t>
      </w:r>
      <w:r>
        <w:rPr>
          <w:rFonts w:ascii="Calibri" w:eastAsia="Calibri" w:hAnsi="Calibri" w:cs="Arial"/>
        </w:rPr>
        <w:t xml:space="preserve">and a DPMQ of </w:t>
      </w:r>
      <w:r w:rsidRPr="00233718">
        <w:rPr>
          <w:rFonts w:ascii="Calibri" w:eastAsia="Calibri" w:hAnsi="Calibri" w:cs="Arial"/>
        </w:rPr>
        <w:t>$</w:t>
      </w:r>
      <w:r w:rsidR="00FD3E0B">
        <w:rPr>
          <w:rFonts w:ascii="Calibri" w:eastAsia="Calibri" w:hAnsi="Calibri" w:cs="Arial"/>
          <w:noProof/>
          <w:color w:val="000000"/>
          <w:highlight w:val="black"/>
        </w:rPr>
        <w:t>''''''''''''''</w:t>
      </w:r>
      <w:r>
        <w:rPr>
          <w:rFonts w:ascii="Calibri" w:eastAsia="Calibri" w:hAnsi="Calibri" w:cs="Arial"/>
        </w:rPr>
        <w:t>, is $</w:t>
      </w:r>
      <w:r w:rsidR="00FD3E0B">
        <w:rPr>
          <w:rFonts w:ascii="Calibri" w:eastAsia="Calibri" w:hAnsi="Calibri" w:cs="Arial"/>
          <w:noProof/>
          <w:color w:val="000000"/>
          <w:highlight w:val="black"/>
        </w:rPr>
        <w:t>''''''''''''''</w:t>
      </w:r>
      <w:r>
        <w:rPr>
          <w:rFonts w:ascii="Calibri" w:eastAsia="Calibri" w:hAnsi="Calibri" w:cs="Arial"/>
        </w:rPr>
        <w:t xml:space="preserve">. </w:t>
      </w:r>
      <w:r w:rsidR="00832637" w:rsidRPr="00674858">
        <w:t>This compares with a cost of $</w:t>
      </w:r>
      <w:r w:rsidR="008F5809" w:rsidRPr="008F5809">
        <w:t>114,806.12</w:t>
      </w:r>
      <w:r w:rsidR="00832637" w:rsidRPr="00674858">
        <w:t xml:space="preserve">for </w:t>
      </w:r>
      <w:proofErr w:type="spellStart"/>
      <w:r w:rsidR="00832637" w:rsidRPr="00674858">
        <w:t>fingolimod</w:t>
      </w:r>
      <w:proofErr w:type="spellEnd"/>
      <w:r w:rsidR="00832637" w:rsidRPr="00674858">
        <w:t xml:space="preserve"> (assuming 13 packs per year for four years at a DPMQ of $2,207.81 and 100% compliance), based on published prices.</w:t>
      </w:r>
    </w:p>
    <w:p w:rsidR="00837C26" w:rsidRPr="00EA448D" w:rsidRDefault="00837C26" w:rsidP="00837C26">
      <w:pPr>
        <w:pStyle w:val="Heading2"/>
        <w:rPr>
          <w:i w:val="0"/>
        </w:rPr>
      </w:pPr>
      <w:bookmarkStart w:id="32" w:name="_Toc413139284"/>
      <w:bookmarkStart w:id="33" w:name="_Toc365847466"/>
      <w:r w:rsidRPr="00EA448D">
        <w:rPr>
          <w:i w:val="0"/>
        </w:rPr>
        <w:t>Estimated PBS usage &amp; financial implications</w:t>
      </w:r>
      <w:bookmarkEnd w:id="32"/>
      <w:bookmarkEnd w:id="33"/>
    </w:p>
    <w:p w:rsidR="00556E5C" w:rsidRPr="00EA448D" w:rsidRDefault="00837C26" w:rsidP="00A627FC">
      <w:pPr>
        <w:pStyle w:val="ListParagraph"/>
        <w:numPr>
          <w:ilvl w:val="1"/>
          <w:numId w:val="1"/>
        </w:numPr>
        <w:spacing w:before="0" w:after="120"/>
        <w:jc w:val="both"/>
      </w:pPr>
      <w:r w:rsidRPr="00EA448D">
        <w:t xml:space="preserve">This submission </w:t>
      </w:r>
      <w:proofErr w:type="gramStart"/>
      <w:r w:rsidRPr="00EA448D">
        <w:t>w</w:t>
      </w:r>
      <w:r w:rsidR="00EA448D">
        <w:t>as</w:t>
      </w:r>
      <w:r w:rsidRPr="00EA448D">
        <w:t xml:space="preserve"> </w:t>
      </w:r>
      <w:r w:rsidR="00563093" w:rsidRPr="00EA448D">
        <w:t xml:space="preserve">not </w:t>
      </w:r>
      <w:r w:rsidRPr="00EA448D">
        <w:t>considered</w:t>
      </w:r>
      <w:proofErr w:type="gramEnd"/>
      <w:r w:rsidRPr="00EA448D">
        <w:t xml:space="preserve"> by DUSC. </w:t>
      </w:r>
    </w:p>
    <w:p w:rsidR="00837C26" w:rsidRPr="00EA448D" w:rsidRDefault="00837C26" w:rsidP="00A627FC">
      <w:pPr>
        <w:pStyle w:val="ListParagraph"/>
        <w:numPr>
          <w:ilvl w:val="1"/>
          <w:numId w:val="1"/>
        </w:numPr>
        <w:spacing w:before="0" w:after="120"/>
        <w:jc w:val="both"/>
      </w:pPr>
      <w:r w:rsidRPr="00EA448D">
        <w:t xml:space="preserve">The resubmission </w:t>
      </w:r>
      <w:r w:rsidR="00556E5C" w:rsidRPr="00EA448D">
        <w:t>used</w:t>
      </w:r>
      <w:r w:rsidRPr="00EA448D">
        <w:t xml:space="preserve"> a market </w:t>
      </w:r>
      <w:r w:rsidR="00636AF4" w:rsidRPr="00EA448D">
        <w:t xml:space="preserve">share </w:t>
      </w:r>
      <w:r w:rsidRPr="00EA448D">
        <w:t xml:space="preserve">approach to estimate </w:t>
      </w:r>
      <w:r w:rsidR="00636AF4" w:rsidRPr="00EA448D">
        <w:t xml:space="preserve">the </w:t>
      </w:r>
      <w:r w:rsidRPr="00EA448D">
        <w:t xml:space="preserve">financial impact of listing </w:t>
      </w:r>
      <w:proofErr w:type="spellStart"/>
      <w:r w:rsidRPr="00EA448D">
        <w:t>cladribine</w:t>
      </w:r>
      <w:proofErr w:type="spellEnd"/>
      <w:r w:rsidR="00636AF4" w:rsidRPr="00EA448D">
        <w:t>,</w:t>
      </w:r>
      <w:r w:rsidRPr="00EA448D">
        <w:t xml:space="preserve"> based on utilisation data of oral agents, </w:t>
      </w:r>
      <w:proofErr w:type="spellStart"/>
      <w:r w:rsidRPr="00EA448D">
        <w:t>fingolimod</w:t>
      </w:r>
      <w:proofErr w:type="spellEnd"/>
      <w:r w:rsidRPr="00EA448D">
        <w:t xml:space="preserve">, </w:t>
      </w:r>
      <w:proofErr w:type="spellStart"/>
      <w:r w:rsidRPr="00EA448D">
        <w:t>teriflunomide</w:t>
      </w:r>
      <w:proofErr w:type="spellEnd"/>
      <w:r w:rsidRPr="00EA448D">
        <w:t xml:space="preserve"> </w:t>
      </w:r>
      <w:r w:rsidRPr="00EA448D">
        <w:lastRenderedPageBreak/>
        <w:t>and dimethyl fumarate (DMF).</w:t>
      </w:r>
      <w:r w:rsidR="00556E5C" w:rsidRPr="00EA448D">
        <w:t xml:space="preserve"> Although a market share approach </w:t>
      </w:r>
      <w:proofErr w:type="gramStart"/>
      <w:r w:rsidR="00556E5C" w:rsidRPr="00EA448D">
        <w:t>was considered</w:t>
      </w:r>
      <w:proofErr w:type="gramEnd"/>
      <w:r w:rsidR="00556E5C" w:rsidRPr="00EA448D">
        <w:t xml:space="preserve"> appropriate, limiting the market to only oral RRMS therapies may not </w:t>
      </w:r>
      <w:r w:rsidR="00563093" w:rsidRPr="00EA448D">
        <w:t xml:space="preserve">have been </w:t>
      </w:r>
      <w:r w:rsidR="00556E5C" w:rsidRPr="00EA448D">
        <w:t>appropriate.</w:t>
      </w:r>
      <w:r w:rsidR="00E453A2">
        <w:t xml:space="preserve"> The PBAC considered that</w:t>
      </w:r>
      <w:r w:rsidR="00187777">
        <w:t xml:space="preserve"> the route of administration would not primarily drive decisions for choice of treatment.</w:t>
      </w:r>
      <w:r w:rsidR="00E453A2">
        <w:t xml:space="preserve"> </w:t>
      </w:r>
    </w:p>
    <w:p w:rsidR="00556E5C" w:rsidRPr="00EA448D" w:rsidRDefault="00837C26" w:rsidP="00A627FC">
      <w:pPr>
        <w:pStyle w:val="ListParagraph"/>
        <w:numPr>
          <w:ilvl w:val="1"/>
          <w:numId w:val="1"/>
        </w:numPr>
        <w:spacing w:before="0" w:after="120"/>
        <w:jc w:val="both"/>
      </w:pPr>
      <w:r w:rsidRPr="00EA448D">
        <w:t xml:space="preserve">The resubmission estimated that </w:t>
      </w:r>
      <w:proofErr w:type="spellStart"/>
      <w:r w:rsidRPr="00EA448D">
        <w:t>cladribine</w:t>
      </w:r>
      <w:proofErr w:type="spellEnd"/>
      <w:r w:rsidRPr="00EA448D">
        <w:t xml:space="preserve"> would have a total net cos</w:t>
      </w:r>
      <w:r w:rsidR="00556E5C" w:rsidRPr="00EA448D">
        <w:t xml:space="preserve">t to the PBS/RPBS of </w:t>
      </w:r>
      <w:r w:rsidR="004C1A21">
        <w:t>$30 - $60 million per year</w:t>
      </w:r>
      <w:r w:rsidR="00556E5C" w:rsidRPr="00EA448D">
        <w:t xml:space="preserve"> in Y</w:t>
      </w:r>
      <w:r w:rsidRPr="00EA448D">
        <w:t xml:space="preserve">ear 1 to </w:t>
      </w:r>
      <w:r w:rsidR="004C1A21">
        <w:t>$30 - $60 million per year</w:t>
      </w:r>
      <w:r w:rsidR="004C1A21" w:rsidRPr="00EA448D">
        <w:t xml:space="preserve"> </w:t>
      </w:r>
      <w:r w:rsidRPr="00EA448D">
        <w:t xml:space="preserve">in Year 6 for a total of </w:t>
      </w:r>
      <w:r w:rsidR="002A2B13">
        <w:t>more than $100 million</w:t>
      </w:r>
      <w:r w:rsidRPr="00EA448D">
        <w:t xml:space="preserve"> over the first six years of listing</w:t>
      </w:r>
      <w:r w:rsidR="00556E5C" w:rsidRPr="00EA448D">
        <w:t xml:space="preserve">, </w:t>
      </w:r>
      <w:r w:rsidR="008F0517">
        <w:t xml:space="preserve">as presented in </w:t>
      </w:r>
      <w:r w:rsidR="00556E5C" w:rsidRPr="00EA448D">
        <w:t>Table 7</w:t>
      </w:r>
      <w:r w:rsidRPr="00EA448D">
        <w:t xml:space="preserve">. </w:t>
      </w:r>
    </w:p>
    <w:p w:rsidR="00556E5C" w:rsidRPr="00EA448D" w:rsidRDefault="00556E5C" w:rsidP="00556E5C">
      <w:pPr>
        <w:pStyle w:val="TableHeading0"/>
      </w:pPr>
      <w:r w:rsidRPr="00EA448D">
        <w:t>Table 7: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4"/>
        <w:gridCol w:w="1165"/>
        <w:gridCol w:w="1165"/>
        <w:gridCol w:w="1165"/>
        <w:gridCol w:w="1165"/>
        <w:gridCol w:w="1165"/>
        <w:gridCol w:w="1165"/>
      </w:tblGrid>
      <w:tr w:rsidR="00556E5C" w:rsidRPr="00EA448D" w:rsidTr="002537DA">
        <w:trPr>
          <w:tblHeader/>
        </w:trPr>
        <w:tc>
          <w:tcPr>
            <w:tcW w:w="1118" w:type="pct"/>
            <w:shd w:val="clear" w:color="auto" w:fill="auto"/>
            <w:vAlign w:val="center"/>
          </w:tcPr>
          <w:p w:rsidR="00556E5C" w:rsidRPr="00EA448D" w:rsidRDefault="00556E5C" w:rsidP="002537DA">
            <w:pPr>
              <w:pStyle w:val="TableText"/>
            </w:pPr>
          </w:p>
        </w:tc>
        <w:tc>
          <w:tcPr>
            <w:tcW w:w="647" w:type="pct"/>
            <w:shd w:val="clear" w:color="auto" w:fill="auto"/>
            <w:vAlign w:val="center"/>
          </w:tcPr>
          <w:p w:rsidR="00556E5C" w:rsidRPr="00EA448D" w:rsidRDefault="00556E5C" w:rsidP="002537DA">
            <w:pPr>
              <w:pStyle w:val="TableText"/>
              <w:jc w:val="center"/>
              <w:rPr>
                <w:b/>
              </w:rPr>
            </w:pPr>
            <w:r w:rsidRPr="00EA448D">
              <w:rPr>
                <w:b/>
              </w:rPr>
              <w:t>Year 1</w:t>
            </w:r>
          </w:p>
        </w:tc>
        <w:tc>
          <w:tcPr>
            <w:tcW w:w="647" w:type="pct"/>
            <w:shd w:val="clear" w:color="auto" w:fill="auto"/>
            <w:vAlign w:val="center"/>
          </w:tcPr>
          <w:p w:rsidR="00556E5C" w:rsidRPr="00EA448D" w:rsidRDefault="00556E5C" w:rsidP="002537DA">
            <w:pPr>
              <w:pStyle w:val="TableText"/>
              <w:jc w:val="center"/>
              <w:rPr>
                <w:b/>
              </w:rPr>
            </w:pPr>
            <w:r w:rsidRPr="00EA448D">
              <w:rPr>
                <w:b/>
              </w:rPr>
              <w:t>Year 2</w:t>
            </w:r>
          </w:p>
        </w:tc>
        <w:tc>
          <w:tcPr>
            <w:tcW w:w="647" w:type="pct"/>
            <w:shd w:val="clear" w:color="auto" w:fill="auto"/>
            <w:vAlign w:val="center"/>
          </w:tcPr>
          <w:p w:rsidR="00556E5C" w:rsidRPr="00EA448D" w:rsidRDefault="00556E5C" w:rsidP="002537DA">
            <w:pPr>
              <w:pStyle w:val="TableText"/>
              <w:jc w:val="center"/>
              <w:rPr>
                <w:b/>
              </w:rPr>
            </w:pPr>
            <w:r w:rsidRPr="00EA448D">
              <w:rPr>
                <w:b/>
              </w:rPr>
              <w:t>Year 3</w:t>
            </w:r>
          </w:p>
        </w:tc>
        <w:tc>
          <w:tcPr>
            <w:tcW w:w="647" w:type="pct"/>
            <w:shd w:val="clear" w:color="auto" w:fill="auto"/>
            <w:vAlign w:val="center"/>
          </w:tcPr>
          <w:p w:rsidR="00556E5C" w:rsidRPr="00EA448D" w:rsidRDefault="00556E5C" w:rsidP="002537DA">
            <w:pPr>
              <w:pStyle w:val="TableText"/>
              <w:jc w:val="center"/>
              <w:rPr>
                <w:b/>
              </w:rPr>
            </w:pPr>
            <w:r w:rsidRPr="00EA448D">
              <w:rPr>
                <w:b/>
              </w:rPr>
              <w:t>Year 4</w:t>
            </w:r>
          </w:p>
        </w:tc>
        <w:tc>
          <w:tcPr>
            <w:tcW w:w="647" w:type="pct"/>
            <w:shd w:val="clear" w:color="auto" w:fill="auto"/>
            <w:vAlign w:val="center"/>
          </w:tcPr>
          <w:p w:rsidR="00556E5C" w:rsidRPr="00EA448D" w:rsidRDefault="00556E5C" w:rsidP="002537DA">
            <w:pPr>
              <w:pStyle w:val="TableText"/>
              <w:jc w:val="center"/>
              <w:rPr>
                <w:b/>
              </w:rPr>
            </w:pPr>
            <w:r w:rsidRPr="00EA448D">
              <w:rPr>
                <w:b/>
              </w:rPr>
              <w:t>Year 5</w:t>
            </w:r>
          </w:p>
        </w:tc>
        <w:tc>
          <w:tcPr>
            <w:tcW w:w="647" w:type="pct"/>
          </w:tcPr>
          <w:p w:rsidR="00556E5C" w:rsidRPr="00EA448D" w:rsidRDefault="00556E5C" w:rsidP="002537DA">
            <w:pPr>
              <w:pStyle w:val="TableText"/>
              <w:jc w:val="center"/>
              <w:rPr>
                <w:b/>
              </w:rPr>
            </w:pPr>
            <w:r w:rsidRPr="00EA448D">
              <w:rPr>
                <w:b/>
              </w:rPr>
              <w:t>Year 6</w:t>
            </w:r>
          </w:p>
        </w:tc>
      </w:tr>
      <w:tr w:rsidR="00556E5C" w:rsidRPr="00EA448D" w:rsidTr="002537DA">
        <w:tc>
          <w:tcPr>
            <w:tcW w:w="5000" w:type="pct"/>
            <w:gridSpan w:val="7"/>
            <w:shd w:val="clear" w:color="auto" w:fill="auto"/>
            <w:vAlign w:val="center"/>
          </w:tcPr>
          <w:p w:rsidR="00556E5C" w:rsidRPr="00EA448D" w:rsidRDefault="00556E5C" w:rsidP="002537DA">
            <w:pPr>
              <w:pStyle w:val="TableText"/>
              <w:rPr>
                <w:b/>
                <w:bCs/>
                <w:color w:val="000000"/>
              </w:rPr>
            </w:pPr>
            <w:r w:rsidRPr="00EA448D">
              <w:rPr>
                <w:b/>
                <w:bCs/>
                <w:color w:val="000000"/>
              </w:rPr>
              <w:t>Estimated extent of use</w:t>
            </w:r>
          </w:p>
        </w:tc>
      </w:tr>
      <w:tr w:rsidR="00556E5C" w:rsidRPr="00EA448D" w:rsidTr="002537DA">
        <w:tc>
          <w:tcPr>
            <w:tcW w:w="1118" w:type="pct"/>
            <w:shd w:val="clear" w:color="auto" w:fill="auto"/>
            <w:vAlign w:val="center"/>
          </w:tcPr>
          <w:p w:rsidR="00556E5C" w:rsidRPr="00EA448D" w:rsidRDefault="00556E5C" w:rsidP="002537DA">
            <w:pPr>
              <w:pStyle w:val="TableText"/>
              <w:rPr>
                <w:rFonts w:ascii="Times" w:eastAsia="Times New Roman" w:hAnsi="Times" w:cs="Times New Roman"/>
              </w:rPr>
            </w:pPr>
            <w:r w:rsidRPr="00EA448D">
              <w:t>Number of patients treated</w:t>
            </w:r>
          </w:p>
        </w:tc>
        <w:tc>
          <w:tcPr>
            <w:tcW w:w="647" w:type="pct"/>
            <w:shd w:val="clear" w:color="auto" w:fill="auto"/>
            <w:vAlign w:val="center"/>
          </w:tcPr>
          <w:p w:rsidR="00556E5C" w:rsidRPr="00FD3E0B" w:rsidRDefault="00FD3E0B" w:rsidP="002537DA">
            <w:pPr>
              <w:pStyle w:val="TableText"/>
              <w:jc w:val="center"/>
              <w:rPr>
                <w:bCs/>
                <w:color w:val="000000"/>
                <w:highlight w:val="black"/>
              </w:rPr>
            </w:pPr>
            <w:r>
              <w:rPr>
                <w:rFonts w:eastAsia="Times New Roman" w:cs="Arial"/>
                <w:bCs/>
                <w:noProof/>
                <w:color w:val="000000"/>
                <w:szCs w:val="20"/>
                <w:highlight w:val="black"/>
              </w:rPr>
              <w:t>''''''''''''</w:t>
            </w:r>
          </w:p>
        </w:tc>
        <w:tc>
          <w:tcPr>
            <w:tcW w:w="647" w:type="pct"/>
            <w:shd w:val="clear" w:color="auto" w:fill="auto"/>
            <w:vAlign w:val="center"/>
          </w:tcPr>
          <w:p w:rsidR="00556E5C" w:rsidRPr="00FD3E0B" w:rsidRDefault="00FD3E0B" w:rsidP="002537DA">
            <w:pPr>
              <w:pStyle w:val="TableText"/>
              <w:jc w:val="center"/>
              <w:rPr>
                <w:bCs/>
                <w:color w:val="000000"/>
                <w:highlight w:val="black"/>
              </w:rPr>
            </w:pPr>
            <w:r>
              <w:rPr>
                <w:rFonts w:eastAsia="Times New Roman" w:cs="Arial"/>
                <w:bCs/>
                <w:noProof/>
                <w:color w:val="000000"/>
                <w:szCs w:val="20"/>
                <w:highlight w:val="black"/>
              </w:rPr>
              <w:t>'''''''''''''</w:t>
            </w:r>
          </w:p>
        </w:tc>
        <w:tc>
          <w:tcPr>
            <w:tcW w:w="647" w:type="pct"/>
            <w:shd w:val="clear" w:color="auto" w:fill="auto"/>
            <w:vAlign w:val="center"/>
          </w:tcPr>
          <w:p w:rsidR="00556E5C" w:rsidRPr="00FD3E0B" w:rsidRDefault="00FD3E0B" w:rsidP="002537DA">
            <w:pPr>
              <w:pStyle w:val="TableText"/>
              <w:jc w:val="center"/>
              <w:rPr>
                <w:bCs/>
                <w:color w:val="000000"/>
                <w:highlight w:val="black"/>
              </w:rPr>
            </w:pPr>
            <w:r>
              <w:rPr>
                <w:rFonts w:eastAsia="Times New Roman" w:cs="Arial"/>
                <w:bCs/>
                <w:noProof/>
                <w:color w:val="000000"/>
                <w:szCs w:val="20"/>
                <w:highlight w:val="black"/>
              </w:rPr>
              <w:t>'''''''''''''''</w:t>
            </w:r>
          </w:p>
        </w:tc>
        <w:tc>
          <w:tcPr>
            <w:tcW w:w="647" w:type="pct"/>
            <w:shd w:val="clear" w:color="auto" w:fill="auto"/>
            <w:vAlign w:val="center"/>
          </w:tcPr>
          <w:p w:rsidR="00556E5C" w:rsidRPr="00FD3E0B" w:rsidRDefault="00FD3E0B" w:rsidP="002537DA">
            <w:pPr>
              <w:pStyle w:val="TableText"/>
              <w:jc w:val="center"/>
              <w:rPr>
                <w:bCs/>
                <w:color w:val="000000"/>
                <w:highlight w:val="black"/>
              </w:rPr>
            </w:pPr>
            <w:r>
              <w:rPr>
                <w:rFonts w:eastAsia="Times New Roman" w:cs="Arial"/>
                <w:bCs/>
                <w:noProof/>
                <w:color w:val="000000"/>
                <w:szCs w:val="20"/>
                <w:highlight w:val="black"/>
              </w:rPr>
              <w:t>''''''''''''</w:t>
            </w:r>
          </w:p>
        </w:tc>
        <w:tc>
          <w:tcPr>
            <w:tcW w:w="647" w:type="pct"/>
            <w:shd w:val="clear" w:color="auto" w:fill="auto"/>
            <w:vAlign w:val="center"/>
          </w:tcPr>
          <w:p w:rsidR="00556E5C" w:rsidRPr="00FD3E0B" w:rsidRDefault="00FD3E0B" w:rsidP="002537DA">
            <w:pPr>
              <w:pStyle w:val="TableText"/>
              <w:jc w:val="center"/>
              <w:rPr>
                <w:bCs/>
                <w:color w:val="000000"/>
                <w:highlight w:val="black"/>
              </w:rPr>
            </w:pPr>
            <w:r>
              <w:rPr>
                <w:rFonts w:eastAsia="Times New Roman" w:cs="Arial"/>
                <w:bCs/>
                <w:noProof/>
                <w:color w:val="000000"/>
                <w:szCs w:val="20"/>
                <w:highlight w:val="black"/>
              </w:rPr>
              <w:t>'''''''''''''</w:t>
            </w:r>
          </w:p>
        </w:tc>
        <w:tc>
          <w:tcPr>
            <w:tcW w:w="647" w:type="pct"/>
            <w:vAlign w:val="center"/>
          </w:tcPr>
          <w:p w:rsidR="00556E5C" w:rsidRPr="00FD3E0B" w:rsidRDefault="00FD3E0B" w:rsidP="002537DA">
            <w:pPr>
              <w:pStyle w:val="TableText"/>
              <w:jc w:val="center"/>
              <w:rPr>
                <w:bCs/>
                <w:color w:val="000000"/>
                <w:highlight w:val="black"/>
              </w:rPr>
            </w:pPr>
            <w:r>
              <w:rPr>
                <w:rFonts w:eastAsia="Times New Roman" w:cs="Arial"/>
                <w:bCs/>
                <w:noProof/>
                <w:color w:val="000000"/>
                <w:szCs w:val="20"/>
                <w:highlight w:val="black"/>
              </w:rPr>
              <w:t>'''''''''''''</w:t>
            </w:r>
          </w:p>
        </w:tc>
      </w:tr>
      <w:tr w:rsidR="00556E5C" w:rsidRPr="00EA448D" w:rsidTr="002537DA">
        <w:tc>
          <w:tcPr>
            <w:tcW w:w="1118" w:type="pct"/>
            <w:shd w:val="clear" w:color="auto" w:fill="auto"/>
            <w:vAlign w:val="center"/>
          </w:tcPr>
          <w:p w:rsidR="00556E5C" w:rsidRPr="00EA448D" w:rsidRDefault="00556E5C" w:rsidP="002537DA">
            <w:pPr>
              <w:pStyle w:val="TableText"/>
              <w:rPr>
                <w:rFonts w:ascii="Times" w:eastAsia="Times New Roman" w:hAnsi="Times" w:cs="Times New Roman"/>
              </w:rPr>
            </w:pPr>
            <w:r w:rsidRPr="00EA448D">
              <w:t xml:space="preserve">Number of scripts </w:t>
            </w:r>
            <w:proofErr w:type="spellStart"/>
            <w:r w:rsidRPr="00EA448D">
              <w:t>dispensed</w:t>
            </w:r>
            <w:r w:rsidRPr="00EA448D">
              <w:rPr>
                <w:vertAlign w:val="superscript"/>
              </w:rPr>
              <w:t>a</w:t>
            </w:r>
            <w:proofErr w:type="spellEnd"/>
          </w:p>
        </w:tc>
        <w:tc>
          <w:tcPr>
            <w:tcW w:w="647" w:type="pct"/>
            <w:shd w:val="clear" w:color="auto" w:fill="auto"/>
            <w:vAlign w:val="center"/>
          </w:tcPr>
          <w:p w:rsidR="00556E5C" w:rsidRPr="00FD3E0B" w:rsidRDefault="00FD3E0B" w:rsidP="002537DA">
            <w:pPr>
              <w:pStyle w:val="TableText"/>
              <w:jc w:val="center"/>
              <w:rPr>
                <w:bCs/>
                <w:szCs w:val="20"/>
                <w:highlight w:val="black"/>
              </w:rPr>
            </w:pPr>
            <w:r>
              <w:rPr>
                <w:rFonts w:eastAsia="Times New Roman" w:cs="Arial"/>
                <w:noProof/>
                <w:color w:val="000000"/>
                <w:szCs w:val="20"/>
                <w:highlight w:val="black"/>
              </w:rPr>
              <w:t>''''''''''''</w:t>
            </w:r>
          </w:p>
        </w:tc>
        <w:tc>
          <w:tcPr>
            <w:tcW w:w="647" w:type="pct"/>
            <w:shd w:val="clear" w:color="auto" w:fill="auto"/>
            <w:vAlign w:val="center"/>
          </w:tcPr>
          <w:p w:rsidR="00556E5C" w:rsidRPr="00FD3E0B" w:rsidRDefault="00FD3E0B" w:rsidP="002537DA">
            <w:pPr>
              <w:pStyle w:val="TableText"/>
              <w:jc w:val="center"/>
              <w:rPr>
                <w:bCs/>
                <w:szCs w:val="20"/>
                <w:highlight w:val="black"/>
              </w:rPr>
            </w:pPr>
            <w:r>
              <w:rPr>
                <w:rFonts w:eastAsia="Times New Roman" w:cs="Arial"/>
                <w:noProof/>
                <w:color w:val="000000"/>
                <w:szCs w:val="20"/>
                <w:highlight w:val="black"/>
              </w:rPr>
              <w:t>'''''''''''''</w:t>
            </w:r>
          </w:p>
        </w:tc>
        <w:tc>
          <w:tcPr>
            <w:tcW w:w="647" w:type="pct"/>
            <w:shd w:val="clear" w:color="auto" w:fill="auto"/>
            <w:vAlign w:val="center"/>
          </w:tcPr>
          <w:p w:rsidR="00556E5C" w:rsidRPr="00FD3E0B" w:rsidRDefault="00FD3E0B" w:rsidP="002537DA">
            <w:pPr>
              <w:pStyle w:val="TableText"/>
              <w:jc w:val="center"/>
              <w:rPr>
                <w:bCs/>
                <w:szCs w:val="20"/>
                <w:highlight w:val="black"/>
              </w:rPr>
            </w:pPr>
            <w:r>
              <w:rPr>
                <w:rFonts w:eastAsia="Times New Roman" w:cs="Arial"/>
                <w:noProof/>
                <w:color w:val="000000"/>
                <w:szCs w:val="20"/>
                <w:highlight w:val="black"/>
              </w:rPr>
              <w:t>'''''''''''''''</w:t>
            </w:r>
          </w:p>
        </w:tc>
        <w:tc>
          <w:tcPr>
            <w:tcW w:w="647" w:type="pct"/>
            <w:shd w:val="clear" w:color="auto" w:fill="auto"/>
            <w:vAlign w:val="center"/>
          </w:tcPr>
          <w:p w:rsidR="00556E5C" w:rsidRPr="00FD3E0B" w:rsidRDefault="00FD3E0B" w:rsidP="002537DA">
            <w:pPr>
              <w:pStyle w:val="TableText"/>
              <w:jc w:val="center"/>
              <w:rPr>
                <w:bCs/>
                <w:szCs w:val="20"/>
                <w:highlight w:val="black"/>
              </w:rPr>
            </w:pPr>
            <w:r>
              <w:rPr>
                <w:rFonts w:eastAsia="Times New Roman" w:cs="Arial"/>
                <w:noProof/>
                <w:color w:val="000000"/>
                <w:szCs w:val="20"/>
                <w:highlight w:val="black"/>
              </w:rPr>
              <w:t>''''''''''''''</w:t>
            </w:r>
          </w:p>
        </w:tc>
        <w:tc>
          <w:tcPr>
            <w:tcW w:w="647" w:type="pct"/>
            <w:shd w:val="clear" w:color="auto" w:fill="auto"/>
            <w:vAlign w:val="center"/>
          </w:tcPr>
          <w:p w:rsidR="00556E5C" w:rsidRPr="00FD3E0B" w:rsidRDefault="00FD3E0B" w:rsidP="002537DA">
            <w:pPr>
              <w:pStyle w:val="TableText"/>
              <w:jc w:val="center"/>
              <w:rPr>
                <w:bCs/>
                <w:szCs w:val="20"/>
                <w:highlight w:val="black"/>
              </w:rPr>
            </w:pPr>
            <w:r>
              <w:rPr>
                <w:rFonts w:eastAsia="Times New Roman" w:cs="Arial"/>
                <w:noProof/>
                <w:color w:val="000000"/>
                <w:szCs w:val="20"/>
                <w:highlight w:val="black"/>
              </w:rPr>
              <w:t>'''''''''''''</w:t>
            </w:r>
          </w:p>
        </w:tc>
        <w:tc>
          <w:tcPr>
            <w:tcW w:w="647" w:type="pct"/>
            <w:vAlign w:val="center"/>
          </w:tcPr>
          <w:p w:rsidR="00556E5C" w:rsidRPr="00FD3E0B" w:rsidRDefault="00FD3E0B" w:rsidP="002537DA">
            <w:pPr>
              <w:pStyle w:val="TableText"/>
              <w:jc w:val="center"/>
              <w:rPr>
                <w:bCs/>
                <w:szCs w:val="20"/>
                <w:highlight w:val="black"/>
              </w:rPr>
            </w:pPr>
            <w:r>
              <w:rPr>
                <w:rFonts w:eastAsia="Times New Roman" w:cs="Arial"/>
                <w:noProof/>
                <w:color w:val="000000"/>
                <w:szCs w:val="20"/>
                <w:highlight w:val="black"/>
              </w:rPr>
              <w:t>''''''''''''''</w:t>
            </w:r>
          </w:p>
        </w:tc>
      </w:tr>
      <w:tr w:rsidR="00556E5C" w:rsidRPr="00EA448D" w:rsidTr="002537DA">
        <w:tc>
          <w:tcPr>
            <w:tcW w:w="5000" w:type="pct"/>
            <w:gridSpan w:val="7"/>
            <w:shd w:val="clear" w:color="auto" w:fill="auto"/>
            <w:vAlign w:val="center"/>
          </w:tcPr>
          <w:p w:rsidR="00556E5C" w:rsidRPr="00EA448D" w:rsidRDefault="00556E5C" w:rsidP="002537DA">
            <w:pPr>
              <w:pStyle w:val="TableText"/>
              <w:rPr>
                <w:b/>
                <w:bCs/>
                <w:color w:val="000000"/>
              </w:rPr>
            </w:pPr>
            <w:r w:rsidRPr="00EA448D">
              <w:rPr>
                <w:b/>
                <w:bCs/>
                <w:color w:val="000000"/>
              </w:rPr>
              <w:t xml:space="preserve">Estimated financial implications of </w:t>
            </w:r>
            <w:proofErr w:type="spellStart"/>
            <w:r w:rsidRPr="00EA448D">
              <w:rPr>
                <w:b/>
                <w:bCs/>
                <w:color w:val="000000"/>
              </w:rPr>
              <w:t>cladribine</w:t>
            </w:r>
            <w:proofErr w:type="spellEnd"/>
          </w:p>
        </w:tc>
      </w:tr>
      <w:tr w:rsidR="00556E5C" w:rsidRPr="00EA448D" w:rsidTr="002537DA">
        <w:tc>
          <w:tcPr>
            <w:tcW w:w="1118" w:type="pct"/>
            <w:shd w:val="clear" w:color="auto" w:fill="auto"/>
            <w:vAlign w:val="center"/>
          </w:tcPr>
          <w:p w:rsidR="00556E5C" w:rsidRPr="00EA448D" w:rsidRDefault="00556E5C" w:rsidP="002537DA">
            <w:pPr>
              <w:pStyle w:val="TableText"/>
              <w:rPr>
                <w:rFonts w:ascii="Times" w:eastAsia="Times New Roman" w:hAnsi="Times" w:cs="Times New Roman"/>
              </w:rPr>
            </w:pPr>
            <w:r w:rsidRPr="00EA448D">
              <w:rPr>
                <w:sz w:val="19"/>
                <w:szCs w:val="19"/>
              </w:rPr>
              <w:t>Cost to PBS</w:t>
            </w:r>
          </w:p>
        </w:tc>
        <w:tc>
          <w:tcPr>
            <w:tcW w:w="647" w:type="pct"/>
            <w:shd w:val="clear" w:color="auto" w:fill="auto"/>
            <w:vAlign w:val="center"/>
          </w:tcPr>
          <w:p w:rsidR="00556E5C" w:rsidRPr="00FD3E0B" w:rsidRDefault="00FD3E0B" w:rsidP="002537DA">
            <w:pPr>
              <w:pStyle w:val="TableText"/>
              <w:jc w:val="center"/>
              <w:rPr>
                <w:bCs/>
                <w:color w:val="000000"/>
                <w:szCs w:val="20"/>
                <w:highlight w:val="black"/>
              </w:rPr>
            </w:pPr>
            <w:r>
              <w:rPr>
                <w:rFonts w:eastAsia="Times New Roman" w:cs="Arial"/>
                <w:noProof/>
                <w:color w:val="000000"/>
                <w:szCs w:val="20"/>
                <w:highlight w:val="black"/>
              </w:rPr>
              <w:t>''''''''''''''''''''''''''''</w:t>
            </w:r>
          </w:p>
        </w:tc>
        <w:tc>
          <w:tcPr>
            <w:tcW w:w="647" w:type="pct"/>
            <w:shd w:val="clear" w:color="auto" w:fill="auto"/>
            <w:vAlign w:val="center"/>
          </w:tcPr>
          <w:p w:rsidR="00556E5C" w:rsidRPr="00FD3E0B" w:rsidRDefault="00FD3E0B" w:rsidP="002537DA">
            <w:pPr>
              <w:pStyle w:val="TableText"/>
              <w:jc w:val="center"/>
              <w:rPr>
                <w:bCs/>
                <w:color w:val="000000"/>
                <w:szCs w:val="20"/>
                <w:highlight w:val="black"/>
              </w:rPr>
            </w:pPr>
            <w:r>
              <w:rPr>
                <w:rFonts w:eastAsia="Times New Roman" w:cs="Arial"/>
                <w:noProof/>
                <w:color w:val="000000"/>
                <w:szCs w:val="20"/>
                <w:highlight w:val="black"/>
              </w:rPr>
              <w:t>'''''''''''''''''''''''''''''</w:t>
            </w:r>
          </w:p>
        </w:tc>
        <w:tc>
          <w:tcPr>
            <w:tcW w:w="647" w:type="pct"/>
            <w:shd w:val="clear" w:color="auto" w:fill="auto"/>
            <w:vAlign w:val="center"/>
          </w:tcPr>
          <w:p w:rsidR="00556E5C" w:rsidRPr="00FD3E0B" w:rsidRDefault="00FD3E0B" w:rsidP="002537DA">
            <w:pPr>
              <w:pStyle w:val="TableText"/>
              <w:jc w:val="center"/>
              <w:rPr>
                <w:bCs/>
                <w:color w:val="000000"/>
                <w:szCs w:val="20"/>
                <w:highlight w:val="black"/>
              </w:rPr>
            </w:pPr>
            <w:r>
              <w:rPr>
                <w:rFonts w:eastAsia="Times New Roman" w:cs="Arial"/>
                <w:noProof/>
                <w:color w:val="000000"/>
                <w:szCs w:val="20"/>
                <w:highlight w:val="black"/>
              </w:rPr>
              <w:t>''''''''''''''''''''''''''''''''''</w:t>
            </w:r>
          </w:p>
        </w:tc>
        <w:tc>
          <w:tcPr>
            <w:tcW w:w="647" w:type="pct"/>
            <w:shd w:val="clear" w:color="auto" w:fill="auto"/>
            <w:vAlign w:val="center"/>
          </w:tcPr>
          <w:p w:rsidR="00556E5C" w:rsidRPr="00FD3E0B" w:rsidRDefault="00FD3E0B" w:rsidP="002537DA">
            <w:pPr>
              <w:pStyle w:val="TableText"/>
              <w:jc w:val="center"/>
              <w:rPr>
                <w:bCs/>
                <w:color w:val="000000"/>
                <w:szCs w:val="20"/>
                <w:highlight w:val="black"/>
              </w:rPr>
            </w:pPr>
            <w:r>
              <w:rPr>
                <w:rFonts w:eastAsia="Times New Roman" w:cs="Arial"/>
                <w:noProof/>
                <w:color w:val="000000"/>
                <w:szCs w:val="20"/>
                <w:highlight w:val="black"/>
              </w:rPr>
              <w:t>''''''''''''''''''''''''''''''''</w:t>
            </w:r>
          </w:p>
        </w:tc>
        <w:tc>
          <w:tcPr>
            <w:tcW w:w="647" w:type="pct"/>
            <w:shd w:val="clear" w:color="auto" w:fill="auto"/>
            <w:vAlign w:val="center"/>
          </w:tcPr>
          <w:p w:rsidR="00556E5C" w:rsidRPr="00FD3E0B" w:rsidRDefault="00FD3E0B" w:rsidP="002537DA">
            <w:pPr>
              <w:pStyle w:val="TableText"/>
              <w:jc w:val="center"/>
              <w:rPr>
                <w:bCs/>
                <w:color w:val="000000"/>
                <w:szCs w:val="20"/>
                <w:highlight w:val="black"/>
              </w:rPr>
            </w:pPr>
            <w:r>
              <w:rPr>
                <w:rFonts w:eastAsia="Times New Roman" w:cs="Arial"/>
                <w:noProof/>
                <w:color w:val="000000"/>
                <w:szCs w:val="20"/>
                <w:highlight w:val="black"/>
              </w:rPr>
              <w:t>'''''''''''''''''''''''''''''</w:t>
            </w:r>
          </w:p>
        </w:tc>
        <w:tc>
          <w:tcPr>
            <w:tcW w:w="647" w:type="pct"/>
            <w:vAlign w:val="center"/>
          </w:tcPr>
          <w:p w:rsidR="00556E5C" w:rsidRPr="00FD3E0B" w:rsidRDefault="00FD3E0B" w:rsidP="002537DA">
            <w:pPr>
              <w:pStyle w:val="TableText"/>
              <w:jc w:val="center"/>
              <w:rPr>
                <w:bCs/>
                <w:color w:val="000000"/>
                <w:szCs w:val="20"/>
                <w:highlight w:val="black"/>
              </w:rPr>
            </w:pPr>
            <w:r>
              <w:rPr>
                <w:rFonts w:eastAsia="Times New Roman" w:cs="Arial"/>
                <w:noProof/>
                <w:color w:val="000000"/>
                <w:szCs w:val="20"/>
                <w:highlight w:val="black"/>
              </w:rPr>
              <w:t>'''''''''''''''''''''''''''''''</w:t>
            </w:r>
          </w:p>
        </w:tc>
      </w:tr>
      <w:tr w:rsidR="00556E5C" w:rsidRPr="00EA448D" w:rsidTr="002537DA">
        <w:tc>
          <w:tcPr>
            <w:tcW w:w="1118" w:type="pct"/>
            <w:shd w:val="clear" w:color="auto" w:fill="auto"/>
            <w:vAlign w:val="center"/>
          </w:tcPr>
          <w:p w:rsidR="00556E5C" w:rsidRPr="00EA448D" w:rsidRDefault="00556E5C" w:rsidP="002537DA">
            <w:pPr>
              <w:pStyle w:val="TableText"/>
              <w:rPr>
                <w:sz w:val="19"/>
                <w:szCs w:val="19"/>
              </w:rPr>
            </w:pPr>
            <w:proofErr w:type="spellStart"/>
            <w:r w:rsidRPr="00EA448D">
              <w:rPr>
                <w:sz w:val="19"/>
                <w:szCs w:val="19"/>
              </w:rPr>
              <w:t>Copayments</w:t>
            </w:r>
            <w:proofErr w:type="spellEnd"/>
          </w:p>
        </w:tc>
        <w:tc>
          <w:tcPr>
            <w:tcW w:w="647" w:type="pct"/>
            <w:shd w:val="clear" w:color="auto" w:fill="auto"/>
            <w:vAlign w:val="center"/>
          </w:tcPr>
          <w:p w:rsidR="00556E5C" w:rsidRPr="00FD3E0B" w:rsidRDefault="00FD3E0B" w:rsidP="002537DA">
            <w:pPr>
              <w:pStyle w:val="TableText"/>
              <w:jc w:val="center"/>
              <w:rPr>
                <w:bCs/>
                <w:color w:val="000000"/>
                <w:szCs w:val="20"/>
                <w:highlight w:val="black"/>
              </w:rPr>
            </w:pPr>
            <w:r>
              <w:rPr>
                <w:rFonts w:eastAsia="Times New Roman" w:cs="Arial"/>
                <w:noProof/>
                <w:color w:val="000000"/>
                <w:szCs w:val="20"/>
                <w:highlight w:val="black"/>
              </w:rPr>
              <w:t>'''''''''''''''''''''</w:t>
            </w:r>
          </w:p>
        </w:tc>
        <w:tc>
          <w:tcPr>
            <w:tcW w:w="647" w:type="pct"/>
            <w:shd w:val="clear" w:color="auto" w:fill="auto"/>
            <w:vAlign w:val="center"/>
          </w:tcPr>
          <w:p w:rsidR="00556E5C" w:rsidRPr="00FD3E0B" w:rsidRDefault="00FD3E0B" w:rsidP="002537DA">
            <w:pPr>
              <w:pStyle w:val="TableText"/>
              <w:jc w:val="center"/>
              <w:rPr>
                <w:bCs/>
                <w:color w:val="000000"/>
                <w:szCs w:val="20"/>
                <w:highlight w:val="black"/>
              </w:rPr>
            </w:pPr>
            <w:r>
              <w:rPr>
                <w:rFonts w:eastAsia="Times New Roman" w:cs="Arial"/>
                <w:noProof/>
                <w:color w:val="000000"/>
                <w:szCs w:val="20"/>
                <w:highlight w:val="black"/>
              </w:rPr>
              <w:t>''''''''''''''''''''</w:t>
            </w:r>
          </w:p>
        </w:tc>
        <w:tc>
          <w:tcPr>
            <w:tcW w:w="647" w:type="pct"/>
            <w:shd w:val="clear" w:color="auto" w:fill="auto"/>
            <w:vAlign w:val="center"/>
          </w:tcPr>
          <w:p w:rsidR="00556E5C" w:rsidRPr="00FD3E0B" w:rsidRDefault="00FD3E0B" w:rsidP="002537DA">
            <w:pPr>
              <w:pStyle w:val="TableText"/>
              <w:jc w:val="center"/>
              <w:rPr>
                <w:bCs/>
                <w:color w:val="000000"/>
                <w:szCs w:val="20"/>
                <w:highlight w:val="black"/>
              </w:rPr>
            </w:pPr>
            <w:r>
              <w:rPr>
                <w:rFonts w:eastAsia="Times New Roman" w:cs="Arial"/>
                <w:noProof/>
                <w:color w:val="000000"/>
                <w:szCs w:val="20"/>
                <w:highlight w:val="black"/>
              </w:rPr>
              <w:t>'''''''''''''''''''''''</w:t>
            </w:r>
          </w:p>
        </w:tc>
        <w:tc>
          <w:tcPr>
            <w:tcW w:w="647" w:type="pct"/>
            <w:shd w:val="clear" w:color="auto" w:fill="auto"/>
            <w:vAlign w:val="center"/>
          </w:tcPr>
          <w:p w:rsidR="00556E5C" w:rsidRPr="00FD3E0B" w:rsidRDefault="00FD3E0B" w:rsidP="002537DA">
            <w:pPr>
              <w:pStyle w:val="TableText"/>
              <w:jc w:val="center"/>
              <w:rPr>
                <w:bCs/>
                <w:color w:val="000000"/>
                <w:szCs w:val="20"/>
                <w:highlight w:val="black"/>
              </w:rPr>
            </w:pPr>
            <w:r>
              <w:rPr>
                <w:rFonts w:eastAsia="Times New Roman" w:cs="Arial"/>
                <w:noProof/>
                <w:color w:val="000000"/>
                <w:szCs w:val="20"/>
                <w:highlight w:val="black"/>
              </w:rPr>
              <w:t>'''''''''''''''''''</w:t>
            </w:r>
          </w:p>
        </w:tc>
        <w:tc>
          <w:tcPr>
            <w:tcW w:w="647" w:type="pct"/>
            <w:shd w:val="clear" w:color="auto" w:fill="auto"/>
            <w:vAlign w:val="center"/>
          </w:tcPr>
          <w:p w:rsidR="00556E5C" w:rsidRPr="00FD3E0B" w:rsidRDefault="00FD3E0B" w:rsidP="002537DA">
            <w:pPr>
              <w:pStyle w:val="TableText"/>
              <w:jc w:val="center"/>
              <w:rPr>
                <w:bCs/>
                <w:color w:val="000000"/>
                <w:szCs w:val="20"/>
                <w:highlight w:val="black"/>
              </w:rPr>
            </w:pPr>
            <w:r>
              <w:rPr>
                <w:rFonts w:eastAsia="Times New Roman" w:cs="Arial"/>
                <w:noProof/>
                <w:color w:val="000000"/>
                <w:szCs w:val="20"/>
                <w:highlight w:val="black"/>
              </w:rPr>
              <w:t>''''''''''''''''''</w:t>
            </w:r>
          </w:p>
        </w:tc>
        <w:tc>
          <w:tcPr>
            <w:tcW w:w="647" w:type="pct"/>
            <w:vAlign w:val="center"/>
          </w:tcPr>
          <w:p w:rsidR="00556E5C" w:rsidRPr="00FD3E0B" w:rsidRDefault="00FD3E0B" w:rsidP="002537DA">
            <w:pPr>
              <w:pStyle w:val="TableText"/>
              <w:jc w:val="center"/>
              <w:rPr>
                <w:bCs/>
                <w:color w:val="000000"/>
                <w:szCs w:val="20"/>
                <w:highlight w:val="black"/>
              </w:rPr>
            </w:pPr>
            <w:r>
              <w:rPr>
                <w:rFonts w:eastAsia="Times New Roman" w:cs="Arial"/>
                <w:noProof/>
                <w:color w:val="000000"/>
                <w:szCs w:val="20"/>
                <w:highlight w:val="black"/>
              </w:rPr>
              <w:t>'''''''''''''''''''''</w:t>
            </w:r>
          </w:p>
        </w:tc>
      </w:tr>
      <w:tr w:rsidR="00556E5C" w:rsidRPr="00EA448D" w:rsidTr="002537DA">
        <w:tc>
          <w:tcPr>
            <w:tcW w:w="1118" w:type="pct"/>
            <w:shd w:val="clear" w:color="auto" w:fill="auto"/>
            <w:vAlign w:val="center"/>
          </w:tcPr>
          <w:p w:rsidR="00556E5C" w:rsidRPr="00EA448D" w:rsidRDefault="00556E5C" w:rsidP="002537DA">
            <w:pPr>
              <w:pStyle w:val="TableText"/>
              <w:rPr>
                <w:sz w:val="19"/>
                <w:szCs w:val="19"/>
              </w:rPr>
            </w:pPr>
            <w:r w:rsidRPr="00EA448D">
              <w:rPr>
                <w:sz w:val="19"/>
                <w:szCs w:val="19"/>
              </w:rPr>
              <w:t xml:space="preserve">Cost to PBS less </w:t>
            </w:r>
            <w:proofErr w:type="spellStart"/>
            <w:r w:rsidRPr="00EA448D">
              <w:rPr>
                <w:sz w:val="19"/>
                <w:szCs w:val="19"/>
              </w:rPr>
              <w:t>copayments</w:t>
            </w:r>
            <w:proofErr w:type="spellEnd"/>
          </w:p>
        </w:tc>
        <w:tc>
          <w:tcPr>
            <w:tcW w:w="647" w:type="pct"/>
            <w:shd w:val="clear" w:color="auto" w:fill="auto"/>
            <w:vAlign w:val="center"/>
          </w:tcPr>
          <w:p w:rsidR="00556E5C" w:rsidRPr="00FD3E0B" w:rsidRDefault="00FD3E0B" w:rsidP="002537DA">
            <w:pPr>
              <w:pStyle w:val="TableText"/>
              <w:jc w:val="center"/>
              <w:rPr>
                <w:bCs/>
                <w:color w:val="000000"/>
                <w:szCs w:val="20"/>
                <w:highlight w:val="black"/>
              </w:rPr>
            </w:pPr>
            <w:r>
              <w:rPr>
                <w:rFonts w:eastAsia="Times New Roman" w:cs="Arial"/>
                <w:noProof/>
                <w:color w:val="000000"/>
                <w:szCs w:val="20"/>
                <w:highlight w:val="black"/>
              </w:rPr>
              <w:t>''''''''''''''''''''''''''''''</w:t>
            </w:r>
          </w:p>
        </w:tc>
        <w:tc>
          <w:tcPr>
            <w:tcW w:w="647" w:type="pct"/>
            <w:shd w:val="clear" w:color="auto" w:fill="auto"/>
            <w:vAlign w:val="center"/>
          </w:tcPr>
          <w:p w:rsidR="00556E5C" w:rsidRPr="00FD3E0B" w:rsidRDefault="00FD3E0B" w:rsidP="002537DA">
            <w:pPr>
              <w:pStyle w:val="TableText"/>
              <w:jc w:val="center"/>
              <w:rPr>
                <w:bCs/>
                <w:color w:val="000000"/>
                <w:szCs w:val="20"/>
                <w:highlight w:val="black"/>
              </w:rPr>
            </w:pPr>
            <w:r>
              <w:rPr>
                <w:rFonts w:eastAsia="Times New Roman" w:cs="Arial"/>
                <w:noProof/>
                <w:color w:val="000000"/>
                <w:szCs w:val="20"/>
                <w:highlight w:val="black"/>
              </w:rPr>
              <w:t>''''''''''''''''''''''''''''''''''</w:t>
            </w:r>
          </w:p>
        </w:tc>
        <w:tc>
          <w:tcPr>
            <w:tcW w:w="647" w:type="pct"/>
            <w:shd w:val="clear" w:color="auto" w:fill="auto"/>
            <w:vAlign w:val="center"/>
          </w:tcPr>
          <w:p w:rsidR="00556E5C" w:rsidRPr="00FD3E0B" w:rsidRDefault="00FD3E0B" w:rsidP="002537DA">
            <w:pPr>
              <w:pStyle w:val="TableText"/>
              <w:jc w:val="center"/>
              <w:rPr>
                <w:bCs/>
                <w:color w:val="000000"/>
                <w:szCs w:val="20"/>
                <w:highlight w:val="black"/>
              </w:rPr>
            </w:pPr>
            <w:r>
              <w:rPr>
                <w:rFonts w:eastAsia="Times New Roman" w:cs="Arial"/>
                <w:noProof/>
                <w:color w:val="000000"/>
                <w:szCs w:val="20"/>
                <w:highlight w:val="black"/>
              </w:rPr>
              <w:t>''''''''''''''''''''''''''''''''</w:t>
            </w:r>
          </w:p>
        </w:tc>
        <w:tc>
          <w:tcPr>
            <w:tcW w:w="647" w:type="pct"/>
            <w:shd w:val="clear" w:color="auto" w:fill="auto"/>
            <w:vAlign w:val="center"/>
          </w:tcPr>
          <w:p w:rsidR="00556E5C" w:rsidRPr="00FD3E0B" w:rsidRDefault="00FD3E0B" w:rsidP="002537DA">
            <w:pPr>
              <w:pStyle w:val="TableText"/>
              <w:jc w:val="center"/>
              <w:rPr>
                <w:bCs/>
                <w:color w:val="000000"/>
                <w:szCs w:val="20"/>
                <w:highlight w:val="black"/>
              </w:rPr>
            </w:pPr>
            <w:r>
              <w:rPr>
                <w:rFonts w:eastAsia="Times New Roman" w:cs="Arial"/>
                <w:noProof/>
                <w:color w:val="000000"/>
                <w:szCs w:val="20"/>
                <w:highlight w:val="black"/>
              </w:rPr>
              <w:t>''''''''''''''''''''''''''''</w:t>
            </w:r>
          </w:p>
        </w:tc>
        <w:tc>
          <w:tcPr>
            <w:tcW w:w="647" w:type="pct"/>
            <w:shd w:val="clear" w:color="auto" w:fill="auto"/>
            <w:vAlign w:val="center"/>
          </w:tcPr>
          <w:p w:rsidR="00556E5C" w:rsidRPr="00FD3E0B" w:rsidRDefault="00FD3E0B" w:rsidP="002537DA">
            <w:pPr>
              <w:pStyle w:val="TableText"/>
              <w:jc w:val="center"/>
              <w:rPr>
                <w:bCs/>
                <w:color w:val="000000"/>
                <w:szCs w:val="20"/>
                <w:highlight w:val="black"/>
              </w:rPr>
            </w:pPr>
            <w:r>
              <w:rPr>
                <w:rFonts w:eastAsia="Times New Roman" w:cs="Arial"/>
                <w:noProof/>
                <w:color w:val="000000"/>
                <w:szCs w:val="20"/>
                <w:highlight w:val="black"/>
              </w:rPr>
              <w:t>''''''''''''''''''''''''''''''''</w:t>
            </w:r>
          </w:p>
        </w:tc>
        <w:tc>
          <w:tcPr>
            <w:tcW w:w="647" w:type="pct"/>
            <w:vAlign w:val="center"/>
          </w:tcPr>
          <w:p w:rsidR="00556E5C" w:rsidRPr="00FD3E0B" w:rsidRDefault="00FD3E0B" w:rsidP="002537DA">
            <w:pPr>
              <w:pStyle w:val="TableText"/>
              <w:jc w:val="center"/>
              <w:rPr>
                <w:bCs/>
                <w:color w:val="000000"/>
                <w:szCs w:val="20"/>
                <w:highlight w:val="black"/>
              </w:rPr>
            </w:pPr>
            <w:r>
              <w:rPr>
                <w:rFonts w:eastAsia="Times New Roman" w:cs="Arial"/>
                <w:noProof/>
                <w:color w:val="000000"/>
                <w:szCs w:val="20"/>
                <w:highlight w:val="black"/>
              </w:rPr>
              <w:t>'''''''''''''''''''''''''''''</w:t>
            </w:r>
          </w:p>
        </w:tc>
      </w:tr>
      <w:tr w:rsidR="00556E5C" w:rsidRPr="00EA448D" w:rsidTr="002537DA">
        <w:tc>
          <w:tcPr>
            <w:tcW w:w="5000" w:type="pct"/>
            <w:gridSpan w:val="7"/>
            <w:shd w:val="clear" w:color="auto" w:fill="auto"/>
            <w:vAlign w:val="center"/>
          </w:tcPr>
          <w:p w:rsidR="00556E5C" w:rsidRPr="00EA448D" w:rsidRDefault="00556E5C" w:rsidP="002537DA">
            <w:pPr>
              <w:pStyle w:val="TableText"/>
              <w:rPr>
                <w:bCs/>
                <w:color w:val="000000"/>
              </w:rPr>
            </w:pPr>
            <w:r w:rsidRPr="00EA448D">
              <w:rPr>
                <w:b/>
                <w:bCs/>
                <w:color w:val="000000"/>
              </w:rPr>
              <w:t xml:space="preserve">Estimated financial implications for </w:t>
            </w:r>
            <w:proofErr w:type="spellStart"/>
            <w:r w:rsidRPr="00EA448D">
              <w:rPr>
                <w:b/>
                <w:bCs/>
                <w:color w:val="000000"/>
              </w:rPr>
              <w:t>fingolimod</w:t>
            </w:r>
            <w:proofErr w:type="spellEnd"/>
            <w:r w:rsidR="00636AF4" w:rsidRPr="00EA448D">
              <w:rPr>
                <w:b/>
                <w:bCs/>
                <w:color w:val="000000"/>
              </w:rPr>
              <w:t xml:space="preserve"> (published price)</w:t>
            </w:r>
          </w:p>
        </w:tc>
      </w:tr>
      <w:tr w:rsidR="00556E5C" w:rsidRPr="00EA448D" w:rsidTr="002537DA">
        <w:tc>
          <w:tcPr>
            <w:tcW w:w="1118" w:type="pct"/>
            <w:shd w:val="clear" w:color="auto" w:fill="auto"/>
            <w:vAlign w:val="center"/>
          </w:tcPr>
          <w:p w:rsidR="00556E5C" w:rsidRPr="00EA448D" w:rsidRDefault="00556E5C" w:rsidP="002537DA">
            <w:pPr>
              <w:pStyle w:val="TableText"/>
              <w:rPr>
                <w:sz w:val="19"/>
                <w:szCs w:val="19"/>
              </w:rPr>
            </w:pPr>
            <w:r w:rsidRPr="00EA448D">
              <w:rPr>
                <w:sz w:val="19"/>
                <w:szCs w:val="19"/>
              </w:rPr>
              <w:t>Cost to PBS</w:t>
            </w:r>
          </w:p>
        </w:tc>
        <w:tc>
          <w:tcPr>
            <w:tcW w:w="647" w:type="pct"/>
            <w:shd w:val="clear" w:color="auto" w:fill="auto"/>
            <w:vAlign w:val="center"/>
          </w:tcPr>
          <w:p w:rsidR="00556E5C" w:rsidRPr="00FD3E0B" w:rsidRDefault="00FD3E0B" w:rsidP="002537DA">
            <w:pPr>
              <w:pStyle w:val="TableText"/>
              <w:jc w:val="center"/>
              <w:rPr>
                <w:bCs/>
                <w:color w:val="000000"/>
                <w:szCs w:val="20"/>
                <w:highlight w:val="black"/>
              </w:rPr>
            </w:pPr>
            <w:r>
              <w:rPr>
                <w:rFonts w:eastAsia="Times New Roman" w:cs="Arial"/>
                <w:noProof/>
                <w:color w:val="000000"/>
                <w:szCs w:val="20"/>
                <w:highlight w:val="black"/>
              </w:rPr>
              <w:t>''''''''''''''''''''''''''''''''</w:t>
            </w:r>
          </w:p>
        </w:tc>
        <w:tc>
          <w:tcPr>
            <w:tcW w:w="647" w:type="pct"/>
            <w:shd w:val="clear" w:color="auto" w:fill="auto"/>
            <w:vAlign w:val="center"/>
          </w:tcPr>
          <w:p w:rsidR="00556E5C" w:rsidRPr="00FD3E0B" w:rsidRDefault="00FD3E0B" w:rsidP="002537DA">
            <w:pPr>
              <w:pStyle w:val="TableText"/>
              <w:jc w:val="center"/>
              <w:rPr>
                <w:bCs/>
                <w:color w:val="000000"/>
                <w:szCs w:val="20"/>
                <w:highlight w:val="black"/>
              </w:rPr>
            </w:pPr>
            <w:r>
              <w:rPr>
                <w:rFonts w:eastAsia="Times New Roman" w:cs="Arial"/>
                <w:noProof/>
                <w:color w:val="000000"/>
                <w:szCs w:val="20"/>
                <w:highlight w:val="black"/>
              </w:rPr>
              <w:t>'''''''''''''''''''''''''''''</w:t>
            </w:r>
          </w:p>
        </w:tc>
        <w:tc>
          <w:tcPr>
            <w:tcW w:w="647" w:type="pct"/>
            <w:shd w:val="clear" w:color="auto" w:fill="auto"/>
            <w:vAlign w:val="center"/>
          </w:tcPr>
          <w:p w:rsidR="00556E5C" w:rsidRPr="00FD3E0B" w:rsidRDefault="00FD3E0B" w:rsidP="002537DA">
            <w:pPr>
              <w:pStyle w:val="TableText"/>
              <w:jc w:val="center"/>
              <w:rPr>
                <w:bCs/>
                <w:color w:val="000000"/>
                <w:szCs w:val="20"/>
                <w:highlight w:val="black"/>
              </w:rPr>
            </w:pPr>
            <w:r>
              <w:rPr>
                <w:rFonts w:eastAsia="Times New Roman" w:cs="Arial"/>
                <w:noProof/>
                <w:color w:val="000000"/>
                <w:szCs w:val="20"/>
                <w:highlight w:val="black"/>
              </w:rPr>
              <w:t>'''''''''''''''''''''''''''</w:t>
            </w:r>
          </w:p>
        </w:tc>
        <w:tc>
          <w:tcPr>
            <w:tcW w:w="647" w:type="pct"/>
            <w:shd w:val="clear" w:color="auto" w:fill="auto"/>
            <w:vAlign w:val="center"/>
          </w:tcPr>
          <w:p w:rsidR="00556E5C" w:rsidRPr="00FD3E0B" w:rsidRDefault="00FD3E0B" w:rsidP="002537DA">
            <w:pPr>
              <w:pStyle w:val="TableText"/>
              <w:jc w:val="center"/>
              <w:rPr>
                <w:bCs/>
                <w:color w:val="000000"/>
                <w:szCs w:val="20"/>
                <w:highlight w:val="black"/>
              </w:rPr>
            </w:pPr>
            <w:r>
              <w:rPr>
                <w:rFonts w:eastAsia="Times New Roman" w:cs="Arial"/>
                <w:noProof/>
                <w:color w:val="000000"/>
                <w:szCs w:val="20"/>
                <w:highlight w:val="black"/>
              </w:rPr>
              <w:t>''''''''''''''''''''''''''''</w:t>
            </w:r>
          </w:p>
        </w:tc>
        <w:tc>
          <w:tcPr>
            <w:tcW w:w="647" w:type="pct"/>
            <w:shd w:val="clear" w:color="auto" w:fill="auto"/>
            <w:vAlign w:val="center"/>
          </w:tcPr>
          <w:p w:rsidR="00556E5C" w:rsidRPr="00FD3E0B" w:rsidRDefault="00FD3E0B" w:rsidP="002537DA">
            <w:pPr>
              <w:pStyle w:val="TableText"/>
              <w:jc w:val="center"/>
              <w:rPr>
                <w:bCs/>
                <w:color w:val="000000"/>
                <w:szCs w:val="20"/>
                <w:highlight w:val="black"/>
              </w:rPr>
            </w:pPr>
            <w:r>
              <w:rPr>
                <w:rFonts w:eastAsia="Times New Roman" w:cs="Arial"/>
                <w:noProof/>
                <w:color w:val="000000"/>
                <w:szCs w:val="20"/>
                <w:highlight w:val="black"/>
              </w:rPr>
              <w:t>'''''''''''''''''''''''''''</w:t>
            </w:r>
          </w:p>
        </w:tc>
        <w:tc>
          <w:tcPr>
            <w:tcW w:w="647" w:type="pct"/>
            <w:vAlign w:val="center"/>
          </w:tcPr>
          <w:p w:rsidR="00556E5C" w:rsidRPr="00FD3E0B" w:rsidRDefault="00FD3E0B" w:rsidP="002537DA">
            <w:pPr>
              <w:pStyle w:val="TableText"/>
              <w:jc w:val="center"/>
              <w:rPr>
                <w:bCs/>
                <w:color w:val="000000"/>
                <w:szCs w:val="20"/>
                <w:highlight w:val="black"/>
              </w:rPr>
            </w:pPr>
            <w:r>
              <w:rPr>
                <w:rFonts w:eastAsia="Times New Roman" w:cs="Arial"/>
                <w:noProof/>
                <w:color w:val="000000"/>
                <w:szCs w:val="20"/>
                <w:highlight w:val="black"/>
              </w:rPr>
              <w:t>'''''''''''''''''''''''''''''''</w:t>
            </w:r>
          </w:p>
        </w:tc>
      </w:tr>
      <w:tr w:rsidR="00556E5C" w:rsidRPr="00EA448D" w:rsidTr="002537DA">
        <w:tc>
          <w:tcPr>
            <w:tcW w:w="1118" w:type="pct"/>
            <w:shd w:val="clear" w:color="auto" w:fill="auto"/>
            <w:vAlign w:val="center"/>
          </w:tcPr>
          <w:p w:rsidR="00556E5C" w:rsidRPr="00EA448D" w:rsidRDefault="00556E5C" w:rsidP="002537DA">
            <w:pPr>
              <w:pStyle w:val="TableText"/>
              <w:rPr>
                <w:sz w:val="19"/>
                <w:szCs w:val="19"/>
              </w:rPr>
            </w:pPr>
            <w:proofErr w:type="spellStart"/>
            <w:r w:rsidRPr="00EA448D">
              <w:rPr>
                <w:sz w:val="19"/>
                <w:szCs w:val="19"/>
              </w:rPr>
              <w:t>Copayments</w:t>
            </w:r>
            <w:proofErr w:type="spellEnd"/>
          </w:p>
        </w:tc>
        <w:tc>
          <w:tcPr>
            <w:tcW w:w="647" w:type="pct"/>
            <w:shd w:val="clear" w:color="auto" w:fill="auto"/>
            <w:vAlign w:val="center"/>
          </w:tcPr>
          <w:p w:rsidR="00556E5C" w:rsidRPr="00FD3E0B" w:rsidRDefault="00FD3E0B" w:rsidP="002537DA">
            <w:pPr>
              <w:pStyle w:val="TableText"/>
              <w:jc w:val="center"/>
              <w:rPr>
                <w:bCs/>
                <w:color w:val="000000"/>
                <w:szCs w:val="20"/>
                <w:highlight w:val="black"/>
              </w:rPr>
            </w:pPr>
            <w:r>
              <w:rPr>
                <w:rFonts w:eastAsia="Times New Roman" w:cs="Arial"/>
                <w:noProof/>
                <w:color w:val="000000"/>
                <w:szCs w:val="20"/>
                <w:highlight w:val="black"/>
              </w:rPr>
              <w:t>''''''''''''''''''''''</w:t>
            </w:r>
          </w:p>
        </w:tc>
        <w:tc>
          <w:tcPr>
            <w:tcW w:w="647" w:type="pct"/>
            <w:shd w:val="clear" w:color="auto" w:fill="auto"/>
            <w:vAlign w:val="center"/>
          </w:tcPr>
          <w:p w:rsidR="00556E5C" w:rsidRPr="00FD3E0B" w:rsidRDefault="00FD3E0B" w:rsidP="002537DA">
            <w:pPr>
              <w:pStyle w:val="TableText"/>
              <w:jc w:val="center"/>
              <w:rPr>
                <w:bCs/>
                <w:color w:val="000000"/>
                <w:szCs w:val="20"/>
                <w:highlight w:val="black"/>
              </w:rPr>
            </w:pPr>
            <w:r>
              <w:rPr>
                <w:rFonts w:eastAsia="Times New Roman" w:cs="Arial"/>
                <w:noProof/>
                <w:color w:val="000000"/>
                <w:szCs w:val="20"/>
                <w:highlight w:val="black"/>
              </w:rPr>
              <w:t>''''''''''''''''''''''</w:t>
            </w:r>
          </w:p>
        </w:tc>
        <w:tc>
          <w:tcPr>
            <w:tcW w:w="647" w:type="pct"/>
            <w:shd w:val="clear" w:color="auto" w:fill="auto"/>
            <w:vAlign w:val="center"/>
          </w:tcPr>
          <w:p w:rsidR="00556E5C" w:rsidRPr="00FD3E0B" w:rsidRDefault="00FD3E0B" w:rsidP="002537DA">
            <w:pPr>
              <w:pStyle w:val="TableText"/>
              <w:jc w:val="center"/>
              <w:rPr>
                <w:bCs/>
                <w:color w:val="000000"/>
                <w:szCs w:val="20"/>
                <w:highlight w:val="black"/>
              </w:rPr>
            </w:pPr>
            <w:r>
              <w:rPr>
                <w:rFonts w:eastAsia="Times New Roman" w:cs="Arial"/>
                <w:noProof/>
                <w:color w:val="000000"/>
                <w:szCs w:val="20"/>
                <w:highlight w:val="black"/>
              </w:rPr>
              <w:t>'''''''''''''''''''''</w:t>
            </w:r>
          </w:p>
        </w:tc>
        <w:tc>
          <w:tcPr>
            <w:tcW w:w="647" w:type="pct"/>
            <w:shd w:val="clear" w:color="auto" w:fill="auto"/>
            <w:vAlign w:val="center"/>
          </w:tcPr>
          <w:p w:rsidR="00556E5C" w:rsidRPr="00FD3E0B" w:rsidRDefault="00FD3E0B" w:rsidP="002537DA">
            <w:pPr>
              <w:pStyle w:val="TableText"/>
              <w:jc w:val="center"/>
              <w:rPr>
                <w:bCs/>
                <w:color w:val="000000"/>
                <w:szCs w:val="20"/>
                <w:highlight w:val="black"/>
              </w:rPr>
            </w:pPr>
            <w:r>
              <w:rPr>
                <w:rFonts w:eastAsia="Times New Roman" w:cs="Arial"/>
                <w:noProof/>
                <w:color w:val="000000"/>
                <w:szCs w:val="20"/>
                <w:highlight w:val="black"/>
              </w:rPr>
              <w:t>''''''''''''''''''''''''</w:t>
            </w:r>
          </w:p>
        </w:tc>
        <w:tc>
          <w:tcPr>
            <w:tcW w:w="647" w:type="pct"/>
            <w:shd w:val="clear" w:color="auto" w:fill="auto"/>
            <w:vAlign w:val="center"/>
          </w:tcPr>
          <w:p w:rsidR="00556E5C" w:rsidRPr="00FD3E0B" w:rsidRDefault="00FD3E0B" w:rsidP="002537DA">
            <w:pPr>
              <w:pStyle w:val="TableText"/>
              <w:jc w:val="center"/>
              <w:rPr>
                <w:bCs/>
                <w:color w:val="000000"/>
                <w:szCs w:val="20"/>
                <w:highlight w:val="black"/>
              </w:rPr>
            </w:pPr>
            <w:r>
              <w:rPr>
                <w:rFonts w:eastAsia="Times New Roman" w:cs="Arial"/>
                <w:noProof/>
                <w:color w:val="000000"/>
                <w:szCs w:val="20"/>
                <w:highlight w:val="black"/>
              </w:rPr>
              <w:t>'''''''''''''''''''''''''''</w:t>
            </w:r>
          </w:p>
        </w:tc>
        <w:tc>
          <w:tcPr>
            <w:tcW w:w="647" w:type="pct"/>
            <w:vAlign w:val="center"/>
          </w:tcPr>
          <w:p w:rsidR="00556E5C" w:rsidRPr="00FD3E0B" w:rsidRDefault="00FD3E0B" w:rsidP="002537DA">
            <w:pPr>
              <w:pStyle w:val="TableText"/>
              <w:jc w:val="center"/>
              <w:rPr>
                <w:bCs/>
                <w:color w:val="000000"/>
                <w:szCs w:val="20"/>
                <w:highlight w:val="black"/>
              </w:rPr>
            </w:pPr>
            <w:r>
              <w:rPr>
                <w:rFonts w:eastAsia="Times New Roman" w:cs="Arial"/>
                <w:noProof/>
                <w:color w:val="000000"/>
                <w:szCs w:val="20"/>
                <w:highlight w:val="black"/>
              </w:rPr>
              <w:t>''''''''''''''''''''''''''''</w:t>
            </w:r>
          </w:p>
        </w:tc>
      </w:tr>
      <w:tr w:rsidR="00556E5C" w:rsidRPr="00EA448D" w:rsidTr="002537DA">
        <w:tc>
          <w:tcPr>
            <w:tcW w:w="1118" w:type="pct"/>
            <w:shd w:val="clear" w:color="auto" w:fill="auto"/>
            <w:vAlign w:val="center"/>
          </w:tcPr>
          <w:p w:rsidR="00556E5C" w:rsidRPr="00EA448D" w:rsidRDefault="00556E5C" w:rsidP="002537DA">
            <w:pPr>
              <w:pStyle w:val="TableText"/>
              <w:rPr>
                <w:sz w:val="19"/>
                <w:szCs w:val="19"/>
              </w:rPr>
            </w:pPr>
            <w:r w:rsidRPr="00EA448D">
              <w:rPr>
                <w:sz w:val="19"/>
                <w:szCs w:val="19"/>
              </w:rPr>
              <w:t xml:space="preserve">Cost to PBS less </w:t>
            </w:r>
            <w:proofErr w:type="spellStart"/>
            <w:r w:rsidRPr="00EA448D">
              <w:rPr>
                <w:sz w:val="19"/>
                <w:szCs w:val="19"/>
              </w:rPr>
              <w:t>copayments</w:t>
            </w:r>
            <w:proofErr w:type="spellEnd"/>
          </w:p>
        </w:tc>
        <w:tc>
          <w:tcPr>
            <w:tcW w:w="647" w:type="pct"/>
            <w:shd w:val="clear" w:color="auto" w:fill="auto"/>
            <w:vAlign w:val="center"/>
          </w:tcPr>
          <w:p w:rsidR="00556E5C" w:rsidRPr="00FD3E0B" w:rsidRDefault="00FD3E0B" w:rsidP="002537DA">
            <w:pPr>
              <w:pStyle w:val="TableText"/>
              <w:jc w:val="center"/>
              <w:rPr>
                <w:bCs/>
                <w:color w:val="000000"/>
                <w:szCs w:val="20"/>
                <w:highlight w:val="black"/>
              </w:rPr>
            </w:pPr>
            <w:r>
              <w:rPr>
                <w:rFonts w:eastAsia="Times New Roman" w:cs="Arial"/>
                <w:noProof/>
                <w:color w:val="000000"/>
                <w:szCs w:val="20"/>
                <w:highlight w:val="black"/>
              </w:rPr>
              <w:t>''''''''''''''''''''''''''''''</w:t>
            </w:r>
          </w:p>
        </w:tc>
        <w:tc>
          <w:tcPr>
            <w:tcW w:w="647" w:type="pct"/>
            <w:shd w:val="clear" w:color="auto" w:fill="auto"/>
            <w:vAlign w:val="center"/>
          </w:tcPr>
          <w:p w:rsidR="00556E5C" w:rsidRPr="00FD3E0B" w:rsidRDefault="00FD3E0B" w:rsidP="002537DA">
            <w:pPr>
              <w:pStyle w:val="TableText"/>
              <w:jc w:val="center"/>
              <w:rPr>
                <w:bCs/>
                <w:color w:val="000000"/>
                <w:szCs w:val="20"/>
                <w:highlight w:val="black"/>
              </w:rPr>
            </w:pPr>
            <w:r>
              <w:rPr>
                <w:rFonts w:eastAsia="Times New Roman" w:cs="Arial"/>
                <w:noProof/>
                <w:color w:val="000000"/>
                <w:szCs w:val="20"/>
                <w:highlight w:val="black"/>
              </w:rPr>
              <w:t>''''''''''''''''''''''''''''</w:t>
            </w:r>
          </w:p>
        </w:tc>
        <w:tc>
          <w:tcPr>
            <w:tcW w:w="647" w:type="pct"/>
            <w:shd w:val="clear" w:color="auto" w:fill="auto"/>
            <w:vAlign w:val="center"/>
          </w:tcPr>
          <w:p w:rsidR="00556E5C" w:rsidRPr="00FD3E0B" w:rsidRDefault="00FD3E0B" w:rsidP="002537DA">
            <w:pPr>
              <w:pStyle w:val="TableText"/>
              <w:jc w:val="center"/>
              <w:rPr>
                <w:bCs/>
                <w:color w:val="000000"/>
                <w:szCs w:val="20"/>
                <w:highlight w:val="black"/>
              </w:rPr>
            </w:pPr>
            <w:r>
              <w:rPr>
                <w:rFonts w:eastAsia="Times New Roman" w:cs="Arial"/>
                <w:noProof/>
                <w:color w:val="000000"/>
                <w:szCs w:val="20"/>
                <w:highlight w:val="black"/>
              </w:rPr>
              <w:t>''''''''''''''''''''''''''''''''</w:t>
            </w:r>
          </w:p>
        </w:tc>
        <w:tc>
          <w:tcPr>
            <w:tcW w:w="647" w:type="pct"/>
            <w:shd w:val="clear" w:color="auto" w:fill="auto"/>
            <w:vAlign w:val="center"/>
          </w:tcPr>
          <w:p w:rsidR="00556E5C" w:rsidRPr="00FD3E0B" w:rsidRDefault="00FD3E0B" w:rsidP="002537DA">
            <w:pPr>
              <w:pStyle w:val="TableText"/>
              <w:jc w:val="center"/>
              <w:rPr>
                <w:bCs/>
                <w:color w:val="000000"/>
                <w:szCs w:val="20"/>
                <w:highlight w:val="black"/>
              </w:rPr>
            </w:pPr>
            <w:r>
              <w:rPr>
                <w:rFonts w:eastAsia="Times New Roman" w:cs="Arial"/>
                <w:noProof/>
                <w:color w:val="000000"/>
                <w:szCs w:val="20"/>
                <w:highlight w:val="black"/>
              </w:rPr>
              <w:t>'''''''''''''''''''''''''''''''</w:t>
            </w:r>
          </w:p>
        </w:tc>
        <w:tc>
          <w:tcPr>
            <w:tcW w:w="647" w:type="pct"/>
            <w:shd w:val="clear" w:color="auto" w:fill="auto"/>
            <w:vAlign w:val="center"/>
          </w:tcPr>
          <w:p w:rsidR="00556E5C" w:rsidRPr="00FD3E0B" w:rsidRDefault="00FD3E0B" w:rsidP="002537DA">
            <w:pPr>
              <w:pStyle w:val="TableText"/>
              <w:jc w:val="center"/>
              <w:rPr>
                <w:bCs/>
                <w:color w:val="000000"/>
                <w:szCs w:val="20"/>
                <w:highlight w:val="black"/>
              </w:rPr>
            </w:pPr>
            <w:r>
              <w:rPr>
                <w:rFonts w:eastAsia="Times New Roman" w:cs="Arial"/>
                <w:noProof/>
                <w:color w:val="000000"/>
                <w:szCs w:val="20"/>
                <w:highlight w:val="black"/>
              </w:rPr>
              <w:t>''''''''''''''''''''''''''''''''</w:t>
            </w:r>
          </w:p>
        </w:tc>
        <w:tc>
          <w:tcPr>
            <w:tcW w:w="647" w:type="pct"/>
            <w:vAlign w:val="center"/>
          </w:tcPr>
          <w:p w:rsidR="00556E5C" w:rsidRPr="00FD3E0B" w:rsidRDefault="00FD3E0B" w:rsidP="002537DA">
            <w:pPr>
              <w:pStyle w:val="TableText"/>
              <w:jc w:val="center"/>
              <w:rPr>
                <w:bCs/>
                <w:color w:val="000000"/>
                <w:szCs w:val="20"/>
                <w:highlight w:val="black"/>
              </w:rPr>
            </w:pPr>
            <w:r>
              <w:rPr>
                <w:rFonts w:eastAsia="Times New Roman" w:cs="Arial"/>
                <w:noProof/>
                <w:color w:val="000000"/>
                <w:szCs w:val="20"/>
                <w:highlight w:val="black"/>
              </w:rPr>
              <w:t>'''''''''''''''''''''''''''''</w:t>
            </w:r>
          </w:p>
        </w:tc>
      </w:tr>
      <w:tr w:rsidR="00556E5C" w:rsidRPr="00EA448D" w:rsidTr="002537DA">
        <w:tc>
          <w:tcPr>
            <w:tcW w:w="5000" w:type="pct"/>
            <w:gridSpan w:val="7"/>
            <w:shd w:val="clear" w:color="auto" w:fill="auto"/>
            <w:vAlign w:val="center"/>
          </w:tcPr>
          <w:p w:rsidR="00556E5C" w:rsidRPr="00EA448D" w:rsidRDefault="00556E5C" w:rsidP="002537DA">
            <w:pPr>
              <w:pStyle w:val="TableText"/>
              <w:rPr>
                <w:b/>
                <w:bCs/>
                <w:color w:val="000000"/>
              </w:rPr>
            </w:pPr>
            <w:r w:rsidRPr="00EA448D">
              <w:rPr>
                <w:b/>
                <w:bCs/>
                <w:color w:val="000000"/>
              </w:rPr>
              <w:t>Net financial implications</w:t>
            </w:r>
            <w:r w:rsidRPr="00EA448D">
              <w:rPr>
                <w:b/>
                <w:bCs/>
                <w:color w:val="4472C4" w:themeColor="accent5"/>
              </w:rPr>
              <w:t xml:space="preserve"> </w:t>
            </w:r>
          </w:p>
        </w:tc>
      </w:tr>
      <w:tr w:rsidR="00556E5C" w:rsidRPr="00EA448D" w:rsidTr="002537DA">
        <w:tc>
          <w:tcPr>
            <w:tcW w:w="1118" w:type="pct"/>
            <w:shd w:val="clear" w:color="auto" w:fill="auto"/>
            <w:vAlign w:val="center"/>
          </w:tcPr>
          <w:p w:rsidR="00556E5C" w:rsidRPr="00EA448D" w:rsidRDefault="00556E5C" w:rsidP="002537DA">
            <w:pPr>
              <w:pStyle w:val="TableText"/>
              <w:rPr>
                <w:sz w:val="19"/>
                <w:szCs w:val="19"/>
              </w:rPr>
            </w:pPr>
            <w:r w:rsidRPr="00EA448D">
              <w:rPr>
                <w:sz w:val="19"/>
                <w:szCs w:val="19"/>
              </w:rPr>
              <w:t>Net cost to PBS/RPBS</w:t>
            </w:r>
          </w:p>
        </w:tc>
        <w:tc>
          <w:tcPr>
            <w:tcW w:w="647" w:type="pct"/>
            <w:shd w:val="clear" w:color="auto" w:fill="auto"/>
            <w:vAlign w:val="center"/>
          </w:tcPr>
          <w:p w:rsidR="00556E5C" w:rsidRPr="00FD3E0B" w:rsidRDefault="00FD3E0B" w:rsidP="002537DA">
            <w:pPr>
              <w:pStyle w:val="TableText"/>
              <w:jc w:val="center"/>
              <w:rPr>
                <w:bCs/>
                <w:color w:val="000000"/>
                <w:highlight w:val="black"/>
              </w:rPr>
            </w:pPr>
            <w:r>
              <w:rPr>
                <w:rFonts w:eastAsia="Times New Roman" w:cs="Arial"/>
                <w:bCs/>
                <w:noProof/>
                <w:color w:val="000000"/>
                <w:szCs w:val="20"/>
                <w:highlight w:val="black"/>
              </w:rPr>
              <w:t>''''''''''''''''''''''''''''</w:t>
            </w:r>
          </w:p>
        </w:tc>
        <w:tc>
          <w:tcPr>
            <w:tcW w:w="647" w:type="pct"/>
            <w:shd w:val="clear" w:color="auto" w:fill="auto"/>
            <w:vAlign w:val="center"/>
          </w:tcPr>
          <w:p w:rsidR="00556E5C" w:rsidRPr="00FD3E0B" w:rsidRDefault="00FD3E0B" w:rsidP="002537DA">
            <w:pPr>
              <w:pStyle w:val="TableText"/>
              <w:jc w:val="center"/>
              <w:rPr>
                <w:bCs/>
                <w:color w:val="000000"/>
                <w:highlight w:val="black"/>
              </w:rPr>
            </w:pPr>
            <w:r>
              <w:rPr>
                <w:rFonts w:eastAsia="Times New Roman" w:cs="Arial"/>
                <w:bCs/>
                <w:noProof/>
                <w:color w:val="000000"/>
                <w:szCs w:val="20"/>
                <w:highlight w:val="black"/>
              </w:rPr>
              <w:t>''''''''''''''''''''''''''''''''</w:t>
            </w:r>
          </w:p>
        </w:tc>
        <w:tc>
          <w:tcPr>
            <w:tcW w:w="647" w:type="pct"/>
            <w:shd w:val="clear" w:color="auto" w:fill="auto"/>
            <w:vAlign w:val="center"/>
          </w:tcPr>
          <w:p w:rsidR="00556E5C" w:rsidRPr="00FD3E0B" w:rsidRDefault="00FD3E0B" w:rsidP="002537DA">
            <w:pPr>
              <w:pStyle w:val="TableText"/>
              <w:jc w:val="center"/>
              <w:rPr>
                <w:bCs/>
                <w:color w:val="000000"/>
                <w:highlight w:val="black"/>
              </w:rPr>
            </w:pPr>
            <w:r>
              <w:rPr>
                <w:rFonts w:eastAsia="Times New Roman" w:cs="Arial"/>
                <w:bCs/>
                <w:noProof/>
                <w:color w:val="000000"/>
                <w:szCs w:val="20"/>
                <w:highlight w:val="black"/>
              </w:rPr>
              <w:t>'''''''''''''''''''''''''''</w:t>
            </w:r>
          </w:p>
        </w:tc>
        <w:tc>
          <w:tcPr>
            <w:tcW w:w="647" w:type="pct"/>
            <w:shd w:val="clear" w:color="auto" w:fill="auto"/>
            <w:vAlign w:val="center"/>
          </w:tcPr>
          <w:p w:rsidR="00556E5C" w:rsidRPr="00FD3E0B" w:rsidRDefault="00FD3E0B" w:rsidP="002537DA">
            <w:pPr>
              <w:pStyle w:val="TableText"/>
              <w:jc w:val="center"/>
              <w:rPr>
                <w:bCs/>
                <w:color w:val="000000"/>
                <w:highlight w:val="black"/>
              </w:rPr>
            </w:pPr>
            <w:r>
              <w:rPr>
                <w:rFonts w:eastAsia="Times New Roman" w:cs="Arial"/>
                <w:bCs/>
                <w:noProof/>
                <w:color w:val="000000"/>
                <w:szCs w:val="20"/>
                <w:highlight w:val="black"/>
              </w:rPr>
              <w:t>''''''''''''''''''''''''''''''''</w:t>
            </w:r>
          </w:p>
        </w:tc>
        <w:tc>
          <w:tcPr>
            <w:tcW w:w="647" w:type="pct"/>
            <w:shd w:val="clear" w:color="auto" w:fill="auto"/>
            <w:vAlign w:val="center"/>
          </w:tcPr>
          <w:p w:rsidR="00556E5C" w:rsidRPr="00FD3E0B" w:rsidRDefault="00FD3E0B" w:rsidP="002537DA">
            <w:pPr>
              <w:pStyle w:val="TableText"/>
              <w:jc w:val="center"/>
              <w:rPr>
                <w:bCs/>
                <w:color w:val="000000"/>
                <w:highlight w:val="black"/>
              </w:rPr>
            </w:pPr>
            <w:r>
              <w:rPr>
                <w:rFonts w:eastAsia="Times New Roman" w:cs="Arial"/>
                <w:bCs/>
                <w:noProof/>
                <w:color w:val="000000"/>
                <w:szCs w:val="20"/>
                <w:highlight w:val="black"/>
              </w:rPr>
              <w:t>''''''''''''''''''''''''''</w:t>
            </w:r>
          </w:p>
        </w:tc>
        <w:tc>
          <w:tcPr>
            <w:tcW w:w="647" w:type="pct"/>
            <w:vAlign w:val="center"/>
          </w:tcPr>
          <w:p w:rsidR="00556E5C" w:rsidRPr="00FD3E0B" w:rsidRDefault="00FD3E0B" w:rsidP="002537DA">
            <w:pPr>
              <w:pStyle w:val="TableText"/>
              <w:jc w:val="center"/>
              <w:rPr>
                <w:bCs/>
                <w:color w:val="000000"/>
                <w:highlight w:val="black"/>
              </w:rPr>
            </w:pPr>
            <w:r>
              <w:rPr>
                <w:rFonts w:eastAsia="Times New Roman" w:cs="Arial"/>
                <w:bCs/>
                <w:noProof/>
                <w:color w:val="000000"/>
                <w:szCs w:val="20"/>
                <w:highlight w:val="black"/>
              </w:rPr>
              <w:t>''''''''''''''''''''''''''''</w:t>
            </w:r>
          </w:p>
        </w:tc>
      </w:tr>
      <w:tr w:rsidR="00556E5C" w:rsidRPr="00EA448D" w:rsidTr="002537DA">
        <w:tc>
          <w:tcPr>
            <w:tcW w:w="1118" w:type="pct"/>
            <w:shd w:val="clear" w:color="auto" w:fill="auto"/>
            <w:vAlign w:val="center"/>
          </w:tcPr>
          <w:p w:rsidR="00556E5C" w:rsidRPr="00EA448D" w:rsidRDefault="00556E5C" w:rsidP="002537DA">
            <w:pPr>
              <w:pStyle w:val="TableText"/>
              <w:rPr>
                <w:rFonts w:ascii="Times" w:eastAsia="Times New Roman" w:hAnsi="Times" w:cs="Times New Roman"/>
              </w:rPr>
            </w:pPr>
            <w:r w:rsidRPr="00EA448D">
              <w:rPr>
                <w:sz w:val="19"/>
                <w:szCs w:val="19"/>
              </w:rPr>
              <w:t>Net savings to MBS &amp; hospitals</w:t>
            </w:r>
          </w:p>
        </w:tc>
        <w:tc>
          <w:tcPr>
            <w:tcW w:w="647" w:type="pct"/>
            <w:shd w:val="clear" w:color="auto" w:fill="auto"/>
            <w:vAlign w:val="center"/>
          </w:tcPr>
          <w:p w:rsidR="00556E5C" w:rsidRPr="00FD3E0B" w:rsidRDefault="00FD3E0B" w:rsidP="002537DA">
            <w:pPr>
              <w:pStyle w:val="TableText"/>
              <w:jc w:val="center"/>
              <w:rPr>
                <w:bCs/>
                <w:color w:val="000000"/>
                <w:highlight w:val="black"/>
              </w:rPr>
            </w:pPr>
            <w:r>
              <w:rPr>
                <w:rFonts w:eastAsia="Times New Roman" w:cs="Arial"/>
                <w:noProof/>
                <w:color w:val="000000"/>
                <w:szCs w:val="20"/>
                <w:highlight w:val="black"/>
              </w:rPr>
              <w:t>'''''''''''''''''''''''</w:t>
            </w:r>
          </w:p>
        </w:tc>
        <w:tc>
          <w:tcPr>
            <w:tcW w:w="647" w:type="pct"/>
            <w:shd w:val="clear" w:color="auto" w:fill="auto"/>
            <w:vAlign w:val="center"/>
          </w:tcPr>
          <w:p w:rsidR="00556E5C" w:rsidRPr="00FD3E0B" w:rsidRDefault="00FD3E0B" w:rsidP="002537DA">
            <w:pPr>
              <w:pStyle w:val="TableText"/>
              <w:jc w:val="center"/>
              <w:rPr>
                <w:bCs/>
                <w:color w:val="000000"/>
                <w:highlight w:val="black"/>
              </w:rPr>
            </w:pPr>
            <w:r>
              <w:rPr>
                <w:rFonts w:eastAsia="Times New Roman" w:cs="Arial"/>
                <w:noProof/>
                <w:color w:val="000000"/>
                <w:szCs w:val="20"/>
                <w:highlight w:val="black"/>
              </w:rPr>
              <w:t>'''''''''''''''''''''''''</w:t>
            </w:r>
          </w:p>
        </w:tc>
        <w:tc>
          <w:tcPr>
            <w:tcW w:w="647" w:type="pct"/>
            <w:shd w:val="clear" w:color="auto" w:fill="auto"/>
            <w:vAlign w:val="center"/>
          </w:tcPr>
          <w:p w:rsidR="00556E5C" w:rsidRPr="00FD3E0B" w:rsidRDefault="00FD3E0B" w:rsidP="002537DA">
            <w:pPr>
              <w:pStyle w:val="TableText"/>
              <w:jc w:val="center"/>
              <w:rPr>
                <w:bCs/>
                <w:color w:val="000000"/>
                <w:highlight w:val="black"/>
              </w:rPr>
            </w:pPr>
            <w:r>
              <w:rPr>
                <w:rFonts w:eastAsia="Times New Roman" w:cs="Arial"/>
                <w:noProof/>
                <w:color w:val="000000"/>
                <w:szCs w:val="20"/>
                <w:highlight w:val="black"/>
              </w:rPr>
              <w:t>'''''''''''''''''''''''''</w:t>
            </w:r>
          </w:p>
        </w:tc>
        <w:tc>
          <w:tcPr>
            <w:tcW w:w="647" w:type="pct"/>
            <w:shd w:val="clear" w:color="auto" w:fill="auto"/>
            <w:vAlign w:val="center"/>
          </w:tcPr>
          <w:p w:rsidR="00556E5C" w:rsidRPr="00FD3E0B" w:rsidRDefault="00FD3E0B" w:rsidP="002537DA">
            <w:pPr>
              <w:pStyle w:val="TableText"/>
              <w:jc w:val="center"/>
              <w:rPr>
                <w:bCs/>
                <w:color w:val="000000"/>
                <w:highlight w:val="black"/>
              </w:rPr>
            </w:pPr>
            <w:r>
              <w:rPr>
                <w:rFonts w:eastAsia="Times New Roman" w:cs="Arial"/>
                <w:noProof/>
                <w:color w:val="000000"/>
                <w:szCs w:val="20"/>
                <w:highlight w:val="black"/>
              </w:rPr>
              <w:t>'''''''''''''''''''''''</w:t>
            </w:r>
          </w:p>
        </w:tc>
        <w:tc>
          <w:tcPr>
            <w:tcW w:w="647" w:type="pct"/>
            <w:shd w:val="clear" w:color="auto" w:fill="auto"/>
            <w:vAlign w:val="center"/>
          </w:tcPr>
          <w:p w:rsidR="00556E5C" w:rsidRPr="00FD3E0B" w:rsidRDefault="00FD3E0B" w:rsidP="002537DA">
            <w:pPr>
              <w:pStyle w:val="TableText"/>
              <w:jc w:val="center"/>
              <w:rPr>
                <w:bCs/>
                <w:color w:val="000000"/>
                <w:highlight w:val="black"/>
              </w:rPr>
            </w:pPr>
            <w:r>
              <w:rPr>
                <w:rFonts w:eastAsia="Times New Roman" w:cs="Arial"/>
                <w:noProof/>
                <w:color w:val="000000"/>
                <w:szCs w:val="20"/>
                <w:highlight w:val="black"/>
              </w:rPr>
              <w:t>''''''''''''''''''''''''</w:t>
            </w:r>
          </w:p>
        </w:tc>
        <w:tc>
          <w:tcPr>
            <w:tcW w:w="647" w:type="pct"/>
            <w:vAlign w:val="center"/>
          </w:tcPr>
          <w:p w:rsidR="00556E5C" w:rsidRPr="00FD3E0B" w:rsidRDefault="00FD3E0B" w:rsidP="002537DA">
            <w:pPr>
              <w:pStyle w:val="TableText"/>
              <w:jc w:val="center"/>
              <w:rPr>
                <w:bCs/>
                <w:color w:val="000000"/>
                <w:highlight w:val="black"/>
              </w:rPr>
            </w:pPr>
            <w:r>
              <w:rPr>
                <w:rFonts w:eastAsia="Times New Roman" w:cs="Arial"/>
                <w:noProof/>
                <w:color w:val="000000"/>
                <w:szCs w:val="20"/>
                <w:highlight w:val="black"/>
              </w:rPr>
              <w:t>''''''''''''''''''''''''''</w:t>
            </w:r>
          </w:p>
        </w:tc>
      </w:tr>
      <w:tr w:rsidR="00556E5C" w:rsidRPr="00EA448D" w:rsidTr="002537DA">
        <w:tc>
          <w:tcPr>
            <w:tcW w:w="1118" w:type="pct"/>
            <w:shd w:val="clear" w:color="auto" w:fill="auto"/>
            <w:vAlign w:val="center"/>
          </w:tcPr>
          <w:p w:rsidR="00556E5C" w:rsidRPr="00EA448D" w:rsidRDefault="00556E5C" w:rsidP="002537DA">
            <w:pPr>
              <w:pStyle w:val="TableText"/>
              <w:rPr>
                <w:sz w:val="19"/>
                <w:szCs w:val="19"/>
              </w:rPr>
            </w:pPr>
            <w:r w:rsidRPr="00EA448D">
              <w:rPr>
                <w:sz w:val="19"/>
                <w:szCs w:val="19"/>
              </w:rPr>
              <w:t>Net cost to Government</w:t>
            </w:r>
          </w:p>
        </w:tc>
        <w:tc>
          <w:tcPr>
            <w:tcW w:w="647" w:type="pct"/>
            <w:shd w:val="clear" w:color="auto" w:fill="auto"/>
            <w:vAlign w:val="center"/>
          </w:tcPr>
          <w:p w:rsidR="00556E5C" w:rsidRPr="00FD3E0B" w:rsidRDefault="00FD3E0B" w:rsidP="002537DA">
            <w:pPr>
              <w:pStyle w:val="TableText"/>
              <w:jc w:val="center"/>
              <w:rPr>
                <w:bCs/>
                <w:color w:val="000000"/>
                <w:highlight w:val="black"/>
              </w:rPr>
            </w:pPr>
            <w:r>
              <w:rPr>
                <w:rFonts w:eastAsia="Times New Roman" w:cs="Arial"/>
                <w:b/>
                <w:bCs/>
                <w:noProof/>
                <w:color w:val="000000"/>
                <w:szCs w:val="20"/>
                <w:highlight w:val="black"/>
              </w:rPr>
              <w:t>''''''''''''''''''''''</w:t>
            </w:r>
          </w:p>
        </w:tc>
        <w:tc>
          <w:tcPr>
            <w:tcW w:w="647" w:type="pct"/>
            <w:shd w:val="clear" w:color="auto" w:fill="auto"/>
            <w:vAlign w:val="center"/>
          </w:tcPr>
          <w:p w:rsidR="00556E5C" w:rsidRPr="00FD3E0B" w:rsidRDefault="00FD3E0B" w:rsidP="002537DA">
            <w:pPr>
              <w:pStyle w:val="TableText"/>
              <w:jc w:val="center"/>
              <w:rPr>
                <w:bCs/>
                <w:color w:val="000000"/>
                <w:highlight w:val="black"/>
              </w:rPr>
            </w:pPr>
            <w:r>
              <w:rPr>
                <w:rFonts w:eastAsia="Times New Roman" w:cs="Arial"/>
                <w:b/>
                <w:bCs/>
                <w:noProof/>
                <w:color w:val="000000"/>
                <w:szCs w:val="20"/>
                <w:highlight w:val="black"/>
              </w:rPr>
              <w:t>''''''''''''''''''''''''''</w:t>
            </w:r>
          </w:p>
        </w:tc>
        <w:tc>
          <w:tcPr>
            <w:tcW w:w="647" w:type="pct"/>
            <w:shd w:val="clear" w:color="auto" w:fill="auto"/>
            <w:vAlign w:val="center"/>
          </w:tcPr>
          <w:p w:rsidR="00556E5C" w:rsidRPr="00FD3E0B" w:rsidRDefault="00FD3E0B" w:rsidP="002537DA">
            <w:pPr>
              <w:pStyle w:val="TableText"/>
              <w:jc w:val="center"/>
              <w:rPr>
                <w:bCs/>
                <w:color w:val="000000"/>
                <w:highlight w:val="black"/>
              </w:rPr>
            </w:pPr>
            <w:r>
              <w:rPr>
                <w:rFonts w:eastAsia="Times New Roman" w:cs="Arial"/>
                <w:b/>
                <w:bCs/>
                <w:noProof/>
                <w:color w:val="000000"/>
                <w:szCs w:val="20"/>
                <w:highlight w:val="black"/>
              </w:rPr>
              <w:t>''''''''''''''''''''''</w:t>
            </w:r>
          </w:p>
        </w:tc>
        <w:tc>
          <w:tcPr>
            <w:tcW w:w="647" w:type="pct"/>
            <w:shd w:val="clear" w:color="auto" w:fill="auto"/>
            <w:vAlign w:val="center"/>
          </w:tcPr>
          <w:p w:rsidR="00556E5C" w:rsidRPr="00FD3E0B" w:rsidRDefault="00FD3E0B" w:rsidP="002537DA">
            <w:pPr>
              <w:pStyle w:val="TableText"/>
              <w:jc w:val="center"/>
              <w:rPr>
                <w:bCs/>
                <w:color w:val="000000"/>
                <w:highlight w:val="black"/>
              </w:rPr>
            </w:pPr>
            <w:r>
              <w:rPr>
                <w:rFonts w:eastAsia="Times New Roman" w:cs="Arial"/>
                <w:b/>
                <w:bCs/>
                <w:noProof/>
                <w:color w:val="000000"/>
                <w:szCs w:val="20"/>
                <w:highlight w:val="black"/>
              </w:rPr>
              <w:t>''''''''''''''''''''''''</w:t>
            </w:r>
          </w:p>
        </w:tc>
        <w:tc>
          <w:tcPr>
            <w:tcW w:w="647" w:type="pct"/>
            <w:shd w:val="clear" w:color="auto" w:fill="auto"/>
            <w:vAlign w:val="center"/>
          </w:tcPr>
          <w:p w:rsidR="00556E5C" w:rsidRPr="00FD3E0B" w:rsidRDefault="00FD3E0B" w:rsidP="002537DA">
            <w:pPr>
              <w:pStyle w:val="TableText"/>
              <w:jc w:val="center"/>
              <w:rPr>
                <w:bCs/>
                <w:color w:val="000000"/>
                <w:highlight w:val="black"/>
              </w:rPr>
            </w:pPr>
            <w:r>
              <w:rPr>
                <w:rFonts w:eastAsia="Times New Roman" w:cs="Arial"/>
                <w:b/>
                <w:bCs/>
                <w:noProof/>
                <w:color w:val="000000"/>
                <w:szCs w:val="20"/>
                <w:highlight w:val="black"/>
              </w:rPr>
              <w:t>'''''''''''''''''''''''</w:t>
            </w:r>
          </w:p>
        </w:tc>
        <w:tc>
          <w:tcPr>
            <w:tcW w:w="647" w:type="pct"/>
            <w:vAlign w:val="center"/>
          </w:tcPr>
          <w:p w:rsidR="00556E5C" w:rsidRPr="00FD3E0B" w:rsidRDefault="00FD3E0B" w:rsidP="002537DA">
            <w:pPr>
              <w:pStyle w:val="TableText"/>
              <w:jc w:val="center"/>
              <w:rPr>
                <w:bCs/>
                <w:color w:val="000000"/>
                <w:highlight w:val="black"/>
              </w:rPr>
            </w:pPr>
            <w:r>
              <w:rPr>
                <w:rFonts w:eastAsia="Times New Roman" w:cs="Arial"/>
                <w:b/>
                <w:bCs/>
                <w:noProof/>
                <w:color w:val="000000"/>
                <w:szCs w:val="20"/>
                <w:highlight w:val="black"/>
              </w:rPr>
              <w:t>'''''''''''''''''''''''''</w:t>
            </w:r>
          </w:p>
        </w:tc>
      </w:tr>
    </w:tbl>
    <w:p w:rsidR="00556E5C" w:rsidRPr="00EA448D" w:rsidRDefault="00556E5C" w:rsidP="00556E5C">
      <w:pPr>
        <w:pStyle w:val="TableFooter"/>
        <w:tabs>
          <w:tab w:val="left" w:pos="284"/>
        </w:tabs>
      </w:pPr>
      <w:proofErr w:type="spellStart"/>
      <w:proofErr w:type="gramStart"/>
      <w:r w:rsidRPr="00EA448D">
        <w:rPr>
          <w:vertAlign w:val="superscript"/>
        </w:rPr>
        <w:t>a</w:t>
      </w:r>
      <w:proofErr w:type="spellEnd"/>
      <w:proofErr w:type="gramEnd"/>
      <w:r w:rsidRPr="00EA448D">
        <w:tab/>
        <w:t>Assuming 2 scripts per year of treatment as estimated by the resubmission.</w:t>
      </w:r>
    </w:p>
    <w:p w:rsidR="00556E5C" w:rsidRDefault="00556E5C" w:rsidP="00556E5C">
      <w:pPr>
        <w:pStyle w:val="TableFooter"/>
      </w:pPr>
      <w:r w:rsidRPr="00EA448D">
        <w:t>Source:  Table 4.2.1, p 232, Table 4.4.1, p237, and Table 4.5.4, p238 of the resubmission</w:t>
      </w:r>
    </w:p>
    <w:p w:rsidR="004C1A21" w:rsidRDefault="004C1A21" w:rsidP="00556E5C">
      <w:pPr>
        <w:pStyle w:val="TableFooter"/>
      </w:pPr>
    </w:p>
    <w:p w:rsidR="004C1A21" w:rsidRPr="004C1A21" w:rsidRDefault="004C1A21" w:rsidP="00556E5C">
      <w:pPr>
        <w:pStyle w:val="TableFooter"/>
        <w:rPr>
          <w:rFonts w:asciiTheme="minorHAnsi" w:eastAsiaTheme="minorHAnsi" w:hAnsiTheme="minorHAnsi" w:cstheme="minorBidi"/>
          <w:snapToGrid/>
          <w:sz w:val="24"/>
          <w:szCs w:val="22"/>
        </w:rPr>
      </w:pPr>
      <w:r w:rsidRPr="004C1A21">
        <w:rPr>
          <w:rFonts w:asciiTheme="minorHAnsi" w:eastAsiaTheme="minorHAnsi" w:hAnsiTheme="minorHAnsi" w:cstheme="minorBidi"/>
          <w:snapToGrid/>
          <w:sz w:val="24"/>
          <w:szCs w:val="22"/>
        </w:rPr>
        <w:t>The redacted table shows that at year 5, the estimated number of patients was less than 10,000 per year.</w:t>
      </w:r>
    </w:p>
    <w:p w:rsidR="003A3B0B" w:rsidRDefault="008F0517" w:rsidP="003A3B0B">
      <w:pPr>
        <w:pStyle w:val="ListParagraph"/>
        <w:numPr>
          <w:ilvl w:val="1"/>
          <w:numId w:val="1"/>
        </w:numPr>
      </w:pPr>
      <w:r w:rsidRPr="00EA448D">
        <w:t xml:space="preserve">The financial estimates included in the </w:t>
      </w:r>
      <w:r>
        <w:t>re</w:t>
      </w:r>
      <w:r w:rsidRPr="00EA448D">
        <w:t xml:space="preserve">submission </w:t>
      </w:r>
      <w:proofErr w:type="gramStart"/>
      <w:r w:rsidR="00884EF6">
        <w:t>we</w:t>
      </w:r>
      <w:r w:rsidRPr="00EA448D">
        <w:t>re based</w:t>
      </w:r>
      <w:proofErr w:type="gramEnd"/>
      <w:r w:rsidRPr="00EA448D">
        <w:t xml:space="preserve"> on a</w:t>
      </w:r>
      <w:r w:rsidR="000B34A4">
        <w:t>n average dose requirement</w:t>
      </w:r>
      <w:r w:rsidRPr="00EA448D">
        <w:t xml:space="preserve"> of </w:t>
      </w:r>
      <w:r>
        <w:t>seven</w:t>
      </w:r>
      <w:r w:rsidRPr="00EA448D">
        <w:t xml:space="preserve"> tablets</w:t>
      </w:r>
      <w:r w:rsidR="000B34A4">
        <w:t xml:space="preserve"> per patient per course</w:t>
      </w:r>
      <w:r w:rsidRPr="00EA448D">
        <w:t>.</w:t>
      </w:r>
      <w:r w:rsidR="003A3B0B">
        <w:t xml:space="preserve"> </w:t>
      </w:r>
      <w:r w:rsidRPr="00EA448D">
        <w:t>The resubmission considered</w:t>
      </w:r>
      <w:r>
        <w:t xml:space="preserve"> </w:t>
      </w:r>
      <w:r w:rsidRPr="00EA448D">
        <w:t xml:space="preserve">that estimating financial implications for only six years would not capture the displacement of </w:t>
      </w:r>
      <w:proofErr w:type="spellStart"/>
      <w:r w:rsidRPr="00EA448D">
        <w:t>fingolimod</w:t>
      </w:r>
      <w:proofErr w:type="spellEnd"/>
      <w:r w:rsidRPr="00EA448D">
        <w:t xml:space="preserve"> in the years beyond Year 6. </w:t>
      </w:r>
      <w:r w:rsidR="003A3B0B">
        <w:t xml:space="preserve">Therefore, the resubmission </w:t>
      </w:r>
      <w:r w:rsidR="008C15BF">
        <w:t xml:space="preserve">also </w:t>
      </w:r>
      <w:r w:rsidR="003A3B0B">
        <w:t xml:space="preserve">presented financial estimates over nine years, as shown below. </w:t>
      </w:r>
    </w:p>
    <w:p w:rsidR="004A3E03" w:rsidRDefault="004A3E03">
      <w:pPr>
        <w:spacing w:before="0" w:line="259" w:lineRule="auto"/>
        <w:rPr>
          <w:rFonts w:ascii="Arial Narrow" w:hAnsi="Arial Narrow"/>
          <w:b/>
          <w:sz w:val="20"/>
        </w:rPr>
      </w:pPr>
      <w:r>
        <w:br w:type="page"/>
      </w:r>
    </w:p>
    <w:p w:rsidR="003A3B0B" w:rsidRPr="004D2DF8" w:rsidRDefault="003A3B0B" w:rsidP="003A3B0B">
      <w:pPr>
        <w:pStyle w:val="TableHeading0"/>
      </w:pPr>
      <w:r>
        <w:lastRenderedPageBreak/>
        <w:t>Table 8: Estimated net financial implications to the PBS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535"/>
        <w:gridCol w:w="949"/>
        <w:gridCol w:w="950"/>
        <w:gridCol w:w="950"/>
        <w:gridCol w:w="950"/>
        <w:gridCol w:w="948"/>
        <w:gridCol w:w="950"/>
        <w:gridCol w:w="950"/>
        <w:gridCol w:w="950"/>
        <w:gridCol w:w="952"/>
      </w:tblGrid>
      <w:tr w:rsidR="003A3B0B" w:rsidRPr="00925817" w:rsidTr="002409D6">
        <w:trPr>
          <w:trHeight w:val="152"/>
        </w:trPr>
        <w:tc>
          <w:tcPr>
            <w:tcW w:w="294" w:type="pct"/>
          </w:tcPr>
          <w:p w:rsidR="003A3B0B" w:rsidRPr="00FB4699" w:rsidRDefault="003A3B0B" w:rsidP="002409D6">
            <w:pPr>
              <w:spacing w:before="40" w:after="40"/>
              <w:rPr>
                <w:rFonts w:ascii="Arial Narrow" w:eastAsia="Times New Roman" w:hAnsi="Arial Narrow" w:cs="Times New Roman"/>
                <w:color w:val="000000"/>
                <w:sz w:val="20"/>
                <w:szCs w:val="20"/>
                <w:lang w:val="en-US"/>
              </w:rPr>
            </w:pPr>
          </w:p>
        </w:tc>
        <w:tc>
          <w:tcPr>
            <w:tcW w:w="522" w:type="pct"/>
            <w:shd w:val="clear" w:color="auto" w:fill="auto"/>
            <w:noWrap/>
            <w:vAlign w:val="center"/>
          </w:tcPr>
          <w:p w:rsidR="003A3B0B" w:rsidRPr="00925817" w:rsidRDefault="003A3B0B" w:rsidP="002409D6">
            <w:pPr>
              <w:spacing w:before="40" w:after="40"/>
              <w:jc w:val="center"/>
              <w:rPr>
                <w:rFonts w:ascii="Arial Narrow" w:eastAsia="Times New Roman" w:hAnsi="Arial Narrow" w:cs="Times New Roman"/>
                <w:b/>
                <w:color w:val="000000"/>
                <w:sz w:val="18"/>
                <w:szCs w:val="18"/>
                <w:lang w:val="en-US"/>
              </w:rPr>
            </w:pPr>
            <w:r w:rsidRPr="00925817">
              <w:rPr>
                <w:rFonts w:ascii="Arial Narrow" w:eastAsia="Times New Roman" w:hAnsi="Arial Narrow" w:cs="Times New Roman"/>
                <w:b/>
                <w:color w:val="000000"/>
                <w:sz w:val="18"/>
                <w:szCs w:val="18"/>
                <w:lang w:val="en-US"/>
              </w:rPr>
              <w:t>Year 1</w:t>
            </w:r>
          </w:p>
        </w:tc>
        <w:tc>
          <w:tcPr>
            <w:tcW w:w="523" w:type="pct"/>
            <w:shd w:val="clear" w:color="auto" w:fill="auto"/>
            <w:noWrap/>
            <w:vAlign w:val="center"/>
          </w:tcPr>
          <w:p w:rsidR="003A3B0B" w:rsidRPr="00925817" w:rsidRDefault="003A3B0B" w:rsidP="002409D6">
            <w:pPr>
              <w:spacing w:before="40" w:after="40"/>
              <w:jc w:val="center"/>
              <w:rPr>
                <w:rFonts w:ascii="Arial Narrow" w:eastAsia="Times New Roman" w:hAnsi="Arial Narrow" w:cs="Times New Roman"/>
                <w:b/>
                <w:color w:val="000000"/>
                <w:sz w:val="18"/>
                <w:szCs w:val="18"/>
                <w:lang w:val="en-US"/>
              </w:rPr>
            </w:pPr>
            <w:r w:rsidRPr="00925817">
              <w:rPr>
                <w:rFonts w:ascii="Arial Narrow" w:eastAsia="Times New Roman" w:hAnsi="Arial Narrow" w:cs="Times New Roman"/>
                <w:b/>
                <w:color w:val="000000"/>
                <w:sz w:val="18"/>
                <w:szCs w:val="18"/>
                <w:lang w:val="en-US"/>
              </w:rPr>
              <w:t>Year 2</w:t>
            </w:r>
          </w:p>
        </w:tc>
        <w:tc>
          <w:tcPr>
            <w:tcW w:w="523" w:type="pct"/>
            <w:shd w:val="clear" w:color="auto" w:fill="auto"/>
            <w:noWrap/>
            <w:vAlign w:val="center"/>
          </w:tcPr>
          <w:p w:rsidR="003A3B0B" w:rsidRPr="00925817" w:rsidRDefault="003A3B0B" w:rsidP="002409D6">
            <w:pPr>
              <w:spacing w:before="40" w:after="40"/>
              <w:jc w:val="center"/>
              <w:rPr>
                <w:rFonts w:ascii="Arial Narrow" w:eastAsia="Times New Roman" w:hAnsi="Arial Narrow" w:cs="Times New Roman"/>
                <w:b/>
                <w:color w:val="000000"/>
                <w:sz w:val="18"/>
                <w:szCs w:val="18"/>
                <w:lang w:val="en-US"/>
              </w:rPr>
            </w:pPr>
            <w:r w:rsidRPr="00925817">
              <w:rPr>
                <w:rFonts w:ascii="Arial Narrow" w:eastAsia="Times New Roman" w:hAnsi="Arial Narrow" w:cs="Times New Roman"/>
                <w:b/>
                <w:color w:val="000000"/>
                <w:sz w:val="18"/>
                <w:szCs w:val="18"/>
                <w:lang w:val="en-US"/>
              </w:rPr>
              <w:t>Year 3</w:t>
            </w:r>
          </w:p>
        </w:tc>
        <w:tc>
          <w:tcPr>
            <w:tcW w:w="523" w:type="pct"/>
            <w:shd w:val="clear" w:color="auto" w:fill="auto"/>
            <w:noWrap/>
            <w:vAlign w:val="center"/>
          </w:tcPr>
          <w:p w:rsidR="003A3B0B" w:rsidRPr="00925817" w:rsidRDefault="003A3B0B" w:rsidP="002409D6">
            <w:pPr>
              <w:spacing w:before="40" w:after="40"/>
              <w:jc w:val="center"/>
              <w:rPr>
                <w:rFonts w:ascii="Arial Narrow" w:eastAsia="Times New Roman" w:hAnsi="Arial Narrow" w:cs="Times New Roman"/>
                <w:b/>
                <w:color w:val="000000"/>
                <w:sz w:val="18"/>
                <w:szCs w:val="18"/>
                <w:lang w:val="en-US"/>
              </w:rPr>
            </w:pPr>
            <w:r w:rsidRPr="00925817">
              <w:rPr>
                <w:rFonts w:ascii="Arial Narrow" w:eastAsia="Times New Roman" w:hAnsi="Arial Narrow" w:cs="Times New Roman"/>
                <w:b/>
                <w:color w:val="000000"/>
                <w:sz w:val="18"/>
                <w:szCs w:val="18"/>
                <w:lang w:val="en-US"/>
              </w:rPr>
              <w:t>Year 4</w:t>
            </w:r>
          </w:p>
        </w:tc>
        <w:tc>
          <w:tcPr>
            <w:tcW w:w="522" w:type="pct"/>
            <w:shd w:val="clear" w:color="auto" w:fill="auto"/>
            <w:noWrap/>
            <w:vAlign w:val="center"/>
          </w:tcPr>
          <w:p w:rsidR="003A3B0B" w:rsidRPr="00925817" w:rsidRDefault="003A3B0B" w:rsidP="002409D6">
            <w:pPr>
              <w:spacing w:before="40" w:after="40"/>
              <w:jc w:val="center"/>
              <w:rPr>
                <w:rFonts w:ascii="Arial Narrow" w:eastAsia="Times New Roman" w:hAnsi="Arial Narrow" w:cs="Times New Roman"/>
                <w:b/>
                <w:color w:val="000000"/>
                <w:sz w:val="18"/>
                <w:szCs w:val="18"/>
                <w:lang w:val="en-US"/>
              </w:rPr>
            </w:pPr>
            <w:r w:rsidRPr="00925817">
              <w:rPr>
                <w:rFonts w:ascii="Arial Narrow" w:eastAsia="Times New Roman" w:hAnsi="Arial Narrow" w:cs="Times New Roman"/>
                <w:b/>
                <w:color w:val="000000"/>
                <w:sz w:val="18"/>
                <w:szCs w:val="18"/>
                <w:lang w:val="en-US"/>
              </w:rPr>
              <w:t>Year 5</w:t>
            </w:r>
          </w:p>
        </w:tc>
        <w:tc>
          <w:tcPr>
            <w:tcW w:w="523" w:type="pct"/>
            <w:shd w:val="clear" w:color="auto" w:fill="auto"/>
            <w:noWrap/>
            <w:vAlign w:val="center"/>
          </w:tcPr>
          <w:p w:rsidR="003A3B0B" w:rsidRPr="00925817" w:rsidRDefault="003A3B0B" w:rsidP="002409D6">
            <w:pPr>
              <w:spacing w:before="40" w:after="40"/>
              <w:jc w:val="center"/>
              <w:rPr>
                <w:rFonts w:ascii="Arial Narrow" w:eastAsia="Times New Roman" w:hAnsi="Arial Narrow" w:cs="Times New Roman"/>
                <w:b/>
                <w:color w:val="000000"/>
                <w:sz w:val="18"/>
                <w:szCs w:val="18"/>
                <w:lang w:val="en-US"/>
              </w:rPr>
            </w:pPr>
            <w:r w:rsidRPr="00925817">
              <w:rPr>
                <w:rFonts w:ascii="Arial Narrow" w:eastAsia="Times New Roman" w:hAnsi="Arial Narrow" w:cs="Times New Roman"/>
                <w:b/>
                <w:color w:val="000000"/>
                <w:sz w:val="18"/>
                <w:szCs w:val="18"/>
                <w:lang w:val="en-US"/>
              </w:rPr>
              <w:t>Year 6</w:t>
            </w:r>
          </w:p>
        </w:tc>
        <w:tc>
          <w:tcPr>
            <w:tcW w:w="523" w:type="pct"/>
            <w:shd w:val="clear" w:color="auto" w:fill="auto"/>
            <w:noWrap/>
            <w:vAlign w:val="center"/>
          </w:tcPr>
          <w:p w:rsidR="003A3B0B" w:rsidRPr="00925817" w:rsidRDefault="003A3B0B" w:rsidP="002409D6">
            <w:pPr>
              <w:spacing w:before="40" w:after="40"/>
              <w:jc w:val="center"/>
              <w:rPr>
                <w:rFonts w:ascii="Arial Narrow" w:eastAsia="Times New Roman" w:hAnsi="Arial Narrow" w:cs="Times New Roman"/>
                <w:b/>
                <w:color w:val="000000"/>
                <w:sz w:val="18"/>
                <w:szCs w:val="18"/>
                <w:lang w:val="en-US"/>
              </w:rPr>
            </w:pPr>
            <w:r w:rsidRPr="00925817">
              <w:rPr>
                <w:rFonts w:ascii="Arial Narrow" w:eastAsia="Times New Roman" w:hAnsi="Arial Narrow" w:cs="Times New Roman"/>
                <w:b/>
                <w:color w:val="000000"/>
                <w:sz w:val="18"/>
                <w:szCs w:val="18"/>
                <w:lang w:val="en-US"/>
              </w:rPr>
              <w:t>Year 7</w:t>
            </w:r>
          </w:p>
        </w:tc>
        <w:tc>
          <w:tcPr>
            <w:tcW w:w="523" w:type="pct"/>
            <w:shd w:val="clear" w:color="auto" w:fill="auto"/>
            <w:noWrap/>
            <w:vAlign w:val="center"/>
          </w:tcPr>
          <w:p w:rsidR="003A3B0B" w:rsidRPr="00925817" w:rsidRDefault="003A3B0B" w:rsidP="002409D6">
            <w:pPr>
              <w:spacing w:before="40" w:after="40"/>
              <w:jc w:val="center"/>
              <w:rPr>
                <w:rFonts w:ascii="Arial Narrow" w:eastAsia="Times New Roman" w:hAnsi="Arial Narrow" w:cs="Times New Roman"/>
                <w:b/>
                <w:color w:val="000000"/>
                <w:sz w:val="18"/>
                <w:szCs w:val="18"/>
                <w:lang w:val="en-US"/>
              </w:rPr>
            </w:pPr>
            <w:r w:rsidRPr="00925817">
              <w:rPr>
                <w:rFonts w:ascii="Arial Narrow" w:eastAsia="Times New Roman" w:hAnsi="Arial Narrow" w:cs="Times New Roman"/>
                <w:b/>
                <w:color w:val="000000"/>
                <w:sz w:val="18"/>
                <w:szCs w:val="18"/>
                <w:lang w:val="en-US"/>
              </w:rPr>
              <w:t>Year 8</w:t>
            </w:r>
          </w:p>
        </w:tc>
        <w:tc>
          <w:tcPr>
            <w:tcW w:w="523" w:type="pct"/>
            <w:shd w:val="clear" w:color="auto" w:fill="auto"/>
            <w:noWrap/>
            <w:vAlign w:val="center"/>
          </w:tcPr>
          <w:p w:rsidR="003A3B0B" w:rsidRPr="00925817" w:rsidRDefault="003A3B0B" w:rsidP="002409D6">
            <w:pPr>
              <w:spacing w:before="40" w:after="40"/>
              <w:jc w:val="center"/>
              <w:rPr>
                <w:rFonts w:ascii="Arial Narrow" w:eastAsia="Times New Roman" w:hAnsi="Arial Narrow" w:cs="Times New Roman"/>
                <w:b/>
                <w:color w:val="000000"/>
                <w:sz w:val="18"/>
                <w:szCs w:val="18"/>
                <w:lang w:val="en-US"/>
              </w:rPr>
            </w:pPr>
            <w:r w:rsidRPr="00925817">
              <w:rPr>
                <w:rFonts w:ascii="Arial Narrow" w:eastAsia="Times New Roman" w:hAnsi="Arial Narrow" w:cs="Times New Roman"/>
                <w:b/>
                <w:color w:val="000000"/>
                <w:sz w:val="18"/>
                <w:szCs w:val="18"/>
                <w:lang w:val="en-US"/>
              </w:rPr>
              <w:t>Year 9</w:t>
            </w:r>
          </w:p>
        </w:tc>
      </w:tr>
      <w:tr w:rsidR="003A3B0B" w:rsidRPr="00925817" w:rsidTr="002409D6">
        <w:trPr>
          <w:trHeight w:val="197"/>
        </w:trPr>
        <w:tc>
          <w:tcPr>
            <w:tcW w:w="5000" w:type="pct"/>
            <w:gridSpan w:val="10"/>
          </w:tcPr>
          <w:p w:rsidR="003A3B0B" w:rsidRPr="00925817" w:rsidRDefault="003A3B0B" w:rsidP="002409D6">
            <w:pPr>
              <w:spacing w:before="40" w:after="40"/>
              <w:rPr>
                <w:rFonts w:ascii="Arial Narrow" w:eastAsia="Times New Roman" w:hAnsi="Arial Narrow" w:cs="Times New Roman"/>
                <w:color w:val="000000"/>
                <w:sz w:val="18"/>
                <w:szCs w:val="18"/>
                <w:lang w:val="en-US"/>
              </w:rPr>
            </w:pPr>
            <w:r>
              <w:rPr>
                <w:rFonts w:ascii="Arial Narrow" w:eastAsia="Times New Roman" w:hAnsi="Arial Narrow" w:cs="Times New Roman"/>
                <w:color w:val="000000"/>
                <w:sz w:val="18"/>
                <w:szCs w:val="18"/>
                <w:lang w:val="en-US"/>
              </w:rPr>
              <w:t xml:space="preserve">Expected cost of listing </w:t>
            </w:r>
            <w:proofErr w:type="spellStart"/>
            <w:r>
              <w:rPr>
                <w:rFonts w:ascii="Arial Narrow" w:eastAsia="Times New Roman" w:hAnsi="Arial Narrow" w:cs="Times New Roman"/>
                <w:color w:val="000000"/>
                <w:sz w:val="18"/>
                <w:szCs w:val="18"/>
                <w:lang w:val="en-US"/>
              </w:rPr>
              <w:t>cladribine</w:t>
            </w:r>
            <w:proofErr w:type="spellEnd"/>
            <w:r>
              <w:rPr>
                <w:rFonts w:ascii="Arial Narrow" w:eastAsia="Times New Roman" w:hAnsi="Arial Narrow" w:cs="Times New Roman"/>
                <w:color w:val="000000"/>
                <w:sz w:val="18"/>
                <w:szCs w:val="18"/>
                <w:lang w:val="en-US"/>
              </w:rPr>
              <w:t xml:space="preserve"> on PBS</w:t>
            </w:r>
          </w:p>
        </w:tc>
      </w:tr>
      <w:tr w:rsidR="003A3B0B" w:rsidRPr="00925817" w:rsidTr="002409D6">
        <w:trPr>
          <w:trHeight w:val="480"/>
        </w:trPr>
        <w:tc>
          <w:tcPr>
            <w:tcW w:w="294" w:type="pct"/>
          </w:tcPr>
          <w:p w:rsidR="003A3B0B" w:rsidRPr="00365F40" w:rsidRDefault="003A3B0B" w:rsidP="002409D6">
            <w:pPr>
              <w:spacing w:before="40" w:after="40"/>
              <w:rPr>
                <w:rFonts w:ascii="Arial Narrow" w:eastAsia="Times New Roman" w:hAnsi="Arial Narrow" w:cs="Times New Roman"/>
                <w:color w:val="000000"/>
                <w:sz w:val="18"/>
                <w:szCs w:val="18"/>
                <w:lang w:val="en-US"/>
              </w:rPr>
            </w:pPr>
            <w:r w:rsidRPr="00365F40">
              <w:rPr>
                <w:rFonts w:ascii="Arial Narrow" w:eastAsia="Times New Roman" w:hAnsi="Arial Narrow" w:cs="Times New Roman"/>
                <w:color w:val="000000"/>
                <w:sz w:val="18"/>
                <w:szCs w:val="18"/>
                <w:lang w:val="en-US"/>
              </w:rPr>
              <w:t xml:space="preserve">PBS scripts </w:t>
            </w:r>
          </w:p>
        </w:tc>
        <w:tc>
          <w:tcPr>
            <w:tcW w:w="522"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bCs/>
                <w:sz w:val="18"/>
                <w:szCs w:val="18"/>
                <w:highlight w:val="black"/>
              </w:rPr>
            </w:pPr>
            <w:r>
              <w:rPr>
                <w:rFonts w:ascii="Arial Narrow" w:eastAsia="Times New Roman" w:hAnsi="Arial Narrow" w:cs="Arial"/>
                <w:bCs/>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bCs/>
                <w:sz w:val="18"/>
                <w:szCs w:val="18"/>
                <w:highlight w:val="black"/>
              </w:rPr>
            </w:pPr>
            <w:r>
              <w:rPr>
                <w:rFonts w:ascii="Arial Narrow" w:eastAsia="Times New Roman" w:hAnsi="Arial Narrow" w:cs="Arial"/>
                <w:bCs/>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bCs/>
                <w:sz w:val="18"/>
                <w:szCs w:val="18"/>
                <w:highlight w:val="black"/>
              </w:rPr>
            </w:pPr>
            <w:r>
              <w:rPr>
                <w:rFonts w:ascii="Arial Narrow" w:eastAsia="Times New Roman" w:hAnsi="Arial Narrow" w:cs="Arial"/>
                <w:bCs/>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bCs/>
                <w:sz w:val="18"/>
                <w:szCs w:val="18"/>
                <w:highlight w:val="black"/>
              </w:rPr>
            </w:pPr>
            <w:r>
              <w:rPr>
                <w:rFonts w:ascii="Arial Narrow" w:eastAsia="Times New Roman" w:hAnsi="Arial Narrow" w:cs="Arial"/>
                <w:bCs/>
                <w:noProof/>
                <w:color w:val="000000"/>
                <w:sz w:val="18"/>
                <w:szCs w:val="18"/>
                <w:highlight w:val="black"/>
              </w:rPr>
              <w:t>''''''''''''''</w:t>
            </w:r>
          </w:p>
        </w:tc>
        <w:tc>
          <w:tcPr>
            <w:tcW w:w="522"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bCs/>
                <w:sz w:val="18"/>
                <w:szCs w:val="18"/>
                <w:highlight w:val="black"/>
              </w:rPr>
            </w:pPr>
            <w:r>
              <w:rPr>
                <w:rFonts w:ascii="Arial Narrow" w:eastAsia="Times New Roman" w:hAnsi="Arial Narrow" w:cs="Arial"/>
                <w:bCs/>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bCs/>
                <w:sz w:val="18"/>
                <w:szCs w:val="18"/>
                <w:highlight w:val="black"/>
              </w:rPr>
            </w:pPr>
            <w:r>
              <w:rPr>
                <w:rFonts w:ascii="Arial Narrow" w:eastAsia="Times New Roman" w:hAnsi="Arial Narrow" w:cs="Arial"/>
                <w:bCs/>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bCs/>
                <w:sz w:val="18"/>
                <w:szCs w:val="18"/>
                <w:highlight w:val="black"/>
              </w:rPr>
            </w:pPr>
            <w:r>
              <w:rPr>
                <w:rFonts w:ascii="Arial Narrow" w:eastAsia="Times New Roman" w:hAnsi="Arial Narrow" w:cs="Arial"/>
                <w:bCs/>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bCs/>
                <w:sz w:val="18"/>
                <w:szCs w:val="18"/>
                <w:highlight w:val="black"/>
              </w:rPr>
            </w:pPr>
            <w:r>
              <w:rPr>
                <w:rFonts w:ascii="Arial Narrow" w:eastAsia="Times New Roman" w:hAnsi="Arial Narrow" w:cs="Arial"/>
                <w:bCs/>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bCs/>
                <w:sz w:val="18"/>
                <w:szCs w:val="18"/>
                <w:highlight w:val="black"/>
              </w:rPr>
            </w:pPr>
            <w:r>
              <w:rPr>
                <w:rFonts w:ascii="Arial Narrow" w:eastAsia="Times New Roman" w:hAnsi="Arial Narrow" w:cs="Arial"/>
                <w:bCs/>
                <w:noProof/>
                <w:color w:val="000000"/>
                <w:sz w:val="18"/>
                <w:szCs w:val="18"/>
                <w:highlight w:val="black"/>
              </w:rPr>
              <w:t>'''</w:t>
            </w:r>
          </w:p>
        </w:tc>
      </w:tr>
      <w:tr w:rsidR="003A3B0B" w:rsidRPr="00925817" w:rsidTr="002409D6">
        <w:trPr>
          <w:trHeight w:val="300"/>
        </w:trPr>
        <w:tc>
          <w:tcPr>
            <w:tcW w:w="294" w:type="pct"/>
          </w:tcPr>
          <w:p w:rsidR="003A3B0B" w:rsidRPr="00365F40" w:rsidRDefault="003A3B0B" w:rsidP="002409D6">
            <w:pPr>
              <w:spacing w:before="40" w:after="40"/>
              <w:rPr>
                <w:rFonts w:ascii="Arial Narrow" w:eastAsia="Times New Roman" w:hAnsi="Arial Narrow" w:cs="Times New Roman"/>
                <w:color w:val="000000"/>
                <w:sz w:val="18"/>
                <w:szCs w:val="18"/>
                <w:lang w:val="en-US"/>
              </w:rPr>
            </w:pPr>
            <w:r w:rsidRPr="00365F40">
              <w:rPr>
                <w:rFonts w:ascii="Arial Narrow" w:eastAsia="Times New Roman" w:hAnsi="Arial Narrow" w:cs="Times New Roman"/>
                <w:color w:val="000000"/>
                <w:sz w:val="18"/>
                <w:szCs w:val="18"/>
                <w:lang w:val="en-US"/>
              </w:rPr>
              <w:t>PBS costs</w:t>
            </w:r>
          </w:p>
        </w:tc>
        <w:tc>
          <w:tcPr>
            <w:tcW w:w="522" w:type="pct"/>
            <w:shd w:val="clear" w:color="auto" w:fill="auto"/>
            <w:noWrap/>
            <w:vAlign w:val="center"/>
          </w:tcPr>
          <w:p w:rsidR="003A3B0B" w:rsidRPr="00FD3E0B" w:rsidRDefault="00FD3E0B" w:rsidP="002409D6">
            <w:pPr>
              <w:spacing w:before="40" w:after="40"/>
              <w:jc w:val="center"/>
              <w:rPr>
                <w:rFonts w:ascii="Arial Narrow" w:eastAsia="Times New Roman" w:hAnsi="Arial Narrow" w:cs="Times New Roman"/>
                <w:b/>
                <w:sz w:val="18"/>
                <w:szCs w:val="18"/>
                <w:highlight w:val="black"/>
                <w:lang w:val="en-US"/>
              </w:rPr>
            </w:pPr>
            <w:r>
              <w:rPr>
                <w:rFonts w:ascii="Arial Narrow" w:eastAsia="Times New Roman" w:hAnsi="Arial Narrow" w:cs="Arial"/>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Times New Roman"/>
                <w:b/>
                <w:sz w:val="17"/>
                <w:szCs w:val="17"/>
                <w:highlight w:val="black"/>
                <w:lang w:val="en-US"/>
              </w:rPr>
            </w:pPr>
            <w:r>
              <w:rPr>
                <w:rFonts w:ascii="Arial Narrow" w:eastAsia="Times New Roman" w:hAnsi="Arial Narrow" w:cs="Arial"/>
                <w:noProof/>
                <w:color w:val="000000"/>
                <w:sz w:val="17"/>
                <w:szCs w:val="17"/>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Times New Roman"/>
                <w:sz w:val="17"/>
                <w:szCs w:val="17"/>
                <w:highlight w:val="black"/>
                <w:lang w:val="en-US"/>
              </w:rPr>
            </w:pPr>
            <w:r>
              <w:rPr>
                <w:rFonts w:ascii="Arial Narrow" w:eastAsia="Times New Roman" w:hAnsi="Arial Narrow" w:cs="Arial"/>
                <w:noProof/>
                <w:color w:val="000000"/>
                <w:sz w:val="17"/>
                <w:szCs w:val="17"/>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Times New Roman"/>
                <w:sz w:val="18"/>
                <w:szCs w:val="18"/>
                <w:highlight w:val="black"/>
                <w:lang w:val="en-US"/>
              </w:rPr>
            </w:pPr>
            <w:r>
              <w:rPr>
                <w:rFonts w:ascii="Arial Narrow" w:eastAsia="Times New Roman" w:hAnsi="Arial Narrow" w:cs="Arial"/>
                <w:noProof/>
                <w:color w:val="000000"/>
                <w:sz w:val="18"/>
                <w:szCs w:val="18"/>
                <w:highlight w:val="black"/>
              </w:rPr>
              <w:t>''''''''''''''''''''''''''''</w:t>
            </w:r>
          </w:p>
        </w:tc>
        <w:tc>
          <w:tcPr>
            <w:tcW w:w="522" w:type="pct"/>
            <w:shd w:val="clear" w:color="auto" w:fill="auto"/>
            <w:noWrap/>
            <w:vAlign w:val="center"/>
          </w:tcPr>
          <w:p w:rsidR="003A3B0B" w:rsidRPr="00FD3E0B" w:rsidRDefault="00FD3E0B" w:rsidP="002409D6">
            <w:pPr>
              <w:spacing w:before="40" w:after="40"/>
              <w:jc w:val="center"/>
              <w:rPr>
                <w:rFonts w:ascii="Arial Narrow" w:eastAsia="Times New Roman" w:hAnsi="Arial Narrow" w:cs="Times New Roman"/>
                <w:b/>
                <w:sz w:val="18"/>
                <w:szCs w:val="18"/>
                <w:highlight w:val="black"/>
                <w:lang w:val="en-US"/>
              </w:rPr>
            </w:pPr>
            <w:r>
              <w:rPr>
                <w:rFonts w:ascii="Arial Narrow" w:eastAsia="Times New Roman" w:hAnsi="Arial Narrow" w:cs="Arial"/>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Times New Roman"/>
                <w:b/>
                <w:sz w:val="17"/>
                <w:szCs w:val="17"/>
                <w:highlight w:val="black"/>
                <w:lang w:val="en-US"/>
              </w:rPr>
            </w:pPr>
            <w:r>
              <w:rPr>
                <w:rFonts w:ascii="Arial Narrow" w:eastAsia="Times New Roman" w:hAnsi="Arial Narrow" w:cs="Arial"/>
                <w:noProof/>
                <w:color w:val="000000"/>
                <w:sz w:val="17"/>
                <w:szCs w:val="17"/>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Times New Roman"/>
                <w:sz w:val="18"/>
                <w:szCs w:val="18"/>
                <w:highlight w:val="black"/>
                <w:lang w:val="en-US"/>
              </w:rPr>
            </w:pPr>
            <w:r>
              <w:rPr>
                <w:rFonts w:ascii="Arial Narrow" w:eastAsia="Times New Roman" w:hAnsi="Arial Narrow" w:cs="Times New Roman"/>
                <w:noProof/>
                <w:color w:val="000000"/>
                <w:sz w:val="18"/>
                <w:szCs w:val="18"/>
                <w:highlight w:val="black"/>
                <w:lang w:val="en-US"/>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Times New Roman"/>
                <w:sz w:val="18"/>
                <w:szCs w:val="18"/>
                <w:highlight w:val="black"/>
                <w:lang w:val="en-US"/>
              </w:rPr>
            </w:pPr>
            <w:r>
              <w:rPr>
                <w:rFonts w:ascii="Arial Narrow" w:eastAsia="Times New Roman" w:hAnsi="Arial Narrow" w:cs="Arial"/>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Times New Roman"/>
                <w:sz w:val="18"/>
                <w:szCs w:val="18"/>
                <w:highlight w:val="black"/>
                <w:lang w:val="en-US"/>
              </w:rPr>
            </w:pPr>
            <w:r>
              <w:rPr>
                <w:rFonts w:ascii="Arial Narrow" w:eastAsia="Times New Roman" w:hAnsi="Arial Narrow" w:cs="Arial"/>
                <w:noProof/>
                <w:color w:val="000000"/>
                <w:sz w:val="18"/>
                <w:szCs w:val="18"/>
                <w:highlight w:val="black"/>
              </w:rPr>
              <w:t>''''''</w:t>
            </w:r>
          </w:p>
        </w:tc>
      </w:tr>
      <w:tr w:rsidR="003A3B0B" w:rsidRPr="00925817" w:rsidTr="002409D6">
        <w:trPr>
          <w:trHeight w:val="300"/>
        </w:trPr>
        <w:tc>
          <w:tcPr>
            <w:tcW w:w="294" w:type="pct"/>
          </w:tcPr>
          <w:p w:rsidR="003A3B0B" w:rsidRPr="00365F40" w:rsidRDefault="003A3B0B" w:rsidP="002409D6">
            <w:pPr>
              <w:spacing w:before="40" w:after="40"/>
              <w:rPr>
                <w:rFonts w:ascii="Arial Narrow" w:eastAsia="Times New Roman" w:hAnsi="Arial Narrow" w:cs="Times New Roman"/>
                <w:color w:val="000000"/>
                <w:sz w:val="18"/>
                <w:szCs w:val="18"/>
                <w:lang w:val="en-US"/>
              </w:rPr>
            </w:pPr>
            <w:r w:rsidRPr="00365F40">
              <w:rPr>
                <w:rFonts w:ascii="Arial Narrow" w:eastAsia="Times New Roman" w:hAnsi="Arial Narrow" w:cs="Times New Roman"/>
                <w:color w:val="000000"/>
                <w:sz w:val="18"/>
                <w:szCs w:val="18"/>
                <w:lang w:val="en-US"/>
              </w:rPr>
              <w:t>Copay</w:t>
            </w:r>
          </w:p>
        </w:tc>
        <w:tc>
          <w:tcPr>
            <w:tcW w:w="522" w:type="pct"/>
            <w:shd w:val="clear" w:color="auto" w:fill="auto"/>
            <w:noWrap/>
            <w:vAlign w:val="center"/>
          </w:tcPr>
          <w:p w:rsidR="003A3B0B" w:rsidRPr="00FD3E0B" w:rsidRDefault="00FD3E0B" w:rsidP="002409D6">
            <w:pPr>
              <w:spacing w:before="40" w:after="40"/>
              <w:jc w:val="center"/>
              <w:rPr>
                <w:rFonts w:ascii="Arial Narrow" w:eastAsia="Times New Roman" w:hAnsi="Arial Narrow" w:cs="Times New Roman"/>
                <w:sz w:val="18"/>
                <w:szCs w:val="18"/>
                <w:highlight w:val="black"/>
                <w:lang w:val="en-US"/>
              </w:rPr>
            </w:pPr>
            <w:r>
              <w:rPr>
                <w:rFonts w:ascii="Arial Narrow" w:eastAsia="Times New Roman" w:hAnsi="Arial Narrow" w:cs="Arial"/>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Times New Roman"/>
                <w:b/>
                <w:sz w:val="18"/>
                <w:szCs w:val="18"/>
                <w:highlight w:val="black"/>
                <w:lang w:val="en-US"/>
              </w:rPr>
            </w:pPr>
            <w:r>
              <w:rPr>
                <w:rFonts w:ascii="Arial Narrow" w:eastAsia="Times New Roman" w:hAnsi="Arial Narrow" w:cs="Arial"/>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Times New Roman"/>
                <w:b/>
                <w:sz w:val="18"/>
                <w:szCs w:val="18"/>
                <w:highlight w:val="black"/>
                <w:lang w:val="en-US"/>
              </w:rPr>
            </w:pPr>
            <w:r>
              <w:rPr>
                <w:rFonts w:ascii="Arial Narrow" w:eastAsia="Times New Roman" w:hAnsi="Arial Narrow" w:cs="Arial"/>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Times New Roman"/>
                <w:sz w:val="18"/>
                <w:szCs w:val="18"/>
                <w:highlight w:val="black"/>
                <w:lang w:val="en-US"/>
              </w:rPr>
            </w:pPr>
            <w:r>
              <w:rPr>
                <w:rFonts w:ascii="Arial Narrow" w:eastAsia="Times New Roman" w:hAnsi="Arial Narrow" w:cs="Arial"/>
                <w:noProof/>
                <w:color w:val="000000"/>
                <w:sz w:val="18"/>
                <w:szCs w:val="18"/>
                <w:highlight w:val="black"/>
              </w:rPr>
              <w:t>''''''''''''''''''''</w:t>
            </w:r>
          </w:p>
        </w:tc>
        <w:tc>
          <w:tcPr>
            <w:tcW w:w="522" w:type="pct"/>
            <w:shd w:val="clear" w:color="auto" w:fill="auto"/>
            <w:noWrap/>
            <w:vAlign w:val="center"/>
          </w:tcPr>
          <w:p w:rsidR="003A3B0B" w:rsidRPr="00FD3E0B" w:rsidRDefault="00FD3E0B" w:rsidP="002409D6">
            <w:pPr>
              <w:spacing w:before="40" w:after="40"/>
              <w:jc w:val="center"/>
              <w:rPr>
                <w:rFonts w:ascii="Arial Narrow" w:eastAsia="Times New Roman" w:hAnsi="Arial Narrow" w:cs="Times New Roman"/>
                <w:sz w:val="18"/>
                <w:szCs w:val="18"/>
                <w:highlight w:val="black"/>
                <w:lang w:val="en-US"/>
              </w:rPr>
            </w:pPr>
            <w:r>
              <w:rPr>
                <w:rFonts w:ascii="Arial Narrow" w:eastAsia="Times New Roman" w:hAnsi="Arial Narrow" w:cs="Arial"/>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Times New Roman"/>
                <w:b/>
                <w:sz w:val="18"/>
                <w:szCs w:val="18"/>
                <w:highlight w:val="black"/>
                <w:lang w:val="en-US"/>
              </w:rPr>
            </w:pPr>
            <w:r>
              <w:rPr>
                <w:rFonts w:ascii="Arial Narrow" w:eastAsia="Times New Roman" w:hAnsi="Arial Narrow" w:cs="Arial"/>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Times New Roman"/>
                <w:b/>
                <w:sz w:val="18"/>
                <w:szCs w:val="18"/>
                <w:highlight w:val="black"/>
                <w:lang w:val="en-US"/>
              </w:rPr>
            </w:pPr>
            <w:r>
              <w:rPr>
                <w:rFonts w:ascii="Arial Narrow" w:eastAsia="Times New Roman" w:hAnsi="Arial Narrow" w:cs="Arial"/>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Times New Roman"/>
                <w:sz w:val="18"/>
                <w:szCs w:val="18"/>
                <w:highlight w:val="black"/>
                <w:lang w:val="en-US"/>
              </w:rPr>
            </w:pPr>
            <w:r>
              <w:rPr>
                <w:rFonts w:ascii="Arial Narrow" w:eastAsia="Times New Roman" w:hAnsi="Arial Narrow" w:cs="Arial"/>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Times New Roman"/>
                <w:sz w:val="18"/>
                <w:szCs w:val="18"/>
                <w:highlight w:val="black"/>
                <w:lang w:val="en-US"/>
              </w:rPr>
            </w:pPr>
            <w:r>
              <w:rPr>
                <w:rFonts w:ascii="Arial Narrow" w:eastAsia="Times New Roman" w:hAnsi="Arial Narrow" w:cs="Arial"/>
                <w:noProof/>
                <w:color w:val="000000"/>
                <w:sz w:val="18"/>
                <w:szCs w:val="18"/>
                <w:highlight w:val="black"/>
              </w:rPr>
              <w:t>''''''</w:t>
            </w:r>
          </w:p>
        </w:tc>
      </w:tr>
      <w:tr w:rsidR="003A3B0B" w:rsidRPr="004D2DF8" w:rsidTr="002409D6">
        <w:trPr>
          <w:trHeight w:val="89"/>
        </w:trPr>
        <w:tc>
          <w:tcPr>
            <w:tcW w:w="294" w:type="pct"/>
          </w:tcPr>
          <w:p w:rsidR="003A3B0B" w:rsidRPr="00365F40" w:rsidRDefault="003A3B0B" w:rsidP="002409D6">
            <w:pPr>
              <w:spacing w:before="40" w:after="40"/>
              <w:rPr>
                <w:rFonts w:ascii="Arial Narrow" w:eastAsia="Times New Roman" w:hAnsi="Arial Narrow" w:cs="Times New Roman"/>
                <w:color w:val="000000"/>
                <w:sz w:val="18"/>
                <w:szCs w:val="18"/>
                <w:lang w:val="en-US"/>
              </w:rPr>
            </w:pPr>
            <w:r w:rsidRPr="00365F40">
              <w:rPr>
                <w:rFonts w:ascii="Arial Narrow" w:eastAsia="Times New Roman" w:hAnsi="Arial Narrow" w:cs="Times New Roman"/>
                <w:color w:val="000000"/>
                <w:sz w:val="18"/>
                <w:szCs w:val="18"/>
                <w:lang w:val="en-US"/>
              </w:rPr>
              <w:t>Net cost</w:t>
            </w:r>
          </w:p>
        </w:tc>
        <w:tc>
          <w:tcPr>
            <w:tcW w:w="522" w:type="pct"/>
            <w:shd w:val="clear" w:color="auto" w:fill="auto"/>
            <w:noWrap/>
            <w:vAlign w:val="center"/>
          </w:tcPr>
          <w:p w:rsidR="003A3B0B" w:rsidRPr="00FD3E0B" w:rsidRDefault="00FD3E0B" w:rsidP="002409D6">
            <w:pPr>
              <w:spacing w:before="40" w:after="40"/>
              <w:jc w:val="center"/>
              <w:rPr>
                <w:rFonts w:ascii="Arial Narrow" w:eastAsia="Times New Roman" w:hAnsi="Arial Narrow" w:cs="Times New Roman"/>
                <w:sz w:val="18"/>
                <w:szCs w:val="18"/>
                <w:highlight w:val="black"/>
                <w:lang w:val="en-US"/>
              </w:rPr>
            </w:pPr>
            <w:r>
              <w:rPr>
                <w:rFonts w:ascii="Arial Narrow" w:eastAsia="Times New Roman" w:hAnsi="Arial Narrow" w:cs="Arial"/>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Times New Roman"/>
                <w:sz w:val="17"/>
                <w:szCs w:val="17"/>
                <w:highlight w:val="black"/>
                <w:lang w:val="en-US"/>
              </w:rPr>
            </w:pPr>
            <w:r>
              <w:rPr>
                <w:rFonts w:ascii="Arial Narrow" w:eastAsia="Times New Roman" w:hAnsi="Arial Narrow" w:cs="Arial"/>
                <w:noProof/>
                <w:color w:val="000000"/>
                <w:sz w:val="17"/>
                <w:szCs w:val="17"/>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Times New Roman"/>
                <w:b/>
                <w:sz w:val="17"/>
                <w:szCs w:val="17"/>
                <w:highlight w:val="black"/>
                <w:lang w:val="en-US"/>
              </w:rPr>
            </w:pPr>
            <w:r>
              <w:rPr>
                <w:rFonts w:ascii="Arial Narrow" w:eastAsia="Times New Roman" w:hAnsi="Arial Narrow" w:cs="Arial"/>
                <w:noProof/>
                <w:color w:val="000000"/>
                <w:sz w:val="17"/>
                <w:szCs w:val="17"/>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Times New Roman"/>
                <w:b/>
                <w:sz w:val="18"/>
                <w:szCs w:val="18"/>
                <w:highlight w:val="black"/>
                <w:lang w:val="en-US"/>
              </w:rPr>
            </w:pPr>
            <w:r>
              <w:rPr>
                <w:rFonts w:ascii="Arial Narrow" w:eastAsia="Times New Roman" w:hAnsi="Arial Narrow" w:cs="Arial"/>
                <w:noProof/>
                <w:color w:val="000000"/>
                <w:sz w:val="18"/>
                <w:szCs w:val="18"/>
                <w:highlight w:val="black"/>
              </w:rPr>
              <w:t>'''''''''''''''''''''''''''''''</w:t>
            </w:r>
          </w:p>
        </w:tc>
        <w:tc>
          <w:tcPr>
            <w:tcW w:w="522" w:type="pct"/>
            <w:shd w:val="clear" w:color="auto" w:fill="auto"/>
            <w:noWrap/>
            <w:vAlign w:val="center"/>
          </w:tcPr>
          <w:p w:rsidR="003A3B0B" w:rsidRPr="00FD3E0B" w:rsidRDefault="00FD3E0B" w:rsidP="002409D6">
            <w:pPr>
              <w:spacing w:before="40" w:after="40"/>
              <w:jc w:val="center"/>
              <w:rPr>
                <w:rFonts w:ascii="Arial Narrow" w:eastAsia="Times New Roman" w:hAnsi="Arial Narrow" w:cs="Times New Roman"/>
                <w:sz w:val="18"/>
                <w:szCs w:val="18"/>
                <w:highlight w:val="black"/>
                <w:lang w:val="en-US"/>
              </w:rPr>
            </w:pPr>
            <w:r>
              <w:rPr>
                <w:rFonts w:ascii="Arial Narrow" w:eastAsia="Times New Roman" w:hAnsi="Arial Narrow" w:cs="Arial"/>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Times New Roman"/>
                <w:sz w:val="17"/>
                <w:szCs w:val="17"/>
                <w:highlight w:val="black"/>
                <w:lang w:val="en-US"/>
              </w:rPr>
            </w:pPr>
            <w:r>
              <w:rPr>
                <w:rFonts w:ascii="Arial Narrow" w:eastAsia="Times New Roman" w:hAnsi="Arial Narrow" w:cs="Arial"/>
                <w:noProof/>
                <w:color w:val="000000"/>
                <w:sz w:val="17"/>
                <w:szCs w:val="17"/>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Times New Roman"/>
                <w:b/>
                <w:sz w:val="18"/>
                <w:szCs w:val="18"/>
                <w:highlight w:val="black"/>
                <w:lang w:val="en-US"/>
              </w:rPr>
            </w:pPr>
            <w:r>
              <w:rPr>
                <w:rFonts w:ascii="Arial Narrow" w:eastAsia="Times New Roman" w:hAnsi="Arial Narrow" w:cs="Arial"/>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Times New Roman"/>
                <w:b/>
                <w:sz w:val="18"/>
                <w:szCs w:val="18"/>
                <w:highlight w:val="black"/>
                <w:lang w:val="en-US"/>
              </w:rPr>
            </w:pPr>
            <w:r>
              <w:rPr>
                <w:rFonts w:ascii="Arial Narrow" w:eastAsia="Times New Roman" w:hAnsi="Arial Narrow" w:cs="Arial"/>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Times New Roman"/>
                <w:sz w:val="18"/>
                <w:szCs w:val="18"/>
                <w:highlight w:val="black"/>
                <w:lang w:val="en-US"/>
              </w:rPr>
            </w:pPr>
            <w:r>
              <w:rPr>
                <w:rFonts w:ascii="Arial Narrow" w:eastAsia="Times New Roman" w:hAnsi="Arial Narrow" w:cs="Arial"/>
                <w:noProof/>
                <w:color w:val="000000"/>
                <w:sz w:val="18"/>
                <w:szCs w:val="18"/>
                <w:highlight w:val="black"/>
              </w:rPr>
              <w:t>'''''''</w:t>
            </w:r>
          </w:p>
        </w:tc>
      </w:tr>
      <w:tr w:rsidR="003A3B0B" w:rsidRPr="004D2DF8" w:rsidTr="002409D6">
        <w:trPr>
          <w:trHeight w:val="89"/>
        </w:trPr>
        <w:tc>
          <w:tcPr>
            <w:tcW w:w="5000" w:type="pct"/>
            <w:gridSpan w:val="10"/>
          </w:tcPr>
          <w:p w:rsidR="003A3B0B" w:rsidRPr="004D2DF8" w:rsidRDefault="003A3B0B" w:rsidP="002409D6">
            <w:pPr>
              <w:spacing w:before="40" w:after="40"/>
              <w:rPr>
                <w:rFonts w:ascii="Arial Narrow" w:eastAsia="Times New Roman" w:hAnsi="Arial Narrow" w:cs="Arial"/>
                <w:sz w:val="18"/>
                <w:szCs w:val="18"/>
              </w:rPr>
            </w:pPr>
            <w:r>
              <w:rPr>
                <w:rFonts w:ascii="Arial Narrow" w:eastAsia="Times New Roman" w:hAnsi="Arial Narrow" w:cs="Arial"/>
                <w:sz w:val="18"/>
                <w:szCs w:val="18"/>
              </w:rPr>
              <w:t xml:space="preserve">Expected cost of </w:t>
            </w:r>
            <w:proofErr w:type="spellStart"/>
            <w:r>
              <w:rPr>
                <w:rFonts w:ascii="Arial Narrow" w:eastAsia="Times New Roman" w:hAnsi="Arial Narrow" w:cs="Arial"/>
                <w:sz w:val="18"/>
                <w:szCs w:val="18"/>
              </w:rPr>
              <w:t>fingolimod</w:t>
            </w:r>
            <w:proofErr w:type="spellEnd"/>
            <w:r>
              <w:rPr>
                <w:rFonts w:ascii="Arial Narrow" w:eastAsia="Times New Roman" w:hAnsi="Arial Narrow" w:cs="Arial"/>
                <w:sz w:val="18"/>
                <w:szCs w:val="18"/>
              </w:rPr>
              <w:t xml:space="preserve"> displaced with </w:t>
            </w:r>
            <w:proofErr w:type="spellStart"/>
            <w:r>
              <w:rPr>
                <w:rFonts w:ascii="Arial Narrow" w:eastAsia="Times New Roman" w:hAnsi="Arial Narrow" w:cs="Arial"/>
                <w:sz w:val="18"/>
                <w:szCs w:val="18"/>
              </w:rPr>
              <w:t>cladribine</w:t>
            </w:r>
            <w:proofErr w:type="spellEnd"/>
            <w:r>
              <w:rPr>
                <w:rFonts w:ascii="Arial Narrow" w:eastAsia="Times New Roman" w:hAnsi="Arial Narrow" w:cs="Arial"/>
                <w:sz w:val="18"/>
                <w:szCs w:val="18"/>
              </w:rPr>
              <w:t xml:space="preserve"> on PBS</w:t>
            </w:r>
          </w:p>
        </w:tc>
      </w:tr>
      <w:tr w:rsidR="003A3B0B" w:rsidRPr="004D2DF8" w:rsidTr="002409D6">
        <w:trPr>
          <w:trHeight w:val="89"/>
        </w:trPr>
        <w:tc>
          <w:tcPr>
            <w:tcW w:w="294" w:type="pct"/>
          </w:tcPr>
          <w:p w:rsidR="003A3B0B" w:rsidRPr="00365F40" w:rsidRDefault="003A3B0B" w:rsidP="002409D6">
            <w:pPr>
              <w:spacing w:before="40" w:after="40"/>
              <w:rPr>
                <w:rFonts w:ascii="Arial Narrow" w:eastAsia="Times New Roman" w:hAnsi="Arial Narrow" w:cs="Times New Roman"/>
                <w:color w:val="000000"/>
                <w:sz w:val="18"/>
                <w:szCs w:val="18"/>
                <w:lang w:val="en-US"/>
              </w:rPr>
            </w:pPr>
            <w:r w:rsidRPr="00365F40">
              <w:rPr>
                <w:rFonts w:ascii="Arial Narrow" w:eastAsia="Times New Roman" w:hAnsi="Arial Narrow" w:cs="Times New Roman"/>
                <w:color w:val="000000"/>
                <w:sz w:val="18"/>
                <w:szCs w:val="18"/>
                <w:lang w:val="en-US"/>
              </w:rPr>
              <w:t>PBS scripts</w:t>
            </w:r>
          </w:p>
        </w:tc>
        <w:tc>
          <w:tcPr>
            <w:tcW w:w="522"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noProof/>
                <w:color w:val="000000"/>
                <w:sz w:val="18"/>
                <w:szCs w:val="18"/>
                <w:highlight w:val="black"/>
              </w:rPr>
              <w:t>''''''''''''''''''</w:t>
            </w:r>
          </w:p>
        </w:tc>
        <w:tc>
          <w:tcPr>
            <w:tcW w:w="522"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noProof/>
                <w:color w:val="000000"/>
                <w:sz w:val="18"/>
                <w:szCs w:val="18"/>
                <w:highlight w:val="black"/>
              </w:rPr>
              <w:t>''''''''''''''''</w:t>
            </w:r>
          </w:p>
        </w:tc>
      </w:tr>
      <w:tr w:rsidR="003A3B0B" w:rsidRPr="004D2DF8" w:rsidTr="002409D6">
        <w:trPr>
          <w:trHeight w:val="89"/>
        </w:trPr>
        <w:tc>
          <w:tcPr>
            <w:tcW w:w="294" w:type="pct"/>
          </w:tcPr>
          <w:p w:rsidR="003A3B0B" w:rsidRPr="00365F40" w:rsidRDefault="003A3B0B" w:rsidP="002409D6">
            <w:pPr>
              <w:spacing w:before="40" w:after="40"/>
              <w:rPr>
                <w:rFonts w:ascii="Arial Narrow" w:eastAsia="Times New Roman" w:hAnsi="Arial Narrow" w:cs="Times New Roman"/>
                <w:color w:val="000000"/>
                <w:sz w:val="18"/>
                <w:szCs w:val="18"/>
                <w:lang w:val="en-US"/>
              </w:rPr>
            </w:pPr>
            <w:r w:rsidRPr="00365F40">
              <w:rPr>
                <w:rFonts w:ascii="Arial Narrow" w:eastAsia="Times New Roman" w:hAnsi="Arial Narrow" w:cs="Times New Roman"/>
                <w:color w:val="000000"/>
                <w:sz w:val="18"/>
                <w:szCs w:val="18"/>
                <w:lang w:val="en-US"/>
              </w:rPr>
              <w:t>PBS costs</w:t>
            </w:r>
          </w:p>
        </w:tc>
        <w:tc>
          <w:tcPr>
            <w:tcW w:w="522"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noProof/>
                <w:color w:val="000000"/>
                <w:sz w:val="18"/>
                <w:szCs w:val="18"/>
                <w:highlight w:val="black"/>
              </w:rPr>
              <w:t>'''''''''''''''''''''''''''</w:t>
            </w:r>
          </w:p>
        </w:tc>
        <w:tc>
          <w:tcPr>
            <w:tcW w:w="522"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noProof/>
                <w:color w:val="000000"/>
                <w:sz w:val="18"/>
                <w:szCs w:val="18"/>
                <w:highlight w:val="black"/>
              </w:rPr>
              <w:t>''''''''''''''''''''''''''''''</w:t>
            </w:r>
          </w:p>
        </w:tc>
      </w:tr>
      <w:tr w:rsidR="003A3B0B" w:rsidRPr="004D2DF8" w:rsidTr="002409D6">
        <w:trPr>
          <w:trHeight w:val="89"/>
        </w:trPr>
        <w:tc>
          <w:tcPr>
            <w:tcW w:w="294" w:type="pct"/>
          </w:tcPr>
          <w:p w:rsidR="003A3B0B" w:rsidRPr="00365F40" w:rsidRDefault="003A3B0B" w:rsidP="002409D6">
            <w:pPr>
              <w:spacing w:before="40" w:after="40"/>
              <w:rPr>
                <w:rFonts w:ascii="Arial Narrow" w:eastAsia="Times New Roman" w:hAnsi="Arial Narrow" w:cs="Times New Roman"/>
                <w:color w:val="000000"/>
                <w:sz w:val="18"/>
                <w:szCs w:val="18"/>
                <w:lang w:val="en-US"/>
              </w:rPr>
            </w:pPr>
            <w:r w:rsidRPr="00365F40">
              <w:rPr>
                <w:rFonts w:ascii="Arial Narrow" w:eastAsia="Times New Roman" w:hAnsi="Arial Narrow" w:cs="Times New Roman"/>
                <w:color w:val="000000"/>
                <w:sz w:val="18"/>
                <w:szCs w:val="18"/>
                <w:lang w:val="en-US"/>
              </w:rPr>
              <w:t>Copay</w:t>
            </w:r>
          </w:p>
        </w:tc>
        <w:tc>
          <w:tcPr>
            <w:tcW w:w="522"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noProof/>
                <w:color w:val="000000"/>
                <w:sz w:val="18"/>
                <w:szCs w:val="18"/>
                <w:highlight w:val="black"/>
              </w:rPr>
              <w:t>''''''''''''''''''''''</w:t>
            </w:r>
          </w:p>
        </w:tc>
        <w:tc>
          <w:tcPr>
            <w:tcW w:w="522"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noProof/>
                <w:color w:val="000000"/>
                <w:sz w:val="18"/>
                <w:szCs w:val="18"/>
                <w:highlight w:val="black"/>
              </w:rPr>
              <w:t>''''''''''''''''''''''</w:t>
            </w:r>
          </w:p>
        </w:tc>
      </w:tr>
      <w:tr w:rsidR="003A3B0B" w:rsidRPr="004D2DF8" w:rsidTr="002409D6">
        <w:trPr>
          <w:trHeight w:val="89"/>
        </w:trPr>
        <w:tc>
          <w:tcPr>
            <w:tcW w:w="294" w:type="pct"/>
          </w:tcPr>
          <w:p w:rsidR="003A3B0B" w:rsidRPr="00365F40" w:rsidRDefault="003A3B0B" w:rsidP="002409D6">
            <w:pPr>
              <w:spacing w:before="40" w:after="40"/>
              <w:rPr>
                <w:rFonts w:ascii="Arial Narrow" w:eastAsia="Times New Roman" w:hAnsi="Arial Narrow" w:cs="Times New Roman"/>
                <w:color w:val="000000"/>
                <w:sz w:val="18"/>
                <w:szCs w:val="18"/>
                <w:lang w:val="en-US"/>
              </w:rPr>
            </w:pPr>
            <w:r w:rsidRPr="00365F40">
              <w:rPr>
                <w:rFonts w:ascii="Arial Narrow" w:eastAsia="Times New Roman" w:hAnsi="Arial Narrow" w:cs="Times New Roman"/>
                <w:color w:val="000000"/>
                <w:sz w:val="18"/>
                <w:szCs w:val="18"/>
                <w:lang w:val="en-US"/>
              </w:rPr>
              <w:t>Net cost</w:t>
            </w:r>
          </w:p>
        </w:tc>
        <w:tc>
          <w:tcPr>
            <w:tcW w:w="522"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noProof/>
                <w:color w:val="000000"/>
                <w:sz w:val="18"/>
                <w:szCs w:val="18"/>
                <w:highlight w:val="black"/>
              </w:rPr>
              <w:t>'''''''''''''''''''''''''''''''</w:t>
            </w:r>
          </w:p>
        </w:tc>
        <w:tc>
          <w:tcPr>
            <w:tcW w:w="522"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noProof/>
                <w:color w:val="000000"/>
                <w:sz w:val="18"/>
                <w:szCs w:val="18"/>
                <w:highlight w:val="black"/>
              </w:rPr>
              <w:t>''''''''''''''''''''''''''''''''</w:t>
            </w:r>
          </w:p>
        </w:tc>
      </w:tr>
      <w:tr w:rsidR="003A3B0B" w:rsidRPr="004D2DF8" w:rsidTr="002409D6">
        <w:trPr>
          <w:trHeight w:val="104"/>
        </w:trPr>
        <w:tc>
          <w:tcPr>
            <w:tcW w:w="5000" w:type="pct"/>
            <w:gridSpan w:val="10"/>
          </w:tcPr>
          <w:p w:rsidR="003A3B0B" w:rsidRPr="004D2DF8" w:rsidRDefault="003A3B0B" w:rsidP="002409D6">
            <w:pPr>
              <w:spacing w:before="40" w:after="40"/>
              <w:rPr>
                <w:rFonts w:ascii="Arial Narrow" w:eastAsia="Times New Roman" w:hAnsi="Arial Narrow" w:cs="Arial"/>
                <w:sz w:val="18"/>
                <w:szCs w:val="18"/>
              </w:rPr>
            </w:pPr>
            <w:r>
              <w:rPr>
                <w:rFonts w:ascii="Arial Narrow" w:eastAsia="Times New Roman" w:hAnsi="Arial Narrow" w:cs="Arial"/>
                <w:sz w:val="18"/>
                <w:szCs w:val="18"/>
              </w:rPr>
              <w:t xml:space="preserve">Net implications to the PBS – </w:t>
            </w:r>
            <w:proofErr w:type="spellStart"/>
            <w:r>
              <w:rPr>
                <w:rFonts w:ascii="Arial Narrow" w:eastAsia="Times New Roman" w:hAnsi="Arial Narrow" w:cs="Arial"/>
                <w:sz w:val="18"/>
                <w:szCs w:val="18"/>
              </w:rPr>
              <w:t>cladribine</w:t>
            </w:r>
            <w:proofErr w:type="spellEnd"/>
            <w:r>
              <w:rPr>
                <w:rFonts w:ascii="Arial Narrow" w:eastAsia="Times New Roman" w:hAnsi="Arial Narrow" w:cs="Arial"/>
                <w:sz w:val="18"/>
                <w:szCs w:val="18"/>
              </w:rPr>
              <w:t xml:space="preserve"> impact after displacing </w:t>
            </w:r>
            <w:proofErr w:type="spellStart"/>
            <w:r>
              <w:rPr>
                <w:rFonts w:ascii="Arial Narrow" w:eastAsia="Times New Roman" w:hAnsi="Arial Narrow" w:cs="Arial"/>
                <w:sz w:val="18"/>
                <w:szCs w:val="18"/>
              </w:rPr>
              <w:t>fingolimod</w:t>
            </w:r>
            <w:proofErr w:type="spellEnd"/>
          </w:p>
        </w:tc>
      </w:tr>
      <w:tr w:rsidR="003A3B0B" w:rsidRPr="004D2DF8" w:rsidTr="002409D6">
        <w:trPr>
          <w:trHeight w:val="89"/>
        </w:trPr>
        <w:tc>
          <w:tcPr>
            <w:tcW w:w="294" w:type="pct"/>
          </w:tcPr>
          <w:p w:rsidR="003A3B0B" w:rsidRPr="00365F40" w:rsidRDefault="003A3B0B" w:rsidP="002409D6">
            <w:pPr>
              <w:spacing w:before="40" w:after="40"/>
              <w:rPr>
                <w:rFonts w:ascii="Arial Narrow" w:eastAsia="Times New Roman" w:hAnsi="Arial Narrow" w:cs="Times New Roman"/>
                <w:color w:val="000000"/>
                <w:sz w:val="18"/>
                <w:szCs w:val="18"/>
                <w:lang w:val="en-US"/>
              </w:rPr>
            </w:pPr>
            <w:r w:rsidRPr="00365F40">
              <w:rPr>
                <w:rFonts w:ascii="Arial Narrow" w:eastAsia="Times New Roman" w:hAnsi="Arial Narrow" w:cs="Times New Roman"/>
                <w:color w:val="000000"/>
                <w:sz w:val="18"/>
                <w:szCs w:val="18"/>
                <w:lang w:val="en-US"/>
              </w:rPr>
              <w:t>Net cost</w:t>
            </w:r>
          </w:p>
        </w:tc>
        <w:tc>
          <w:tcPr>
            <w:tcW w:w="522"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bCs/>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bCs/>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bCs/>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bCs/>
                <w:noProof/>
                <w:color w:val="000000"/>
                <w:sz w:val="18"/>
                <w:szCs w:val="18"/>
                <w:highlight w:val="black"/>
              </w:rPr>
              <w:t>''''''''''''''''''''''''''''''''</w:t>
            </w:r>
          </w:p>
        </w:tc>
        <w:tc>
          <w:tcPr>
            <w:tcW w:w="522"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bCs/>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bCs/>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bCs/>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bCs/>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bCs/>
                <w:noProof/>
                <w:color w:val="000000"/>
                <w:sz w:val="18"/>
                <w:szCs w:val="18"/>
                <w:highlight w:val="black"/>
              </w:rPr>
              <w:t>'''''''''''''''''''''''''''''''''</w:t>
            </w:r>
          </w:p>
        </w:tc>
      </w:tr>
      <w:tr w:rsidR="003A3B0B" w:rsidRPr="004D2DF8" w:rsidTr="002409D6">
        <w:trPr>
          <w:trHeight w:val="89"/>
        </w:trPr>
        <w:tc>
          <w:tcPr>
            <w:tcW w:w="294" w:type="pct"/>
          </w:tcPr>
          <w:p w:rsidR="003A3B0B" w:rsidRDefault="003A3B0B" w:rsidP="002409D6">
            <w:pPr>
              <w:spacing w:before="40" w:after="40"/>
              <w:rPr>
                <w:rFonts w:ascii="Arial Narrow" w:eastAsia="Times New Roman" w:hAnsi="Arial Narrow" w:cs="Times New Roman"/>
                <w:color w:val="000000"/>
                <w:sz w:val="20"/>
                <w:szCs w:val="20"/>
                <w:lang w:val="en-US"/>
              </w:rPr>
            </w:pPr>
            <w:proofErr w:type="spellStart"/>
            <w:proofErr w:type="gramStart"/>
            <w:r w:rsidRPr="00365F40">
              <w:rPr>
                <w:rFonts w:ascii="Arial Narrow" w:eastAsia="Times New Roman" w:hAnsi="Arial Narrow" w:cs="Times New Roman"/>
                <w:color w:val="000000"/>
                <w:sz w:val="18"/>
                <w:szCs w:val="18"/>
                <w:lang w:val="en-US"/>
              </w:rPr>
              <w:t>Cumul</w:t>
            </w:r>
            <w:proofErr w:type="spellEnd"/>
            <w:r>
              <w:rPr>
                <w:rFonts w:ascii="Arial Narrow" w:eastAsia="Times New Roman" w:hAnsi="Arial Narrow" w:cs="Times New Roman"/>
                <w:color w:val="000000"/>
                <w:sz w:val="20"/>
                <w:szCs w:val="20"/>
                <w:lang w:val="en-US"/>
              </w:rPr>
              <w:t>.</w:t>
            </w:r>
            <w:proofErr w:type="gramEnd"/>
          </w:p>
        </w:tc>
        <w:tc>
          <w:tcPr>
            <w:tcW w:w="522"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bCs/>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bCs/>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7"/>
                <w:szCs w:val="17"/>
                <w:highlight w:val="black"/>
              </w:rPr>
            </w:pPr>
            <w:r>
              <w:rPr>
                <w:rFonts w:ascii="Arial Narrow" w:eastAsia="Times New Roman" w:hAnsi="Arial Narrow" w:cs="Arial"/>
                <w:bCs/>
                <w:noProof/>
                <w:color w:val="000000"/>
                <w:sz w:val="17"/>
                <w:szCs w:val="17"/>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7"/>
                <w:szCs w:val="17"/>
                <w:highlight w:val="black"/>
              </w:rPr>
            </w:pPr>
            <w:r>
              <w:rPr>
                <w:rFonts w:ascii="Arial Narrow" w:eastAsia="Times New Roman" w:hAnsi="Arial Narrow" w:cs="Arial"/>
                <w:bCs/>
                <w:noProof/>
                <w:color w:val="000000"/>
                <w:sz w:val="17"/>
                <w:szCs w:val="17"/>
                <w:highlight w:val="black"/>
              </w:rPr>
              <w:t>'''''''''''''''''''''''''''''''''''</w:t>
            </w:r>
          </w:p>
        </w:tc>
        <w:tc>
          <w:tcPr>
            <w:tcW w:w="522"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7"/>
                <w:szCs w:val="17"/>
                <w:highlight w:val="black"/>
              </w:rPr>
            </w:pPr>
            <w:r>
              <w:rPr>
                <w:rFonts w:ascii="Arial Narrow" w:eastAsia="Times New Roman" w:hAnsi="Arial Narrow" w:cs="Arial"/>
                <w:bCs/>
                <w:noProof/>
                <w:color w:val="000000"/>
                <w:sz w:val="17"/>
                <w:szCs w:val="17"/>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7"/>
                <w:szCs w:val="17"/>
                <w:highlight w:val="black"/>
              </w:rPr>
            </w:pPr>
            <w:r>
              <w:rPr>
                <w:rFonts w:ascii="Arial Narrow" w:eastAsia="Times New Roman" w:hAnsi="Arial Narrow" w:cs="Arial"/>
                <w:bCs/>
                <w:noProof/>
                <w:color w:val="000000"/>
                <w:sz w:val="17"/>
                <w:szCs w:val="17"/>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7"/>
                <w:szCs w:val="17"/>
                <w:highlight w:val="black"/>
              </w:rPr>
            </w:pPr>
            <w:r>
              <w:rPr>
                <w:rFonts w:ascii="Arial Narrow" w:eastAsia="Times New Roman" w:hAnsi="Arial Narrow" w:cs="Arial"/>
                <w:bCs/>
                <w:noProof/>
                <w:color w:val="000000"/>
                <w:sz w:val="17"/>
                <w:szCs w:val="17"/>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bCs/>
                <w:noProof/>
                <w:color w:val="000000"/>
                <w:sz w:val="18"/>
                <w:szCs w:val="18"/>
                <w:highlight w:val="black"/>
              </w:rPr>
              <w:t>'''''''''''''''''''''''''''</w:t>
            </w:r>
          </w:p>
        </w:tc>
        <w:tc>
          <w:tcPr>
            <w:tcW w:w="523" w:type="pct"/>
            <w:shd w:val="clear" w:color="auto" w:fill="auto"/>
            <w:noWrap/>
            <w:vAlign w:val="center"/>
          </w:tcPr>
          <w:p w:rsidR="003A3B0B" w:rsidRPr="00FD3E0B" w:rsidRDefault="00FD3E0B" w:rsidP="002409D6">
            <w:pPr>
              <w:spacing w:before="40" w:after="40"/>
              <w:jc w:val="center"/>
              <w:rPr>
                <w:rFonts w:ascii="Arial Narrow" w:eastAsia="Times New Roman" w:hAnsi="Arial Narrow" w:cs="Arial"/>
                <w:sz w:val="18"/>
                <w:szCs w:val="18"/>
                <w:highlight w:val="black"/>
              </w:rPr>
            </w:pPr>
            <w:r>
              <w:rPr>
                <w:rFonts w:ascii="Arial Narrow" w:eastAsia="Times New Roman" w:hAnsi="Arial Narrow" w:cs="Arial"/>
                <w:bCs/>
                <w:noProof/>
                <w:color w:val="000000"/>
                <w:sz w:val="18"/>
                <w:szCs w:val="18"/>
                <w:highlight w:val="black"/>
              </w:rPr>
              <w:t>'''''''''''''''''''''''''''''''</w:t>
            </w:r>
          </w:p>
        </w:tc>
      </w:tr>
    </w:tbl>
    <w:p w:rsidR="003A3B0B" w:rsidRDefault="003A3B0B" w:rsidP="003A3B0B">
      <w:pPr>
        <w:pStyle w:val="TableFooter"/>
      </w:pPr>
      <w:proofErr w:type="gramStart"/>
      <w:r>
        <w:t>Source: Table 4.4.1, p237 of the resubmission and ‘Att_10 Section 4.xlsx’.</w:t>
      </w:r>
      <w:proofErr w:type="gramEnd"/>
      <w:r>
        <w:t xml:space="preserve"> </w:t>
      </w:r>
      <w:proofErr w:type="spellStart"/>
      <w:r>
        <w:t>Cumul</w:t>
      </w:r>
      <w:proofErr w:type="spellEnd"/>
      <w:r>
        <w:t xml:space="preserve"> = cumulative costs; PBS = Pharmaceutical Benefits Scheme</w:t>
      </w:r>
    </w:p>
    <w:p w:rsidR="003A3B0B" w:rsidRDefault="003A3B0B" w:rsidP="003A3B0B">
      <w:pPr>
        <w:pStyle w:val="TableFooter"/>
      </w:pPr>
      <w:proofErr w:type="gramStart"/>
      <w:r>
        <w:t>Note: the resubmission assumed no RPBS use and hence is not included.</w:t>
      </w:r>
      <w:proofErr w:type="gramEnd"/>
    </w:p>
    <w:p w:rsidR="00FA0A0E" w:rsidRDefault="00FA0A0E" w:rsidP="003A3B0B">
      <w:pPr>
        <w:pStyle w:val="TableFooter"/>
      </w:pPr>
    </w:p>
    <w:p w:rsidR="00FA0A0E" w:rsidRPr="004C1A21" w:rsidRDefault="00FA0A0E" w:rsidP="00FA0A0E">
      <w:pPr>
        <w:pStyle w:val="TableFooter"/>
        <w:rPr>
          <w:rFonts w:asciiTheme="minorHAnsi" w:eastAsiaTheme="minorHAnsi" w:hAnsiTheme="minorHAnsi" w:cstheme="minorBidi"/>
          <w:snapToGrid/>
          <w:sz w:val="24"/>
          <w:szCs w:val="22"/>
        </w:rPr>
      </w:pPr>
      <w:r w:rsidRPr="004C1A21">
        <w:rPr>
          <w:rFonts w:asciiTheme="minorHAnsi" w:eastAsiaTheme="minorHAnsi" w:hAnsiTheme="minorHAnsi" w:cstheme="minorBidi"/>
          <w:snapToGrid/>
          <w:sz w:val="24"/>
          <w:szCs w:val="22"/>
        </w:rPr>
        <w:t>The redacted table shows that at year 5, the estimated number of patients was less than 10,000 per year.</w:t>
      </w:r>
    </w:p>
    <w:p w:rsidR="00FA0A0E" w:rsidRDefault="00FA0A0E" w:rsidP="003A3B0B">
      <w:pPr>
        <w:pStyle w:val="TableFooter"/>
      </w:pPr>
    </w:p>
    <w:p w:rsidR="00563093" w:rsidRDefault="008F0517" w:rsidP="00A627FC">
      <w:pPr>
        <w:pStyle w:val="ListParagraph"/>
        <w:numPr>
          <w:ilvl w:val="1"/>
          <w:numId w:val="1"/>
        </w:numPr>
        <w:spacing w:before="0" w:after="120"/>
        <w:ind w:left="578" w:hanging="578"/>
        <w:jc w:val="both"/>
      </w:pPr>
      <w:r w:rsidRPr="00EA448D">
        <w:t xml:space="preserve">The resubmission estimated that the cost to the PBS over the first </w:t>
      </w:r>
      <w:r>
        <w:t>nine</w:t>
      </w:r>
      <w:r w:rsidRPr="00EA448D">
        <w:t xml:space="preserve"> years of listing would </w:t>
      </w:r>
      <w:proofErr w:type="gramStart"/>
      <w:r w:rsidRPr="00EA448D">
        <w:t xml:space="preserve">be </w:t>
      </w:r>
      <w:r w:rsidR="002A2B13">
        <w:t xml:space="preserve"> $</w:t>
      </w:r>
      <w:proofErr w:type="gramEnd"/>
      <w:r w:rsidR="002A2B13">
        <w:t>30 - $60 million</w:t>
      </w:r>
      <w:r w:rsidRPr="00EA448D">
        <w:t xml:space="preserve">. This </w:t>
      </w:r>
      <w:r w:rsidR="00FB37B0">
        <w:t>analysis</w:t>
      </w:r>
      <w:r w:rsidR="00FB37B0" w:rsidRPr="00EA448D">
        <w:t xml:space="preserve"> </w:t>
      </w:r>
      <w:r w:rsidRPr="00EA448D">
        <w:t xml:space="preserve">assumed that no new patients would initiate treatment with </w:t>
      </w:r>
      <w:proofErr w:type="spellStart"/>
      <w:r w:rsidRPr="00EA448D">
        <w:t>cladribine</w:t>
      </w:r>
      <w:proofErr w:type="spellEnd"/>
      <w:r w:rsidRPr="00EA448D">
        <w:t xml:space="preserve"> after Year 6 and consequently no patients would receive </w:t>
      </w:r>
      <w:proofErr w:type="spellStart"/>
      <w:r w:rsidRPr="00EA448D">
        <w:t>cladribine</w:t>
      </w:r>
      <w:proofErr w:type="spellEnd"/>
      <w:r w:rsidRPr="00EA448D">
        <w:t xml:space="preserve"> treatment in Years 8 and 9. </w:t>
      </w:r>
      <w:r w:rsidRPr="00FB37B0">
        <w:t xml:space="preserve">Although this nine-year analysis </w:t>
      </w:r>
      <w:proofErr w:type="gramStart"/>
      <w:r w:rsidRPr="00FB37B0">
        <w:t>was presented</w:t>
      </w:r>
      <w:proofErr w:type="gramEnd"/>
      <w:r w:rsidRPr="00FB37B0">
        <w:t xml:space="preserve"> to show the impact on the PBS of the ‘additional therapeutic cover’, it was unrealistic to assume that patients would not initiate treatment over those years. </w:t>
      </w:r>
      <w:r w:rsidR="00837C26" w:rsidRPr="00FB37B0">
        <w:t>T</w:t>
      </w:r>
      <w:r w:rsidR="00837C26" w:rsidRPr="00EA448D">
        <w:t xml:space="preserve">he resubmission stated that the persistence rates used to calculate financial impact of listing </w:t>
      </w:r>
      <w:proofErr w:type="spellStart"/>
      <w:r w:rsidR="00837C26" w:rsidRPr="00EA448D">
        <w:t>cladribine</w:t>
      </w:r>
      <w:proofErr w:type="spellEnd"/>
      <w:r w:rsidR="00837C26" w:rsidRPr="00EA448D">
        <w:t xml:space="preserve"> </w:t>
      </w:r>
      <w:proofErr w:type="gramStart"/>
      <w:r w:rsidR="00837C26" w:rsidRPr="00EA448D">
        <w:t>were based</w:t>
      </w:r>
      <w:proofErr w:type="gramEnd"/>
      <w:r w:rsidR="00837C26" w:rsidRPr="00EA448D">
        <w:t xml:space="preserve"> on </w:t>
      </w:r>
      <w:proofErr w:type="spellStart"/>
      <w:r w:rsidR="00837C26" w:rsidRPr="00EA448D">
        <w:t>fingolimod</w:t>
      </w:r>
      <w:proofErr w:type="spellEnd"/>
      <w:r w:rsidR="00837C26" w:rsidRPr="00EA448D">
        <w:t xml:space="preserve"> data, and hence may not be applicable. These rates were a major reason for the absence of cost-neutrality in</w:t>
      </w:r>
      <w:r>
        <w:t xml:space="preserve"> the</w:t>
      </w:r>
      <w:r w:rsidR="00837C26" w:rsidRPr="00EA448D">
        <w:t xml:space="preserve"> PBS financial implications even on a </w:t>
      </w:r>
      <w:r>
        <w:t>nine</w:t>
      </w:r>
      <w:r w:rsidR="00837C26" w:rsidRPr="00EA448D">
        <w:t xml:space="preserve">-year horizon. </w:t>
      </w:r>
    </w:p>
    <w:p w:rsidR="00702665" w:rsidRDefault="00702665" w:rsidP="00A627FC">
      <w:pPr>
        <w:pStyle w:val="ListParagraph"/>
        <w:numPr>
          <w:ilvl w:val="1"/>
          <w:numId w:val="1"/>
        </w:numPr>
        <w:spacing w:before="0" w:after="120"/>
        <w:ind w:left="578" w:hanging="578"/>
        <w:jc w:val="both"/>
      </w:pPr>
      <w:r>
        <w:t xml:space="preserve">The resubmission also presented a scenario analysis </w:t>
      </w:r>
      <w:r w:rsidR="002D7AE5">
        <w:t>(Table 9</w:t>
      </w:r>
      <w:r>
        <w:t>) where cost neutrality is achieved by Year 9, based on the following assumptions:</w:t>
      </w:r>
    </w:p>
    <w:p w:rsidR="00702665" w:rsidRDefault="00702665" w:rsidP="00702665">
      <w:pPr>
        <w:pStyle w:val="ListParagraph"/>
        <w:numPr>
          <w:ilvl w:val="0"/>
          <w:numId w:val="13"/>
        </w:numPr>
        <w:spacing w:before="0" w:after="120"/>
        <w:jc w:val="both"/>
      </w:pPr>
      <w:r>
        <w:t xml:space="preserve">100% persistence of </w:t>
      </w:r>
      <w:proofErr w:type="spellStart"/>
      <w:r>
        <w:t>cladribine</w:t>
      </w:r>
      <w:proofErr w:type="spellEnd"/>
      <w:r>
        <w:t xml:space="preserve"> every year (base case assumes </w:t>
      </w:r>
      <w:r w:rsidR="00FD3E0B">
        <w:rPr>
          <w:noProof/>
          <w:color w:val="000000"/>
          <w:highlight w:val="black"/>
        </w:rPr>
        <w:t>'''''''''''' ''''''''' ''''''''' '''''''' ''''''''' '''''''' '''''''''</w:t>
      </w:r>
      <w:r>
        <w:t xml:space="preserve"> in Years 1 to 6, respectively);</w:t>
      </w:r>
    </w:p>
    <w:p w:rsidR="00702665" w:rsidRDefault="00702665" w:rsidP="00702665">
      <w:pPr>
        <w:pStyle w:val="ListParagraph"/>
        <w:numPr>
          <w:ilvl w:val="0"/>
          <w:numId w:val="13"/>
        </w:numPr>
        <w:spacing w:before="0" w:after="0"/>
        <w:jc w:val="both"/>
      </w:pPr>
      <w:proofErr w:type="spellStart"/>
      <w:r>
        <w:t>Cladribine</w:t>
      </w:r>
      <w:proofErr w:type="spellEnd"/>
      <w:r>
        <w:t xml:space="preserve"> is assumed to have the same DPMQ as </w:t>
      </w:r>
      <w:proofErr w:type="spellStart"/>
      <w:r>
        <w:t>fingolimod</w:t>
      </w:r>
      <w:proofErr w:type="spellEnd"/>
      <w:r>
        <w:t xml:space="preserve"> (</w:t>
      </w:r>
      <w:proofErr w:type="spellStart"/>
      <w:r>
        <w:t>fingolimod</w:t>
      </w:r>
      <w:proofErr w:type="spellEnd"/>
      <w:r>
        <w:t xml:space="preserve"> has a higher DPMQ due to differences in mark-ups and due to the 5% statutory price reduction); and</w:t>
      </w:r>
    </w:p>
    <w:p w:rsidR="00702665" w:rsidRPr="00EA448D" w:rsidRDefault="00702665" w:rsidP="00702665">
      <w:pPr>
        <w:pStyle w:val="ListParagraph"/>
        <w:numPr>
          <w:ilvl w:val="0"/>
          <w:numId w:val="13"/>
        </w:numPr>
        <w:spacing w:before="0" w:after="0"/>
        <w:jc w:val="both"/>
      </w:pPr>
      <w:r>
        <w:t>Patient co-payments are set to zero (</w:t>
      </w:r>
      <w:proofErr w:type="spellStart"/>
      <w:r>
        <w:t>fingolimod</w:t>
      </w:r>
      <w:proofErr w:type="spellEnd"/>
      <w:r>
        <w:t xml:space="preserve"> is associated with more co-payments).</w:t>
      </w:r>
    </w:p>
    <w:p w:rsidR="00FB415B" w:rsidRPr="00EA448D" w:rsidRDefault="00563093" w:rsidP="00FB415B">
      <w:pPr>
        <w:pStyle w:val="TableHeading0"/>
      </w:pPr>
      <w:bookmarkStart w:id="34" w:name="_GoBack"/>
      <w:bookmarkEnd w:id="34"/>
      <w:r w:rsidRPr="00EA448D">
        <w:lastRenderedPageBreak/>
        <w:t xml:space="preserve">Table </w:t>
      </w:r>
      <w:r w:rsidR="002D7AE5">
        <w:t>9</w:t>
      </w:r>
      <w:r w:rsidRPr="00EA448D">
        <w:t xml:space="preserve">: </w:t>
      </w:r>
      <w:r w:rsidR="00FB415B" w:rsidRPr="00EA448D">
        <w:t>Resubmission’s scenario analysis of cost-neutrality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514"/>
        <w:gridCol w:w="934"/>
        <w:gridCol w:w="961"/>
        <w:gridCol w:w="934"/>
        <w:gridCol w:w="880"/>
        <w:gridCol w:w="934"/>
        <w:gridCol w:w="961"/>
        <w:gridCol w:w="1016"/>
        <w:gridCol w:w="989"/>
        <w:gridCol w:w="961"/>
      </w:tblGrid>
      <w:tr w:rsidR="00FD3E0B" w:rsidRPr="00EA448D" w:rsidTr="00C61800">
        <w:trPr>
          <w:trHeight w:val="152"/>
        </w:trPr>
        <w:tc>
          <w:tcPr>
            <w:tcW w:w="315" w:type="pct"/>
          </w:tcPr>
          <w:p w:rsidR="00FB415B" w:rsidRPr="00EA448D" w:rsidRDefault="00FB415B" w:rsidP="00C61800">
            <w:pPr>
              <w:spacing w:before="40" w:after="40"/>
              <w:rPr>
                <w:rFonts w:ascii="Arial Narrow" w:eastAsia="Times New Roman" w:hAnsi="Arial Narrow" w:cs="Times New Roman"/>
                <w:color w:val="000000"/>
                <w:sz w:val="20"/>
                <w:szCs w:val="20"/>
                <w:lang w:val="en-US"/>
              </w:rPr>
            </w:pPr>
          </w:p>
        </w:tc>
        <w:tc>
          <w:tcPr>
            <w:tcW w:w="484" w:type="pct"/>
            <w:shd w:val="clear" w:color="auto" w:fill="auto"/>
            <w:noWrap/>
            <w:vAlign w:val="center"/>
          </w:tcPr>
          <w:p w:rsidR="00FB415B" w:rsidRPr="00EA448D" w:rsidRDefault="00FB415B" w:rsidP="00C61800">
            <w:pPr>
              <w:spacing w:before="40" w:after="40"/>
              <w:jc w:val="center"/>
              <w:rPr>
                <w:rFonts w:ascii="Arial Narrow" w:eastAsia="Times New Roman" w:hAnsi="Arial Narrow" w:cs="Times New Roman"/>
                <w:b/>
                <w:color w:val="000000"/>
                <w:sz w:val="18"/>
                <w:szCs w:val="18"/>
                <w:lang w:val="en-US"/>
              </w:rPr>
            </w:pPr>
            <w:r w:rsidRPr="00EA448D">
              <w:rPr>
                <w:rFonts w:ascii="Arial Narrow" w:eastAsia="Times New Roman" w:hAnsi="Arial Narrow" w:cs="Times New Roman"/>
                <w:b/>
                <w:color w:val="000000"/>
                <w:sz w:val="18"/>
                <w:szCs w:val="18"/>
                <w:lang w:val="en-US"/>
              </w:rPr>
              <w:t>Year 1</w:t>
            </w:r>
          </w:p>
        </w:tc>
        <w:tc>
          <w:tcPr>
            <w:tcW w:w="529" w:type="pct"/>
            <w:shd w:val="clear" w:color="auto" w:fill="auto"/>
            <w:noWrap/>
            <w:vAlign w:val="center"/>
          </w:tcPr>
          <w:p w:rsidR="00FB415B" w:rsidRPr="00EA448D" w:rsidRDefault="00FB415B" w:rsidP="00C61800">
            <w:pPr>
              <w:spacing w:before="40" w:after="40"/>
              <w:jc w:val="center"/>
              <w:rPr>
                <w:rFonts w:ascii="Arial Narrow" w:eastAsia="Times New Roman" w:hAnsi="Arial Narrow" w:cs="Times New Roman"/>
                <w:b/>
                <w:color w:val="000000"/>
                <w:sz w:val="18"/>
                <w:szCs w:val="18"/>
                <w:lang w:val="en-US"/>
              </w:rPr>
            </w:pPr>
            <w:r w:rsidRPr="00EA448D">
              <w:rPr>
                <w:rFonts w:ascii="Arial Narrow" w:eastAsia="Times New Roman" w:hAnsi="Arial Narrow" w:cs="Times New Roman"/>
                <w:b/>
                <w:color w:val="000000"/>
                <w:sz w:val="18"/>
                <w:szCs w:val="18"/>
                <w:lang w:val="en-US"/>
              </w:rPr>
              <w:t>Year 2</w:t>
            </w:r>
          </w:p>
        </w:tc>
        <w:tc>
          <w:tcPr>
            <w:tcW w:w="529" w:type="pct"/>
            <w:shd w:val="clear" w:color="auto" w:fill="auto"/>
            <w:noWrap/>
            <w:vAlign w:val="center"/>
          </w:tcPr>
          <w:p w:rsidR="00FB415B" w:rsidRPr="00EA448D" w:rsidRDefault="00FB415B" w:rsidP="00C61800">
            <w:pPr>
              <w:spacing w:before="40" w:after="40"/>
              <w:jc w:val="center"/>
              <w:rPr>
                <w:rFonts w:ascii="Arial Narrow" w:eastAsia="Times New Roman" w:hAnsi="Arial Narrow" w:cs="Times New Roman"/>
                <w:b/>
                <w:color w:val="000000"/>
                <w:sz w:val="18"/>
                <w:szCs w:val="18"/>
                <w:lang w:val="en-US"/>
              </w:rPr>
            </w:pPr>
            <w:r w:rsidRPr="00EA448D">
              <w:rPr>
                <w:rFonts w:ascii="Arial Narrow" w:eastAsia="Times New Roman" w:hAnsi="Arial Narrow" w:cs="Times New Roman"/>
                <w:b/>
                <w:color w:val="000000"/>
                <w:sz w:val="18"/>
                <w:szCs w:val="18"/>
                <w:lang w:val="en-US"/>
              </w:rPr>
              <w:t>Year 3</w:t>
            </w:r>
          </w:p>
        </w:tc>
        <w:tc>
          <w:tcPr>
            <w:tcW w:w="529" w:type="pct"/>
            <w:shd w:val="clear" w:color="auto" w:fill="auto"/>
            <w:noWrap/>
            <w:vAlign w:val="center"/>
          </w:tcPr>
          <w:p w:rsidR="00FB415B" w:rsidRPr="00EA448D" w:rsidRDefault="00FB415B" w:rsidP="00C61800">
            <w:pPr>
              <w:spacing w:before="40" w:after="40"/>
              <w:jc w:val="center"/>
              <w:rPr>
                <w:rFonts w:ascii="Arial Narrow" w:eastAsia="Times New Roman" w:hAnsi="Arial Narrow" w:cs="Times New Roman"/>
                <w:b/>
                <w:color w:val="000000"/>
                <w:sz w:val="18"/>
                <w:szCs w:val="18"/>
                <w:lang w:val="en-US"/>
              </w:rPr>
            </w:pPr>
            <w:r w:rsidRPr="00EA448D">
              <w:rPr>
                <w:rFonts w:ascii="Arial Narrow" w:eastAsia="Times New Roman" w:hAnsi="Arial Narrow" w:cs="Times New Roman"/>
                <w:b/>
                <w:color w:val="000000"/>
                <w:sz w:val="18"/>
                <w:szCs w:val="18"/>
                <w:lang w:val="en-US"/>
              </w:rPr>
              <w:t>Year 4</w:t>
            </w:r>
          </w:p>
        </w:tc>
        <w:tc>
          <w:tcPr>
            <w:tcW w:w="529" w:type="pct"/>
            <w:shd w:val="clear" w:color="auto" w:fill="auto"/>
            <w:noWrap/>
            <w:vAlign w:val="center"/>
          </w:tcPr>
          <w:p w:rsidR="00FB415B" w:rsidRPr="00EA448D" w:rsidRDefault="00FB415B" w:rsidP="00C61800">
            <w:pPr>
              <w:spacing w:before="40" w:after="40"/>
              <w:jc w:val="center"/>
              <w:rPr>
                <w:rFonts w:ascii="Arial Narrow" w:eastAsia="Times New Roman" w:hAnsi="Arial Narrow" w:cs="Times New Roman"/>
                <w:b/>
                <w:color w:val="000000"/>
                <w:sz w:val="18"/>
                <w:szCs w:val="18"/>
                <w:lang w:val="en-US"/>
              </w:rPr>
            </w:pPr>
            <w:r w:rsidRPr="00EA448D">
              <w:rPr>
                <w:rFonts w:ascii="Arial Narrow" w:eastAsia="Times New Roman" w:hAnsi="Arial Narrow" w:cs="Times New Roman"/>
                <w:b/>
                <w:color w:val="000000"/>
                <w:sz w:val="18"/>
                <w:szCs w:val="18"/>
                <w:lang w:val="en-US"/>
              </w:rPr>
              <w:t>Year 5</w:t>
            </w:r>
          </w:p>
        </w:tc>
        <w:tc>
          <w:tcPr>
            <w:tcW w:w="529" w:type="pct"/>
            <w:shd w:val="clear" w:color="auto" w:fill="auto"/>
            <w:noWrap/>
            <w:vAlign w:val="center"/>
          </w:tcPr>
          <w:p w:rsidR="00FB415B" w:rsidRPr="00EA448D" w:rsidRDefault="00FB415B" w:rsidP="00C61800">
            <w:pPr>
              <w:spacing w:before="40" w:after="40"/>
              <w:jc w:val="center"/>
              <w:rPr>
                <w:rFonts w:ascii="Arial Narrow" w:eastAsia="Times New Roman" w:hAnsi="Arial Narrow" w:cs="Times New Roman"/>
                <w:b/>
                <w:color w:val="000000"/>
                <w:sz w:val="18"/>
                <w:szCs w:val="18"/>
                <w:lang w:val="en-US"/>
              </w:rPr>
            </w:pPr>
            <w:r w:rsidRPr="00EA448D">
              <w:rPr>
                <w:rFonts w:ascii="Arial Narrow" w:eastAsia="Times New Roman" w:hAnsi="Arial Narrow" w:cs="Times New Roman"/>
                <w:b/>
                <w:color w:val="000000"/>
                <w:sz w:val="18"/>
                <w:szCs w:val="18"/>
                <w:lang w:val="en-US"/>
              </w:rPr>
              <w:t>Year 6</w:t>
            </w:r>
          </w:p>
        </w:tc>
        <w:tc>
          <w:tcPr>
            <w:tcW w:w="529" w:type="pct"/>
            <w:shd w:val="clear" w:color="auto" w:fill="auto"/>
            <w:noWrap/>
            <w:vAlign w:val="center"/>
          </w:tcPr>
          <w:p w:rsidR="00FB415B" w:rsidRPr="00EA448D" w:rsidRDefault="00FB415B" w:rsidP="00C61800">
            <w:pPr>
              <w:spacing w:before="40" w:after="40"/>
              <w:jc w:val="center"/>
              <w:rPr>
                <w:rFonts w:ascii="Arial Narrow" w:eastAsia="Times New Roman" w:hAnsi="Arial Narrow" w:cs="Times New Roman"/>
                <w:b/>
                <w:color w:val="000000"/>
                <w:sz w:val="18"/>
                <w:szCs w:val="18"/>
                <w:lang w:val="en-US"/>
              </w:rPr>
            </w:pPr>
            <w:r w:rsidRPr="00EA448D">
              <w:rPr>
                <w:rFonts w:ascii="Arial Narrow" w:eastAsia="Times New Roman" w:hAnsi="Arial Narrow" w:cs="Times New Roman"/>
                <w:b/>
                <w:color w:val="000000"/>
                <w:sz w:val="18"/>
                <w:szCs w:val="18"/>
                <w:lang w:val="en-US"/>
              </w:rPr>
              <w:t>Year 7</w:t>
            </w:r>
          </w:p>
        </w:tc>
        <w:tc>
          <w:tcPr>
            <w:tcW w:w="514" w:type="pct"/>
            <w:shd w:val="clear" w:color="auto" w:fill="auto"/>
            <w:noWrap/>
            <w:vAlign w:val="center"/>
          </w:tcPr>
          <w:p w:rsidR="00FB415B" w:rsidRPr="00EA448D" w:rsidRDefault="00FB415B" w:rsidP="00C61800">
            <w:pPr>
              <w:spacing w:before="40" w:after="40"/>
              <w:jc w:val="center"/>
              <w:rPr>
                <w:rFonts w:ascii="Arial Narrow" w:eastAsia="Times New Roman" w:hAnsi="Arial Narrow" w:cs="Times New Roman"/>
                <w:b/>
                <w:color w:val="000000"/>
                <w:sz w:val="18"/>
                <w:szCs w:val="18"/>
                <w:lang w:val="en-US"/>
              </w:rPr>
            </w:pPr>
            <w:r w:rsidRPr="00EA448D">
              <w:rPr>
                <w:rFonts w:ascii="Arial Narrow" w:eastAsia="Times New Roman" w:hAnsi="Arial Narrow" w:cs="Times New Roman"/>
                <w:b/>
                <w:color w:val="000000"/>
                <w:sz w:val="18"/>
                <w:szCs w:val="18"/>
                <w:lang w:val="en-US"/>
              </w:rPr>
              <w:t>Year 8</w:t>
            </w:r>
          </w:p>
        </w:tc>
        <w:tc>
          <w:tcPr>
            <w:tcW w:w="513" w:type="pct"/>
            <w:shd w:val="clear" w:color="auto" w:fill="auto"/>
            <w:noWrap/>
            <w:vAlign w:val="center"/>
          </w:tcPr>
          <w:p w:rsidR="00FB415B" w:rsidRPr="00EA448D" w:rsidRDefault="00FB415B" w:rsidP="00C61800">
            <w:pPr>
              <w:spacing w:before="40" w:after="40"/>
              <w:jc w:val="center"/>
              <w:rPr>
                <w:rFonts w:ascii="Arial Narrow" w:eastAsia="Times New Roman" w:hAnsi="Arial Narrow" w:cs="Times New Roman"/>
                <w:b/>
                <w:color w:val="000000"/>
                <w:sz w:val="18"/>
                <w:szCs w:val="18"/>
                <w:lang w:val="en-US"/>
              </w:rPr>
            </w:pPr>
            <w:r w:rsidRPr="00EA448D">
              <w:rPr>
                <w:rFonts w:ascii="Arial Narrow" w:eastAsia="Times New Roman" w:hAnsi="Arial Narrow" w:cs="Times New Roman"/>
                <w:b/>
                <w:color w:val="000000"/>
                <w:sz w:val="18"/>
                <w:szCs w:val="18"/>
                <w:lang w:val="en-US"/>
              </w:rPr>
              <w:t>Year 9</w:t>
            </w:r>
          </w:p>
        </w:tc>
      </w:tr>
      <w:tr w:rsidR="00FB415B" w:rsidRPr="00EA448D" w:rsidTr="00C61800">
        <w:trPr>
          <w:trHeight w:val="197"/>
        </w:trPr>
        <w:tc>
          <w:tcPr>
            <w:tcW w:w="5000" w:type="pct"/>
            <w:gridSpan w:val="10"/>
          </w:tcPr>
          <w:p w:rsidR="00FB415B" w:rsidRPr="00EA448D" w:rsidRDefault="00FB415B" w:rsidP="00C61800">
            <w:pPr>
              <w:spacing w:before="40" w:after="40"/>
              <w:rPr>
                <w:rFonts w:ascii="Arial Narrow" w:eastAsia="Times New Roman" w:hAnsi="Arial Narrow" w:cs="Times New Roman"/>
                <w:color w:val="000000"/>
                <w:sz w:val="18"/>
                <w:szCs w:val="18"/>
                <w:lang w:val="en-US"/>
              </w:rPr>
            </w:pPr>
            <w:r w:rsidRPr="00EA448D">
              <w:rPr>
                <w:rFonts w:ascii="Arial Narrow" w:eastAsia="Times New Roman" w:hAnsi="Arial Narrow" w:cs="Times New Roman"/>
                <w:color w:val="000000"/>
                <w:sz w:val="18"/>
                <w:szCs w:val="18"/>
                <w:lang w:val="en-US"/>
              </w:rPr>
              <w:t xml:space="preserve">Expected cost of listing </w:t>
            </w:r>
            <w:proofErr w:type="spellStart"/>
            <w:r w:rsidRPr="00EA448D">
              <w:rPr>
                <w:rFonts w:ascii="Arial Narrow" w:eastAsia="Times New Roman" w:hAnsi="Arial Narrow" w:cs="Times New Roman"/>
                <w:color w:val="000000"/>
                <w:sz w:val="18"/>
                <w:szCs w:val="18"/>
                <w:lang w:val="en-US"/>
              </w:rPr>
              <w:t>cladribine</w:t>
            </w:r>
            <w:proofErr w:type="spellEnd"/>
            <w:r w:rsidRPr="00EA448D">
              <w:rPr>
                <w:rFonts w:ascii="Arial Narrow" w:eastAsia="Times New Roman" w:hAnsi="Arial Narrow" w:cs="Times New Roman"/>
                <w:color w:val="000000"/>
                <w:sz w:val="18"/>
                <w:szCs w:val="18"/>
                <w:lang w:val="en-US"/>
              </w:rPr>
              <w:t xml:space="preserve"> on PBS</w:t>
            </w:r>
          </w:p>
        </w:tc>
      </w:tr>
      <w:tr w:rsidR="00FD3E0B" w:rsidRPr="00EA448D" w:rsidTr="00C61800">
        <w:trPr>
          <w:trHeight w:val="89"/>
        </w:trPr>
        <w:tc>
          <w:tcPr>
            <w:tcW w:w="315" w:type="pct"/>
          </w:tcPr>
          <w:p w:rsidR="00FB415B" w:rsidRPr="00EA448D" w:rsidRDefault="00FB415B" w:rsidP="00C61800">
            <w:pPr>
              <w:spacing w:before="40" w:after="40"/>
              <w:rPr>
                <w:rFonts w:ascii="Arial Narrow" w:eastAsia="Times New Roman" w:hAnsi="Arial Narrow" w:cs="Times New Roman"/>
                <w:color w:val="000000"/>
                <w:sz w:val="18"/>
                <w:szCs w:val="18"/>
                <w:lang w:val="en-US"/>
              </w:rPr>
            </w:pPr>
            <w:r w:rsidRPr="00EA448D">
              <w:rPr>
                <w:rFonts w:ascii="Arial Narrow" w:eastAsia="Times New Roman" w:hAnsi="Arial Narrow" w:cs="Times New Roman"/>
                <w:color w:val="000000"/>
                <w:sz w:val="18"/>
                <w:szCs w:val="18"/>
                <w:lang w:val="en-US"/>
              </w:rPr>
              <w:t>Total cost</w:t>
            </w:r>
          </w:p>
        </w:tc>
        <w:tc>
          <w:tcPr>
            <w:tcW w:w="484" w:type="pct"/>
            <w:shd w:val="clear" w:color="auto" w:fill="auto"/>
            <w:noWrap/>
            <w:vAlign w:val="center"/>
          </w:tcPr>
          <w:p w:rsidR="00FB415B" w:rsidRPr="00FD3E0B" w:rsidRDefault="00FD3E0B" w:rsidP="00C61800">
            <w:pPr>
              <w:spacing w:before="40" w:after="40"/>
              <w:jc w:val="center"/>
              <w:rPr>
                <w:rFonts w:ascii="Arial Narrow" w:eastAsia="Times New Roman" w:hAnsi="Arial Narrow" w:cs="Times New Roman"/>
                <w:sz w:val="18"/>
                <w:szCs w:val="18"/>
                <w:highlight w:val="black"/>
                <w:lang w:val="en-US"/>
              </w:rPr>
            </w:pPr>
            <w:r>
              <w:rPr>
                <w:rFonts w:ascii="Arial Narrow" w:eastAsia="Times New Roman" w:hAnsi="Arial Narrow" w:cs="Arial"/>
                <w:noProof/>
                <w:color w:val="000000"/>
                <w:sz w:val="18"/>
                <w:szCs w:val="18"/>
                <w:highlight w:val="black"/>
              </w:rPr>
              <w:t>''''''''''''''''''''''''''''''''</w:t>
            </w:r>
          </w:p>
        </w:tc>
        <w:tc>
          <w:tcPr>
            <w:tcW w:w="529" w:type="pct"/>
            <w:shd w:val="clear" w:color="auto" w:fill="auto"/>
            <w:noWrap/>
            <w:vAlign w:val="center"/>
          </w:tcPr>
          <w:p w:rsidR="00FB415B" w:rsidRPr="00FD3E0B" w:rsidRDefault="00FD3E0B" w:rsidP="00C61800">
            <w:pPr>
              <w:spacing w:before="40" w:after="40"/>
              <w:jc w:val="center"/>
              <w:rPr>
                <w:rFonts w:ascii="Arial Narrow" w:eastAsia="Times New Roman" w:hAnsi="Arial Narrow" w:cs="Times New Roman"/>
                <w:sz w:val="18"/>
                <w:szCs w:val="18"/>
                <w:highlight w:val="black"/>
                <w:lang w:val="en-US"/>
              </w:rPr>
            </w:pPr>
            <w:r>
              <w:rPr>
                <w:rFonts w:ascii="Arial Narrow" w:eastAsia="Times New Roman" w:hAnsi="Arial Narrow" w:cs="Arial"/>
                <w:noProof/>
                <w:color w:val="000000"/>
                <w:sz w:val="18"/>
                <w:szCs w:val="18"/>
                <w:highlight w:val="black"/>
              </w:rPr>
              <w:t>'''''''''''''''''''''''''''''''''</w:t>
            </w:r>
          </w:p>
        </w:tc>
        <w:tc>
          <w:tcPr>
            <w:tcW w:w="529" w:type="pct"/>
            <w:shd w:val="clear" w:color="auto" w:fill="auto"/>
            <w:noWrap/>
            <w:vAlign w:val="center"/>
          </w:tcPr>
          <w:p w:rsidR="00FB415B" w:rsidRPr="00FD3E0B" w:rsidRDefault="00FD3E0B" w:rsidP="00C61800">
            <w:pPr>
              <w:spacing w:before="40" w:after="40"/>
              <w:jc w:val="center"/>
              <w:rPr>
                <w:rFonts w:ascii="Arial Narrow" w:eastAsia="Times New Roman" w:hAnsi="Arial Narrow" w:cs="Times New Roman"/>
                <w:b/>
                <w:sz w:val="18"/>
                <w:szCs w:val="18"/>
                <w:highlight w:val="black"/>
                <w:lang w:val="en-US"/>
              </w:rPr>
            </w:pPr>
            <w:r>
              <w:rPr>
                <w:rFonts w:ascii="Arial Narrow" w:eastAsia="Times New Roman" w:hAnsi="Arial Narrow" w:cs="Arial"/>
                <w:noProof/>
                <w:color w:val="000000"/>
                <w:sz w:val="18"/>
                <w:szCs w:val="18"/>
                <w:highlight w:val="black"/>
              </w:rPr>
              <w:t>'''''''''''''''''''''''''''''</w:t>
            </w:r>
          </w:p>
        </w:tc>
        <w:tc>
          <w:tcPr>
            <w:tcW w:w="529" w:type="pct"/>
            <w:shd w:val="clear" w:color="auto" w:fill="auto"/>
            <w:noWrap/>
            <w:vAlign w:val="center"/>
          </w:tcPr>
          <w:p w:rsidR="00FB415B" w:rsidRPr="00FD3E0B" w:rsidRDefault="00FD3E0B" w:rsidP="00C61800">
            <w:pPr>
              <w:spacing w:before="40" w:after="40"/>
              <w:jc w:val="center"/>
              <w:rPr>
                <w:rFonts w:ascii="Arial Narrow" w:eastAsia="Times New Roman" w:hAnsi="Arial Narrow" w:cs="Times New Roman"/>
                <w:b/>
                <w:sz w:val="18"/>
                <w:szCs w:val="18"/>
                <w:highlight w:val="black"/>
                <w:lang w:val="en-US"/>
              </w:rPr>
            </w:pPr>
            <w:r>
              <w:rPr>
                <w:rFonts w:ascii="Arial Narrow" w:eastAsia="Times New Roman" w:hAnsi="Arial Narrow" w:cs="Arial"/>
                <w:noProof/>
                <w:color w:val="000000"/>
                <w:sz w:val="18"/>
                <w:szCs w:val="18"/>
                <w:highlight w:val="black"/>
              </w:rPr>
              <w:t>''''''''''''''''''''''''''''''</w:t>
            </w:r>
          </w:p>
        </w:tc>
        <w:tc>
          <w:tcPr>
            <w:tcW w:w="529" w:type="pct"/>
            <w:shd w:val="clear" w:color="auto" w:fill="auto"/>
            <w:noWrap/>
            <w:vAlign w:val="center"/>
          </w:tcPr>
          <w:p w:rsidR="00FB415B" w:rsidRPr="00FD3E0B" w:rsidRDefault="00FD3E0B" w:rsidP="00C61800">
            <w:pPr>
              <w:spacing w:before="40" w:after="40"/>
              <w:jc w:val="center"/>
              <w:rPr>
                <w:rFonts w:ascii="Arial Narrow" w:eastAsia="Times New Roman" w:hAnsi="Arial Narrow" w:cs="Times New Roman"/>
                <w:sz w:val="18"/>
                <w:szCs w:val="18"/>
                <w:highlight w:val="black"/>
                <w:lang w:val="en-US"/>
              </w:rPr>
            </w:pPr>
            <w:r>
              <w:rPr>
                <w:rFonts w:ascii="Arial Narrow" w:eastAsia="Times New Roman" w:hAnsi="Arial Narrow" w:cs="Arial"/>
                <w:noProof/>
                <w:color w:val="000000"/>
                <w:sz w:val="18"/>
                <w:szCs w:val="18"/>
                <w:highlight w:val="black"/>
              </w:rPr>
              <w:t>''''''''''''''''''''''''''''''''</w:t>
            </w:r>
          </w:p>
        </w:tc>
        <w:tc>
          <w:tcPr>
            <w:tcW w:w="529" w:type="pct"/>
            <w:shd w:val="clear" w:color="auto" w:fill="auto"/>
            <w:noWrap/>
            <w:vAlign w:val="center"/>
          </w:tcPr>
          <w:p w:rsidR="00FB415B" w:rsidRPr="00FD3E0B" w:rsidRDefault="00FD3E0B" w:rsidP="00C61800">
            <w:pPr>
              <w:spacing w:before="40" w:after="40"/>
              <w:jc w:val="center"/>
              <w:rPr>
                <w:rFonts w:ascii="Arial Narrow" w:eastAsia="Times New Roman" w:hAnsi="Arial Narrow" w:cs="Times New Roman"/>
                <w:sz w:val="18"/>
                <w:szCs w:val="18"/>
                <w:highlight w:val="black"/>
                <w:lang w:val="en-US"/>
              </w:rPr>
            </w:pPr>
            <w:r>
              <w:rPr>
                <w:rFonts w:ascii="Arial Narrow" w:eastAsia="Times New Roman" w:hAnsi="Arial Narrow" w:cs="Arial"/>
                <w:noProof/>
                <w:color w:val="000000"/>
                <w:sz w:val="18"/>
                <w:szCs w:val="18"/>
                <w:highlight w:val="black"/>
              </w:rPr>
              <w:t>'''''''''''''''''''''''''''''</w:t>
            </w:r>
          </w:p>
        </w:tc>
        <w:tc>
          <w:tcPr>
            <w:tcW w:w="529" w:type="pct"/>
            <w:shd w:val="clear" w:color="auto" w:fill="auto"/>
            <w:noWrap/>
            <w:vAlign w:val="center"/>
          </w:tcPr>
          <w:p w:rsidR="00FB415B" w:rsidRPr="00FD3E0B" w:rsidRDefault="00FD3E0B" w:rsidP="00C61800">
            <w:pPr>
              <w:spacing w:before="40" w:after="40"/>
              <w:jc w:val="center"/>
              <w:rPr>
                <w:rFonts w:ascii="Arial Narrow" w:eastAsia="Times New Roman" w:hAnsi="Arial Narrow" w:cs="Times New Roman"/>
                <w:b/>
                <w:sz w:val="18"/>
                <w:szCs w:val="18"/>
                <w:highlight w:val="black"/>
                <w:lang w:val="en-US"/>
              </w:rPr>
            </w:pPr>
            <w:r>
              <w:rPr>
                <w:rFonts w:ascii="Arial Narrow" w:eastAsia="Times New Roman" w:hAnsi="Arial Narrow" w:cs="Arial"/>
                <w:noProof/>
                <w:color w:val="000000"/>
                <w:sz w:val="18"/>
                <w:szCs w:val="18"/>
                <w:highlight w:val="black"/>
              </w:rPr>
              <w:t>''''''''''''''''''''''''''''''</w:t>
            </w:r>
          </w:p>
        </w:tc>
        <w:tc>
          <w:tcPr>
            <w:tcW w:w="514" w:type="pct"/>
            <w:shd w:val="clear" w:color="auto" w:fill="auto"/>
            <w:noWrap/>
            <w:vAlign w:val="center"/>
          </w:tcPr>
          <w:p w:rsidR="00FB415B" w:rsidRPr="00FD3E0B" w:rsidRDefault="00FD3E0B" w:rsidP="00C61800">
            <w:pPr>
              <w:spacing w:before="40" w:after="40"/>
              <w:jc w:val="center"/>
              <w:rPr>
                <w:rFonts w:ascii="Arial Narrow" w:eastAsia="Times New Roman" w:hAnsi="Arial Narrow" w:cs="Times New Roman"/>
                <w:b/>
                <w:sz w:val="18"/>
                <w:szCs w:val="18"/>
                <w:highlight w:val="black"/>
                <w:lang w:val="en-US"/>
              </w:rPr>
            </w:pPr>
            <w:r>
              <w:rPr>
                <w:rFonts w:ascii="Arial Narrow" w:eastAsia="Times New Roman" w:hAnsi="Arial Narrow" w:cs="Arial"/>
                <w:noProof/>
                <w:color w:val="000000"/>
                <w:sz w:val="18"/>
                <w:szCs w:val="18"/>
                <w:highlight w:val="black"/>
              </w:rPr>
              <w:t>'''''''</w:t>
            </w:r>
          </w:p>
        </w:tc>
        <w:tc>
          <w:tcPr>
            <w:tcW w:w="513" w:type="pct"/>
            <w:shd w:val="clear" w:color="auto" w:fill="auto"/>
            <w:noWrap/>
            <w:vAlign w:val="center"/>
          </w:tcPr>
          <w:p w:rsidR="00FB415B" w:rsidRPr="00FD3E0B" w:rsidRDefault="00FD3E0B" w:rsidP="00C61800">
            <w:pPr>
              <w:spacing w:before="40" w:after="40"/>
              <w:jc w:val="center"/>
              <w:rPr>
                <w:rFonts w:ascii="Arial Narrow" w:eastAsia="Times New Roman" w:hAnsi="Arial Narrow" w:cs="Times New Roman"/>
                <w:sz w:val="18"/>
                <w:szCs w:val="18"/>
                <w:highlight w:val="black"/>
                <w:lang w:val="en-US"/>
              </w:rPr>
            </w:pPr>
            <w:r>
              <w:rPr>
                <w:rFonts w:ascii="Arial Narrow" w:eastAsia="Times New Roman" w:hAnsi="Arial Narrow" w:cs="Arial"/>
                <w:noProof/>
                <w:color w:val="000000"/>
                <w:sz w:val="18"/>
                <w:szCs w:val="18"/>
                <w:highlight w:val="black"/>
              </w:rPr>
              <w:t>''''''</w:t>
            </w:r>
          </w:p>
        </w:tc>
      </w:tr>
      <w:tr w:rsidR="00FB415B" w:rsidRPr="00EA448D" w:rsidTr="00C61800">
        <w:trPr>
          <w:trHeight w:val="89"/>
        </w:trPr>
        <w:tc>
          <w:tcPr>
            <w:tcW w:w="5000" w:type="pct"/>
            <w:gridSpan w:val="10"/>
          </w:tcPr>
          <w:p w:rsidR="00FB415B" w:rsidRPr="00EA448D" w:rsidRDefault="00FB415B" w:rsidP="00C61800">
            <w:pPr>
              <w:spacing w:before="40" w:after="40"/>
              <w:rPr>
                <w:rFonts w:ascii="Arial Narrow" w:eastAsia="Times New Roman" w:hAnsi="Arial Narrow" w:cs="Arial"/>
                <w:sz w:val="18"/>
                <w:szCs w:val="18"/>
              </w:rPr>
            </w:pPr>
            <w:r w:rsidRPr="00EA448D">
              <w:rPr>
                <w:rFonts w:ascii="Arial Narrow" w:eastAsia="Times New Roman" w:hAnsi="Arial Narrow" w:cs="Arial"/>
                <w:sz w:val="18"/>
                <w:szCs w:val="18"/>
              </w:rPr>
              <w:t xml:space="preserve">Expected cost of </w:t>
            </w:r>
            <w:proofErr w:type="spellStart"/>
            <w:r w:rsidRPr="00EA448D">
              <w:rPr>
                <w:rFonts w:ascii="Arial Narrow" w:eastAsia="Times New Roman" w:hAnsi="Arial Narrow" w:cs="Arial"/>
                <w:sz w:val="18"/>
                <w:szCs w:val="18"/>
              </w:rPr>
              <w:t>fingolimod</w:t>
            </w:r>
            <w:proofErr w:type="spellEnd"/>
            <w:r w:rsidRPr="00EA448D">
              <w:rPr>
                <w:rFonts w:ascii="Arial Narrow" w:eastAsia="Times New Roman" w:hAnsi="Arial Narrow" w:cs="Arial"/>
                <w:sz w:val="18"/>
                <w:szCs w:val="18"/>
              </w:rPr>
              <w:t xml:space="preserve"> displaced with </w:t>
            </w:r>
            <w:proofErr w:type="spellStart"/>
            <w:r w:rsidRPr="00EA448D">
              <w:rPr>
                <w:rFonts w:ascii="Arial Narrow" w:eastAsia="Times New Roman" w:hAnsi="Arial Narrow" w:cs="Arial"/>
                <w:sz w:val="18"/>
                <w:szCs w:val="18"/>
              </w:rPr>
              <w:t>cladribine</w:t>
            </w:r>
            <w:proofErr w:type="spellEnd"/>
            <w:r w:rsidRPr="00EA448D">
              <w:rPr>
                <w:rFonts w:ascii="Arial Narrow" w:eastAsia="Times New Roman" w:hAnsi="Arial Narrow" w:cs="Arial"/>
                <w:sz w:val="18"/>
                <w:szCs w:val="18"/>
              </w:rPr>
              <w:t xml:space="preserve"> on PBS</w:t>
            </w:r>
          </w:p>
        </w:tc>
      </w:tr>
      <w:tr w:rsidR="00FD3E0B" w:rsidRPr="00EA448D" w:rsidTr="00C61800">
        <w:trPr>
          <w:trHeight w:val="89"/>
        </w:trPr>
        <w:tc>
          <w:tcPr>
            <w:tcW w:w="315" w:type="pct"/>
          </w:tcPr>
          <w:p w:rsidR="00FB415B" w:rsidRPr="00EA448D" w:rsidRDefault="00FB415B" w:rsidP="00C61800">
            <w:pPr>
              <w:spacing w:before="40" w:after="40"/>
              <w:rPr>
                <w:rFonts w:ascii="Arial Narrow" w:eastAsia="Times New Roman" w:hAnsi="Arial Narrow" w:cs="Times New Roman"/>
                <w:color w:val="000000"/>
                <w:sz w:val="18"/>
                <w:szCs w:val="18"/>
                <w:lang w:val="en-US"/>
              </w:rPr>
            </w:pPr>
            <w:r w:rsidRPr="00EA448D">
              <w:rPr>
                <w:rFonts w:ascii="Arial Narrow" w:eastAsia="Times New Roman" w:hAnsi="Arial Narrow" w:cs="Times New Roman"/>
                <w:color w:val="000000"/>
                <w:sz w:val="18"/>
                <w:szCs w:val="18"/>
                <w:lang w:val="en-US"/>
              </w:rPr>
              <w:t>Total cost</w:t>
            </w:r>
          </w:p>
        </w:tc>
        <w:tc>
          <w:tcPr>
            <w:tcW w:w="484" w:type="pct"/>
            <w:shd w:val="clear" w:color="auto" w:fill="auto"/>
            <w:noWrap/>
            <w:vAlign w:val="center"/>
          </w:tcPr>
          <w:p w:rsidR="00FB415B" w:rsidRPr="00FD3E0B" w:rsidRDefault="00FD3E0B" w:rsidP="00C61800">
            <w:pPr>
              <w:spacing w:before="40" w:after="40"/>
              <w:jc w:val="center"/>
              <w:rPr>
                <w:rFonts w:ascii="Arial Narrow" w:eastAsia="Times New Roman" w:hAnsi="Arial Narrow" w:cs="Arial"/>
                <w:sz w:val="18"/>
                <w:szCs w:val="18"/>
                <w:highlight w:val="black"/>
              </w:rPr>
            </w:pPr>
            <w:r>
              <w:rPr>
                <w:rFonts w:ascii="Arial Narrow" w:eastAsia="Times New Roman" w:hAnsi="Arial Narrow" w:cs="Arial"/>
                <w:noProof/>
                <w:color w:val="000000"/>
                <w:sz w:val="18"/>
                <w:szCs w:val="18"/>
                <w:highlight w:val="black"/>
              </w:rPr>
              <w:t>''''''''''''''''''''''''''''</w:t>
            </w:r>
          </w:p>
        </w:tc>
        <w:tc>
          <w:tcPr>
            <w:tcW w:w="529" w:type="pct"/>
            <w:shd w:val="clear" w:color="auto" w:fill="auto"/>
            <w:noWrap/>
            <w:vAlign w:val="center"/>
          </w:tcPr>
          <w:p w:rsidR="00FB415B" w:rsidRPr="00FD3E0B" w:rsidRDefault="00FD3E0B" w:rsidP="00C61800">
            <w:pPr>
              <w:spacing w:before="40" w:after="40"/>
              <w:jc w:val="center"/>
              <w:rPr>
                <w:rFonts w:ascii="Arial Narrow" w:eastAsia="Times New Roman" w:hAnsi="Arial Narrow" w:cs="Arial"/>
                <w:sz w:val="18"/>
                <w:szCs w:val="18"/>
                <w:highlight w:val="black"/>
              </w:rPr>
            </w:pPr>
            <w:r>
              <w:rPr>
                <w:rFonts w:ascii="Arial Narrow" w:eastAsia="Times New Roman" w:hAnsi="Arial Narrow" w:cs="Arial"/>
                <w:noProof/>
                <w:color w:val="000000"/>
                <w:sz w:val="18"/>
                <w:szCs w:val="18"/>
                <w:highlight w:val="black"/>
              </w:rPr>
              <w:t>''''''''''''''''''''''''''''''''</w:t>
            </w:r>
          </w:p>
        </w:tc>
        <w:tc>
          <w:tcPr>
            <w:tcW w:w="529" w:type="pct"/>
            <w:shd w:val="clear" w:color="auto" w:fill="auto"/>
            <w:noWrap/>
            <w:vAlign w:val="center"/>
          </w:tcPr>
          <w:p w:rsidR="00FB415B" w:rsidRPr="00FD3E0B" w:rsidRDefault="00FD3E0B" w:rsidP="00C61800">
            <w:pPr>
              <w:spacing w:before="40" w:after="40"/>
              <w:jc w:val="center"/>
              <w:rPr>
                <w:rFonts w:ascii="Arial Narrow" w:eastAsia="Times New Roman" w:hAnsi="Arial Narrow" w:cs="Arial"/>
                <w:sz w:val="18"/>
                <w:szCs w:val="18"/>
                <w:highlight w:val="black"/>
              </w:rPr>
            </w:pPr>
            <w:r>
              <w:rPr>
                <w:rFonts w:ascii="Arial Narrow" w:eastAsia="Times New Roman" w:hAnsi="Arial Narrow" w:cs="Arial"/>
                <w:noProof/>
                <w:color w:val="000000"/>
                <w:sz w:val="18"/>
                <w:szCs w:val="18"/>
                <w:highlight w:val="black"/>
              </w:rPr>
              <w:t>'''''''''''''''''''''''''''</w:t>
            </w:r>
          </w:p>
        </w:tc>
        <w:tc>
          <w:tcPr>
            <w:tcW w:w="529" w:type="pct"/>
            <w:shd w:val="clear" w:color="auto" w:fill="auto"/>
            <w:noWrap/>
            <w:vAlign w:val="center"/>
          </w:tcPr>
          <w:p w:rsidR="00FB415B" w:rsidRPr="00FD3E0B" w:rsidRDefault="00FD3E0B" w:rsidP="00C61800">
            <w:pPr>
              <w:spacing w:before="40" w:after="40"/>
              <w:jc w:val="center"/>
              <w:rPr>
                <w:rFonts w:ascii="Arial Narrow" w:eastAsia="Times New Roman" w:hAnsi="Arial Narrow" w:cs="Arial"/>
                <w:sz w:val="18"/>
                <w:szCs w:val="18"/>
                <w:highlight w:val="black"/>
              </w:rPr>
            </w:pPr>
            <w:r>
              <w:rPr>
                <w:rFonts w:ascii="Arial Narrow" w:eastAsia="Times New Roman" w:hAnsi="Arial Narrow" w:cs="Arial"/>
                <w:noProof/>
                <w:color w:val="000000"/>
                <w:sz w:val="18"/>
                <w:szCs w:val="18"/>
                <w:highlight w:val="black"/>
              </w:rPr>
              <w:t>'''''''''''''''''''''''''''''</w:t>
            </w:r>
          </w:p>
        </w:tc>
        <w:tc>
          <w:tcPr>
            <w:tcW w:w="529" w:type="pct"/>
            <w:shd w:val="clear" w:color="auto" w:fill="auto"/>
            <w:noWrap/>
            <w:vAlign w:val="center"/>
          </w:tcPr>
          <w:p w:rsidR="00FB415B" w:rsidRPr="00FD3E0B" w:rsidRDefault="00FD3E0B" w:rsidP="00C61800">
            <w:pPr>
              <w:spacing w:before="40" w:after="40"/>
              <w:jc w:val="center"/>
              <w:rPr>
                <w:rFonts w:ascii="Arial Narrow" w:eastAsia="Times New Roman" w:hAnsi="Arial Narrow" w:cs="Arial"/>
                <w:sz w:val="18"/>
                <w:szCs w:val="18"/>
                <w:highlight w:val="black"/>
              </w:rPr>
            </w:pPr>
            <w:r>
              <w:rPr>
                <w:rFonts w:ascii="Arial Narrow" w:eastAsia="Times New Roman" w:hAnsi="Arial Narrow" w:cs="Arial"/>
                <w:noProof/>
                <w:color w:val="000000"/>
                <w:sz w:val="18"/>
                <w:szCs w:val="18"/>
                <w:highlight w:val="black"/>
              </w:rPr>
              <w:t>''''''''''''''''''''''''''''''</w:t>
            </w:r>
          </w:p>
        </w:tc>
        <w:tc>
          <w:tcPr>
            <w:tcW w:w="529" w:type="pct"/>
            <w:shd w:val="clear" w:color="auto" w:fill="auto"/>
            <w:noWrap/>
            <w:vAlign w:val="center"/>
          </w:tcPr>
          <w:p w:rsidR="00FB415B" w:rsidRPr="00FD3E0B" w:rsidRDefault="00FD3E0B" w:rsidP="00C61800">
            <w:pPr>
              <w:spacing w:before="40" w:after="40"/>
              <w:jc w:val="center"/>
              <w:rPr>
                <w:rFonts w:ascii="Arial Narrow" w:eastAsia="Times New Roman" w:hAnsi="Arial Narrow" w:cs="Arial"/>
                <w:sz w:val="18"/>
                <w:szCs w:val="18"/>
                <w:highlight w:val="black"/>
              </w:rPr>
            </w:pPr>
            <w:r>
              <w:rPr>
                <w:rFonts w:ascii="Arial Narrow" w:eastAsia="Times New Roman" w:hAnsi="Arial Narrow" w:cs="Arial"/>
                <w:noProof/>
                <w:color w:val="000000"/>
                <w:sz w:val="18"/>
                <w:szCs w:val="18"/>
                <w:highlight w:val="black"/>
              </w:rPr>
              <w:t>'''''''''''''''''''''''''''</w:t>
            </w:r>
          </w:p>
        </w:tc>
        <w:tc>
          <w:tcPr>
            <w:tcW w:w="529" w:type="pct"/>
            <w:shd w:val="clear" w:color="auto" w:fill="auto"/>
            <w:noWrap/>
            <w:vAlign w:val="center"/>
          </w:tcPr>
          <w:p w:rsidR="00FB415B" w:rsidRPr="00FD3E0B" w:rsidRDefault="00FD3E0B" w:rsidP="00C61800">
            <w:pPr>
              <w:spacing w:before="40" w:after="40"/>
              <w:jc w:val="center"/>
              <w:rPr>
                <w:rFonts w:ascii="Arial Narrow" w:eastAsia="Times New Roman" w:hAnsi="Arial Narrow" w:cs="Arial"/>
                <w:sz w:val="18"/>
                <w:szCs w:val="18"/>
                <w:highlight w:val="black"/>
              </w:rPr>
            </w:pPr>
            <w:r>
              <w:rPr>
                <w:rFonts w:ascii="Arial Narrow" w:eastAsia="Times New Roman" w:hAnsi="Arial Narrow" w:cs="Arial"/>
                <w:noProof/>
                <w:color w:val="000000"/>
                <w:sz w:val="18"/>
                <w:szCs w:val="18"/>
                <w:highlight w:val="black"/>
              </w:rPr>
              <w:t>'''''''''''''''''''''''''''''</w:t>
            </w:r>
          </w:p>
        </w:tc>
        <w:tc>
          <w:tcPr>
            <w:tcW w:w="514" w:type="pct"/>
            <w:shd w:val="clear" w:color="auto" w:fill="auto"/>
            <w:noWrap/>
            <w:vAlign w:val="center"/>
          </w:tcPr>
          <w:p w:rsidR="00FB415B" w:rsidRPr="00FD3E0B" w:rsidRDefault="00FD3E0B" w:rsidP="00C61800">
            <w:pPr>
              <w:spacing w:before="40" w:after="40"/>
              <w:jc w:val="center"/>
              <w:rPr>
                <w:rFonts w:ascii="Arial Narrow" w:eastAsia="Times New Roman" w:hAnsi="Arial Narrow" w:cs="Arial"/>
                <w:sz w:val="18"/>
                <w:szCs w:val="18"/>
                <w:highlight w:val="black"/>
              </w:rPr>
            </w:pPr>
            <w:r>
              <w:rPr>
                <w:rFonts w:ascii="Arial Narrow" w:eastAsia="Times New Roman" w:hAnsi="Arial Narrow" w:cs="Arial"/>
                <w:noProof/>
                <w:color w:val="000000"/>
                <w:sz w:val="18"/>
                <w:szCs w:val="18"/>
                <w:highlight w:val="black"/>
              </w:rPr>
              <w:t>''''''''''''''''''''''''''</w:t>
            </w:r>
          </w:p>
        </w:tc>
        <w:tc>
          <w:tcPr>
            <w:tcW w:w="513" w:type="pct"/>
            <w:shd w:val="clear" w:color="auto" w:fill="auto"/>
            <w:noWrap/>
            <w:vAlign w:val="center"/>
          </w:tcPr>
          <w:p w:rsidR="00FB415B" w:rsidRPr="00FD3E0B" w:rsidRDefault="00FD3E0B" w:rsidP="00C61800">
            <w:pPr>
              <w:spacing w:before="40" w:after="40"/>
              <w:jc w:val="center"/>
              <w:rPr>
                <w:rFonts w:ascii="Arial Narrow" w:eastAsia="Times New Roman" w:hAnsi="Arial Narrow" w:cs="Arial"/>
                <w:sz w:val="18"/>
                <w:szCs w:val="18"/>
                <w:highlight w:val="black"/>
              </w:rPr>
            </w:pPr>
            <w:r>
              <w:rPr>
                <w:rFonts w:ascii="Arial Narrow" w:eastAsia="Times New Roman" w:hAnsi="Arial Narrow" w:cs="Arial"/>
                <w:noProof/>
                <w:color w:val="000000"/>
                <w:sz w:val="18"/>
                <w:szCs w:val="18"/>
                <w:highlight w:val="black"/>
              </w:rPr>
              <w:t>''''''''''''''''''''''''''''''</w:t>
            </w:r>
          </w:p>
        </w:tc>
      </w:tr>
      <w:tr w:rsidR="00FB415B" w:rsidRPr="00EA448D" w:rsidTr="00C61800">
        <w:trPr>
          <w:trHeight w:val="104"/>
        </w:trPr>
        <w:tc>
          <w:tcPr>
            <w:tcW w:w="5000" w:type="pct"/>
            <w:gridSpan w:val="10"/>
          </w:tcPr>
          <w:p w:rsidR="00FB415B" w:rsidRPr="00EA448D" w:rsidRDefault="00FB415B" w:rsidP="00C61800">
            <w:pPr>
              <w:spacing w:before="40" w:after="40"/>
              <w:rPr>
                <w:rFonts w:ascii="Arial Narrow" w:eastAsia="Times New Roman" w:hAnsi="Arial Narrow" w:cs="Arial"/>
                <w:sz w:val="18"/>
                <w:szCs w:val="18"/>
              </w:rPr>
            </w:pPr>
            <w:r w:rsidRPr="00EA448D">
              <w:rPr>
                <w:rFonts w:ascii="Arial Narrow" w:eastAsia="Times New Roman" w:hAnsi="Arial Narrow" w:cs="Arial"/>
                <w:sz w:val="18"/>
                <w:szCs w:val="18"/>
              </w:rPr>
              <w:t xml:space="preserve">Net implications to the PBS – </w:t>
            </w:r>
            <w:proofErr w:type="spellStart"/>
            <w:r w:rsidRPr="00EA448D">
              <w:rPr>
                <w:rFonts w:ascii="Arial Narrow" w:eastAsia="Times New Roman" w:hAnsi="Arial Narrow" w:cs="Arial"/>
                <w:sz w:val="18"/>
                <w:szCs w:val="18"/>
              </w:rPr>
              <w:t>cladribine</w:t>
            </w:r>
            <w:proofErr w:type="spellEnd"/>
            <w:r w:rsidRPr="00EA448D">
              <w:rPr>
                <w:rFonts w:ascii="Arial Narrow" w:eastAsia="Times New Roman" w:hAnsi="Arial Narrow" w:cs="Arial"/>
                <w:sz w:val="18"/>
                <w:szCs w:val="18"/>
              </w:rPr>
              <w:t xml:space="preserve"> impact after displacing </w:t>
            </w:r>
            <w:proofErr w:type="spellStart"/>
            <w:r w:rsidRPr="00EA448D">
              <w:rPr>
                <w:rFonts w:ascii="Arial Narrow" w:eastAsia="Times New Roman" w:hAnsi="Arial Narrow" w:cs="Arial"/>
                <w:sz w:val="18"/>
                <w:szCs w:val="18"/>
              </w:rPr>
              <w:t>fingolimod</w:t>
            </w:r>
            <w:proofErr w:type="spellEnd"/>
          </w:p>
        </w:tc>
      </w:tr>
      <w:tr w:rsidR="00FD3E0B" w:rsidRPr="00EA448D" w:rsidTr="00C61800">
        <w:trPr>
          <w:trHeight w:val="89"/>
        </w:trPr>
        <w:tc>
          <w:tcPr>
            <w:tcW w:w="315" w:type="pct"/>
          </w:tcPr>
          <w:p w:rsidR="00FB415B" w:rsidRPr="00EA448D" w:rsidRDefault="00FB415B" w:rsidP="00C61800">
            <w:pPr>
              <w:spacing w:before="40" w:after="40"/>
              <w:rPr>
                <w:rFonts w:ascii="Arial Narrow" w:eastAsia="Times New Roman" w:hAnsi="Arial Narrow" w:cs="Times New Roman"/>
                <w:color w:val="000000"/>
                <w:sz w:val="18"/>
                <w:szCs w:val="18"/>
                <w:lang w:val="en-US"/>
              </w:rPr>
            </w:pPr>
            <w:r w:rsidRPr="00EA448D">
              <w:rPr>
                <w:rFonts w:ascii="Arial Narrow" w:eastAsia="Times New Roman" w:hAnsi="Arial Narrow" w:cs="Times New Roman"/>
                <w:color w:val="000000"/>
                <w:sz w:val="18"/>
                <w:szCs w:val="18"/>
                <w:lang w:val="en-US"/>
              </w:rPr>
              <w:t>Net cost</w:t>
            </w:r>
          </w:p>
        </w:tc>
        <w:tc>
          <w:tcPr>
            <w:tcW w:w="484" w:type="pct"/>
            <w:shd w:val="clear" w:color="auto" w:fill="auto"/>
            <w:noWrap/>
            <w:vAlign w:val="center"/>
          </w:tcPr>
          <w:p w:rsidR="00FB415B" w:rsidRPr="00FD3E0B" w:rsidRDefault="00FD3E0B" w:rsidP="00C61800">
            <w:pPr>
              <w:spacing w:before="40" w:after="40"/>
              <w:jc w:val="center"/>
              <w:rPr>
                <w:rFonts w:ascii="Arial Narrow" w:eastAsia="Times New Roman" w:hAnsi="Arial Narrow" w:cs="Arial"/>
                <w:sz w:val="18"/>
                <w:szCs w:val="18"/>
                <w:highlight w:val="black"/>
              </w:rPr>
            </w:pPr>
            <w:r>
              <w:rPr>
                <w:rFonts w:ascii="Arial Narrow" w:eastAsia="Times New Roman" w:hAnsi="Arial Narrow" w:cs="Arial"/>
                <w:bCs/>
                <w:noProof/>
                <w:color w:val="000000"/>
                <w:sz w:val="18"/>
                <w:szCs w:val="18"/>
                <w:highlight w:val="black"/>
              </w:rPr>
              <w:t>'''''''''''''''''''''''''''''</w:t>
            </w:r>
          </w:p>
        </w:tc>
        <w:tc>
          <w:tcPr>
            <w:tcW w:w="529" w:type="pct"/>
            <w:shd w:val="clear" w:color="auto" w:fill="auto"/>
            <w:noWrap/>
            <w:vAlign w:val="center"/>
          </w:tcPr>
          <w:p w:rsidR="00FB415B" w:rsidRPr="00FD3E0B" w:rsidRDefault="00FD3E0B" w:rsidP="00C61800">
            <w:pPr>
              <w:spacing w:before="40" w:after="40"/>
              <w:jc w:val="center"/>
              <w:rPr>
                <w:rFonts w:ascii="Arial Narrow" w:eastAsia="Times New Roman" w:hAnsi="Arial Narrow" w:cs="Arial"/>
                <w:sz w:val="18"/>
                <w:szCs w:val="18"/>
                <w:highlight w:val="black"/>
              </w:rPr>
            </w:pPr>
            <w:r>
              <w:rPr>
                <w:rFonts w:ascii="Arial Narrow" w:eastAsia="Times New Roman" w:hAnsi="Arial Narrow" w:cs="Arial"/>
                <w:bCs/>
                <w:noProof/>
                <w:color w:val="000000"/>
                <w:sz w:val="18"/>
                <w:szCs w:val="18"/>
                <w:highlight w:val="black"/>
              </w:rPr>
              <w:t>''''''''''''''''''''''''''''''</w:t>
            </w:r>
          </w:p>
        </w:tc>
        <w:tc>
          <w:tcPr>
            <w:tcW w:w="529" w:type="pct"/>
            <w:shd w:val="clear" w:color="auto" w:fill="auto"/>
            <w:noWrap/>
            <w:vAlign w:val="center"/>
          </w:tcPr>
          <w:p w:rsidR="00FB415B" w:rsidRPr="00FD3E0B" w:rsidRDefault="00FD3E0B" w:rsidP="00C61800">
            <w:pPr>
              <w:spacing w:before="40" w:after="40"/>
              <w:jc w:val="center"/>
              <w:rPr>
                <w:rFonts w:ascii="Arial Narrow" w:eastAsia="Times New Roman" w:hAnsi="Arial Narrow" w:cs="Arial"/>
                <w:sz w:val="18"/>
                <w:szCs w:val="18"/>
                <w:highlight w:val="black"/>
              </w:rPr>
            </w:pPr>
            <w:r>
              <w:rPr>
                <w:rFonts w:ascii="Arial Narrow" w:eastAsia="Times New Roman" w:hAnsi="Arial Narrow" w:cs="Arial"/>
                <w:bCs/>
                <w:noProof/>
                <w:color w:val="000000"/>
                <w:sz w:val="18"/>
                <w:szCs w:val="18"/>
                <w:highlight w:val="black"/>
              </w:rPr>
              <w:t>''''''''''''''''''''''''''''''''</w:t>
            </w:r>
          </w:p>
        </w:tc>
        <w:tc>
          <w:tcPr>
            <w:tcW w:w="529" w:type="pct"/>
            <w:shd w:val="clear" w:color="auto" w:fill="auto"/>
            <w:noWrap/>
            <w:vAlign w:val="center"/>
          </w:tcPr>
          <w:p w:rsidR="00FB415B" w:rsidRPr="00FD3E0B" w:rsidRDefault="00FD3E0B" w:rsidP="00C61800">
            <w:pPr>
              <w:spacing w:before="40" w:after="40"/>
              <w:jc w:val="center"/>
              <w:rPr>
                <w:rFonts w:ascii="Arial Narrow" w:eastAsia="Times New Roman" w:hAnsi="Arial Narrow" w:cs="Arial"/>
                <w:sz w:val="18"/>
                <w:szCs w:val="18"/>
                <w:highlight w:val="black"/>
              </w:rPr>
            </w:pPr>
            <w:r>
              <w:rPr>
                <w:rFonts w:ascii="Arial Narrow" w:eastAsia="Times New Roman" w:hAnsi="Arial Narrow" w:cs="Arial"/>
                <w:bCs/>
                <w:noProof/>
                <w:color w:val="000000"/>
                <w:sz w:val="18"/>
                <w:szCs w:val="18"/>
                <w:highlight w:val="black"/>
              </w:rPr>
              <w:t>''''''''''''''''''''''''''''</w:t>
            </w:r>
          </w:p>
        </w:tc>
        <w:tc>
          <w:tcPr>
            <w:tcW w:w="529" w:type="pct"/>
            <w:shd w:val="clear" w:color="auto" w:fill="auto"/>
            <w:noWrap/>
            <w:vAlign w:val="center"/>
          </w:tcPr>
          <w:p w:rsidR="00FB415B" w:rsidRPr="00FD3E0B" w:rsidRDefault="00FD3E0B" w:rsidP="00C61800">
            <w:pPr>
              <w:spacing w:before="40" w:after="40"/>
              <w:jc w:val="center"/>
              <w:rPr>
                <w:rFonts w:ascii="Arial Narrow" w:eastAsia="Times New Roman" w:hAnsi="Arial Narrow" w:cs="Arial"/>
                <w:sz w:val="18"/>
                <w:szCs w:val="18"/>
                <w:highlight w:val="black"/>
              </w:rPr>
            </w:pPr>
            <w:r>
              <w:rPr>
                <w:rFonts w:ascii="Arial Narrow" w:eastAsia="Times New Roman" w:hAnsi="Arial Narrow" w:cs="Arial"/>
                <w:bCs/>
                <w:noProof/>
                <w:color w:val="000000"/>
                <w:sz w:val="18"/>
                <w:szCs w:val="18"/>
                <w:highlight w:val="black"/>
              </w:rPr>
              <w:t>'''''''''''''''''''''''''''''''</w:t>
            </w:r>
          </w:p>
        </w:tc>
        <w:tc>
          <w:tcPr>
            <w:tcW w:w="529" w:type="pct"/>
            <w:shd w:val="clear" w:color="auto" w:fill="auto"/>
            <w:noWrap/>
            <w:vAlign w:val="center"/>
          </w:tcPr>
          <w:p w:rsidR="00FB415B" w:rsidRPr="00FD3E0B" w:rsidRDefault="00FD3E0B" w:rsidP="00C61800">
            <w:pPr>
              <w:spacing w:before="40" w:after="40"/>
              <w:jc w:val="center"/>
              <w:rPr>
                <w:rFonts w:ascii="Arial Narrow" w:eastAsia="Times New Roman" w:hAnsi="Arial Narrow" w:cs="Arial"/>
                <w:sz w:val="18"/>
                <w:szCs w:val="18"/>
                <w:highlight w:val="black"/>
              </w:rPr>
            </w:pPr>
            <w:r>
              <w:rPr>
                <w:rFonts w:ascii="Arial Narrow" w:eastAsia="Times New Roman" w:hAnsi="Arial Narrow" w:cs="Arial"/>
                <w:bCs/>
                <w:noProof/>
                <w:color w:val="000000"/>
                <w:sz w:val="18"/>
                <w:szCs w:val="18"/>
                <w:highlight w:val="black"/>
              </w:rPr>
              <w:t>'''''''''''''''''''''''''''''</w:t>
            </w:r>
          </w:p>
        </w:tc>
        <w:tc>
          <w:tcPr>
            <w:tcW w:w="529" w:type="pct"/>
            <w:shd w:val="clear" w:color="auto" w:fill="auto"/>
            <w:noWrap/>
            <w:vAlign w:val="center"/>
          </w:tcPr>
          <w:p w:rsidR="00FB415B" w:rsidRPr="00FD3E0B" w:rsidRDefault="00FD3E0B" w:rsidP="00C61800">
            <w:pPr>
              <w:spacing w:before="40" w:after="40"/>
              <w:jc w:val="center"/>
              <w:rPr>
                <w:rFonts w:ascii="Arial Narrow" w:eastAsia="Times New Roman" w:hAnsi="Arial Narrow" w:cs="Arial"/>
                <w:sz w:val="18"/>
                <w:szCs w:val="18"/>
                <w:highlight w:val="black"/>
              </w:rPr>
            </w:pPr>
            <w:r>
              <w:rPr>
                <w:rFonts w:ascii="Arial Narrow" w:eastAsia="Times New Roman" w:hAnsi="Arial Narrow" w:cs="Arial"/>
                <w:bCs/>
                <w:noProof/>
                <w:color w:val="000000"/>
                <w:sz w:val="18"/>
                <w:szCs w:val="18"/>
                <w:highlight w:val="black"/>
              </w:rPr>
              <w:t>''''''''''''''''''''''''''</w:t>
            </w:r>
          </w:p>
        </w:tc>
        <w:tc>
          <w:tcPr>
            <w:tcW w:w="514" w:type="pct"/>
            <w:shd w:val="clear" w:color="auto" w:fill="auto"/>
            <w:noWrap/>
            <w:vAlign w:val="center"/>
          </w:tcPr>
          <w:p w:rsidR="00FB415B" w:rsidRPr="00FD3E0B" w:rsidRDefault="00FD3E0B" w:rsidP="00C61800">
            <w:pPr>
              <w:spacing w:before="40" w:after="40"/>
              <w:jc w:val="center"/>
              <w:rPr>
                <w:rFonts w:ascii="Arial Narrow" w:eastAsia="Times New Roman" w:hAnsi="Arial Narrow" w:cs="Arial"/>
                <w:sz w:val="18"/>
                <w:szCs w:val="18"/>
                <w:highlight w:val="black"/>
              </w:rPr>
            </w:pPr>
            <w:r>
              <w:rPr>
                <w:rFonts w:ascii="Arial Narrow" w:eastAsia="Times New Roman" w:hAnsi="Arial Narrow" w:cs="Arial"/>
                <w:bCs/>
                <w:noProof/>
                <w:color w:val="000000"/>
                <w:sz w:val="18"/>
                <w:szCs w:val="18"/>
                <w:highlight w:val="black"/>
              </w:rPr>
              <w:t>''''''''''''''''''''''''''''''''''</w:t>
            </w:r>
          </w:p>
        </w:tc>
        <w:tc>
          <w:tcPr>
            <w:tcW w:w="513" w:type="pct"/>
            <w:shd w:val="clear" w:color="auto" w:fill="auto"/>
            <w:noWrap/>
            <w:vAlign w:val="center"/>
          </w:tcPr>
          <w:p w:rsidR="00FB415B" w:rsidRPr="00FD3E0B" w:rsidRDefault="00FD3E0B" w:rsidP="00C61800">
            <w:pPr>
              <w:spacing w:before="40" w:after="40"/>
              <w:jc w:val="center"/>
              <w:rPr>
                <w:rFonts w:ascii="Arial Narrow" w:eastAsia="Times New Roman" w:hAnsi="Arial Narrow" w:cs="Arial"/>
                <w:sz w:val="18"/>
                <w:szCs w:val="18"/>
                <w:highlight w:val="black"/>
              </w:rPr>
            </w:pPr>
            <w:r>
              <w:rPr>
                <w:rFonts w:ascii="Arial Narrow" w:eastAsia="Times New Roman" w:hAnsi="Arial Narrow" w:cs="Arial"/>
                <w:bCs/>
                <w:noProof/>
                <w:color w:val="000000"/>
                <w:sz w:val="18"/>
                <w:szCs w:val="18"/>
                <w:highlight w:val="black"/>
              </w:rPr>
              <w:t>'''''''''''''''''''''''''''''''''</w:t>
            </w:r>
          </w:p>
        </w:tc>
      </w:tr>
      <w:tr w:rsidR="00FD3E0B" w:rsidRPr="00EA448D" w:rsidTr="00C61800">
        <w:trPr>
          <w:trHeight w:val="89"/>
        </w:trPr>
        <w:tc>
          <w:tcPr>
            <w:tcW w:w="315" w:type="pct"/>
          </w:tcPr>
          <w:p w:rsidR="00FB415B" w:rsidRPr="00EA448D" w:rsidRDefault="00FB415B" w:rsidP="00C61800">
            <w:pPr>
              <w:spacing w:before="40" w:after="40"/>
              <w:rPr>
                <w:rFonts w:ascii="Arial Narrow" w:eastAsia="Times New Roman" w:hAnsi="Arial Narrow" w:cs="Times New Roman"/>
                <w:color w:val="000000"/>
                <w:sz w:val="20"/>
                <w:szCs w:val="20"/>
                <w:lang w:val="en-US"/>
              </w:rPr>
            </w:pPr>
            <w:proofErr w:type="spellStart"/>
            <w:proofErr w:type="gramStart"/>
            <w:r w:rsidRPr="00EA448D">
              <w:rPr>
                <w:rFonts w:ascii="Arial Narrow" w:eastAsia="Times New Roman" w:hAnsi="Arial Narrow" w:cs="Times New Roman"/>
                <w:color w:val="000000"/>
                <w:sz w:val="18"/>
                <w:szCs w:val="18"/>
                <w:lang w:val="en-US"/>
              </w:rPr>
              <w:t>Cumul</w:t>
            </w:r>
            <w:proofErr w:type="spellEnd"/>
            <w:r w:rsidRPr="00EA448D">
              <w:rPr>
                <w:rFonts w:ascii="Arial Narrow" w:eastAsia="Times New Roman" w:hAnsi="Arial Narrow" w:cs="Times New Roman"/>
                <w:color w:val="000000"/>
                <w:sz w:val="20"/>
                <w:szCs w:val="20"/>
                <w:lang w:val="en-US"/>
              </w:rPr>
              <w:t>.</w:t>
            </w:r>
            <w:proofErr w:type="gramEnd"/>
          </w:p>
        </w:tc>
        <w:tc>
          <w:tcPr>
            <w:tcW w:w="484" w:type="pct"/>
            <w:shd w:val="clear" w:color="auto" w:fill="auto"/>
            <w:noWrap/>
            <w:vAlign w:val="center"/>
          </w:tcPr>
          <w:p w:rsidR="00FB415B" w:rsidRPr="00FD3E0B" w:rsidRDefault="00FD3E0B" w:rsidP="00C61800">
            <w:pPr>
              <w:spacing w:before="40" w:after="40"/>
              <w:jc w:val="center"/>
              <w:rPr>
                <w:rFonts w:ascii="Arial Narrow" w:eastAsia="Times New Roman" w:hAnsi="Arial Narrow" w:cs="Arial"/>
                <w:sz w:val="18"/>
                <w:szCs w:val="18"/>
                <w:highlight w:val="black"/>
              </w:rPr>
            </w:pPr>
            <w:r>
              <w:rPr>
                <w:rFonts w:ascii="Arial Narrow" w:eastAsia="Times New Roman" w:hAnsi="Arial Narrow" w:cs="Arial"/>
                <w:bCs/>
                <w:noProof/>
                <w:color w:val="000000"/>
                <w:sz w:val="18"/>
                <w:szCs w:val="18"/>
                <w:highlight w:val="black"/>
              </w:rPr>
              <w:t>''''''''''''''''''''''''''''''</w:t>
            </w:r>
          </w:p>
        </w:tc>
        <w:tc>
          <w:tcPr>
            <w:tcW w:w="529" w:type="pct"/>
            <w:shd w:val="clear" w:color="auto" w:fill="auto"/>
            <w:noWrap/>
            <w:vAlign w:val="center"/>
          </w:tcPr>
          <w:p w:rsidR="00FB415B" w:rsidRPr="00FD3E0B" w:rsidRDefault="00FD3E0B" w:rsidP="00C61800">
            <w:pPr>
              <w:spacing w:before="40" w:after="40"/>
              <w:jc w:val="center"/>
              <w:rPr>
                <w:rFonts w:ascii="Arial Narrow" w:eastAsia="Times New Roman" w:hAnsi="Arial Narrow" w:cs="Arial"/>
                <w:sz w:val="18"/>
                <w:szCs w:val="18"/>
                <w:highlight w:val="black"/>
              </w:rPr>
            </w:pPr>
            <w:r>
              <w:rPr>
                <w:rFonts w:ascii="Arial Narrow" w:eastAsia="Times New Roman" w:hAnsi="Arial Narrow" w:cs="Arial"/>
                <w:bCs/>
                <w:noProof/>
                <w:color w:val="000000"/>
                <w:sz w:val="18"/>
                <w:szCs w:val="18"/>
                <w:highlight w:val="black"/>
              </w:rPr>
              <w:t>''''''''''''''''''''''''''''</w:t>
            </w:r>
          </w:p>
        </w:tc>
        <w:tc>
          <w:tcPr>
            <w:tcW w:w="529" w:type="pct"/>
            <w:shd w:val="clear" w:color="auto" w:fill="auto"/>
            <w:noWrap/>
            <w:vAlign w:val="center"/>
          </w:tcPr>
          <w:p w:rsidR="00FB415B" w:rsidRPr="00FD3E0B" w:rsidRDefault="00FD3E0B" w:rsidP="00C61800">
            <w:pPr>
              <w:spacing w:before="40" w:after="40"/>
              <w:jc w:val="center"/>
              <w:rPr>
                <w:rFonts w:ascii="Arial Narrow" w:eastAsia="Times New Roman" w:hAnsi="Arial Narrow" w:cs="Arial"/>
                <w:sz w:val="18"/>
                <w:szCs w:val="18"/>
                <w:highlight w:val="black"/>
              </w:rPr>
            </w:pPr>
            <w:r>
              <w:rPr>
                <w:rFonts w:ascii="Arial Narrow" w:eastAsia="Times New Roman" w:hAnsi="Arial Narrow" w:cs="Arial"/>
                <w:bCs/>
                <w:noProof/>
                <w:color w:val="000000"/>
                <w:sz w:val="18"/>
                <w:szCs w:val="18"/>
                <w:highlight w:val="black"/>
              </w:rPr>
              <w:t>'''''''''''''''''''''''''''''</w:t>
            </w:r>
          </w:p>
        </w:tc>
        <w:tc>
          <w:tcPr>
            <w:tcW w:w="529" w:type="pct"/>
            <w:shd w:val="clear" w:color="auto" w:fill="auto"/>
            <w:noWrap/>
            <w:vAlign w:val="center"/>
          </w:tcPr>
          <w:p w:rsidR="00FB415B" w:rsidRPr="00FD3E0B" w:rsidRDefault="00FD3E0B" w:rsidP="00C61800">
            <w:pPr>
              <w:spacing w:before="40" w:after="40"/>
              <w:jc w:val="center"/>
              <w:rPr>
                <w:rFonts w:ascii="Arial Narrow" w:eastAsia="Times New Roman" w:hAnsi="Arial Narrow" w:cs="Arial"/>
                <w:sz w:val="18"/>
                <w:szCs w:val="18"/>
                <w:highlight w:val="black"/>
              </w:rPr>
            </w:pPr>
            <w:r>
              <w:rPr>
                <w:rFonts w:ascii="Arial Narrow" w:eastAsia="Times New Roman" w:hAnsi="Arial Narrow" w:cs="Arial"/>
                <w:bCs/>
                <w:noProof/>
                <w:color w:val="000000"/>
                <w:sz w:val="18"/>
                <w:szCs w:val="18"/>
                <w:highlight w:val="black"/>
              </w:rPr>
              <w:t>''''''''''''''''''''''''''''''</w:t>
            </w:r>
          </w:p>
        </w:tc>
        <w:tc>
          <w:tcPr>
            <w:tcW w:w="529" w:type="pct"/>
            <w:shd w:val="clear" w:color="auto" w:fill="auto"/>
            <w:noWrap/>
            <w:vAlign w:val="center"/>
          </w:tcPr>
          <w:p w:rsidR="00FB415B" w:rsidRPr="00FD3E0B" w:rsidRDefault="00FD3E0B" w:rsidP="00C61800">
            <w:pPr>
              <w:spacing w:before="40" w:after="40"/>
              <w:jc w:val="center"/>
              <w:rPr>
                <w:rFonts w:ascii="Arial Narrow" w:eastAsia="Times New Roman" w:hAnsi="Arial Narrow" w:cs="Arial"/>
                <w:sz w:val="18"/>
                <w:szCs w:val="18"/>
                <w:highlight w:val="black"/>
              </w:rPr>
            </w:pPr>
            <w:r>
              <w:rPr>
                <w:rFonts w:ascii="Arial Narrow" w:eastAsia="Times New Roman" w:hAnsi="Arial Narrow" w:cs="Arial"/>
                <w:bCs/>
                <w:noProof/>
                <w:color w:val="000000"/>
                <w:sz w:val="18"/>
                <w:szCs w:val="18"/>
                <w:highlight w:val="black"/>
              </w:rPr>
              <w:t>'''''''''''''''''''''''''''''</w:t>
            </w:r>
          </w:p>
        </w:tc>
        <w:tc>
          <w:tcPr>
            <w:tcW w:w="529" w:type="pct"/>
            <w:shd w:val="clear" w:color="auto" w:fill="auto"/>
            <w:noWrap/>
            <w:vAlign w:val="center"/>
          </w:tcPr>
          <w:p w:rsidR="00FB415B" w:rsidRPr="00FD3E0B" w:rsidRDefault="00FD3E0B" w:rsidP="00C61800">
            <w:pPr>
              <w:spacing w:before="40" w:after="40"/>
              <w:jc w:val="center"/>
              <w:rPr>
                <w:rFonts w:ascii="Arial Narrow" w:eastAsia="Times New Roman" w:hAnsi="Arial Narrow" w:cs="Arial"/>
                <w:sz w:val="18"/>
                <w:szCs w:val="18"/>
                <w:highlight w:val="black"/>
              </w:rPr>
            </w:pPr>
            <w:r>
              <w:rPr>
                <w:rFonts w:ascii="Arial Narrow" w:eastAsia="Times New Roman" w:hAnsi="Arial Narrow" w:cs="Arial"/>
                <w:bCs/>
                <w:noProof/>
                <w:color w:val="000000"/>
                <w:sz w:val="18"/>
                <w:szCs w:val="18"/>
                <w:highlight w:val="black"/>
              </w:rPr>
              <w:t>'''''''''''''''''''''''''''''''''</w:t>
            </w:r>
          </w:p>
        </w:tc>
        <w:tc>
          <w:tcPr>
            <w:tcW w:w="529" w:type="pct"/>
            <w:shd w:val="clear" w:color="auto" w:fill="auto"/>
            <w:noWrap/>
            <w:vAlign w:val="center"/>
          </w:tcPr>
          <w:p w:rsidR="00FB415B" w:rsidRPr="00FD3E0B" w:rsidRDefault="00FD3E0B" w:rsidP="00C61800">
            <w:pPr>
              <w:spacing w:before="40" w:after="40"/>
              <w:jc w:val="center"/>
              <w:rPr>
                <w:rFonts w:ascii="Arial Narrow" w:eastAsia="Times New Roman" w:hAnsi="Arial Narrow" w:cs="Arial"/>
                <w:sz w:val="18"/>
                <w:szCs w:val="18"/>
                <w:highlight w:val="black"/>
              </w:rPr>
            </w:pPr>
            <w:r>
              <w:rPr>
                <w:rFonts w:ascii="Arial Narrow" w:eastAsia="Times New Roman" w:hAnsi="Arial Narrow" w:cs="Arial"/>
                <w:bCs/>
                <w:noProof/>
                <w:color w:val="000000"/>
                <w:sz w:val="18"/>
                <w:szCs w:val="18"/>
                <w:highlight w:val="black"/>
              </w:rPr>
              <w:t>'''''''''''''''''''''''''''''''''''</w:t>
            </w:r>
          </w:p>
        </w:tc>
        <w:tc>
          <w:tcPr>
            <w:tcW w:w="514" w:type="pct"/>
            <w:shd w:val="clear" w:color="auto" w:fill="auto"/>
            <w:noWrap/>
            <w:vAlign w:val="center"/>
          </w:tcPr>
          <w:p w:rsidR="00FB415B" w:rsidRPr="00FD3E0B" w:rsidRDefault="00FD3E0B" w:rsidP="00C61800">
            <w:pPr>
              <w:spacing w:before="40" w:after="40"/>
              <w:jc w:val="center"/>
              <w:rPr>
                <w:rFonts w:ascii="Arial Narrow" w:eastAsia="Times New Roman" w:hAnsi="Arial Narrow" w:cs="Arial"/>
                <w:sz w:val="18"/>
                <w:szCs w:val="18"/>
                <w:highlight w:val="black"/>
              </w:rPr>
            </w:pPr>
            <w:r>
              <w:rPr>
                <w:rFonts w:ascii="Arial Narrow" w:eastAsia="Times New Roman" w:hAnsi="Arial Narrow" w:cs="Arial"/>
                <w:bCs/>
                <w:noProof/>
                <w:color w:val="000000"/>
                <w:sz w:val="18"/>
                <w:szCs w:val="18"/>
                <w:highlight w:val="black"/>
              </w:rPr>
              <w:t>'''''''''''''''''''''''''''''''</w:t>
            </w:r>
          </w:p>
        </w:tc>
        <w:tc>
          <w:tcPr>
            <w:tcW w:w="513" w:type="pct"/>
            <w:shd w:val="clear" w:color="auto" w:fill="auto"/>
            <w:noWrap/>
            <w:vAlign w:val="center"/>
          </w:tcPr>
          <w:p w:rsidR="00FB415B" w:rsidRPr="00FD3E0B" w:rsidRDefault="00FD3E0B" w:rsidP="00C61800">
            <w:pPr>
              <w:spacing w:before="40" w:after="40"/>
              <w:jc w:val="center"/>
              <w:rPr>
                <w:rFonts w:ascii="Arial Narrow" w:eastAsia="Times New Roman" w:hAnsi="Arial Narrow" w:cs="Arial"/>
                <w:sz w:val="18"/>
                <w:szCs w:val="18"/>
                <w:highlight w:val="black"/>
              </w:rPr>
            </w:pPr>
            <w:r>
              <w:rPr>
                <w:rFonts w:ascii="Arial Narrow" w:eastAsia="Times New Roman" w:hAnsi="Arial Narrow" w:cs="Arial"/>
                <w:bCs/>
                <w:noProof/>
                <w:color w:val="000000"/>
                <w:sz w:val="18"/>
                <w:szCs w:val="18"/>
                <w:highlight w:val="black"/>
              </w:rPr>
              <w:t>''''''</w:t>
            </w:r>
          </w:p>
        </w:tc>
      </w:tr>
    </w:tbl>
    <w:p w:rsidR="00FB415B" w:rsidRPr="00EA448D" w:rsidRDefault="00FB415B" w:rsidP="00FB415B">
      <w:pPr>
        <w:pStyle w:val="TableFooter"/>
      </w:pPr>
      <w:proofErr w:type="gramStart"/>
      <w:r w:rsidRPr="00EA448D">
        <w:t>Source: Table 4.6.3, p242 of the resubmission and ‘Att_10 Section 4.xlsx’.</w:t>
      </w:r>
      <w:proofErr w:type="gramEnd"/>
      <w:r w:rsidRPr="00EA448D">
        <w:t xml:space="preserve"> </w:t>
      </w:r>
      <w:proofErr w:type="spellStart"/>
      <w:r w:rsidRPr="00EA448D">
        <w:t>Cumul</w:t>
      </w:r>
      <w:proofErr w:type="spellEnd"/>
      <w:r w:rsidRPr="00EA448D">
        <w:t xml:space="preserve"> = cumulative costs; PBS = Pharmaceutical Benefits Scheme</w:t>
      </w:r>
    </w:p>
    <w:p w:rsidR="00702665" w:rsidRDefault="00FB415B" w:rsidP="00702665">
      <w:pPr>
        <w:pStyle w:val="TableFooter"/>
      </w:pPr>
      <w:proofErr w:type="gramStart"/>
      <w:r w:rsidRPr="00EA448D">
        <w:t>Note: the resubmission assumed no RPBS use and hence is not included.</w:t>
      </w:r>
      <w:proofErr w:type="gramEnd"/>
    </w:p>
    <w:p w:rsidR="007F5605" w:rsidRDefault="00EB5896" w:rsidP="00A627FC">
      <w:pPr>
        <w:pStyle w:val="ListParagraph"/>
        <w:numPr>
          <w:ilvl w:val="1"/>
          <w:numId w:val="1"/>
        </w:numPr>
        <w:spacing w:before="0" w:after="120"/>
        <w:jc w:val="both"/>
      </w:pPr>
      <w:r w:rsidRPr="007C61DD">
        <w:t xml:space="preserve">The PSCR (p4) argued that the persistence rates for </w:t>
      </w:r>
      <w:proofErr w:type="spellStart"/>
      <w:r w:rsidRPr="007C61DD">
        <w:t>cladribine</w:t>
      </w:r>
      <w:proofErr w:type="spellEnd"/>
      <w:r w:rsidRPr="007C61DD">
        <w:t xml:space="preserve"> should be theoretically higher than for </w:t>
      </w:r>
      <w:proofErr w:type="spellStart"/>
      <w:r w:rsidRPr="007C61DD">
        <w:t>fingolimod</w:t>
      </w:r>
      <w:proofErr w:type="spellEnd"/>
      <w:r w:rsidRPr="007C61DD">
        <w:t xml:space="preserve"> due to </w:t>
      </w:r>
      <w:proofErr w:type="spellStart"/>
      <w:r w:rsidRPr="007C61DD">
        <w:t>cladribine’s</w:t>
      </w:r>
      <w:proofErr w:type="spellEnd"/>
      <w:r w:rsidRPr="007C61DD">
        <w:t xml:space="preserve"> posology. The PSCR considered that since persistence rates are assumed </w:t>
      </w:r>
      <w:proofErr w:type="gramStart"/>
      <w:r w:rsidRPr="007C61DD">
        <w:t>to be identical</w:t>
      </w:r>
      <w:proofErr w:type="gramEnd"/>
      <w:r w:rsidRPr="007C61DD">
        <w:t xml:space="preserve"> for </w:t>
      </w:r>
      <w:proofErr w:type="spellStart"/>
      <w:r w:rsidRPr="007C61DD">
        <w:t>cladribine</w:t>
      </w:r>
      <w:proofErr w:type="spellEnd"/>
      <w:r w:rsidRPr="007C61DD">
        <w:t xml:space="preserve"> and </w:t>
      </w:r>
      <w:proofErr w:type="spellStart"/>
      <w:r w:rsidRPr="007C61DD">
        <w:t>fingolimod</w:t>
      </w:r>
      <w:proofErr w:type="spellEnd"/>
      <w:r w:rsidRPr="007C61DD">
        <w:t xml:space="preserve">, this does not bias results in favour of either </w:t>
      </w:r>
      <w:proofErr w:type="spellStart"/>
      <w:r w:rsidRPr="007C61DD">
        <w:t>cladribine</w:t>
      </w:r>
      <w:proofErr w:type="spellEnd"/>
      <w:r w:rsidRPr="007C61DD">
        <w:t xml:space="preserve"> or </w:t>
      </w:r>
      <w:proofErr w:type="spellStart"/>
      <w:r w:rsidRPr="007C61DD">
        <w:t>fingolimod</w:t>
      </w:r>
      <w:proofErr w:type="spellEnd"/>
      <w:r w:rsidRPr="007C61DD">
        <w:t xml:space="preserve">. The ESC considered </w:t>
      </w:r>
      <w:r w:rsidRPr="000A4EA9">
        <w:rPr>
          <w:szCs w:val="24"/>
        </w:rPr>
        <w:t>that</w:t>
      </w:r>
      <w:r w:rsidRPr="000A4EA9">
        <w:rPr>
          <w:rFonts w:eastAsia="Times New Roman" w:cs="Times New Roman"/>
          <w:szCs w:val="24"/>
          <w:lang w:eastAsia="en-AU"/>
        </w:rPr>
        <w:t xml:space="preserve"> r</w:t>
      </w:r>
      <w:r w:rsidRPr="000A4EA9">
        <w:rPr>
          <w:szCs w:val="24"/>
        </w:rPr>
        <w:t>egardless</w:t>
      </w:r>
      <w:r w:rsidRPr="007C61DD">
        <w:t xml:space="preserve"> of </w:t>
      </w:r>
      <w:proofErr w:type="gramStart"/>
      <w:r w:rsidRPr="007C61DD">
        <w:t>trial based</w:t>
      </w:r>
      <w:proofErr w:type="gramEnd"/>
      <w:r w:rsidRPr="007C61DD">
        <w:t xml:space="preserve"> evidence for tolerability and discontinuation, assuming a high persistence favours </w:t>
      </w:r>
      <w:proofErr w:type="spellStart"/>
      <w:r w:rsidRPr="007C61DD">
        <w:t>cladribine</w:t>
      </w:r>
      <w:proofErr w:type="spellEnd"/>
      <w:r w:rsidR="000A4EA9">
        <w:t>.</w:t>
      </w:r>
      <w:r w:rsidRPr="007C61DD">
        <w:t xml:space="preserve"> </w:t>
      </w:r>
      <w:r w:rsidR="000A4EA9">
        <w:t xml:space="preserve">This is </w:t>
      </w:r>
      <w:r w:rsidRPr="007C61DD">
        <w:t xml:space="preserve">because drug costs of </w:t>
      </w:r>
      <w:proofErr w:type="spellStart"/>
      <w:r w:rsidRPr="007C61DD">
        <w:t>cladribine</w:t>
      </w:r>
      <w:proofErr w:type="spellEnd"/>
      <w:r w:rsidRPr="007C61DD">
        <w:t xml:space="preserve"> are weighted towards the first two years of treatment, and so the incremental cost of patients who do not persist on therapy (and switch to another DMD) is much higher for </w:t>
      </w:r>
      <w:proofErr w:type="spellStart"/>
      <w:r w:rsidRPr="007C61DD">
        <w:t>cladribine</w:t>
      </w:r>
      <w:proofErr w:type="spellEnd"/>
      <w:r w:rsidRPr="007C61DD">
        <w:t xml:space="preserve"> than for </w:t>
      </w:r>
      <w:proofErr w:type="spellStart"/>
      <w:r w:rsidRPr="007C61DD">
        <w:t>fingolimod</w:t>
      </w:r>
      <w:proofErr w:type="spellEnd"/>
      <w:r w:rsidRPr="007C61DD">
        <w:t xml:space="preserve">, which </w:t>
      </w:r>
      <w:proofErr w:type="gramStart"/>
      <w:r w:rsidRPr="007C61DD">
        <w:t>is dosed</w:t>
      </w:r>
      <w:proofErr w:type="gramEnd"/>
      <w:r w:rsidRPr="007C61DD">
        <w:t xml:space="preserve"> daily.</w:t>
      </w:r>
    </w:p>
    <w:p w:rsidR="00733BE8" w:rsidRDefault="00702665" w:rsidP="0048566D">
      <w:pPr>
        <w:pStyle w:val="ListParagraph"/>
        <w:numPr>
          <w:ilvl w:val="1"/>
          <w:numId w:val="1"/>
        </w:numPr>
        <w:spacing w:before="0" w:after="120"/>
        <w:jc w:val="both"/>
      </w:pPr>
      <w:r>
        <w:t xml:space="preserve">The PBAC noted that </w:t>
      </w:r>
      <w:r w:rsidRPr="00EA448D">
        <w:t xml:space="preserve">cost-neutrality over </w:t>
      </w:r>
      <w:r>
        <w:t>nine</w:t>
      </w:r>
      <w:r w:rsidRPr="00EA448D">
        <w:t xml:space="preserve">-years </w:t>
      </w:r>
      <w:proofErr w:type="gramStart"/>
      <w:r w:rsidRPr="00EA448D">
        <w:t>was only achieved</w:t>
      </w:r>
      <w:proofErr w:type="gramEnd"/>
      <w:r w:rsidRPr="00EA448D">
        <w:t xml:space="preserve"> </w:t>
      </w:r>
      <w:r w:rsidR="002409D6">
        <w:t xml:space="preserve">in a </w:t>
      </w:r>
      <w:r w:rsidR="00FB37B0">
        <w:t xml:space="preserve">scenario </w:t>
      </w:r>
      <w:r w:rsidR="000A4EA9">
        <w:t xml:space="preserve">analysis that assumed no patients initiated treatment with </w:t>
      </w:r>
      <w:proofErr w:type="spellStart"/>
      <w:r w:rsidR="000A4EA9">
        <w:t>cladribine</w:t>
      </w:r>
      <w:proofErr w:type="spellEnd"/>
      <w:r w:rsidR="000A4EA9">
        <w:t xml:space="preserve"> in Years 7-9</w:t>
      </w:r>
      <w:r w:rsidRPr="00EA448D">
        <w:t xml:space="preserve"> and no patients we</w:t>
      </w:r>
      <w:r>
        <w:t>re re-treated in Years 8 and 9</w:t>
      </w:r>
      <w:r w:rsidRPr="00EA448D">
        <w:t>.</w:t>
      </w:r>
      <w:r>
        <w:t xml:space="preserve"> </w:t>
      </w:r>
      <w:r w:rsidRPr="008C15BF">
        <w:t xml:space="preserve"> </w:t>
      </w:r>
      <w:r>
        <w:t>However, application</w:t>
      </w:r>
      <w:r w:rsidRPr="00EA448D">
        <w:t xml:space="preserve"> of </w:t>
      </w:r>
      <w:r>
        <w:t xml:space="preserve">treatment </w:t>
      </w:r>
      <w:r w:rsidRPr="00EA448D">
        <w:t xml:space="preserve">persistence rates </w:t>
      </w:r>
      <w:r>
        <w:t>below</w:t>
      </w:r>
      <w:r w:rsidRPr="00EA448D">
        <w:t xml:space="preserve"> </w:t>
      </w:r>
      <w:r w:rsidR="00FD3E0B">
        <w:rPr>
          <w:noProof/>
          <w:color w:val="000000"/>
          <w:highlight w:val="black"/>
        </w:rPr>
        <w:t>'''''''</w:t>
      </w:r>
      <w:r w:rsidRPr="00EA448D">
        <w:t>%</w:t>
      </w:r>
      <w:r>
        <w:t xml:space="preserve"> in the cost minimisation analysis resulted</w:t>
      </w:r>
      <w:r w:rsidRPr="00EA448D">
        <w:t xml:space="preserve"> </w:t>
      </w:r>
      <w:r>
        <w:t xml:space="preserve">in </w:t>
      </w:r>
      <w:r w:rsidRPr="00EA448D">
        <w:t>net costs to the PBS.</w:t>
      </w:r>
      <w:r>
        <w:t xml:space="preserve"> </w:t>
      </w:r>
      <w:r w:rsidR="00733BE8">
        <w:t xml:space="preserve">The PBAC considered that treatment persistence rates </w:t>
      </w:r>
      <w:proofErr w:type="gramStart"/>
      <w:r w:rsidR="00733BE8">
        <w:t>were overestimated</w:t>
      </w:r>
      <w:proofErr w:type="gramEnd"/>
      <w:r w:rsidR="00733BE8">
        <w:t xml:space="preserve"> for the six- and nine-year time horizons, which significantly underestimated the financial impact to </w:t>
      </w:r>
      <w:r w:rsidR="009034E8">
        <w:t>the PBS</w:t>
      </w:r>
      <w:r w:rsidR="00733BE8">
        <w:t xml:space="preserve">. </w:t>
      </w:r>
      <w:r w:rsidR="0008569B">
        <w:t>The PBAC therefore considered that the cost minimisation analysis presented by the resubmission lacked validity, given the significant net costs to the PBS even on a nine-year time horizon. The PBAC noted that the lack of cost neutrality in the cost minimisation analysis was</w:t>
      </w:r>
      <w:r w:rsidR="00FB37B0">
        <w:t xml:space="preserve"> predominantly</w:t>
      </w:r>
      <w:r w:rsidR="0008569B">
        <w:t xml:space="preserve"> due to the </w:t>
      </w:r>
      <w:r w:rsidR="0048566D">
        <w:t xml:space="preserve">assumption of 100% persistence of </w:t>
      </w:r>
      <w:proofErr w:type="spellStart"/>
      <w:r w:rsidR="0048566D">
        <w:t>cladribine</w:t>
      </w:r>
      <w:proofErr w:type="spellEnd"/>
      <w:r w:rsidR="0048566D">
        <w:t xml:space="preserve"> and </w:t>
      </w:r>
      <w:proofErr w:type="spellStart"/>
      <w:r w:rsidR="0048566D">
        <w:t>fingolimod</w:t>
      </w:r>
      <w:proofErr w:type="spellEnd"/>
      <w:r w:rsidR="0048566D">
        <w:t xml:space="preserve"> over four years</w:t>
      </w:r>
      <w:r w:rsidR="0008569B">
        <w:t xml:space="preserve"> in calculating the </w:t>
      </w:r>
      <w:proofErr w:type="spellStart"/>
      <w:r w:rsidR="0008569B">
        <w:t>equi</w:t>
      </w:r>
      <w:proofErr w:type="spellEnd"/>
      <w:r w:rsidR="0048566D">
        <w:t>-effective doses</w:t>
      </w:r>
      <w:r w:rsidR="0008569B">
        <w:t xml:space="preserve">, </w:t>
      </w:r>
      <w:r w:rsidR="0048566D">
        <w:t>which did not correspond with the</w:t>
      </w:r>
      <w:r w:rsidR="0008569B">
        <w:t xml:space="preserve"> application of lower persistence rates in the financial analysis</w:t>
      </w:r>
      <w:r w:rsidR="0048566D">
        <w:t xml:space="preserve">. The PBAC considered that this affirms the Committee’s concerns that two years’ treatment with </w:t>
      </w:r>
      <w:proofErr w:type="spellStart"/>
      <w:r w:rsidR="0048566D">
        <w:t>cladribine</w:t>
      </w:r>
      <w:proofErr w:type="spellEnd"/>
      <w:r w:rsidR="0048566D">
        <w:t xml:space="preserve"> is not equivalent to four years’ treatment with </w:t>
      </w:r>
      <w:proofErr w:type="spellStart"/>
      <w:r w:rsidR="0048566D">
        <w:t>fingolimod</w:t>
      </w:r>
      <w:proofErr w:type="spellEnd"/>
      <w:r w:rsidR="0048566D">
        <w:t xml:space="preserve">. Furthermore, the PBAC noted that the scenario analysis over nine years was not consistent with the PBAC Guidelines (v5.0), which requests the estimates of financial impact each year over six years. </w:t>
      </w:r>
      <w:r w:rsidR="009034E8">
        <w:t xml:space="preserve">The PBAC therefore considered that the scenario analysis presented by the resubmission to be uninformative. </w:t>
      </w:r>
    </w:p>
    <w:p w:rsidR="00837C26" w:rsidRPr="00EA448D" w:rsidRDefault="00837C26" w:rsidP="00837C26">
      <w:pPr>
        <w:pStyle w:val="Heading2"/>
        <w:rPr>
          <w:i w:val="0"/>
        </w:rPr>
      </w:pPr>
      <w:bookmarkStart w:id="35" w:name="_Toc413139285"/>
      <w:bookmarkStart w:id="36" w:name="_Toc365847467"/>
      <w:r w:rsidRPr="00EA448D">
        <w:rPr>
          <w:i w:val="0"/>
        </w:rPr>
        <w:lastRenderedPageBreak/>
        <w:t>Quality use of medicines</w:t>
      </w:r>
      <w:bookmarkEnd w:id="35"/>
      <w:bookmarkEnd w:id="36"/>
    </w:p>
    <w:p w:rsidR="00837C26" w:rsidRDefault="00837C26" w:rsidP="00A627FC">
      <w:pPr>
        <w:pStyle w:val="ListParagraph"/>
        <w:numPr>
          <w:ilvl w:val="1"/>
          <w:numId w:val="1"/>
        </w:numPr>
        <w:spacing w:before="0" w:after="120"/>
        <w:jc w:val="both"/>
      </w:pPr>
      <w:r w:rsidRPr="00EA448D">
        <w:t>The resubmission noted quality use of medicines activities undertaken by the sponsor including education programs packaging, a patient support program, and post-marketing surveillance.</w:t>
      </w:r>
    </w:p>
    <w:p w:rsidR="004F22D0" w:rsidRPr="00704B08" w:rsidRDefault="004F22D0" w:rsidP="00704B08">
      <w:pPr>
        <w:spacing w:before="0" w:after="0"/>
        <w:ind w:left="709"/>
        <w:contextualSpacing/>
        <w:jc w:val="both"/>
        <w:rPr>
          <w:rFonts w:ascii="Calibri" w:eastAsia="Times New Roman" w:hAnsi="Calibri" w:cs="Times New Roman"/>
          <w:i/>
          <w:szCs w:val="24"/>
          <w:lang w:eastAsia="en-AU"/>
        </w:rPr>
      </w:pPr>
      <w:r w:rsidRPr="00704B08">
        <w:rPr>
          <w:rFonts w:ascii="Calibri" w:eastAsia="Times New Roman" w:hAnsi="Calibri" w:cs="Times New Roman"/>
          <w:i/>
          <w:szCs w:val="24"/>
          <w:lang w:eastAsia="en-AU"/>
        </w:rPr>
        <w:t>For more detail on PBAC’s view, see section 7 PBAC outcome.</w:t>
      </w:r>
    </w:p>
    <w:p w:rsidR="004F22D0" w:rsidRDefault="004F22D0" w:rsidP="004F22D0">
      <w:pPr>
        <w:pStyle w:val="Heading1"/>
        <w:rPr>
          <w:snapToGrid w:val="0"/>
        </w:rPr>
      </w:pPr>
      <w:r w:rsidRPr="0080218C">
        <w:rPr>
          <w:snapToGrid w:val="0"/>
        </w:rPr>
        <w:t>PBAC Outcome</w:t>
      </w:r>
    </w:p>
    <w:p w:rsidR="006F3840" w:rsidRPr="006F3840" w:rsidRDefault="006F3840" w:rsidP="00A627FC">
      <w:pPr>
        <w:pStyle w:val="ListParagraph"/>
        <w:numPr>
          <w:ilvl w:val="1"/>
          <w:numId w:val="1"/>
        </w:numPr>
      </w:pPr>
      <w:r>
        <w:t xml:space="preserve">The PBAC did not recommend the listing of </w:t>
      </w:r>
      <w:proofErr w:type="spellStart"/>
      <w:r>
        <w:t>cladribine</w:t>
      </w:r>
      <w:proofErr w:type="spellEnd"/>
      <w:r>
        <w:t xml:space="preserve"> for the treatment of </w:t>
      </w:r>
      <w:r w:rsidRPr="006F3840">
        <w:t>relapsing remit</w:t>
      </w:r>
      <w:r>
        <w:t xml:space="preserve">ting multiple sclerosis (RRMS), on the basis of uncertainty in the non-inferior efficacy claim of </w:t>
      </w:r>
      <w:proofErr w:type="spellStart"/>
      <w:r>
        <w:t>cladribine</w:t>
      </w:r>
      <w:proofErr w:type="spellEnd"/>
      <w:r>
        <w:t xml:space="preserve"> versus </w:t>
      </w:r>
      <w:proofErr w:type="spellStart"/>
      <w:r>
        <w:t>fingolimod</w:t>
      </w:r>
      <w:proofErr w:type="spellEnd"/>
      <w:r>
        <w:t xml:space="preserve"> over two and four years. The PBAC considered there was insufficient clinical evidence to support the time horizon of four years for estimating the </w:t>
      </w:r>
      <w:proofErr w:type="spellStart"/>
      <w:r>
        <w:t>equi</w:t>
      </w:r>
      <w:proofErr w:type="spellEnd"/>
      <w:r>
        <w:t xml:space="preserve">-effective doses of </w:t>
      </w:r>
      <w:proofErr w:type="spellStart"/>
      <w:r>
        <w:t>cladribine</w:t>
      </w:r>
      <w:proofErr w:type="spellEnd"/>
      <w:r>
        <w:t xml:space="preserve"> and </w:t>
      </w:r>
      <w:proofErr w:type="spellStart"/>
      <w:r>
        <w:t>fingolimod</w:t>
      </w:r>
      <w:proofErr w:type="spellEnd"/>
      <w:r w:rsidR="0064416D">
        <w:t>. The PBAC also considered</w:t>
      </w:r>
      <w:r w:rsidR="009D555B">
        <w:t xml:space="preserve"> </w:t>
      </w:r>
      <w:r w:rsidR="0064416D">
        <w:t xml:space="preserve">that it was unrealistic to assume that patients who receive </w:t>
      </w:r>
      <w:proofErr w:type="spellStart"/>
      <w:r w:rsidR="0064416D">
        <w:t>cladribine</w:t>
      </w:r>
      <w:proofErr w:type="spellEnd"/>
      <w:r w:rsidR="0064416D">
        <w:t xml:space="preserve"> and experience disease relapse would not be prescribed another medicine for RRMS before the four-year period</w:t>
      </w:r>
      <w:r w:rsidR="004C781F">
        <w:t xml:space="preserve"> or that p</w:t>
      </w:r>
      <w:r w:rsidR="00FB37B0">
        <w:t>atients</w:t>
      </w:r>
      <w:r w:rsidR="004C781F">
        <w:t xml:space="preserve"> would be </w:t>
      </w:r>
      <w:r w:rsidR="00FD3E0B">
        <w:rPr>
          <w:noProof/>
          <w:color w:val="000000"/>
          <w:highlight w:val="black"/>
        </w:rPr>
        <w:t>''''''''</w:t>
      </w:r>
      <w:r w:rsidR="004C781F">
        <w:t xml:space="preserve">% persistent to </w:t>
      </w:r>
      <w:proofErr w:type="spellStart"/>
      <w:r w:rsidR="000A4EA9">
        <w:t>fingolimod</w:t>
      </w:r>
      <w:proofErr w:type="spellEnd"/>
      <w:r w:rsidR="0064416D">
        <w:t>. Therefore,</w:t>
      </w:r>
      <w:r w:rsidR="00A168C0">
        <w:t xml:space="preserve"> </w:t>
      </w:r>
      <w:r w:rsidR="0064416D">
        <w:t xml:space="preserve">the PBAC </w:t>
      </w:r>
      <w:r w:rsidR="00A168C0">
        <w:t>did not accept t</w:t>
      </w:r>
      <w:r w:rsidR="0064416D">
        <w:t xml:space="preserve">wo years of </w:t>
      </w:r>
      <w:proofErr w:type="spellStart"/>
      <w:r w:rsidR="0064416D">
        <w:t>cladribine</w:t>
      </w:r>
      <w:proofErr w:type="spellEnd"/>
      <w:r w:rsidR="0064416D">
        <w:t xml:space="preserve"> treatment versus four years of </w:t>
      </w:r>
      <w:proofErr w:type="spellStart"/>
      <w:r w:rsidR="0064416D">
        <w:t>fingolimod</w:t>
      </w:r>
      <w:proofErr w:type="spellEnd"/>
      <w:r w:rsidR="0064416D">
        <w:t xml:space="preserve"> treatment</w:t>
      </w:r>
      <w:r w:rsidR="00A168C0">
        <w:t xml:space="preserve"> as the basis for the cost-minimisation analysis proposed by the resubmission</w:t>
      </w:r>
      <w:r>
        <w:t xml:space="preserve">. The PBAC </w:t>
      </w:r>
      <w:r w:rsidR="00AA5C58">
        <w:t>noted</w:t>
      </w:r>
      <w:r>
        <w:t xml:space="preserve"> that there were </w:t>
      </w:r>
      <w:r w:rsidR="00A168C0">
        <w:t xml:space="preserve">significant </w:t>
      </w:r>
      <w:r>
        <w:t xml:space="preserve">uncertainties in the financial </w:t>
      </w:r>
      <w:r w:rsidR="00AA5C58">
        <w:t>analysis, including the persistence rates assumed by the resubmission. The PBAC further noted that the financial analysis estimated a significant net cost to the PBS, which undermines the first principles of a cost minimisation analys</w:t>
      </w:r>
      <w:r w:rsidR="00444F5B">
        <w:t>i</w:t>
      </w:r>
      <w:r w:rsidR="00AA5C58">
        <w:t>s</w:t>
      </w:r>
      <w:r>
        <w:t xml:space="preserve">. </w:t>
      </w:r>
    </w:p>
    <w:p w:rsidR="007555FC" w:rsidRDefault="006F3840" w:rsidP="00A627FC">
      <w:pPr>
        <w:pStyle w:val="ListParagraph"/>
        <w:numPr>
          <w:ilvl w:val="1"/>
          <w:numId w:val="1"/>
        </w:numPr>
        <w:spacing w:before="0" w:after="120"/>
        <w:jc w:val="both"/>
      </w:pPr>
      <w:r>
        <w:t xml:space="preserve">The PBAC noted the consumer comments </w:t>
      </w:r>
      <w:r w:rsidRPr="00585AAB">
        <w:t>that patients and clinicians value additional treatment options for multiple sclerosis.</w:t>
      </w:r>
      <w:r>
        <w:t xml:space="preserve"> The PBAC noted </w:t>
      </w:r>
      <w:r w:rsidR="000A4EA9">
        <w:t>consumers’</w:t>
      </w:r>
      <w:r>
        <w:t xml:space="preserve"> perceived </w:t>
      </w:r>
      <w:proofErr w:type="spellStart"/>
      <w:r>
        <w:t>cladribine</w:t>
      </w:r>
      <w:proofErr w:type="spellEnd"/>
      <w:r>
        <w:t xml:space="preserve"> as a medicine with a good safety profile and ease of administration. </w:t>
      </w:r>
    </w:p>
    <w:p w:rsidR="00470687" w:rsidRDefault="00470687" w:rsidP="00DE3DA0">
      <w:pPr>
        <w:pStyle w:val="ListParagraph"/>
        <w:numPr>
          <w:ilvl w:val="1"/>
          <w:numId w:val="1"/>
        </w:numPr>
        <w:spacing w:before="0" w:after="120"/>
        <w:jc w:val="both"/>
      </w:pPr>
      <w:r>
        <w:t>The PBAC noted the TGA recommendation that f</w:t>
      </w:r>
      <w:r w:rsidR="00955543">
        <w:t>ollowing the completion of the two</w:t>
      </w:r>
      <w:r>
        <w:t xml:space="preserve"> treatment courses in </w:t>
      </w:r>
      <w:r w:rsidR="00A119D0">
        <w:t>Y</w:t>
      </w:r>
      <w:r>
        <w:t xml:space="preserve">ears 1 and 2, no further </w:t>
      </w:r>
      <w:proofErr w:type="spellStart"/>
      <w:r>
        <w:t>cladribine</w:t>
      </w:r>
      <w:proofErr w:type="spellEnd"/>
      <w:r>
        <w:t xml:space="preserve"> treatment is required in </w:t>
      </w:r>
      <w:r w:rsidR="00A119D0">
        <w:t>Y</w:t>
      </w:r>
      <w:r>
        <w:t xml:space="preserve">ears 3 and 4. However, in consideration of the wording for a PBS restriction, the PBAC considered that it would be inappropriate to specify that </w:t>
      </w:r>
      <w:r w:rsidRPr="005C4397">
        <w:t xml:space="preserve">a patient who has received PBS-subsidised treatment with </w:t>
      </w:r>
      <w:proofErr w:type="spellStart"/>
      <w:r w:rsidRPr="005C4397">
        <w:t>cladribine</w:t>
      </w:r>
      <w:proofErr w:type="spellEnd"/>
      <w:r w:rsidRPr="005C4397">
        <w:t xml:space="preserve"> for </w:t>
      </w:r>
      <w:r w:rsidR="00955543">
        <w:t>RR</w:t>
      </w:r>
      <w:r w:rsidRPr="005C4397">
        <w:t>MS is not eligible to receive any other PBS-subsidis</w:t>
      </w:r>
      <w:r w:rsidR="00955543">
        <w:t>ed RRMS medicines</w:t>
      </w:r>
      <w:r>
        <w:t xml:space="preserve"> for a period of</w:t>
      </w:r>
      <w:r w:rsidR="00955543">
        <w:t xml:space="preserve"> four </w:t>
      </w:r>
      <w:r w:rsidRPr="005C4397">
        <w:t>years</w:t>
      </w:r>
      <w:r>
        <w:t xml:space="preserve">. </w:t>
      </w:r>
      <w:r w:rsidR="00DE3DA0">
        <w:t xml:space="preserve">The PBAC considered the proposed </w:t>
      </w:r>
      <w:r w:rsidR="00DE3DA0" w:rsidRPr="00DE3DA0">
        <w:t>General Schedule (Section 85) listing</w:t>
      </w:r>
      <w:r w:rsidR="00DE3DA0">
        <w:t xml:space="preserve"> is appropriate for </w:t>
      </w:r>
      <w:proofErr w:type="spellStart"/>
      <w:r w:rsidR="00DE3DA0">
        <w:t>cladribine</w:t>
      </w:r>
      <w:proofErr w:type="spellEnd"/>
      <w:r w:rsidR="00DE3DA0">
        <w:t xml:space="preserve">. </w:t>
      </w:r>
    </w:p>
    <w:p w:rsidR="00470687" w:rsidRDefault="00470687" w:rsidP="00A627FC">
      <w:pPr>
        <w:pStyle w:val="ListParagraph"/>
        <w:numPr>
          <w:ilvl w:val="1"/>
          <w:numId w:val="1"/>
        </w:numPr>
      </w:pPr>
      <w:r>
        <w:t>The PBAC noted t</w:t>
      </w:r>
      <w:r w:rsidRPr="00470687">
        <w:t>he number of</w:t>
      </w:r>
      <w:r>
        <w:t xml:space="preserve"> </w:t>
      </w:r>
      <w:proofErr w:type="spellStart"/>
      <w:r>
        <w:t>cladribine</w:t>
      </w:r>
      <w:proofErr w:type="spellEnd"/>
      <w:r w:rsidRPr="00470687">
        <w:t xml:space="preserve"> tablets to provide for the recommended dosage depends on </w:t>
      </w:r>
      <w:r>
        <w:t>the body weight. The resubmission</w:t>
      </w:r>
      <w:r w:rsidRPr="00470687">
        <w:t xml:space="preserve"> proposed a </w:t>
      </w:r>
      <w:r w:rsidR="00955543">
        <w:t>maximum quantity of ten</w:t>
      </w:r>
      <w:r w:rsidRPr="00470687">
        <w:t xml:space="preserve"> tablets and stated that </w:t>
      </w:r>
      <w:r w:rsidR="00FD3E0B">
        <w:rPr>
          <w:noProof/>
          <w:color w:val="000000"/>
          <w:highlight w:val="black"/>
        </w:rPr>
        <w:t>''''''''</w:t>
      </w:r>
      <w:r w:rsidRPr="00470687">
        <w:t xml:space="preserve"> of patients would require a maximum qua</w:t>
      </w:r>
      <w:r w:rsidR="00955543">
        <w:t>ntity of seven</w:t>
      </w:r>
      <w:r>
        <w:t xml:space="preserve"> tablets.  The resubmission</w:t>
      </w:r>
      <w:r w:rsidRPr="00470687">
        <w:t xml:space="preserve"> proposed listing three different pack sizes; packs containing one, four and six x 10 mg tablets.  Each pack </w:t>
      </w:r>
      <w:proofErr w:type="gramStart"/>
      <w:r w:rsidRPr="00470687">
        <w:t>must be differentiated in the Schedule of Pharmaceutical Benefits</w:t>
      </w:r>
      <w:r w:rsidR="00674858">
        <w:t>,</w:t>
      </w:r>
      <w:r w:rsidRPr="00470687">
        <w:t xml:space="preserve"> and listed with associated maximum quantities and repeats</w:t>
      </w:r>
      <w:proofErr w:type="gramEnd"/>
      <w:r w:rsidRPr="00470687">
        <w:t>.  One listi</w:t>
      </w:r>
      <w:r w:rsidR="00955543">
        <w:t>ng with a maximum quantity of ten</w:t>
      </w:r>
      <w:r w:rsidRPr="00470687">
        <w:t xml:space="preserve"> tablets as proposed by the sponsor does not differentiate between the three different pack sizes. The </w:t>
      </w:r>
      <w:r>
        <w:t xml:space="preserve">PBAC advised that the proposed PBS restriction </w:t>
      </w:r>
      <w:proofErr w:type="gramStart"/>
      <w:r>
        <w:t>be worded</w:t>
      </w:r>
      <w:proofErr w:type="gramEnd"/>
      <w:r w:rsidRPr="00470687">
        <w:t xml:space="preserve"> to list the pack of one tablet with a maximum quantity of </w:t>
      </w:r>
      <w:r w:rsidR="00955543">
        <w:t>one pack and one</w:t>
      </w:r>
      <w:r w:rsidRPr="00470687">
        <w:t xml:space="preserve"> repeat; the pack of four tabl</w:t>
      </w:r>
      <w:r w:rsidR="00955543">
        <w:t>ets with a maximum quantity of two packs and one</w:t>
      </w:r>
      <w:r w:rsidRPr="00470687">
        <w:t xml:space="preserve"> repeat; and the pack of six tablets with a maximum quantity of </w:t>
      </w:r>
      <w:r w:rsidR="00955543">
        <w:t>one pack and one</w:t>
      </w:r>
      <w:r w:rsidRPr="00470687">
        <w:t xml:space="preserve"> repeat.  One pack or a combination of these </w:t>
      </w:r>
      <w:r w:rsidRPr="00470687">
        <w:lastRenderedPageBreak/>
        <w:t>packs will provide for the first weeks’ treatment at any of the doses between 40 mg and</w:t>
      </w:r>
      <w:r w:rsidR="00440492">
        <w:t xml:space="preserve"> 100 mg as recommended in the TGA Product Information</w:t>
      </w:r>
      <w:r w:rsidR="00A168C0">
        <w:t xml:space="preserve"> (PI)</w:t>
      </w:r>
      <w:r w:rsidRPr="00470687">
        <w:t>.  The repeat will provide for the second weeks’ treatment, although separate authority prescriptions will be require</w:t>
      </w:r>
      <w:r w:rsidR="00955543">
        <w:t xml:space="preserve">d where the dose for treatment </w:t>
      </w:r>
      <w:r w:rsidR="00A168C0">
        <w:t xml:space="preserve">in </w:t>
      </w:r>
      <w:r w:rsidR="00955543">
        <w:t>W</w:t>
      </w:r>
      <w:r w:rsidRPr="00470687">
        <w:t>eek 5 is diffe</w:t>
      </w:r>
      <w:r w:rsidR="00955543">
        <w:t>rent to the dose for treatment</w:t>
      </w:r>
      <w:r w:rsidR="00A168C0">
        <w:t xml:space="preserve"> in</w:t>
      </w:r>
      <w:r w:rsidR="00955543">
        <w:t xml:space="preserve"> W</w:t>
      </w:r>
      <w:r w:rsidRPr="00470687">
        <w:t>eek 1.</w:t>
      </w:r>
      <w:r w:rsidR="00955543">
        <w:t xml:space="preserve"> The PBAC advised that a statement be included in the proposed PBS restriction to indicate </w:t>
      </w:r>
      <w:r w:rsidRPr="00470687">
        <w:t xml:space="preserve">that the prescriber should prescribe the appropriate combination of packs to achieve a </w:t>
      </w:r>
      <w:r w:rsidR="00955543">
        <w:t>dose in accordance with the PI</w:t>
      </w:r>
      <w:r w:rsidRPr="00470687">
        <w:t>.</w:t>
      </w:r>
      <w:r>
        <w:t xml:space="preserve"> </w:t>
      </w:r>
      <w:r w:rsidRPr="00470687">
        <w:t xml:space="preserve">       </w:t>
      </w:r>
    </w:p>
    <w:p w:rsidR="004B0868" w:rsidRDefault="004B0868" w:rsidP="00A627FC">
      <w:pPr>
        <w:pStyle w:val="ListParagraph"/>
        <w:numPr>
          <w:ilvl w:val="1"/>
          <w:numId w:val="1"/>
        </w:numPr>
        <w:spacing w:before="0" w:after="120"/>
        <w:jc w:val="both"/>
      </w:pPr>
      <w:r>
        <w:t xml:space="preserve">The PBAC accepted </w:t>
      </w:r>
      <w:proofErr w:type="spellStart"/>
      <w:r>
        <w:t>fingolimod</w:t>
      </w:r>
      <w:proofErr w:type="spellEnd"/>
      <w:r>
        <w:t xml:space="preserve"> as the appropriate main comparator, however, considered that </w:t>
      </w:r>
      <w:proofErr w:type="spellStart"/>
      <w:r>
        <w:t>cladribine</w:t>
      </w:r>
      <w:proofErr w:type="spellEnd"/>
      <w:r>
        <w:t xml:space="preserve"> </w:t>
      </w:r>
      <w:r w:rsidR="00944353">
        <w:t>may</w:t>
      </w:r>
      <w:r>
        <w:t xml:space="preserve"> replace or displace all PBS listed RRMS treatments</w:t>
      </w:r>
      <w:r w:rsidR="00944353">
        <w:t xml:space="preserve"> to some extent</w:t>
      </w:r>
      <w:r>
        <w:t xml:space="preserve">. </w:t>
      </w:r>
      <w:r w:rsidR="00FA2C17">
        <w:t>The PBAC</w:t>
      </w:r>
      <w:r w:rsidRPr="004B0868">
        <w:t xml:space="preserve"> noted that if treatment with </w:t>
      </w:r>
      <w:proofErr w:type="spellStart"/>
      <w:r w:rsidRPr="004B0868">
        <w:t>cladribine</w:t>
      </w:r>
      <w:proofErr w:type="spellEnd"/>
      <w:r w:rsidRPr="004B0868">
        <w:t xml:space="preserve"> is substantially more costly than an alternative therapy or</w:t>
      </w:r>
      <w:r w:rsidR="00FA2C17">
        <w:t xml:space="preserve"> alternative therapies, the Committee</w:t>
      </w:r>
      <w:r w:rsidRPr="004B0868">
        <w:t xml:space="preserve"> could only recommend listing of </w:t>
      </w:r>
      <w:proofErr w:type="spellStart"/>
      <w:r w:rsidRPr="004B0868">
        <w:t>cladribine</w:t>
      </w:r>
      <w:proofErr w:type="spellEnd"/>
      <w:r w:rsidRPr="004B0868">
        <w:t xml:space="preserve"> if it is satisfied that </w:t>
      </w:r>
      <w:proofErr w:type="spellStart"/>
      <w:r w:rsidRPr="004B0868">
        <w:t>cladribine</w:t>
      </w:r>
      <w:proofErr w:type="spellEnd"/>
      <w:r w:rsidRPr="004B0868">
        <w:t xml:space="preserve"> provides, for some patients, a significant improvement in efficacy or reduction of toxicity over the alternative therapy or therapies. The alternative therapies in this case may include interferon beta, dimethyl fumarate, </w:t>
      </w:r>
      <w:proofErr w:type="spellStart"/>
      <w:r w:rsidRPr="004B0868">
        <w:t>ter</w:t>
      </w:r>
      <w:r w:rsidR="000A4EA9">
        <w:t>ifluno</w:t>
      </w:r>
      <w:r w:rsidRPr="004B0868">
        <w:t>mide</w:t>
      </w:r>
      <w:proofErr w:type="spellEnd"/>
      <w:r w:rsidRPr="004B0868">
        <w:t xml:space="preserve"> and </w:t>
      </w:r>
      <w:proofErr w:type="spellStart"/>
      <w:r w:rsidRPr="004B0868">
        <w:t>dac</w:t>
      </w:r>
      <w:r w:rsidR="00FA2C17">
        <w:t>lizumab</w:t>
      </w:r>
      <w:proofErr w:type="spellEnd"/>
      <w:r w:rsidR="00FA2C17">
        <w:t>. The PBAC considered it was uncertain</w:t>
      </w:r>
      <w:r w:rsidRPr="004B0868">
        <w:t xml:space="preserve"> whether </w:t>
      </w:r>
      <w:proofErr w:type="spellStart"/>
      <w:r w:rsidRPr="004B0868">
        <w:t>cladrib</w:t>
      </w:r>
      <w:r w:rsidR="00FA2C17">
        <w:t>ine</w:t>
      </w:r>
      <w:proofErr w:type="spellEnd"/>
      <w:r w:rsidR="00FA2C17">
        <w:t xml:space="preserve"> was</w:t>
      </w:r>
      <w:r w:rsidRPr="004B0868">
        <w:t xml:space="preserve"> superior over interferon beta 1a</w:t>
      </w:r>
      <w:r w:rsidR="00FA2C17">
        <w:t xml:space="preserve"> in terms of efficacy, however, the Committee considered that </w:t>
      </w:r>
      <w:proofErr w:type="spellStart"/>
      <w:r w:rsidR="00FA2C17">
        <w:t>cladribine</w:t>
      </w:r>
      <w:proofErr w:type="spellEnd"/>
      <w:r w:rsidR="00FA2C17">
        <w:t xml:space="preserve"> was superior over interfer</w:t>
      </w:r>
      <w:r w:rsidR="00A168C0">
        <w:t xml:space="preserve">on beta 1a in terms of safety. The PBAC recalled that at its March 2011 consideration of </w:t>
      </w:r>
      <w:proofErr w:type="spellStart"/>
      <w:r w:rsidR="00A168C0">
        <w:t>cladribine</w:t>
      </w:r>
      <w:proofErr w:type="spellEnd"/>
      <w:r w:rsidR="00A168C0">
        <w:t xml:space="preserve">, the Committee did not accept that </w:t>
      </w:r>
      <w:proofErr w:type="spellStart"/>
      <w:r w:rsidR="00A168C0">
        <w:t>cladribine</w:t>
      </w:r>
      <w:proofErr w:type="spellEnd"/>
      <w:r w:rsidR="00A168C0">
        <w:t xml:space="preserve"> was of non-inferior efficacy to </w:t>
      </w:r>
      <w:proofErr w:type="spellStart"/>
      <w:r w:rsidR="00A168C0">
        <w:t>natalizumab</w:t>
      </w:r>
      <w:proofErr w:type="spellEnd"/>
      <w:r w:rsidR="00A168C0">
        <w:t>. The PBAC noted that this matter remains.</w:t>
      </w:r>
    </w:p>
    <w:p w:rsidR="0056745C" w:rsidRDefault="008E1D2A" w:rsidP="00A627FC">
      <w:pPr>
        <w:pStyle w:val="ListParagraph"/>
        <w:numPr>
          <w:ilvl w:val="1"/>
          <w:numId w:val="1"/>
        </w:numPr>
        <w:spacing w:before="0" w:after="120"/>
        <w:jc w:val="both"/>
      </w:pPr>
      <w:r>
        <w:t xml:space="preserve">The PBAC considered that there was uncertainty in the claim that </w:t>
      </w:r>
      <w:proofErr w:type="spellStart"/>
      <w:r>
        <w:t>cladribine</w:t>
      </w:r>
      <w:proofErr w:type="spellEnd"/>
      <w:r>
        <w:t xml:space="preserve"> is non-inferior to </w:t>
      </w:r>
      <w:proofErr w:type="spellStart"/>
      <w:r>
        <w:t>fingolimod</w:t>
      </w:r>
      <w:proofErr w:type="spellEnd"/>
      <w:r>
        <w:t xml:space="preserve"> in terms of efficacy over two years. The PBAC noted that the </w:t>
      </w:r>
      <w:r w:rsidRPr="008E1D2A">
        <w:t xml:space="preserve">basis of the claim over two years was an indirect comparison of one </w:t>
      </w:r>
      <w:proofErr w:type="spellStart"/>
      <w:r w:rsidRPr="008E1D2A">
        <w:t>cladribine</w:t>
      </w:r>
      <w:proofErr w:type="spellEnd"/>
      <w:r w:rsidRPr="008E1D2A">
        <w:t xml:space="preserve"> (CLARITY) and two </w:t>
      </w:r>
      <w:proofErr w:type="spellStart"/>
      <w:r w:rsidRPr="008E1D2A">
        <w:t>fingolimod</w:t>
      </w:r>
      <w:proofErr w:type="spellEnd"/>
      <w:r w:rsidRPr="008E1D2A">
        <w:t xml:space="preserve"> (FREEDOMS and FREEDOMS II) trials</w:t>
      </w:r>
      <w:r>
        <w:t xml:space="preserve">. Although no statistically significant differences between </w:t>
      </w:r>
      <w:proofErr w:type="spellStart"/>
      <w:r>
        <w:t>cladribine</w:t>
      </w:r>
      <w:proofErr w:type="spellEnd"/>
      <w:r>
        <w:t xml:space="preserve"> and </w:t>
      </w:r>
      <w:proofErr w:type="spellStart"/>
      <w:r>
        <w:t>fingolimod</w:t>
      </w:r>
      <w:proofErr w:type="spellEnd"/>
      <w:r>
        <w:t xml:space="preserve"> were observed in the indirect comparison for the annualised relapse rate, proportion of patients remaining relapse-free; and proportion of patients free from confirmed disability progression at 3 and 6 months; this was based on a minimal clinically important difference (MCID) nominated by the resubmission of 1.46 for the relapse ratio. The PBAC considered that the method of calculating this MCID was not adequately justified. The PBAC therefore considered that the possibility that </w:t>
      </w:r>
      <w:proofErr w:type="spellStart"/>
      <w:r>
        <w:t>cladribine</w:t>
      </w:r>
      <w:proofErr w:type="spellEnd"/>
      <w:r>
        <w:t xml:space="preserve"> was inferior to </w:t>
      </w:r>
      <w:proofErr w:type="spellStart"/>
      <w:r>
        <w:t>fingolimod</w:t>
      </w:r>
      <w:proofErr w:type="spellEnd"/>
      <w:r>
        <w:t xml:space="preserve"> </w:t>
      </w:r>
      <w:r w:rsidR="008A7E87">
        <w:t xml:space="preserve">over two years </w:t>
      </w:r>
      <w:r>
        <w:t>could not be excluded.</w:t>
      </w:r>
    </w:p>
    <w:p w:rsidR="00705B58" w:rsidRPr="00705B58" w:rsidRDefault="0056745C" w:rsidP="00A627FC">
      <w:pPr>
        <w:pStyle w:val="ListParagraph"/>
        <w:numPr>
          <w:ilvl w:val="1"/>
          <w:numId w:val="1"/>
        </w:numPr>
      </w:pPr>
      <w:r>
        <w:t xml:space="preserve">The PBAC </w:t>
      </w:r>
      <w:r w:rsidR="002A5079">
        <w:t xml:space="preserve">therefore </w:t>
      </w:r>
      <w:r>
        <w:t xml:space="preserve">did not accept the claim that </w:t>
      </w:r>
      <w:proofErr w:type="spellStart"/>
      <w:r>
        <w:t>cladribine</w:t>
      </w:r>
      <w:proofErr w:type="spellEnd"/>
      <w:r>
        <w:t xml:space="preserve"> is non-inferior to </w:t>
      </w:r>
      <w:proofErr w:type="spellStart"/>
      <w:r>
        <w:t>fingolimod</w:t>
      </w:r>
      <w:proofErr w:type="spellEnd"/>
      <w:r>
        <w:t xml:space="preserve"> in terms of efficacy over four years.</w:t>
      </w:r>
      <w:r w:rsidR="00944353">
        <w:t xml:space="preserve">  In addition to the issues surrounding the validity of the claim of non-inferiority as 2 years, t</w:t>
      </w:r>
      <w:r w:rsidR="00705B58">
        <w:t xml:space="preserve">he PBAC considered that there was inadequate and weak </w:t>
      </w:r>
      <w:r w:rsidR="000A4EA9">
        <w:t>long-term</w:t>
      </w:r>
      <w:r w:rsidR="00944353">
        <w:t xml:space="preserve"> </w:t>
      </w:r>
      <w:r w:rsidR="00705B58">
        <w:t xml:space="preserve">evidence to support </w:t>
      </w:r>
      <w:r w:rsidR="00944353">
        <w:t xml:space="preserve">the claim of </w:t>
      </w:r>
      <w:r w:rsidR="000A4EA9">
        <w:t>non-inferiority over four years</w:t>
      </w:r>
      <w:r w:rsidR="00705B58">
        <w:t xml:space="preserve">, which the resubmission </w:t>
      </w:r>
      <w:r w:rsidR="000A4EA9">
        <w:t>made,</w:t>
      </w:r>
      <w:r w:rsidR="00705B58">
        <w:t xml:space="preserve"> based on </w:t>
      </w:r>
      <w:r w:rsidR="00705B58" w:rsidRPr="00705B58">
        <w:t xml:space="preserve">a naïve comparison of point estimates of the extension studies to the three trials. </w:t>
      </w:r>
      <w:r w:rsidR="00CF4347">
        <w:t xml:space="preserve">The PBAC </w:t>
      </w:r>
      <w:r w:rsidR="00CF4347" w:rsidRPr="00CF4347">
        <w:t xml:space="preserve">noted that of those randomised to low dose (3.5mg/kg) </w:t>
      </w:r>
      <w:proofErr w:type="spellStart"/>
      <w:r w:rsidR="00CF4347" w:rsidRPr="00CF4347">
        <w:t>cladribine</w:t>
      </w:r>
      <w:proofErr w:type="spellEnd"/>
      <w:r w:rsidR="00CF4347" w:rsidRPr="00CF4347">
        <w:t xml:space="preserve"> in the CLARITY trial, only 71% (284/398) of subjects entered the ext</w:t>
      </w:r>
      <w:r w:rsidR="00CF4347">
        <w:t>ension study. Therefore, the PBAC</w:t>
      </w:r>
      <w:r w:rsidR="00CF4347" w:rsidRPr="00CF4347">
        <w:t xml:space="preserve"> was concerned that the trial population for CLARITY and CLARITY EXT are not comparable</w:t>
      </w:r>
      <w:r w:rsidR="00CF4347">
        <w:t xml:space="preserve">. The PBAC also noted that the CLARITY extension study was primarily a safety study and </w:t>
      </w:r>
      <w:proofErr w:type="gramStart"/>
      <w:r w:rsidR="00CF4347">
        <w:t>was not powered</w:t>
      </w:r>
      <w:proofErr w:type="gramEnd"/>
      <w:r w:rsidR="00CF4347">
        <w:t xml:space="preserve"> for efficacy endpoints. The PBAC considered that in clinical practice, patients who complete the two treatment courses of </w:t>
      </w:r>
      <w:proofErr w:type="spellStart"/>
      <w:r w:rsidR="00CF4347">
        <w:t>cladribine</w:t>
      </w:r>
      <w:proofErr w:type="spellEnd"/>
      <w:r w:rsidR="00CF4347">
        <w:t xml:space="preserve"> in </w:t>
      </w:r>
      <w:r w:rsidR="008F0517">
        <w:t xml:space="preserve">Years 1 and 2 but </w:t>
      </w:r>
      <w:r w:rsidR="00444F5B">
        <w:t>experience disease relapse</w:t>
      </w:r>
      <w:r w:rsidR="008F0517">
        <w:t xml:space="preserve"> in Y</w:t>
      </w:r>
      <w:r w:rsidR="00CF4347">
        <w:t>ears 3 and 4 are highly likely to be prescribed other therapies for RRMS</w:t>
      </w:r>
      <w:r w:rsidR="00A168C0">
        <w:t xml:space="preserve"> before the four-year treatment period for </w:t>
      </w:r>
      <w:proofErr w:type="spellStart"/>
      <w:r w:rsidR="00A168C0">
        <w:t>cladribine</w:t>
      </w:r>
      <w:proofErr w:type="spellEnd"/>
      <w:r w:rsidR="00A168C0">
        <w:t xml:space="preserve"> is reached</w:t>
      </w:r>
      <w:r w:rsidR="00CF4347">
        <w:t xml:space="preserve">. </w:t>
      </w:r>
    </w:p>
    <w:p w:rsidR="003725D2" w:rsidRDefault="003725D2" w:rsidP="00A627FC">
      <w:pPr>
        <w:pStyle w:val="ListParagraph"/>
        <w:numPr>
          <w:ilvl w:val="1"/>
          <w:numId w:val="1"/>
        </w:numPr>
        <w:spacing w:before="0" w:after="120"/>
        <w:jc w:val="both"/>
      </w:pPr>
      <w:r>
        <w:lastRenderedPageBreak/>
        <w:t xml:space="preserve">The PBAC considered that there was insufficient data </w:t>
      </w:r>
      <w:proofErr w:type="gramStart"/>
      <w:r>
        <w:t>to accurately assess</w:t>
      </w:r>
      <w:proofErr w:type="gramEnd"/>
      <w:r>
        <w:t xml:space="preserve"> the claim of non-inferior safety of </w:t>
      </w:r>
      <w:proofErr w:type="spellStart"/>
      <w:r>
        <w:t>cladribine</w:t>
      </w:r>
      <w:proofErr w:type="spellEnd"/>
      <w:r>
        <w:t xml:space="preserve"> versus </w:t>
      </w:r>
      <w:proofErr w:type="spellStart"/>
      <w:r>
        <w:t>fingolimod</w:t>
      </w:r>
      <w:proofErr w:type="spellEnd"/>
      <w:r>
        <w:t xml:space="preserve">. The PBAC noted comments from the TGA Delegate’s Overview (p9-10) that, </w:t>
      </w:r>
    </w:p>
    <w:p w:rsidR="00285A1A" w:rsidRDefault="003725D2" w:rsidP="00A627FC">
      <w:pPr>
        <w:pStyle w:val="ListParagraph"/>
        <w:numPr>
          <w:ilvl w:val="0"/>
          <w:numId w:val="11"/>
        </w:numPr>
        <w:spacing w:before="0" w:after="120"/>
        <w:jc w:val="both"/>
      </w:pPr>
      <w:r>
        <w:t>“</w:t>
      </w:r>
      <w:proofErr w:type="spellStart"/>
      <w:r>
        <w:t>C</w:t>
      </w:r>
      <w:r w:rsidRPr="003725D2">
        <w:t>ladribine</w:t>
      </w:r>
      <w:proofErr w:type="spellEnd"/>
      <w:r w:rsidRPr="003725D2">
        <w:t xml:space="preserve"> results in prolonged dose-related lymphocyte suppression and there are major safety concerns with over-exposure.</w:t>
      </w:r>
      <w:r>
        <w:t>”</w:t>
      </w:r>
    </w:p>
    <w:p w:rsidR="003725D2" w:rsidRDefault="003725D2" w:rsidP="00A627FC">
      <w:pPr>
        <w:pStyle w:val="ListParagraph"/>
        <w:numPr>
          <w:ilvl w:val="0"/>
          <w:numId w:val="11"/>
        </w:numPr>
        <w:spacing w:before="0" w:after="120"/>
        <w:jc w:val="both"/>
      </w:pPr>
      <w:r>
        <w:t>“</w:t>
      </w:r>
      <w:proofErr w:type="spellStart"/>
      <w:r w:rsidRPr="003725D2">
        <w:t>Cladribine</w:t>
      </w:r>
      <w:proofErr w:type="spellEnd"/>
      <w:r w:rsidRPr="003725D2">
        <w:t xml:space="preserve"> is potentially very toxic and it would be clearly inappropriate for it to be given to patients who do not have a poor prognosis without aggressive treatment.</w:t>
      </w:r>
      <w:r>
        <w:t>”</w:t>
      </w:r>
    </w:p>
    <w:p w:rsidR="003725D2" w:rsidRDefault="003725D2" w:rsidP="00A627FC">
      <w:pPr>
        <w:pStyle w:val="ListParagraph"/>
        <w:numPr>
          <w:ilvl w:val="0"/>
          <w:numId w:val="11"/>
        </w:numPr>
        <w:spacing w:before="0" w:after="120"/>
        <w:jc w:val="both"/>
      </w:pPr>
      <w:r>
        <w:t xml:space="preserve">“… </w:t>
      </w:r>
      <w:proofErr w:type="gramStart"/>
      <w:r w:rsidRPr="003725D2">
        <w:t>careful</w:t>
      </w:r>
      <w:proofErr w:type="gramEnd"/>
      <w:r w:rsidRPr="003725D2">
        <w:t xml:space="preserve"> surveillance for infection and lymphopenia is required for all patients who have received </w:t>
      </w:r>
      <w:proofErr w:type="spellStart"/>
      <w:r w:rsidRPr="003725D2">
        <w:t>cladribine</w:t>
      </w:r>
      <w:proofErr w:type="spellEnd"/>
      <w:r>
        <w:t xml:space="preserve">… (and) … </w:t>
      </w:r>
      <w:r w:rsidRPr="003725D2">
        <w:t>patients with persistent lymphopenia should continue to be monitored until lymphocyte counts return to the normal range</w:t>
      </w:r>
      <w:r>
        <w:t>”; and</w:t>
      </w:r>
    </w:p>
    <w:p w:rsidR="003725D2" w:rsidRDefault="003725D2" w:rsidP="00A627FC">
      <w:pPr>
        <w:pStyle w:val="ListParagraph"/>
        <w:numPr>
          <w:ilvl w:val="0"/>
          <w:numId w:val="11"/>
        </w:numPr>
        <w:spacing w:before="0" w:after="120"/>
        <w:jc w:val="both"/>
      </w:pPr>
      <w:r>
        <w:t>“</w:t>
      </w:r>
      <w:r w:rsidRPr="003725D2">
        <w:t>Whether surveillance for AEs including malignancy can be reduced over time is not able to be determined from the data presented.</w:t>
      </w:r>
      <w:r>
        <w:t>”</w:t>
      </w:r>
    </w:p>
    <w:p w:rsidR="003725D2" w:rsidRDefault="003725D2" w:rsidP="003725D2">
      <w:pPr>
        <w:spacing w:before="0" w:after="120"/>
        <w:ind w:left="576"/>
        <w:jc w:val="both"/>
      </w:pPr>
      <w:r>
        <w:t xml:space="preserve">The PBAC therefore considered that while it had previously noted </w:t>
      </w:r>
      <w:proofErr w:type="spellStart"/>
      <w:r w:rsidR="00B96D20">
        <w:t>cladribine</w:t>
      </w:r>
      <w:proofErr w:type="spellEnd"/>
      <w:r w:rsidR="00B96D20">
        <w:t xml:space="preserve"> to </w:t>
      </w:r>
      <w:proofErr w:type="gramStart"/>
      <w:r w:rsidR="00B96D20">
        <w:t>be generally well tolerated</w:t>
      </w:r>
      <w:proofErr w:type="gramEnd"/>
      <w:r w:rsidR="00B96D20">
        <w:t xml:space="preserve">, </w:t>
      </w:r>
      <w:proofErr w:type="spellStart"/>
      <w:r w:rsidR="00B96D20">
        <w:t>cladribine</w:t>
      </w:r>
      <w:proofErr w:type="spellEnd"/>
      <w:r w:rsidR="00B96D20">
        <w:t xml:space="preserve"> was associated with important adverse events. </w:t>
      </w:r>
    </w:p>
    <w:p w:rsidR="008A7E87" w:rsidRDefault="008A7E87" w:rsidP="00A627FC">
      <w:pPr>
        <w:pStyle w:val="ListParagraph"/>
        <w:numPr>
          <w:ilvl w:val="1"/>
          <w:numId w:val="1"/>
        </w:numPr>
      </w:pPr>
      <w:r>
        <w:t xml:space="preserve">As the PBAC did not accept the claim of non-inferiority of two years of </w:t>
      </w:r>
      <w:proofErr w:type="spellStart"/>
      <w:r>
        <w:t>cladribine</w:t>
      </w:r>
      <w:proofErr w:type="spellEnd"/>
      <w:r>
        <w:t xml:space="preserve"> treatment versus four years of </w:t>
      </w:r>
      <w:proofErr w:type="spellStart"/>
      <w:r>
        <w:t>fingolimod</w:t>
      </w:r>
      <w:proofErr w:type="spellEnd"/>
      <w:r>
        <w:t xml:space="preserve"> treatment, the Committee did not accept this as the basis for estimating the </w:t>
      </w:r>
      <w:proofErr w:type="spellStart"/>
      <w:r>
        <w:t>equi</w:t>
      </w:r>
      <w:proofErr w:type="spellEnd"/>
      <w:r>
        <w:t xml:space="preserve">-effective doses of </w:t>
      </w:r>
      <w:proofErr w:type="spellStart"/>
      <w:r>
        <w:t>cladribine</w:t>
      </w:r>
      <w:proofErr w:type="spellEnd"/>
      <w:r>
        <w:t xml:space="preserve"> and </w:t>
      </w:r>
      <w:proofErr w:type="spellStart"/>
      <w:r>
        <w:t>fingolimod</w:t>
      </w:r>
      <w:proofErr w:type="spellEnd"/>
      <w:r>
        <w:t xml:space="preserve">. Additionally, the PBAC considered it was implausible that 100% of patients would remain on </w:t>
      </w:r>
      <w:proofErr w:type="spellStart"/>
      <w:r>
        <w:t>cladribine</w:t>
      </w:r>
      <w:proofErr w:type="spellEnd"/>
      <w:r>
        <w:t xml:space="preserve"> or </w:t>
      </w:r>
      <w:proofErr w:type="spellStart"/>
      <w:r>
        <w:t>fingolimod</w:t>
      </w:r>
      <w:proofErr w:type="spellEnd"/>
      <w:r>
        <w:t xml:space="preserve"> for four ye</w:t>
      </w:r>
      <w:r w:rsidR="00A168C0">
        <w:t xml:space="preserve">ars and that no </w:t>
      </w:r>
      <w:r>
        <w:t xml:space="preserve">treatment switching </w:t>
      </w:r>
      <w:r w:rsidR="00A168C0">
        <w:t xml:space="preserve">or use of subsequent DMDs </w:t>
      </w:r>
      <w:r>
        <w:t>would occur in the four</w:t>
      </w:r>
      <w:r w:rsidR="00A168C0">
        <w:t>-</w:t>
      </w:r>
      <w:r>
        <w:t xml:space="preserve">year period. </w:t>
      </w:r>
      <w:r w:rsidR="00A168C0">
        <w:t xml:space="preserve">Therefore, the PBAC considered that it was inappropriate to conduct the cost-minimisation analysis based on two years of </w:t>
      </w:r>
      <w:proofErr w:type="spellStart"/>
      <w:r w:rsidR="00A168C0">
        <w:t>cladribine</w:t>
      </w:r>
      <w:proofErr w:type="spellEnd"/>
      <w:r w:rsidR="00A168C0">
        <w:t xml:space="preserve"> treatment versus four years of </w:t>
      </w:r>
      <w:proofErr w:type="spellStart"/>
      <w:r w:rsidR="00A168C0">
        <w:t>fingolimod</w:t>
      </w:r>
      <w:proofErr w:type="spellEnd"/>
      <w:r w:rsidR="00A168C0">
        <w:t xml:space="preserve"> treatment.</w:t>
      </w:r>
    </w:p>
    <w:p w:rsidR="008A7E87" w:rsidRPr="00705B58" w:rsidRDefault="008A7E87" w:rsidP="00A627FC">
      <w:pPr>
        <w:pStyle w:val="ListParagraph"/>
        <w:numPr>
          <w:ilvl w:val="1"/>
          <w:numId w:val="1"/>
        </w:numPr>
      </w:pPr>
      <w:r>
        <w:t xml:space="preserve">The PBAC noted that the resubmission proposed a ‘maximum quantity’ of ten tablets in the requested listing, however only applied the price of seven tablets </w:t>
      </w:r>
      <w:r w:rsidRPr="008A7E87">
        <w:t xml:space="preserve">(based on the average weight [76.6kg] of patients in an Australian MS longitudinal study receiving </w:t>
      </w:r>
      <w:proofErr w:type="spellStart"/>
      <w:r w:rsidRPr="008A7E87">
        <w:t>cladribine</w:t>
      </w:r>
      <w:proofErr w:type="spellEnd"/>
      <w:r w:rsidRPr="008A7E87">
        <w:t xml:space="preserve">) </w:t>
      </w:r>
      <w:r>
        <w:t xml:space="preserve">in the cost minimisation and financial analyses. The PBAC </w:t>
      </w:r>
      <w:r w:rsidR="00444F5B">
        <w:t>noted</w:t>
      </w:r>
      <w:r>
        <w:t xml:space="preserve"> that this </w:t>
      </w:r>
      <w:r w:rsidR="00444F5B">
        <w:t xml:space="preserve">would have </w:t>
      </w:r>
      <w:r>
        <w:t>create</w:t>
      </w:r>
      <w:r w:rsidR="00444F5B">
        <w:t>d</w:t>
      </w:r>
      <w:r>
        <w:t xml:space="preserve"> a large potential for wastage, with significant financial implications for government, and issues with the quality of use of </w:t>
      </w:r>
      <w:proofErr w:type="spellStart"/>
      <w:r>
        <w:t>cladribine</w:t>
      </w:r>
      <w:proofErr w:type="spellEnd"/>
      <w:r>
        <w:t xml:space="preserve">. </w:t>
      </w:r>
      <w:r w:rsidR="00444F5B">
        <w:t xml:space="preserve">The PBAC noted that the PSCR accepted the Secretariat’s suggestions to modify </w:t>
      </w:r>
      <w:r>
        <w:t xml:space="preserve">the proposed PBS listing </w:t>
      </w:r>
      <w:r w:rsidR="00444F5B">
        <w:t>(</w:t>
      </w:r>
      <w:r>
        <w:t xml:space="preserve">as </w:t>
      </w:r>
      <w:r w:rsidR="00444F5B">
        <w:t>outlined</w:t>
      </w:r>
      <w:r w:rsidR="009D555B">
        <w:t xml:space="preserve"> </w:t>
      </w:r>
      <w:r>
        <w:t>in paragraph 7.4 above</w:t>
      </w:r>
      <w:r w:rsidR="00444F5B">
        <w:t>) and considered that this approach was appropriate.</w:t>
      </w:r>
      <w:r>
        <w:t xml:space="preserve">  </w:t>
      </w:r>
    </w:p>
    <w:p w:rsidR="00C35F95" w:rsidRDefault="00444F5B" w:rsidP="00C35F95">
      <w:pPr>
        <w:pStyle w:val="ListParagraph"/>
        <w:numPr>
          <w:ilvl w:val="1"/>
          <w:numId w:val="1"/>
        </w:numPr>
        <w:spacing w:before="0" w:after="120"/>
        <w:jc w:val="both"/>
      </w:pPr>
      <w:r>
        <w:t xml:space="preserve">The PBAC noted that </w:t>
      </w:r>
      <w:r w:rsidR="0020459B">
        <w:t xml:space="preserve">the resubmission’s base case financial </w:t>
      </w:r>
      <w:proofErr w:type="spellStart"/>
      <w:r w:rsidR="0020459B">
        <w:t>analyses</w:t>
      </w:r>
      <w:proofErr w:type="spellEnd"/>
      <w:r w:rsidR="0020459B">
        <w:t xml:space="preserve"> estimated the net cost to the PBS to be </w:t>
      </w:r>
      <w:r w:rsidR="002B715E">
        <w:t>more than $100 million per year</w:t>
      </w:r>
      <w:r w:rsidR="0020459B">
        <w:t xml:space="preserve"> and </w:t>
      </w:r>
      <w:r w:rsidR="002B715E">
        <w:t>$30 - $60 million</w:t>
      </w:r>
      <w:r w:rsidR="0020459B">
        <w:t xml:space="preserve">, over six and nine years, respectively. </w:t>
      </w:r>
      <w:r w:rsidR="00C35F95">
        <w:t xml:space="preserve"> T</w:t>
      </w:r>
      <w:r w:rsidR="00C35F95" w:rsidRPr="00C35F95">
        <w:t>he significant net costs to the PBS even on a nine-year time horizon</w:t>
      </w:r>
      <w:r w:rsidR="00C35F95">
        <w:t xml:space="preserve">, added to the </w:t>
      </w:r>
      <w:r w:rsidR="00C35F95" w:rsidRPr="00C35F95">
        <w:t>PBAC</w:t>
      </w:r>
      <w:r w:rsidR="00C35F95">
        <w:t>’s</w:t>
      </w:r>
      <w:r w:rsidR="00C35F95" w:rsidRPr="00C35F95">
        <w:t xml:space="preserve"> </w:t>
      </w:r>
      <w:r w:rsidR="00C35F95">
        <w:t xml:space="preserve">concern that </w:t>
      </w:r>
      <w:r w:rsidR="00C35F95" w:rsidRPr="00C35F95">
        <w:t>the cost minimisation analysis presented by the resubmission lacked validity.</w:t>
      </w:r>
    </w:p>
    <w:p w:rsidR="00406E0B" w:rsidRDefault="00A627FC" w:rsidP="00A627FC">
      <w:pPr>
        <w:pStyle w:val="ListParagraph"/>
        <w:numPr>
          <w:ilvl w:val="1"/>
          <w:numId w:val="1"/>
        </w:numPr>
        <w:spacing w:before="0" w:after="120"/>
        <w:jc w:val="both"/>
      </w:pPr>
      <w:r>
        <w:t xml:space="preserve">The PBAC </w:t>
      </w:r>
      <w:r w:rsidR="0020459B">
        <w:t xml:space="preserve">also </w:t>
      </w:r>
      <w:r>
        <w:t>noted that the resubmission</w:t>
      </w:r>
      <w:r w:rsidR="00444F5B">
        <w:t>’s scenario analysis</w:t>
      </w:r>
      <w:r>
        <w:t xml:space="preserve"> projected the listing of </w:t>
      </w:r>
      <w:proofErr w:type="spellStart"/>
      <w:r>
        <w:t>cladribine</w:t>
      </w:r>
      <w:proofErr w:type="spellEnd"/>
      <w:r>
        <w:t xml:space="preserve"> to be cost neutral </w:t>
      </w:r>
      <w:r w:rsidR="00A119D0">
        <w:t xml:space="preserve">to the PBS </w:t>
      </w:r>
      <w:r>
        <w:t xml:space="preserve">over nine years, however the Committee considered this was substantially underestimated due to unreasonable assumptions that: </w:t>
      </w:r>
    </w:p>
    <w:p w:rsidR="00A627FC" w:rsidRDefault="00A627FC" w:rsidP="00A627FC">
      <w:pPr>
        <w:pStyle w:val="ListParagraph"/>
        <w:numPr>
          <w:ilvl w:val="0"/>
          <w:numId w:val="12"/>
        </w:numPr>
        <w:spacing w:before="0" w:after="120"/>
        <w:jc w:val="both"/>
      </w:pPr>
      <w:proofErr w:type="spellStart"/>
      <w:r>
        <w:lastRenderedPageBreak/>
        <w:t>Cladribine</w:t>
      </w:r>
      <w:proofErr w:type="spellEnd"/>
      <w:r>
        <w:t xml:space="preserve"> dosing in Weeks 1 and 5 of Years 1 and 2, followed by two years of no treatment was equal to four years of continuous </w:t>
      </w:r>
      <w:proofErr w:type="spellStart"/>
      <w:r>
        <w:t>fingolimod</w:t>
      </w:r>
      <w:proofErr w:type="spellEnd"/>
      <w:r>
        <w:t xml:space="preserve"> treatment;</w:t>
      </w:r>
    </w:p>
    <w:p w:rsidR="00A627FC" w:rsidRDefault="00A627FC" w:rsidP="00A627FC">
      <w:pPr>
        <w:pStyle w:val="ListParagraph"/>
        <w:numPr>
          <w:ilvl w:val="0"/>
          <w:numId w:val="12"/>
        </w:numPr>
        <w:spacing w:before="0" w:after="120"/>
        <w:jc w:val="both"/>
      </w:pPr>
      <w:r>
        <w:t>Persistence with</w:t>
      </w:r>
      <w:r w:rsidR="00674858">
        <w:t xml:space="preserve"> all</w:t>
      </w:r>
      <w:r>
        <w:t xml:space="preserve"> treatment</w:t>
      </w:r>
      <w:r w:rsidR="00674858">
        <w:t>s</w:t>
      </w:r>
      <w:r>
        <w:t xml:space="preserve"> is 100%;</w:t>
      </w:r>
    </w:p>
    <w:p w:rsidR="00A627FC" w:rsidRDefault="00A627FC" w:rsidP="00A627FC">
      <w:pPr>
        <w:pStyle w:val="ListParagraph"/>
        <w:numPr>
          <w:ilvl w:val="0"/>
          <w:numId w:val="12"/>
        </w:numPr>
        <w:spacing w:before="0" w:after="120"/>
        <w:jc w:val="both"/>
      </w:pPr>
      <w:r>
        <w:t xml:space="preserve">All </w:t>
      </w:r>
      <w:proofErr w:type="spellStart"/>
      <w:r>
        <w:t>cladribine</w:t>
      </w:r>
      <w:proofErr w:type="spellEnd"/>
      <w:r>
        <w:t xml:space="preserve"> patients would remain treatment free in Years 3 and 4 (i.e. patients do not commence another DMD). </w:t>
      </w:r>
    </w:p>
    <w:p w:rsidR="0020459B" w:rsidRDefault="0020459B" w:rsidP="0020459B">
      <w:pPr>
        <w:spacing w:before="0" w:after="120"/>
        <w:ind w:left="576"/>
        <w:jc w:val="both"/>
      </w:pPr>
      <w:r>
        <w:t xml:space="preserve">The PBAC </w:t>
      </w:r>
      <w:r w:rsidR="004C781F">
        <w:t>noted</w:t>
      </w:r>
      <w:r>
        <w:t xml:space="preserve"> that the financial analyses over nine years was not consistent with the PBAC Guidelines (v5.0), which requests the estimates of financial impact each year over six years. </w:t>
      </w:r>
    </w:p>
    <w:p w:rsidR="00A119D0" w:rsidRDefault="00C77791" w:rsidP="00A119D0">
      <w:pPr>
        <w:pStyle w:val="ListParagraph"/>
        <w:numPr>
          <w:ilvl w:val="1"/>
          <w:numId w:val="1"/>
        </w:numPr>
        <w:spacing w:before="0" w:after="120"/>
        <w:jc w:val="both"/>
      </w:pPr>
      <w:r>
        <w:t>The PBAC advised that</w:t>
      </w:r>
      <w:r w:rsidR="00A119D0">
        <w:t xml:space="preserve"> </w:t>
      </w:r>
      <w:proofErr w:type="spellStart"/>
      <w:r w:rsidR="00A119D0">
        <w:t>cladribine</w:t>
      </w:r>
      <w:proofErr w:type="spellEnd"/>
      <w:r w:rsidR="00A119D0">
        <w:t xml:space="preserve"> is not suitable for prescribing by nurse practitioners. </w:t>
      </w:r>
    </w:p>
    <w:p w:rsidR="008432C2" w:rsidRDefault="008432C2" w:rsidP="008432C2">
      <w:pPr>
        <w:numPr>
          <w:ilvl w:val="1"/>
          <w:numId w:val="1"/>
        </w:numPr>
        <w:spacing w:before="0" w:after="120"/>
        <w:jc w:val="both"/>
      </w:pPr>
      <w:r w:rsidRPr="00585AAB">
        <w:t xml:space="preserve">The PBAC recommended that the Early Supply Rule should not apply. </w:t>
      </w:r>
    </w:p>
    <w:p w:rsidR="008432C2" w:rsidRDefault="008432C2" w:rsidP="008432C2">
      <w:pPr>
        <w:pStyle w:val="ListParagraph"/>
        <w:numPr>
          <w:ilvl w:val="1"/>
          <w:numId w:val="1"/>
        </w:numPr>
        <w:spacing w:before="0" w:after="120"/>
        <w:jc w:val="both"/>
      </w:pPr>
      <w:r>
        <w:t xml:space="preserve">The PBAC considered that any resubmission for </w:t>
      </w:r>
      <w:proofErr w:type="spellStart"/>
      <w:r>
        <w:t>cladribine</w:t>
      </w:r>
      <w:proofErr w:type="spellEnd"/>
      <w:r>
        <w:t xml:space="preserve"> for RRMS would require a major submission including new economic and financial analyses that addresses the Committee’s concerns. </w:t>
      </w:r>
    </w:p>
    <w:p w:rsidR="00A119D0" w:rsidRPr="00285A1A" w:rsidRDefault="00A119D0" w:rsidP="00A119D0">
      <w:pPr>
        <w:pStyle w:val="ListParagraph"/>
        <w:numPr>
          <w:ilvl w:val="1"/>
          <w:numId w:val="1"/>
        </w:numPr>
        <w:spacing w:before="0" w:after="120"/>
        <w:jc w:val="both"/>
      </w:pPr>
      <w:r>
        <w:t>The PBAC noted that this submission is eligible for an Independent Review.</w:t>
      </w:r>
    </w:p>
    <w:p w:rsidR="004F22D0" w:rsidRPr="00B4558C" w:rsidRDefault="004F22D0" w:rsidP="004F22D0">
      <w:pPr>
        <w:spacing w:before="240"/>
        <w:jc w:val="both"/>
        <w:rPr>
          <w:rFonts w:cs="Arial"/>
          <w:b/>
          <w:bCs/>
          <w:snapToGrid w:val="0"/>
          <w:lang w:val="en-GB"/>
        </w:rPr>
      </w:pPr>
      <w:r w:rsidRPr="00B4558C">
        <w:rPr>
          <w:rFonts w:cs="Arial"/>
          <w:b/>
          <w:bCs/>
          <w:snapToGrid w:val="0"/>
          <w:lang w:val="en-GB"/>
        </w:rPr>
        <w:t>Outcome:</w:t>
      </w:r>
    </w:p>
    <w:p w:rsidR="004F22D0" w:rsidRPr="00B4558C" w:rsidRDefault="004F22D0" w:rsidP="004F22D0">
      <w:pPr>
        <w:jc w:val="both"/>
        <w:rPr>
          <w:rFonts w:cs="Arial"/>
          <w:bCs/>
          <w:snapToGrid w:val="0"/>
          <w:lang w:val="en-GB"/>
        </w:rPr>
      </w:pPr>
      <w:r w:rsidRPr="00B4558C">
        <w:rPr>
          <w:rFonts w:cs="Arial"/>
          <w:bCs/>
          <w:snapToGrid w:val="0"/>
          <w:lang w:val="en-GB"/>
        </w:rPr>
        <w:t xml:space="preserve">Rejected </w:t>
      </w:r>
    </w:p>
    <w:p w:rsidR="00A3313D" w:rsidRPr="00625BD2" w:rsidRDefault="00A3313D" w:rsidP="00A3313D">
      <w:pPr>
        <w:pStyle w:val="Heading1"/>
      </w:pPr>
      <w:r w:rsidRPr="00625BD2">
        <w:t>Context for Decision</w:t>
      </w:r>
    </w:p>
    <w:p w:rsidR="00A3313D" w:rsidRPr="00625BD2" w:rsidRDefault="00A3313D" w:rsidP="00A3313D">
      <w:pPr>
        <w:spacing w:after="120"/>
        <w:rPr>
          <w:rFonts w:ascii="Calibri" w:eastAsia="Calibri" w:hAnsi="Calibri" w:cs="Arial"/>
        </w:rPr>
      </w:pPr>
      <w:r w:rsidRPr="00625BD2">
        <w:rPr>
          <w:rFonts w:ascii="Calibri" w:eastAsia="Calibri" w:hAnsi="Calibr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3313D" w:rsidRPr="00625BD2" w:rsidRDefault="00A3313D" w:rsidP="00A3313D">
      <w:pPr>
        <w:pStyle w:val="Heading1"/>
      </w:pPr>
      <w:r w:rsidRPr="00625BD2">
        <w:t>Sponsor’s Comment</w:t>
      </w:r>
    </w:p>
    <w:p w:rsidR="001D125F" w:rsidRPr="001D125F" w:rsidRDefault="004F35AB" w:rsidP="001D125F">
      <w:proofErr w:type="spellStart"/>
      <w:r>
        <w:rPr>
          <w:rFonts w:ascii="Calibri" w:eastAsia="Calibri" w:hAnsi="Calibri" w:cs="Arial"/>
          <w:szCs w:val="20"/>
        </w:rPr>
        <w:t>Cladribine</w:t>
      </w:r>
      <w:proofErr w:type="spellEnd"/>
      <w:r>
        <w:rPr>
          <w:rFonts w:ascii="Calibri" w:eastAsia="Calibri" w:hAnsi="Calibri" w:cs="Arial"/>
          <w:szCs w:val="20"/>
        </w:rPr>
        <w:t xml:space="preserve"> tablets have a unique treatment regimen. </w:t>
      </w:r>
      <w:r w:rsidRPr="00711182">
        <w:rPr>
          <w:rFonts w:ascii="Calibri" w:eastAsia="Calibri" w:hAnsi="Calibri" w:cs="Arial"/>
          <w:szCs w:val="20"/>
        </w:rPr>
        <w:t xml:space="preserve">Based on the results of CLARITY and CLARITY EXTENSION, the TGA-approved indication for </w:t>
      </w:r>
      <w:proofErr w:type="spellStart"/>
      <w:r w:rsidRPr="00711182">
        <w:rPr>
          <w:rFonts w:ascii="Calibri" w:eastAsia="Calibri" w:hAnsi="Calibri" w:cs="Arial"/>
          <w:szCs w:val="20"/>
        </w:rPr>
        <w:t>cladribine</w:t>
      </w:r>
      <w:proofErr w:type="spellEnd"/>
      <w:r w:rsidRPr="00711182">
        <w:rPr>
          <w:rFonts w:ascii="Calibri" w:eastAsia="Calibri" w:hAnsi="Calibri" w:cs="Arial"/>
          <w:szCs w:val="20"/>
        </w:rPr>
        <w:t xml:space="preserve"> tablets is now “</w:t>
      </w:r>
      <w:proofErr w:type="spellStart"/>
      <w:r w:rsidRPr="00711182">
        <w:rPr>
          <w:rFonts w:ascii="Calibri" w:eastAsia="Calibri" w:hAnsi="Calibri" w:cs="Arial"/>
          <w:szCs w:val="20"/>
        </w:rPr>
        <w:t>Cladribine</w:t>
      </w:r>
      <w:proofErr w:type="spellEnd"/>
      <w:r w:rsidRPr="00711182">
        <w:rPr>
          <w:rFonts w:ascii="Calibri" w:eastAsia="Calibri" w:hAnsi="Calibri" w:cs="Arial"/>
          <w:szCs w:val="20"/>
        </w:rPr>
        <w:t xml:space="preserve"> is indicated for the treatment of relapsing-remitting multiple sclerosis to reduce the frequency of clinical relapses and to delay the progression of physical disability. Following completion of the </w:t>
      </w:r>
      <w:proofErr w:type="gramStart"/>
      <w:r w:rsidRPr="00711182">
        <w:rPr>
          <w:rFonts w:ascii="Calibri" w:eastAsia="Calibri" w:hAnsi="Calibri" w:cs="Arial"/>
          <w:szCs w:val="20"/>
        </w:rPr>
        <w:t>2</w:t>
      </w:r>
      <w:proofErr w:type="gramEnd"/>
      <w:r w:rsidRPr="00711182">
        <w:rPr>
          <w:rFonts w:ascii="Calibri" w:eastAsia="Calibri" w:hAnsi="Calibri" w:cs="Arial"/>
          <w:szCs w:val="20"/>
        </w:rPr>
        <w:t xml:space="preserve"> treatment courses, no further </w:t>
      </w:r>
      <w:proofErr w:type="spellStart"/>
      <w:r w:rsidRPr="00711182">
        <w:rPr>
          <w:rFonts w:ascii="Calibri" w:eastAsia="Calibri" w:hAnsi="Calibri" w:cs="Arial"/>
          <w:szCs w:val="20"/>
        </w:rPr>
        <w:t>cladribine</w:t>
      </w:r>
      <w:proofErr w:type="spellEnd"/>
      <w:r w:rsidRPr="00711182">
        <w:rPr>
          <w:rFonts w:ascii="Calibri" w:eastAsia="Calibri" w:hAnsi="Calibri" w:cs="Arial"/>
          <w:szCs w:val="20"/>
        </w:rPr>
        <w:t xml:space="preserve"> treatment is required in years 3 and 4. Re-initiation of therapy after year 4 has not been studied.” As noted in the TGA Delegate’s Summary,</w:t>
      </w:r>
      <w:r w:rsidRPr="00711182">
        <w:rPr>
          <w:szCs w:val="20"/>
        </w:rPr>
        <w:t xml:space="preserve"> the annualised relapse rate in patients </w:t>
      </w:r>
      <w:r>
        <w:rPr>
          <w:szCs w:val="20"/>
        </w:rPr>
        <w:t xml:space="preserve">in CLARITY extension </w:t>
      </w:r>
      <w:r w:rsidRPr="00711182">
        <w:rPr>
          <w:szCs w:val="20"/>
        </w:rPr>
        <w:t xml:space="preserve">who </w:t>
      </w:r>
      <w:r>
        <w:rPr>
          <w:szCs w:val="20"/>
        </w:rPr>
        <w:t xml:space="preserve">had </w:t>
      </w:r>
      <w:r w:rsidRPr="00711182">
        <w:rPr>
          <w:szCs w:val="20"/>
        </w:rPr>
        <w:t xml:space="preserve">received </w:t>
      </w:r>
      <w:r>
        <w:rPr>
          <w:szCs w:val="20"/>
        </w:rPr>
        <w:t xml:space="preserve">no further </w:t>
      </w:r>
      <w:proofErr w:type="spellStart"/>
      <w:r>
        <w:rPr>
          <w:szCs w:val="20"/>
        </w:rPr>
        <w:t>cladribine</w:t>
      </w:r>
      <w:proofErr w:type="spellEnd"/>
      <w:r>
        <w:rPr>
          <w:szCs w:val="20"/>
        </w:rPr>
        <w:t xml:space="preserve"> since </w:t>
      </w:r>
      <w:r w:rsidRPr="00711182">
        <w:rPr>
          <w:szCs w:val="20"/>
        </w:rPr>
        <w:t>CLARITY</w:t>
      </w:r>
      <w:r>
        <w:rPr>
          <w:szCs w:val="20"/>
        </w:rPr>
        <w:t>,</w:t>
      </w:r>
      <w:r w:rsidRPr="00711182">
        <w:rPr>
          <w:szCs w:val="20"/>
        </w:rPr>
        <w:t xml:space="preserve"> strongly suggest</w:t>
      </w:r>
      <w:r>
        <w:rPr>
          <w:szCs w:val="20"/>
        </w:rPr>
        <w:t>s</w:t>
      </w:r>
      <w:r w:rsidRPr="00711182">
        <w:rPr>
          <w:szCs w:val="20"/>
        </w:rPr>
        <w:t xml:space="preserve"> </w:t>
      </w:r>
      <w:r>
        <w:rPr>
          <w:szCs w:val="20"/>
        </w:rPr>
        <w:t xml:space="preserve">a </w:t>
      </w:r>
      <w:r w:rsidRPr="00711182">
        <w:rPr>
          <w:szCs w:val="20"/>
        </w:rPr>
        <w:t xml:space="preserve">continued benefit </w:t>
      </w:r>
      <w:r>
        <w:rPr>
          <w:szCs w:val="20"/>
        </w:rPr>
        <w:t xml:space="preserve">for </w:t>
      </w:r>
      <w:r w:rsidRPr="00711182">
        <w:rPr>
          <w:szCs w:val="20"/>
        </w:rPr>
        <w:t xml:space="preserve">up to 6 years after commencing treatment with </w:t>
      </w:r>
      <w:proofErr w:type="spellStart"/>
      <w:r w:rsidRPr="00711182">
        <w:rPr>
          <w:szCs w:val="20"/>
        </w:rPr>
        <w:t>cladribine</w:t>
      </w:r>
      <w:proofErr w:type="spellEnd"/>
      <w:r w:rsidRPr="00711182">
        <w:rPr>
          <w:szCs w:val="20"/>
        </w:rPr>
        <w:t xml:space="preserve">. The risk of disability progression over the 96 weeks of the CLARITY study for patients given 3.5 mg </w:t>
      </w:r>
      <w:proofErr w:type="spellStart"/>
      <w:r w:rsidRPr="00711182">
        <w:rPr>
          <w:szCs w:val="20"/>
        </w:rPr>
        <w:t>cladribine</w:t>
      </w:r>
      <w:proofErr w:type="spellEnd"/>
      <w:r w:rsidRPr="00711182">
        <w:rPr>
          <w:szCs w:val="20"/>
        </w:rPr>
        <w:t xml:space="preserve"> was 33%. Disability progression occurred in 27.6% over the course of the extension study, again indicating sustained benefit from </w:t>
      </w:r>
      <w:proofErr w:type="spellStart"/>
      <w:r w:rsidRPr="00711182">
        <w:rPr>
          <w:szCs w:val="20"/>
        </w:rPr>
        <w:t>cladribine</w:t>
      </w:r>
      <w:proofErr w:type="spellEnd"/>
      <w:r w:rsidRPr="00711182">
        <w:rPr>
          <w:szCs w:val="20"/>
        </w:rPr>
        <w:t xml:space="preserve"> given only in the CLARITY study. The PBAC noted </w:t>
      </w:r>
      <w:r>
        <w:rPr>
          <w:szCs w:val="20"/>
        </w:rPr>
        <w:t xml:space="preserve">that </w:t>
      </w:r>
      <w:r w:rsidRPr="00711182">
        <w:rPr>
          <w:szCs w:val="20"/>
        </w:rPr>
        <w:t xml:space="preserve">consumers perceived </w:t>
      </w:r>
      <w:proofErr w:type="spellStart"/>
      <w:r w:rsidRPr="00711182">
        <w:rPr>
          <w:szCs w:val="20"/>
        </w:rPr>
        <w:t>cladribine</w:t>
      </w:r>
      <w:proofErr w:type="spellEnd"/>
      <w:r w:rsidRPr="00711182">
        <w:rPr>
          <w:szCs w:val="20"/>
        </w:rPr>
        <w:t xml:space="preserve"> as a medicine with a good safety profile and ease of administration.</w:t>
      </w:r>
      <w:r>
        <w:rPr>
          <w:szCs w:val="20"/>
        </w:rPr>
        <w:t xml:space="preserve"> Merck therefore remains committed to working with the PBAC to make sure that this important treatment option becomes available on the PBS for patients with RRMS.</w:t>
      </w:r>
      <w:bookmarkEnd w:id="0"/>
      <w:bookmarkEnd w:id="1"/>
      <w:bookmarkEnd w:id="2"/>
      <w:bookmarkEnd w:id="3"/>
      <w:bookmarkEnd w:id="4"/>
      <w:bookmarkEnd w:id="5"/>
      <w:bookmarkEnd w:id="6"/>
      <w:bookmarkEnd w:id="7"/>
    </w:p>
    <w:sectPr w:rsidR="001D125F" w:rsidRPr="001D125F" w:rsidSect="00EA448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4135B7" w15:done="0"/>
  <w15:commentEx w15:paraId="5D5613A9" w15:done="0"/>
  <w15:commentEx w15:paraId="01300FEF" w15:done="0"/>
  <w15:commentEx w15:paraId="6A15894A" w15:done="0"/>
  <w15:commentEx w15:paraId="1244DE6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E0B" w:rsidRDefault="00FD3E0B" w:rsidP="00BA3306">
      <w:pPr>
        <w:spacing w:before="0" w:after="0"/>
      </w:pPr>
      <w:r>
        <w:separator/>
      </w:r>
    </w:p>
  </w:endnote>
  <w:endnote w:type="continuationSeparator" w:id="0">
    <w:p w:rsidR="00FD3E0B" w:rsidRDefault="00FD3E0B" w:rsidP="00BA33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altName w:val="Calibr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E0B" w:rsidRDefault="00FD3E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139859"/>
      <w:docPartObj>
        <w:docPartGallery w:val="Page Numbers (Bottom of Page)"/>
        <w:docPartUnique/>
      </w:docPartObj>
    </w:sdtPr>
    <w:sdtEndPr>
      <w:rPr>
        <w:noProof/>
      </w:rPr>
    </w:sdtEndPr>
    <w:sdtContent>
      <w:p w:rsidR="008F5809" w:rsidRDefault="008F5809">
        <w:pPr>
          <w:pStyle w:val="Footer"/>
          <w:jc w:val="center"/>
        </w:pPr>
        <w:r>
          <w:fldChar w:fldCharType="begin"/>
        </w:r>
        <w:r>
          <w:instrText xml:space="preserve"> PAGE   \* MERGEFORMAT </w:instrText>
        </w:r>
        <w:r>
          <w:fldChar w:fldCharType="separate"/>
        </w:r>
        <w:r w:rsidR="008A0B2B">
          <w:rPr>
            <w:noProof/>
          </w:rPr>
          <w:t>1</w:t>
        </w:r>
        <w:r>
          <w:rPr>
            <w:noProof/>
          </w:rPr>
          <w:fldChar w:fldCharType="end"/>
        </w:r>
      </w:p>
    </w:sdtContent>
  </w:sdt>
  <w:p w:rsidR="008F5809" w:rsidRDefault="008F58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E0B" w:rsidRDefault="00FD3E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E0B" w:rsidRDefault="00FD3E0B" w:rsidP="00BA3306">
      <w:pPr>
        <w:spacing w:before="0" w:after="0"/>
      </w:pPr>
      <w:r>
        <w:separator/>
      </w:r>
    </w:p>
  </w:footnote>
  <w:footnote w:type="continuationSeparator" w:id="0">
    <w:p w:rsidR="00FD3E0B" w:rsidRDefault="00FD3E0B" w:rsidP="00BA3306">
      <w:pPr>
        <w:spacing w:before="0" w:after="0"/>
      </w:pPr>
      <w:r>
        <w:continuationSeparator/>
      </w:r>
    </w:p>
  </w:footnote>
  <w:footnote w:id="1">
    <w:p w:rsidR="008F5809" w:rsidRDefault="008F5809">
      <w:pPr>
        <w:pStyle w:val="FootnoteText"/>
      </w:pPr>
      <w:r>
        <w:rPr>
          <w:rStyle w:val="FootnoteReference"/>
        </w:rPr>
        <w:footnoteRef/>
      </w:r>
      <w:r>
        <w:t xml:space="preserve"> </w:t>
      </w:r>
      <w:r w:rsidRPr="00674858">
        <w:rPr>
          <w:rFonts w:ascii="Calibri" w:eastAsia="Calibri" w:hAnsi="Calibri" w:cs="Arial"/>
        </w:rPr>
        <w:t>The drug cost per patient per course, based on the maximum quantity of</w:t>
      </w:r>
      <w:r>
        <w:rPr>
          <w:rFonts w:ascii="Calibri" w:eastAsia="Calibri" w:hAnsi="Calibri" w:cs="Arial"/>
        </w:rPr>
        <w:t xml:space="preserve"> ten</w:t>
      </w:r>
      <w:r w:rsidRPr="00674858">
        <w:rPr>
          <w:rFonts w:ascii="Calibri" w:eastAsia="Calibri" w:hAnsi="Calibri" w:cs="Arial"/>
        </w:rPr>
        <w:t xml:space="preserve"> tablets for </w:t>
      </w:r>
      <w:r>
        <w:rPr>
          <w:rFonts w:ascii="Calibri" w:eastAsia="Calibri" w:hAnsi="Calibri" w:cs="Arial"/>
        </w:rPr>
        <w:t xml:space="preserve">the </w:t>
      </w:r>
      <w:proofErr w:type="spellStart"/>
      <w:r w:rsidRPr="00674858">
        <w:rPr>
          <w:rFonts w:ascii="Calibri" w:eastAsia="Calibri" w:hAnsi="Calibri" w:cs="Arial"/>
        </w:rPr>
        <w:t>cladribine</w:t>
      </w:r>
      <w:proofErr w:type="spellEnd"/>
      <w:r>
        <w:rPr>
          <w:rFonts w:ascii="Calibri" w:eastAsia="Calibri" w:hAnsi="Calibri" w:cs="Arial"/>
        </w:rPr>
        <w:t xml:space="preserve"> PBS listing as originally requested</w:t>
      </w:r>
      <w:r w:rsidRPr="00674858">
        <w:rPr>
          <w:rFonts w:ascii="Calibri" w:eastAsia="Calibri" w:hAnsi="Calibri" w:cs="Arial"/>
        </w:rPr>
        <w:t xml:space="preserve"> </w:t>
      </w:r>
      <w:r>
        <w:rPr>
          <w:rFonts w:ascii="Calibri" w:eastAsia="Calibri" w:hAnsi="Calibri" w:cs="Arial"/>
        </w:rPr>
        <w:t xml:space="preserve">in the submission, </w:t>
      </w:r>
      <w:r w:rsidRPr="00674858">
        <w:rPr>
          <w:rFonts w:ascii="Calibri" w:eastAsia="Calibri" w:hAnsi="Calibri" w:cs="Arial"/>
        </w:rPr>
        <w:t>and a DPMQ of $</w:t>
      </w:r>
      <w:r w:rsidR="00FD3E0B">
        <w:rPr>
          <w:rFonts w:ascii="Calibri" w:eastAsia="Calibri" w:hAnsi="Calibri" w:cs="Arial"/>
          <w:noProof/>
          <w:color w:val="000000"/>
          <w:highlight w:val="black"/>
        </w:rPr>
        <w:t>'''''''''''''''''''</w:t>
      </w:r>
      <w:r w:rsidRPr="00674858">
        <w:rPr>
          <w:rFonts w:ascii="Calibri" w:eastAsia="Calibri" w:hAnsi="Calibri" w:cs="Arial"/>
        </w:rPr>
        <w:t>, is $</w:t>
      </w:r>
      <w:r w:rsidR="00FD3E0B">
        <w:rPr>
          <w:rFonts w:ascii="Calibri" w:eastAsia="Calibri" w:hAnsi="Calibri" w:cs="Arial"/>
          <w:noProof/>
          <w:color w:val="000000"/>
          <w:highlight w:val="black"/>
        </w:rPr>
        <w:t>'''''''''''''''</w:t>
      </w:r>
      <w:r w:rsidRPr="00674858">
        <w:rPr>
          <w:rFonts w:ascii="Calibri" w:eastAsia="Calibri" w:hAnsi="Calibri" w:cs="Arial"/>
        </w:rPr>
        <w:t>.</w:t>
      </w:r>
      <w:r>
        <w:rPr>
          <w:rFonts w:ascii="Calibri" w:eastAsia="Calibri" w:hAnsi="Calibri" w:cs="Arial"/>
        </w:rPr>
        <w:t xml:space="preserve"> The PSCR (p3-4) welcomed the Secretariat’s suggestions to amend the proposed PBS listing to minimise issues with wastage and quality use of medicines. Therefore, the drug cost/patient/course in this Public Summary Document </w:t>
      </w:r>
      <w:proofErr w:type="gramStart"/>
      <w:r>
        <w:rPr>
          <w:rFonts w:ascii="Calibri" w:eastAsia="Calibri" w:hAnsi="Calibri" w:cs="Arial"/>
        </w:rPr>
        <w:t>has been revised</w:t>
      </w:r>
      <w:proofErr w:type="gramEnd"/>
      <w:r>
        <w:rPr>
          <w:rFonts w:ascii="Calibri" w:eastAsia="Calibri" w:hAnsi="Calibri" w:cs="Arial"/>
        </w:rPr>
        <w:t xml:space="preserve"> to reflect an average of seven tablets per patient, and to be consistent with the quantity of tablets that was applied in the cost minimisation analysis.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E0B" w:rsidRDefault="00FD3E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09" w:rsidRPr="00915D11" w:rsidRDefault="008F5809" w:rsidP="00081E02">
    <w:pPr>
      <w:pStyle w:val="Header"/>
      <w:tabs>
        <w:tab w:val="left" w:pos="1725"/>
        <w:tab w:val="left" w:pos="7725"/>
      </w:tabs>
      <w:jc w:val="center"/>
      <w:rPr>
        <w:rFonts w:ascii="Calibri" w:eastAsia="Calibri" w:hAnsi="Calibri" w:cs="Arial"/>
        <w:i/>
      </w:rPr>
    </w:pPr>
    <w:r>
      <w:rPr>
        <w:rFonts w:ascii="Calibri" w:eastAsia="Calibri" w:hAnsi="Calibri" w:cs="Arial"/>
        <w:i/>
      </w:rPr>
      <w:t>Public Summary Document</w:t>
    </w:r>
    <w:r w:rsidRPr="00915D11">
      <w:rPr>
        <w:rFonts w:ascii="Calibri" w:eastAsia="Calibri" w:hAnsi="Calibri" w:cs="Arial"/>
        <w:i/>
      </w:rPr>
      <w:t xml:space="preserve"> – November 2017 PBAC Meeting</w:t>
    </w:r>
  </w:p>
  <w:p w:rsidR="008F5809" w:rsidRPr="00915D11" w:rsidRDefault="008F5809" w:rsidP="00081E02">
    <w:pPr>
      <w:pStyle w:val="Header"/>
      <w:tabs>
        <w:tab w:val="left" w:pos="1575"/>
        <w:tab w:val="left" w:pos="1725"/>
        <w:tab w:val="left" w:pos="7725"/>
      </w:tabs>
      <w:jc w:val="center"/>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E0B" w:rsidRDefault="00FD3E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E6FF1"/>
    <w:multiLevelType w:val="hybridMultilevel"/>
    <w:tmpl w:val="918C2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B409BC"/>
    <w:multiLevelType w:val="hybridMultilevel"/>
    <w:tmpl w:val="3CC48FD8"/>
    <w:lvl w:ilvl="0" w:tplc="0C090001">
      <w:start w:val="1"/>
      <w:numFmt w:val="bullet"/>
      <w:lvlText w:val=""/>
      <w:lvlJc w:val="left"/>
      <w:pPr>
        <w:ind w:left="936" w:hanging="360"/>
      </w:pPr>
      <w:rPr>
        <w:rFonts w:ascii="Symbol" w:hAnsi="Symbol" w:hint="default"/>
      </w:rPr>
    </w:lvl>
    <w:lvl w:ilvl="1" w:tplc="0C090003" w:tentative="1">
      <w:start w:val="1"/>
      <w:numFmt w:val="bullet"/>
      <w:lvlText w:val="o"/>
      <w:lvlJc w:val="left"/>
      <w:pPr>
        <w:ind w:left="1656" w:hanging="360"/>
      </w:pPr>
      <w:rPr>
        <w:rFonts w:ascii="Courier New" w:hAnsi="Courier New" w:cs="Courier New" w:hint="default"/>
      </w:rPr>
    </w:lvl>
    <w:lvl w:ilvl="2" w:tplc="0C090005" w:tentative="1">
      <w:start w:val="1"/>
      <w:numFmt w:val="bullet"/>
      <w:lvlText w:val=""/>
      <w:lvlJc w:val="left"/>
      <w:pPr>
        <w:ind w:left="2376" w:hanging="360"/>
      </w:pPr>
      <w:rPr>
        <w:rFonts w:ascii="Wingdings" w:hAnsi="Wingdings" w:hint="default"/>
      </w:rPr>
    </w:lvl>
    <w:lvl w:ilvl="3" w:tplc="0C090001" w:tentative="1">
      <w:start w:val="1"/>
      <w:numFmt w:val="bullet"/>
      <w:lvlText w:val=""/>
      <w:lvlJc w:val="left"/>
      <w:pPr>
        <w:ind w:left="3096" w:hanging="360"/>
      </w:pPr>
      <w:rPr>
        <w:rFonts w:ascii="Symbol" w:hAnsi="Symbol" w:hint="default"/>
      </w:rPr>
    </w:lvl>
    <w:lvl w:ilvl="4" w:tplc="0C090003" w:tentative="1">
      <w:start w:val="1"/>
      <w:numFmt w:val="bullet"/>
      <w:lvlText w:val="o"/>
      <w:lvlJc w:val="left"/>
      <w:pPr>
        <w:ind w:left="3816" w:hanging="360"/>
      </w:pPr>
      <w:rPr>
        <w:rFonts w:ascii="Courier New" w:hAnsi="Courier New" w:cs="Courier New" w:hint="default"/>
      </w:rPr>
    </w:lvl>
    <w:lvl w:ilvl="5" w:tplc="0C090005" w:tentative="1">
      <w:start w:val="1"/>
      <w:numFmt w:val="bullet"/>
      <w:lvlText w:val=""/>
      <w:lvlJc w:val="left"/>
      <w:pPr>
        <w:ind w:left="4536" w:hanging="360"/>
      </w:pPr>
      <w:rPr>
        <w:rFonts w:ascii="Wingdings" w:hAnsi="Wingdings" w:hint="default"/>
      </w:rPr>
    </w:lvl>
    <w:lvl w:ilvl="6" w:tplc="0C090001" w:tentative="1">
      <w:start w:val="1"/>
      <w:numFmt w:val="bullet"/>
      <w:lvlText w:val=""/>
      <w:lvlJc w:val="left"/>
      <w:pPr>
        <w:ind w:left="5256" w:hanging="360"/>
      </w:pPr>
      <w:rPr>
        <w:rFonts w:ascii="Symbol" w:hAnsi="Symbol" w:hint="default"/>
      </w:rPr>
    </w:lvl>
    <w:lvl w:ilvl="7" w:tplc="0C090003" w:tentative="1">
      <w:start w:val="1"/>
      <w:numFmt w:val="bullet"/>
      <w:lvlText w:val="o"/>
      <w:lvlJc w:val="left"/>
      <w:pPr>
        <w:ind w:left="5976" w:hanging="360"/>
      </w:pPr>
      <w:rPr>
        <w:rFonts w:ascii="Courier New" w:hAnsi="Courier New" w:cs="Courier New" w:hint="default"/>
      </w:rPr>
    </w:lvl>
    <w:lvl w:ilvl="8" w:tplc="0C090005" w:tentative="1">
      <w:start w:val="1"/>
      <w:numFmt w:val="bullet"/>
      <w:lvlText w:val=""/>
      <w:lvlJc w:val="left"/>
      <w:pPr>
        <w:ind w:left="6696" w:hanging="360"/>
      </w:pPr>
      <w:rPr>
        <w:rFonts w:ascii="Wingdings" w:hAnsi="Wingdings" w:hint="default"/>
      </w:rPr>
    </w:lvl>
  </w:abstractNum>
  <w:abstractNum w:abstractNumId="2">
    <w:nsid w:val="284E6825"/>
    <w:multiLevelType w:val="multilevel"/>
    <w:tmpl w:val="3AE4C8F2"/>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DE96E41"/>
    <w:multiLevelType w:val="hybridMultilevel"/>
    <w:tmpl w:val="1EDE8214"/>
    <w:lvl w:ilvl="0" w:tplc="0C090001">
      <w:start w:val="1"/>
      <w:numFmt w:val="bullet"/>
      <w:lvlText w:val=""/>
      <w:lvlJc w:val="left"/>
      <w:pPr>
        <w:ind w:left="936" w:hanging="360"/>
      </w:pPr>
      <w:rPr>
        <w:rFonts w:ascii="Symbol" w:hAnsi="Symbol" w:hint="default"/>
      </w:rPr>
    </w:lvl>
    <w:lvl w:ilvl="1" w:tplc="0C090003" w:tentative="1">
      <w:start w:val="1"/>
      <w:numFmt w:val="bullet"/>
      <w:lvlText w:val="o"/>
      <w:lvlJc w:val="left"/>
      <w:pPr>
        <w:ind w:left="1656" w:hanging="360"/>
      </w:pPr>
      <w:rPr>
        <w:rFonts w:ascii="Courier New" w:hAnsi="Courier New" w:cs="Courier New" w:hint="default"/>
      </w:rPr>
    </w:lvl>
    <w:lvl w:ilvl="2" w:tplc="0C090005" w:tentative="1">
      <w:start w:val="1"/>
      <w:numFmt w:val="bullet"/>
      <w:lvlText w:val=""/>
      <w:lvlJc w:val="left"/>
      <w:pPr>
        <w:ind w:left="2376" w:hanging="360"/>
      </w:pPr>
      <w:rPr>
        <w:rFonts w:ascii="Wingdings" w:hAnsi="Wingdings" w:hint="default"/>
      </w:rPr>
    </w:lvl>
    <w:lvl w:ilvl="3" w:tplc="0C090001" w:tentative="1">
      <w:start w:val="1"/>
      <w:numFmt w:val="bullet"/>
      <w:lvlText w:val=""/>
      <w:lvlJc w:val="left"/>
      <w:pPr>
        <w:ind w:left="3096" w:hanging="360"/>
      </w:pPr>
      <w:rPr>
        <w:rFonts w:ascii="Symbol" w:hAnsi="Symbol" w:hint="default"/>
      </w:rPr>
    </w:lvl>
    <w:lvl w:ilvl="4" w:tplc="0C090003" w:tentative="1">
      <w:start w:val="1"/>
      <w:numFmt w:val="bullet"/>
      <w:lvlText w:val="o"/>
      <w:lvlJc w:val="left"/>
      <w:pPr>
        <w:ind w:left="3816" w:hanging="360"/>
      </w:pPr>
      <w:rPr>
        <w:rFonts w:ascii="Courier New" w:hAnsi="Courier New" w:cs="Courier New" w:hint="default"/>
      </w:rPr>
    </w:lvl>
    <w:lvl w:ilvl="5" w:tplc="0C090005" w:tentative="1">
      <w:start w:val="1"/>
      <w:numFmt w:val="bullet"/>
      <w:lvlText w:val=""/>
      <w:lvlJc w:val="left"/>
      <w:pPr>
        <w:ind w:left="4536" w:hanging="360"/>
      </w:pPr>
      <w:rPr>
        <w:rFonts w:ascii="Wingdings" w:hAnsi="Wingdings" w:hint="default"/>
      </w:rPr>
    </w:lvl>
    <w:lvl w:ilvl="6" w:tplc="0C090001" w:tentative="1">
      <w:start w:val="1"/>
      <w:numFmt w:val="bullet"/>
      <w:lvlText w:val=""/>
      <w:lvlJc w:val="left"/>
      <w:pPr>
        <w:ind w:left="5256" w:hanging="360"/>
      </w:pPr>
      <w:rPr>
        <w:rFonts w:ascii="Symbol" w:hAnsi="Symbol" w:hint="default"/>
      </w:rPr>
    </w:lvl>
    <w:lvl w:ilvl="7" w:tplc="0C090003" w:tentative="1">
      <w:start w:val="1"/>
      <w:numFmt w:val="bullet"/>
      <w:lvlText w:val="o"/>
      <w:lvlJc w:val="left"/>
      <w:pPr>
        <w:ind w:left="5976" w:hanging="360"/>
      </w:pPr>
      <w:rPr>
        <w:rFonts w:ascii="Courier New" w:hAnsi="Courier New" w:cs="Courier New" w:hint="default"/>
      </w:rPr>
    </w:lvl>
    <w:lvl w:ilvl="8" w:tplc="0C090005" w:tentative="1">
      <w:start w:val="1"/>
      <w:numFmt w:val="bullet"/>
      <w:lvlText w:val=""/>
      <w:lvlJc w:val="left"/>
      <w:pPr>
        <w:ind w:left="6696" w:hanging="360"/>
      </w:pPr>
      <w:rPr>
        <w:rFonts w:ascii="Wingdings" w:hAnsi="Wingdings" w:hint="default"/>
      </w:rPr>
    </w:lvl>
  </w:abstractNum>
  <w:abstractNum w:abstractNumId="5">
    <w:nsid w:val="3A0A58FC"/>
    <w:multiLevelType w:val="hybridMultilevel"/>
    <w:tmpl w:val="101EAB54"/>
    <w:lvl w:ilvl="0" w:tplc="0C090001">
      <w:start w:val="1"/>
      <w:numFmt w:val="bullet"/>
      <w:lvlText w:val=""/>
      <w:lvlJc w:val="left"/>
      <w:pPr>
        <w:ind w:left="936" w:hanging="360"/>
      </w:pPr>
      <w:rPr>
        <w:rFonts w:ascii="Symbol" w:hAnsi="Symbol" w:hint="default"/>
      </w:rPr>
    </w:lvl>
    <w:lvl w:ilvl="1" w:tplc="0C090003" w:tentative="1">
      <w:start w:val="1"/>
      <w:numFmt w:val="bullet"/>
      <w:lvlText w:val="o"/>
      <w:lvlJc w:val="left"/>
      <w:pPr>
        <w:ind w:left="1656" w:hanging="360"/>
      </w:pPr>
      <w:rPr>
        <w:rFonts w:ascii="Courier New" w:hAnsi="Courier New" w:cs="Courier New" w:hint="default"/>
      </w:rPr>
    </w:lvl>
    <w:lvl w:ilvl="2" w:tplc="0C090005" w:tentative="1">
      <w:start w:val="1"/>
      <w:numFmt w:val="bullet"/>
      <w:lvlText w:val=""/>
      <w:lvlJc w:val="left"/>
      <w:pPr>
        <w:ind w:left="2376" w:hanging="360"/>
      </w:pPr>
      <w:rPr>
        <w:rFonts w:ascii="Wingdings" w:hAnsi="Wingdings" w:hint="default"/>
      </w:rPr>
    </w:lvl>
    <w:lvl w:ilvl="3" w:tplc="0C090001" w:tentative="1">
      <w:start w:val="1"/>
      <w:numFmt w:val="bullet"/>
      <w:lvlText w:val=""/>
      <w:lvlJc w:val="left"/>
      <w:pPr>
        <w:ind w:left="3096" w:hanging="360"/>
      </w:pPr>
      <w:rPr>
        <w:rFonts w:ascii="Symbol" w:hAnsi="Symbol" w:hint="default"/>
      </w:rPr>
    </w:lvl>
    <w:lvl w:ilvl="4" w:tplc="0C090003" w:tentative="1">
      <w:start w:val="1"/>
      <w:numFmt w:val="bullet"/>
      <w:lvlText w:val="o"/>
      <w:lvlJc w:val="left"/>
      <w:pPr>
        <w:ind w:left="3816" w:hanging="360"/>
      </w:pPr>
      <w:rPr>
        <w:rFonts w:ascii="Courier New" w:hAnsi="Courier New" w:cs="Courier New" w:hint="default"/>
      </w:rPr>
    </w:lvl>
    <w:lvl w:ilvl="5" w:tplc="0C090005" w:tentative="1">
      <w:start w:val="1"/>
      <w:numFmt w:val="bullet"/>
      <w:lvlText w:val=""/>
      <w:lvlJc w:val="left"/>
      <w:pPr>
        <w:ind w:left="4536" w:hanging="360"/>
      </w:pPr>
      <w:rPr>
        <w:rFonts w:ascii="Wingdings" w:hAnsi="Wingdings" w:hint="default"/>
      </w:rPr>
    </w:lvl>
    <w:lvl w:ilvl="6" w:tplc="0C090001" w:tentative="1">
      <w:start w:val="1"/>
      <w:numFmt w:val="bullet"/>
      <w:lvlText w:val=""/>
      <w:lvlJc w:val="left"/>
      <w:pPr>
        <w:ind w:left="5256" w:hanging="360"/>
      </w:pPr>
      <w:rPr>
        <w:rFonts w:ascii="Symbol" w:hAnsi="Symbol" w:hint="default"/>
      </w:rPr>
    </w:lvl>
    <w:lvl w:ilvl="7" w:tplc="0C090003" w:tentative="1">
      <w:start w:val="1"/>
      <w:numFmt w:val="bullet"/>
      <w:lvlText w:val="o"/>
      <w:lvlJc w:val="left"/>
      <w:pPr>
        <w:ind w:left="5976" w:hanging="360"/>
      </w:pPr>
      <w:rPr>
        <w:rFonts w:ascii="Courier New" w:hAnsi="Courier New" w:cs="Courier New" w:hint="default"/>
      </w:rPr>
    </w:lvl>
    <w:lvl w:ilvl="8" w:tplc="0C090005" w:tentative="1">
      <w:start w:val="1"/>
      <w:numFmt w:val="bullet"/>
      <w:lvlText w:val=""/>
      <w:lvlJc w:val="left"/>
      <w:pPr>
        <w:ind w:left="6696" w:hanging="360"/>
      </w:pPr>
      <w:rPr>
        <w:rFonts w:ascii="Wingdings" w:hAnsi="Wingdings" w:hint="default"/>
      </w:rPr>
    </w:lvl>
  </w:abstractNum>
  <w:abstractNum w:abstractNumId="6">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F725862"/>
    <w:multiLevelType w:val="hybridMultilevel"/>
    <w:tmpl w:val="64CE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D52B17"/>
    <w:multiLevelType w:val="hybridMultilevel"/>
    <w:tmpl w:val="BC302C96"/>
    <w:lvl w:ilvl="0" w:tplc="0C090001">
      <w:start w:val="1"/>
      <w:numFmt w:val="bullet"/>
      <w:lvlText w:val=""/>
      <w:lvlJc w:val="left"/>
      <w:pPr>
        <w:ind w:left="936" w:hanging="360"/>
      </w:pPr>
      <w:rPr>
        <w:rFonts w:ascii="Symbol" w:hAnsi="Symbol" w:hint="default"/>
      </w:rPr>
    </w:lvl>
    <w:lvl w:ilvl="1" w:tplc="0C090003">
      <w:start w:val="1"/>
      <w:numFmt w:val="bullet"/>
      <w:lvlText w:val="o"/>
      <w:lvlJc w:val="left"/>
      <w:pPr>
        <w:ind w:left="1656" w:hanging="360"/>
      </w:pPr>
      <w:rPr>
        <w:rFonts w:ascii="Courier New" w:hAnsi="Courier New" w:cs="Courier New" w:hint="default"/>
      </w:rPr>
    </w:lvl>
    <w:lvl w:ilvl="2" w:tplc="0C090005" w:tentative="1">
      <w:start w:val="1"/>
      <w:numFmt w:val="bullet"/>
      <w:lvlText w:val=""/>
      <w:lvlJc w:val="left"/>
      <w:pPr>
        <w:ind w:left="2376" w:hanging="360"/>
      </w:pPr>
      <w:rPr>
        <w:rFonts w:ascii="Wingdings" w:hAnsi="Wingdings" w:hint="default"/>
      </w:rPr>
    </w:lvl>
    <w:lvl w:ilvl="3" w:tplc="0C090001" w:tentative="1">
      <w:start w:val="1"/>
      <w:numFmt w:val="bullet"/>
      <w:lvlText w:val=""/>
      <w:lvlJc w:val="left"/>
      <w:pPr>
        <w:ind w:left="3096" w:hanging="360"/>
      </w:pPr>
      <w:rPr>
        <w:rFonts w:ascii="Symbol" w:hAnsi="Symbol" w:hint="default"/>
      </w:rPr>
    </w:lvl>
    <w:lvl w:ilvl="4" w:tplc="0C090003" w:tentative="1">
      <w:start w:val="1"/>
      <w:numFmt w:val="bullet"/>
      <w:lvlText w:val="o"/>
      <w:lvlJc w:val="left"/>
      <w:pPr>
        <w:ind w:left="3816" w:hanging="360"/>
      </w:pPr>
      <w:rPr>
        <w:rFonts w:ascii="Courier New" w:hAnsi="Courier New" w:cs="Courier New" w:hint="default"/>
      </w:rPr>
    </w:lvl>
    <w:lvl w:ilvl="5" w:tplc="0C090005" w:tentative="1">
      <w:start w:val="1"/>
      <w:numFmt w:val="bullet"/>
      <w:lvlText w:val=""/>
      <w:lvlJc w:val="left"/>
      <w:pPr>
        <w:ind w:left="4536" w:hanging="360"/>
      </w:pPr>
      <w:rPr>
        <w:rFonts w:ascii="Wingdings" w:hAnsi="Wingdings" w:hint="default"/>
      </w:rPr>
    </w:lvl>
    <w:lvl w:ilvl="6" w:tplc="0C090001" w:tentative="1">
      <w:start w:val="1"/>
      <w:numFmt w:val="bullet"/>
      <w:lvlText w:val=""/>
      <w:lvlJc w:val="left"/>
      <w:pPr>
        <w:ind w:left="5256" w:hanging="360"/>
      </w:pPr>
      <w:rPr>
        <w:rFonts w:ascii="Symbol" w:hAnsi="Symbol" w:hint="default"/>
      </w:rPr>
    </w:lvl>
    <w:lvl w:ilvl="7" w:tplc="0C090003" w:tentative="1">
      <w:start w:val="1"/>
      <w:numFmt w:val="bullet"/>
      <w:lvlText w:val="o"/>
      <w:lvlJc w:val="left"/>
      <w:pPr>
        <w:ind w:left="5976" w:hanging="360"/>
      </w:pPr>
      <w:rPr>
        <w:rFonts w:ascii="Courier New" w:hAnsi="Courier New" w:cs="Courier New" w:hint="default"/>
      </w:rPr>
    </w:lvl>
    <w:lvl w:ilvl="8" w:tplc="0C090005" w:tentative="1">
      <w:start w:val="1"/>
      <w:numFmt w:val="bullet"/>
      <w:lvlText w:val=""/>
      <w:lvlJc w:val="left"/>
      <w:pPr>
        <w:ind w:left="6696" w:hanging="360"/>
      </w:pPr>
      <w:rPr>
        <w:rFonts w:ascii="Wingdings" w:hAnsi="Wingdings" w:hint="default"/>
      </w:rPr>
    </w:lvl>
  </w:abstractNum>
  <w:abstractNum w:abstractNumId="12">
    <w:nsid w:val="774315F9"/>
    <w:multiLevelType w:val="hybridMultilevel"/>
    <w:tmpl w:val="E87A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4D033C"/>
    <w:multiLevelType w:val="multilevel"/>
    <w:tmpl w:val="13CA770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7FB46D42"/>
    <w:multiLevelType w:val="hybridMultilevel"/>
    <w:tmpl w:val="7A7C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3"/>
  </w:num>
  <w:num w:numId="4">
    <w:abstractNumId w:val="3"/>
  </w:num>
  <w:num w:numId="5">
    <w:abstractNumId w:val="9"/>
  </w:num>
  <w:num w:numId="6">
    <w:abstractNumId w:val="10"/>
  </w:num>
  <w:num w:numId="7">
    <w:abstractNumId w:val="12"/>
  </w:num>
  <w:num w:numId="8">
    <w:abstractNumId w:val="11"/>
  </w:num>
  <w:num w:numId="9">
    <w:abstractNumId w:val="7"/>
  </w:num>
  <w:num w:numId="10">
    <w:abstractNumId w:val="4"/>
  </w:num>
  <w:num w:numId="11">
    <w:abstractNumId w:val="5"/>
  </w:num>
  <w:num w:numId="12">
    <w:abstractNumId w:val="1"/>
  </w:num>
  <w:num w:numId="13">
    <w:abstractNumId w:val="0"/>
  </w:num>
  <w:num w:numId="14">
    <w:abstractNumId w:val="14"/>
  </w:num>
  <w:num w:numId="15">
    <w:abstractNumId w:val="8"/>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opher Etherton-Beer">
    <w15:presenceInfo w15:providerId="AD" w15:userId="S-1-5-21-905479342-1514983418-1536837410-1935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29"/>
    <w:rsid w:val="00001AB4"/>
    <w:rsid w:val="000046E2"/>
    <w:rsid w:val="00006334"/>
    <w:rsid w:val="000100E9"/>
    <w:rsid w:val="0001066F"/>
    <w:rsid w:val="00013222"/>
    <w:rsid w:val="00014227"/>
    <w:rsid w:val="00017D10"/>
    <w:rsid w:val="00020660"/>
    <w:rsid w:val="0002095B"/>
    <w:rsid w:val="00022C8C"/>
    <w:rsid w:val="000307D9"/>
    <w:rsid w:val="00030A2A"/>
    <w:rsid w:val="00032267"/>
    <w:rsid w:val="00032B7B"/>
    <w:rsid w:val="00032E1F"/>
    <w:rsid w:val="00034404"/>
    <w:rsid w:val="00035BEB"/>
    <w:rsid w:val="00036F4C"/>
    <w:rsid w:val="00037A53"/>
    <w:rsid w:val="00037AFA"/>
    <w:rsid w:val="00037B70"/>
    <w:rsid w:val="00043976"/>
    <w:rsid w:val="00043A11"/>
    <w:rsid w:val="0004428B"/>
    <w:rsid w:val="000452A5"/>
    <w:rsid w:val="000461CF"/>
    <w:rsid w:val="000507A1"/>
    <w:rsid w:val="00055DA2"/>
    <w:rsid w:val="000579B5"/>
    <w:rsid w:val="00057F71"/>
    <w:rsid w:val="000608C7"/>
    <w:rsid w:val="00060FB5"/>
    <w:rsid w:val="00062067"/>
    <w:rsid w:val="00065C62"/>
    <w:rsid w:val="00065CDE"/>
    <w:rsid w:val="00065F4A"/>
    <w:rsid w:val="0007317F"/>
    <w:rsid w:val="00075B42"/>
    <w:rsid w:val="00075CED"/>
    <w:rsid w:val="0007644E"/>
    <w:rsid w:val="00080FF3"/>
    <w:rsid w:val="00081A31"/>
    <w:rsid w:val="00081E02"/>
    <w:rsid w:val="000847FE"/>
    <w:rsid w:val="0008569B"/>
    <w:rsid w:val="00086133"/>
    <w:rsid w:val="00086DE9"/>
    <w:rsid w:val="000A15EF"/>
    <w:rsid w:val="000A212C"/>
    <w:rsid w:val="000A2694"/>
    <w:rsid w:val="000A2EF1"/>
    <w:rsid w:val="000A4EA9"/>
    <w:rsid w:val="000A6004"/>
    <w:rsid w:val="000A6FBD"/>
    <w:rsid w:val="000A7EF8"/>
    <w:rsid w:val="000B160F"/>
    <w:rsid w:val="000B194C"/>
    <w:rsid w:val="000B2047"/>
    <w:rsid w:val="000B34A4"/>
    <w:rsid w:val="000B56CD"/>
    <w:rsid w:val="000B6B69"/>
    <w:rsid w:val="000C0142"/>
    <w:rsid w:val="000C10DE"/>
    <w:rsid w:val="000C4E61"/>
    <w:rsid w:val="000C5A3F"/>
    <w:rsid w:val="000C6470"/>
    <w:rsid w:val="000C6A40"/>
    <w:rsid w:val="000C6A75"/>
    <w:rsid w:val="000D0023"/>
    <w:rsid w:val="000D2204"/>
    <w:rsid w:val="000D2E92"/>
    <w:rsid w:val="000D452F"/>
    <w:rsid w:val="000D6131"/>
    <w:rsid w:val="000E507D"/>
    <w:rsid w:val="000E74D7"/>
    <w:rsid w:val="000F0AF3"/>
    <w:rsid w:val="000F22F2"/>
    <w:rsid w:val="000F2534"/>
    <w:rsid w:val="000F3652"/>
    <w:rsid w:val="000F7489"/>
    <w:rsid w:val="0010279F"/>
    <w:rsid w:val="0010309C"/>
    <w:rsid w:val="00104401"/>
    <w:rsid w:val="00106F90"/>
    <w:rsid w:val="0011140D"/>
    <w:rsid w:val="00111F6E"/>
    <w:rsid w:val="00115234"/>
    <w:rsid w:val="001155A8"/>
    <w:rsid w:val="00116799"/>
    <w:rsid w:val="00120B98"/>
    <w:rsid w:val="00121B56"/>
    <w:rsid w:val="00124777"/>
    <w:rsid w:val="00126470"/>
    <w:rsid w:val="0012701F"/>
    <w:rsid w:val="001279AE"/>
    <w:rsid w:val="00127F65"/>
    <w:rsid w:val="0013092C"/>
    <w:rsid w:val="00131F83"/>
    <w:rsid w:val="00135096"/>
    <w:rsid w:val="00136440"/>
    <w:rsid w:val="00136E76"/>
    <w:rsid w:val="001422D1"/>
    <w:rsid w:val="00143909"/>
    <w:rsid w:val="001468C6"/>
    <w:rsid w:val="00146C47"/>
    <w:rsid w:val="0015210A"/>
    <w:rsid w:val="001531FE"/>
    <w:rsid w:val="00154574"/>
    <w:rsid w:val="0015614C"/>
    <w:rsid w:val="00156A20"/>
    <w:rsid w:val="00161841"/>
    <w:rsid w:val="00161BEE"/>
    <w:rsid w:val="001638C1"/>
    <w:rsid w:val="00165A49"/>
    <w:rsid w:val="00167A2E"/>
    <w:rsid w:val="00171022"/>
    <w:rsid w:val="001722AD"/>
    <w:rsid w:val="00173577"/>
    <w:rsid w:val="0017638E"/>
    <w:rsid w:val="00176804"/>
    <w:rsid w:val="00176942"/>
    <w:rsid w:val="00176AA5"/>
    <w:rsid w:val="0017720E"/>
    <w:rsid w:val="00177893"/>
    <w:rsid w:val="00182F02"/>
    <w:rsid w:val="00184221"/>
    <w:rsid w:val="00186307"/>
    <w:rsid w:val="00186EBC"/>
    <w:rsid w:val="001875FC"/>
    <w:rsid w:val="00187777"/>
    <w:rsid w:val="00192699"/>
    <w:rsid w:val="00193071"/>
    <w:rsid w:val="001942F9"/>
    <w:rsid w:val="00195682"/>
    <w:rsid w:val="001957ED"/>
    <w:rsid w:val="00195DA4"/>
    <w:rsid w:val="00196F4D"/>
    <w:rsid w:val="00197A98"/>
    <w:rsid w:val="001A0142"/>
    <w:rsid w:val="001A02B2"/>
    <w:rsid w:val="001A3554"/>
    <w:rsid w:val="001A47AA"/>
    <w:rsid w:val="001B00CE"/>
    <w:rsid w:val="001B10FF"/>
    <w:rsid w:val="001B1B61"/>
    <w:rsid w:val="001B3FB4"/>
    <w:rsid w:val="001B5F9C"/>
    <w:rsid w:val="001B6389"/>
    <w:rsid w:val="001C04CC"/>
    <w:rsid w:val="001C051E"/>
    <w:rsid w:val="001C4192"/>
    <w:rsid w:val="001C505A"/>
    <w:rsid w:val="001D10DA"/>
    <w:rsid w:val="001D125F"/>
    <w:rsid w:val="001D384C"/>
    <w:rsid w:val="001D4586"/>
    <w:rsid w:val="001D4C96"/>
    <w:rsid w:val="001D5DE3"/>
    <w:rsid w:val="001D7550"/>
    <w:rsid w:val="001E1C60"/>
    <w:rsid w:val="001E3435"/>
    <w:rsid w:val="001E35F3"/>
    <w:rsid w:val="001E4361"/>
    <w:rsid w:val="001E4925"/>
    <w:rsid w:val="001E5918"/>
    <w:rsid w:val="001E6390"/>
    <w:rsid w:val="001E6545"/>
    <w:rsid w:val="001F073C"/>
    <w:rsid w:val="001F2912"/>
    <w:rsid w:val="001F42EC"/>
    <w:rsid w:val="001F53DF"/>
    <w:rsid w:val="001F6D9D"/>
    <w:rsid w:val="002001C6"/>
    <w:rsid w:val="00200296"/>
    <w:rsid w:val="002017FA"/>
    <w:rsid w:val="00201ADB"/>
    <w:rsid w:val="0020459B"/>
    <w:rsid w:val="002058E5"/>
    <w:rsid w:val="00205E20"/>
    <w:rsid w:val="00207361"/>
    <w:rsid w:val="002077A4"/>
    <w:rsid w:val="00210FAA"/>
    <w:rsid w:val="002112F7"/>
    <w:rsid w:val="002114AC"/>
    <w:rsid w:val="00211578"/>
    <w:rsid w:val="0021246A"/>
    <w:rsid w:val="00214133"/>
    <w:rsid w:val="002234A6"/>
    <w:rsid w:val="0022491F"/>
    <w:rsid w:val="00225E3B"/>
    <w:rsid w:val="0023190A"/>
    <w:rsid w:val="00231D05"/>
    <w:rsid w:val="00233148"/>
    <w:rsid w:val="00233718"/>
    <w:rsid w:val="002409D6"/>
    <w:rsid w:val="00240F23"/>
    <w:rsid w:val="002425EA"/>
    <w:rsid w:val="00242EA0"/>
    <w:rsid w:val="00243685"/>
    <w:rsid w:val="00243E80"/>
    <w:rsid w:val="00244986"/>
    <w:rsid w:val="00244992"/>
    <w:rsid w:val="00250338"/>
    <w:rsid w:val="00252FF3"/>
    <w:rsid w:val="002537DA"/>
    <w:rsid w:val="0025437A"/>
    <w:rsid w:val="0025491F"/>
    <w:rsid w:val="0025613F"/>
    <w:rsid w:val="00256FFC"/>
    <w:rsid w:val="00261DC6"/>
    <w:rsid w:val="00262AD1"/>
    <w:rsid w:val="002644A2"/>
    <w:rsid w:val="00264623"/>
    <w:rsid w:val="002669DF"/>
    <w:rsid w:val="00272110"/>
    <w:rsid w:val="00273C92"/>
    <w:rsid w:val="00274E5F"/>
    <w:rsid w:val="00275FAE"/>
    <w:rsid w:val="00277FC4"/>
    <w:rsid w:val="00280B5B"/>
    <w:rsid w:val="00281A3C"/>
    <w:rsid w:val="00282D1F"/>
    <w:rsid w:val="002836DF"/>
    <w:rsid w:val="00285A1A"/>
    <w:rsid w:val="00290F84"/>
    <w:rsid w:val="002928F4"/>
    <w:rsid w:val="00296405"/>
    <w:rsid w:val="00296AE4"/>
    <w:rsid w:val="002A2B13"/>
    <w:rsid w:val="002A331F"/>
    <w:rsid w:val="002A4503"/>
    <w:rsid w:val="002A5079"/>
    <w:rsid w:val="002A662F"/>
    <w:rsid w:val="002A6F61"/>
    <w:rsid w:val="002A7B12"/>
    <w:rsid w:val="002B02A5"/>
    <w:rsid w:val="002B2168"/>
    <w:rsid w:val="002B42E9"/>
    <w:rsid w:val="002B462C"/>
    <w:rsid w:val="002B4941"/>
    <w:rsid w:val="002B5D74"/>
    <w:rsid w:val="002B715E"/>
    <w:rsid w:val="002B7ADB"/>
    <w:rsid w:val="002C122D"/>
    <w:rsid w:val="002C1D2F"/>
    <w:rsid w:val="002C2B52"/>
    <w:rsid w:val="002D190B"/>
    <w:rsid w:val="002D1C4D"/>
    <w:rsid w:val="002D2FCA"/>
    <w:rsid w:val="002D34C2"/>
    <w:rsid w:val="002D6396"/>
    <w:rsid w:val="002D6BB7"/>
    <w:rsid w:val="002D7823"/>
    <w:rsid w:val="002D7AE5"/>
    <w:rsid w:val="002E10AC"/>
    <w:rsid w:val="002E1A6E"/>
    <w:rsid w:val="002E256C"/>
    <w:rsid w:val="002E42FD"/>
    <w:rsid w:val="002E4C2D"/>
    <w:rsid w:val="002E4ED7"/>
    <w:rsid w:val="002E5DEA"/>
    <w:rsid w:val="002E724A"/>
    <w:rsid w:val="002E765A"/>
    <w:rsid w:val="002F0CC4"/>
    <w:rsid w:val="002F1C92"/>
    <w:rsid w:val="002F232F"/>
    <w:rsid w:val="002F29B7"/>
    <w:rsid w:val="002F311E"/>
    <w:rsid w:val="002F34F9"/>
    <w:rsid w:val="002F6CF8"/>
    <w:rsid w:val="002F71B8"/>
    <w:rsid w:val="0030057F"/>
    <w:rsid w:val="00301EA1"/>
    <w:rsid w:val="00302622"/>
    <w:rsid w:val="00302FCC"/>
    <w:rsid w:val="003049F1"/>
    <w:rsid w:val="00305795"/>
    <w:rsid w:val="003062AE"/>
    <w:rsid w:val="0030665D"/>
    <w:rsid w:val="00307698"/>
    <w:rsid w:val="00307D65"/>
    <w:rsid w:val="0031071E"/>
    <w:rsid w:val="003124F7"/>
    <w:rsid w:val="00315514"/>
    <w:rsid w:val="00320FF3"/>
    <w:rsid w:val="00322AE3"/>
    <w:rsid w:val="00323A9A"/>
    <w:rsid w:val="003271B5"/>
    <w:rsid w:val="00331E1E"/>
    <w:rsid w:val="00333AB9"/>
    <w:rsid w:val="00334ACF"/>
    <w:rsid w:val="00336EF3"/>
    <w:rsid w:val="00341A14"/>
    <w:rsid w:val="003423F1"/>
    <w:rsid w:val="00344CC5"/>
    <w:rsid w:val="00344DF2"/>
    <w:rsid w:val="00351381"/>
    <w:rsid w:val="003526B7"/>
    <w:rsid w:val="003530A6"/>
    <w:rsid w:val="00353627"/>
    <w:rsid w:val="00355F72"/>
    <w:rsid w:val="00357525"/>
    <w:rsid w:val="00357657"/>
    <w:rsid w:val="003639A6"/>
    <w:rsid w:val="0036589E"/>
    <w:rsid w:val="00365F40"/>
    <w:rsid w:val="003679AE"/>
    <w:rsid w:val="00367F17"/>
    <w:rsid w:val="00371961"/>
    <w:rsid w:val="003725D2"/>
    <w:rsid w:val="00374BC7"/>
    <w:rsid w:val="0038065B"/>
    <w:rsid w:val="0038212E"/>
    <w:rsid w:val="0038281C"/>
    <w:rsid w:val="003834C4"/>
    <w:rsid w:val="003837CB"/>
    <w:rsid w:val="003851FE"/>
    <w:rsid w:val="00385A64"/>
    <w:rsid w:val="00385BF0"/>
    <w:rsid w:val="00385EDD"/>
    <w:rsid w:val="00386D1A"/>
    <w:rsid w:val="003903CD"/>
    <w:rsid w:val="0039257A"/>
    <w:rsid w:val="00396B84"/>
    <w:rsid w:val="00397170"/>
    <w:rsid w:val="003A033F"/>
    <w:rsid w:val="003A0AF0"/>
    <w:rsid w:val="003A0BF3"/>
    <w:rsid w:val="003A1563"/>
    <w:rsid w:val="003A3076"/>
    <w:rsid w:val="003A3433"/>
    <w:rsid w:val="003A3B0B"/>
    <w:rsid w:val="003A4AD9"/>
    <w:rsid w:val="003A5148"/>
    <w:rsid w:val="003A537E"/>
    <w:rsid w:val="003A660F"/>
    <w:rsid w:val="003A762B"/>
    <w:rsid w:val="003B04EA"/>
    <w:rsid w:val="003B095E"/>
    <w:rsid w:val="003B2EBD"/>
    <w:rsid w:val="003B41C5"/>
    <w:rsid w:val="003C0BF9"/>
    <w:rsid w:val="003C0EAF"/>
    <w:rsid w:val="003C1A9F"/>
    <w:rsid w:val="003C321F"/>
    <w:rsid w:val="003C4865"/>
    <w:rsid w:val="003C5B15"/>
    <w:rsid w:val="003C5F28"/>
    <w:rsid w:val="003D0E11"/>
    <w:rsid w:val="003D0E1D"/>
    <w:rsid w:val="003D11A9"/>
    <w:rsid w:val="003D2A37"/>
    <w:rsid w:val="003D2D89"/>
    <w:rsid w:val="003D535E"/>
    <w:rsid w:val="003D69EF"/>
    <w:rsid w:val="003D7B5D"/>
    <w:rsid w:val="003D7F8C"/>
    <w:rsid w:val="003E0EDB"/>
    <w:rsid w:val="003E6475"/>
    <w:rsid w:val="003F0130"/>
    <w:rsid w:val="003F105A"/>
    <w:rsid w:val="003F1249"/>
    <w:rsid w:val="003F283D"/>
    <w:rsid w:val="003F3CAA"/>
    <w:rsid w:val="003F48FB"/>
    <w:rsid w:val="003F4918"/>
    <w:rsid w:val="003F5222"/>
    <w:rsid w:val="003F6199"/>
    <w:rsid w:val="003F6331"/>
    <w:rsid w:val="0040150F"/>
    <w:rsid w:val="004033BF"/>
    <w:rsid w:val="00406E0B"/>
    <w:rsid w:val="00413223"/>
    <w:rsid w:val="00421450"/>
    <w:rsid w:val="00421556"/>
    <w:rsid w:val="00423757"/>
    <w:rsid w:val="004244F6"/>
    <w:rsid w:val="00427A0D"/>
    <w:rsid w:val="00427E55"/>
    <w:rsid w:val="00431E48"/>
    <w:rsid w:val="00432993"/>
    <w:rsid w:val="00434C4C"/>
    <w:rsid w:val="00437BB5"/>
    <w:rsid w:val="00440492"/>
    <w:rsid w:val="00443A20"/>
    <w:rsid w:val="00444F5B"/>
    <w:rsid w:val="004457DC"/>
    <w:rsid w:val="00452E21"/>
    <w:rsid w:val="00452FBE"/>
    <w:rsid w:val="00453065"/>
    <w:rsid w:val="0045313D"/>
    <w:rsid w:val="00453BAE"/>
    <w:rsid w:val="00453D59"/>
    <w:rsid w:val="00454493"/>
    <w:rsid w:val="004609DE"/>
    <w:rsid w:val="004619BB"/>
    <w:rsid w:val="00461CF4"/>
    <w:rsid w:val="00463027"/>
    <w:rsid w:val="00465643"/>
    <w:rsid w:val="00465973"/>
    <w:rsid w:val="00465D3F"/>
    <w:rsid w:val="0046621E"/>
    <w:rsid w:val="004662FA"/>
    <w:rsid w:val="00470687"/>
    <w:rsid w:val="00470C6A"/>
    <w:rsid w:val="00472D4D"/>
    <w:rsid w:val="004738F2"/>
    <w:rsid w:val="0047718A"/>
    <w:rsid w:val="004807B5"/>
    <w:rsid w:val="0048566D"/>
    <w:rsid w:val="00486CC1"/>
    <w:rsid w:val="004919DD"/>
    <w:rsid w:val="00492C1E"/>
    <w:rsid w:val="00494F7C"/>
    <w:rsid w:val="00495E5C"/>
    <w:rsid w:val="00496E25"/>
    <w:rsid w:val="004A2DF5"/>
    <w:rsid w:val="004A3E03"/>
    <w:rsid w:val="004A490C"/>
    <w:rsid w:val="004A4EF3"/>
    <w:rsid w:val="004B0868"/>
    <w:rsid w:val="004B1A18"/>
    <w:rsid w:val="004B1EB0"/>
    <w:rsid w:val="004B34C4"/>
    <w:rsid w:val="004B391B"/>
    <w:rsid w:val="004B3C00"/>
    <w:rsid w:val="004B6A0A"/>
    <w:rsid w:val="004C1A21"/>
    <w:rsid w:val="004C4BB7"/>
    <w:rsid w:val="004C5803"/>
    <w:rsid w:val="004C6B67"/>
    <w:rsid w:val="004C781F"/>
    <w:rsid w:val="004D1006"/>
    <w:rsid w:val="004D2DF8"/>
    <w:rsid w:val="004D3FE4"/>
    <w:rsid w:val="004D45DF"/>
    <w:rsid w:val="004D63DD"/>
    <w:rsid w:val="004D6FA2"/>
    <w:rsid w:val="004D794D"/>
    <w:rsid w:val="004E0C0B"/>
    <w:rsid w:val="004E0C19"/>
    <w:rsid w:val="004E1C3B"/>
    <w:rsid w:val="004E2125"/>
    <w:rsid w:val="004E5FAF"/>
    <w:rsid w:val="004E74FE"/>
    <w:rsid w:val="004F084B"/>
    <w:rsid w:val="004F22D0"/>
    <w:rsid w:val="004F35AB"/>
    <w:rsid w:val="004F3688"/>
    <w:rsid w:val="004F3AAE"/>
    <w:rsid w:val="004F4415"/>
    <w:rsid w:val="004F4B52"/>
    <w:rsid w:val="004F4BDE"/>
    <w:rsid w:val="004F558A"/>
    <w:rsid w:val="004F5DEC"/>
    <w:rsid w:val="004F6163"/>
    <w:rsid w:val="004F65A5"/>
    <w:rsid w:val="004F7CAC"/>
    <w:rsid w:val="00500ECB"/>
    <w:rsid w:val="00503D1C"/>
    <w:rsid w:val="00504D4F"/>
    <w:rsid w:val="00507713"/>
    <w:rsid w:val="00511320"/>
    <w:rsid w:val="005117FA"/>
    <w:rsid w:val="00511CC5"/>
    <w:rsid w:val="0051330F"/>
    <w:rsid w:val="00513CB8"/>
    <w:rsid w:val="005143F9"/>
    <w:rsid w:val="005150FB"/>
    <w:rsid w:val="00516566"/>
    <w:rsid w:val="005218C3"/>
    <w:rsid w:val="00522B63"/>
    <w:rsid w:val="0052491E"/>
    <w:rsid w:val="00525789"/>
    <w:rsid w:val="0052662A"/>
    <w:rsid w:val="00530F1C"/>
    <w:rsid w:val="00531C11"/>
    <w:rsid w:val="00535C74"/>
    <w:rsid w:val="005361AB"/>
    <w:rsid w:val="00537797"/>
    <w:rsid w:val="00541D43"/>
    <w:rsid w:val="00542068"/>
    <w:rsid w:val="00542659"/>
    <w:rsid w:val="005430B8"/>
    <w:rsid w:val="00543AF9"/>
    <w:rsid w:val="00545242"/>
    <w:rsid w:val="00546CA1"/>
    <w:rsid w:val="0054792A"/>
    <w:rsid w:val="0055058A"/>
    <w:rsid w:val="00550D1B"/>
    <w:rsid w:val="00552CFE"/>
    <w:rsid w:val="0055532F"/>
    <w:rsid w:val="005558A9"/>
    <w:rsid w:val="00556E5C"/>
    <w:rsid w:val="00561280"/>
    <w:rsid w:val="00561D24"/>
    <w:rsid w:val="00562A8E"/>
    <w:rsid w:val="00562DF3"/>
    <w:rsid w:val="00562E63"/>
    <w:rsid w:val="00563093"/>
    <w:rsid w:val="0056680A"/>
    <w:rsid w:val="0056745C"/>
    <w:rsid w:val="00572DD6"/>
    <w:rsid w:val="00573D0B"/>
    <w:rsid w:val="0057553E"/>
    <w:rsid w:val="005761F6"/>
    <w:rsid w:val="00576ADE"/>
    <w:rsid w:val="00576BE5"/>
    <w:rsid w:val="00577756"/>
    <w:rsid w:val="00577CFD"/>
    <w:rsid w:val="00577DEF"/>
    <w:rsid w:val="00581358"/>
    <w:rsid w:val="005821A4"/>
    <w:rsid w:val="00583969"/>
    <w:rsid w:val="00584D24"/>
    <w:rsid w:val="00587023"/>
    <w:rsid w:val="005924A7"/>
    <w:rsid w:val="00593B46"/>
    <w:rsid w:val="005948F6"/>
    <w:rsid w:val="00596F03"/>
    <w:rsid w:val="00597126"/>
    <w:rsid w:val="00597972"/>
    <w:rsid w:val="005A744B"/>
    <w:rsid w:val="005B255D"/>
    <w:rsid w:val="005B3362"/>
    <w:rsid w:val="005B6236"/>
    <w:rsid w:val="005C00A6"/>
    <w:rsid w:val="005C0155"/>
    <w:rsid w:val="005C166A"/>
    <w:rsid w:val="005C3BD2"/>
    <w:rsid w:val="005C4397"/>
    <w:rsid w:val="005C4671"/>
    <w:rsid w:val="005C473F"/>
    <w:rsid w:val="005C6285"/>
    <w:rsid w:val="005C6FFF"/>
    <w:rsid w:val="005C7E7F"/>
    <w:rsid w:val="005D25C4"/>
    <w:rsid w:val="005D2CA3"/>
    <w:rsid w:val="005D4B54"/>
    <w:rsid w:val="005D5BA1"/>
    <w:rsid w:val="005D622E"/>
    <w:rsid w:val="005D674E"/>
    <w:rsid w:val="005E025E"/>
    <w:rsid w:val="005E2C5D"/>
    <w:rsid w:val="005E35DA"/>
    <w:rsid w:val="005E3663"/>
    <w:rsid w:val="005E49B2"/>
    <w:rsid w:val="005E6AD2"/>
    <w:rsid w:val="005F0AE8"/>
    <w:rsid w:val="005F2A6B"/>
    <w:rsid w:val="005F2E86"/>
    <w:rsid w:val="005F40C1"/>
    <w:rsid w:val="005F7206"/>
    <w:rsid w:val="005F7462"/>
    <w:rsid w:val="005F7D3B"/>
    <w:rsid w:val="006024D3"/>
    <w:rsid w:val="006028BA"/>
    <w:rsid w:val="00604104"/>
    <w:rsid w:val="0060433A"/>
    <w:rsid w:val="00606EF9"/>
    <w:rsid w:val="0060706A"/>
    <w:rsid w:val="006070C4"/>
    <w:rsid w:val="00607723"/>
    <w:rsid w:val="00607758"/>
    <w:rsid w:val="00610D5E"/>
    <w:rsid w:val="006110E8"/>
    <w:rsid w:val="00613467"/>
    <w:rsid w:val="00616E2A"/>
    <w:rsid w:val="006170C1"/>
    <w:rsid w:val="00624315"/>
    <w:rsid w:val="0062545B"/>
    <w:rsid w:val="0062552A"/>
    <w:rsid w:val="006270C1"/>
    <w:rsid w:val="00630122"/>
    <w:rsid w:val="00631C9E"/>
    <w:rsid w:val="006332BE"/>
    <w:rsid w:val="00636AF4"/>
    <w:rsid w:val="006408C3"/>
    <w:rsid w:val="00640CE1"/>
    <w:rsid w:val="00643B02"/>
    <w:rsid w:val="00643BAA"/>
    <w:rsid w:val="00643EC9"/>
    <w:rsid w:val="0064416D"/>
    <w:rsid w:val="00646014"/>
    <w:rsid w:val="0064620D"/>
    <w:rsid w:val="006510CD"/>
    <w:rsid w:val="006559E8"/>
    <w:rsid w:val="006564FA"/>
    <w:rsid w:val="00657754"/>
    <w:rsid w:val="00657ACB"/>
    <w:rsid w:val="00661017"/>
    <w:rsid w:val="00661286"/>
    <w:rsid w:val="00662DFF"/>
    <w:rsid w:val="0066423E"/>
    <w:rsid w:val="00664356"/>
    <w:rsid w:val="00664D5A"/>
    <w:rsid w:val="006677ED"/>
    <w:rsid w:val="00667C92"/>
    <w:rsid w:val="00672120"/>
    <w:rsid w:val="006732D2"/>
    <w:rsid w:val="00674858"/>
    <w:rsid w:val="00682CF5"/>
    <w:rsid w:val="006849B2"/>
    <w:rsid w:val="00685686"/>
    <w:rsid w:val="006905AB"/>
    <w:rsid w:val="00691913"/>
    <w:rsid w:val="00692DA8"/>
    <w:rsid w:val="00692FB3"/>
    <w:rsid w:val="00694744"/>
    <w:rsid w:val="00696B42"/>
    <w:rsid w:val="006A138B"/>
    <w:rsid w:val="006A227D"/>
    <w:rsid w:val="006A2539"/>
    <w:rsid w:val="006A423B"/>
    <w:rsid w:val="006A61F4"/>
    <w:rsid w:val="006A7172"/>
    <w:rsid w:val="006B140A"/>
    <w:rsid w:val="006B1B63"/>
    <w:rsid w:val="006B2DE6"/>
    <w:rsid w:val="006B3921"/>
    <w:rsid w:val="006B439C"/>
    <w:rsid w:val="006B6F94"/>
    <w:rsid w:val="006B7CC8"/>
    <w:rsid w:val="006C2D7B"/>
    <w:rsid w:val="006C4906"/>
    <w:rsid w:val="006C7967"/>
    <w:rsid w:val="006D3271"/>
    <w:rsid w:val="006D4B0F"/>
    <w:rsid w:val="006D6576"/>
    <w:rsid w:val="006D788F"/>
    <w:rsid w:val="006D7901"/>
    <w:rsid w:val="006E0C88"/>
    <w:rsid w:val="006E17F5"/>
    <w:rsid w:val="006E4168"/>
    <w:rsid w:val="006E4A4A"/>
    <w:rsid w:val="006E7302"/>
    <w:rsid w:val="006F15DB"/>
    <w:rsid w:val="006F161E"/>
    <w:rsid w:val="006F21CC"/>
    <w:rsid w:val="006F3840"/>
    <w:rsid w:val="006F6B03"/>
    <w:rsid w:val="006F731D"/>
    <w:rsid w:val="0070015F"/>
    <w:rsid w:val="00702665"/>
    <w:rsid w:val="00704239"/>
    <w:rsid w:val="00704B08"/>
    <w:rsid w:val="00705B58"/>
    <w:rsid w:val="00705BF5"/>
    <w:rsid w:val="00707082"/>
    <w:rsid w:val="00711603"/>
    <w:rsid w:val="0071262F"/>
    <w:rsid w:val="00712C73"/>
    <w:rsid w:val="007131B4"/>
    <w:rsid w:val="007132A4"/>
    <w:rsid w:val="00716BD1"/>
    <w:rsid w:val="00716E12"/>
    <w:rsid w:val="00720792"/>
    <w:rsid w:val="00723AB1"/>
    <w:rsid w:val="00723E1E"/>
    <w:rsid w:val="00725DA5"/>
    <w:rsid w:val="007267CC"/>
    <w:rsid w:val="00726EA2"/>
    <w:rsid w:val="007323C2"/>
    <w:rsid w:val="00733BE8"/>
    <w:rsid w:val="00734386"/>
    <w:rsid w:val="00735F72"/>
    <w:rsid w:val="00740386"/>
    <w:rsid w:val="00741EFA"/>
    <w:rsid w:val="00741FA8"/>
    <w:rsid w:val="00743C37"/>
    <w:rsid w:val="00744707"/>
    <w:rsid w:val="00744C96"/>
    <w:rsid w:val="00745323"/>
    <w:rsid w:val="00747333"/>
    <w:rsid w:val="007509A6"/>
    <w:rsid w:val="00750B5A"/>
    <w:rsid w:val="00751984"/>
    <w:rsid w:val="00752F21"/>
    <w:rsid w:val="00754064"/>
    <w:rsid w:val="007555FC"/>
    <w:rsid w:val="007615CB"/>
    <w:rsid w:val="007633B0"/>
    <w:rsid w:val="007635D6"/>
    <w:rsid w:val="007648D2"/>
    <w:rsid w:val="00770245"/>
    <w:rsid w:val="007715D2"/>
    <w:rsid w:val="00772501"/>
    <w:rsid w:val="00772C70"/>
    <w:rsid w:val="0077448E"/>
    <w:rsid w:val="00774FA5"/>
    <w:rsid w:val="00781670"/>
    <w:rsid w:val="00783B1F"/>
    <w:rsid w:val="007847FA"/>
    <w:rsid w:val="00785997"/>
    <w:rsid w:val="00790910"/>
    <w:rsid w:val="007919B2"/>
    <w:rsid w:val="00791BA9"/>
    <w:rsid w:val="00791DE1"/>
    <w:rsid w:val="00792915"/>
    <w:rsid w:val="00794C98"/>
    <w:rsid w:val="007967FD"/>
    <w:rsid w:val="007A0F88"/>
    <w:rsid w:val="007A3A8C"/>
    <w:rsid w:val="007A6527"/>
    <w:rsid w:val="007A77E0"/>
    <w:rsid w:val="007B0089"/>
    <w:rsid w:val="007B0E0C"/>
    <w:rsid w:val="007B15C2"/>
    <w:rsid w:val="007B6296"/>
    <w:rsid w:val="007C1331"/>
    <w:rsid w:val="007C26E5"/>
    <w:rsid w:val="007C41C0"/>
    <w:rsid w:val="007C61DD"/>
    <w:rsid w:val="007C6719"/>
    <w:rsid w:val="007C720A"/>
    <w:rsid w:val="007D08A8"/>
    <w:rsid w:val="007D1092"/>
    <w:rsid w:val="007D2621"/>
    <w:rsid w:val="007D45D1"/>
    <w:rsid w:val="007D52BC"/>
    <w:rsid w:val="007D6C42"/>
    <w:rsid w:val="007D7A6F"/>
    <w:rsid w:val="007E003C"/>
    <w:rsid w:val="007E0FEE"/>
    <w:rsid w:val="007E3562"/>
    <w:rsid w:val="007F08CA"/>
    <w:rsid w:val="007F12B3"/>
    <w:rsid w:val="007F15CA"/>
    <w:rsid w:val="007F2BA0"/>
    <w:rsid w:val="007F3417"/>
    <w:rsid w:val="007F3ADD"/>
    <w:rsid w:val="007F3B6E"/>
    <w:rsid w:val="007F4B47"/>
    <w:rsid w:val="007F5605"/>
    <w:rsid w:val="0080002E"/>
    <w:rsid w:val="0080218C"/>
    <w:rsid w:val="0080222A"/>
    <w:rsid w:val="008040EE"/>
    <w:rsid w:val="008048B0"/>
    <w:rsid w:val="008058E8"/>
    <w:rsid w:val="00805CDB"/>
    <w:rsid w:val="00806434"/>
    <w:rsid w:val="008102D6"/>
    <w:rsid w:val="0081131C"/>
    <w:rsid w:val="00811371"/>
    <w:rsid w:val="00813288"/>
    <w:rsid w:val="00814CB9"/>
    <w:rsid w:val="00814EB1"/>
    <w:rsid w:val="0081610B"/>
    <w:rsid w:val="00821A29"/>
    <w:rsid w:val="00823233"/>
    <w:rsid w:val="00823B65"/>
    <w:rsid w:val="00824426"/>
    <w:rsid w:val="00830E52"/>
    <w:rsid w:val="008324E3"/>
    <w:rsid w:val="00832637"/>
    <w:rsid w:val="00834C23"/>
    <w:rsid w:val="00834DD9"/>
    <w:rsid w:val="00836E8D"/>
    <w:rsid w:val="00837C26"/>
    <w:rsid w:val="00842C11"/>
    <w:rsid w:val="008432C2"/>
    <w:rsid w:val="008435A5"/>
    <w:rsid w:val="00844185"/>
    <w:rsid w:val="0084583F"/>
    <w:rsid w:val="00845946"/>
    <w:rsid w:val="008476A0"/>
    <w:rsid w:val="00852E6B"/>
    <w:rsid w:val="00852F38"/>
    <w:rsid w:val="00853A5A"/>
    <w:rsid w:val="00853FE7"/>
    <w:rsid w:val="00854C36"/>
    <w:rsid w:val="00855228"/>
    <w:rsid w:val="0085559C"/>
    <w:rsid w:val="00856140"/>
    <w:rsid w:val="00856C34"/>
    <w:rsid w:val="008627C4"/>
    <w:rsid w:val="008635AB"/>
    <w:rsid w:val="00864717"/>
    <w:rsid w:val="00864BCC"/>
    <w:rsid w:val="00865DC1"/>
    <w:rsid w:val="00867320"/>
    <w:rsid w:val="00870089"/>
    <w:rsid w:val="0087154C"/>
    <w:rsid w:val="00872DFD"/>
    <w:rsid w:val="008750F9"/>
    <w:rsid w:val="00875341"/>
    <w:rsid w:val="0087536F"/>
    <w:rsid w:val="00877181"/>
    <w:rsid w:val="008804AD"/>
    <w:rsid w:val="00880A40"/>
    <w:rsid w:val="00881750"/>
    <w:rsid w:val="00884EF6"/>
    <w:rsid w:val="008869F4"/>
    <w:rsid w:val="00887995"/>
    <w:rsid w:val="008930FF"/>
    <w:rsid w:val="00893EEF"/>
    <w:rsid w:val="00896120"/>
    <w:rsid w:val="008A0B2B"/>
    <w:rsid w:val="008A10CA"/>
    <w:rsid w:val="008A10E1"/>
    <w:rsid w:val="008A3C58"/>
    <w:rsid w:val="008A4880"/>
    <w:rsid w:val="008A52B1"/>
    <w:rsid w:val="008A7E87"/>
    <w:rsid w:val="008B34FE"/>
    <w:rsid w:val="008B36B3"/>
    <w:rsid w:val="008B5B32"/>
    <w:rsid w:val="008B6710"/>
    <w:rsid w:val="008B6CD8"/>
    <w:rsid w:val="008C007F"/>
    <w:rsid w:val="008C15BF"/>
    <w:rsid w:val="008C6739"/>
    <w:rsid w:val="008C72C1"/>
    <w:rsid w:val="008D0DBD"/>
    <w:rsid w:val="008D1A66"/>
    <w:rsid w:val="008D2735"/>
    <w:rsid w:val="008D34F7"/>
    <w:rsid w:val="008D4164"/>
    <w:rsid w:val="008D4E05"/>
    <w:rsid w:val="008D77C4"/>
    <w:rsid w:val="008D78FF"/>
    <w:rsid w:val="008E1D2A"/>
    <w:rsid w:val="008E3455"/>
    <w:rsid w:val="008E66B1"/>
    <w:rsid w:val="008F0517"/>
    <w:rsid w:val="008F3489"/>
    <w:rsid w:val="008F5809"/>
    <w:rsid w:val="008F6F17"/>
    <w:rsid w:val="00901EDA"/>
    <w:rsid w:val="00901FAD"/>
    <w:rsid w:val="009034E8"/>
    <w:rsid w:val="00904579"/>
    <w:rsid w:val="00914DA7"/>
    <w:rsid w:val="00914FBE"/>
    <w:rsid w:val="00915D11"/>
    <w:rsid w:val="00915F63"/>
    <w:rsid w:val="009177E9"/>
    <w:rsid w:val="00923AB1"/>
    <w:rsid w:val="00925817"/>
    <w:rsid w:val="0092606A"/>
    <w:rsid w:val="0092697A"/>
    <w:rsid w:val="00926DB9"/>
    <w:rsid w:val="00927B30"/>
    <w:rsid w:val="00927B97"/>
    <w:rsid w:val="0093039E"/>
    <w:rsid w:val="00932806"/>
    <w:rsid w:val="009331CF"/>
    <w:rsid w:val="009334AC"/>
    <w:rsid w:val="00935E88"/>
    <w:rsid w:val="00936265"/>
    <w:rsid w:val="0093675A"/>
    <w:rsid w:val="009405D9"/>
    <w:rsid w:val="00942010"/>
    <w:rsid w:val="00942BD8"/>
    <w:rsid w:val="0094320A"/>
    <w:rsid w:val="00944353"/>
    <w:rsid w:val="009472BC"/>
    <w:rsid w:val="0095000E"/>
    <w:rsid w:val="0095044D"/>
    <w:rsid w:val="0095170D"/>
    <w:rsid w:val="0095307F"/>
    <w:rsid w:val="00953992"/>
    <w:rsid w:val="0095545B"/>
    <w:rsid w:val="00955526"/>
    <w:rsid w:val="00955543"/>
    <w:rsid w:val="009555C9"/>
    <w:rsid w:val="00955D3C"/>
    <w:rsid w:val="00964001"/>
    <w:rsid w:val="009643E9"/>
    <w:rsid w:val="0096543C"/>
    <w:rsid w:val="009662C9"/>
    <w:rsid w:val="00966957"/>
    <w:rsid w:val="00966C09"/>
    <w:rsid w:val="009674F3"/>
    <w:rsid w:val="00972E3C"/>
    <w:rsid w:val="00976E05"/>
    <w:rsid w:val="009813A5"/>
    <w:rsid w:val="00981422"/>
    <w:rsid w:val="009818C6"/>
    <w:rsid w:val="00981EB9"/>
    <w:rsid w:val="00983374"/>
    <w:rsid w:val="00983FCD"/>
    <w:rsid w:val="00984441"/>
    <w:rsid w:val="009844CF"/>
    <w:rsid w:val="00984DB4"/>
    <w:rsid w:val="00984DD8"/>
    <w:rsid w:val="009858B9"/>
    <w:rsid w:val="0099085F"/>
    <w:rsid w:val="00990DBE"/>
    <w:rsid w:val="009925DB"/>
    <w:rsid w:val="009934CB"/>
    <w:rsid w:val="00993CC9"/>
    <w:rsid w:val="00994440"/>
    <w:rsid w:val="00996E9E"/>
    <w:rsid w:val="009A6F74"/>
    <w:rsid w:val="009B0DDF"/>
    <w:rsid w:val="009B376D"/>
    <w:rsid w:val="009B4EA7"/>
    <w:rsid w:val="009B5E7C"/>
    <w:rsid w:val="009B68A2"/>
    <w:rsid w:val="009B738B"/>
    <w:rsid w:val="009C1C07"/>
    <w:rsid w:val="009C4ED6"/>
    <w:rsid w:val="009C678D"/>
    <w:rsid w:val="009C7746"/>
    <w:rsid w:val="009D1BCC"/>
    <w:rsid w:val="009D24DB"/>
    <w:rsid w:val="009D2F30"/>
    <w:rsid w:val="009D3628"/>
    <w:rsid w:val="009D43F7"/>
    <w:rsid w:val="009D4666"/>
    <w:rsid w:val="009D4C2A"/>
    <w:rsid w:val="009D555B"/>
    <w:rsid w:val="009D66E2"/>
    <w:rsid w:val="009D6914"/>
    <w:rsid w:val="009E192B"/>
    <w:rsid w:val="009E1C22"/>
    <w:rsid w:val="009E2481"/>
    <w:rsid w:val="009E3503"/>
    <w:rsid w:val="009E382B"/>
    <w:rsid w:val="009F3631"/>
    <w:rsid w:val="009F3790"/>
    <w:rsid w:val="009F7544"/>
    <w:rsid w:val="009F7CEB"/>
    <w:rsid w:val="009F7E5F"/>
    <w:rsid w:val="00A00188"/>
    <w:rsid w:val="00A029E5"/>
    <w:rsid w:val="00A040FD"/>
    <w:rsid w:val="00A0426A"/>
    <w:rsid w:val="00A04C0D"/>
    <w:rsid w:val="00A07A7F"/>
    <w:rsid w:val="00A07E1D"/>
    <w:rsid w:val="00A119D0"/>
    <w:rsid w:val="00A12983"/>
    <w:rsid w:val="00A14C35"/>
    <w:rsid w:val="00A15C33"/>
    <w:rsid w:val="00A168C0"/>
    <w:rsid w:val="00A16E64"/>
    <w:rsid w:val="00A20338"/>
    <w:rsid w:val="00A20B1A"/>
    <w:rsid w:val="00A21FD0"/>
    <w:rsid w:val="00A22A39"/>
    <w:rsid w:val="00A3313D"/>
    <w:rsid w:val="00A33B3F"/>
    <w:rsid w:val="00A36595"/>
    <w:rsid w:val="00A40301"/>
    <w:rsid w:val="00A41239"/>
    <w:rsid w:val="00A41E5D"/>
    <w:rsid w:val="00A42285"/>
    <w:rsid w:val="00A51AAD"/>
    <w:rsid w:val="00A535FB"/>
    <w:rsid w:val="00A577AA"/>
    <w:rsid w:val="00A60DEB"/>
    <w:rsid w:val="00A627FC"/>
    <w:rsid w:val="00A6374D"/>
    <w:rsid w:val="00A650C3"/>
    <w:rsid w:val="00A7475C"/>
    <w:rsid w:val="00A748DE"/>
    <w:rsid w:val="00A755C8"/>
    <w:rsid w:val="00A80649"/>
    <w:rsid w:val="00A81977"/>
    <w:rsid w:val="00A81F82"/>
    <w:rsid w:val="00A83C83"/>
    <w:rsid w:val="00A841B0"/>
    <w:rsid w:val="00A84D19"/>
    <w:rsid w:val="00A851AB"/>
    <w:rsid w:val="00A85A2B"/>
    <w:rsid w:val="00A9102D"/>
    <w:rsid w:val="00A93188"/>
    <w:rsid w:val="00A93543"/>
    <w:rsid w:val="00A9376F"/>
    <w:rsid w:val="00A94EFC"/>
    <w:rsid w:val="00A957FE"/>
    <w:rsid w:val="00A95EBE"/>
    <w:rsid w:val="00AA1681"/>
    <w:rsid w:val="00AA27C3"/>
    <w:rsid w:val="00AA2FA1"/>
    <w:rsid w:val="00AA51C1"/>
    <w:rsid w:val="00AA5C58"/>
    <w:rsid w:val="00AA6156"/>
    <w:rsid w:val="00AA630B"/>
    <w:rsid w:val="00AA73AC"/>
    <w:rsid w:val="00AA7B77"/>
    <w:rsid w:val="00AA7F07"/>
    <w:rsid w:val="00AB187A"/>
    <w:rsid w:val="00AB2B29"/>
    <w:rsid w:val="00AB3ABC"/>
    <w:rsid w:val="00AB3CC1"/>
    <w:rsid w:val="00AB3F77"/>
    <w:rsid w:val="00AB49F1"/>
    <w:rsid w:val="00AB514A"/>
    <w:rsid w:val="00AB5FCC"/>
    <w:rsid w:val="00AB730B"/>
    <w:rsid w:val="00AB7FB4"/>
    <w:rsid w:val="00AC0F62"/>
    <w:rsid w:val="00AC143B"/>
    <w:rsid w:val="00AC50E3"/>
    <w:rsid w:val="00AC71BB"/>
    <w:rsid w:val="00AD019F"/>
    <w:rsid w:val="00AD14E2"/>
    <w:rsid w:val="00AD3845"/>
    <w:rsid w:val="00AD4EB5"/>
    <w:rsid w:val="00AD51C9"/>
    <w:rsid w:val="00AD5C9F"/>
    <w:rsid w:val="00AD6347"/>
    <w:rsid w:val="00AE2A68"/>
    <w:rsid w:val="00AE513E"/>
    <w:rsid w:val="00AE5740"/>
    <w:rsid w:val="00AE7068"/>
    <w:rsid w:val="00AE7AA8"/>
    <w:rsid w:val="00AF06A5"/>
    <w:rsid w:val="00AF0DF9"/>
    <w:rsid w:val="00AF1B8E"/>
    <w:rsid w:val="00AF29D6"/>
    <w:rsid w:val="00AF3E31"/>
    <w:rsid w:val="00AF4BE4"/>
    <w:rsid w:val="00AF6F84"/>
    <w:rsid w:val="00AF775A"/>
    <w:rsid w:val="00B049A4"/>
    <w:rsid w:val="00B05A6C"/>
    <w:rsid w:val="00B11EA0"/>
    <w:rsid w:val="00B17518"/>
    <w:rsid w:val="00B17D27"/>
    <w:rsid w:val="00B17FDB"/>
    <w:rsid w:val="00B21556"/>
    <w:rsid w:val="00B2176A"/>
    <w:rsid w:val="00B21BB1"/>
    <w:rsid w:val="00B23A35"/>
    <w:rsid w:val="00B2452D"/>
    <w:rsid w:val="00B24986"/>
    <w:rsid w:val="00B24D05"/>
    <w:rsid w:val="00B25D68"/>
    <w:rsid w:val="00B26F98"/>
    <w:rsid w:val="00B273EB"/>
    <w:rsid w:val="00B2777B"/>
    <w:rsid w:val="00B31C03"/>
    <w:rsid w:val="00B37741"/>
    <w:rsid w:val="00B43E1B"/>
    <w:rsid w:val="00B44DEB"/>
    <w:rsid w:val="00B4558C"/>
    <w:rsid w:val="00B45795"/>
    <w:rsid w:val="00B46B9B"/>
    <w:rsid w:val="00B47204"/>
    <w:rsid w:val="00B47B44"/>
    <w:rsid w:val="00B50DD3"/>
    <w:rsid w:val="00B513BA"/>
    <w:rsid w:val="00B539FB"/>
    <w:rsid w:val="00B5727C"/>
    <w:rsid w:val="00B601F9"/>
    <w:rsid w:val="00B61A59"/>
    <w:rsid w:val="00B62964"/>
    <w:rsid w:val="00B631D8"/>
    <w:rsid w:val="00B6367E"/>
    <w:rsid w:val="00B6374C"/>
    <w:rsid w:val="00B63B06"/>
    <w:rsid w:val="00B65905"/>
    <w:rsid w:val="00B65ED1"/>
    <w:rsid w:val="00B66C37"/>
    <w:rsid w:val="00B67119"/>
    <w:rsid w:val="00B6726A"/>
    <w:rsid w:val="00B71675"/>
    <w:rsid w:val="00B71B62"/>
    <w:rsid w:val="00B750EC"/>
    <w:rsid w:val="00B75BC0"/>
    <w:rsid w:val="00B7796D"/>
    <w:rsid w:val="00B803B3"/>
    <w:rsid w:val="00B80B83"/>
    <w:rsid w:val="00B811F4"/>
    <w:rsid w:val="00B81A5A"/>
    <w:rsid w:val="00B825B0"/>
    <w:rsid w:val="00B863A0"/>
    <w:rsid w:val="00B86E62"/>
    <w:rsid w:val="00B90B60"/>
    <w:rsid w:val="00B915D3"/>
    <w:rsid w:val="00B91947"/>
    <w:rsid w:val="00B931B9"/>
    <w:rsid w:val="00B93CFD"/>
    <w:rsid w:val="00B945C8"/>
    <w:rsid w:val="00B94F49"/>
    <w:rsid w:val="00B96D20"/>
    <w:rsid w:val="00B972DF"/>
    <w:rsid w:val="00BA01AB"/>
    <w:rsid w:val="00BA08D2"/>
    <w:rsid w:val="00BA0B35"/>
    <w:rsid w:val="00BA0EBC"/>
    <w:rsid w:val="00BA196B"/>
    <w:rsid w:val="00BA2C31"/>
    <w:rsid w:val="00BA3306"/>
    <w:rsid w:val="00BA338A"/>
    <w:rsid w:val="00BA341B"/>
    <w:rsid w:val="00BA73EE"/>
    <w:rsid w:val="00BB6814"/>
    <w:rsid w:val="00BC0F01"/>
    <w:rsid w:val="00BC1DA6"/>
    <w:rsid w:val="00BC7FCB"/>
    <w:rsid w:val="00BD03EC"/>
    <w:rsid w:val="00BD08A7"/>
    <w:rsid w:val="00BD092A"/>
    <w:rsid w:val="00BD1D66"/>
    <w:rsid w:val="00BD23F1"/>
    <w:rsid w:val="00BD3CBC"/>
    <w:rsid w:val="00BD69B4"/>
    <w:rsid w:val="00BD7DFA"/>
    <w:rsid w:val="00BE100A"/>
    <w:rsid w:val="00BE3CAA"/>
    <w:rsid w:val="00BE3E5F"/>
    <w:rsid w:val="00BE583A"/>
    <w:rsid w:val="00BF166E"/>
    <w:rsid w:val="00BF772B"/>
    <w:rsid w:val="00C005CC"/>
    <w:rsid w:val="00C0206B"/>
    <w:rsid w:val="00C04960"/>
    <w:rsid w:val="00C06418"/>
    <w:rsid w:val="00C07417"/>
    <w:rsid w:val="00C07BBA"/>
    <w:rsid w:val="00C104C2"/>
    <w:rsid w:val="00C11033"/>
    <w:rsid w:val="00C126B5"/>
    <w:rsid w:val="00C13C69"/>
    <w:rsid w:val="00C14AB6"/>
    <w:rsid w:val="00C160D2"/>
    <w:rsid w:val="00C20479"/>
    <w:rsid w:val="00C23FEA"/>
    <w:rsid w:val="00C25EBA"/>
    <w:rsid w:val="00C30A34"/>
    <w:rsid w:val="00C317F3"/>
    <w:rsid w:val="00C330E5"/>
    <w:rsid w:val="00C33AC5"/>
    <w:rsid w:val="00C33E8D"/>
    <w:rsid w:val="00C35F95"/>
    <w:rsid w:val="00C36AB7"/>
    <w:rsid w:val="00C41D04"/>
    <w:rsid w:val="00C44281"/>
    <w:rsid w:val="00C44C37"/>
    <w:rsid w:val="00C46AE5"/>
    <w:rsid w:val="00C47654"/>
    <w:rsid w:val="00C47F27"/>
    <w:rsid w:val="00C47FD4"/>
    <w:rsid w:val="00C51680"/>
    <w:rsid w:val="00C517F8"/>
    <w:rsid w:val="00C52310"/>
    <w:rsid w:val="00C52ACF"/>
    <w:rsid w:val="00C57E4D"/>
    <w:rsid w:val="00C61757"/>
    <w:rsid w:val="00C61800"/>
    <w:rsid w:val="00C61D55"/>
    <w:rsid w:val="00C626E2"/>
    <w:rsid w:val="00C628C8"/>
    <w:rsid w:val="00C6570F"/>
    <w:rsid w:val="00C65A51"/>
    <w:rsid w:val="00C661AF"/>
    <w:rsid w:val="00C70BB7"/>
    <w:rsid w:val="00C719D8"/>
    <w:rsid w:val="00C736F0"/>
    <w:rsid w:val="00C7519E"/>
    <w:rsid w:val="00C77791"/>
    <w:rsid w:val="00C8103C"/>
    <w:rsid w:val="00C81A12"/>
    <w:rsid w:val="00C82D5C"/>
    <w:rsid w:val="00C846BE"/>
    <w:rsid w:val="00C92A43"/>
    <w:rsid w:val="00C92B19"/>
    <w:rsid w:val="00C93CC0"/>
    <w:rsid w:val="00C942DB"/>
    <w:rsid w:val="00C948AA"/>
    <w:rsid w:val="00C95F5D"/>
    <w:rsid w:val="00C963DE"/>
    <w:rsid w:val="00C976E3"/>
    <w:rsid w:val="00CA0C26"/>
    <w:rsid w:val="00CA2CB5"/>
    <w:rsid w:val="00CA2E00"/>
    <w:rsid w:val="00CA307E"/>
    <w:rsid w:val="00CA3284"/>
    <w:rsid w:val="00CB07A8"/>
    <w:rsid w:val="00CB09C0"/>
    <w:rsid w:val="00CB14A1"/>
    <w:rsid w:val="00CB14DB"/>
    <w:rsid w:val="00CB45F9"/>
    <w:rsid w:val="00CB5389"/>
    <w:rsid w:val="00CC10E1"/>
    <w:rsid w:val="00CC1998"/>
    <w:rsid w:val="00CC21BD"/>
    <w:rsid w:val="00CC424A"/>
    <w:rsid w:val="00CC5CE6"/>
    <w:rsid w:val="00CC6B88"/>
    <w:rsid w:val="00CC7BD7"/>
    <w:rsid w:val="00CD12E3"/>
    <w:rsid w:val="00CD43AD"/>
    <w:rsid w:val="00CD6327"/>
    <w:rsid w:val="00CE25CE"/>
    <w:rsid w:val="00CE2B78"/>
    <w:rsid w:val="00CE5A8F"/>
    <w:rsid w:val="00CE727C"/>
    <w:rsid w:val="00CE74A3"/>
    <w:rsid w:val="00CE7D15"/>
    <w:rsid w:val="00CF4347"/>
    <w:rsid w:val="00CF5A6A"/>
    <w:rsid w:val="00CF72E2"/>
    <w:rsid w:val="00D0147D"/>
    <w:rsid w:val="00D03491"/>
    <w:rsid w:val="00D034DD"/>
    <w:rsid w:val="00D03D0C"/>
    <w:rsid w:val="00D04952"/>
    <w:rsid w:val="00D0500D"/>
    <w:rsid w:val="00D05DF0"/>
    <w:rsid w:val="00D06A16"/>
    <w:rsid w:val="00D07CFC"/>
    <w:rsid w:val="00D1078F"/>
    <w:rsid w:val="00D10C79"/>
    <w:rsid w:val="00D10E60"/>
    <w:rsid w:val="00D1168C"/>
    <w:rsid w:val="00D117F6"/>
    <w:rsid w:val="00D12CD2"/>
    <w:rsid w:val="00D13160"/>
    <w:rsid w:val="00D13D1F"/>
    <w:rsid w:val="00D14D23"/>
    <w:rsid w:val="00D15D8B"/>
    <w:rsid w:val="00D17984"/>
    <w:rsid w:val="00D212E6"/>
    <w:rsid w:val="00D22D4C"/>
    <w:rsid w:val="00D23483"/>
    <w:rsid w:val="00D24DAD"/>
    <w:rsid w:val="00D25916"/>
    <w:rsid w:val="00D27F58"/>
    <w:rsid w:val="00D301B4"/>
    <w:rsid w:val="00D315BE"/>
    <w:rsid w:val="00D323D5"/>
    <w:rsid w:val="00D329E6"/>
    <w:rsid w:val="00D37972"/>
    <w:rsid w:val="00D403EE"/>
    <w:rsid w:val="00D40896"/>
    <w:rsid w:val="00D41534"/>
    <w:rsid w:val="00D4443A"/>
    <w:rsid w:val="00D451FC"/>
    <w:rsid w:val="00D468E6"/>
    <w:rsid w:val="00D50D56"/>
    <w:rsid w:val="00D510BD"/>
    <w:rsid w:val="00D51914"/>
    <w:rsid w:val="00D53960"/>
    <w:rsid w:val="00D549E7"/>
    <w:rsid w:val="00D617C6"/>
    <w:rsid w:val="00D62BBD"/>
    <w:rsid w:val="00D63C48"/>
    <w:rsid w:val="00D64289"/>
    <w:rsid w:val="00D6472E"/>
    <w:rsid w:val="00D66184"/>
    <w:rsid w:val="00D6667B"/>
    <w:rsid w:val="00D669BD"/>
    <w:rsid w:val="00D71400"/>
    <w:rsid w:val="00D72C23"/>
    <w:rsid w:val="00D74EA1"/>
    <w:rsid w:val="00D80171"/>
    <w:rsid w:val="00D818F6"/>
    <w:rsid w:val="00D82F56"/>
    <w:rsid w:val="00D8435D"/>
    <w:rsid w:val="00D85715"/>
    <w:rsid w:val="00D85E7F"/>
    <w:rsid w:val="00D8782C"/>
    <w:rsid w:val="00D933CC"/>
    <w:rsid w:val="00D95394"/>
    <w:rsid w:val="00D970E7"/>
    <w:rsid w:val="00D978A8"/>
    <w:rsid w:val="00D97D4C"/>
    <w:rsid w:val="00DA032B"/>
    <w:rsid w:val="00DA0456"/>
    <w:rsid w:val="00DA15DF"/>
    <w:rsid w:val="00DA55BB"/>
    <w:rsid w:val="00DA56DF"/>
    <w:rsid w:val="00DA73EE"/>
    <w:rsid w:val="00DB045B"/>
    <w:rsid w:val="00DB3977"/>
    <w:rsid w:val="00DB47BD"/>
    <w:rsid w:val="00DC1743"/>
    <w:rsid w:val="00DC1F73"/>
    <w:rsid w:val="00DC2552"/>
    <w:rsid w:val="00DC34D0"/>
    <w:rsid w:val="00DC3C82"/>
    <w:rsid w:val="00DC4CC9"/>
    <w:rsid w:val="00DC6AC8"/>
    <w:rsid w:val="00DC6F2D"/>
    <w:rsid w:val="00DC7746"/>
    <w:rsid w:val="00DD0DB9"/>
    <w:rsid w:val="00DD243B"/>
    <w:rsid w:val="00DD270B"/>
    <w:rsid w:val="00DD2A18"/>
    <w:rsid w:val="00DD3049"/>
    <w:rsid w:val="00DE07B1"/>
    <w:rsid w:val="00DE242D"/>
    <w:rsid w:val="00DE30E2"/>
    <w:rsid w:val="00DE3A9A"/>
    <w:rsid w:val="00DE3DA0"/>
    <w:rsid w:val="00DE3E9A"/>
    <w:rsid w:val="00DE6421"/>
    <w:rsid w:val="00DF12D8"/>
    <w:rsid w:val="00DF16C0"/>
    <w:rsid w:val="00DF4459"/>
    <w:rsid w:val="00DF548B"/>
    <w:rsid w:val="00DF548E"/>
    <w:rsid w:val="00DF67E0"/>
    <w:rsid w:val="00E01931"/>
    <w:rsid w:val="00E01E86"/>
    <w:rsid w:val="00E028B1"/>
    <w:rsid w:val="00E028FF"/>
    <w:rsid w:val="00E05FBC"/>
    <w:rsid w:val="00E10B7D"/>
    <w:rsid w:val="00E163F2"/>
    <w:rsid w:val="00E17969"/>
    <w:rsid w:val="00E227EA"/>
    <w:rsid w:val="00E23660"/>
    <w:rsid w:val="00E24860"/>
    <w:rsid w:val="00E2761D"/>
    <w:rsid w:val="00E31A1E"/>
    <w:rsid w:val="00E34484"/>
    <w:rsid w:val="00E37424"/>
    <w:rsid w:val="00E4041E"/>
    <w:rsid w:val="00E41C44"/>
    <w:rsid w:val="00E420CB"/>
    <w:rsid w:val="00E44FA1"/>
    <w:rsid w:val="00E45180"/>
    <w:rsid w:val="00E451D6"/>
    <w:rsid w:val="00E45305"/>
    <w:rsid w:val="00E453A2"/>
    <w:rsid w:val="00E459B5"/>
    <w:rsid w:val="00E4634C"/>
    <w:rsid w:val="00E46AC9"/>
    <w:rsid w:val="00E52D89"/>
    <w:rsid w:val="00E53DB6"/>
    <w:rsid w:val="00E54FB3"/>
    <w:rsid w:val="00E55904"/>
    <w:rsid w:val="00E55E72"/>
    <w:rsid w:val="00E56AC8"/>
    <w:rsid w:val="00E60F0C"/>
    <w:rsid w:val="00E64394"/>
    <w:rsid w:val="00E66614"/>
    <w:rsid w:val="00E66DC7"/>
    <w:rsid w:val="00E71C6B"/>
    <w:rsid w:val="00E74E95"/>
    <w:rsid w:val="00E773DF"/>
    <w:rsid w:val="00E8014F"/>
    <w:rsid w:val="00E817AA"/>
    <w:rsid w:val="00E8269B"/>
    <w:rsid w:val="00E8337A"/>
    <w:rsid w:val="00E8619D"/>
    <w:rsid w:val="00E864E9"/>
    <w:rsid w:val="00E86AF0"/>
    <w:rsid w:val="00E90802"/>
    <w:rsid w:val="00E914A9"/>
    <w:rsid w:val="00E930FA"/>
    <w:rsid w:val="00E950AD"/>
    <w:rsid w:val="00E96098"/>
    <w:rsid w:val="00E97628"/>
    <w:rsid w:val="00EA04CA"/>
    <w:rsid w:val="00EA1B29"/>
    <w:rsid w:val="00EA308B"/>
    <w:rsid w:val="00EA3670"/>
    <w:rsid w:val="00EA39D5"/>
    <w:rsid w:val="00EA3EC2"/>
    <w:rsid w:val="00EA448D"/>
    <w:rsid w:val="00EA6354"/>
    <w:rsid w:val="00EA66E6"/>
    <w:rsid w:val="00EB084B"/>
    <w:rsid w:val="00EB150E"/>
    <w:rsid w:val="00EB3F3E"/>
    <w:rsid w:val="00EB426B"/>
    <w:rsid w:val="00EB5896"/>
    <w:rsid w:val="00EB5E6D"/>
    <w:rsid w:val="00EC35A8"/>
    <w:rsid w:val="00EC4B7A"/>
    <w:rsid w:val="00EC663B"/>
    <w:rsid w:val="00EC738C"/>
    <w:rsid w:val="00EC77D1"/>
    <w:rsid w:val="00ED0E80"/>
    <w:rsid w:val="00ED0EE8"/>
    <w:rsid w:val="00ED3246"/>
    <w:rsid w:val="00ED4552"/>
    <w:rsid w:val="00ED5EC4"/>
    <w:rsid w:val="00EE38AC"/>
    <w:rsid w:val="00EE6785"/>
    <w:rsid w:val="00EE6FA2"/>
    <w:rsid w:val="00EF0AC1"/>
    <w:rsid w:val="00EF2123"/>
    <w:rsid w:val="00EF3278"/>
    <w:rsid w:val="00EF381E"/>
    <w:rsid w:val="00EF501A"/>
    <w:rsid w:val="00F00E6F"/>
    <w:rsid w:val="00F03988"/>
    <w:rsid w:val="00F049EC"/>
    <w:rsid w:val="00F076AB"/>
    <w:rsid w:val="00F17B19"/>
    <w:rsid w:val="00F23FC0"/>
    <w:rsid w:val="00F253E4"/>
    <w:rsid w:val="00F26B4B"/>
    <w:rsid w:val="00F2706C"/>
    <w:rsid w:val="00F3094A"/>
    <w:rsid w:val="00F32B8F"/>
    <w:rsid w:val="00F32D23"/>
    <w:rsid w:val="00F3345B"/>
    <w:rsid w:val="00F342E6"/>
    <w:rsid w:val="00F37E2E"/>
    <w:rsid w:val="00F41555"/>
    <w:rsid w:val="00F419C5"/>
    <w:rsid w:val="00F44331"/>
    <w:rsid w:val="00F44EFB"/>
    <w:rsid w:val="00F464A2"/>
    <w:rsid w:val="00F500B1"/>
    <w:rsid w:val="00F53F17"/>
    <w:rsid w:val="00F56314"/>
    <w:rsid w:val="00F5689A"/>
    <w:rsid w:val="00F60593"/>
    <w:rsid w:val="00F60B20"/>
    <w:rsid w:val="00F62DA9"/>
    <w:rsid w:val="00F642E8"/>
    <w:rsid w:val="00F70107"/>
    <w:rsid w:val="00F7162E"/>
    <w:rsid w:val="00F72B42"/>
    <w:rsid w:val="00F733F3"/>
    <w:rsid w:val="00F73A39"/>
    <w:rsid w:val="00F740AA"/>
    <w:rsid w:val="00F7514D"/>
    <w:rsid w:val="00F75C32"/>
    <w:rsid w:val="00F75D3A"/>
    <w:rsid w:val="00F76030"/>
    <w:rsid w:val="00F77533"/>
    <w:rsid w:val="00F80139"/>
    <w:rsid w:val="00F8250F"/>
    <w:rsid w:val="00F84262"/>
    <w:rsid w:val="00F84A14"/>
    <w:rsid w:val="00F84F02"/>
    <w:rsid w:val="00F86828"/>
    <w:rsid w:val="00F874B2"/>
    <w:rsid w:val="00F87C31"/>
    <w:rsid w:val="00F905EC"/>
    <w:rsid w:val="00F907B1"/>
    <w:rsid w:val="00F9212E"/>
    <w:rsid w:val="00F95564"/>
    <w:rsid w:val="00F9783F"/>
    <w:rsid w:val="00FA0329"/>
    <w:rsid w:val="00FA0A0E"/>
    <w:rsid w:val="00FA0BDE"/>
    <w:rsid w:val="00FA1FB9"/>
    <w:rsid w:val="00FA2C17"/>
    <w:rsid w:val="00FA52CB"/>
    <w:rsid w:val="00FA5FC9"/>
    <w:rsid w:val="00FA7EF6"/>
    <w:rsid w:val="00FA7F35"/>
    <w:rsid w:val="00FB366A"/>
    <w:rsid w:val="00FB37B0"/>
    <w:rsid w:val="00FB415B"/>
    <w:rsid w:val="00FB42D3"/>
    <w:rsid w:val="00FB4699"/>
    <w:rsid w:val="00FB4B77"/>
    <w:rsid w:val="00FB57DB"/>
    <w:rsid w:val="00FB6238"/>
    <w:rsid w:val="00FC06E3"/>
    <w:rsid w:val="00FC0EEF"/>
    <w:rsid w:val="00FC16A0"/>
    <w:rsid w:val="00FC22AB"/>
    <w:rsid w:val="00FC29B5"/>
    <w:rsid w:val="00FC3DA9"/>
    <w:rsid w:val="00FC594B"/>
    <w:rsid w:val="00FD09C9"/>
    <w:rsid w:val="00FD0DA5"/>
    <w:rsid w:val="00FD1E3D"/>
    <w:rsid w:val="00FD3E0B"/>
    <w:rsid w:val="00FD5588"/>
    <w:rsid w:val="00FD5C36"/>
    <w:rsid w:val="00FD7841"/>
    <w:rsid w:val="00FE18D2"/>
    <w:rsid w:val="00FE2431"/>
    <w:rsid w:val="00FE4C58"/>
    <w:rsid w:val="00FE6746"/>
    <w:rsid w:val="00FF0DF2"/>
    <w:rsid w:val="00FF21E7"/>
    <w:rsid w:val="00FF2550"/>
    <w:rsid w:val="00FF4191"/>
    <w:rsid w:val="00FF473F"/>
    <w:rsid w:val="00FF48E5"/>
    <w:rsid w:val="00FF610D"/>
    <w:rsid w:val="00FF6C18"/>
    <w:rsid w:val="00FF7138"/>
    <w:rsid w:val="00FF75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35"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0"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5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B6E"/>
    <w:pPr>
      <w:spacing w:before="120" w:line="240" w:lineRule="auto"/>
    </w:pPr>
    <w:rPr>
      <w:sz w:val="24"/>
    </w:rPr>
  </w:style>
  <w:style w:type="paragraph" w:styleId="Heading1">
    <w:name w:val="heading 1"/>
    <w:basedOn w:val="Normal"/>
    <w:next w:val="Normal"/>
    <w:link w:val="Heading1Char"/>
    <w:uiPriority w:val="1"/>
    <w:qFormat/>
    <w:rsid w:val="00E4041E"/>
    <w:pPr>
      <w:keepNext/>
      <w:keepLines/>
      <w:numPr>
        <w:numId w:val="1"/>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
    <w:basedOn w:val="Normal"/>
    <w:link w:val="ListParagraphChar"/>
    <w:uiPriority w:val="34"/>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uiPriority w:val="2"/>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qFormat/>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3"/>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34"/>
    <w:locked/>
    <w:rsid w:val="0095170D"/>
    <w:rPr>
      <w:sz w:val="24"/>
    </w:rPr>
  </w:style>
  <w:style w:type="numbering" w:customStyle="1" w:styleId="Headings">
    <w:name w:val="Headings"/>
    <w:uiPriority w:val="99"/>
    <w:rsid w:val="00C317F3"/>
    <w:pPr>
      <w:numPr>
        <w:numId w:val="4"/>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5"/>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paragraph" w:styleId="DocumentMap">
    <w:name w:val="Document Map"/>
    <w:basedOn w:val="Normal"/>
    <w:link w:val="DocumentMapChar"/>
    <w:uiPriority w:val="99"/>
    <w:semiHidden/>
    <w:unhideWhenUsed/>
    <w:rsid w:val="00E17969"/>
    <w:pPr>
      <w:spacing w:before="0" w:after="0"/>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E17969"/>
    <w:rPr>
      <w:rFonts w:ascii="Lucida Grande" w:hAnsi="Lucida Grande" w:cs="Lucida Grande"/>
      <w:sz w:val="24"/>
      <w:szCs w:val="24"/>
    </w:rPr>
  </w:style>
  <w:style w:type="table" w:styleId="LightList-Accent1">
    <w:name w:val="Light List Accent 1"/>
    <w:basedOn w:val="TableNormal"/>
    <w:uiPriority w:val="61"/>
    <w:unhideWhenUsed/>
    <w:rsid w:val="004D6FA2"/>
    <w:pPr>
      <w:spacing w:after="0" w:line="240" w:lineRule="auto"/>
    </w:pPr>
    <w:rPr>
      <w:lang w:val="en-NZ"/>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5B9BD5" w:themeFill="accent1"/>
      </w:tcPr>
    </w:tblStylePr>
    <w:tblStylePr w:type="lastRow">
      <w:pPr>
        <w:spacing w:beforeLines="0" w:before="0" w:beforeAutospacing="0" w:afterLines="0" w:after="0" w:afterAutospacing="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TableGridbeth1">
    <w:name w:val="Table Gridbeth1"/>
    <w:basedOn w:val="TableNormal"/>
    <w:next w:val="TableGrid"/>
    <w:uiPriority w:val="59"/>
    <w:rsid w:val="00966957"/>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PlainTable210">
    <w:name w:val="Plain Table 21"/>
    <w:basedOn w:val="TableNormal"/>
    <w:uiPriority w:val="42"/>
    <w:rsid w:val="00966957"/>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2">
    <w:name w:val="Table Grid Light2"/>
    <w:basedOn w:val="TableNormal"/>
    <w:uiPriority w:val="40"/>
    <w:rsid w:val="00837C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2">
    <w:name w:val="Plain Table 22"/>
    <w:basedOn w:val="TableNormal"/>
    <w:uiPriority w:val="42"/>
    <w:rsid w:val="00837C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Snumberedparablue">
    <w:name w:val="ES numbered para blue"/>
    <w:basedOn w:val="ESnumberedpara"/>
    <w:qFormat/>
    <w:rsid w:val="003C321F"/>
    <w:pPr>
      <w:spacing w:before="120" w:after="160"/>
    </w:pPr>
    <w:rPr>
      <w:rFonts w:asciiTheme="minorHAnsi" w:hAnsiTheme="minorHAnsi"/>
      <w:color w:val="000000" w:themeColor="text1"/>
      <w:szCs w:val="24"/>
    </w:rPr>
  </w:style>
  <w:style w:type="paragraph" w:customStyle="1" w:styleId="Default">
    <w:name w:val="Default"/>
    <w:rsid w:val="007131B4"/>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35"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0"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5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B6E"/>
    <w:pPr>
      <w:spacing w:before="120" w:line="240" w:lineRule="auto"/>
    </w:pPr>
    <w:rPr>
      <w:sz w:val="24"/>
    </w:rPr>
  </w:style>
  <w:style w:type="paragraph" w:styleId="Heading1">
    <w:name w:val="heading 1"/>
    <w:basedOn w:val="Normal"/>
    <w:next w:val="Normal"/>
    <w:link w:val="Heading1Char"/>
    <w:uiPriority w:val="1"/>
    <w:qFormat/>
    <w:rsid w:val="00E4041E"/>
    <w:pPr>
      <w:keepNext/>
      <w:keepLines/>
      <w:numPr>
        <w:numId w:val="1"/>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
    <w:basedOn w:val="Normal"/>
    <w:link w:val="ListParagraphChar"/>
    <w:uiPriority w:val="34"/>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uiPriority w:val="2"/>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qFormat/>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3"/>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34"/>
    <w:locked/>
    <w:rsid w:val="0095170D"/>
    <w:rPr>
      <w:sz w:val="24"/>
    </w:rPr>
  </w:style>
  <w:style w:type="numbering" w:customStyle="1" w:styleId="Headings">
    <w:name w:val="Headings"/>
    <w:uiPriority w:val="99"/>
    <w:rsid w:val="00C317F3"/>
    <w:pPr>
      <w:numPr>
        <w:numId w:val="4"/>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5"/>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paragraph" w:styleId="DocumentMap">
    <w:name w:val="Document Map"/>
    <w:basedOn w:val="Normal"/>
    <w:link w:val="DocumentMapChar"/>
    <w:uiPriority w:val="99"/>
    <w:semiHidden/>
    <w:unhideWhenUsed/>
    <w:rsid w:val="00E17969"/>
    <w:pPr>
      <w:spacing w:before="0" w:after="0"/>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E17969"/>
    <w:rPr>
      <w:rFonts w:ascii="Lucida Grande" w:hAnsi="Lucida Grande" w:cs="Lucida Grande"/>
      <w:sz w:val="24"/>
      <w:szCs w:val="24"/>
    </w:rPr>
  </w:style>
  <w:style w:type="table" w:styleId="LightList-Accent1">
    <w:name w:val="Light List Accent 1"/>
    <w:basedOn w:val="TableNormal"/>
    <w:uiPriority w:val="61"/>
    <w:unhideWhenUsed/>
    <w:rsid w:val="004D6FA2"/>
    <w:pPr>
      <w:spacing w:after="0" w:line="240" w:lineRule="auto"/>
    </w:pPr>
    <w:rPr>
      <w:lang w:val="en-NZ"/>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5B9BD5" w:themeFill="accent1"/>
      </w:tcPr>
    </w:tblStylePr>
    <w:tblStylePr w:type="lastRow">
      <w:pPr>
        <w:spacing w:beforeLines="0" w:before="0" w:beforeAutospacing="0" w:afterLines="0" w:after="0" w:afterAutospacing="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TableGridbeth1">
    <w:name w:val="Table Gridbeth1"/>
    <w:basedOn w:val="TableNormal"/>
    <w:next w:val="TableGrid"/>
    <w:uiPriority w:val="59"/>
    <w:rsid w:val="00966957"/>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PlainTable210">
    <w:name w:val="Plain Table 21"/>
    <w:basedOn w:val="TableNormal"/>
    <w:uiPriority w:val="42"/>
    <w:rsid w:val="00966957"/>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2">
    <w:name w:val="Table Grid Light2"/>
    <w:basedOn w:val="TableNormal"/>
    <w:uiPriority w:val="40"/>
    <w:rsid w:val="00837C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2">
    <w:name w:val="Plain Table 22"/>
    <w:basedOn w:val="TableNormal"/>
    <w:uiPriority w:val="42"/>
    <w:rsid w:val="00837C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Snumberedparablue">
    <w:name w:val="ES numbered para blue"/>
    <w:basedOn w:val="ESnumberedpara"/>
    <w:qFormat/>
    <w:rsid w:val="003C321F"/>
    <w:pPr>
      <w:spacing w:before="120" w:after="160"/>
    </w:pPr>
    <w:rPr>
      <w:rFonts w:asciiTheme="minorHAnsi" w:hAnsiTheme="minorHAnsi"/>
      <w:color w:val="000000" w:themeColor="text1"/>
      <w:szCs w:val="24"/>
    </w:rPr>
  </w:style>
  <w:style w:type="paragraph" w:customStyle="1" w:styleId="Default">
    <w:name w:val="Default"/>
    <w:rsid w:val="007131B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72">
      <w:bodyDiv w:val="1"/>
      <w:marLeft w:val="0"/>
      <w:marRight w:val="0"/>
      <w:marTop w:val="0"/>
      <w:marBottom w:val="0"/>
      <w:divBdr>
        <w:top w:val="none" w:sz="0" w:space="0" w:color="auto"/>
        <w:left w:val="none" w:sz="0" w:space="0" w:color="auto"/>
        <w:bottom w:val="none" w:sz="0" w:space="0" w:color="auto"/>
        <w:right w:val="none" w:sz="0" w:space="0" w:color="auto"/>
      </w:divBdr>
    </w:div>
    <w:div w:id="31200155">
      <w:bodyDiv w:val="1"/>
      <w:marLeft w:val="0"/>
      <w:marRight w:val="0"/>
      <w:marTop w:val="0"/>
      <w:marBottom w:val="0"/>
      <w:divBdr>
        <w:top w:val="none" w:sz="0" w:space="0" w:color="auto"/>
        <w:left w:val="none" w:sz="0" w:space="0" w:color="auto"/>
        <w:bottom w:val="none" w:sz="0" w:space="0" w:color="auto"/>
        <w:right w:val="none" w:sz="0" w:space="0" w:color="auto"/>
      </w:divBdr>
    </w:div>
    <w:div w:id="57487016">
      <w:bodyDiv w:val="1"/>
      <w:marLeft w:val="0"/>
      <w:marRight w:val="0"/>
      <w:marTop w:val="0"/>
      <w:marBottom w:val="0"/>
      <w:divBdr>
        <w:top w:val="none" w:sz="0" w:space="0" w:color="auto"/>
        <w:left w:val="none" w:sz="0" w:space="0" w:color="auto"/>
        <w:bottom w:val="none" w:sz="0" w:space="0" w:color="auto"/>
        <w:right w:val="none" w:sz="0" w:space="0" w:color="auto"/>
      </w:divBdr>
    </w:div>
    <w:div w:id="82379721">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223032211">
      <w:bodyDiv w:val="1"/>
      <w:marLeft w:val="0"/>
      <w:marRight w:val="0"/>
      <w:marTop w:val="0"/>
      <w:marBottom w:val="0"/>
      <w:divBdr>
        <w:top w:val="none" w:sz="0" w:space="0" w:color="auto"/>
        <w:left w:val="none" w:sz="0" w:space="0" w:color="auto"/>
        <w:bottom w:val="none" w:sz="0" w:space="0" w:color="auto"/>
        <w:right w:val="none" w:sz="0" w:space="0" w:color="auto"/>
      </w:divBdr>
    </w:div>
    <w:div w:id="249701266">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285696843">
      <w:bodyDiv w:val="1"/>
      <w:marLeft w:val="0"/>
      <w:marRight w:val="0"/>
      <w:marTop w:val="0"/>
      <w:marBottom w:val="0"/>
      <w:divBdr>
        <w:top w:val="none" w:sz="0" w:space="0" w:color="auto"/>
        <w:left w:val="none" w:sz="0" w:space="0" w:color="auto"/>
        <w:bottom w:val="none" w:sz="0" w:space="0" w:color="auto"/>
        <w:right w:val="none" w:sz="0" w:space="0" w:color="auto"/>
      </w:divBdr>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558051615">
      <w:bodyDiv w:val="1"/>
      <w:marLeft w:val="0"/>
      <w:marRight w:val="0"/>
      <w:marTop w:val="0"/>
      <w:marBottom w:val="0"/>
      <w:divBdr>
        <w:top w:val="none" w:sz="0" w:space="0" w:color="auto"/>
        <w:left w:val="none" w:sz="0" w:space="0" w:color="auto"/>
        <w:bottom w:val="none" w:sz="0" w:space="0" w:color="auto"/>
        <w:right w:val="none" w:sz="0" w:space="0" w:color="auto"/>
      </w:divBdr>
    </w:div>
    <w:div w:id="603880260">
      <w:bodyDiv w:val="1"/>
      <w:marLeft w:val="0"/>
      <w:marRight w:val="0"/>
      <w:marTop w:val="0"/>
      <w:marBottom w:val="0"/>
      <w:divBdr>
        <w:top w:val="none" w:sz="0" w:space="0" w:color="auto"/>
        <w:left w:val="none" w:sz="0" w:space="0" w:color="auto"/>
        <w:bottom w:val="none" w:sz="0" w:space="0" w:color="auto"/>
        <w:right w:val="none" w:sz="0" w:space="0" w:color="auto"/>
      </w:divBdr>
    </w:div>
    <w:div w:id="627517085">
      <w:bodyDiv w:val="1"/>
      <w:marLeft w:val="0"/>
      <w:marRight w:val="0"/>
      <w:marTop w:val="0"/>
      <w:marBottom w:val="0"/>
      <w:divBdr>
        <w:top w:val="none" w:sz="0" w:space="0" w:color="auto"/>
        <w:left w:val="none" w:sz="0" w:space="0" w:color="auto"/>
        <w:bottom w:val="none" w:sz="0" w:space="0" w:color="auto"/>
        <w:right w:val="none" w:sz="0" w:space="0" w:color="auto"/>
      </w:divBdr>
    </w:div>
    <w:div w:id="747921336">
      <w:bodyDiv w:val="1"/>
      <w:marLeft w:val="0"/>
      <w:marRight w:val="0"/>
      <w:marTop w:val="0"/>
      <w:marBottom w:val="0"/>
      <w:divBdr>
        <w:top w:val="none" w:sz="0" w:space="0" w:color="auto"/>
        <w:left w:val="none" w:sz="0" w:space="0" w:color="auto"/>
        <w:bottom w:val="none" w:sz="0" w:space="0" w:color="auto"/>
        <w:right w:val="none" w:sz="0" w:space="0" w:color="auto"/>
      </w:divBdr>
    </w:div>
    <w:div w:id="750859865">
      <w:bodyDiv w:val="1"/>
      <w:marLeft w:val="0"/>
      <w:marRight w:val="0"/>
      <w:marTop w:val="0"/>
      <w:marBottom w:val="0"/>
      <w:divBdr>
        <w:top w:val="none" w:sz="0" w:space="0" w:color="auto"/>
        <w:left w:val="none" w:sz="0" w:space="0" w:color="auto"/>
        <w:bottom w:val="none" w:sz="0" w:space="0" w:color="auto"/>
        <w:right w:val="none" w:sz="0" w:space="0" w:color="auto"/>
      </w:divBdr>
    </w:div>
    <w:div w:id="782921856">
      <w:bodyDiv w:val="1"/>
      <w:marLeft w:val="0"/>
      <w:marRight w:val="0"/>
      <w:marTop w:val="0"/>
      <w:marBottom w:val="0"/>
      <w:divBdr>
        <w:top w:val="none" w:sz="0" w:space="0" w:color="auto"/>
        <w:left w:val="none" w:sz="0" w:space="0" w:color="auto"/>
        <w:bottom w:val="none" w:sz="0" w:space="0" w:color="auto"/>
        <w:right w:val="none" w:sz="0" w:space="0" w:color="auto"/>
      </w:divBdr>
    </w:div>
    <w:div w:id="793250361">
      <w:bodyDiv w:val="1"/>
      <w:marLeft w:val="0"/>
      <w:marRight w:val="0"/>
      <w:marTop w:val="0"/>
      <w:marBottom w:val="0"/>
      <w:divBdr>
        <w:top w:val="none" w:sz="0" w:space="0" w:color="auto"/>
        <w:left w:val="none" w:sz="0" w:space="0" w:color="auto"/>
        <w:bottom w:val="none" w:sz="0" w:space="0" w:color="auto"/>
        <w:right w:val="none" w:sz="0" w:space="0" w:color="auto"/>
      </w:divBdr>
    </w:div>
    <w:div w:id="803549460">
      <w:bodyDiv w:val="1"/>
      <w:marLeft w:val="0"/>
      <w:marRight w:val="0"/>
      <w:marTop w:val="0"/>
      <w:marBottom w:val="0"/>
      <w:divBdr>
        <w:top w:val="none" w:sz="0" w:space="0" w:color="auto"/>
        <w:left w:val="none" w:sz="0" w:space="0" w:color="auto"/>
        <w:bottom w:val="none" w:sz="0" w:space="0" w:color="auto"/>
        <w:right w:val="none" w:sz="0" w:space="0" w:color="auto"/>
      </w:divBdr>
    </w:div>
    <w:div w:id="810371024">
      <w:bodyDiv w:val="1"/>
      <w:marLeft w:val="0"/>
      <w:marRight w:val="0"/>
      <w:marTop w:val="0"/>
      <w:marBottom w:val="0"/>
      <w:divBdr>
        <w:top w:val="none" w:sz="0" w:space="0" w:color="auto"/>
        <w:left w:val="none" w:sz="0" w:space="0" w:color="auto"/>
        <w:bottom w:val="none" w:sz="0" w:space="0" w:color="auto"/>
        <w:right w:val="none" w:sz="0" w:space="0" w:color="auto"/>
      </w:divBdr>
    </w:div>
    <w:div w:id="879853297">
      <w:bodyDiv w:val="1"/>
      <w:marLeft w:val="0"/>
      <w:marRight w:val="0"/>
      <w:marTop w:val="0"/>
      <w:marBottom w:val="0"/>
      <w:divBdr>
        <w:top w:val="none" w:sz="0" w:space="0" w:color="auto"/>
        <w:left w:val="none" w:sz="0" w:space="0" w:color="auto"/>
        <w:bottom w:val="none" w:sz="0" w:space="0" w:color="auto"/>
        <w:right w:val="none" w:sz="0" w:space="0" w:color="auto"/>
      </w:divBdr>
    </w:div>
    <w:div w:id="890766582">
      <w:bodyDiv w:val="1"/>
      <w:marLeft w:val="0"/>
      <w:marRight w:val="0"/>
      <w:marTop w:val="0"/>
      <w:marBottom w:val="0"/>
      <w:divBdr>
        <w:top w:val="none" w:sz="0" w:space="0" w:color="auto"/>
        <w:left w:val="none" w:sz="0" w:space="0" w:color="auto"/>
        <w:bottom w:val="none" w:sz="0" w:space="0" w:color="auto"/>
        <w:right w:val="none" w:sz="0" w:space="0" w:color="auto"/>
      </w:divBdr>
    </w:div>
    <w:div w:id="992878542">
      <w:bodyDiv w:val="1"/>
      <w:marLeft w:val="0"/>
      <w:marRight w:val="0"/>
      <w:marTop w:val="0"/>
      <w:marBottom w:val="0"/>
      <w:divBdr>
        <w:top w:val="none" w:sz="0" w:space="0" w:color="auto"/>
        <w:left w:val="none" w:sz="0" w:space="0" w:color="auto"/>
        <w:bottom w:val="none" w:sz="0" w:space="0" w:color="auto"/>
        <w:right w:val="none" w:sz="0" w:space="0" w:color="auto"/>
      </w:divBdr>
    </w:div>
    <w:div w:id="1052078726">
      <w:bodyDiv w:val="1"/>
      <w:marLeft w:val="0"/>
      <w:marRight w:val="0"/>
      <w:marTop w:val="0"/>
      <w:marBottom w:val="0"/>
      <w:divBdr>
        <w:top w:val="none" w:sz="0" w:space="0" w:color="auto"/>
        <w:left w:val="none" w:sz="0" w:space="0" w:color="auto"/>
        <w:bottom w:val="none" w:sz="0" w:space="0" w:color="auto"/>
        <w:right w:val="none" w:sz="0" w:space="0" w:color="auto"/>
      </w:divBdr>
    </w:div>
    <w:div w:id="1087920996">
      <w:bodyDiv w:val="1"/>
      <w:marLeft w:val="0"/>
      <w:marRight w:val="0"/>
      <w:marTop w:val="0"/>
      <w:marBottom w:val="0"/>
      <w:divBdr>
        <w:top w:val="none" w:sz="0" w:space="0" w:color="auto"/>
        <w:left w:val="none" w:sz="0" w:space="0" w:color="auto"/>
        <w:bottom w:val="none" w:sz="0" w:space="0" w:color="auto"/>
        <w:right w:val="none" w:sz="0" w:space="0" w:color="auto"/>
      </w:divBdr>
    </w:div>
    <w:div w:id="1094521996">
      <w:bodyDiv w:val="1"/>
      <w:marLeft w:val="0"/>
      <w:marRight w:val="0"/>
      <w:marTop w:val="0"/>
      <w:marBottom w:val="0"/>
      <w:divBdr>
        <w:top w:val="none" w:sz="0" w:space="0" w:color="auto"/>
        <w:left w:val="none" w:sz="0" w:space="0" w:color="auto"/>
        <w:bottom w:val="none" w:sz="0" w:space="0" w:color="auto"/>
        <w:right w:val="none" w:sz="0" w:space="0" w:color="auto"/>
      </w:divBdr>
    </w:div>
    <w:div w:id="1217664756">
      <w:bodyDiv w:val="1"/>
      <w:marLeft w:val="0"/>
      <w:marRight w:val="0"/>
      <w:marTop w:val="0"/>
      <w:marBottom w:val="0"/>
      <w:divBdr>
        <w:top w:val="none" w:sz="0" w:space="0" w:color="auto"/>
        <w:left w:val="none" w:sz="0" w:space="0" w:color="auto"/>
        <w:bottom w:val="none" w:sz="0" w:space="0" w:color="auto"/>
        <w:right w:val="none" w:sz="0" w:space="0" w:color="auto"/>
      </w:divBdr>
    </w:div>
    <w:div w:id="1225406497">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371418189">
      <w:bodyDiv w:val="1"/>
      <w:marLeft w:val="0"/>
      <w:marRight w:val="0"/>
      <w:marTop w:val="0"/>
      <w:marBottom w:val="0"/>
      <w:divBdr>
        <w:top w:val="none" w:sz="0" w:space="0" w:color="auto"/>
        <w:left w:val="none" w:sz="0" w:space="0" w:color="auto"/>
        <w:bottom w:val="none" w:sz="0" w:space="0" w:color="auto"/>
        <w:right w:val="none" w:sz="0" w:space="0" w:color="auto"/>
      </w:divBdr>
    </w:div>
    <w:div w:id="1391073042">
      <w:bodyDiv w:val="1"/>
      <w:marLeft w:val="0"/>
      <w:marRight w:val="0"/>
      <w:marTop w:val="0"/>
      <w:marBottom w:val="0"/>
      <w:divBdr>
        <w:top w:val="none" w:sz="0" w:space="0" w:color="auto"/>
        <w:left w:val="none" w:sz="0" w:space="0" w:color="auto"/>
        <w:bottom w:val="none" w:sz="0" w:space="0" w:color="auto"/>
        <w:right w:val="none" w:sz="0" w:space="0" w:color="auto"/>
      </w:divBdr>
    </w:div>
    <w:div w:id="1415466880">
      <w:bodyDiv w:val="1"/>
      <w:marLeft w:val="0"/>
      <w:marRight w:val="0"/>
      <w:marTop w:val="0"/>
      <w:marBottom w:val="0"/>
      <w:divBdr>
        <w:top w:val="none" w:sz="0" w:space="0" w:color="auto"/>
        <w:left w:val="none" w:sz="0" w:space="0" w:color="auto"/>
        <w:bottom w:val="none" w:sz="0" w:space="0" w:color="auto"/>
        <w:right w:val="none" w:sz="0" w:space="0" w:color="auto"/>
      </w:divBdr>
    </w:div>
    <w:div w:id="1426421083">
      <w:bodyDiv w:val="1"/>
      <w:marLeft w:val="0"/>
      <w:marRight w:val="0"/>
      <w:marTop w:val="0"/>
      <w:marBottom w:val="0"/>
      <w:divBdr>
        <w:top w:val="none" w:sz="0" w:space="0" w:color="auto"/>
        <w:left w:val="none" w:sz="0" w:space="0" w:color="auto"/>
        <w:bottom w:val="none" w:sz="0" w:space="0" w:color="auto"/>
        <w:right w:val="none" w:sz="0" w:space="0" w:color="auto"/>
      </w:divBdr>
    </w:div>
    <w:div w:id="1460077194">
      <w:bodyDiv w:val="1"/>
      <w:marLeft w:val="0"/>
      <w:marRight w:val="0"/>
      <w:marTop w:val="0"/>
      <w:marBottom w:val="0"/>
      <w:divBdr>
        <w:top w:val="none" w:sz="0" w:space="0" w:color="auto"/>
        <w:left w:val="none" w:sz="0" w:space="0" w:color="auto"/>
        <w:bottom w:val="none" w:sz="0" w:space="0" w:color="auto"/>
        <w:right w:val="none" w:sz="0" w:space="0" w:color="auto"/>
      </w:divBdr>
    </w:div>
    <w:div w:id="1471367332">
      <w:bodyDiv w:val="1"/>
      <w:marLeft w:val="0"/>
      <w:marRight w:val="0"/>
      <w:marTop w:val="0"/>
      <w:marBottom w:val="0"/>
      <w:divBdr>
        <w:top w:val="none" w:sz="0" w:space="0" w:color="auto"/>
        <w:left w:val="none" w:sz="0" w:space="0" w:color="auto"/>
        <w:bottom w:val="none" w:sz="0" w:space="0" w:color="auto"/>
        <w:right w:val="none" w:sz="0" w:space="0" w:color="auto"/>
      </w:divBdr>
    </w:div>
    <w:div w:id="1696929152">
      <w:bodyDiv w:val="1"/>
      <w:marLeft w:val="0"/>
      <w:marRight w:val="0"/>
      <w:marTop w:val="0"/>
      <w:marBottom w:val="0"/>
      <w:divBdr>
        <w:top w:val="none" w:sz="0" w:space="0" w:color="auto"/>
        <w:left w:val="none" w:sz="0" w:space="0" w:color="auto"/>
        <w:bottom w:val="none" w:sz="0" w:space="0" w:color="auto"/>
        <w:right w:val="none" w:sz="0" w:space="0" w:color="auto"/>
      </w:divBdr>
    </w:div>
    <w:div w:id="1846940580">
      <w:bodyDiv w:val="1"/>
      <w:marLeft w:val="0"/>
      <w:marRight w:val="0"/>
      <w:marTop w:val="0"/>
      <w:marBottom w:val="0"/>
      <w:divBdr>
        <w:top w:val="none" w:sz="0" w:space="0" w:color="auto"/>
        <w:left w:val="none" w:sz="0" w:space="0" w:color="auto"/>
        <w:bottom w:val="none" w:sz="0" w:space="0" w:color="auto"/>
        <w:right w:val="none" w:sz="0" w:space="0" w:color="auto"/>
      </w:divBdr>
    </w:div>
    <w:div w:id="1905484462">
      <w:bodyDiv w:val="1"/>
      <w:marLeft w:val="0"/>
      <w:marRight w:val="0"/>
      <w:marTop w:val="0"/>
      <w:marBottom w:val="0"/>
      <w:divBdr>
        <w:top w:val="none" w:sz="0" w:space="0" w:color="auto"/>
        <w:left w:val="none" w:sz="0" w:space="0" w:color="auto"/>
        <w:bottom w:val="none" w:sz="0" w:space="0" w:color="auto"/>
        <w:right w:val="none" w:sz="0" w:space="0" w:color="auto"/>
      </w:divBdr>
    </w:div>
    <w:div w:id="1956205857">
      <w:bodyDiv w:val="1"/>
      <w:marLeft w:val="0"/>
      <w:marRight w:val="0"/>
      <w:marTop w:val="0"/>
      <w:marBottom w:val="0"/>
      <w:divBdr>
        <w:top w:val="none" w:sz="0" w:space="0" w:color="auto"/>
        <w:left w:val="none" w:sz="0" w:space="0" w:color="auto"/>
        <w:bottom w:val="none" w:sz="0" w:space="0" w:color="auto"/>
        <w:right w:val="none" w:sz="0" w:space="0" w:color="auto"/>
      </w:divBdr>
    </w:div>
    <w:div w:id="1997025371">
      <w:bodyDiv w:val="1"/>
      <w:marLeft w:val="0"/>
      <w:marRight w:val="0"/>
      <w:marTop w:val="0"/>
      <w:marBottom w:val="0"/>
      <w:divBdr>
        <w:top w:val="none" w:sz="0" w:space="0" w:color="auto"/>
        <w:left w:val="none" w:sz="0" w:space="0" w:color="auto"/>
        <w:bottom w:val="none" w:sz="0" w:space="0" w:color="auto"/>
        <w:right w:val="none" w:sz="0" w:space="0" w:color="auto"/>
      </w:divBdr>
    </w:div>
    <w:div w:id="2070103829">
      <w:bodyDiv w:val="1"/>
      <w:marLeft w:val="0"/>
      <w:marRight w:val="0"/>
      <w:marTop w:val="0"/>
      <w:marBottom w:val="0"/>
      <w:divBdr>
        <w:top w:val="none" w:sz="0" w:space="0" w:color="auto"/>
        <w:left w:val="none" w:sz="0" w:space="0" w:color="auto"/>
        <w:bottom w:val="none" w:sz="0" w:space="0" w:color="auto"/>
        <w:right w:val="none" w:sz="0" w:space="0" w:color="auto"/>
      </w:divBdr>
    </w:div>
    <w:div w:id="211104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39092-7B8A-42B8-BD2C-A153FAF1A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11165</Words>
  <Characters>63644</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2018-02-20T00:29:00Z</dcterms:created>
  <dcterms:modified xsi:type="dcterms:W3CDTF">2018-02-27T23:30:00Z</dcterms:modified>
</cp:coreProperties>
</file>