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A7A" w:rsidRPr="00610B60" w:rsidRDefault="00354A7A" w:rsidP="00610B60">
      <w:pPr>
        <w:ind w:left="1418" w:hanging="1418"/>
        <w:outlineLvl w:val="0"/>
        <w:rPr>
          <w:b/>
          <w:sz w:val="36"/>
          <w:szCs w:val="36"/>
        </w:rPr>
      </w:pPr>
      <w:r w:rsidRPr="00786D0E">
        <w:rPr>
          <w:b/>
          <w:sz w:val="36"/>
          <w:szCs w:val="36"/>
        </w:rPr>
        <w:t>6.02</w:t>
      </w:r>
      <w:r w:rsidRPr="00786D0E">
        <w:rPr>
          <w:b/>
          <w:sz w:val="36"/>
          <w:szCs w:val="36"/>
        </w:rPr>
        <w:tab/>
        <w:t xml:space="preserve">CRIZOTINIB, </w:t>
      </w:r>
      <w:r w:rsidRPr="00786D0E">
        <w:rPr>
          <w:b/>
          <w:sz w:val="36"/>
          <w:szCs w:val="36"/>
        </w:rPr>
        <w:br/>
        <w:t xml:space="preserve">250 mg capsule, 200 mg capsule, </w:t>
      </w:r>
      <w:r w:rsidRPr="00786D0E">
        <w:rPr>
          <w:b/>
          <w:sz w:val="36"/>
          <w:szCs w:val="36"/>
        </w:rPr>
        <w:br/>
      </w:r>
      <w:proofErr w:type="spellStart"/>
      <w:r w:rsidRPr="00786D0E">
        <w:rPr>
          <w:b/>
          <w:sz w:val="36"/>
          <w:szCs w:val="36"/>
        </w:rPr>
        <w:t>Xalkori</w:t>
      </w:r>
      <w:proofErr w:type="spellEnd"/>
      <w:r w:rsidRPr="00786D0E">
        <w:rPr>
          <w:b/>
          <w:sz w:val="36"/>
          <w:szCs w:val="36"/>
        </w:rPr>
        <w:t>®, Pfizer Australia Pty Ltd</w:t>
      </w:r>
    </w:p>
    <w:p w:rsidR="00AC59CA" w:rsidRPr="00786D0E" w:rsidRDefault="00AC59CA" w:rsidP="00AC59CA">
      <w:pPr>
        <w:pStyle w:val="Heading1"/>
        <w:jc w:val="both"/>
      </w:pPr>
      <w:bookmarkStart w:id="0" w:name="_Toc491433486"/>
      <w:r w:rsidRPr="00786D0E">
        <w:t>Purpose of Application</w:t>
      </w:r>
      <w:bookmarkEnd w:id="0"/>
    </w:p>
    <w:p w:rsidR="00D2670A" w:rsidRPr="00786D0E" w:rsidRDefault="00D2670A" w:rsidP="00D2670A">
      <w:pPr>
        <w:pStyle w:val="ListParagraph"/>
        <w:numPr>
          <w:ilvl w:val="1"/>
          <w:numId w:val="2"/>
        </w:numPr>
        <w:spacing w:before="0" w:after="120"/>
        <w:jc w:val="both"/>
      </w:pPr>
      <w:r w:rsidRPr="00786D0E">
        <w:t xml:space="preserve">The submission requested a new Section 85 Authority Required PBS listing for </w:t>
      </w:r>
      <w:proofErr w:type="spellStart"/>
      <w:r w:rsidRPr="00786D0E">
        <w:t>crizotinib</w:t>
      </w:r>
      <w:proofErr w:type="spellEnd"/>
      <w:r w:rsidRPr="00786D0E">
        <w:t xml:space="preserve"> for the treatment of patients with locally advanced (Stage IIIB) or metastatic (Stage IV) </w:t>
      </w:r>
      <w:r w:rsidRPr="00786D0E">
        <w:rPr>
          <w:i/>
        </w:rPr>
        <w:t>ROS1</w:t>
      </w:r>
      <w:r w:rsidRPr="00786D0E">
        <w:t>-positive NSCLC, who have disease progression on or following treatment with platinum-based chemotherapy.</w:t>
      </w:r>
    </w:p>
    <w:p w:rsidR="00AC59CA" w:rsidRPr="00786D0E" w:rsidRDefault="00AC59CA" w:rsidP="000D39E9">
      <w:pPr>
        <w:pStyle w:val="ListParagraph"/>
        <w:numPr>
          <w:ilvl w:val="1"/>
          <w:numId w:val="2"/>
        </w:numPr>
        <w:spacing w:before="0" w:after="120"/>
        <w:jc w:val="both"/>
      </w:pPr>
      <w:r w:rsidRPr="00786D0E">
        <w:t xml:space="preserve">The </w:t>
      </w:r>
      <w:proofErr w:type="spellStart"/>
      <w:r w:rsidR="009D2AC1" w:rsidRPr="00786D0E">
        <w:t>codependent</w:t>
      </w:r>
      <w:proofErr w:type="spellEnd"/>
      <w:r w:rsidR="009D2AC1" w:rsidRPr="00786D0E">
        <w:t xml:space="preserve"> integrated </w:t>
      </w:r>
      <w:r w:rsidRPr="00786D0E">
        <w:t xml:space="preserve">submission </w:t>
      </w:r>
      <w:r w:rsidR="009D2AC1" w:rsidRPr="00786D0E">
        <w:t xml:space="preserve">also </w:t>
      </w:r>
      <w:r w:rsidRPr="00786D0E">
        <w:t xml:space="preserve">requested </w:t>
      </w:r>
      <w:r w:rsidR="009D2AC1" w:rsidRPr="00786D0E">
        <w:t xml:space="preserve">that </w:t>
      </w:r>
      <w:r w:rsidRPr="00786D0E">
        <w:t xml:space="preserve">a new </w:t>
      </w:r>
      <w:r w:rsidR="0094397D" w:rsidRPr="00786D0E">
        <w:t>Medical Benefits Schedule (</w:t>
      </w:r>
      <w:r w:rsidRPr="00786D0E">
        <w:t>MBS</w:t>
      </w:r>
      <w:r w:rsidR="0094397D" w:rsidRPr="00786D0E">
        <w:t>)</w:t>
      </w:r>
      <w:r w:rsidRPr="00786D0E">
        <w:t xml:space="preserve"> item number for </w:t>
      </w:r>
      <w:r w:rsidR="00420D95" w:rsidRPr="00786D0E">
        <w:rPr>
          <w:i/>
        </w:rPr>
        <w:t>ROS</w:t>
      </w:r>
      <w:r w:rsidRPr="00786D0E">
        <w:t xml:space="preserve"> proto-oncogene 1 (</w:t>
      </w:r>
      <w:r w:rsidR="00420D95" w:rsidRPr="00786D0E">
        <w:rPr>
          <w:i/>
        </w:rPr>
        <w:t>ROS1</w:t>
      </w:r>
      <w:r w:rsidRPr="00786D0E">
        <w:t xml:space="preserve">) fluorescent in-situ hybridisation (FISH) testing as a co-dependent medical service that is performed to inform eligibility for </w:t>
      </w:r>
      <w:proofErr w:type="spellStart"/>
      <w:r w:rsidRPr="00786D0E">
        <w:t>crizotinib</w:t>
      </w:r>
      <w:proofErr w:type="spellEnd"/>
      <w:r w:rsidRPr="00786D0E">
        <w:t xml:space="preserve"> treatment in patients with </w:t>
      </w:r>
      <w:r w:rsidR="001E41F2" w:rsidRPr="00786D0E">
        <w:rPr>
          <w:i/>
        </w:rPr>
        <w:t>ROS1</w:t>
      </w:r>
      <w:r w:rsidR="000F6482" w:rsidRPr="00786D0E">
        <w:t>-</w:t>
      </w:r>
      <w:r w:rsidR="001E41F2" w:rsidRPr="00786D0E">
        <w:t xml:space="preserve">positive </w:t>
      </w:r>
      <w:r w:rsidRPr="00786D0E">
        <w:t>locally advanced (Stage IIIB) or metastatic (Stage IV), non-squamous or histology not otherwise specified (NOS), non-small cell lung cancer (NSCLC) without either activating mutations of the epidermal growth factor receptor (</w:t>
      </w:r>
      <w:r w:rsidR="00420D95" w:rsidRPr="00786D0E">
        <w:rPr>
          <w:i/>
        </w:rPr>
        <w:t>EGFR</w:t>
      </w:r>
      <w:r w:rsidRPr="00786D0E">
        <w:t>) gene or anaplastic lymphoma kinase (</w:t>
      </w:r>
      <w:r w:rsidR="00420D95" w:rsidRPr="00786D0E">
        <w:rPr>
          <w:i/>
        </w:rPr>
        <w:t>ALK</w:t>
      </w:r>
      <w:r w:rsidRPr="00786D0E">
        <w:t>) gene rearrangement.</w:t>
      </w:r>
      <w:r w:rsidR="009D2AC1" w:rsidRPr="00786D0E">
        <w:t xml:space="preserve"> This aspect is being considered by the Medical Services Advisory Committee (MSAC).</w:t>
      </w:r>
    </w:p>
    <w:p w:rsidR="00AC59CA" w:rsidRPr="00786D0E" w:rsidRDefault="00AC59CA" w:rsidP="00AC59CA">
      <w:pPr>
        <w:pStyle w:val="TableHeading0"/>
        <w:jc w:val="both"/>
      </w:pPr>
      <w:r w:rsidRPr="00786D0E">
        <w:t>Table 1: Key components of the clinical issue addressed by the 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submission"/>
      </w:tblPr>
      <w:tblGrid>
        <w:gridCol w:w="1383"/>
        <w:gridCol w:w="4204"/>
        <w:gridCol w:w="3495"/>
      </w:tblGrid>
      <w:tr w:rsidR="00AC59CA" w:rsidRPr="00786D0E" w:rsidTr="001F354C">
        <w:trPr>
          <w:cnfStyle w:val="100000000000" w:firstRow="1" w:lastRow="0" w:firstColumn="0" w:lastColumn="0" w:oddVBand="0" w:evenVBand="0" w:oddHBand="0" w:evenHBand="0" w:firstRowFirstColumn="0" w:firstRowLastColumn="0" w:lastRowFirstColumn="0" w:lastRowLastColumn="0"/>
          <w:cantSplit/>
          <w:tblHeader/>
        </w:trPr>
        <w:tc>
          <w:tcPr>
            <w:tcW w:w="1395" w:type="dxa"/>
            <w:shd w:val="clear" w:color="auto" w:fill="auto"/>
          </w:tcPr>
          <w:p w:rsidR="00AC59CA" w:rsidRPr="00786D0E" w:rsidRDefault="00AC59CA" w:rsidP="001F354C">
            <w:pPr>
              <w:pStyle w:val="TableText"/>
              <w:jc w:val="both"/>
              <w:rPr>
                <w:lang w:val="en-AU"/>
              </w:rPr>
            </w:pPr>
            <w:r w:rsidRPr="00786D0E">
              <w:rPr>
                <w:lang w:val="en-AU"/>
              </w:rPr>
              <w:t>Component</w:t>
            </w:r>
          </w:p>
        </w:tc>
        <w:tc>
          <w:tcPr>
            <w:tcW w:w="4289" w:type="dxa"/>
            <w:shd w:val="clear" w:color="auto" w:fill="auto"/>
          </w:tcPr>
          <w:p w:rsidR="00AC59CA" w:rsidRPr="00786D0E" w:rsidRDefault="00AC59CA" w:rsidP="00D21418">
            <w:pPr>
              <w:pStyle w:val="TableText"/>
              <w:jc w:val="both"/>
              <w:rPr>
                <w:lang w:val="en-AU"/>
              </w:rPr>
            </w:pPr>
            <w:r w:rsidRPr="00786D0E">
              <w:rPr>
                <w:lang w:val="en-AU"/>
              </w:rPr>
              <w:t xml:space="preserve">Description </w:t>
            </w:r>
            <w:r w:rsidR="00D21418" w:rsidRPr="00786D0E">
              <w:rPr>
                <w:lang w:val="en-AU"/>
              </w:rPr>
              <w:t>for medicine</w:t>
            </w:r>
          </w:p>
        </w:tc>
        <w:tc>
          <w:tcPr>
            <w:tcW w:w="3558" w:type="dxa"/>
            <w:shd w:val="clear" w:color="auto" w:fill="auto"/>
          </w:tcPr>
          <w:p w:rsidR="00AC59CA" w:rsidRPr="00786D0E" w:rsidRDefault="00AC59CA" w:rsidP="00D21418">
            <w:pPr>
              <w:pStyle w:val="TableText"/>
              <w:jc w:val="both"/>
              <w:rPr>
                <w:lang w:val="en-AU"/>
              </w:rPr>
            </w:pPr>
            <w:r w:rsidRPr="00786D0E">
              <w:rPr>
                <w:lang w:val="en-AU"/>
              </w:rPr>
              <w:t xml:space="preserve">Description </w:t>
            </w:r>
            <w:r w:rsidR="00D21418" w:rsidRPr="00786D0E">
              <w:rPr>
                <w:lang w:val="en-AU"/>
              </w:rPr>
              <w:t>for t</w:t>
            </w:r>
            <w:r w:rsidRPr="00786D0E">
              <w:rPr>
                <w:lang w:val="en-AU"/>
              </w:rPr>
              <w:t>est</w:t>
            </w:r>
          </w:p>
        </w:tc>
      </w:tr>
      <w:tr w:rsidR="00AC59CA" w:rsidRPr="00786D0E" w:rsidTr="001F354C">
        <w:trPr>
          <w:cantSplit/>
        </w:trPr>
        <w:tc>
          <w:tcPr>
            <w:tcW w:w="1395" w:type="dxa"/>
            <w:shd w:val="clear" w:color="auto" w:fill="auto"/>
          </w:tcPr>
          <w:p w:rsidR="00AC59CA" w:rsidRPr="00786D0E" w:rsidRDefault="00AC59CA" w:rsidP="001F354C">
            <w:pPr>
              <w:pStyle w:val="TableText"/>
              <w:jc w:val="both"/>
              <w:rPr>
                <w:lang w:val="en-AU"/>
              </w:rPr>
            </w:pPr>
            <w:r w:rsidRPr="00786D0E">
              <w:rPr>
                <w:lang w:val="en-AU"/>
              </w:rPr>
              <w:t>Population</w:t>
            </w:r>
          </w:p>
        </w:tc>
        <w:tc>
          <w:tcPr>
            <w:tcW w:w="4289" w:type="dxa"/>
            <w:shd w:val="clear" w:color="auto" w:fill="auto"/>
          </w:tcPr>
          <w:p w:rsidR="00AC59CA" w:rsidRPr="00786D0E" w:rsidRDefault="00AC59CA" w:rsidP="00AC7F85">
            <w:pPr>
              <w:pStyle w:val="TableText"/>
              <w:jc w:val="both"/>
              <w:rPr>
                <w:lang w:val="en-AU"/>
              </w:rPr>
            </w:pPr>
            <w:r w:rsidRPr="00786D0E">
              <w:rPr>
                <w:lang w:val="en-AU"/>
              </w:rPr>
              <w:t xml:space="preserve">Locally advanced (Stage IIIB) or metastatic (Stage IV) non-squamous NSCLC with evidence of a </w:t>
            </w:r>
            <w:r w:rsidR="00420D95" w:rsidRPr="00786D0E">
              <w:rPr>
                <w:i/>
                <w:lang w:val="en-AU"/>
              </w:rPr>
              <w:t>ROS1</w:t>
            </w:r>
            <w:r w:rsidRPr="00786D0E">
              <w:rPr>
                <w:lang w:val="en-AU"/>
              </w:rPr>
              <w:t xml:space="preserve"> gene rearrangement </w:t>
            </w:r>
            <w:r w:rsidRPr="00786D0E">
              <w:rPr>
                <w:vertAlign w:val="superscript"/>
                <w:lang w:val="en-AU"/>
              </w:rPr>
              <w:t>a</w:t>
            </w:r>
          </w:p>
        </w:tc>
        <w:tc>
          <w:tcPr>
            <w:tcW w:w="3558" w:type="dxa"/>
            <w:shd w:val="clear" w:color="auto" w:fill="auto"/>
          </w:tcPr>
          <w:p w:rsidR="00AC59CA" w:rsidRPr="00786D0E" w:rsidRDefault="00AC59CA" w:rsidP="001F354C">
            <w:pPr>
              <w:pStyle w:val="TableText"/>
              <w:jc w:val="both"/>
              <w:rPr>
                <w:lang w:val="en-AU"/>
              </w:rPr>
            </w:pPr>
            <w:r w:rsidRPr="00786D0E">
              <w:rPr>
                <w:lang w:val="en-AU"/>
              </w:rPr>
              <w:t xml:space="preserve">Locally advanced (Stage IIIB) or metastatic (Stage IV) non-squamous or histology NOS specified NSCLC without both </w:t>
            </w:r>
            <w:r w:rsidR="00420D95" w:rsidRPr="00786D0E">
              <w:rPr>
                <w:i/>
                <w:lang w:val="en-AU"/>
              </w:rPr>
              <w:t>EGFR</w:t>
            </w:r>
            <w:r w:rsidRPr="00786D0E">
              <w:rPr>
                <w:lang w:val="en-AU"/>
              </w:rPr>
              <w:t xml:space="preserve"> activating mutations and </w:t>
            </w:r>
            <w:r w:rsidR="00420D95" w:rsidRPr="00786D0E">
              <w:rPr>
                <w:i/>
                <w:lang w:val="en-AU"/>
              </w:rPr>
              <w:t>ALK</w:t>
            </w:r>
            <w:r w:rsidRPr="00786D0E">
              <w:rPr>
                <w:lang w:val="en-AU"/>
              </w:rPr>
              <w:t xml:space="preserve"> gene rearrangements and have demonstrated 2+ or 3+ staining intensity for the </w:t>
            </w:r>
            <w:r w:rsidR="00420D95" w:rsidRPr="00786D0E">
              <w:rPr>
                <w:i/>
                <w:lang w:val="en-AU"/>
              </w:rPr>
              <w:t>ROS1</w:t>
            </w:r>
            <w:r w:rsidR="000421B7" w:rsidRPr="00786D0E">
              <w:rPr>
                <w:lang w:val="en-AU"/>
              </w:rPr>
              <w:t xml:space="preserve"> protein by IHC</w:t>
            </w:r>
          </w:p>
        </w:tc>
      </w:tr>
      <w:tr w:rsidR="00AC59CA" w:rsidRPr="00786D0E" w:rsidTr="001F354C">
        <w:trPr>
          <w:cantSplit/>
        </w:trPr>
        <w:tc>
          <w:tcPr>
            <w:tcW w:w="1395" w:type="dxa"/>
            <w:shd w:val="clear" w:color="auto" w:fill="auto"/>
          </w:tcPr>
          <w:p w:rsidR="00AC59CA" w:rsidRPr="00786D0E" w:rsidRDefault="00AC59CA" w:rsidP="001F354C">
            <w:pPr>
              <w:pStyle w:val="TableText"/>
              <w:jc w:val="both"/>
              <w:rPr>
                <w:lang w:val="en-AU"/>
              </w:rPr>
            </w:pPr>
            <w:r w:rsidRPr="00786D0E">
              <w:rPr>
                <w:lang w:val="en-AU"/>
              </w:rPr>
              <w:t>Intervention</w:t>
            </w:r>
          </w:p>
        </w:tc>
        <w:tc>
          <w:tcPr>
            <w:tcW w:w="4289" w:type="dxa"/>
            <w:shd w:val="clear" w:color="auto" w:fill="auto"/>
          </w:tcPr>
          <w:p w:rsidR="00AC59CA" w:rsidRPr="00786D0E" w:rsidRDefault="00AC59CA" w:rsidP="001F354C">
            <w:pPr>
              <w:pStyle w:val="TableText"/>
              <w:jc w:val="both"/>
              <w:rPr>
                <w:lang w:val="en-AU"/>
              </w:rPr>
            </w:pPr>
            <w:proofErr w:type="spellStart"/>
            <w:r w:rsidRPr="00786D0E">
              <w:rPr>
                <w:lang w:val="en-AU"/>
              </w:rPr>
              <w:t>Crizotin</w:t>
            </w:r>
            <w:r w:rsidR="000421B7" w:rsidRPr="00786D0E">
              <w:rPr>
                <w:lang w:val="en-AU"/>
              </w:rPr>
              <w:t>ib</w:t>
            </w:r>
            <w:proofErr w:type="spellEnd"/>
            <w:r w:rsidR="000421B7" w:rsidRPr="00786D0E">
              <w:rPr>
                <w:lang w:val="en-AU"/>
              </w:rPr>
              <w:t xml:space="preserve"> 200 mg or 250 mg twice daily</w:t>
            </w:r>
          </w:p>
        </w:tc>
        <w:tc>
          <w:tcPr>
            <w:tcW w:w="3558" w:type="dxa"/>
            <w:shd w:val="clear" w:color="auto" w:fill="auto"/>
          </w:tcPr>
          <w:p w:rsidR="00AC59CA" w:rsidRPr="00786D0E" w:rsidRDefault="00AC59CA" w:rsidP="001F354C">
            <w:pPr>
              <w:pStyle w:val="TableText"/>
              <w:jc w:val="both"/>
              <w:rPr>
                <w:lang w:val="en-AU"/>
              </w:rPr>
            </w:pPr>
            <w:r w:rsidRPr="00786D0E">
              <w:rPr>
                <w:lang w:val="en-AU"/>
              </w:rPr>
              <w:t xml:space="preserve">FISH testing for </w:t>
            </w:r>
            <w:r w:rsidR="00420D95" w:rsidRPr="00786D0E">
              <w:rPr>
                <w:i/>
                <w:lang w:val="en-AU"/>
              </w:rPr>
              <w:t>ROS1</w:t>
            </w:r>
            <w:r w:rsidRPr="00786D0E">
              <w:rPr>
                <w:lang w:val="en-AU"/>
              </w:rPr>
              <w:t xml:space="preserve"> gene rearrangement after positive IHC testing </w:t>
            </w:r>
            <w:r w:rsidRPr="00786D0E">
              <w:rPr>
                <w:vertAlign w:val="superscript"/>
                <w:lang w:val="en-AU"/>
              </w:rPr>
              <w:t>b</w:t>
            </w:r>
            <w:r w:rsidRPr="00786D0E">
              <w:rPr>
                <w:lang w:val="en-AU"/>
              </w:rPr>
              <w:t xml:space="preserve"> for </w:t>
            </w:r>
            <w:r w:rsidR="00420D95" w:rsidRPr="00786D0E">
              <w:rPr>
                <w:i/>
                <w:lang w:val="en-AU"/>
              </w:rPr>
              <w:t>ROS1</w:t>
            </w:r>
          </w:p>
        </w:tc>
      </w:tr>
      <w:tr w:rsidR="00AC59CA" w:rsidRPr="00786D0E" w:rsidTr="001F354C">
        <w:trPr>
          <w:cantSplit/>
        </w:trPr>
        <w:tc>
          <w:tcPr>
            <w:tcW w:w="1395" w:type="dxa"/>
            <w:shd w:val="clear" w:color="auto" w:fill="auto"/>
          </w:tcPr>
          <w:p w:rsidR="00AC59CA" w:rsidRPr="00786D0E" w:rsidRDefault="00AC59CA" w:rsidP="001F354C">
            <w:pPr>
              <w:pStyle w:val="TableText"/>
              <w:jc w:val="both"/>
              <w:rPr>
                <w:lang w:val="en-AU"/>
              </w:rPr>
            </w:pPr>
            <w:r w:rsidRPr="00786D0E">
              <w:rPr>
                <w:lang w:val="en-AU"/>
              </w:rPr>
              <w:t>Comparator</w:t>
            </w:r>
          </w:p>
        </w:tc>
        <w:tc>
          <w:tcPr>
            <w:tcW w:w="4289" w:type="dxa"/>
            <w:shd w:val="clear" w:color="auto" w:fill="auto"/>
          </w:tcPr>
          <w:p w:rsidR="00AC59CA" w:rsidRPr="00786D0E" w:rsidRDefault="000421B7" w:rsidP="001F354C">
            <w:pPr>
              <w:pStyle w:val="TableText"/>
              <w:jc w:val="both"/>
              <w:rPr>
                <w:lang w:val="en-AU"/>
              </w:rPr>
            </w:pPr>
            <w:r w:rsidRPr="00786D0E">
              <w:rPr>
                <w:lang w:val="en-AU"/>
              </w:rPr>
              <w:t xml:space="preserve">Standard of care: </w:t>
            </w:r>
            <w:proofErr w:type="spellStart"/>
            <w:r w:rsidRPr="00786D0E">
              <w:rPr>
                <w:lang w:val="en-AU"/>
              </w:rPr>
              <w:t>pemetrexed</w:t>
            </w:r>
            <w:proofErr w:type="spellEnd"/>
          </w:p>
        </w:tc>
        <w:tc>
          <w:tcPr>
            <w:tcW w:w="3558" w:type="dxa"/>
            <w:shd w:val="clear" w:color="auto" w:fill="auto"/>
          </w:tcPr>
          <w:p w:rsidR="00AC59CA" w:rsidRPr="00786D0E" w:rsidRDefault="00AC59CA" w:rsidP="001F354C">
            <w:pPr>
              <w:pStyle w:val="TableText"/>
              <w:jc w:val="both"/>
              <w:rPr>
                <w:lang w:val="en-AU"/>
              </w:rPr>
            </w:pPr>
            <w:r w:rsidRPr="00786D0E">
              <w:rPr>
                <w:lang w:val="en-AU"/>
              </w:rPr>
              <w:t xml:space="preserve">No </w:t>
            </w:r>
            <w:r w:rsidR="00420D95" w:rsidRPr="00786D0E">
              <w:rPr>
                <w:i/>
                <w:lang w:val="en-AU"/>
              </w:rPr>
              <w:t>ROS1</w:t>
            </w:r>
            <w:r w:rsidR="000421B7" w:rsidRPr="00786D0E">
              <w:rPr>
                <w:lang w:val="en-AU"/>
              </w:rPr>
              <w:t xml:space="preserve"> gene rearrangement testing</w:t>
            </w:r>
          </w:p>
        </w:tc>
      </w:tr>
      <w:tr w:rsidR="00AC59CA" w:rsidRPr="00786D0E" w:rsidTr="001F354C">
        <w:trPr>
          <w:cantSplit/>
        </w:trPr>
        <w:tc>
          <w:tcPr>
            <w:tcW w:w="1395" w:type="dxa"/>
            <w:shd w:val="clear" w:color="auto" w:fill="auto"/>
          </w:tcPr>
          <w:p w:rsidR="00AC59CA" w:rsidRPr="00786D0E" w:rsidRDefault="00AC59CA" w:rsidP="001F354C">
            <w:pPr>
              <w:pStyle w:val="TableText"/>
              <w:jc w:val="both"/>
              <w:rPr>
                <w:lang w:val="en-AU"/>
              </w:rPr>
            </w:pPr>
            <w:r w:rsidRPr="00786D0E">
              <w:rPr>
                <w:lang w:val="en-AU"/>
              </w:rPr>
              <w:t>Outcomes</w:t>
            </w:r>
          </w:p>
        </w:tc>
        <w:tc>
          <w:tcPr>
            <w:tcW w:w="4289" w:type="dxa"/>
            <w:shd w:val="clear" w:color="auto" w:fill="auto"/>
          </w:tcPr>
          <w:p w:rsidR="00AC59CA" w:rsidRPr="00786D0E" w:rsidRDefault="00AC59CA" w:rsidP="001F354C">
            <w:pPr>
              <w:pStyle w:val="TableText"/>
              <w:jc w:val="both"/>
              <w:rPr>
                <w:lang w:val="en-AU"/>
              </w:rPr>
            </w:pPr>
            <w:r w:rsidRPr="00786D0E">
              <w:rPr>
                <w:lang w:val="en-AU"/>
              </w:rPr>
              <w:t>Progression-free survival, overall surviva</w:t>
            </w:r>
            <w:r w:rsidR="000421B7" w:rsidRPr="00786D0E">
              <w:rPr>
                <w:lang w:val="en-AU"/>
              </w:rPr>
              <w:t>l and adverse events</w:t>
            </w:r>
          </w:p>
        </w:tc>
        <w:tc>
          <w:tcPr>
            <w:tcW w:w="3558" w:type="dxa"/>
            <w:shd w:val="clear" w:color="auto" w:fill="auto"/>
          </w:tcPr>
          <w:p w:rsidR="00AC59CA" w:rsidRPr="00786D0E" w:rsidRDefault="00AC59CA" w:rsidP="001F354C">
            <w:pPr>
              <w:pStyle w:val="TableText"/>
              <w:jc w:val="both"/>
              <w:rPr>
                <w:lang w:val="en-AU"/>
              </w:rPr>
            </w:pPr>
            <w:r w:rsidRPr="00786D0E">
              <w:rPr>
                <w:lang w:val="en-AU"/>
              </w:rPr>
              <w:t>Analytic performance: sensitivity, specificity, NPV, PPV</w:t>
            </w:r>
          </w:p>
          <w:p w:rsidR="00AC59CA" w:rsidRPr="00786D0E" w:rsidRDefault="00AC59CA" w:rsidP="001F354C">
            <w:pPr>
              <w:pStyle w:val="TableText"/>
              <w:jc w:val="both"/>
              <w:rPr>
                <w:lang w:val="en-AU"/>
              </w:rPr>
            </w:pPr>
            <w:r w:rsidRPr="00786D0E">
              <w:rPr>
                <w:lang w:val="en-AU"/>
              </w:rPr>
              <w:t>Comparative performance: concordance with evidentiary standard, ROC, reclassification index</w:t>
            </w:r>
          </w:p>
          <w:p w:rsidR="00AC59CA" w:rsidRPr="00786D0E" w:rsidRDefault="00AC59CA" w:rsidP="001F354C">
            <w:pPr>
              <w:pStyle w:val="TableText"/>
              <w:jc w:val="both"/>
              <w:rPr>
                <w:lang w:val="en-AU"/>
              </w:rPr>
            </w:pPr>
            <w:r w:rsidRPr="00786D0E">
              <w:rPr>
                <w:lang w:val="en-AU"/>
              </w:rPr>
              <w:t>Rates of re-testing and rates of re-biopsy</w:t>
            </w:r>
          </w:p>
        </w:tc>
      </w:tr>
      <w:tr w:rsidR="00AC59CA" w:rsidRPr="00786D0E" w:rsidTr="001F354C">
        <w:trPr>
          <w:cantSplit/>
        </w:trPr>
        <w:tc>
          <w:tcPr>
            <w:tcW w:w="1395" w:type="dxa"/>
            <w:shd w:val="clear" w:color="auto" w:fill="auto"/>
          </w:tcPr>
          <w:p w:rsidR="00AC59CA" w:rsidRPr="00786D0E" w:rsidRDefault="00AC59CA" w:rsidP="001F354C">
            <w:pPr>
              <w:pStyle w:val="TableText"/>
              <w:jc w:val="both"/>
              <w:rPr>
                <w:lang w:val="en-AU"/>
              </w:rPr>
            </w:pPr>
            <w:r w:rsidRPr="00786D0E">
              <w:rPr>
                <w:lang w:val="en-AU"/>
              </w:rPr>
              <w:t>Clinical claim</w:t>
            </w:r>
          </w:p>
        </w:tc>
        <w:tc>
          <w:tcPr>
            <w:tcW w:w="7847" w:type="dxa"/>
            <w:gridSpan w:val="2"/>
            <w:shd w:val="clear" w:color="auto" w:fill="auto"/>
          </w:tcPr>
          <w:p w:rsidR="00AC59CA" w:rsidRPr="00786D0E" w:rsidRDefault="00AC59CA" w:rsidP="000421B7">
            <w:pPr>
              <w:pStyle w:val="TableText"/>
              <w:jc w:val="both"/>
              <w:rPr>
                <w:lang w:val="en-AU"/>
              </w:rPr>
            </w:pPr>
            <w:r w:rsidRPr="00786D0E">
              <w:rPr>
                <w:lang w:val="en-AU"/>
              </w:rPr>
              <w:t xml:space="preserve">The overall claim </w:t>
            </w:r>
            <w:r w:rsidR="000421B7" w:rsidRPr="00786D0E">
              <w:rPr>
                <w:lang w:val="en-AU"/>
              </w:rPr>
              <w:t>wa</w:t>
            </w:r>
            <w:r w:rsidRPr="00786D0E">
              <w:rPr>
                <w:lang w:val="en-AU"/>
              </w:rPr>
              <w:t xml:space="preserve">s for superior efficacy and safety over standard care (no testing for </w:t>
            </w:r>
            <w:r w:rsidR="00420D95" w:rsidRPr="00786D0E">
              <w:rPr>
                <w:i/>
                <w:lang w:val="en-AU"/>
              </w:rPr>
              <w:t>ROS1</w:t>
            </w:r>
            <w:r w:rsidRPr="00786D0E">
              <w:rPr>
                <w:lang w:val="en-AU"/>
              </w:rPr>
              <w:t xml:space="preserve"> rearrangements and standard of care treatments).</w:t>
            </w:r>
          </w:p>
        </w:tc>
      </w:tr>
    </w:tbl>
    <w:p w:rsidR="00AC59CA" w:rsidRPr="00786D0E" w:rsidRDefault="00AC59CA" w:rsidP="00AC59CA">
      <w:pPr>
        <w:pStyle w:val="TableFooter"/>
        <w:widowControl/>
      </w:pPr>
      <w:r w:rsidRPr="00786D0E">
        <w:t>Source: Table 1.1.1, p4 of the submission</w:t>
      </w:r>
    </w:p>
    <w:p w:rsidR="00AC59CA" w:rsidRPr="00786D0E" w:rsidRDefault="00420D95" w:rsidP="00AC59CA">
      <w:pPr>
        <w:pStyle w:val="TableFooter"/>
        <w:widowControl/>
      </w:pPr>
      <w:r w:rsidRPr="00786D0E">
        <w:rPr>
          <w:i/>
        </w:rPr>
        <w:t>ALK</w:t>
      </w:r>
      <w:r w:rsidR="00AC59CA" w:rsidRPr="00786D0E">
        <w:t xml:space="preserve"> = anaplastic lymphoma kinase; </w:t>
      </w:r>
      <w:r w:rsidRPr="00786D0E">
        <w:rPr>
          <w:i/>
        </w:rPr>
        <w:t>EGFR</w:t>
      </w:r>
      <w:r w:rsidR="00AC59CA" w:rsidRPr="00786D0E">
        <w:t xml:space="preserve"> = epidermal growth factor receptor; FISH = fluorescent in-situ hybridisation; </w:t>
      </w:r>
      <w:r w:rsidR="00AC59CA" w:rsidRPr="00786D0E">
        <w:br/>
        <w:t xml:space="preserve">IHC = immunohistochemistry; NPV = negative predictive value; NSCLC = non-small cell lung cancer; NOS = not otherwise specified; </w:t>
      </w:r>
      <w:r w:rsidR="00AC59CA" w:rsidRPr="00786D0E">
        <w:br/>
        <w:t xml:space="preserve">PPV = positive predictive value; ROC = receiver operating characteristic; </w:t>
      </w:r>
      <w:r w:rsidRPr="00786D0E">
        <w:rPr>
          <w:i/>
        </w:rPr>
        <w:t>ROS1</w:t>
      </w:r>
      <w:r w:rsidR="00AC59CA" w:rsidRPr="00786D0E">
        <w:t xml:space="preserve"> = </w:t>
      </w:r>
      <w:r w:rsidR="00AC59CA" w:rsidRPr="00786D0E">
        <w:rPr>
          <w:i/>
        </w:rPr>
        <w:t>ROS</w:t>
      </w:r>
      <w:r w:rsidR="00AC59CA" w:rsidRPr="00786D0E">
        <w:t xml:space="preserve"> proto-oncogene 1; WHO = World Health Organisation</w:t>
      </w:r>
    </w:p>
    <w:p w:rsidR="00AC59CA" w:rsidRPr="00786D0E" w:rsidRDefault="00AC59CA" w:rsidP="00AC59CA">
      <w:pPr>
        <w:pStyle w:val="TableFooter"/>
        <w:widowControl/>
      </w:pPr>
      <w:proofErr w:type="gramStart"/>
      <w:r w:rsidRPr="00786D0E">
        <w:rPr>
          <w:vertAlign w:val="superscript"/>
        </w:rPr>
        <w:t>a</w:t>
      </w:r>
      <w:proofErr w:type="gramEnd"/>
      <w:r w:rsidRPr="00786D0E">
        <w:rPr>
          <w:vertAlign w:val="superscript"/>
        </w:rPr>
        <w:t xml:space="preserve"> </w:t>
      </w:r>
      <w:r w:rsidRPr="00786D0E">
        <w:t>Defined as 15% (or greater) positive cells by FISH</w:t>
      </w:r>
    </w:p>
    <w:p w:rsidR="00AC59CA" w:rsidRPr="00786D0E" w:rsidRDefault="00AC59CA" w:rsidP="00AC59CA">
      <w:pPr>
        <w:pStyle w:val="TableFooter"/>
        <w:widowControl/>
      </w:pPr>
      <w:proofErr w:type="gramStart"/>
      <w:r w:rsidRPr="00786D0E">
        <w:rPr>
          <w:vertAlign w:val="superscript"/>
        </w:rPr>
        <w:t>b</w:t>
      </w:r>
      <w:proofErr w:type="gramEnd"/>
      <w:r w:rsidRPr="00786D0E">
        <w:rPr>
          <w:vertAlign w:val="superscript"/>
        </w:rPr>
        <w:t xml:space="preserve"> </w:t>
      </w:r>
      <w:r w:rsidRPr="00786D0E">
        <w:t xml:space="preserve">IHC to be performed as a </w:t>
      </w:r>
      <w:r w:rsidR="0085501F" w:rsidRPr="00786D0E">
        <w:t>pr</w:t>
      </w:r>
      <w:r w:rsidR="001D2A21" w:rsidRPr="00786D0E">
        <w:t>e-</w:t>
      </w:r>
      <w:r w:rsidRPr="00786D0E">
        <w:t xml:space="preserve">test </w:t>
      </w:r>
      <w:r w:rsidR="0085501F" w:rsidRPr="00786D0E">
        <w:t>as basis to decide whether to perform</w:t>
      </w:r>
      <w:r w:rsidRPr="00786D0E">
        <w:t xml:space="preserve"> confirmatory FISH testing</w:t>
      </w:r>
    </w:p>
    <w:p w:rsidR="00AC59CA" w:rsidRPr="00786D0E" w:rsidRDefault="00AC59CA" w:rsidP="000D39E9">
      <w:pPr>
        <w:pStyle w:val="Heading1"/>
        <w:numPr>
          <w:ilvl w:val="0"/>
          <w:numId w:val="2"/>
        </w:numPr>
        <w:spacing w:before="200"/>
        <w:jc w:val="both"/>
      </w:pPr>
      <w:bookmarkStart w:id="1" w:name="_Toc413139272"/>
      <w:bookmarkStart w:id="2" w:name="_Toc491433487"/>
      <w:r w:rsidRPr="00786D0E">
        <w:lastRenderedPageBreak/>
        <w:t>Requested listing</w:t>
      </w:r>
      <w:bookmarkEnd w:id="1"/>
      <w:bookmarkEnd w:id="2"/>
    </w:p>
    <w:p w:rsidR="00AC59CA" w:rsidRPr="00786D0E" w:rsidRDefault="00AC59CA" w:rsidP="000D39E9">
      <w:pPr>
        <w:pStyle w:val="ListParagraph"/>
        <w:numPr>
          <w:ilvl w:val="1"/>
          <w:numId w:val="2"/>
        </w:numPr>
        <w:spacing w:before="0" w:after="120"/>
        <w:jc w:val="both"/>
      </w:pPr>
      <w:r w:rsidRPr="00786D0E">
        <w:t xml:space="preserve">The submission requested a new Section 85 Authority Required PBS listing for </w:t>
      </w:r>
      <w:proofErr w:type="spellStart"/>
      <w:r w:rsidRPr="00786D0E">
        <w:t>crizotinib</w:t>
      </w:r>
      <w:proofErr w:type="spellEnd"/>
      <w:r w:rsidRPr="00786D0E">
        <w:t xml:space="preserve"> for the treatment of patients with locally advanced (Stage IIIB) or metastatic (Stage IV) </w:t>
      </w:r>
      <w:r w:rsidR="00420D95" w:rsidRPr="00786D0E">
        <w:rPr>
          <w:i/>
        </w:rPr>
        <w:t>ROS1</w:t>
      </w:r>
      <w:r w:rsidRPr="00786D0E">
        <w:t>-positive NSCLC, who have disease progression on or following treatment with platinum</w:t>
      </w:r>
      <w:r w:rsidR="000421B7" w:rsidRPr="00786D0E">
        <w:t>-</w:t>
      </w:r>
      <w:r w:rsidRPr="00786D0E">
        <w:t>based chemotherapy.</w:t>
      </w:r>
    </w:p>
    <w:p w:rsidR="001F354C" w:rsidRPr="00786D0E" w:rsidRDefault="001F354C" w:rsidP="000D39E9">
      <w:pPr>
        <w:pStyle w:val="ListParagraph"/>
        <w:numPr>
          <w:ilvl w:val="1"/>
          <w:numId w:val="2"/>
        </w:numPr>
        <w:spacing w:before="0" w:after="120"/>
        <w:jc w:val="both"/>
      </w:pPr>
      <w:r w:rsidRPr="00786D0E">
        <w:t>Suggestions and additions proposed by the Secretariat to the requested listing are added in italics and suggested deletions are crossed out with strikethrough.</w:t>
      </w:r>
    </w:p>
    <w:tbl>
      <w:tblPr>
        <w:tblW w:w="8808" w:type="dxa"/>
        <w:tblInd w:w="89" w:type="dxa"/>
        <w:tblLayout w:type="fixed"/>
        <w:tblLook w:val="0000" w:firstRow="0" w:lastRow="0" w:firstColumn="0" w:lastColumn="0" w:noHBand="0" w:noVBand="0"/>
      </w:tblPr>
      <w:tblGrid>
        <w:gridCol w:w="19"/>
        <w:gridCol w:w="1938"/>
        <w:gridCol w:w="756"/>
        <w:gridCol w:w="992"/>
        <w:gridCol w:w="567"/>
        <w:gridCol w:w="1984"/>
        <w:gridCol w:w="2552"/>
      </w:tblGrid>
      <w:tr w:rsidR="001F354C" w:rsidRPr="00786D0E" w:rsidTr="001F354C">
        <w:trPr>
          <w:gridBefore w:val="1"/>
          <w:wBefore w:w="19" w:type="dxa"/>
          <w:cantSplit/>
          <w:trHeight w:val="471"/>
        </w:trPr>
        <w:tc>
          <w:tcPr>
            <w:tcW w:w="2694" w:type="dxa"/>
            <w:gridSpan w:val="2"/>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Name, Restriction,</w:t>
            </w:r>
          </w:p>
          <w:p w:rsidR="001F354C" w:rsidRPr="00786D0E" w:rsidRDefault="001F354C" w:rsidP="001F354C">
            <w:pPr>
              <w:spacing w:before="0" w:after="0"/>
              <w:ind w:left="-108"/>
              <w:rPr>
                <w:rFonts w:ascii="Arial Narrow" w:hAnsi="Arial Narrow"/>
                <w:sz w:val="20"/>
              </w:rPr>
            </w:pPr>
            <w:r w:rsidRPr="00786D0E">
              <w:rPr>
                <w:rFonts w:ascii="Arial Narrow" w:hAnsi="Arial Narrow"/>
                <w:sz w:val="20"/>
              </w:rPr>
              <w:t>Manner of administration and form</w:t>
            </w:r>
          </w:p>
        </w:tc>
        <w:tc>
          <w:tcPr>
            <w:tcW w:w="992"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Max.</w:t>
            </w:r>
          </w:p>
          <w:p w:rsidR="001F354C" w:rsidRPr="00786D0E" w:rsidRDefault="001F354C" w:rsidP="001F354C">
            <w:pPr>
              <w:spacing w:before="0" w:after="0"/>
              <w:ind w:left="-108"/>
              <w:rPr>
                <w:rFonts w:ascii="Arial Narrow" w:hAnsi="Arial Narrow"/>
                <w:sz w:val="20"/>
              </w:rPr>
            </w:pPr>
            <w:proofErr w:type="spellStart"/>
            <w:r w:rsidRPr="00786D0E">
              <w:rPr>
                <w:rFonts w:ascii="Arial Narrow" w:hAnsi="Arial Narrow"/>
                <w:sz w:val="20"/>
              </w:rPr>
              <w:t>Qty</w:t>
            </w:r>
            <w:proofErr w:type="spellEnd"/>
            <w:r w:rsidRPr="00786D0E">
              <w:rPr>
                <w:rFonts w:ascii="Arial Narrow" w:hAnsi="Arial Narrow"/>
                <w:sz w:val="20"/>
              </w:rPr>
              <w:t xml:space="preserve"> (packs)</w:t>
            </w:r>
          </w:p>
        </w:tc>
        <w:tc>
          <w:tcPr>
            <w:tcW w:w="567"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№.of</w:t>
            </w:r>
          </w:p>
          <w:p w:rsidR="001F354C" w:rsidRPr="00786D0E" w:rsidRDefault="001F354C" w:rsidP="001F354C">
            <w:pPr>
              <w:spacing w:before="0" w:after="0"/>
              <w:ind w:left="-108"/>
              <w:rPr>
                <w:rFonts w:ascii="Arial Narrow" w:hAnsi="Arial Narrow"/>
                <w:sz w:val="20"/>
              </w:rPr>
            </w:pPr>
            <w:proofErr w:type="spellStart"/>
            <w:r w:rsidRPr="00786D0E">
              <w:rPr>
                <w:rFonts w:ascii="Arial Narrow" w:hAnsi="Arial Narrow"/>
                <w:sz w:val="20"/>
              </w:rPr>
              <w:t>Rpts</w:t>
            </w:r>
            <w:proofErr w:type="spellEnd"/>
          </w:p>
        </w:tc>
        <w:tc>
          <w:tcPr>
            <w:tcW w:w="1984"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 xml:space="preserve">Dispensed Price for Max. </w:t>
            </w:r>
            <w:proofErr w:type="spellStart"/>
            <w:r w:rsidRPr="00786D0E">
              <w:rPr>
                <w:rFonts w:ascii="Arial Narrow" w:hAnsi="Arial Narrow"/>
                <w:sz w:val="20"/>
              </w:rPr>
              <w:t>Qty</w:t>
            </w:r>
            <w:proofErr w:type="spellEnd"/>
            <w:r w:rsidRPr="00786D0E">
              <w:rPr>
                <w:rFonts w:ascii="Arial Narrow" w:hAnsi="Arial Narrow"/>
                <w:sz w:val="20"/>
              </w:rPr>
              <w:t xml:space="preserve"> </w:t>
            </w:r>
          </w:p>
        </w:tc>
        <w:tc>
          <w:tcPr>
            <w:tcW w:w="2552" w:type="dxa"/>
            <w:tcBorders>
              <w:bottom w:val="single" w:sz="4" w:space="0" w:color="auto"/>
            </w:tcBorders>
          </w:tcPr>
          <w:p w:rsidR="001F354C" w:rsidRPr="00786D0E" w:rsidRDefault="001F354C" w:rsidP="001F354C">
            <w:pPr>
              <w:spacing w:before="0" w:after="0"/>
              <w:rPr>
                <w:rFonts w:ascii="Arial Narrow" w:hAnsi="Arial Narrow"/>
                <w:sz w:val="20"/>
              </w:rPr>
            </w:pPr>
            <w:r w:rsidRPr="00786D0E">
              <w:rPr>
                <w:rFonts w:ascii="Arial Narrow" w:hAnsi="Arial Narrow"/>
                <w:sz w:val="20"/>
              </w:rPr>
              <w:t>Proprietary Name and</w:t>
            </w:r>
          </w:p>
          <w:p w:rsidR="001F354C" w:rsidRPr="00786D0E" w:rsidRDefault="001F354C" w:rsidP="001F354C">
            <w:pPr>
              <w:spacing w:before="0" w:after="0"/>
              <w:rPr>
                <w:rFonts w:ascii="Arial Narrow" w:hAnsi="Arial Narrow"/>
                <w:sz w:val="20"/>
              </w:rPr>
            </w:pPr>
            <w:r w:rsidRPr="00786D0E">
              <w:rPr>
                <w:rFonts w:ascii="Arial Narrow" w:hAnsi="Arial Narrow"/>
                <w:sz w:val="20"/>
              </w:rPr>
              <w:t>Manufacturer</w:t>
            </w:r>
          </w:p>
        </w:tc>
      </w:tr>
      <w:tr w:rsidR="001F354C" w:rsidRPr="00786D0E" w:rsidTr="001F354C">
        <w:trPr>
          <w:gridBefore w:val="1"/>
          <w:wBefore w:w="19" w:type="dxa"/>
          <w:cantSplit/>
          <w:trHeight w:val="471"/>
        </w:trPr>
        <w:tc>
          <w:tcPr>
            <w:tcW w:w="2694" w:type="dxa"/>
            <w:gridSpan w:val="2"/>
            <w:tcBorders>
              <w:bottom w:val="single" w:sz="4" w:space="0" w:color="auto"/>
            </w:tcBorders>
          </w:tcPr>
          <w:p w:rsidR="001F354C" w:rsidRPr="00786D0E" w:rsidRDefault="001F354C" w:rsidP="001F354C">
            <w:pPr>
              <w:spacing w:before="0" w:after="0"/>
              <w:ind w:left="-108"/>
              <w:rPr>
                <w:rFonts w:ascii="Arial Narrow" w:hAnsi="Arial Narrow"/>
                <w:sz w:val="20"/>
              </w:rPr>
            </w:pPr>
            <w:proofErr w:type="spellStart"/>
            <w:r w:rsidRPr="00786D0E">
              <w:rPr>
                <w:rFonts w:ascii="Arial Narrow" w:hAnsi="Arial Narrow"/>
                <w:sz w:val="20"/>
              </w:rPr>
              <w:t>Crizotinib</w:t>
            </w:r>
            <w:proofErr w:type="spellEnd"/>
            <w:r w:rsidRPr="00786D0E">
              <w:rPr>
                <w:rFonts w:ascii="Arial Narrow" w:hAnsi="Arial Narrow"/>
                <w:sz w:val="20"/>
              </w:rPr>
              <w:br/>
              <w:t>capsule, 250 mg,</w:t>
            </w:r>
            <w:r w:rsidRPr="00786D0E">
              <w:rPr>
                <w:rFonts w:ascii="Arial Narrow" w:hAnsi="Arial Narrow"/>
                <w:i/>
                <w:sz w:val="20"/>
              </w:rPr>
              <w:t xml:space="preserve"> 60</w:t>
            </w:r>
          </w:p>
        </w:tc>
        <w:tc>
          <w:tcPr>
            <w:tcW w:w="992"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1</w:t>
            </w:r>
          </w:p>
        </w:tc>
        <w:tc>
          <w:tcPr>
            <w:tcW w:w="567"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1</w:t>
            </w:r>
          </w:p>
        </w:tc>
        <w:tc>
          <w:tcPr>
            <w:tcW w:w="1984" w:type="dxa"/>
            <w:tcBorders>
              <w:bottom w:val="single" w:sz="4" w:space="0" w:color="auto"/>
            </w:tcBorders>
          </w:tcPr>
          <w:p w:rsidR="001F354C" w:rsidRPr="00786D0E" w:rsidRDefault="001F354C" w:rsidP="001F354C">
            <w:pPr>
              <w:keepNext/>
              <w:spacing w:before="0" w:after="0"/>
              <w:ind w:left="-108"/>
              <w:rPr>
                <w:rFonts w:ascii="Arial Narrow" w:hAnsi="Arial Narrow"/>
                <w:sz w:val="20"/>
              </w:rPr>
            </w:pPr>
            <w:r w:rsidRPr="00786D0E">
              <w:rPr>
                <w:rFonts w:ascii="Arial Narrow" w:hAnsi="Arial Narrow"/>
                <w:sz w:val="20"/>
              </w:rPr>
              <w:t>$</w:t>
            </w:r>
            <w:r w:rsidRPr="00DA54D5">
              <w:rPr>
                <w:rFonts w:ascii="Arial Narrow" w:hAnsi="Arial Narrow"/>
                <w:sz w:val="20"/>
              </w:rPr>
              <w:t>7,276.18</w:t>
            </w:r>
            <w:r w:rsidRPr="00786D0E">
              <w:rPr>
                <w:rFonts w:ascii="Arial Narrow" w:hAnsi="Arial Narrow"/>
                <w:sz w:val="20"/>
              </w:rPr>
              <w:t xml:space="preserve"> (Published)</w:t>
            </w:r>
          </w:p>
          <w:p w:rsidR="001F354C" w:rsidRPr="00786D0E" w:rsidRDefault="001F354C" w:rsidP="001F354C">
            <w:pPr>
              <w:keepNext/>
              <w:spacing w:before="0" w:after="0"/>
              <w:ind w:left="-108"/>
              <w:rPr>
                <w:rFonts w:ascii="Arial Narrow" w:hAnsi="Arial Narrow"/>
                <w:sz w:val="20"/>
              </w:rPr>
            </w:pPr>
            <w:r w:rsidRPr="00786D0E">
              <w:rPr>
                <w:rFonts w:ascii="Arial Narrow" w:hAnsi="Arial Narrow"/>
                <w:sz w:val="20"/>
              </w:rPr>
              <w:t>$</w:t>
            </w:r>
            <w:r w:rsidR="001144C3">
              <w:rPr>
                <w:rFonts w:ascii="Arial Narrow" w:hAnsi="Arial Narrow"/>
                <w:noProof/>
                <w:color w:val="000000"/>
                <w:sz w:val="20"/>
                <w:highlight w:val="black"/>
              </w:rPr>
              <w:t>'''''''''''''''''''</w:t>
            </w:r>
            <w:r w:rsidRPr="00786D0E">
              <w:rPr>
                <w:rFonts w:ascii="Arial Narrow" w:hAnsi="Arial Narrow"/>
                <w:sz w:val="20"/>
              </w:rPr>
              <w:t xml:space="preserve"> (Effective)</w:t>
            </w:r>
          </w:p>
        </w:tc>
        <w:tc>
          <w:tcPr>
            <w:tcW w:w="2552" w:type="dxa"/>
            <w:tcBorders>
              <w:bottom w:val="single" w:sz="4" w:space="0" w:color="auto"/>
            </w:tcBorders>
          </w:tcPr>
          <w:p w:rsidR="001F354C" w:rsidRPr="00786D0E" w:rsidRDefault="001F354C" w:rsidP="001F354C">
            <w:pPr>
              <w:spacing w:before="0" w:after="0"/>
              <w:rPr>
                <w:rFonts w:ascii="Arial Narrow" w:hAnsi="Arial Narrow"/>
                <w:sz w:val="20"/>
              </w:rPr>
            </w:pPr>
            <w:proofErr w:type="spellStart"/>
            <w:r w:rsidRPr="00786D0E">
              <w:rPr>
                <w:rFonts w:ascii="Arial Narrow" w:hAnsi="Arial Narrow"/>
                <w:sz w:val="20"/>
              </w:rPr>
              <w:t>Xalkori</w:t>
            </w:r>
            <w:proofErr w:type="spellEnd"/>
            <w:r w:rsidRPr="00786D0E">
              <w:rPr>
                <w:rFonts w:ascii="Arial Narrow" w:hAnsi="Arial Narrow"/>
                <w:sz w:val="20"/>
              </w:rPr>
              <w:t xml:space="preserve"> </w:t>
            </w:r>
            <w:r w:rsidRPr="00786D0E">
              <w:rPr>
                <w:rFonts w:ascii="Arial Narrow" w:hAnsi="Arial Narrow"/>
                <w:sz w:val="20"/>
              </w:rPr>
              <w:br/>
              <w:t>Pfizer Australia Pty Ltd</w:t>
            </w:r>
          </w:p>
        </w:tc>
      </w:tr>
      <w:tr w:rsidR="001F354C" w:rsidRPr="00786D0E" w:rsidTr="001F354C">
        <w:trPr>
          <w:gridBefore w:val="1"/>
          <w:wBefore w:w="19" w:type="dxa"/>
          <w:cantSplit/>
          <w:trHeight w:val="471"/>
        </w:trPr>
        <w:tc>
          <w:tcPr>
            <w:tcW w:w="2694" w:type="dxa"/>
            <w:gridSpan w:val="2"/>
            <w:tcBorders>
              <w:bottom w:val="single" w:sz="4" w:space="0" w:color="auto"/>
            </w:tcBorders>
          </w:tcPr>
          <w:p w:rsidR="001F354C" w:rsidRPr="00786D0E" w:rsidRDefault="001F354C" w:rsidP="001F354C">
            <w:pPr>
              <w:spacing w:before="0" w:after="0"/>
              <w:ind w:left="-108"/>
              <w:rPr>
                <w:rFonts w:ascii="Arial Narrow" w:hAnsi="Arial Narrow"/>
                <w:sz w:val="20"/>
              </w:rPr>
            </w:pPr>
            <w:proofErr w:type="spellStart"/>
            <w:r w:rsidRPr="00786D0E">
              <w:rPr>
                <w:rFonts w:ascii="Arial Narrow" w:hAnsi="Arial Narrow"/>
                <w:sz w:val="20"/>
              </w:rPr>
              <w:t>Crizotinib</w:t>
            </w:r>
            <w:proofErr w:type="spellEnd"/>
            <w:r w:rsidRPr="00786D0E">
              <w:rPr>
                <w:rFonts w:ascii="Arial Narrow" w:hAnsi="Arial Narrow"/>
                <w:sz w:val="20"/>
              </w:rPr>
              <w:br/>
              <w:t xml:space="preserve">capsule, 200 mg, </w:t>
            </w:r>
            <w:r w:rsidRPr="00786D0E">
              <w:rPr>
                <w:rFonts w:ascii="Arial Narrow" w:hAnsi="Arial Narrow"/>
                <w:i/>
                <w:sz w:val="20"/>
              </w:rPr>
              <w:t>60</w:t>
            </w:r>
          </w:p>
        </w:tc>
        <w:tc>
          <w:tcPr>
            <w:tcW w:w="992"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1</w:t>
            </w:r>
          </w:p>
        </w:tc>
        <w:tc>
          <w:tcPr>
            <w:tcW w:w="567"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1</w:t>
            </w:r>
          </w:p>
        </w:tc>
        <w:tc>
          <w:tcPr>
            <w:tcW w:w="1984" w:type="dxa"/>
            <w:tcBorders>
              <w:bottom w:val="single" w:sz="4" w:space="0" w:color="auto"/>
            </w:tcBorders>
          </w:tcPr>
          <w:p w:rsidR="001F354C" w:rsidRPr="00786D0E" w:rsidRDefault="001F354C" w:rsidP="001F354C">
            <w:pPr>
              <w:keepNext/>
              <w:spacing w:before="0" w:after="0"/>
              <w:ind w:left="-108"/>
              <w:rPr>
                <w:rFonts w:ascii="Arial Narrow" w:hAnsi="Arial Narrow"/>
                <w:sz w:val="20"/>
              </w:rPr>
            </w:pPr>
            <w:r w:rsidRPr="00786D0E">
              <w:rPr>
                <w:rFonts w:ascii="Arial Narrow" w:hAnsi="Arial Narrow"/>
                <w:sz w:val="20"/>
              </w:rPr>
              <w:t>$</w:t>
            </w:r>
            <w:r w:rsidRPr="00DA54D5">
              <w:rPr>
                <w:rFonts w:ascii="Arial Narrow" w:hAnsi="Arial Narrow"/>
                <w:sz w:val="20"/>
              </w:rPr>
              <w:t>7,276.18</w:t>
            </w:r>
            <w:r w:rsidRPr="00786D0E">
              <w:rPr>
                <w:rFonts w:ascii="Arial Narrow" w:hAnsi="Arial Narrow"/>
                <w:sz w:val="20"/>
              </w:rPr>
              <w:t xml:space="preserve"> (Published)</w:t>
            </w:r>
          </w:p>
          <w:p w:rsidR="001F354C" w:rsidRPr="00786D0E" w:rsidRDefault="001F354C" w:rsidP="001F354C">
            <w:pPr>
              <w:keepNext/>
              <w:spacing w:before="0" w:after="0"/>
              <w:ind w:left="-108"/>
              <w:rPr>
                <w:rFonts w:ascii="Arial Narrow" w:hAnsi="Arial Narrow"/>
                <w:sz w:val="20"/>
              </w:rPr>
            </w:pPr>
            <w:r w:rsidRPr="00786D0E">
              <w:rPr>
                <w:rFonts w:ascii="Arial Narrow" w:hAnsi="Arial Narrow"/>
                <w:sz w:val="20"/>
              </w:rPr>
              <w:t>$</w:t>
            </w:r>
            <w:r w:rsidR="001144C3">
              <w:rPr>
                <w:rFonts w:ascii="Arial Narrow" w:hAnsi="Arial Narrow"/>
                <w:noProof/>
                <w:color w:val="000000"/>
                <w:sz w:val="20"/>
                <w:highlight w:val="black"/>
              </w:rPr>
              <w:t>''''''''''''''''''''</w:t>
            </w:r>
            <w:r w:rsidRPr="00786D0E">
              <w:rPr>
                <w:rFonts w:ascii="Arial Narrow" w:hAnsi="Arial Narrow"/>
                <w:sz w:val="20"/>
              </w:rPr>
              <w:t xml:space="preserve"> (Effective)</w:t>
            </w:r>
          </w:p>
        </w:tc>
        <w:tc>
          <w:tcPr>
            <w:tcW w:w="2552" w:type="dxa"/>
            <w:tcBorders>
              <w:bottom w:val="single" w:sz="4" w:space="0" w:color="auto"/>
            </w:tcBorders>
          </w:tcPr>
          <w:p w:rsidR="001F354C" w:rsidRPr="00786D0E" w:rsidRDefault="001F354C" w:rsidP="001F354C">
            <w:pPr>
              <w:spacing w:before="0" w:after="0"/>
              <w:rPr>
                <w:rFonts w:ascii="Arial Narrow" w:hAnsi="Arial Narrow"/>
                <w:sz w:val="20"/>
              </w:rPr>
            </w:pPr>
            <w:proofErr w:type="spellStart"/>
            <w:r w:rsidRPr="00786D0E">
              <w:rPr>
                <w:rFonts w:ascii="Arial Narrow" w:hAnsi="Arial Narrow"/>
                <w:sz w:val="20"/>
              </w:rPr>
              <w:t>Xalkori</w:t>
            </w:r>
            <w:proofErr w:type="spellEnd"/>
            <w:r w:rsidRPr="00786D0E">
              <w:rPr>
                <w:rFonts w:ascii="Arial Narrow" w:hAnsi="Arial Narrow"/>
                <w:sz w:val="20"/>
              </w:rPr>
              <w:t xml:space="preserve"> </w:t>
            </w:r>
            <w:r w:rsidRPr="00786D0E">
              <w:rPr>
                <w:rFonts w:ascii="Arial Narrow" w:hAnsi="Arial Narrow"/>
                <w:sz w:val="20"/>
              </w:rPr>
              <w:br/>
              <w:t>Pfizer Australia Pty Ltd</w:t>
            </w:r>
          </w:p>
        </w:tc>
      </w:tr>
      <w:tr w:rsidR="001F354C" w:rsidRPr="00786D0E" w:rsidTr="001F354C">
        <w:trPr>
          <w:cantSplit/>
          <w:trHeight w:val="360"/>
        </w:trPr>
        <w:tc>
          <w:tcPr>
            <w:tcW w:w="1957"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keepNext w:val="0"/>
              <w:spacing w:before="0" w:after="0"/>
              <w:rPr>
                <w:b/>
              </w:rPr>
            </w:pPr>
            <w:r w:rsidRPr="00786D0E">
              <w:rPr>
                <w:b/>
              </w:rPr>
              <w:t>Category / Program:</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Section 85 – General Schedule</w:t>
            </w:r>
          </w:p>
        </w:tc>
      </w:tr>
      <w:tr w:rsidR="001F354C" w:rsidRPr="00786D0E" w:rsidTr="001F354C">
        <w:trPr>
          <w:cantSplit/>
          <w:trHeight w:val="360"/>
        </w:trPr>
        <w:tc>
          <w:tcPr>
            <w:tcW w:w="1957"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b/>
                <w:sz w:val="20"/>
              </w:rPr>
            </w:pPr>
            <w:r w:rsidRPr="00786D0E">
              <w:rPr>
                <w:rFonts w:ascii="Arial Narrow" w:hAnsi="Arial Narrow"/>
                <w:b/>
                <w:sz w:val="20"/>
              </w:rPr>
              <w:t>Severity:</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Stage IIIB (locally advanced) or Stage IV (metastatic)</w:t>
            </w:r>
          </w:p>
        </w:tc>
      </w:tr>
      <w:tr w:rsidR="001F354C" w:rsidRPr="00786D0E" w:rsidTr="001F354C">
        <w:trPr>
          <w:cantSplit/>
          <w:trHeight w:val="360"/>
        </w:trPr>
        <w:tc>
          <w:tcPr>
            <w:tcW w:w="1957"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b/>
                <w:sz w:val="20"/>
              </w:rPr>
            </w:pPr>
            <w:r w:rsidRPr="00786D0E">
              <w:rPr>
                <w:rFonts w:ascii="Arial Narrow" w:hAnsi="Arial Narrow"/>
                <w:b/>
                <w:sz w:val="20"/>
              </w:rPr>
              <w:t>Condition:</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non-small cell lung cancer</w:t>
            </w:r>
          </w:p>
        </w:tc>
      </w:tr>
      <w:tr w:rsidR="001F354C" w:rsidRPr="00786D0E" w:rsidTr="001F354C">
        <w:trPr>
          <w:cantSplit/>
          <w:trHeight w:val="360"/>
        </w:trPr>
        <w:tc>
          <w:tcPr>
            <w:tcW w:w="1957"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b/>
                <w:sz w:val="20"/>
              </w:rPr>
            </w:pPr>
            <w:r w:rsidRPr="00786D0E">
              <w:rPr>
                <w:rFonts w:ascii="Arial Narrow" w:hAnsi="Arial Narrow"/>
                <w:b/>
                <w:sz w:val="20"/>
              </w:rPr>
              <w:t>PBS Indication:</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Stage IIIB (locally advanced) or Stage IV (metastatic) non-small cell lung cancer</w:t>
            </w:r>
          </w:p>
        </w:tc>
      </w:tr>
      <w:tr w:rsidR="001F354C" w:rsidRPr="00786D0E" w:rsidTr="001F354C">
        <w:trPr>
          <w:cantSplit/>
          <w:trHeight w:val="360"/>
        </w:trPr>
        <w:tc>
          <w:tcPr>
            <w:tcW w:w="1957"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b/>
                <w:sz w:val="20"/>
              </w:rPr>
            </w:pPr>
            <w:r w:rsidRPr="00786D0E">
              <w:rPr>
                <w:rFonts w:ascii="Arial Narrow" w:hAnsi="Arial Narrow"/>
                <w:b/>
                <w:sz w:val="20"/>
              </w:rPr>
              <w:t>Treatment phase:</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Initial treatment</w:t>
            </w:r>
          </w:p>
        </w:tc>
      </w:tr>
      <w:tr w:rsidR="001F354C" w:rsidRPr="00786D0E" w:rsidTr="001F354C">
        <w:trPr>
          <w:cantSplit/>
          <w:trHeight w:val="360"/>
        </w:trPr>
        <w:tc>
          <w:tcPr>
            <w:tcW w:w="1957"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b/>
                <w:sz w:val="20"/>
              </w:rPr>
            </w:pPr>
            <w:r w:rsidRPr="00786D0E">
              <w:rPr>
                <w:rFonts w:ascii="Arial Narrow" w:hAnsi="Arial Narrow"/>
                <w:b/>
                <w:sz w:val="20"/>
              </w:rPr>
              <w:t>Restriction Level / Method:</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sz w:val="20"/>
              </w:rPr>
            </w:pPr>
            <w:r w:rsidRPr="00786D0E">
              <w:rPr>
                <w:rFonts w:ascii="Arial Narrow" w:hAnsi="Arial Narrow"/>
                <w:sz w:val="20"/>
              </w:rPr>
              <w:fldChar w:fldCharType="begin">
                <w:ffData>
                  <w:name w:val="Check1"/>
                  <w:enabled/>
                  <w:calcOnExit w:val="0"/>
                  <w:checkBox>
                    <w:sizeAuto/>
                    <w:default w:val="0"/>
                  </w:checkBox>
                </w:ffData>
              </w:fldChar>
            </w:r>
            <w:r w:rsidRPr="00786D0E">
              <w:rPr>
                <w:rFonts w:ascii="Arial Narrow" w:hAnsi="Arial Narrow"/>
                <w:sz w:val="20"/>
              </w:rPr>
              <w:instrText xml:space="preserve"> FORMCHECKBOX </w:instrText>
            </w:r>
            <w:r w:rsidR="00000B64">
              <w:rPr>
                <w:rFonts w:ascii="Arial Narrow" w:hAnsi="Arial Narrow"/>
                <w:sz w:val="20"/>
              </w:rPr>
            </w:r>
            <w:r w:rsidR="00000B64">
              <w:rPr>
                <w:rFonts w:ascii="Arial Narrow" w:hAnsi="Arial Narrow"/>
                <w:sz w:val="20"/>
              </w:rPr>
              <w:fldChar w:fldCharType="separate"/>
            </w:r>
            <w:r w:rsidRPr="00786D0E">
              <w:rPr>
                <w:rFonts w:ascii="Arial Narrow" w:hAnsi="Arial Narrow"/>
                <w:sz w:val="20"/>
              </w:rPr>
              <w:fldChar w:fldCharType="end"/>
            </w:r>
            <w:r w:rsidRPr="00786D0E">
              <w:rPr>
                <w:rFonts w:ascii="Arial Narrow" w:hAnsi="Arial Narrow"/>
                <w:sz w:val="20"/>
              </w:rPr>
              <w:t>Restricted benefit</w:t>
            </w:r>
          </w:p>
          <w:p w:rsidR="001F354C" w:rsidRPr="00786D0E" w:rsidRDefault="001F354C" w:rsidP="001F354C">
            <w:pPr>
              <w:spacing w:before="0" w:after="0"/>
              <w:rPr>
                <w:rFonts w:ascii="Arial Narrow" w:hAnsi="Arial Narrow"/>
                <w:sz w:val="20"/>
              </w:rPr>
            </w:pPr>
            <w:r w:rsidRPr="00786D0E">
              <w:rPr>
                <w:rFonts w:ascii="Arial Narrow" w:hAnsi="Arial Narrow"/>
                <w:sz w:val="20"/>
              </w:rPr>
              <w:fldChar w:fldCharType="begin">
                <w:ffData>
                  <w:name w:val=""/>
                  <w:enabled/>
                  <w:calcOnExit w:val="0"/>
                  <w:checkBox>
                    <w:sizeAuto/>
                    <w:default w:val="1"/>
                  </w:checkBox>
                </w:ffData>
              </w:fldChar>
            </w:r>
            <w:r w:rsidRPr="00786D0E">
              <w:rPr>
                <w:rFonts w:ascii="Arial Narrow" w:hAnsi="Arial Narrow"/>
                <w:sz w:val="20"/>
              </w:rPr>
              <w:instrText xml:space="preserve"> FORMCHECKBOX </w:instrText>
            </w:r>
            <w:r w:rsidR="00000B64">
              <w:rPr>
                <w:rFonts w:ascii="Arial Narrow" w:hAnsi="Arial Narrow"/>
                <w:sz w:val="20"/>
              </w:rPr>
            </w:r>
            <w:r w:rsidR="00000B64">
              <w:rPr>
                <w:rFonts w:ascii="Arial Narrow" w:hAnsi="Arial Narrow"/>
                <w:sz w:val="20"/>
              </w:rPr>
              <w:fldChar w:fldCharType="separate"/>
            </w:r>
            <w:r w:rsidRPr="00786D0E">
              <w:rPr>
                <w:rFonts w:ascii="Arial Narrow" w:hAnsi="Arial Narrow"/>
                <w:sz w:val="20"/>
              </w:rPr>
              <w:fldChar w:fldCharType="end"/>
            </w:r>
            <w:r w:rsidRPr="00786D0E">
              <w:rPr>
                <w:rFonts w:ascii="Arial Narrow" w:hAnsi="Arial Narrow"/>
                <w:sz w:val="20"/>
              </w:rPr>
              <w:t>Authority Required - In Writing</w:t>
            </w:r>
          </w:p>
          <w:p w:rsidR="001F354C" w:rsidRPr="00786D0E" w:rsidRDefault="001F354C" w:rsidP="001F354C">
            <w:pPr>
              <w:spacing w:before="0" w:after="0"/>
              <w:rPr>
                <w:rFonts w:ascii="Arial Narrow" w:hAnsi="Arial Narrow"/>
                <w:sz w:val="20"/>
              </w:rPr>
            </w:pPr>
            <w:r w:rsidRPr="00786D0E">
              <w:rPr>
                <w:rFonts w:ascii="Arial Narrow" w:hAnsi="Arial Narrow"/>
                <w:sz w:val="20"/>
              </w:rPr>
              <w:fldChar w:fldCharType="begin">
                <w:ffData>
                  <w:name w:val="Check3"/>
                  <w:enabled/>
                  <w:calcOnExit w:val="0"/>
                  <w:checkBox>
                    <w:sizeAuto/>
                    <w:default w:val="0"/>
                  </w:checkBox>
                </w:ffData>
              </w:fldChar>
            </w:r>
            <w:r w:rsidRPr="00786D0E">
              <w:rPr>
                <w:rFonts w:ascii="Arial Narrow" w:hAnsi="Arial Narrow"/>
                <w:sz w:val="20"/>
              </w:rPr>
              <w:instrText xml:space="preserve"> FORMCHECKBOX </w:instrText>
            </w:r>
            <w:r w:rsidR="00000B64">
              <w:rPr>
                <w:rFonts w:ascii="Arial Narrow" w:hAnsi="Arial Narrow"/>
                <w:sz w:val="20"/>
              </w:rPr>
            </w:r>
            <w:r w:rsidR="00000B64">
              <w:rPr>
                <w:rFonts w:ascii="Arial Narrow" w:hAnsi="Arial Narrow"/>
                <w:sz w:val="20"/>
              </w:rPr>
              <w:fldChar w:fldCharType="separate"/>
            </w:r>
            <w:r w:rsidRPr="00786D0E">
              <w:rPr>
                <w:rFonts w:ascii="Arial Narrow" w:hAnsi="Arial Narrow"/>
                <w:sz w:val="20"/>
              </w:rPr>
              <w:fldChar w:fldCharType="end"/>
            </w:r>
            <w:r w:rsidRPr="00786D0E">
              <w:rPr>
                <w:rFonts w:ascii="Arial Narrow" w:hAnsi="Arial Narrow"/>
                <w:sz w:val="20"/>
              </w:rPr>
              <w:t>Authority Required - Telephone</w:t>
            </w:r>
          </w:p>
          <w:p w:rsidR="001F354C" w:rsidRPr="00786D0E" w:rsidRDefault="001F354C" w:rsidP="001F354C">
            <w:pPr>
              <w:spacing w:before="0" w:after="0"/>
              <w:rPr>
                <w:rFonts w:ascii="Arial Narrow" w:hAnsi="Arial Narrow"/>
                <w:sz w:val="20"/>
              </w:rPr>
            </w:pPr>
            <w:r w:rsidRPr="00786D0E">
              <w:rPr>
                <w:rFonts w:ascii="Arial Narrow" w:hAnsi="Arial Narrow"/>
                <w:sz w:val="20"/>
              </w:rPr>
              <w:fldChar w:fldCharType="begin">
                <w:ffData>
                  <w:name w:val=""/>
                  <w:enabled/>
                  <w:calcOnExit w:val="0"/>
                  <w:checkBox>
                    <w:sizeAuto/>
                    <w:default w:val="0"/>
                  </w:checkBox>
                </w:ffData>
              </w:fldChar>
            </w:r>
            <w:r w:rsidRPr="00786D0E">
              <w:rPr>
                <w:rFonts w:ascii="Arial Narrow" w:hAnsi="Arial Narrow"/>
                <w:sz w:val="20"/>
              </w:rPr>
              <w:instrText xml:space="preserve"> FORMCHECKBOX </w:instrText>
            </w:r>
            <w:r w:rsidR="00000B64">
              <w:rPr>
                <w:rFonts w:ascii="Arial Narrow" w:hAnsi="Arial Narrow"/>
                <w:sz w:val="20"/>
              </w:rPr>
            </w:r>
            <w:r w:rsidR="00000B64">
              <w:rPr>
                <w:rFonts w:ascii="Arial Narrow" w:hAnsi="Arial Narrow"/>
                <w:sz w:val="20"/>
              </w:rPr>
              <w:fldChar w:fldCharType="separate"/>
            </w:r>
            <w:r w:rsidRPr="00786D0E">
              <w:rPr>
                <w:rFonts w:ascii="Arial Narrow" w:hAnsi="Arial Narrow"/>
                <w:sz w:val="20"/>
              </w:rPr>
              <w:fldChar w:fldCharType="end"/>
            </w:r>
            <w:r w:rsidRPr="00786D0E">
              <w:rPr>
                <w:rFonts w:ascii="Arial Narrow" w:hAnsi="Arial Narrow"/>
                <w:sz w:val="20"/>
              </w:rPr>
              <w:t>Authority Required – Emergency</w:t>
            </w:r>
          </w:p>
          <w:p w:rsidR="001F354C" w:rsidRPr="00786D0E" w:rsidRDefault="001F354C" w:rsidP="001F354C">
            <w:pPr>
              <w:spacing w:before="0" w:after="0"/>
              <w:rPr>
                <w:rFonts w:ascii="Arial Narrow" w:hAnsi="Arial Narrow"/>
                <w:sz w:val="20"/>
              </w:rPr>
            </w:pPr>
            <w:r w:rsidRPr="00786D0E">
              <w:rPr>
                <w:rFonts w:ascii="Arial Narrow" w:hAnsi="Arial Narrow"/>
                <w:sz w:val="20"/>
              </w:rPr>
              <w:fldChar w:fldCharType="begin">
                <w:ffData>
                  <w:name w:val="Check5"/>
                  <w:enabled/>
                  <w:calcOnExit w:val="0"/>
                  <w:checkBox>
                    <w:sizeAuto/>
                    <w:default w:val="0"/>
                  </w:checkBox>
                </w:ffData>
              </w:fldChar>
            </w:r>
            <w:r w:rsidRPr="00786D0E">
              <w:rPr>
                <w:rFonts w:ascii="Arial Narrow" w:hAnsi="Arial Narrow"/>
                <w:sz w:val="20"/>
              </w:rPr>
              <w:instrText xml:space="preserve"> FORMCHECKBOX </w:instrText>
            </w:r>
            <w:r w:rsidR="00000B64">
              <w:rPr>
                <w:rFonts w:ascii="Arial Narrow" w:hAnsi="Arial Narrow"/>
                <w:sz w:val="20"/>
              </w:rPr>
            </w:r>
            <w:r w:rsidR="00000B64">
              <w:rPr>
                <w:rFonts w:ascii="Arial Narrow" w:hAnsi="Arial Narrow"/>
                <w:sz w:val="20"/>
              </w:rPr>
              <w:fldChar w:fldCharType="separate"/>
            </w:r>
            <w:r w:rsidRPr="00786D0E">
              <w:rPr>
                <w:rFonts w:ascii="Arial Narrow" w:hAnsi="Arial Narrow"/>
                <w:sz w:val="20"/>
              </w:rPr>
              <w:fldChar w:fldCharType="end"/>
            </w:r>
            <w:r w:rsidRPr="00786D0E">
              <w:rPr>
                <w:rFonts w:ascii="Arial Narrow" w:hAnsi="Arial Narrow"/>
                <w:sz w:val="20"/>
              </w:rPr>
              <w:t>Authority Required - Electronic</w:t>
            </w:r>
          </w:p>
          <w:p w:rsidR="001F354C" w:rsidRPr="00786D0E" w:rsidRDefault="001F354C" w:rsidP="001F354C">
            <w:pPr>
              <w:spacing w:before="0" w:after="0"/>
              <w:rPr>
                <w:rFonts w:ascii="Arial Narrow" w:hAnsi="Arial Narrow"/>
                <w:sz w:val="20"/>
              </w:rPr>
            </w:pPr>
            <w:r w:rsidRPr="00786D0E">
              <w:rPr>
                <w:rFonts w:ascii="Arial Narrow" w:hAnsi="Arial Narrow"/>
                <w:sz w:val="20"/>
              </w:rPr>
              <w:fldChar w:fldCharType="begin">
                <w:ffData>
                  <w:name w:val="Check5"/>
                  <w:enabled/>
                  <w:calcOnExit w:val="0"/>
                  <w:checkBox>
                    <w:sizeAuto/>
                    <w:default w:val="0"/>
                  </w:checkBox>
                </w:ffData>
              </w:fldChar>
            </w:r>
            <w:bookmarkStart w:id="3" w:name="Check5"/>
            <w:r w:rsidRPr="00786D0E">
              <w:rPr>
                <w:rFonts w:ascii="Arial Narrow" w:hAnsi="Arial Narrow"/>
                <w:sz w:val="20"/>
              </w:rPr>
              <w:instrText xml:space="preserve"> FORMCHECKBOX </w:instrText>
            </w:r>
            <w:r w:rsidR="00000B64">
              <w:rPr>
                <w:rFonts w:ascii="Arial Narrow" w:hAnsi="Arial Narrow"/>
                <w:sz w:val="20"/>
              </w:rPr>
            </w:r>
            <w:r w:rsidR="00000B64">
              <w:rPr>
                <w:rFonts w:ascii="Arial Narrow" w:hAnsi="Arial Narrow"/>
                <w:sz w:val="20"/>
              </w:rPr>
              <w:fldChar w:fldCharType="separate"/>
            </w:r>
            <w:r w:rsidRPr="00786D0E">
              <w:rPr>
                <w:rFonts w:ascii="Arial Narrow" w:hAnsi="Arial Narrow"/>
                <w:sz w:val="20"/>
              </w:rPr>
              <w:fldChar w:fldCharType="end"/>
            </w:r>
            <w:bookmarkEnd w:id="3"/>
            <w:r w:rsidRPr="00786D0E">
              <w:rPr>
                <w:rFonts w:ascii="Arial Narrow" w:hAnsi="Arial Narrow"/>
                <w:sz w:val="20"/>
              </w:rPr>
              <w:t>Streamlined</w:t>
            </w:r>
          </w:p>
        </w:tc>
      </w:tr>
      <w:tr w:rsidR="001F354C" w:rsidRPr="00786D0E" w:rsidTr="001F354C">
        <w:trPr>
          <w:cantSplit/>
          <w:trHeight w:val="1206"/>
        </w:trPr>
        <w:tc>
          <w:tcPr>
            <w:tcW w:w="1957" w:type="dxa"/>
            <w:gridSpan w:val="2"/>
            <w:tcBorders>
              <w:top w:val="single" w:sz="4" w:space="0" w:color="auto"/>
              <w:left w:val="single" w:sz="4" w:space="0" w:color="auto"/>
              <w:right w:val="single" w:sz="4" w:space="0" w:color="auto"/>
            </w:tcBorders>
          </w:tcPr>
          <w:p w:rsidR="001F354C" w:rsidRPr="00786D0E" w:rsidRDefault="001F354C" w:rsidP="001F354C">
            <w:pPr>
              <w:pStyle w:val="TableText"/>
              <w:spacing w:before="0" w:after="0"/>
              <w:rPr>
                <w:rFonts w:ascii="Times" w:eastAsia="Times New Roman" w:hAnsi="Times" w:cs="Times New Roman"/>
                <w:b/>
                <w:szCs w:val="20"/>
              </w:rPr>
            </w:pPr>
            <w:r w:rsidRPr="00786D0E">
              <w:rPr>
                <w:b/>
              </w:rPr>
              <w:t>Clinical criteria:</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The condition must be non-squamous type non-small cell lung cancer (NSCLC) or not otherwise specified type NSCLC,</w:t>
            </w:r>
          </w:p>
          <w:p w:rsidR="001F354C" w:rsidRPr="00786D0E" w:rsidRDefault="001F354C" w:rsidP="001F354C">
            <w:pPr>
              <w:pStyle w:val="TableText"/>
              <w:spacing w:before="0" w:after="0"/>
            </w:pPr>
            <w:r w:rsidRPr="00786D0E">
              <w:t xml:space="preserve">AND </w:t>
            </w:r>
          </w:p>
          <w:p w:rsidR="001F354C" w:rsidRPr="00786D0E" w:rsidRDefault="001F354C" w:rsidP="001F354C">
            <w:pPr>
              <w:pStyle w:val="TableText"/>
              <w:spacing w:before="0" w:after="0"/>
            </w:pPr>
            <w:r w:rsidRPr="00786D0E">
              <w:t xml:space="preserve">The treatment must be the sole PBS-subsidised therapy for this condition </w:t>
            </w:r>
          </w:p>
          <w:p w:rsidR="001F354C" w:rsidRPr="00786D0E" w:rsidRDefault="001F354C" w:rsidP="001F354C">
            <w:pPr>
              <w:pStyle w:val="TableText"/>
              <w:spacing w:before="0" w:after="0"/>
            </w:pPr>
            <w:r w:rsidRPr="00786D0E">
              <w:t>AND</w:t>
            </w:r>
          </w:p>
          <w:p w:rsidR="001F354C" w:rsidRPr="00786D0E" w:rsidRDefault="001F354C" w:rsidP="001F354C">
            <w:pPr>
              <w:pStyle w:val="TableText"/>
              <w:spacing w:before="0" w:after="0"/>
            </w:pPr>
            <w:r w:rsidRPr="00786D0E">
              <w:t>The condition must have progressed on or after prior platinum based chemotherapy</w:t>
            </w:r>
          </w:p>
          <w:p w:rsidR="001F354C" w:rsidRPr="00786D0E" w:rsidRDefault="001F354C" w:rsidP="001F354C">
            <w:pPr>
              <w:pStyle w:val="TableText"/>
              <w:spacing w:before="0" w:after="0"/>
            </w:pPr>
            <w:r w:rsidRPr="00786D0E">
              <w:t>AND</w:t>
            </w:r>
          </w:p>
          <w:p w:rsidR="001F354C" w:rsidRPr="00786D0E" w:rsidRDefault="001F354C" w:rsidP="001F354C">
            <w:pPr>
              <w:pStyle w:val="TableText"/>
              <w:spacing w:before="0" w:after="0"/>
            </w:pPr>
            <w:r w:rsidRPr="00786D0E">
              <w:t>Patient must have a WHO performance status of 2 or less</w:t>
            </w:r>
          </w:p>
        </w:tc>
      </w:tr>
      <w:tr w:rsidR="001F354C" w:rsidRPr="00786D0E" w:rsidTr="001F354C">
        <w:trPr>
          <w:cantSplit/>
          <w:trHeight w:val="360"/>
        </w:trPr>
        <w:tc>
          <w:tcPr>
            <w:tcW w:w="1957"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rPr>
                <w:rFonts w:ascii="Times" w:eastAsia="Times New Roman" w:hAnsi="Times" w:cs="Times New Roman"/>
                <w:b/>
                <w:szCs w:val="20"/>
              </w:rPr>
            </w:pPr>
            <w:r w:rsidRPr="00786D0E">
              <w:rPr>
                <w:b/>
              </w:rPr>
              <w:t>Population criteria:</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 xml:space="preserve">Patient must have evidence of </w:t>
            </w:r>
            <w:r w:rsidR="00420D95" w:rsidRPr="00786D0E">
              <w:rPr>
                <w:i/>
              </w:rPr>
              <w:t>ROS1</w:t>
            </w:r>
            <w:r w:rsidRPr="00786D0E">
              <w:t xml:space="preserve"> gene rearrangement in tumour material, defined as 15% (or greater) positive cells by fluorescence in situ hybridisation (FISH) testing.</w:t>
            </w:r>
          </w:p>
        </w:tc>
      </w:tr>
      <w:tr w:rsidR="001F354C" w:rsidRPr="00786D0E" w:rsidTr="001F354C">
        <w:trPr>
          <w:cantSplit/>
          <w:trHeight w:val="360"/>
        </w:trPr>
        <w:tc>
          <w:tcPr>
            <w:tcW w:w="1957"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rPr>
                <w:b/>
              </w:rPr>
            </w:pPr>
            <w:r w:rsidRPr="00786D0E">
              <w:rPr>
                <w:b/>
              </w:rPr>
              <w:t>Administrative advice:</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 xml:space="preserve">No increase in the maximum number of repeats may be authorised. </w:t>
            </w:r>
          </w:p>
          <w:p w:rsidR="001F354C" w:rsidRPr="00786D0E" w:rsidRDefault="001F354C" w:rsidP="001F354C">
            <w:pPr>
              <w:pStyle w:val="TableText"/>
              <w:spacing w:before="0" w:after="0"/>
            </w:pPr>
            <w:r w:rsidRPr="00786D0E">
              <w:t>Special Pricing Arrangements apply.</w:t>
            </w:r>
          </w:p>
        </w:tc>
      </w:tr>
      <w:tr w:rsidR="001F354C" w:rsidRPr="00786D0E" w:rsidTr="001F354C">
        <w:trPr>
          <w:cantSplit/>
          <w:trHeight w:val="360"/>
        </w:trPr>
        <w:tc>
          <w:tcPr>
            <w:tcW w:w="1957"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sz w:val="20"/>
              </w:rPr>
            </w:pPr>
            <w:r w:rsidRPr="00786D0E">
              <w:rPr>
                <w:rFonts w:ascii="Arial Narrow" w:hAnsi="Arial Narrow"/>
                <w:b/>
                <w:sz w:val="20"/>
              </w:rPr>
              <w:t>Prescriber Instructions</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i/>
                <w:sz w:val="20"/>
              </w:rPr>
            </w:pPr>
            <w:r w:rsidRPr="00786D0E">
              <w:rPr>
                <w:rFonts w:ascii="Arial Narrow" w:hAnsi="Arial Narrow"/>
                <w:i/>
                <w:sz w:val="20"/>
              </w:rPr>
              <w:t>The authority application must be made in writing and must include:</w:t>
            </w:r>
          </w:p>
          <w:p w:rsidR="001F354C" w:rsidRPr="00786D0E" w:rsidRDefault="001F354C" w:rsidP="001F354C">
            <w:pPr>
              <w:spacing w:before="0" w:after="0"/>
              <w:rPr>
                <w:rFonts w:ascii="Arial Narrow" w:hAnsi="Arial Narrow"/>
                <w:i/>
                <w:sz w:val="20"/>
              </w:rPr>
            </w:pPr>
            <w:r w:rsidRPr="00786D0E">
              <w:rPr>
                <w:rFonts w:ascii="Arial Narrow" w:hAnsi="Arial Narrow"/>
                <w:i/>
                <w:sz w:val="20"/>
              </w:rPr>
              <w:t>(1) a completed authority prescription form; and</w:t>
            </w:r>
          </w:p>
          <w:p w:rsidR="001F354C" w:rsidRPr="00786D0E" w:rsidRDefault="001F354C" w:rsidP="001F354C">
            <w:pPr>
              <w:spacing w:before="0" w:after="0"/>
              <w:rPr>
                <w:rFonts w:ascii="Arial Narrow" w:hAnsi="Arial Narrow"/>
                <w:i/>
                <w:sz w:val="20"/>
              </w:rPr>
            </w:pPr>
            <w:r w:rsidRPr="00786D0E">
              <w:rPr>
                <w:rFonts w:ascii="Arial Narrow" w:hAnsi="Arial Narrow"/>
                <w:i/>
                <w:sz w:val="20"/>
              </w:rPr>
              <w:t xml:space="preserve">(2) </w:t>
            </w:r>
            <w:proofErr w:type="gramStart"/>
            <w:r w:rsidRPr="00786D0E">
              <w:rPr>
                <w:rFonts w:ascii="Arial Narrow" w:hAnsi="Arial Narrow"/>
                <w:i/>
                <w:sz w:val="20"/>
              </w:rPr>
              <w:t>a</w:t>
            </w:r>
            <w:proofErr w:type="gramEnd"/>
            <w:r w:rsidRPr="00786D0E">
              <w:rPr>
                <w:rFonts w:ascii="Arial Narrow" w:hAnsi="Arial Narrow"/>
                <w:i/>
                <w:sz w:val="20"/>
              </w:rPr>
              <w:t xml:space="preserve"> completed </w:t>
            </w:r>
            <w:r w:rsidR="00420D95" w:rsidRPr="00786D0E">
              <w:rPr>
                <w:rFonts w:ascii="Arial Narrow" w:hAnsi="Arial Narrow"/>
                <w:i/>
                <w:sz w:val="20"/>
              </w:rPr>
              <w:t>ROS1</w:t>
            </w:r>
            <w:r w:rsidRPr="00786D0E">
              <w:rPr>
                <w:rFonts w:ascii="Arial Narrow" w:hAnsi="Arial Narrow"/>
                <w:i/>
                <w:sz w:val="20"/>
              </w:rPr>
              <w:t xml:space="preserve">-Positive Non-Small-Cell Lung Cancer Authority Application - Supporting Information Form, which includes details of </w:t>
            </w:r>
            <w:r w:rsidR="00420D95" w:rsidRPr="00786D0E">
              <w:rPr>
                <w:rFonts w:ascii="Arial Narrow" w:hAnsi="Arial Narrow"/>
                <w:i/>
                <w:sz w:val="20"/>
              </w:rPr>
              <w:t>ROS1</w:t>
            </w:r>
            <w:r w:rsidRPr="00786D0E">
              <w:rPr>
                <w:rFonts w:ascii="Arial Narrow" w:hAnsi="Arial Narrow"/>
                <w:i/>
                <w:sz w:val="20"/>
              </w:rPr>
              <w:t xml:space="preserve"> gene rearrangement in tumour material.</w:t>
            </w:r>
          </w:p>
        </w:tc>
      </w:tr>
    </w:tbl>
    <w:p w:rsidR="00534FFE" w:rsidRDefault="00534FFE">
      <w:pPr>
        <w:spacing w:before="0" w:line="259" w:lineRule="auto"/>
      </w:pPr>
    </w:p>
    <w:p w:rsidR="00534FFE" w:rsidRDefault="00534FFE">
      <w:pPr>
        <w:spacing w:before="0" w:line="259" w:lineRule="auto"/>
      </w:pPr>
      <w:r>
        <w:br w:type="page"/>
      </w:r>
    </w:p>
    <w:p w:rsidR="00435AE8" w:rsidRPr="00786D0E" w:rsidRDefault="00435AE8">
      <w:pPr>
        <w:spacing w:before="0" w:line="259" w:lineRule="auto"/>
      </w:pPr>
    </w:p>
    <w:tbl>
      <w:tblPr>
        <w:tblW w:w="8808" w:type="dxa"/>
        <w:tblInd w:w="89" w:type="dxa"/>
        <w:tblLayout w:type="fixed"/>
        <w:tblLook w:val="0000" w:firstRow="0" w:lastRow="0" w:firstColumn="0" w:lastColumn="0" w:noHBand="0" w:noVBand="0"/>
      </w:tblPr>
      <w:tblGrid>
        <w:gridCol w:w="19"/>
        <w:gridCol w:w="1985"/>
        <w:gridCol w:w="709"/>
        <w:gridCol w:w="992"/>
        <w:gridCol w:w="567"/>
        <w:gridCol w:w="1984"/>
        <w:gridCol w:w="2552"/>
      </w:tblGrid>
      <w:tr w:rsidR="001F354C" w:rsidRPr="00786D0E" w:rsidTr="001F354C">
        <w:trPr>
          <w:gridBefore w:val="1"/>
          <w:wBefore w:w="19" w:type="dxa"/>
          <w:cantSplit/>
          <w:trHeight w:val="471"/>
        </w:trPr>
        <w:tc>
          <w:tcPr>
            <w:tcW w:w="2694" w:type="dxa"/>
            <w:gridSpan w:val="2"/>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Name, Restriction,</w:t>
            </w:r>
          </w:p>
          <w:p w:rsidR="001F354C" w:rsidRPr="00786D0E" w:rsidRDefault="001F354C" w:rsidP="001F354C">
            <w:pPr>
              <w:spacing w:before="0" w:after="0"/>
              <w:ind w:left="-108"/>
              <w:rPr>
                <w:rFonts w:ascii="Arial Narrow" w:hAnsi="Arial Narrow"/>
                <w:sz w:val="20"/>
              </w:rPr>
            </w:pPr>
            <w:r w:rsidRPr="00786D0E">
              <w:rPr>
                <w:rFonts w:ascii="Arial Narrow" w:hAnsi="Arial Narrow"/>
                <w:sz w:val="20"/>
              </w:rPr>
              <w:t>Manner of administration and form</w:t>
            </w:r>
          </w:p>
        </w:tc>
        <w:tc>
          <w:tcPr>
            <w:tcW w:w="992"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Max.</w:t>
            </w:r>
          </w:p>
          <w:p w:rsidR="001F354C" w:rsidRPr="00786D0E" w:rsidRDefault="001F354C" w:rsidP="001F354C">
            <w:pPr>
              <w:spacing w:before="0" w:after="0"/>
              <w:ind w:left="-108"/>
              <w:rPr>
                <w:rFonts w:ascii="Arial Narrow" w:hAnsi="Arial Narrow"/>
                <w:sz w:val="20"/>
              </w:rPr>
            </w:pPr>
            <w:proofErr w:type="spellStart"/>
            <w:r w:rsidRPr="00786D0E">
              <w:rPr>
                <w:rFonts w:ascii="Arial Narrow" w:hAnsi="Arial Narrow"/>
                <w:sz w:val="20"/>
              </w:rPr>
              <w:t>Qty</w:t>
            </w:r>
            <w:proofErr w:type="spellEnd"/>
            <w:r w:rsidRPr="00786D0E">
              <w:rPr>
                <w:rFonts w:ascii="Arial Narrow" w:hAnsi="Arial Narrow"/>
                <w:sz w:val="20"/>
              </w:rPr>
              <w:t xml:space="preserve"> (packs)</w:t>
            </w:r>
          </w:p>
        </w:tc>
        <w:tc>
          <w:tcPr>
            <w:tcW w:w="567"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№.of</w:t>
            </w:r>
          </w:p>
          <w:p w:rsidR="001F354C" w:rsidRPr="00786D0E" w:rsidRDefault="001F354C" w:rsidP="001F354C">
            <w:pPr>
              <w:spacing w:before="0" w:after="0"/>
              <w:ind w:left="-108"/>
              <w:rPr>
                <w:rFonts w:ascii="Arial Narrow" w:hAnsi="Arial Narrow"/>
                <w:sz w:val="20"/>
              </w:rPr>
            </w:pPr>
            <w:proofErr w:type="spellStart"/>
            <w:r w:rsidRPr="00786D0E">
              <w:rPr>
                <w:rFonts w:ascii="Arial Narrow" w:hAnsi="Arial Narrow"/>
                <w:sz w:val="20"/>
              </w:rPr>
              <w:t>Rpts</w:t>
            </w:r>
            <w:proofErr w:type="spellEnd"/>
          </w:p>
        </w:tc>
        <w:tc>
          <w:tcPr>
            <w:tcW w:w="1984"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 xml:space="preserve">Dispensed Price for Max. </w:t>
            </w:r>
            <w:proofErr w:type="spellStart"/>
            <w:r w:rsidRPr="00786D0E">
              <w:rPr>
                <w:rFonts w:ascii="Arial Narrow" w:hAnsi="Arial Narrow"/>
                <w:sz w:val="20"/>
              </w:rPr>
              <w:t>Qty</w:t>
            </w:r>
            <w:proofErr w:type="spellEnd"/>
            <w:r w:rsidRPr="00786D0E">
              <w:rPr>
                <w:rFonts w:ascii="Arial Narrow" w:hAnsi="Arial Narrow"/>
                <w:sz w:val="20"/>
              </w:rPr>
              <w:t xml:space="preserve"> </w:t>
            </w:r>
          </w:p>
        </w:tc>
        <w:tc>
          <w:tcPr>
            <w:tcW w:w="2552" w:type="dxa"/>
            <w:tcBorders>
              <w:bottom w:val="single" w:sz="4" w:space="0" w:color="auto"/>
            </w:tcBorders>
          </w:tcPr>
          <w:p w:rsidR="001F354C" w:rsidRPr="00786D0E" w:rsidRDefault="001F354C" w:rsidP="001F354C">
            <w:pPr>
              <w:spacing w:before="0" w:after="0"/>
              <w:rPr>
                <w:rFonts w:ascii="Arial Narrow" w:hAnsi="Arial Narrow"/>
                <w:sz w:val="20"/>
              </w:rPr>
            </w:pPr>
            <w:r w:rsidRPr="00786D0E">
              <w:rPr>
                <w:rFonts w:ascii="Arial Narrow" w:hAnsi="Arial Narrow"/>
                <w:sz w:val="20"/>
              </w:rPr>
              <w:t>Proprietary Name and</w:t>
            </w:r>
          </w:p>
          <w:p w:rsidR="001F354C" w:rsidRPr="00786D0E" w:rsidRDefault="001F354C" w:rsidP="001F354C">
            <w:pPr>
              <w:spacing w:before="0" w:after="0"/>
              <w:rPr>
                <w:rFonts w:ascii="Arial Narrow" w:hAnsi="Arial Narrow"/>
                <w:sz w:val="20"/>
              </w:rPr>
            </w:pPr>
            <w:r w:rsidRPr="00786D0E">
              <w:rPr>
                <w:rFonts w:ascii="Arial Narrow" w:hAnsi="Arial Narrow"/>
                <w:sz w:val="20"/>
              </w:rPr>
              <w:t>Manufacturer</w:t>
            </w:r>
          </w:p>
        </w:tc>
      </w:tr>
      <w:tr w:rsidR="001F354C" w:rsidRPr="00786D0E" w:rsidTr="001F354C">
        <w:trPr>
          <w:gridBefore w:val="1"/>
          <w:wBefore w:w="19" w:type="dxa"/>
          <w:cantSplit/>
          <w:trHeight w:val="471"/>
        </w:trPr>
        <w:tc>
          <w:tcPr>
            <w:tcW w:w="2694" w:type="dxa"/>
            <w:gridSpan w:val="2"/>
            <w:tcBorders>
              <w:bottom w:val="single" w:sz="4" w:space="0" w:color="auto"/>
            </w:tcBorders>
          </w:tcPr>
          <w:p w:rsidR="001F354C" w:rsidRPr="00786D0E" w:rsidRDefault="001F354C" w:rsidP="001F354C">
            <w:pPr>
              <w:spacing w:before="0" w:after="0"/>
              <w:ind w:left="-108"/>
              <w:rPr>
                <w:rFonts w:ascii="Arial Narrow" w:hAnsi="Arial Narrow"/>
                <w:sz w:val="20"/>
              </w:rPr>
            </w:pPr>
            <w:proofErr w:type="spellStart"/>
            <w:r w:rsidRPr="00786D0E">
              <w:rPr>
                <w:rFonts w:ascii="Arial Narrow" w:hAnsi="Arial Narrow"/>
                <w:sz w:val="20"/>
              </w:rPr>
              <w:t>Crizotinib</w:t>
            </w:r>
            <w:proofErr w:type="spellEnd"/>
            <w:r w:rsidRPr="00786D0E">
              <w:rPr>
                <w:rFonts w:ascii="Arial Narrow" w:hAnsi="Arial Narrow"/>
                <w:sz w:val="20"/>
              </w:rPr>
              <w:br/>
              <w:t xml:space="preserve">capsule, 250 mg, </w:t>
            </w:r>
            <w:r w:rsidRPr="00786D0E">
              <w:rPr>
                <w:rFonts w:ascii="Arial Narrow" w:hAnsi="Arial Narrow"/>
                <w:i/>
                <w:sz w:val="20"/>
              </w:rPr>
              <w:t>60</w:t>
            </w:r>
          </w:p>
        </w:tc>
        <w:tc>
          <w:tcPr>
            <w:tcW w:w="992"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1</w:t>
            </w:r>
          </w:p>
        </w:tc>
        <w:tc>
          <w:tcPr>
            <w:tcW w:w="567"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1</w:t>
            </w:r>
          </w:p>
        </w:tc>
        <w:tc>
          <w:tcPr>
            <w:tcW w:w="1984" w:type="dxa"/>
            <w:tcBorders>
              <w:bottom w:val="single" w:sz="4" w:space="0" w:color="auto"/>
            </w:tcBorders>
          </w:tcPr>
          <w:p w:rsidR="001F354C" w:rsidRPr="00786D0E" w:rsidRDefault="001F354C" w:rsidP="001F354C">
            <w:pPr>
              <w:keepNext/>
              <w:spacing w:before="0" w:after="0"/>
              <w:ind w:left="-108"/>
              <w:rPr>
                <w:rFonts w:ascii="Arial Narrow" w:hAnsi="Arial Narrow"/>
                <w:sz w:val="20"/>
              </w:rPr>
            </w:pPr>
            <w:r w:rsidRPr="00786D0E">
              <w:rPr>
                <w:rFonts w:ascii="Arial Narrow" w:hAnsi="Arial Narrow"/>
                <w:sz w:val="20"/>
              </w:rPr>
              <w:t>$</w:t>
            </w:r>
            <w:r w:rsidRPr="00DA54D5">
              <w:rPr>
                <w:rFonts w:ascii="Arial Narrow" w:hAnsi="Arial Narrow"/>
                <w:sz w:val="20"/>
              </w:rPr>
              <w:t>7,276.18</w:t>
            </w:r>
            <w:r w:rsidRPr="00786D0E">
              <w:rPr>
                <w:rFonts w:ascii="Arial Narrow" w:hAnsi="Arial Narrow"/>
                <w:sz w:val="20"/>
              </w:rPr>
              <w:t xml:space="preserve"> (Published)</w:t>
            </w:r>
          </w:p>
          <w:p w:rsidR="001F354C" w:rsidRPr="00786D0E" w:rsidRDefault="001F354C" w:rsidP="001F354C">
            <w:pPr>
              <w:keepNext/>
              <w:spacing w:before="0" w:after="0"/>
              <w:ind w:left="-108"/>
              <w:rPr>
                <w:rFonts w:ascii="Arial Narrow" w:hAnsi="Arial Narrow"/>
                <w:sz w:val="20"/>
              </w:rPr>
            </w:pPr>
            <w:r w:rsidRPr="00786D0E">
              <w:rPr>
                <w:rFonts w:ascii="Arial Narrow" w:hAnsi="Arial Narrow"/>
                <w:sz w:val="20"/>
              </w:rPr>
              <w:t>$</w:t>
            </w:r>
            <w:r w:rsidR="001144C3">
              <w:rPr>
                <w:rFonts w:ascii="Arial Narrow" w:hAnsi="Arial Narrow"/>
                <w:noProof/>
                <w:color w:val="000000"/>
                <w:sz w:val="20"/>
                <w:highlight w:val="black"/>
              </w:rPr>
              <w:t>''''''''''''''''''''</w:t>
            </w:r>
            <w:r w:rsidRPr="00786D0E">
              <w:rPr>
                <w:rFonts w:ascii="Arial Narrow" w:hAnsi="Arial Narrow"/>
                <w:sz w:val="20"/>
              </w:rPr>
              <w:t xml:space="preserve"> (Effective)</w:t>
            </w:r>
          </w:p>
        </w:tc>
        <w:tc>
          <w:tcPr>
            <w:tcW w:w="2552" w:type="dxa"/>
            <w:tcBorders>
              <w:bottom w:val="single" w:sz="4" w:space="0" w:color="auto"/>
            </w:tcBorders>
          </w:tcPr>
          <w:p w:rsidR="001F354C" w:rsidRPr="00786D0E" w:rsidRDefault="001F354C" w:rsidP="001F354C">
            <w:pPr>
              <w:spacing w:before="0" w:after="0"/>
              <w:rPr>
                <w:rFonts w:ascii="Arial Narrow" w:hAnsi="Arial Narrow"/>
                <w:sz w:val="20"/>
              </w:rPr>
            </w:pPr>
            <w:proofErr w:type="spellStart"/>
            <w:r w:rsidRPr="00786D0E">
              <w:rPr>
                <w:rFonts w:ascii="Arial Narrow" w:hAnsi="Arial Narrow"/>
                <w:sz w:val="20"/>
              </w:rPr>
              <w:t>Xalkori</w:t>
            </w:r>
            <w:proofErr w:type="spellEnd"/>
            <w:r w:rsidRPr="00786D0E">
              <w:rPr>
                <w:rFonts w:ascii="Arial Narrow" w:hAnsi="Arial Narrow"/>
                <w:sz w:val="20"/>
              </w:rPr>
              <w:t xml:space="preserve"> </w:t>
            </w:r>
            <w:r w:rsidRPr="00786D0E">
              <w:rPr>
                <w:rFonts w:ascii="Arial Narrow" w:hAnsi="Arial Narrow"/>
                <w:sz w:val="20"/>
              </w:rPr>
              <w:br/>
              <w:t>Pfizer Australia Pty Ltd</w:t>
            </w:r>
          </w:p>
        </w:tc>
      </w:tr>
      <w:tr w:rsidR="001F354C" w:rsidRPr="00786D0E" w:rsidTr="001F354C">
        <w:trPr>
          <w:gridBefore w:val="1"/>
          <w:wBefore w:w="19" w:type="dxa"/>
          <w:cantSplit/>
          <w:trHeight w:val="471"/>
        </w:trPr>
        <w:tc>
          <w:tcPr>
            <w:tcW w:w="2694" w:type="dxa"/>
            <w:gridSpan w:val="2"/>
            <w:tcBorders>
              <w:bottom w:val="single" w:sz="4" w:space="0" w:color="auto"/>
            </w:tcBorders>
          </w:tcPr>
          <w:p w:rsidR="001F354C" w:rsidRPr="00786D0E" w:rsidRDefault="001F354C" w:rsidP="001F354C">
            <w:pPr>
              <w:spacing w:before="0" w:after="0"/>
              <w:ind w:left="-108"/>
              <w:rPr>
                <w:rFonts w:ascii="Arial Narrow" w:hAnsi="Arial Narrow"/>
                <w:sz w:val="20"/>
              </w:rPr>
            </w:pPr>
            <w:proofErr w:type="spellStart"/>
            <w:r w:rsidRPr="00786D0E">
              <w:rPr>
                <w:rFonts w:ascii="Arial Narrow" w:hAnsi="Arial Narrow"/>
                <w:sz w:val="20"/>
              </w:rPr>
              <w:t>Crizotinib</w:t>
            </w:r>
            <w:proofErr w:type="spellEnd"/>
            <w:r w:rsidRPr="00786D0E">
              <w:rPr>
                <w:rFonts w:ascii="Arial Narrow" w:hAnsi="Arial Narrow"/>
                <w:sz w:val="20"/>
              </w:rPr>
              <w:t>,</w:t>
            </w:r>
            <w:r w:rsidRPr="00786D0E">
              <w:rPr>
                <w:rFonts w:ascii="Arial Narrow" w:hAnsi="Arial Narrow"/>
                <w:sz w:val="20"/>
              </w:rPr>
              <w:br/>
              <w:t xml:space="preserve">capsule 200 mg, </w:t>
            </w:r>
            <w:r w:rsidRPr="00786D0E">
              <w:rPr>
                <w:rFonts w:ascii="Arial Narrow" w:hAnsi="Arial Narrow"/>
                <w:i/>
                <w:sz w:val="20"/>
              </w:rPr>
              <w:t>60</w:t>
            </w:r>
          </w:p>
        </w:tc>
        <w:tc>
          <w:tcPr>
            <w:tcW w:w="992"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1</w:t>
            </w:r>
          </w:p>
        </w:tc>
        <w:tc>
          <w:tcPr>
            <w:tcW w:w="567"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1</w:t>
            </w:r>
          </w:p>
        </w:tc>
        <w:tc>
          <w:tcPr>
            <w:tcW w:w="1984" w:type="dxa"/>
            <w:tcBorders>
              <w:bottom w:val="single" w:sz="4" w:space="0" w:color="auto"/>
            </w:tcBorders>
          </w:tcPr>
          <w:p w:rsidR="001F354C" w:rsidRPr="00786D0E" w:rsidRDefault="001F354C" w:rsidP="001F354C">
            <w:pPr>
              <w:keepNext/>
              <w:spacing w:before="0" w:after="0"/>
              <w:ind w:left="-108"/>
              <w:rPr>
                <w:rFonts w:ascii="Arial Narrow" w:hAnsi="Arial Narrow"/>
                <w:sz w:val="20"/>
              </w:rPr>
            </w:pPr>
            <w:r w:rsidRPr="00786D0E">
              <w:rPr>
                <w:rFonts w:ascii="Arial Narrow" w:hAnsi="Arial Narrow"/>
                <w:sz w:val="20"/>
              </w:rPr>
              <w:t>$</w:t>
            </w:r>
            <w:r w:rsidRPr="00DA54D5">
              <w:rPr>
                <w:rFonts w:ascii="Arial Narrow" w:hAnsi="Arial Narrow"/>
                <w:sz w:val="20"/>
              </w:rPr>
              <w:t>7,276.18</w:t>
            </w:r>
            <w:r w:rsidRPr="00786D0E">
              <w:rPr>
                <w:rFonts w:ascii="Arial Narrow" w:hAnsi="Arial Narrow"/>
                <w:sz w:val="20"/>
              </w:rPr>
              <w:t xml:space="preserve"> (Published)</w:t>
            </w:r>
          </w:p>
          <w:p w:rsidR="001F354C" w:rsidRPr="00786D0E" w:rsidRDefault="001F354C" w:rsidP="001F354C">
            <w:pPr>
              <w:keepNext/>
              <w:spacing w:before="0" w:after="0"/>
              <w:ind w:left="-108"/>
              <w:rPr>
                <w:rFonts w:ascii="Arial Narrow" w:hAnsi="Arial Narrow"/>
                <w:sz w:val="20"/>
              </w:rPr>
            </w:pPr>
            <w:r w:rsidRPr="00786D0E">
              <w:rPr>
                <w:rFonts w:ascii="Arial Narrow" w:hAnsi="Arial Narrow"/>
                <w:sz w:val="20"/>
              </w:rPr>
              <w:t>$</w:t>
            </w:r>
            <w:r w:rsidR="001144C3">
              <w:rPr>
                <w:rFonts w:ascii="Arial Narrow" w:hAnsi="Arial Narrow"/>
                <w:noProof/>
                <w:color w:val="000000"/>
                <w:sz w:val="20"/>
                <w:highlight w:val="black"/>
              </w:rPr>
              <w:t>'''''''''''''''''''''</w:t>
            </w:r>
            <w:r w:rsidRPr="00786D0E">
              <w:rPr>
                <w:rFonts w:ascii="Arial Narrow" w:hAnsi="Arial Narrow"/>
                <w:sz w:val="20"/>
              </w:rPr>
              <w:t xml:space="preserve"> (Effective)</w:t>
            </w:r>
          </w:p>
        </w:tc>
        <w:tc>
          <w:tcPr>
            <w:tcW w:w="2552" w:type="dxa"/>
            <w:tcBorders>
              <w:bottom w:val="single" w:sz="4" w:space="0" w:color="auto"/>
            </w:tcBorders>
          </w:tcPr>
          <w:p w:rsidR="001F354C" w:rsidRPr="00786D0E" w:rsidRDefault="001F354C" w:rsidP="001F354C">
            <w:pPr>
              <w:spacing w:before="0" w:after="0"/>
              <w:rPr>
                <w:rFonts w:ascii="Arial Narrow" w:hAnsi="Arial Narrow"/>
                <w:sz w:val="20"/>
              </w:rPr>
            </w:pPr>
            <w:proofErr w:type="spellStart"/>
            <w:r w:rsidRPr="00786D0E">
              <w:rPr>
                <w:rFonts w:ascii="Arial Narrow" w:hAnsi="Arial Narrow"/>
                <w:sz w:val="20"/>
              </w:rPr>
              <w:t>Xalkori</w:t>
            </w:r>
            <w:proofErr w:type="spellEnd"/>
            <w:r w:rsidRPr="00786D0E">
              <w:rPr>
                <w:rFonts w:ascii="Arial Narrow" w:hAnsi="Arial Narrow"/>
                <w:sz w:val="20"/>
              </w:rPr>
              <w:t xml:space="preserve"> </w:t>
            </w:r>
            <w:r w:rsidRPr="00786D0E">
              <w:rPr>
                <w:rFonts w:ascii="Arial Narrow" w:hAnsi="Arial Narrow"/>
                <w:sz w:val="20"/>
              </w:rPr>
              <w:br/>
              <w:t>Pfizer Australia Pty Ltd</w:t>
            </w:r>
          </w:p>
        </w:tc>
      </w:tr>
      <w:tr w:rsidR="001F354C" w:rsidRPr="00786D0E" w:rsidTr="001F354C">
        <w:trPr>
          <w:cantSplit/>
          <w:trHeight w:val="360"/>
        </w:trPr>
        <w:tc>
          <w:tcPr>
            <w:tcW w:w="2004"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rPr>
                <w:b/>
              </w:rPr>
            </w:pPr>
            <w:r w:rsidRPr="00786D0E">
              <w:rPr>
                <w:b/>
              </w:rPr>
              <w:t>Category / Program:</w:t>
            </w:r>
          </w:p>
        </w:tc>
        <w:tc>
          <w:tcPr>
            <w:tcW w:w="6804"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Section 85 – General Schedule</w:t>
            </w:r>
          </w:p>
        </w:tc>
      </w:tr>
      <w:tr w:rsidR="001F354C" w:rsidRPr="00786D0E" w:rsidTr="001F354C">
        <w:trPr>
          <w:cantSplit/>
          <w:trHeight w:val="360"/>
        </w:trPr>
        <w:tc>
          <w:tcPr>
            <w:tcW w:w="2004"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b/>
                <w:sz w:val="20"/>
              </w:rPr>
            </w:pPr>
            <w:r w:rsidRPr="00786D0E">
              <w:rPr>
                <w:rFonts w:ascii="Arial Narrow" w:hAnsi="Arial Narrow"/>
                <w:b/>
                <w:sz w:val="20"/>
              </w:rPr>
              <w:t>Severity:</w:t>
            </w:r>
          </w:p>
        </w:tc>
        <w:tc>
          <w:tcPr>
            <w:tcW w:w="6804"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Stage IIIB (locally advanced) or Stage IV (metastatic)</w:t>
            </w:r>
          </w:p>
        </w:tc>
      </w:tr>
      <w:tr w:rsidR="001F354C" w:rsidRPr="00786D0E" w:rsidTr="001F354C">
        <w:trPr>
          <w:cantSplit/>
          <w:trHeight w:val="360"/>
        </w:trPr>
        <w:tc>
          <w:tcPr>
            <w:tcW w:w="2004"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b/>
                <w:sz w:val="20"/>
              </w:rPr>
            </w:pPr>
            <w:r w:rsidRPr="00786D0E">
              <w:rPr>
                <w:rFonts w:ascii="Arial Narrow" w:hAnsi="Arial Narrow"/>
                <w:b/>
                <w:sz w:val="20"/>
              </w:rPr>
              <w:t>Condition:</w:t>
            </w:r>
          </w:p>
        </w:tc>
        <w:tc>
          <w:tcPr>
            <w:tcW w:w="6804"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non-small cell lung cancer</w:t>
            </w:r>
          </w:p>
        </w:tc>
      </w:tr>
      <w:tr w:rsidR="001F354C" w:rsidRPr="00786D0E" w:rsidTr="001F354C">
        <w:trPr>
          <w:cantSplit/>
          <w:trHeight w:val="360"/>
        </w:trPr>
        <w:tc>
          <w:tcPr>
            <w:tcW w:w="2004"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b/>
                <w:sz w:val="20"/>
              </w:rPr>
            </w:pPr>
            <w:r w:rsidRPr="00786D0E">
              <w:rPr>
                <w:rFonts w:ascii="Arial Narrow" w:hAnsi="Arial Narrow"/>
                <w:b/>
                <w:sz w:val="20"/>
              </w:rPr>
              <w:t>PBS Indication:</w:t>
            </w:r>
          </w:p>
        </w:tc>
        <w:tc>
          <w:tcPr>
            <w:tcW w:w="6804"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Stage IIIB (locally advanced) or Stage IV (metastatic) non-small cell lung cancer</w:t>
            </w:r>
          </w:p>
        </w:tc>
      </w:tr>
      <w:tr w:rsidR="001F354C" w:rsidRPr="00786D0E" w:rsidTr="001F354C">
        <w:trPr>
          <w:cantSplit/>
          <w:trHeight w:val="360"/>
        </w:trPr>
        <w:tc>
          <w:tcPr>
            <w:tcW w:w="2004"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b/>
                <w:sz w:val="20"/>
              </w:rPr>
            </w:pPr>
            <w:r w:rsidRPr="00786D0E">
              <w:rPr>
                <w:rFonts w:ascii="Arial Narrow" w:hAnsi="Arial Narrow"/>
                <w:b/>
                <w:sz w:val="20"/>
              </w:rPr>
              <w:t>Treatment phase:</w:t>
            </w:r>
          </w:p>
        </w:tc>
        <w:tc>
          <w:tcPr>
            <w:tcW w:w="6804"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Continuing treatment</w:t>
            </w:r>
          </w:p>
        </w:tc>
      </w:tr>
      <w:tr w:rsidR="001F354C" w:rsidRPr="00786D0E" w:rsidTr="001F354C">
        <w:trPr>
          <w:cantSplit/>
          <w:trHeight w:val="360"/>
        </w:trPr>
        <w:tc>
          <w:tcPr>
            <w:tcW w:w="2004"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b/>
                <w:sz w:val="20"/>
              </w:rPr>
            </w:pPr>
            <w:r w:rsidRPr="00786D0E">
              <w:rPr>
                <w:rFonts w:ascii="Arial Narrow" w:hAnsi="Arial Narrow"/>
                <w:b/>
                <w:sz w:val="20"/>
              </w:rPr>
              <w:t>Restriction Level / Method:</w:t>
            </w:r>
          </w:p>
        </w:tc>
        <w:tc>
          <w:tcPr>
            <w:tcW w:w="6804"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sz w:val="20"/>
              </w:rPr>
            </w:pPr>
            <w:r w:rsidRPr="00786D0E">
              <w:rPr>
                <w:rFonts w:ascii="Arial Narrow" w:hAnsi="Arial Narrow"/>
                <w:sz w:val="20"/>
              </w:rPr>
              <w:fldChar w:fldCharType="begin">
                <w:ffData>
                  <w:name w:val="Check1"/>
                  <w:enabled/>
                  <w:calcOnExit w:val="0"/>
                  <w:checkBox>
                    <w:sizeAuto/>
                    <w:default w:val="0"/>
                  </w:checkBox>
                </w:ffData>
              </w:fldChar>
            </w:r>
            <w:r w:rsidRPr="00786D0E">
              <w:rPr>
                <w:rFonts w:ascii="Arial Narrow" w:hAnsi="Arial Narrow"/>
                <w:sz w:val="20"/>
              </w:rPr>
              <w:instrText xml:space="preserve"> FORMCHECKBOX </w:instrText>
            </w:r>
            <w:r w:rsidR="00000B64">
              <w:rPr>
                <w:rFonts w:ascii="Arial Narrow" w:hAnsi="Arial Narrow"/>
                <w:sz w:val="20"/>
              </w:rPr>
            </w:r>
            <w:r w:rsidR="00000B64">
              <w:rPr>
                <w:rFonts w:ascii="Arial Narrow" w:hAnsi="Arial Narrow"/>
                <w:sz w:val="20"/>
              </w:rPr>
              <w:fldChar w:fldCharType="separate"/>
            </w:r>
            <w:r w:rsidRPr="00786D0E">
              <w:rPr>
                <w:rFonts w:ascii="Arial Narrow" w:hAnsi="Arial Narrow"/>
                <w:sz w:val="20"/>
              </w:rPr>
              <w:fldChar w:fldCharType="end"/>
            </w:r>
            <w:r w:rsidRPr="00786D0E">
              <w:rPr>
                <w:rFonts w:ascii="Arial Narrow" w:hAnsi="Arial Narrow"/>
                <w:sz w:val="20"/>
              </w:rPr>
              <w:t>Restricted benefit</w:t>
            </w:r>
          </w:p>
          <w:p w:rsidR="001F354C" w:rsidRPr="00786D0E" w:rsidRDefault="001F354C" w:rsidP="001F354C">
            <w:pPr>
              <w:spacing w:before="0" w:after="0"/>
              <w:rPr>
                <w:rFonts w:ascii="Arial Narrow" w:hAnsi="Arial Narrow"/>
                <w:sz w:val="20"/>
              </w:rPr>
            </w:pPr>
            <w:r w:rsidRPr="00786D0E">
              <w:rPr>
                <w:rFonts w:ascii="Arial Narrow" w:hAnsi="Arial Narrow"/>
                <w:sz w:val="20"/>
              </w:rPr>
              <w:fldChar w:fldCharType="begin">
                <w:ffData>
                  <w:name w:val=""/>
                  <w:enabled/>
                  <w:calcOnExit w:val="0"/>
                  <w:checkBox>
                    <w:sizeAuto/>
                    <w:default w:val="0"/>
                  </w:checkBox>
                </w:ffData>
              </w:fldChar>
            </w:r>
            <w:r w:rsidRPr="00786D0E">
              <w:rPr>
                <w:rFonts w:ascii="Arial Narrow" w:hAnsi="Arial Narrow"/>
                <w:sz w:val="20"/>
              </w:rPr>
              <w:instrText xml:space="preserve"> FORMCHECKBOX </w:instrText>
            </w:r>
            <w:r w:rsidR="00000B64">
              <w:rPr>
                <w:rFonts w:ascii="Arial Narrow" w:hAnsi="Arial Narrow"/>
                <w:sz w:val="20"/>
              </w:rPr>
            </w:r>
            <w:r w:rsidR="00000B64">
              <w:rPr>
                <w:rFonts w:ascii="Arial Narrow" w:hAnsi="Arial Narrow"/>
                <w:sz w:val="20"/>
              </w:rPr>
              <w:fldChar w:fldCharType="separate"/>
            </w:r>
            <w:r w:rsidRPr="00786D0E">
              <w:rPr>
                <w:rFonts w:ascii="Arial Narrow" w:hAnsi="Arial Narrow"/>
                <w:sz w:val="20"/>
              </w:rPr>
              <w:fldChar w:fldCharType="end"/>
            </w:r>
            <w:r w:rsidRPr="00786D0E">
              <w:rPr>
                <w:rFonts w:ascii="Arial Narrow" w:hAnsi="Arial Narrow"/>
                <w:sz w:val="20"/>
              </w:rPr>
              <w:t>Authority Required - In Writing</w:t>
            </w:r>
          </w:p>
          <w:p w:rsidR="001F354C" w:rsidRPr="00786D0E" w:rsidRDefault="001F354C" w:rsidP="001F354C">
            <w:pPr>
              <w:spacing w:before="0" w:after="0"/>
              <w:rPr>
                <w:rFonts w:ascii="Arial Narrow" w:hAnsi="Arial Narrow"/>
                <w:sz w:val="20"/>
              </w:rPr>
            </w:pPr>
            <w:r w:rsidRPr="00786D0E">
              <w:rPr>
                <w:rFonts w:ascii="Arial Narrow" w:hAnsi="Arial Narrow"/>
                <w:sz w:val="20"/>
              </w:rPr>
              <w:fldChar w:fldCharType="begin">
                <w:ffData>
                  <w:name w:val=""/>
                  <w:enabled/>
                  <w:calcOnExit w:val="0"/>
                  <w:checkBox>
                    <w:sizeAuto/>
                    <w:default w:val="1"/>
                  </w:checkBox>
                </w:ffData>
              </w:fldChar>
            </w:r>
            <w:r w:rsidRPr="00786D0E">
              <w:rPr>
                <w:rFonts w:ascii="Arial Narrow" w:hAnsi="Arial Narrow"/>
                <w:sz w:val="20"/>
              </w:rPr>
              <w:instrText xml:space="preserve"> FORMCHECKBOX </w:instrText>
            </w:r>
            <w:r w:rsidR="00000B64">
              <w:rPr>
                <w:rFonts w:ascii="Arial Narrow" w:hAnsi="Arial Narrow"/>
                <w:sz w:val="20"/>
              </w:rPr>
            </w:r>
            <w:r w:rsidR="00000B64">
              <w:rPr>
                <w:rFonts w:ascii="Arial Narrow" w:hAnsi="Arial Narrow"/>
                <w:sz w:val="20"/>
              </w:rPr>
              <w:fldChar w:fldCharType="separate"/>
            </w:r>
            <w:r w:rsidRPr="00786D0E">
              <w:rPr>
                <w:rFonts w:ascii="Arial Narrow" w:hAnsi="Arial Narrow"/>
                <w:sz w:val="20"/>
              </w:rPr>
              <w:fldChar w:fldCharType="end"/>
            </w:r>
            <w:r w:rsidRPr="00786D0E">
              <w:rPr>
                <w:rFonts w:ascii="Arial Narrow" w:hAnsi="Arial Narrow"/>
                <w:sz w:val="20"/>
              </w:rPr>
              <w:t>Authority Required - Telephone</w:t>
            </w:r>
          </w:p>
          <w:p w:rsidR="001F354C" w:rsidRPr="00786D0E" w:rsidRDefault="001F354C" w:rsidP="001F354C">
            <w:pPr>
              <w:spacing w:before="0" w:after="0"/>
              <w:rPr>
                <w:rFonts w:ascii="Arial Narrow" w:hAnsi="Arial Narrow"/>
                <w:sz w:val="20"/>
              </w:rPr>
            </w:pPr>
            <w:r w:rsidRPr="00786D0E">
              <w:rPr>
                <w:rFonts w:ascii="Arial Narrow" w:hAnsi="Arial Narrow"/>
                <w:sz w:val="20"/>
              </w:rPr>
              <w:fldChar w:fldCharType="begin">
                <w:ffData>
                  <w:name w:val=""/>
                  <w:enabled/>
                  <w:calcOnExit w:val="0"/>
                  <w:checkBox>
                    <w:sizeAuto/>
                    <w:default w:val="0"/>
                  </w:checkBox>
                </w:ffData>
              </w:fldChar>
            </w:r>
            <w:r w:rsidRPr="00786D0E">
              <w:rPr>
                <w:rFonts w:ascii="Arial Narrow" w:hAnsi="Arial Narrow"/>
                <w:sz w:val="20"/>
              </w:rPr>
              <w:instrText xml:space="preserve"> FORMCHECKBOX </w:instrText>
            </w:r>
            <w:r w:rsidR="00000B64">
              <w:rPr>
                <w:rFonts w:ascii="Arial Narrow" w:hAnsi="Arial Narrow"/>
                <w:sz w:val="20"/>
              </w:rPr>
            </w:r>
            <w:r w:rsidR="00000B64">
              <w:rPr>
                <w:rFonts w:ascii="Arial Narrow" w:hAnsi="Arial Narrow"/>
                <w:sz w:val="20"/>
              </w:rPr>
              <w:fldChar w:fldCharType="separate"/>
            </w:r>
            <w:r w:rsidRPr="00786D0E">
              <w:rPr>
                <w:rFonts w:ascii="Arial Narrow" w:hAnsi="Arial Narrow"/>
                <w:sz w:val="20"/>
              </w:rPr>
              <w:fldChar w:fldCharType="end"/>
            </w:r>
            <w:r w:rsidRPr="00786D0E">
              <w:rPr>
                <w:rFonts w:ascii="Arial Narrow" w:hAnsi="Arial Narrow"/>
                <w:sz w:val="20"/>
              </w:rPr>
              <w:t>Authority Required – Emergency</w:t>
            </w:r>
          </w:p>
          <w:p w:rsidR="001F354C" w:rsidRPr="00786D0E" w:rsidRDefault="001F354C" w:rsidP="001F354C">
            <w:pPr>
              <w:spacing w:before="0" w:after="0"/>
              <w:rPr>
                <w:rFonts w:ascii="Arial Narrow" w:hAnsi="Arial Narrow"/>
                <w:sz w:val="20"/>
              </w:rPr>
            </w:pPr>
            <w:r w:rsidRPr="00786D0E">
              <w:rPr>
                <w:rFonts w:ascii="Arial Narrow" w:hAnsi="Arial Narrow"/>
                <w:sz w:val="20"/>
              </w:rPr>
              <w:fldChar w:fldCharType="begin">
                <w:ffData>
                  <w:name w:val="Check5"/>
                  <w:enabled/>
                  <w:calcOnExit w:val="0"/>
                  <w:checkBox>
                    <w:sizeAuto/>
                    <w:default w:val="0"/>
                  </w:checkBox>
                </w:ffData>
              </w:fldChar>
            </w:r>
            <w:r w:rsidRPr="00786D0E">
              <w:rPr>
                <w:rFonts w:ascii="Arial Narrow" w:hAnsi="Arial Narrow"/>
                <w:sz w:val="20"/>
              </w:rPr>
              <w:instrText xml:space="preserve"> FORMCHECKBOX </w:instrText>
            </w:r>
            <w:r w:rsidR="00000B64">
              <w:rPr>
                <w:rFonts w:ascii="Arial Narrow" w:hAnsi="Arial Narrow"/>
                <w:sz w:val="20"/>
              </w:rPr>
            </w:r>
            <w:r w:rsidR="00000B64">
              <w:rPr>
                <w:rFonts w:ascii="Arial Narrow" w:hAnsi="Arial Narrow"/>
                <w:sz w:val="20"/>
              </w:rPr>
              <w:fldChar w:fldCharType="separate"/>
            </w:r>
            <w:r w:rsidRPr="00786D0E">
              <w:rPr>
                <w:rFonts w:ascii="Arial Narrow" w:hAnsi="Arial Narrow"/>
                <w:sz w:val="20"/>
              </w:rPr>
              <w:fldChar w:fldCharType="end"/>
            </w:r>
            <w:r w:rsidRPr="00786D0E">
              <w:rPr>
                <w:rFonts w:ascii="Arial Narrow" w:hAnsi="Arial Narrow"/>
                <w:sz w:val="20"/>
              </w:rPr>
              <w:t>Authority Required - Electronic</w:t>
            </w:r>
          </w:p>
          <w:p w:rsidR="001F354C" w:rsidRPr="00786D0E" w:rsidRDefault="001F354C" w:rsidP="001F354C">
            <w:pPr>
              <w:spacing w:before="0" w:after="0"/>
              <w:rPr>
                <w:rFonts w:ascii="Arial Narrow" w:hAnsi="Arial Narrow"/>
                <w:sz w:val="20"/>
              </w:rPr>
            </w:pPr>
            <w:r w:rsidRPr="00786D0E">
              <w:rPr>
                <w:rFonts w:ascii="Arial Narrow" w:hAnsi="Arial Narrow"/>
                <w:sz w:val="20"/>
              </w:rPr>
              <w:fldChar w:fldCharType="begin">
                <w:ffData>
                  <w:name w:val=""/>
                  <w:enabled/>
                  <w:calcOnExit w:val="0"/>
                  <w:checkBox>
                    <w:sizeAuto/>
                    <w:default w:val="0"/>
                  </w:checkBox>
                </w:ffData>
              </w:fldChar>
            </w:r>
            <w:r w:rsidRPr="00786D0E">
              <w:rPr>
                <w:rFonts w:ascii="Arial Narrow" w:hAnsi="Arial Narrow"/>
                <w:sz w:val="20"/>
              </w:rPr>
              <w:instrText xml:space="preserve"> FORMCHECKBOX </w:instrText>
            </w:r>
            <w:r w:rsidR="00000B64">
              <w:rPr>
                <w:rFonts w:ascii="Arial Narrow" w:hAnsi="Arial Narrow"/>
                <w:sz w:val="20"/>
              </w:rPr>
            </w:r>
            <w:r w:rsidR="00000B64">
              <w:rPr>
                <w:rFonts w:ascii="Arial Narrow" w:hAnsi="Arial Narrow"/>
                <w:sz w:val="20"/>
              </w:rPr>
              <w:fldChar w:fldCharType="separate"/>
            </w:r>
            <w:r w:rsidRPr="00786D0E">
              <w:rPr>
                <w:rFonts w:ascii="Arial Narrow" w:hAnsi="Arial Narrow"/>
                <w:sz w:val="20"/>
              </w:rPr>
              <w:fldChar w:fldCharType="end"/>
            </w:r>
            <w:r w:rsidRPr="00786D0E">
              <w:rPr>
                <w:rFonts w:ascii="Arial Narrow" w:hAnsi="Arial Narrow"/>
                <w:sz w:val="20"/>
              </w:rPr>
              <w:t>Streamlined</w:t>
            </w:r>
          </w:p>
        </w:tc>
      </w:tr>
      <w:tr w:rsidR="001F354C" w:rsidRPr="00786D0E" w:rsidTr="001F354C">
        <w:trPr>
          <w:cantSplit/>
          <w:trHeight w:val="1205"/>
        </w:trPr>
        <w:tc>
          <w:tcPr>
            <w:tcW w:w="2004" w:type="dxa"/>
            <w:gridSpan w:val="2"/>
            <w:tcBorders>
              <w:left w:val="single" w:sz="4" w:space="0" w:color="auto"/>
              <w:bottom w:val="single" w:sz="4" w:space="0" w:color="auto"/>
              <w:right w:val="single" w:sz="4" w:space="0" w:color="auto"/>
            </w:tcBorders>
          </w:tcPr>
          <w:p w:rsidR="001F354C" w:rsidRPr="00786D0E" w:rsidRDefault="001F354C" w:rsidP="001F354C">
            <w:pPr>
              <w:pStyle w:val="TableText"/>
              <w:spacing w:before="0" w:after="0"/>
              <w:rPr>
                <w:b/>
              </w:rPr>
            </w:pPr>
            <w:r w:rsidRPr="00786D0E">
              <w:rPr>
                <w:b/>
              </w:rPr>
              <w:t>Clinical criteria:</w:t>
            </w:r>
          </w:p>
        </w:tc>
        <w:tc>
          <w:tcPr>
            <w:tcW w:w="6804"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keepNext/>
              <w:spacing w:before="0" w:after="0"/>
              <w:rPr>
                <w:rFonts w:ascii="Arial Narrow" w:hAnsi="Arial Narrow"/>
                <w:sz w:val="20"/>
                <w:lang w:eastAsia="en-AU"/>
              </w:rPr>
            </w:pPr>
            <w:r w:rsidRPr="00786D0E">
              <w:rPr>
                <w:rFonts w:ascii="Arial Narrow" w:hAnsi="Arial Narrow"/>
                <w:sz w:val="20"/>
                <w:lang w:eastAsia="en-AU"/>
              </w:rPr>
              <w:t xml:space="preserve">The treatment must be the sole PBS-subsidised therapy for this condition </w:t>
            </w:r>
          </w:p>
          <w:p w:rsidR="001F354C" w:rsidRPr="00786D0E" w:rsidRDefault="001F354C" w:rsidP="001F354C">
            <w:pPr>
              <w:keepNext/>
              <w:spacing w:before="0" w:after="0"/>
              <w:rPr>
                <w:rFonts w:ascii="Arial Narrow" w:hAnsi="Arial Narrow"/>
                <w:sz w:val="20"/>
                <w:lang w:eastAsia="en-AU"/>
              </w:rPr>
            </w:pPr>
            <w:r w:rsidRPr="00786D0E">
              <w:rPr>
                <w:rFonts w:ascii="Arial Narrow" w:hAnsi="Arial Narrow"/>
                <w:sz w:val="20"/>
                <w:lang w:eastAsia="en-AU"/>
              </w:rPr>
              <w:t>AND</w:t>
            </w:r>
          </w:p>
          <w:p w:rsidR="001F354C" w:rsidRPr="00786D0E" w:rsidRDefault="001F354C" w:rsidP="001F354C">
            <w:pPr>
              <w:keepNext/>
              <w:spacing w:before="0" w:after="0"/>
              <w:rPr>
                <w:rFonts w:ascii="Arial Narrow" w:hAnsi="Arial Narrow"/>
                <w:sz w:val="20"/>
                <w:lang w:eastAsia="en-AU"/>
              </w:rPr>
            </w:pPr>
            <w:r w:rsidRPr="00786D0E">
              <w:rPr>
                <w:rFonts w:ascii="Arial Narrow" w:hAnsi="Arial Narrow"/>
                <w:sz w:val="20"/>
                <w:lang w:eastAsia="en-AU"/>
              </w:rPr>
              <w:t xml:space="preserve">Patient must have previously </w:t>
            </w:r>
            <w:r w:rsidRPr="00786D0E">
              <w:rPr>
                <w:rFonts w:ascii="Arial Narrow" w:hAnsi="Arial Narrow"/>
                <w:strike/>
                <w:sz w:val="20"/>
                <w:lang w:eastAsia="en-AU"/>
              </w:rPr>
              <w:t>been issued with an authority prescription for this drug</w:t>
            </w:r>
            <w:r w:rsidRPr="00786D0E">
              <w:rPr>
                <w:rFonts w:ascii="Arial Narrow" w:hAnsi="Arial Narrow"/>
                <w:i/>
                <w:sz w:val="20"/>
              </w:rPr>
              <w:t xml:space="preserve"> received PBS-subsidised treatment with this drug for this condition</w:t>
            </w:r>
          </w:p>
          <w:p w:rsidR="001F354C" w:rsidRPr="00786D0E" w:rsidRDefault="001F354C" w:rsidP="001F354C">
            <w:pPr>
              <w:keepNext/>
              <w:spacing w:before="0" w:after="0"/>
              <w:rPr>
                <w:rFonts w:ascii="Arial Narrow" w:hAnsi="Arial Narrow"/>
                <w:sz w:val="20"/>
                <w:lang w:eastAsia="en-AU"/>
              </w:rPr>
            </w:pPr>
            <w:r w:rsidRPr="00786D0E">
              <w:rPr>
                <w:rFonts w:ascii="Arial Narrow" w:hAnsi="Arial Narrow"/>
                <w:sz w:val="20"/>
                <w:lang w:eastAsia="en-AU"/>
              </w:rPr>
              <w:t>AND</w:t>
            </w:r>
          </w:p>
          <w:p w:rsidR="001F354C" w:rsidRPr="00786D0E" w:rsidRDefault="001F354C" w:rsidP="001F354C">
            <w:pPr>
              <w:pStyle w:val="TableText"/>
              <w:spacing w:before="0" w:after="0"/>
            </w:pPr>
            <w:r w:rsidRPr="00786D0E">
              <w:rPr>
                <w:lang w:eastAsia="en-AU"/>
              </w:rPr>
              <w:t xml:space="preserve">Patient must not have progressive disease </w:t>
            </w:r>
            <w:r w:rsidRPr="00786D0E">
              <w:rPr>
                <w:i/>
              </w:rPr>
              <w:t>while receiving PBS-subsidised treatment with this drug for this condition.</w:t>
            </w:r>
          </w:p>
        </w:tc>
      </w:tr>
      <w:tr w:rsidR="001F354C" w:rsidRPr="00786D0E" w:rsidTr="001F354C">
        <w:trPr>
          <w:cantSplit/>
          <w:trHeight w:val="360"/>
        </w:trPr>
        <w:tc>
          <w:tcPr>
            <w:tcW w:w="2004"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rPr>
                <w:b/>
              </w:rPr>
            </w:pPr>
            <w:r w:rsidRPr="00786D0E">
              <w:rPr>
                <w:b/>
              </w:rPr>
              <w:t>Administrative advice:</w:t>
            </w:r>
          </w:p>
        </w:tc>
        <w:tc>
          <w:tcPr>
            <w:tcW w:w="6804"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 xml:space="preserve">No increase in the maximum number of repeats may be authorised. </w:t>
            </w:r>
          </w:p>
          <w:p w:rsidR="001F354C" w:rsidRPr="00786D0E" w:rsidRDefault="001F354C" w:rsidP="001F354C">
            <w:pPr>
              <w:pStyle w:val="TableText"/>
              <w:spacing w:before="0" w:after="0"/>
            </w:pPr>
            <w:r w:rsidRPr="00786D0E">
              <w:t>Special Pricing Arrangements apply.</w:t>
            </w:r>
          </w:p>
        </w:tc>
      </w:tr>
      <w:tr w:rsidR="001F354C" w:rsidRPr="00786D0E" w:rsidTr="001F354C">
        <w:trPr>
          <w:cantSplit/>
          <w:trHeight w:val="360"/>
        </w:trPr>
        <w:tc>
          <w:tcPr>
            <w:tcW w:w="2004"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sz w:val="20"/>
              </w:rPr>
            </w:pPr>
            <w:r w:rsidRPr="00786D0E">
              <w:rPr>
                <w:rFonts w:ascii="Arial Narrow" w:hAnsi="Arial Narrow"/>
                <w:b/>
                <w:sz w:val="20"/>
              </w:rPr>
              <w:t>Prescriber Instructions</w:t>
            </w:r>
          </w:p>
        </w:tc>
        <w:tc>
          <w:tcPr>
            <w:tcW w:w="6804"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i/>
                <w:sz w:val="20"/>
              </w:rPr>
            </w:pPr>
            <w:r w:rsidRPr="00786D0E">
              <w:rPr>
                <w:rFonts w:ascii="Arial Narrow" w:hAnsi="Arial Narrow"/>
                <w:i/>
                <w:sz w:val="20"/>
              </w:rPr>
              <w:t xml:space="preserve">Authority applications for continuing treatment may be made by telephone to the Department of Human Services on 1800 700 270 (hours of operation 8 a.m. to 5 p.m. EST Monday to Friday). </w:t>
            </w:r>
          </w:p>
        </w:tc>
      </w:tr>
    </w:tbl>
    <w:p w:rsidR="00534FFE" w:rsidRDefault="00534FFE" w:rsidP="00CF4381"/>
    <w:p w:rsidR="00534FFE" w:rsidRDefault="00534FFE">
      <w:pPr>
        <w:spacing w:before="0" w:line="259" w:lineRule="auto"/>
      </w:pPr>
      <w:r>
        <w:br w:type="page"/>
      </w:r>
    </w:p>
    <w:p w:rsidR="001F354C" w:rsidRPr="00786D0E" w:rsidRDefault="001F354C" w:rsidP="00CF4381"/>
    <w:tbl>
      <w:tblPr>
        <w:tblW w:w="9100" w:type="dxa"/>
        <w:tblInd w:w="80" w:type="dxa"/>
        <w:tblLayout w:type="fixed"/>
        <w:tblLook w:val="0000" w:firstRow="0" w:lastRow="0" w:firstColumn="0" w:lastColumn="0" w:noHBand="0" w:noVBand="0"/>
      </w:tblPr>
      <w:tblGrid>
        <w:gridCol w:w="28"/>
        <w:gridCol w:w="1991"/>
        <w:gridCol w:w="790"/>
        <w:gridCol w:w="1024"/>
        <w:gridCol w:w="585"/>
        <w:gridCol w:w="2048"/>
        <w:gridCol w:w="2634"/>
      </w:tblGrid>
      <w:tr w:rsidR="001F354C" w:rsidRPr="00786D0E" w:rsidTr="00601C16">
        <w:trPr>
          <w:gridBefore w:val="1"/>
          <w:wBefore w:w="28" w:type="dxa"/>
          <w:cantSplit/>
          <w:trHeight w:val="471"/>
        </w:trPr>
        <w:tc>
          <w:tcPr>
            <w:tcW w:w="2694" w:type="dxa"/>
            <w:gridSpan w:val="2"/>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Name, Restriction,</w:t>
            </w:r>
          </w:p>
          <w:p w:rsidR="001F354C" w:rsidRPr="00786D0E" w:rsidRDefault="001F354C" w:rsidP="001F354C">
            <w:pPr>
              <w:spacing w:before="0" w:after="0"/>
              <w:ind w:left="-108"/>
              <w:rPr>
                <w:rFonts w:ascii="Arial Narrow" w:hAnsi="Arial Narrow"/>
                <w:sz w:val="20"/>
              </w:rPr>
            </w:pPr>
            <w:r w:rsidRPr="00786D0E">
              <w:rPr>
                <w:rFonts w:ascii="Arial Narrow" w:hAnsi="Arial Narrow"/>
                <w:sz w:val="20"/>
              </w:rPr>
              <w:t>Manner of administration and form</w:t>
            </w:r>
          </w:p>
        </w:tc>
        <w:tc>
          <w:tcPr>
            <w:tcW w:w="992"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Max.</w:t>
            </w:r>
          </w:p>
          <w:p w:rsidR="001F354C" w:rsidRPr="00786D0E" w:rsidRDefault="001F354C" w:rsidP="001F354C">
            <w:pPr>
              <w:spacing w:before="0" w:after="0"/>
              <w:ind w:left="-108"/>
              <w:rPr>
                <w:rFonts w:ascii="Arial Narrow" w:hAnsi="Arial Narrow"/>
                <w:sz w:val="20"/>
              </w:rPr>
            </w:pPr>
            <w:proofErr w:type="spellStart"/>
            <w:r w:rsidRPr="00786D0E">
              <w:rPr>
                <w:rFonts w:ascii="Arial Narrow" w:hAnsi="Arial Narrow"/>
                <w:sz w:val="20"/>
              </w:rPr>
              <w:t>Qty</w:t>
            </w:r>
            <w:proofErr w:type="spellEnd"/>
            <w:r w:rsidRPr="00786D0E">
              <w:rPr>
                <w:rFonts w:ascii="Arial Narrow" w:hAnsi="Arial Narrow"/>
                <w:sz w:val="20"/>
              </w:rPr>
              <w:t xml:space="preserve"> (packs)</w:t>
            </w:r>
          </w:p>
        </w:tc>
        <w:tc>
          <w:tcPr>
            <w:tcW w:w="567"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№.of</w:t>
            </w:r>
          </w:p>
          <w:p w:rsidR="001F354C" w:rsidRPr="00786D0E" w:rsidRDefault="001F354C" w:rsidP="001F354C">
            <w:pPr>
              <w:spacing w:before="0" w:after="0"/>
              <w:ind w:left="-108"/>
              <w:rPr>
                <w:rFonts w:ascii="Arial Narrow" w:hAnsi="Arial Narrow"/>
                <w:sz w:val="20"/>
              </w:rPr>
            </w:pPr>
            <w:proofErr w:type="spellStart"/>
            <w:r w:rsidRPr="00786D0E">
              <w:rPr>
                <w:rFonts w:ascii="Arial Narrow" w:hAnsi="Arial Narrow"/>
                <w:sz w:val="20"/>
              </w:rPr>
              <w:t>Rpts</w:t>
            </w:r>
            <w:proofErr w:type="spellEnd"/>
          </w:p>
        </w:tc>
        <w:tc>
          <w:tcPr>
            <w:tcW w:w="1984"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 xml:space="preserve">Dispensed Price for Max. </w:t>
            </w:r>
            <w:proofErr w:type="spellStart"/>
            <w:r w:rsidRPr="00786D0E">
              <w:rPr>
                <w:rFonts w:ascii="Arial Narrow" w:hAnsi="Arial Narrow"/>
                <w:sz w:val="20"/>
              </w:rPr>
              <w:t>Qty</w:t>
            </w:r>
            <w:proofErr w:type="spellEnd"/>
            <w:r w:rsidRPr="00786D0E">
              <w:rPr>
                <w:rFonts w:ascii="Arial Narrow" w:hAnsi="Arial Narrow"/>
                <w:sz w:val="20"/>
              </w:rPr>
              <w:t xml:space="preserve"> </w:t>
            </w:r>
          </w:p>
        </w:tc>
        <w:tc>
          <w:tcPr>
            <w:tcW w:w="2552" w:type="dxa"/>
            <w:tcBorders>
              <w:bottom w:val="single" w:sz="4" w:space="0" w:color="auto"/>
            </w:tcBorders>
          </w:tcPr>
          <w:p w:rsidR="001F354C" w:rsidRPr="00786D0E" w:rsidRDefault="001F354C" w:rsidP="001F354C">
            <w:pPr>
              <w:spacing w:before="0" w:after="0"/>
              <w:rPr>
                <w:rFonts w:ascii="Arial Narrow" w:hAnsi="Arial Narrow"/>
                <w:sz w:val="20"/>
              </w:rPr>
            </w:pPr>
            <w:r w:rsidRPr="00786D0E">
              <w:rPr>
                <w:rFonts w:ascii="Arial Narrow" w:hAnsi="Arial Narrow"/>
                <w:sz w:val="20"/>
              </w:rPr>
              <w:t>Proprietary Name and Manufacturer</w:t>
            </w:r>
          </w:p>
        </w:tc>
      </w:tr>
      <w:tr w:rsidR="001F354C" w:rsidRPr="00786D0E" w:rsidTr="00601C16">
        <w:trPr>
          <w:gridBefore w:val="1"/>
          <w:wBefore w:w="28" w:type="dxa"/>
          <w:cantSplit/>
          <w:trHeight w:val="471"/>
        </w:trPr>
        <w:tc>
          <w:tcPr>
            <w:tcW w:w="2694" w:type="dxa"/>
            <w:gridSpan w:val="2"/>
            <w:tcBorders>
              <w:bottom w:val="single" w:sz="4" w:space="0" w:color="auto"/>
            </w:tcBorders>
          </w:tcPr>
          <w:p w:rsidR="001F354C" w:rsidRPr="00786D0E" w:rsidRDefault="001F354C" w:rsidP="001F354C">
            <w:pPr>
              <w:spacing w:before="0" w:after="0"/>
              <w:ind w:left="-108"/>
              <w:rPr>
                <w:rFonts w:ascii="Arial Narrow" w:hAnsi="Arial Narrow"/>
                <w:sz w:val="20"/>
              </w:rPr>
            </w:pPr>
            <w:proofErr w:type="spellStart"/>
            <w:r w:rsidRPr="00786D0E">
              <w:rPr>
                <w:rFonts w:ascii="Arial Narrow" w:hAnsi="Arial Narrow"/>
                <w:sz w:val="20"/>
              </w:rPr>
              <w:t>Crizotinib</w:t>
            </w:r>
            <w:proofErr w:type="spellEnd"/>
            <w:r w:rsidRPr="00786D0E">
              <w:rPr>
                <w:rFonts w:ascii="Arial Narrow" w:hAnsi="Arial Narrow"/>
                <w:sz w:val="20"/>
              </w:rPr>
              <w:br/>
              <w:t>capsule, 250 mg.</w:t>
            </w:r>
            <w:r w:rsidRPr="00786D0E">
              <w:rPr>
                <w:rFonts w:ascii="Arial Narrow" w:hAnsi="Arial Narrow"/>
                <w:i/>
                <w:sz w:val="20"/>
              </w:rPr>
              <w:t xml:space="preserve"> 60</w:t>
            </w:r>
          </w:p>
        </w:tc>
        <w:tc>
          <w:tcPr>
            <w:tcW w:w="992"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1</w:t>
            </w:r>
          </w:p>
        </w:tc>
        <w:tc>
          <w:tcPr>
            <w:tcW w:w="567"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1</w:t>
            </w:r>
          </w:p>
        </w:tc>
        <w:tc>
          <w:tcPr>
            <w:tcW w:w="1984" w:type="dxa"/>
            <w:tcBorders>
              <w:bottom w:val="single" w:sz="4" w:space="0" w:color="auto"/>
            </w:tcBorders>
          </w:tcPr>
          <w:p w:rsidR="001F354C" w:rsidRPr="00786D0E" w:rsidRDefault="001F354C" w:rsidP="001F354C">
            <w:pPr>
              <w:keepNext/>
              <w:spacing w:before="0" w:after="0"/>
              <w:ind w:left="-108"/>
              <w:rPr>
                <w:rFonts w:ascii="Arial Narrow" w:hAnsi="Arial Narrow"/>
                <w:sz w:val="20"/>
              </w:rPr>
            </w:pPr>
            <w:r w:rsidRPr="00786D0E">
              <w:rPr>
                <w:rFonts w:ascii="Arial Narrow" w:hAnsi="Arial Narrow"/>
                <w:sz w:val="20"/>
              </w:rPr>
              <w:t>$</w:t>
            </w:r>
            <w:r w:rsidRPr="00DA54D5">
              <w:rPr>
                <w:rFonts w:ascii="Arial Narrow" w:hAnsi="Arial Narrow"/>
                <w:sz w:val="20"/>
              </w:rPr>
              <w:t>7,276.18</w:t>
            </w:r>
            <w:r w:rsidRPr="00786D0E">
              <w:rPr>
                <w:rFonts w:ascii="Arial Narrow" w:hAnsi="Arial Narrow"/>
                <w:sz w:val="20"/>
              </w:rPr>
              <w:t xml:space="preserve"> (Published)</w:t>
            </w:r>
          </w:p>
          <w:p w:rsidR="001F354C" w:rsidRPr="00786D0E" w:rsidRDefault="001F354C" w:rsidP="001F354C">
            <w:pPr>
              <w:keepNext/>
              <w:spacing w:before="0" w:after="0"/>
              <w:ind w:left="-108"/>
              <w:rPr>
                <w:rFonts w:ascii="Arial Narrow" w:hAnsi="Arial Narrow"/>
                <w:sz w:val="20"/>
              </w:rPr>
            </w:pPr>
            <w:r w:rsidRPr="00786D0E">
              <w:rPr>
                <w:rFonts w:ascii="Arial Narrow" w:hAnsi="Arial Narrow"/>
                <w:sz w:val="20"/>
              </w:rPr>
              <w:t>$</w:t>
            </w:r>
            <w:r w:rsidR="001144C3">
              <w:rPr>
                <w:rFonts w:ascii="Arial Narrow" w:hAnsi="Arial Narrow"/>
                <w:noProof/>
                <w:color w:val="000000"/>
                <w:sz w:val="20"/>
                <w:highlight w:val="black"/>
              </w:rPr>
              <w:t>''''''''''''''''''''''</w:t>
            </w:r>
            <w:r w:rsidRPr="00786D0E">
              <w:rPr>
                <w:rFonts w:ascii="Arial Narrow" w:hAnsi="Arial Narrow"/>
                <w:sz w:val="20"/>
              </w:rPr>
              <w:t xml:space="preserve"> (Effective)</w:t>
            </w:r>
          </w:p>
        </w:tc>
        <w:tc>
          <w:tcPr>
            <w:tcW w:w="2552" w:type="dxa"/>
            <w:tcBorders>
              <w:bottom w:val="single" w:sz="4" w:space="0" w:color="auto"/>
            </w:tcBorders>
          </w:tcPr>
          <w:p w:rsidR="001F354C" w:rsidRPr="00786D0E" w:rsidRDefault="001F354C" w:rsidP="001F354C">
            <w:pPr>
              <w:spacing w:before="0" w:after="0"/>
              <w:rPr>
                <w:rFonts w:ascii="Arial Narrow" w:hAnsi="Arial Narrow"/>
                <w:sz w:val="20"/>
              </w:rPr>
            </w:pPr>
            <w:proofErr w:type="spellStart"/>
            <w:r w:rsidRPr="00786D0E">
              <w:rPr>
                <w:rFonts w:ascii="Arial Narrow" w:hAnsi="Arial Narrow"/>
                <w:sz w:val="20"/>
              </w:rPr>
              <w:t>Xalkori</w:t>
            </w:r>
            <w:proofErr w:type="spellEnd"/>
            <w:r w:rsidRPr="00786D0E">
              <w:rPr>
                <w:rFonts w:ascii="Arial Narrow" w:hAnsi="Arial Narrow"/>
                <w:sz w:val="20"/>
              </w:rPr>
              <w:t xml:space="preserve"> </w:t>
            </w:r>
            <w:r w:rsidRPr="00786D0E">
              <w:rPr>
                <w:rFonts w:ascii="Arial Narrow" w:hAnsi="Arial Narrow"/>
                <w:sz w:val="20"/>
              </w:rPr>
              <w:br/>
              <w:t>Pfizer Australia Pty Ltd</w:t>
            </w:r>
          </w:p>
        </w:tc>
      </w:tr>
      <w:tr w:rsidR="001F354C" w:rsidRPr="00786D0E" w:rsidTr="00601C16">
        <w:trPr>
          <w:gridBefore w:val="1"/>
          <w:wBefore w:w="28" w:type="dxa"/>
          <w:cantSplit/>
          <w:trHeight w:val="471"/>
        </w:trPr>
        <w:tc>
          <w:tcPr>
            <w:tcW w:w="2694" w:type="dxa"/>
            <w:gridSpan w:val="2"/>
            <w:tcBorders>
              <w:bottom w:val="single" w:sz="4" w:space="0" w:color="auto"/>
            </w:tcBorders>
          </w:tcPr>
          <w:p w:rsidR="001F354C" w:rsidRPr="00786D0E" w:rsidRDefault="001F354C" w:rsidP="001F354C">
            <w:pPr>
              <w:spacing w:before="0" w:after="0"/>
              <w:ind w:left="-108"/>
              <w:rPr>
                <w:rFonts w:ascii="Arial Narrow" w:hAnsi="Arial Narrow"/>
                <w:sz w:val="20"/>
              </w:rPr>
            </w:pPr>
            <w:proofErr w:type="spellStart"/>
            <w:r w:rsidRPr="00786D0E">
              <w:rPr>
                <w:rFonts w:ascii="Arial Narrow" w:hAnsi="Arial Narrow"/>
                <w:sz w:val="20"/>
              </w:rPr>
              <w:t>Crizotinib</w:t>
            </w:r>
            <w:proofErr w:type="spellEnd"/>
            <w:r w:rsidRPr="00786D0E">
              <w:rPr>
                <w:rFonts w:ascii="Arial Narrow" w:hAnsi="Arial Narrow"/>
                <w:sz w:val="20"/>
              </w:rPr>
              <w:br/>
              <w:t xml:space="preserve">capsule, 200 mg, </w:t>
            </w:r>
            <w:r w:rsidRPr="00786D0E">
              <w:rPr>
                <w:rFonts w:ascii="Arial Narrow" w:hAnsi="Arial Narrow"/>
                <w:i/>
                <w:sz w:val="20"/>
              </w:rPr>
              <w:t>60</w:t>
            </w:r>
          </w:p>
        </w:tc>
        <w:tc>
          <w:tcPr>
            <w:tcW w:w="992"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1</w:t>
            </w:r>
          </w:p>
        </w:tc>
        <w:tc>
          <w:tcPr>
            <w:tcW w:w="567" w:type="dxa"/>
            <w:tcBorders>
              <w:bottom w:val="single" w:sz="4" w:space="0" w:color="auto"/>
            </w:tcBorders>
          </w:tcPr>
          <w:p w:rsidR="001F354C" w:rsidRPr="00786D0E" w:rsidRDefault="001F354C" w:rsidP="001F354C">
            <w:pPr>
              <w:spacing w:before="0" w:after="0"/>
              <w:ind w:left="-108"/>
              <w:rPr>
                <w:rFonts w:ascii="Arial Narrow" w:hAnsi="Arial Narrow"/>
                <w:sz w:val="20"/>
              </w:rPr>
            </w:pPr>
            <w:r w:rsidRPr="00786D0E">
              <w:rPr>
                <w:rFonts w:ascii="Arial Narrow" w:hAnsi="Arial Narrow"/>
                <w:sz w:val="20"/>
              </w:rPr>
              <w:t>1</w:t>
            </w:r>
          </w:p>
        </w:tc>
        <w:tc>
          <w:tcPr>
            <w:tcW w:w="1984" w:type="dxa"/>
            <w:tcBorders>
              <w:bottom w:val="single" w:sz="4" w:space="0" w:color="auto"/>
            </w:tcBorders>
          </w:tcPr>
          <w:p w:rsidR="001F354C" w:rsidRPr="00786D0E" w:rsidRDefault="001F354C" w:rsidP="001F354C">
            <w:pPr>
              <w:keepNext/>
              <w:spacing w:before="0" w:after="0"/>
              <w:ind w:left="-108"/>
              <w:rPr>
                <w:rFonts w:ascii="Arial Narrow" w:hAnsi="Arial Narrow"/>
                <w:sz w:val="20"/>
              </w:rPr>
            </w:pPr>
            <w:r w:rsidRPr="00786D0E">
              <w:rPr>
                <w:rFonts w:ascii="Arial Narrow" w:hAnsi="Arial Narrow"/>
                <w:sz w:val="20"/>
              </w:rPr>
              <w:t>$</w:t>
            </w:r>
            <w:r w:rsidRPr="00DA54D5">
              <w:rPr>
                <w:rFonts w:ascii="Arial Narrow" w:hAnsi="Arial Narrow"/>
                <w:sz w:val="20"/>
              </w:rPr>
              <w:t>7,276.18</w:t>
            </w:r>
            <w:r w:rsidRPr="00786D0E">
              <w:rPr>
                <w:rFonts w:ascii="Arial Narrow" w:hAnsi="Arial Narrow"/>
                <w:sz w:val="20"/>
              </w:rPr>
              <w:t xml:space="preserve"> (Published)</w:t>
            </w:r>
          </w:p>
          <w:p w:rsidR="001F354C" w:rsidRPr="00786D0E" w:rsidRDefault="001F354C" w:rsidP="001F354C">
            <w:pPr>
              <w:keepNext/>
              <w:spacing w:before="0" w:after="0"/>
              <w:ind w:left="-108"/>
              <w:rPr>
                <w:rFonts w:ascii="Arial Narrow" w:hAnsi="Arial Narrow"/>
                <w:sz w:val="20"/>
              </w:rPr>
            </w:pPr>
            <w:r w:rsidRPr="00786D0E">
              <w:rPr>
                <w:rFonts w:ascii="Arial Narrow" w:hAnsi="Arial Narrow"/>
                <w:sz w:val="20"/>
              </w:rPr>
              <w:t>$</w:t>
            </w:r>
            <w:r w:rsidR="001144C3">
              <w:rPr>
                <w:rFonts w:ascii="Arial Narrow" w:hAnsi="Arial Narrow"/>
                <w:noProof/>
                <w:color w:val="000000"/>
                <w:sz w:val="20"/>
                <w:highlight w:val="black"/>
              </w:rPr>
              <w:t>'''''''''''''''''''''''</w:t>
            </w:r>
            <w:r w:rsidRPr="00786D0E">
              <w:rPr>
                <w:rFonts w:ascii="Arial Narrow" w:hAnsi="Arial Narrow"/>
                <w:sz w:val="20"/>
              </w:rPr>
              <w:t xml:space="preserve"> (Effective)</w:t>
            </w:r>
          </w:p>
        </w:tc>
        <w:tc>
          <w:tcPr>
            <w:tcW w:w="2552" w:type="dxa"/>
            <w:tcBorders>
              <w:bottom w:val="single" w:sz="4" w:space="0" w:color="auto"/>
            </w:tcBorders>
          </w:tcPr>
          <w:p w:rsidR="001F354C" w:rsidRPr="00786D0E" w:rsidRDefault="001F354C" w:rsidP="001F354C">
            <w:pPr>
              <w:spacing w:before="0" w:after="0"/>
              <w:rPr>
                <w:rFonts w:ascii="Arial Narrow" w:hAnsi="Arial Narrow"/>
                <w:sz w:val="20"/>
              </w:rPr>
            </w:pPr>
            <w:proofErr w:type="spellStart"/>
            <w:r w:rsidRPr="00786D0E">
              <w:rPr>
                <w:rFonts w:ascii="Arial Narrow" w:hAnsi="Arial Narrow"/>
                <w:sz w:val="20"/>
              </w:rPr>
              <w:t>Xalkori</w:t>
            </w:r>
            <w:proofErr w:type="spellEnd"/>
            <w:r w:rsidRPr="00786D0E">
              <w:rPr>
                <w:rFonts w:ascii="Arial Narrow" w:hAnsi="Arial Narrow"/>
                <w:sz w:val="20"/>
              </w:rPr>
              <w:t xml:space="preserve"> </w:t>
            </w:r>
            <w:r w:rsidRPr="00786D0E">
              <w:rPr>
                <w:rFonts w:ascii="Arial Narrow" w:hAnsi="Arial Narrow"/>
                <w:sz w:val="20"/>
              </w:rPr>
              <w:br/>
              <w:t>Pfizer Australia Pty Ltd</w:t>
            </w:r>
          </w:p>
        </w:tc>
      </w:tr>
      <w:tr w:rsidR="001F354C" w:rsidRPr="00786D0E" w:rsidTr="00601C16">
        <w:trPr>
          <w:cantSplit/>
          <w:trHeight w:val="360"/>
        </w:trPr>
        <w:tc>
          <w:tcPr>
            <w:tcW w:w="1957"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rPr>
                <w:b/>
              </w:rPr>
            </w:pPr>
            <w:r w:rsidRPr="00786D0E">
              <w:rPr>
                <w:b/>
              </w:rPr>
              <w:t>Category / Program:</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Section 85 – General Schedule</w:t>
            </w:r>
          </w:p>
        </w:tc>
      </w:tr>
      <w:tr w:rsidR="001F354C" w:rsidRPr="00786D0E" w:rsidTr="00601C16">
        <w:trPr>
          <w:cantSplit/>
          <w:trHeight w:val="360"/>
        </w:trPr>
        <w:tc>
          <w:tcPr>
            <w:tcW w:w="1957"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b/>
                <w:sz w:val="20"/>
              </w:rPr>
            </w:pPr>
            <w:r w:rsidRPr="00786D0E">
              <w:rPr>
                <w:rFonts w:ascii="Arial Narrow" w:hAnsi="Arial Narrow"/>
                <w:b/>
                <w:sz w:val="20"/>
              </w:rPr>
              <w:t>Severity:</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Stage IIIB (locally advanced) or Stage IV (metastatic)</w:t>
            </w:r>
          </w:p>
        </w:tc>
      </w:tr>
      <w:tr w:rsidR="001F354C" w:rsidRPr="00786D0E" w:rsidTr="00601C16">
        <w:trPr>
          <w:cantSplit/>
          <w:trHeight w:val="360"/>
        </w:trPr>
        <w:tc>
          <w:tcPr>
            <w:tcW w:w="1957"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b/>
                <w:sz w:val="20"/>
              </w:rPr>
            </w:pPr>
            <w:r w:rsidRPr="00786D0E">
              <w:rPr>
                <w:rFonts w:ascii="Arial Narrow" w:hAnsi="Arial Narrow"/>
                <w:b/>
                <w:sz w:val="20"/>
              </w:rPr>
              <w:t>Condition:</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non-small cell lung cancer</w:t>
            </w:r>
          </w:p>
        </w:tc>
      </w:tr>
      <w:tr w:rsidR="001F354C" w:rsidRPr="00786D0E" w:rsidTr="00601C16">
        <w:trPr>
          <w:cantSplit/>
          <w:trHeight w:val="360"/>
        </w:trPr>
        <w:tc>
          <w:tcPr>
            <w:tcW w:w="1957"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b/>
                <w:sz w:val="20"/>
              </w:rPr>
            </w:pPr>
            <w:r w:rsidRPr="00786D0E">
              <w:rPr>
                <w:rFonts w:ascii="Arial Narrow" w:hAnsi="Arial Narrow"/>
                <w:b/>
                <w:sz w:val="20"/>
              </w:rPr>
              <w:t>PBS Indication:</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Stage IIIB (locally advanced) or Stage IV (metastatic) non-small cell lung cancer</w:t>
            </w:r>
          </w:p>
        </w:tc>
      </w:tr>
      <w:tr w:rsidR="001F354C" w:rsidRPr="00786D0E" w:rsidTr="00601C16">
        <w:trPr>
          <w:cantSplit/>
          <w:trHeight w:val="360"/>
        </w:trPr>
        <w:tc>
          <w:tcPr>
            <w:tcW w:w="1957"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b/>
                <w:sz w:val="20"/>
              </w:rPr>
            </w:pPr>
            <w:r w:rsidRPr="00786D0E">
              <w:rPr>
                <w:rFonts w:ascii="Arial Narrow" w:hAnsi="Arial Narrow"/>
                <w:b/>
                <w:sz w:val="20"/>
              </w:rPr>
              <w:t>Treatment phase:</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Grandfathering treatment</w:t>
            </w:r>
          </w:p>
        </w:tc>
      </w:tr>
      <w:tr w:rsidR="001F354C" w:rsidRPr="00786D0E" w:rsidTr="00601C16">
        <w:trPr>
          <w:cantSplit/>
          <w:trHeight w:val="360"/>
        </w:trPr>
        <w:tc>
          <w:tcPr>
            <w:tcW w:w="1957"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b/>
                <w:sz w:val="20"/>
              </w:rPr>
            </w:pPr>
            <w:r w:rsidRPr="00786D0E">
              <w:rPr>
                <w:rFonts w:ascii="Arial Narrow" w:hAnsi="Arial Narrow"/>
                <w:b/>
                <w:sz w:val="20"/>
              </w:rPr>
              <w:t>Restriction Level / Method:</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sz w:val="20"/>
              </w:rPr>
            </w:pPr>
            <w:r w:rsidRPr="00786D0E">
              <w:rPr>
                <w:rFonts w:ascii="Arial Narrow" w:hAnsi="Arial Narrow"/>
                <w:sz w:val="20"/>
              </w:rPr>
              <w:fldChar w:fldCharType="begin">
                <w:ffData>
                  <w:name w:val="Check1"/>
                  <w:enabled/>
                  <w:calcOnExit w:val="0"/>
                  <w:checkBox>
                    <w:sizeAuto/>
                    <w:default w:val="0"/>
                  </w:checkBox>
                </w:ffData>
              </w:fldChar>
            </w:r>
            <w:r w:rsidRPr="00786D0E">
              <w:rPr>
                <w:rFonts w:ascii="Arial Narrow" w:hAnsi="Arial Narrow"/>
                <w:sz w:val="20"/>
              </w:rPr>
              <w:instrText xml:space="preserve"> FORMCHECKBOX </w:instrText>
            </w:r>
            <w:r w:rsidR="00000B64">
              <w:rPr>
                <w:rFonts w:ascii="Arial Narrow" w:hAnsi="Arial Narrow"/>
                <w:sz w:val="20"/>
              </w:rPr>
            </w:r>
            <w:r w:rsidR="00000B64">
              <w:rPr>
                <w:rFonts w:ascii="Arial Narrow" w:hAnsi="Arial Narrow"/>
                <w:sz w:val="20"/>
              </w:rPr>
              <w:fldChar w:fldCharType="separate"/>
            </w:r>
            <w:r w:rsidRPr="00786D0E">
              <w:rPr>
                <w:rFonts w:ascii="Arial Narrow" w:hAnsi="Arial Narrow"/>
                <w:sz w:val="20"/>
              </w:rPr>
              <w:fldChar w:fldCharType="end"/>
            </w:r>
            <w:r w:rsidRPr="00786D0E">
              <w:rPr>
                <w:rFonts w:ascii="Arial Narrow" w:hAnsi="Arial Narrow"/>
                <w:sz w:val="20"/>
              </w:rPr>
              <w:t>Restricted benefit</w:t>
            </w:r>
          </w:p>
          <w:p w:rsidR="001F354C" w:rsidRPr="00786D0E" w:rsidRDefault="001F354C" w:rsidP="001F354C">
            <w:pPr>
              <w:spacing w:before="0" w:after="0"/>
              <w:rPr>
                <w:rFonts w:ascii="Arial Narrow" w:hAnsi="Arial Narrow"/>
                <w:sz w:val="20"/>
              </w:rPr>
            </w:pPr>
            <w:r w:rsidRPr="00786D0E">
              <w:rPr>
                <w:rFonts w:ascii="Arial Narrow" w:hAnsi="Arial Narrow"/>
                <w:sz w:val="20"/>
              </w:rPr>
              <w:fldChar w:fldCharType="begin">
                <w:ffData>
                  <w:name w:val=""/>
                  <w:enabled/>
                  <w:calcOnExit w:val="0"/>
                  <w:checkBox>
                    <w:sizeAuto/>
                    <w:default w:val="1"/>
                  </w:checkBox>
                </w:ffData>
              </w:fldChar>
            </w:r>
            <w:r w:rsidRPr="00786D0E">
              <w:rPr>
                <w:rFonts w:ascii="Arial Narrow" w:hAnsi="Arial Narrow"/>
                <w:sz w:val="20"/>
              </w:rPr>
              <w:instrText xml:space="preserve"> FORMCHECKBOX </w:instrText>
            </w:r>
            <w:r w:rsidR="00000B64">
              <w:rPr>
                <w:rFonts w:ascii="Arial Narrow" w:hAnsi="Arial Narrow"/>
                <w:sz w:val="20"/>
              </w:rPr>
            </w:r>
            <w:r w:rsidR="00000B64">
              <w:rPr>
                <w:rFonts w:ascii="Arial Narrow" w:hAnsi="Arial Narrow"/>
                <w:sz w:val="20"/>
              </w:rPr>
              <w:fldChar w:fldCharType="separate"/>
            </w:r>
            <w:r w:rsidRPr="00786D0E">
              <w:rPr>
                <w:rFonts w:ascii="Arial Narrow" w:hAnsi="Arial Narrow"/>
                <w:sz w:val="20"/>
              </w:rPr>
              <w:fldChar w:fldCharType="end"/>
            </w:r>
            <w:r w:rsidRPr="00786D0E">
              <w:rPr>
                <w:rFonts w:ascii="Arial Narrow" w:hAnsi="Arial Narrow"/>
                <w:sz w:val="20"/>
              </w:rPr>
              <w:t>Authority Required - In Writing</w:t>
            </w:r>
          </w:p>
          <w:p w:rsidR="001F354C" w:rsidRPr="00786D0E" w:rsidRDefault="001F354C" w:rsidP="001F354C">
            <w:pPr>
              <w:spacing w:before="0" w:after="0"/>
              <w:rPr>
                <w:rFonts w:ascii="Arial Narrow" w:hAnsi="Arial Narrow"/>
                <w:sz w:val="20"/>
              </w:rPr>
            </w:pPr>
            <w:r w:rsidRPr="00786D0E">
              <w:rPr>
                <w:rFonts w:ascii="Arial Narrow" w:hAnsi="Arial Narrow"/>
                <w:sz w:val="20"/>
              </w:rPr>
              <w:fldChar w:fldCharType="begin">
                <w:ffData>
                  <w:name w:val=""/>
                  <w:enabled/>
                  <w:calcOnExit w:val="0"/>
                  <w:checkBox>
                    <w:sizeAuto/>
                    <w:default w:val="0"/>
                  </w:checkBox>
                </w:ffData>
              </w:fldChar>
            </w:r>
            <w:r w:rsidRPr="00786D0E">
              <w:rPr>
                <w:rFonts w:ascii="Arial Narrow" w:hAnsi="Arial Narrow"/>
                <w:sz w:val="20"/>
              </w:rPr>
              <w:instrText xml:space="preserve"> FORMCHECKBOX </w:instrText>
            </w:r>
            <w:r w:rsidR="00000B64">
              <w:rPr>
                <w:rFonts w:ascii="Arial Narrow" w:hAnsi="Arial Narrow"/>
                <w:sz w:val="20"/>
              </w:rPr>
            </w:r>
            <w:r w:rsidR="00000B64">
              <w:rPr>
                <w:rFonts w:ascii="Arial Narrow" w:hAnsi="Arial Narrow"/>
                <w:sz w:val="20"/>
              </w:rPr>
              <w:fldChar w:fldCharType="separate"/>
            </w:r>
            <w:r w:rsidRPr="00786D0E">
              <w:rPr>
                <w:rFonts w:ascii="Arial Narrow" w:hAnsi="Arial Narrow"/>
                <w:sz w:val="20"/>
              </w:rPr>
              <w:fldChar w:fldCharType="end"/>
            </w:r>
            <w:r w:rsidRPr="00786D0E">
              <w:rPr>
                <w:rFonts w:ascii="Arial Narrow" w:hAnsi="Arial Narrow"/>
                <w:sz w:val="20"/>
              </w:rPr>
              <w:t>Authority Required - Telephone</w:t>
            </w:r>
          </w:p>
          <w:p w:rsidR="001F354C" w:rsidRPr="00786D0E" w:rsidRDefault="001F354C" w:rsidP="001F354C">
            <w:pPr>
              <w:spacing w:before="0" w:after="0"/>
              <w:rPr>
                <w:rFonts w:ascii="Arial Narrow" w:hAnsi="Arial Narrow"/>
                <w:sz w:val="20"/>
              </w:rPr>
            </w:pPr>
            <w:r w:rsidRPr="00786D0E">
              <w:rPr>
                <w:rFonts w:ascii="Arial Narrow" w:hAnsi="Arial Narrow"/>
                <w:sz w:val="20"/>
              </w:rPr>
              <w:fldChar w:fldCharType="begin">
                <w:ffData>
                  <w:name w:val=""/>
                  <w:enabled/>
                  <w:calcOnExit w:val="0"/>
                  <w:checkBox>
                    <w:sizeAuto/>
                    <w:default w:val="0"/>
                  </w:checkBox>
                </w:ffData>
              </w:fldChar>
            </w:r>
            <w:r w:rsidRPr="00786D0E">
              <w:rPr>
                <w:rFonts w:ascii="Arial Narrow" w:hAnsi="Arial Narrow"/>
                <w:sz w:val="20"/>
              </w:rPr>
              <w:instrText xml:space="preserve"> FORMCHECKBOX </w:instrText>
            </w:r>
            <w:r w:rsidR="00000B64">
              <w:rPr>
                <w:rFonts w:ascii="Arial Narrow" w:hAnsi="Arial Narrow"/>
                <w:sz w:val="20"/>
              </w:rPr>
            </w:r>
            <w:r w:rsidR="00000B64">
              <w:rPr>
                <w:rFonts w:ascii="Arial Narrow" w:hAnsi="Arial Narrow"/>
                <w:sz w:val="20"/>
              </w:rPr>
              <w:fldChar w:fldCharType="separate"/>
            </w:r>
            <w:r w:rsidRPr="00786D0E">
              <w:rPr>
                <w:rFonts w:ascii="Arial Narrow" w:hAnsi="Arial Narrow"/>
                <w:sz w:val="20"/>
              </w:rPr>
              <w:fldChar w:fldCharType="end"/>
            </w:r>
            <w:r w:rsidRPr="00786D0E">
              <w:rPr>
                <w:rFonts w:ascii="Arial Narrow" w:hAnsi="Arial Narrow"/>
                <w:sz w:val="20"/>
              </w:rPr>
              <w:t>Authority Required – Emergency</w:t>
            </w:r>
          </w:p>
          <w:p w:rsidR="001F354C" w:rsidRPr="00786D0E" w:rsidRDefault="001F354C" w:rsidP="001F354C">
            <w:pPr>
              <w:spacing w:before="0" w:after="0"/>
              <w:rPr>
                <w:rFonts w:ascii="Arial Narrow" w:hAnsi="Arial Narrow"/>
                <w:sz w:val="20"/>
              </w:rPr>
            </w:pPr>
            <w:r w:rsidRPr="00786D0E">
              <w:rPr>
                <w:rFonts w:ascii="Arial Narrow" w:hAnsi="Arial Narrow"/>
                <w:sz w:val="20"/>
              </w:rPr>
              <w:fldChar w:fldCharType="begin">
                <w:ffData>
                  <w:name w:val="Check5"/>
                  <w:enabled/>
                  <w:calcOnExit w:val="0"/>
                  <w:checkBox>
                    <w:sizeAuto/>
                    <w:default w:val="0"/>
                  </w:checkBox>
                </w:ffData>
              </w:fldChar>
            </w:r>
            <w:r w:rsidRPr="00786D0E">
              <w:rPr>
                <w:rFonts w:ascii="Arial Narrow" w:hAnsi="Arial Narrow"/>
                <w:sz w:val="20"/>
              </w:rPr>
              <w:instrText xml:space="preserve"> FORMCHECKBOX </w:instrText>
            </w:r>
            <w:r w:rsidR="00000B64">
              <w:rPr>
                <w:rFonts w:ascii="Arial Narrow" w:hAnsi="Arial Narrow"/>
                <w:sz w:val="20"/>
              </w:rPr>
            </w:r>
            <w:r w:rsidR="00000B64">
              <w:rPr>
                <w:rFonts w:ascii="Arial Narrow" w:hAnsi="Arial Narrow"/>
                <w:sz w:val="20"/>
              </w:rPr>
              <w:fldChar w:fldCharType="separate"/>
            </w:r>
            <w:r w:rsidRPr="00786D0E">
              <w:rPr>
                <w:rFonts w:ascii="Arial Narrow" w:hAnsi="Arial Narrow"/>
                <w:sz w:val="20"/>
              </w:rPr>
              <w:fldChar w:fldCharType="end"/>
            </w:r>
            <w:r w:rsidRPr="00786D0E">
              <w:rPr>
                <w:rFonts w:ascii="Arial Narrow" w:hAnsi="Arial Narrow"/>
                <w:sz w:val="20"/>
              </w:rPr>
              <w:t>Authority Required - Electronic</w:t>
            </w:r>
          </w:p>
          <w:p w:rsidR="001F354C" w:rsidRPr="00786D0E" w:rsidRDefault="001F354C" w:rsidP="001F354C">
            <w:pPr>
              <w:spacing w:before="0" w:after="0"/>
              <w:rPr>
                <w:rFonts w:ascii="Arial Narrow" w:hAnsi="Arial Narrow"/>
                <w:sz w:val="20"/>
              </w:rPr>
            </w:pPr>
            <w:r w:rsidRPr="00786D0E">
              <w:rPr>
                <w:rFonts w:ascii="Arial Narrow" w:hAnsi="Arial Narrow"/>
                <w:sz w:val="20"/>
              </w:rPr>
              <w:fldChar w:fldCharType="begin">
                <w:ffData>
                  <w:name w:val="Check5"/>
                  <w:enabled/>
                  <w:calcOnExit w:val="0"/>
                  <w:checkBox>
                    <w:sizeAuto/>
                    <w:default w:val="0"/>
                  </w:checkBox>
                </w:ffData>
              </w:fldChar>
            </w:r>
            <w:r w:rsidRPr="00786D0E">
              <w:rPr>
                <w:rFonts w:ascii="Arial Narrow" w:hAnsi="Arial Narrow"/>
                <w:sz w:val="20"/>
              </w:rPr>
              <w:instrText xml:space="preserve"> FORMCHECKBOX </w:instrText>
            </w:r>
            <w:r w:rsidR="00000B64">
              <w:rPr>
                <w:rFonts w:ascii="Arial Narrow" w:hAnsi="Arial Narrow"/>
                <w:sz w:val="20"/>
              </w:rPr>
            </w:r>
            <w:r w:rsidR="00000B64">
              <w:rPr>
                <w:rFonts w:ascii="Arial Narrow" w:hAnsi="Arial Narrow"/>
                <w:sz w:val="20"/>
              </w:rPr>
              <w:fldChar w:fldCharType="separate"/>
            </w:r>
            <w:r w:rsidRPr="00786D0E">
              <w:rPr>
                <w:rFonts w:ascii="Arial Narrow" w:hAnsi="Arial Narrow"/>
                <w:sz w:val="20"/>
              </w:rPr>
              <w:fldChar w:fldCharType="end"/>
            </w:r>
            <w:r w:rsidRPr="00786D0E">
              <w:rPr>
                <w:rFonts w:ascii="Arial Narrow" w:hAnsi="Arial Narrow"/>
                <w:sz w:val="20"/>
              </w:rPr>
              <w:t>Streamlined</w:t>
            </w:r>
          </w:p>
        </w:tc>
      </w:tr>
      <w:tr w:rsidR="001F354C" w:rsidRPr="00786D0E" w:rsidTr="00601C16">
        <w:trPr>
          <w:cantSplit/>
          <w:trHeight w:val="1206"/>
        </w:trPr>
        <w:tc>
          <w:tcPr>
            <w:tcW w:w="1957" w:type="dxa"/>
            <w:gridSpan w:val="2"/>
            <w:tcBorders>
              <w:top w:val="single" w:sz="4" w:space="0" w:color="auto"/>
              <w:left w:val="single" w:sz="4" w:space="0" w:color="auto"/>
              <w:right w:val="single" w:sz="4" w:space="0" w:color="auto"/>
            </w:tcBorders>
          </w:tcPr>
          <w:p w:rsidR="001F354C" w:rsidRPr="00786D0E" w:rsidRDefault="001F354C" w:rsidP="001F354C">
            <w:pPr>
              <w:pStyle w:val="TableText"/>
              <w:spacing w:before="0" w:after="0"/>
              <w:rPr>
                <w:rFonts w:ascii="Times" w:eastAsia="Times New Roman" w:hAnsi="Times" w:cs="Times New Roman"/>
                <w:b/>
                <w:szCs w:val="20"/>
              </w:rPr>
            </w:pPr>
            <w:r w:rsidRPr="00786D0E">
              <w:rPr>
                <w:b/>
              </w:rPr>
              <w:t>Clinical criteria:</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rPr>
                <w:i/>
              </w:rPr>
            </w:pPr>
            <w:r w:rsidRPr="00786D0E">
              <w:rPr>
                <w:i/>
              </w:rPr>
              <w:t>Patient must have previously received non-PBS-subsidised treatment with this drug for this condition prior to [PBS listing date]</w:t>
            </w:r>
          </w:p>
          <w:p w:rsidR="001F354C" w:rsidRPr="00786D0E" w:rsidRDefault="001F354C" w:rsidP="001F354C">
            <w:pPr>
              <w:pStyle w:val="TableText"/>
              <w:spacing w:before="0" w:after="0"/>
            </w:pPr>
            <w:r w:rsidRPr="00786D0E">
              <w:t>AND</w:t>
            </w:r>
          </w:p>
          <w:p w:rsidR="001F354C" w:rsidRPr="00786D0E" w:rsidRDefault="001F354C" w:rsidP="001F354C">
            <w:pPr>
              <w:pStyle w:val="TableText"/>
              <w:spacing w:before="0" w:after="0"/>
            </w:pPr>
            <w:r w:rsidRPr="00786D0E">
              <w:t>The condition must be non-squamous type non-small cell lung cancer (NSCLC) or not otherwise specified type NSCLC</w:t>
            </w:r>
          </w:p>
          <w:p w:rsidR="001F354C" w:rsidRPr="00786D0E" w:rsidRDefault="001F354C" w:rsidP="001F354C">
            <w:pPr>
              <w:pStyle w:val="TableText"/>
              <w:spacing w:before="0" w:after="0"/>
            </w:pPr>
            <w:r w:rsidRPr="00786D0E">
              <w:t xml:space="preserve">AND </w:t>
            </w:r>
          </w:p>
          <w:p w:rsidR="001F354C" w:rsidRPr="00786D0E" w:rsidRDefault="001F354C" w:rsidP="001F354C">
            <w:pPr>
              <w:pStyle w:val="TableText"/>
              <w:spacing w:before="0" w:after="0"/>
            </w:pPr>
            <w:r w:rsidRPr="00786D0E">
              <w:t xml:space="preserve">The treatment must be the sole PBS-subsidised therapy for this condition </w:t>
            </w:r>
          </w:p>
          <w:p w:rsidR="001F354C" w:rsidRPr="00786D0E" w:rsidRDefault="001F354C" w:rsidP="001F354C">
            <w:pPr>
              <w:pStyle w:val="TableText"/>
              <w:spacing w:before="0" w:after="0"/>
            </w:pPr>
            <w:r w:rsidRPr="00786D0E">
              <w:t>AND</w:t>
            </w:r>
          </w:p>
          <w:p w:rsidR="001F354C" w:rsidRPr="00786D0E" w:rsidRDefault="001F354C" w:rsidP="001F354C">
            <w:pPr>
              <w:pStyle w:val="TableText"/>
              <w:spacing w:before="0" w:after="0"/>
            </w:pPr>
            <w:r w:rsidRPr="00786D0E">
              <w:t>The condition must have progressed on or after prior platinum based chemotherapy</w:t>
            </w:r>
          </w:p>
          <w:p w:rsidR="001F354C" w:rsidRPr="00786D0E" w:rsidRDefault="001F354C" w:rsidP="001F354C">
            <w:pPr>
              <w:pStyle w:val="TableText"/>
              <w:spacing w:before="0" w:after="0"/>
            </w:pPr>
            <w:r w:rsidRPr="00786D0E">
              <w:t>AND</w:t>
            </w:r>
          </w:p>
          <w:p w:rsidR="001F354C" w:rsidRPr="00786D0E" w:rsidRDefault="001F354C" w:rsidP="001F354C">
            <w:pPr>
              <w:pStyle w:val="TableText"/>
              <w:spacing w:before="0" w:after="0"/>
            </w:pPr>
            <w:r w:rsidRPr="00786D0E">
              <w:rPr>
                <w:i/>
              </w:rPr>
              <w:t xml:space="preserve">Patients may qualify for PBS-subsidised treatment under this restriction once only. </w:t>
            </w:r>
            <w:r w:rsidRPr="00786D0E">
              <w:rPr>
                <w:strike/>
              </w:rPr>
              <w:t>Patient must have a WHO performance status of 2 or less</w:t>
            </w:r>
          </w:p>
        </w:tc>
      </w:tr>
      <w:tr w:rsidR="001F354C" w:rsidRPr="00786D0E" w:rsidTr="00601C16">
        <w:trPr>
          <w:cantSplit/>
          <w:trHeight w:val="360"/>
        </w:trPr>
        <w:tc>
          <w:tcPr>
            <w:tcW w:w="1957"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rPr>
                <w:rFonts w:ascii="Times" w:eastAsia="Times New Roman" w:hAnsi="Times" w:cs="Times New Roman"/>
                <w:b/>
                <w:szCs w:val="20"/>
              </w:rPr>
            </w:pPr>
            <w:r w:rsidRPr="00786D0E">
              <w:rPr>
                <w:b/>
              </w:rPr>
              <w:t>Population criteria:</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 xml:space="preserve">Patient must have evidence of </w:t>
            </w:r>
            <w:r w:rsidR="00420D95" w:rsidRPr="00786D0E">
              <w:rPr>
                <w:i/>
              </w:rPr>
              <w:t>ROS1</w:t>
            </w:r>
            <w:r w:rsidRPr="00786D0E">
              <w:t xml:space="preserve"> gene rearrangement in tumour material, defined as 15% (or greater) positive cells by fluorescence in situ hybridisation (FISH) testing.</w:t>
            </w:r>
          </w:p>
        </w:tc>
      </w:tr>
      <w:tr w:rsidR="001F354C" w:rsidRPr="00786D0E" w:rsidTr="00601C16">
        <w:trPr>
          <w:cantSplit/>
          <w:trHeight w:val="360"/>
        </w:trPr>
        <w:tc>
          <w:tcPr>
            <w:tcW w:w="1957"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rPr>
                <w:b/>
              </w:rPr>
            </w:pPr>
            <w:r w:rsidRPr="00786D0E">
              <w:rPr>
                <w:b/>
              </w:rPr>
              <w:t>Administrative advice:</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pStyle w:val="TableText"/>
              <w:spacing w:before="0" w:after="0"/>
            </w:pPr>
            <w:r w:rsidRPr="00786D0E">
              <w:t xml:space="preserve">No increase in the maximum number of repeats may be authorised. </w:t>
            </w:r>
          </w:p>
          <w:p w:rsidR="001F354C" w:rsidRPr="00786D0E" w:rsidRDefault="001F354C" w:rsidP="001F354C">
            <w:pPr>
              <w:pStyle w:val="TableText"/>
              <w:spacing w:before="0" w:after="0"/>
            </w:pPr>
            <w:r w:rsidRPr="00786D0E">
              <w:t>Special Pricing Arrangements apply.</w:t>
            </w:r>
          </w:p>
        </w:tc>
      </w:tr>
      <w:tr w:rsidR="001F354C" w:rsidRPr="00786D0E" w:rsidTr="00601C16">
        <w:trPr>
          <w:cantSplit/>
          <w:trHeight w:val="360"/>
        </w:trPr>
        <w:tc>
          <w:tcPr>
            <w:tcW w:w="1957" w:type="dxa"/>
            <w:gridSpan w:val="2"/>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sz w:val="20"/>
              </w:rPr>
            </w:pPr>
            <w:r w:rsidRPr="00786D0E">
              <w:rPr>
                <w:rFonts w:ascii="Arial Narrow" w:hAnsi="Arial Narrow"/>
                <w:b/>
                <w:sz w:val="20"/>
              </w:rPr>
              <w:t>Prescriber Instructions</w:t>
            </w:r>
          </w:p>
        </w:tc>
        <w:tc>
          <w:tcPr>
            <w:tcW w:w="6851" w:type="dxa"/>
            <w:gridSpan w:val="5"/>
            <w:tcBorders>
              <w:top w:val="single" w:sz="4" w:space="0" w:color="auto"/>
              <w:left w:val="single" w:sz="4" w:space="0" w:color="auto"/>
              <w:bottom w:val="single" w:sz="4" w:space="0" w:color="auto"/>
              <w:right w:val="single" w:sz="4" w:space="0" w:color="auto"/>
            </w:tcBorders>
          </w:tcPr>
          <w:p w:rsidR="001F354C" w:rsidRPr="00786D0E" w:rsidRDefault="001F354C" w:rsidP="001F354C">
            <w:pPr>
              <w:spacing w:before="0" w:after="0"/>
              <w:rPr>
                <w:rFonts w:ascii="Arial Narrow" w:hAnsi="Arial Narrow"/>
                <w:i/>
                <w:sz w:val="20"/>
              </w:rPr>
            </w:pPr>
            <w:r w:rsidRPr="00786D0E">
              <w:rPr>
                <w:rFonts w:ascii="Arial Narrow" w:hAnsi="Arial Narrow"/>
                <w:i/>
                <w:sz w:val="20"/>
              </w:rPr>
              <w:t>The authority application must be made in writing and must include:</w:t>
            </w:r>
          </w:p>
          <w:p w:rsidR="001F354C" w:rsidRPr="00786D0E" w:rsidRDefault="001F354C" w:rsidP="001F354C">
            <w:pPr>
              <w:spacing w:before="0" w:after="0"/>
              <w:rPr>
                <w:rFonts w:ascii="Arial Narrow" w:hAnsi="Arial Narrow"/>
                <w:i/>
                <w:sz w:val="20"/>
              </w:rPr>
            </w:pPr>
            <w:r w:rsidRPr="00786D0E">
              <w:rPr>
                <w:rFonts w:ascii="Arial Narrow" w:hAnsi="Arial Narrow"/>
                <w:i/>
                <w:sz w:val="20"/>
              </w:rPr>
              <w:t>(1) a completed authority prescription form; and</w:t>
            </w:r>
          </w:p>
          <w:p w:rsidR="001F354C" w:rsidRPr="00786D0E" w:rsidRDefault="001F354C" w:rsidP="001F354C">
            <w:pPr>
              <w:spacing w:before="0" w:after="0"/>
              <w:rPr>
                <w:rFonts w:ascii="Arial Narrow" w:hAnsi="Arial Narrow"/>
                <w:i/>
                <w:sz w:val="20"/>
              </w:rPr>
            </w:pPr>
            <w:r w:rsidRPr="00786D0E">
              <w:rPr>
                <w:rFonts w:ascii="Arial Narrow" w:hAnsi="Arial Narrow"/>
                <w:i/>
                <w:sz w:val="20"/>
              </w:rPr>
              <w:t xml:space="preserve">(2) </w:t>
            </w:r>
            <w:proofErr w:type="gramStart"/>
            <w:r w:rsidRPr="00786D0E">
              <w:rPr>
                <w:rFonts w:ascii="Arial Narrow" w:hAnsi="Arial Narrow"/>
                <w:i/>
                <w:sz w:val="20"/>
              </w:rPr>
              <w:t>a</w:t>
            </w:r>
            <w:proofErr w:type="gramEnd"/>
            <w:r w:rsidRPr="00786D0E">
              <w:rPr>
                <w:rFonts w:ascii="Arial Narrow" w:hAnsi="Arial Narrow"/>
                <w:i/>
                <w:sz w:val="20"/>
              </w:rPr>
              <w:t xml:space="preserve"> completed </w:t>
            </w:r>
            <w:r w:rsidR="00420D95" w:rsidRPr="00786D0E">
              <w:rPr>
                <w:rFonts w:ascii="Arial Narrow" w:hAnsi="Arial Narrow"/>
                <w:i/>
                <w:sz w:val="20"/>
              </w:rPr>
              <w:t>ROS1</w:t>
            </w:r>
            <w:r w:rsidRPr="00786D0E">
              <w:rPr>
                <w:rFonts w:ascii="Arial Narrow" w:hAnsi="Arial Narrow"/>
                <w:i/>
                <w:sz w:val="20"/>
              </w:rPr>
              <w:t xml:space="preserve">-Positive Non-Small-Cell Lung Cancer Authority Application - Supporting Information Form, which includes details of </w:t>
            </w:r>
            <w:r w:rsidR="00420D95" w:rsidRPr="00786D0E">
              <w:rPr>
                <w:rFonts w:ascii="Arial Narrow" w:hAnsi="Arial Narrow"/>
                <w:i/>
                <w:sz w:val="20"/>
              </w:rPr>
              <w:t>ROS1</w:t>
            </w:r>
            <w:r w:rsidRPr="00786D0E">
              <w:rPr>
                <w:rFonts w:ascii="Arial Narrow" w:hAnsi="Arial Narrow"/>
                <w:i/>
                <w:sz w:val="20"/>
              </w:rPr>
              <w:t xml:space="preserve"> gene rearrangement in tumour material.</w:t>
            </w:r>
          </w:p>
        </w:tc>
      </w:tr>
    </w:tbl>
    <w:p w:rsidR="00AC59CA" w:rsidRPr="00786D0E" w:rsidRDefault="00AC59CA" w:rsidP="000421B7">
      <w:pPr>
        <w:pStyle w:val="ListParagraph"/>
        <w:numPr>
          <w:ilvl w:val="1"/>
          <w:numId w:val="2"/>
        </w:numPr>
        <w:spacing w:after="120"/>
        <w:jc w:val="both"/>
      </w:pPr>
      <w:proofErr w:type="spellStart"/>
      <w:r w:rsidRPr="00786D0E">
        <w:t>Crizotinib</w:t>
      </w:r>
      <w:proofErr w:type="spellEnd"/>
      <w:r w:rsidRPr="00786D0E">
        <w:t xml:space="preserve"> tablets are taken at a dose of 250 mg twice daily orally until disease progression. The lower dose of 200 mg twice daily can be used when patients experience certain adverse event</w:t>
      </w:r>
      <w:r w:rsidR="00601C16" w:rsidRPr="00786D0E">
        <w:t>s (AEs) with the standard dose.</w:t>
      </w:r>
    </w:p>
    <w:p w:rsidR="00AC59CA" w:rsidRPr="00786D0E" w:rsidRDefault="00AC59CA" w:rsidP="000D39E9">
      <w:pPr>
        <w:pStyle w:val="ListParagraph"/>
        <w:numPr>
          <w:ilvl w:val="1"/>
          <w:numId w:val="2"/>
        </w:numPr>
        <w:spacing w:before="0" w:after="120"/>
        <w:jc w:val="both"/>
      </w:pPr>
      <w:r w:rsidRPr="00786D0E">
        <w:t xml:space="preserve">The requested restriction was for a second-line listing after platinum-based chemotherapy. This was stricter than the proposed TGA indication which was for the treatment of patients with </w:t>
      </w:r>
      <w:r w:rsidR="00420D95" w:rsidRPr="00786D0E">
        <w:rPr>
          <w:i/>
        </w:rPr>
        <w:t>ROS1</w:t>
      </w:r>
      <w:r w:rsidRPr="00786D0E">
        <w:t xml:space="preserve">-positive advanced NSCLC. However, the submission also proposed that a </w:t>
      </w:r>
      <w:proofErr w:type="spellStart"/>
      <w:r w:rsidRPr="00786D0E">
        <w:t>crizotinib</w:t>
      </w:r>
      <w:proofErr w:type="spellEnd"/>
      <w:r w:rsidRPr="00786D0E">
        <w:t xml:space="preserve"> restriction that is not restricted to a particular line of therapy may be appropriate. At its November 2014 consideration of </w:t>
      </w:r>
      <w:proofErr w:type="spellStart"/>
      <w:r w:rsidRPr="00786D0E">
        <w:t>crizotinib</w:t>
      </w:r>
      <w:proofErr w:type="spellEnd"/>
      <w:r w:rsidRPr="00786D0E">
        <w:t xml:space="preserve"> for anaplastic lymphoma kinase (</w:t>
      </w:r>
      <w:r w:rsidR="00420D95" w:rsidRPr="00786D0E">
        <w:rPr>
          <w:i/>
        </w:rPr>
        <w:t>ALK</w:t>
      </w:r>
      <w:r w:rsidRPr="00786D0E">
        <w:t xml:space="preserve">)-positive NSCLC, the PBAC noted that, with a second-line listing, there may be a reluctance to use first-line platinum-based chemotherapy in some patients before starting </w:t>
      </w:r>
      <w:proofErr w:type="spellStart"/>
      <w:r w:rsidRPr="00786D0E">
        <w:t>crizotinib</w:t>
      </w:r>
      <w:proofErr w:type="spellEnd"/>
      <w:r w:rsidRPr="00786D0E">
        <w:t xml:space="preserve">. This would be particularly true if </w:t>
      </w:r>
      <w:r w:rsidR="00420D95" w:rsidRPr="00786D0E">
        <w:rPr>
          <w:i/>
        </w:rPr>
        <w:t>ROS1</w:t>
      </w:r>
      <w:r w:rsidRPr="00786D0E">
        <w:t xml:space="preserve"> status was known at diagnosis.</w:t>
      </w:r>
      <w:r w:rsidR="001F354C" w:rsidRPr="00786D0E">
        <w:t xml:space="preserve"> The Pre-Sub-Committee Response </w:t>
      </w:r>
      <w:r w:rsidR="001F354C" w:rsidRPr="00786D0E">
        <w:lastRenderedPageBreak/>
        <w:t>(PSCR) (p3) concurred that there w</w:t>
      </w:r>
      <w:r w:rsidR="00601C16" w:rsidRPr="00786D0E">
        <w:t>ould</w:t>
      </w:r>
      <w:r w:rsidR="001F354C" w:rsidRPr="00786D0E">
        <w:t xml:space="preserve"> likely be a reluctance to use first-line platinum-based chemotherapy before starting </w:t>
      </w:r>
      <w:proofErr w:type="spellStart"/>
      <w:r w:rsidR="001F354C" w:rsidRPr="00786D0E">
        <w:t>crizotinib</w:t>
      </w:r>
      <w:proofErr w:type="spellEnd"/>
      <w:r w:rsidR="001F354C" w:rsidRPr="00786D0E">
        <w:t xml:space="preserve"> once a patient’s </w:t>
      </w:r>
      <w:r w:rsidR="00420D95" w:rsidRPr="00786D0E">
        <w:rPr>
          <w:i/>
        </w:rPr>
        <w:t>ROS1</w:t>
      </w:r>
      <w:r w:rsidR="001F354C" w:rsidRPr="00786D0E">
        <w:t xml:space="preserve"> status is known, and requested the PBAC to consider a listing that is agnostic of line of therapy.</w:t>
      </w:r>
    </w:p>
    <w:p w:rsidR="00AC59CA" w:rsidRPr="00786D0E" w:rsidRDefault="00AC59CA" w:rsidP="000D39E9">
      <w:pPr>
        <w:pStyle w:val="ListParagraph"/>
        <w:numPr>
          <w:ilvl w:val="1"/>
          <w:numId w:val="2"/>
        </w:numPr>
        <w:spacing w:before="0" w:after="120"/>
        <w:jc w:val="both"/>
      </w:pPr>
      <w:r w:rsidRPr="00786D0E">
        <w:t xml:space="preserve">The submission proposed a Special Pricing Arrangement (SPA). </w:t>
      </w:r>
      <w:proofErr w:type="spellStart"/>
      <w:r w:rsidRPr="00786D0E">
        <w:t>Crizotinib</w:t>
      </w:r>
      <w:proofErr w:type="spellEnd"/>
      <w:r w:rsidRPr="00786D0E">
        <w:t xml:space="preserve"> currently has an SPA for the </w:t>
      </w:r>
      <w:r w:rsidR="00420D95" w:rsidRPr="00786D0E">
        <w:t>ALK</w:t>
      </w:r>
      <w:r w:rsidRPr="00786D0E">
        <w:t xml:space="preserve">-positive NSCLC listing. </w:t>
      </w:r>
    </w:p>
    <w:p w:rsidR="00AC59CA" w:rsidRPr="00786D0E" w:rsidRDefault="00AC59CA" w:rsidP="000D39E9">
      <w:pPr>
        <w:pStyle w:val="ListParagraph"/>
        <w:numPr>
          <w:ilvl w:val="1"/>
          <w:numId w:val="2"/>
        </w:numPr>
        <w:spacing w:before="0" w:after="120"/>
        <w:jc w:val="both"/>
      </w:pPr>
      <w:r w:rsidRPr="00786D0E">
        <w:t xml:space="preserve">The submission sought a grandfathering restriction for patients accessing </w:t>
      </w:r>
      <w:proofErr w:type="spellStart"/>
      <w:r w:rsidRPr="00786D0E">
        <w:t>crizotinib</w:t>
      </w:r>
      <w:proofErr w:type="spellEnd"/>
      <w:r w:rsidRPr="00786D0E">
        <w:t xml:space="preserve"> through a compassionate access progra</w:t>
      </w:r>
      <w:r w:rsidR="00601C16" w:rsidRPr="00786D0E">
        <w:t>ms and on private prescription.</w:t>
      </w:r>
    </w:p>
    <w:p w:rsidR="00601C16" w:rsidRPr="00786D0E" w:rsidRDefault="00530174" w:rsidP="00530174">
      <w:pPr>
        <w:pStyle w:val="ListParagraph"/>
      </w:pPr>
      <w:r w:rsidRPr="00786D0E">
        <w:rPr>
          <w:i/>
        </w:rPr>
        <w:t>For more detail on PBAC’s view, see section 7 PBAC outcome.</w:t>
      </w:r>
    </w:p>
    <w:p w:rsidR="00AC59CA" w:rsidRPr="00786D0E" w:rsidRDefault="00AC59CA" w:rsidP="000D39E9">
      <w:pPr>
        <w:pStyle w:val="Heading1"/>
        <w:numPr>
          <w:ilvl w:val="0"/>
          <w:numId w:val="2"/>
        </w:numPr>
        <w:spacing w:before="200"/>
        <w:jc w:val="both"/>
      </w:pPr>
      <w:bookmarkStart w:id="4" w:name="_Toc413139273"/>
      <w:bookmarkStart w:id="5" w:name="_Toc491433488"/>
      <w:r w:rsidRPr="00786D0E">
        <w:t>Background</w:t>
      </w:r>
      <w:bookmarkEnd w:id="4"/>
      <w:bookmarkEnd w:id="5"/>
    </w:p>
    <w:p w:rsidR="00AC59CA" w:rsidRPr="00786D0E" w:rsidRDefault="00AC59CA" w:rsidP="000D39E9">
      <w:pPr>
        <w:pStyle w:val="ListParagraph"/>
        <w:numPr>
          <w:ilvl w:val="1"/>
          <w:numId w:val="2"/>
        </w:numPr>
        <w:spacing w:before="0" w:after="120"/>
        <w:jc w:val="both"/>
      </w:pPr>
      <w:r w:rsidRPr="00786D0E">
        <w:t>TGA registration status: The submission was made under TGA/PBAC Parallel Process. The Clinical Evaluation Report and TGA Delegate’s overview w</w:t>
      </w:r>
      <w:r w:rsidR="00CF4381" w:rsidRPr="00786D0E">
        <w:t xml:space="preserve">ere </w:t>
      </w:r>
      <w:r w:rsidR="00FA209B" w:rsidRPr="00786D0E">
        <w:t>available at the time of PBAC consideration.</w:t>
      </w:r>
    </w:p>
    <w:p w:rsidR="00AC59CA" w:rsidRPr="00786D0E" w:rsidRDefault="00AC59CA" w:rsidP="000D39E9">
      <w:pPr>
        <w:pStyle w:val="ListParagraph"/>
        <w:numPr>
          <w:ilvl w:val="1"/>
          <w:numId w:val="2"/>
        </w:numPr>
        <w:spacing w:before="0" w:after="120"/>
        <w:jc w:val="both"/>
      </w:pPr>
      <w:proofErr w:type="spellStart"/>
      <w:r w:rsidRPr="00786D0E">
        <w:t>Crizotinib</w:t>
      </w:r>
      <w:proofErr w:type="spellEnd"/>
      <w:r w:rsidRPr="00786D0E">
        <w:t xml:space="preserve"> for advanced</w:t>
      </w:r>
      <w:r w:rsidRPr="00786D0E">
        <w:rPr>
          <w:i/>
        </w:rPr>
        <w:t xml:space="preserve"> </w:t>
      </w:r>
      <w:r w:rsidR="00420D95" w:rsidRPr="00786D0E">
        <w:rPr>
          <w:i/>
        </w:rPr>
        <w:t>ROS1</w:t>
      </w:r>
      <w:r w:rsidR="000F6482" w:rsidRPr="00786D0E">
        <w:t>-</w:t>
      </w:r>
      <w:r w:rsidRPr="00786D0E">
        <w:t xml:space="preserve">positive NSCLC has not been considered previously by the </w:t>
      </w:r>
      <w:proofErr w:type="gramStart"/>
      <w:r w:rsidRPr="00786D0E">
        <w:t>PBAC</w:t>
      </w:r>
      <w:r w:rsidR="008C66DC" w:rsidRPr="00786D0E">
        <w:t>,</w:t>
      </w:r>
      <w:proofErr w:type="gramEnd"/>
      <w:r w:rsidR="008C66DC" w:rsidRPr="00786D0E">
        <w:t xml:space="preserve"> however the ESCs noted that this submission was the result of an invitation from the PBAC to the sponsor for a submission for this rare cancer population</w:t>
      </w:r>
      <w:r w:rsidRPr="00786D0E">
        <w:t xml:space="preserve">. </w:t>
      </w:r>
      <w:proofErr w:type="spellStart"/>
      <w:r w:rsidRPr="00786D0E">
        <w:t>Crizotinib</w:t>
      </w:r>
      <w:proofErr w:type="spellEnd"/>
      <w:r w:rsidRPr="00786D0E">
        <w:t xml:space="preserve"> for </w:t>
      </w:r>
      <w:r w:rsidR="00420D95" w:rsidRPr="00786D0E">
        <w:rPr>
          <w:i/>
        </w:rPr>
        <w:t>ALK</w:t>
      </w:r>
      <w:r w:rsidR="000F6482" w:rsidRPr="00786D0E">
        <w:t>-</w:t>
      </w:r>
      <w:r w:rsidRPr="00786D0E">
        <w:t xml:space="preserve">positive Stage IIIB or Stage IV non-squamous or histology NOS specified NSCLC was listed on the PBS on 1 July 2015. The PBAC recommended the listing of </w:t>
      </w:r>
      <w:proofErr w:type="spellStart"/>
      <w:r w:rsidRPr="00786D0E">
        <w:t>crizotinib</w:t>
      </w:r>
      <w:proofErr w:type="spellEnd"/>
      <w:r w:rsidRPr="00786D0E">
        <w:t xml:space="preserve"> for the treatment of patients with </w:t>
      </w:r>
      <w:r w:rsidR="00420D95" w:rsidRPr="00786D0E">
        <w:rPr>
          <w:i/>
        </w:rPr>
        <w:t>ALK</w:t>
      </w:r>
      <w:r w:rsidR="000F6482" w:rsidRPr="00786D0E">
        <w:t>-</w:t>
      </w:r>
      <w:r w:rsidRPr="00786D0E">
        <w:t>positive, advanced NSCLC at its November 2014 meeting under a Managed Entry Scheme (MES). At its March 2017 meeting, the PBAC considered that the requirements of the MES had been satisfied.</w:t>
      </w:r>
    </w:p>
    <w:p w:rsidR="00AC59CA" w:rsidRPr="00786D0E" w:rsidRDefault="00AC59CA" w:rsidP="000D39E9">
      <w:pPr>
        <w:pStyle w:val="Heading1"/>
        <w:numPr>
          <w:ilvl w:val="0"/>
          <w:numId w:val="2"/>
        </w:numPr>
        <w:spacing w:before="200"/>
        <w:jc w:val="both"/>
      </w:pPr>
      <w:bookmarkStart w:id="6" w:name="_Toc491433489"/>
      <w:r w:rsidRPr="00786D0E">
        <w:t>Population and disease</w:t>
      </w:r>
      <w:bookmarkEnd w:id="6"/>
    </w:p>
    <w:p w:rsidR="00AC59CA" w:rsidRPr="00786D0E" w:rsidRDefault="00AC59CA" w:rsidP="000D39E9">
      <w:pPr>
        <w:pStyle w:val="ListParagraph"/>
        <w:numPr>
          <w:ilvl w:val="1"/>
          <w:numId w:val="2"/>
        </w:numPr>
        <w:spacing w:before="0" w:after="120"/>
        <w:jc w:val="both"/>
      </w:pPr>
      <w:r w:rsidRPr="00786D0E">
        <w:t xml:space="preserve">Approximately 90% of lung cancer cancers are classified as NSCLC. Advanced lung cancer has poor survival outcomes with only 10-15% of diagnosed patients alive after five years. </w:t>
      </w:r>
      <w:r w:rsidR="00420D95" w:rsidRPr="0098375A">
        <w:rPr>
          <w:i/>
        </w:rPr>
        <w:t>ROS1</w:t>
      </w:r>
      <w:r w:rsidR="000F6482" w:rsidRPr="0098375A">
        <w:t>-</w:t>
      </w:r>
      <w:r w:rsidRPr="0098375A">
        <w:t xml:space="preserve">positive lung cancer </w:t>
      </w:r>
      <w:r w:rsidR="0098375A" w:rsidRPr="0098375A">
        <w:t>occurs when</w:t>
      </w:r>
      <w:r w:rsidRPr="0098375A">
        <w:t xml:space="preserve"> a chromosomal rearrangement </w:t>
      </w:r>
      <w:r w:rsidR="0098375A" w:rsidRPr="0098375A">
        <w:t xml:space="preserve">takes place </w:t>
      </w:r>
      <w:r w:rsidRPr="0098375A">
        <w:t xml:space="preserve">and a part of the </w:t>
      </w:r>
      <w:r w:rsidR="00420D95" w:rsidRPr="0098375A">
        <w:rPr>
          <w:i/>
        </w:rPr>
        <w:t>ROS1</w:t>
      </w:r>
      <w:r w:rsidRPr="0098375A">
        <w:t xml:space="preserve"> gene, including its entire tyrosine kinase domain, fuses with a partner gene. This</w:t>
      </w:r>
      <w:r w:rsidRPr="00786D0E">
        <w:t xml:space="preserve"> results in </w:t>
      </w:r>
      <w:r w:rsidR="00420D95" w:rsidRPr="00786D0E">
        <w:rPr>
          <w:i/>
        </w:rPr>
        <w:t>ROS1</w:t>
      </w:r>
      <w:r w:rsidRPr="00786D0E">
        <w:t xml:space="preserve"> fusion kinases that are active and drive cellular transformation.</w:t>
      </w:r>
      <w:r w:rsidR="00DF323D" w:rsidRPr="00786D0E">
        <w:t xml:space="preserve"> The ESC</w:t>
      </w:r>
      <w:r w:rsidR="00601C16" w:rsidRPr="00786D0E">
        <w:t>s</w:t>
      </w:r>
      <w:r w:rsidR="00DF323D" w:rsidRPr="00786D0E">
        <w:t xml:space="preserve"> noted that a very </w:t>
      </w:r>
      <w:r w:rsidR="00435AE8" w:rsidRPr="00786D0E">
        <w:t>small</w:t>
      </w:r>
      <w:r w:rsidR="00DF323D" w:rsidRPr="00786D0E">
        <w:t xml:space="preserve"> group of NSCLCs are </w:t>
      </w:r>
      <w:r w:rsidR="00420D95" w:rsidRPr="00786D0E">
        <w:rPr>
          <w:i/>
        </w:rPr>
        <w:t>ROS1</w:t>
      </w:r>
      <w:r w:rsidR="00F55E0D" w:rsidRPr="00786D0E">
        <w:t xml:space="preserve"> </w:t>
      </w:r>
      <w:r w:rsidR="00DF323D" w:rsidRPr="00786D0E">
        <w:t>positive</w:t>
      </w:r>
      <w:r w:rsidR="00601C16" w:rsidRPr="00786D0E">
        <w:t>, with an estimated prevalence of 1.6%</w:t>
      </w:r>
      <w:r w:rsidR="00DF323D" w:rsidRPr="00786D0E">
        <w:t>.</w:t>
      </w:r>
    </w:p>
    <w:p w:rsidR="00AC59CA" w:rsidRPr="00786D0E" w:rsidRDefault="00AC59CA" w:rsidP="000D39E9">
      <w:pPr>
        <w:pStyle w:val="ListParagraph"/>
        <w:numPr>
          <w:ilvl w:val="1"/>
          <w:numId w:val="2"/>
        </w:numPr>
        <w:spacing w:before="0" w:after="120"/>
        <w:jc w:val="both"/>
      </w:pPr>
      <w:r w:rsidRPr="00786D0E">
        <w:t xml:space="preserve">The proposed </w:t>
      </w:r>
      <w:r w:rsidRPr="0098375A">
        <w:t xml:space="preserve">population for </w:t>
      </w:r>
      <w:proofErr w:type="spellStart"/>
      <w:r w:rsidRPr="0098375A">
        <w:t>crizotinib</w:t>
      </w:r>
      <w:proofErr w:type="spellEnd"/>
      <w:r w:rsidRPr="0098375A">
        <w:t xml:space="preserve"> treatment was patients </w:t>
      </w:r>
      <w:r w:rsidR="0098375A" w:rsidRPr="0098375A">
        <w:t>in whom</w:t>
      </w:r>
      <w:r w:rsidRPr="0098375A">
        <w:t xml:space="preserve"> Stage IIIB or IV, non-squamous or histology NOS NSCLC is confirmed to have </w:t>
      </w:r>
      <w:r w:rsidR="00420D95" w:rsidRPr="0098375A">
        <w:rPr>
          <w:i/>
        </w:rPr>
        <w:t>ROS1</w:t>
      </w:r>
      <w:r w:rsidRPr="0098375A">
        <w:t xml:space="preserve"> rearrangements by FISH testing, and whose NSCLC has progressed on or after platinum based chemotherapy.</w:t>
      </w:r>
      <w:r w:rsidRPr="00786D0E">
        <w:t xml:space="preserve"> For brevity, the treatment population is referred to as advanced </w:t>
      </w:r>
      <w:r w:rsidR="00420D95" w:rsidRPr="00786D0E">
        <w:rPr>
          <w:i/>
        </w:rPr>
        <w:t>ROS1</w:t>
      </w:r>
      <w:r w:rsidR="000F6482" w:rsidRPr="00786D0E">
        <w:t>-</w:t>
      </w:r>
      <w:r w:rsidRPr="00786D0E">
        <w:t>positive NSCLC.</w:t>
      </w:r>
    </w:p>
    <w:p w:rsidR="00AC59CA" w:rsidRPr="00786D0E" w:rsidRDefault="00AC59CA" w:rsidP="000D39E9">
      <w:pPr>
        <w:pStyle w:val="ListParagraph"/>
        <w:numPr>
          <w:ilvl w:val="1"/>
          <w:numId w:val="2"/>
        </w:numPr>
        <w:spacing w:before="0" w:after="120"/>
        <w:jc w:val="both"/>
      </w:pPr>
      <w:r w:rsidRPr="00786D0E">
        <w:t xml:space="preserve">The current treatment options for patients with advanced </w:t>
      </w:r>
      <w:r w:rsidR="00420D95" w:rsidRPr="00786D0E">
        <w:rPr>
          <w:i/>
        </w:rPr>
        <w:t>EGFR</w:t>
      </w:r>
      <w:r w:rsidRPr="00786D0E">
        <w:t xml:space="preserve">-negative, </w:t>
      </w:r>
      <w:r w:rsidR="00420D95" w:rsidRPr="00786D0E">
        <w:rPr>
          <w:i/>
        </w:rPr>
        <w:t>ALK</w:t>
      </w:r>
      <w:r w:rsidRPr="00786D0E">
        <w:noBreakHyphen/>
        <w:t>negative NSCLC are first-line platinum-based chemotherapy or best supportive care for patients with poor performance status. Patients who progress to second</w:t>
      </w:r>
      <w:r w:rsidRPr="00786D0E">
        <w:noBreakHyphen/>
        <w:t xml:space="preserve">line treatment are treated with </w:t>
      </w:r>
      <w:proofErr w:type="spellStart"/>
      <w:r w:rsidRPr="00786D0E">
        <w:t>pemetrexed</w:t>
      </w:r>
      <w:proofErr w:type="spellEnd"/>
      <w:r w:rsidRPr="00786D0E">
        <w:t>, the preferred treatment for patients with non</w:t>
      </w:r>
      <w:r w:rsidRPr="00786D0E">
        <w:noBreakHyphen/>
        <w:t>squamous NSCLC, or docetaxel.</w:t>
      </w:r>
    </w:p>
    <w:p w:rsidR="00601C16" w:rsidRPr="00786D0E" w:rsidRDefault="00530174" w:rsidP="00530174">
      <w:pPr>
        <w:pStyle w:val="ListParagraph"/>
      </w:pPr>
      <w:r w:rsidRPr="00786D0E">
        <w:rPr>
          <w:i/>
        </w:rPr>
        <w:t>For more detail on PBAC’s view, see section 7 PBAC outcome.</w:t>
      </w:r>
    </w:p>
    <w:p w:rsidR="00AC59CA" w:rsidRPr="00786D0E" w:rsidRDefault="00AC59CA" w:rsidP="000D39E9">
      <w:pPr>
        <w:pStyle w:val="Heading1"/>
        <w:numPr>
          <w:ilvl w:val="0"/>
          <w:numId w:val="2"/>
        </w:numPr>
        <w:spacing w:before="200"/>
        <w:jc w:val="both"/>
      </w:pPr>
      <w:bookmarkStart w:id="7" w:name="_Toc413139275"/>
      <w:bookmarkStart w:id="8" w:name="_Toc491433490"/>
      <w:r w:rsidRPr="00786D0E">
        <w:lastRenderedPageBreak/>
        <w:t>Comparator</w:t>
      </w:r>
      <w:bookmarkEnd w:id="7"/>
      <w:bookmarkEnd w:id="8"/>
    </w:p>
    <w:p w:rsidR="00AC59CA" w:rsidRPr="00786D0E" w:rsidRDefault="00AC59CA" w:rsidP="000D39E9">
      <w:pPr>
        <w:pStyle w:val="ListParagraph"/>
        <w:numPr>
          <w:ilvl w:val="1"/>
          <w:numId w:val="2"/>
        </w:numPr>
        <w:spacing w:before="0" w:after="0"/>
        <w:jc w:val="both"/>
      </w:pPr>
      <w:r w:rsidRPr="00786D0E">
        <w:t xml:space="preserve">The submission nominated </w:t>
      </w:r>
      <w:proofErr w:type="spellStart"/>
      <w:r w:rsidRPr="00786D0E">
        <w:t>pemetrexed</w:t>
      </w:r>
      <w:proofErr w:type="spellEnd"/>
      <w:r w:rsidRPr="00786D0E">
        <w:t xml:space="preserve"> as the main comparator. This was the appropriate comparator. The submission stated that </w:t>
      </w:r>
      <w:proofErr w:type="spellStart"/>
      <w:r w:rsidRPr="00786D0E">
        <w:t>nivolumab</w:t>
      </w:r>
      <w:proofErr w:type="spellEnd"/>
      <w:r w:rsidRPr="00786D0E">
        <w:t xml:space="preserve"> was not considered a comparator because it would be used after </w:t>
      </w:r>
      <w:proofErr w:type="spellStart"/>
      <w:r w:rsidRPr="00786D0E">
        <w:t>crizotinib</w:t>
      </w:r>
      <w:proofErr w:type="spellEnd"/>
      <w:r w:rsidRPr="00786D0E">
        <w:t xml:space="preserve"> as recommended by the </w:t>
      </w:r>
      <w:proofErr w:type="spellStart"/>
      <w:r w:rsidRPr="00786D0E">
        <w:t>nivolumab</w:t>
      </w:r>
      <w:proofErr w:type="spellEnd"/>
      <w:r w:rsidRPr="00786D0E">
        <w:t xml:space="preserve"> Product Information (PI) for patients with </w:t>
      </w:r>
      <w:r w:rsidR="00420D95" w:rsidRPr="00786D0E">
        <w:rPr>
          <w:i/>
        </w:rPr>
        <w:t>EGFR</w:t>
      </w:r>
      <w:r w:rsidRPr="00786D0E">
        <w:t xml:space="preserve"> or </w:t>
      </w:r>
      <w:r w:rsidR="00420D95" w:rsidRPr="00786D0E">
        <w:rPr>
          <w:i/>
        </w:rPr>
        <w:t>ALK</w:t>
      </w:r>
      <w:r w:rsidRPr="00786D0E">
        <w:t xml:space="preserve"> genomic aberrations. </w:t>
      </w:r>
      <w:r w:rsidR="00DF323D" w:rsidRPr="00786D0E">
        <w:t>The ESC</w:t>
      </w:r>
      <w:r w:rsidR="00601C16" w:rsidRPr="00786D0E">
        <w:t>s</w:t>
      </w:r>
      <w:r w:rsidR="00DF323D" w:rsidRPr="00786D0E">
        <w:t xml:space="preserve"> </w:t>
      </w:r>
      <w:r w:rsidR="00FA209B" w:rsidRPr="00786D0E">
        <w:t xml:space="preserve">and PBAC </w:t>
      </w:r>
      <w:r w:rsidR="00DF323D" w:rsidRPr="00786D0E">
        <w:t xml:space="preserve">considered that </w:t>
      </w:r>
      <w:proofErr w:type="spellStart"/>
      <w:r w:rsidR="00D04AC3" w:rsidRPr="00786D0E">
        <w:t>pemetrexed</w:t>
      </w:r>
      <w:proofErr w:type="spellEnd"/>
      <w:r w:rsidR="00D04AC3" w:rsidRPr="00786D0E">
        <w:t xml:space="preserve">, as a representative of single-agent chemotherapy, </w:t>
      </w:r>
      <w:r w:rsidR="00DF323D" w:rsidRPr="00786D0E">
        <w:t xml:space="preserve">was </w:t>
      </w:r>
      <w:r w:rsidR="00D7397F" w:rsidRPr="00786D0E">
        <w:t>the</w:t>
      </w:r>
      <w:r w:rsidR="00DF323D" w:rsidRPr="00786D0E">
        <w:t xml:space="preserve"> appropriate comparator.</w:t>
      </w:r>
    </w:p>
    <w:p w:rsidR="00530174" w:rsidRPr="00786D0E" w:rsidRDefault="00530174" w:rsidP="00FA209B">
      <w:pPr>
        <w:pStyle w:val="ListParagraph"/>
      </w:pPr>
      <w:r w:rsidRPr="00786D0E">
        <w:rPr>
          <w:i/>
        </w:rPr>
        <w:t>For more detail on PBAC’s view, see section 7 PBAC outcome.</w:t>
      </w:r>
    </w:p>
    <w:p w:rsidR="00AC59CA" w:rsidRPr="00786D0E" w:rsidRDefault="00AC59CA" w:rsidP="000D39E9">
      <w:pPr>
        <w:pStyle w:val="Heading1"/>
        <w:numPr>
          <w:ilvl w:val="0"/>
          <w:numId w:val="2"/>
        </w:numPr>
        <w:spacing w:before="200"/>
        <w:jc w:val="both"/>
      </w:pPr>
      <w:bookmarkStart w:id="9" w:name="_Toc413139276"/>
      <w:bookmarkStart w:id="10" w:name="_Toc491433491"/>
      <w:r w:rsidRPr="00786D0E">
        <w:t>Consideration of the evidence</w:t>
      </w:r>
      <w:bookmarkEnd w:id="9"/>
      <w:bookmarkEnd w:id="10"/>
    </w:p>
    <w:p w:rsidR="00530174" w:rsidRPr="00786D0E" w:rsidRDefault="00530174" w:rsidP="00610B60">
      <w:pPr>
        <w:widowControl w:val="0"/>
        <w:spacing w:before="240" w:line="276" w:lineRule="auto"/>
        <w:jc w:val="both"/>
        <w:outlineLvl w:val="1"/>
        <w:rPr>
          <w:rFonts w:cs="Arial"/>
          <w:b/>
          <w:bCs/>
          <w:i/>
          <w:snapToGrid w:val="0"/>
          <w:sz w:val="28"/>
          <w:szCs w:val="28"/>
        </w:rPr>
      </w:pPr>
      <w:bookmarkStart w:id="11" w:name="_Toc413139277"/>
      <w:r w:rsidRPr="00786D0E">
        <w:rPr>
          <w:rFonts w:cs="Arial"/>
          <w:b/>
          <w:bCs/>
          <w:i/>
          <w:snapToGrid w:val="0"/>
          <w:sz w:val="28"/>
          <w:szCs w:val="28"/>
        </w:rPr>
        <w:t>Sponsor hearing</w:t>
      </w:r>
    </w:p>
    <w:p w:rsidR="00A13763" w:rsidRPr="00786D0E" w:rsidRDefault="00A13763" w:rsidP="00A13763">
      <w:pPr>
        <w:pStyle w:val="ListParagraph"/>
        <w:numPr>
          <w:ilvl w:val="1"/>
          <w:numId w:val="2"/>
        </w:numPr>
        <w:jc w:val="both"/>
        <w:rPr>
          <w:rFonts w:cs="Arial"/>
          <w:bCs/>
          <w:snapToGrid w:val="0"/>
        </w:rPr>
      </w:pPr>
      <w:r w:rsidRPr="00786D0E">
        <w:rPr>
          <w:rFonts w:cs="Arial"/>
          <w:bCs/>
          <w:snapToGrid w:val="0"/>
        </w:rPr>
        <w:t xml:space="preserve">The sponsor requested a hearing for this item. At the hearing, a clinician presented data highlighting the benefits of </w:t>
      </w:r>
      <w:proofErr w:type="spellStart"/>
      <w:r w:rsidRPr="00786D0E">
        <w:rPr>
          <w:rFonts w:cs="Arial"/>
          <w:bCs/>
          <w:snapToGrid w:val="0"/>
        </w:rPr>
        <w:t>crizotinib</w:t>
      </w:r>
      <w:proofErr w:type="spellEnd"/>
      <w:r w:rsidRPr="00786D0E">
        <w:rPr>
          <w:rFonts w:cs="Arial"/>
          <w:bCs/>
          <w:snapToGrid w:val="0"/>
        </w:rPr>
        <w:t xml:space="preserve"> treatment in a small population with high unmet clinical need. The clinician also stated that the effects of </w:t>
      </w:r>
      <w:proofErr w:type="spellStart"/>
      <w:r w:rsidRPr="00786D0E">
        <w:rPr>
          <w:rFonts w:cs="Arial"/>
          <w:bCs/>
          <w:snapToGrid w:val="0"/>
        </w:rPr>
        <w:t>crizotinib</w:t>
      </w:r>
      <w:proofErr w:type="spellEnd"/>
      <w:r w:rsidRPr="00786D0E">
        <w:rPr>
          <w:rFonts w:cs="Arial"/>
          <w:bCs/>
          <w:snapToGrid w:val="0"/>
        </w:rPr>
        <w:t xml:space="preserve"> in the</w:t>
      </w:r>
      <w:r w:rsidRPr="00786D0E">
        <w:rPr>
          <w:rFonts w:cs="Arial"/>
          <w:bCs/>
          <w:i/>
          <w:snapToGrid w:val="0"/>
        </w:rPr>
        <w:t xml:space="preserve"> ALK</w:t>
      </w:r>
      <w:r w:rsidR="009D60C8" w:rsidRPr="00786D0E">
        <w:rPr>
          <w:rFonts w:cs="Arial"/>
          <w:bCs/>
          <w:snapToGrid w:val="0"/>
        </w:rPr>
        <w:t>-</w:t>
      </w:r>
      <w:r w:rsidRPr="00786D0E">
        <w:rPr>
          <w:rFonts w:cs="Arial"/>
          <w:bCs/>
          <w:snapToGrid w:val="0"/>
        </w:rPr>
        <w:t xml:space="preserve">positive and </w:t>
      </w:r>
      <w:r w:rsidRPr="00786D0E">
        <w:rPr>
          <w:rFonts w:cs="Arial"/>
          <w:bCs/>
          <w:i/>
          <w:snapToGrid w:val="0"/>
        </w:rPr>
        <w:t>ROS1</w:t>
      </w:r>
      <w:r w:rsidR="009D60C8" w:rsidRPr="00786D0E">
        <w:rPr>
          <w:rFonts w:cs="Arial"/>
          <w:bCs/>
          <w:i/>
          <w:snapToGrid w:val="0"/>
        </w:rPr>
        <w:t>-</w:t>
      </w:r>
      <w:r w:rsidRPr="00786D0E">
        <w:rPr>
          <w:rFonts w:cs="Arial"/>
          <w:bCs/>
          <w:snapToGrid w:val="0"/>
        </w:rPr>
        <w:t xml:space="preserve">positive </w:t>
      </w:r>
      <w:r w:rsidR="00E35749" w:rsidRPr="00786D0E">
        <w:rPr>
          <w:rFonts w:cs="Arial"/>
          <w:bCs/>
          <w:snapToGrid w:val="0"/>
        </w:rPr>
        <w:t xml:space="preserve">NSCLC </w:t>
      </w:r>
      <w:r w:rsidRPr="00786D0E">
        <w:rPr>
          <w:rFonts w:cs="Arial"/>
          <w:bCs/>
          <w:snapToGrid w:val="0"/>
        </w:rPr>
        <w:t xml:space="preserve">populations were </w:t>
      </w:r>
      <w:r w:rsidR="000F6482" w:rsidRPr="00786D0E">
        <w:rPr>
          <w:rFonts w:cs="Arial"/>
          <w:bCs/>
          <w:snapToGrid w:val="0"/>
        </w:rPr>
        <w:t>similar</w:t>
      </w:r>
      <w:r w:rsidRPr="00786D0E">
        <w:rPr>
          <w:rFonts w:cs="Arial"/>
          <w:bCs/>
          <w:snapToGrid w:val="0"/>
        </w:rPr>
        <w:t xml:space="preserve">, </w:t>
      </w:r>
      <w:r w:rsidR="00B27123" w:rsidRPr="00786D0E">
        <w:rPr>
          <w:rFonts w:cs="Arial"/>
          <w:bCs/>
          <w:snapToGrid w:val="0"/>
        </w:rPr>
        <w:t xml:space="preserve">and advised </w:t>
      </w:r>
      <w:r w:rsidR="00777530" w:rsidRPr="00786D0E">
        <w:rPr>
          <w:rFonts w:cs="Arial"/>
          <w:bCs/>
          <w:snapToGrid w:val="0"/>
        </w:rPr>
        <w:t xml:space="preserve">that the two biomarkers are similar oncogene drivers, resistance to </w:t>
      </w:r>
      <w:proofErr w:type="spellStart"/>
      <w:r w:rsidR="00777530" w:rsidRPr="00786D0E">
        <w:rPr>
          <w:rFonts w:cs="Arial"/>
          <w:bCs/>
          <w:snapToGrid w:val="0"/>
        </w:rPr>
        <w:t>crizotinib</w:t>
      </w:r>
      <w:proofErr w:type="spellEnd"/>
      <w:r w:rsidR="00777530" w:rsidRPr="00786D0E">
        <w:rPr>
          <w:rFonts w:cs="Arial"/>
          <w:bCs/>
          <w:snapToGrid w:val="0"/>
        </w:rPr>
        <w:t xml:space="preserve"> eventually develops in both settings, and the tolerability profile of </w:t>
      </w:r>
      <w:proofErr w:type="spellStart"/>
      <w:r w:rsidR="00777530" w:rsidRPr="00786D0E">
        <w:rPr>
          <w:rFonts w:cs="Arial"/>
          <w:bCs/>
          <w:snapToGrid w:val="0"/>
        </w:rPr>
        <w:t>crizotinib</w:t>
      </w:r>
      <w:proofErr w:type="spellEnd"/>
      <w:r w:rsidR="00777530" w:rsidRPr="00786D0E">
        <w:rPr>
          <w:rFonts w:cs="Arial"/>
          <w:bCs/>
          <w:snapToGrid w:val="0"/>
        </w:rPr>
        <w:t xml:space="preserve"> is independent of the choice of biomarker. The clinician also</w:t>
      </w:r>
      <w:r w:rsidRPr="00786D0E">
        <w:rPr>
          <w:rFonts w:cs="Arial"/>
          <w:bCs/>
          <w:snapToGrid w:val="0"/>
        </w:rPr>
        <w:t xml:space="preserve"> noted that while </w:t>
      </w:r>
      <w:proofErr w:type="spellStart"/>
      <w:r w:rsidRPr="00786D0E">
        <w:rPr>
          <w:rFonts w:cs="Arial"/>
          <w:bCs/>
          <w:snapToGrid w:val="0"/>
        </w:rPr>
        <w:t>crizotinib</w:t>
      </w:r>
      <w:proofErr w:type="spellEnd"/>
      <w:r w:rsidRPr="00786D0E">
        <w:rPr>
          <w:rFonts w:cs="Arial"/>
          <w:bCs/>
          <w:snapToGrid w:val="0"/>
        </w:rPr>
        <w:t xml:space="preserve"> can </w:t>
      </w:r>
      <w:r w:rsidR="00E35749" w:rsidRPr="00786D0E">
        <w:rPr>
          <w:rFonts w:cs="Arial"/>
          <w:bCs/>
          <w:snapToGrid w:val="0"/>
        </w:rPr>
        <w:t xml:space="preserve">also </w:t>
      </w:r>
      <w:r w:rsidRPr="00786D0E">
        <w:rPr>
          <w:rFonts w:cs="Arial"/>
          <w:bCs/>
          <w:snapToGrid w:val="0"/>
        </w:rPr>
        <w:t xml:space="preserve">be administered in the treatment-naïve </w:t>
      </w:r>
      <w:r w:rsidRPr="00786D0E">
        <w:rPr>
          <w:rFonts w:cs="Arial"/>
          <w:bCs/>
          <w:i/>
          <w:snapToGrid w:val="0"/>
        </w:rPr>
        <w:t>ALK</w:t>
      </w:r>
      <w:r w:rsidR="009D60C8" w:rsidRPr="00786D0E">
        <w:rPr>
          <w:rFonts w:cs="Arial"/>
          <w:bCs/>
          <w:snapToGrid w:val="0"/>
        </w:rPr>
        <w:t xml:space="preserve">-positive </w:t>
      </w:r>
      <w:r w:rsidRPr="00786D0E">
        <w:rPr>
          <w:rFonts w:cs="Arial"/>
          <w:bCs/>
          <w:snapToGrid w:val="0"/>
        </w:rPr>
        <w:t xml:space="preserve">population, the </w:t>
      </w:r>
      <w:r w:rsidR="00E35749" w:rsidRPr="00786D0E">
        <w:rPr>
          <w:rFonts w:cs="Arial"/>
          <w:bCs/>
          <w:snapToGrid w:val="0"/>
        </w:rPr>
        <w:t xml:space="preserve">available </w:t>
      </w:r>
      <w:r w:rsidRPr="00786D0E">
        <w:rPr>
          <w:rFonts w:cs="Arial"/>
          <w:bCs/>
          <w:snapToGrid w:val="0"/>
        </w:rPr>
        <w:t xml:space="preserve">evidence in the </w:t>
      </w:r>
      <w:r w:rsidRPr="00786D0E">
        <w:rPr>
          <w:rFonts w:cs="Arial"/>
          <w:bCs/>
          <w:i/>
          <w:snapToGrid w:val="0"/>
        </w:rPr>
        <w:t>ROS1</w:t>
      </w:r>
      <w:r w:rsidR="009D60C8" w:rsidRPr="00786D0E">
        <w:rPr>
          <w:rFonts w:cs="Arial"/>
          <w:bCs/>
          <w:snapToGrid w:val="0"/>
        </w:rPr>
        <w:t xml:space="preserve">-positive </w:t>
      </w:r>
      <w:r w:rsidRPr="00786D0E">
        <w:rPr>
          <w:rFonts w:cs="Arial"/>
          <w:bCs/>
          <w:snapToGrid w:val="0"/>
        </w:rPr>
        <w:t xml:space="preserve">population was in the relapsed/refractory setting. The PBAC considered that the hearing was informative as it provided a clinical perspective on treating </w:t>
      </w:r>
      <w:r w:rsidRPr="00786D0E">
        <w:rPr>
          <w:rFonts w:cs="Arial"/>
          <w:bCs/>
          <w:i/>
          <w:snapToGrid w:val="0"/>
        </w:rPr>
        <w:t>ROS1</w:t>
      </w:r>
      <w:r w:rsidR="009D60C8" w:rsidRPr="00786D0E">
        <w:rPr>
          <w:rFonts w:cs="Arial"/>
          <w:bCs/>
          <w:snapToGrid w:val="0"/>
        </w:rPr>
        <w:t>-</w:t>
      </w:r>
      <w:r w:rsidR="00612F5F" w:rsidRPr="00786D0E">
        <w:rPr>
          <w:rFonts w:cs="Arial"/>
          <w:bCs/>
          <w:snapToGrid w:val="0"/>
        </w:rPr>
        <w:t xml:space="preserve">positive </w:t>
      </w:r>
      <w:r w:rsidRPr="00786D0E">
        <w:rPr>
          <w:rFonts w:cs="Arial"/>
          <w:bCs/>
          <w:snapToGrid w:val="0"/>
        </w:rPr>
        <w:t xml:space="preserve">NSCLC </w:t>
      </w:r>
      <w:r w:rsidR="005C7580" w:rsidRPr="00786D0E">
        <w:rPr>
          <w:rFonts w:cs="Arial"/>
          <w:bCs/>
          <w:snapToGrid w:val="0"/>
        </w:rPr>
        <w:t>patients</w:t>
      </w:r>
      <w:r w:rsidRPr="00786D0E">
        <w:rPr>
          <w:rFonts w:cs="Arial"/>
          <w:bCs/>
          <w:snapToGrid w:val="0"/>
        </w:rPr>
        <w:t xml:space="preserve">, and </w:t>
      </w:r>
      <w:r w:rsidR="005C7580" w:rsidRPr="00786D0E">
        <w:rPr>
          <w:rFonts w:cs="Arial"/>
          <w:bCs/>
          <w:snapToGrid w:val="0"/>
        </w:rPr>
        <w:t xml:space="preserve">provided a qualitative insight into the comparative profile of </w:t>
      </w:r>
      <w:proofErr w:type="spellStart"/>
      <w:r w:rsidR="005C7580" w:rsidRPr="00786D0E">
        <w:rPr>
          <w:rFonts w:cs="Arial"/>
          <w:bCs/>
          <w:snapToGrid w:val="0"/>
        </w:rPr>
        <w:t>crizotinib</w:t>
      </w:r>
      <w:proofErr w:type="spellEnd"/>
      <w:r w:rsidR="005C7580" w:rsidRPr="00786D0E">
        <w:rPr>
          <w:rFonts w:cs="Arial"/>
          <w:bCs/>
          <w:snapToGrid w:val="0"/>
        </w:rPr>
        <w:t xml:space="preserve"> in </w:t>
      </w:r>
      <w:r w:rsidR="005C7580" w:rsidRPr="00786D0E">
        <w:rPr>
          <w:rFonts w:cs="Arial"/>
          <w:bCs/>
          <w:i/>
          <w:snapToGrid w:val="0"/>
        </w:rPr>
        <w:t>ALK</w:t>
      </w:r>
      <w:r w:rsidR="009D60C8" w:rsidRPr="00786D0E">
        <w:rPr>
          <w:rFonts w:cs="Arial"/>
          <w:bCs/>
          <w:snapToGrid w:val="0"/>
        </w:rPr>
        <w:t>-</w:t>
      </w:r>
      <w:r w:rsidR="005C7580" w:rsidRPr="00786D0E">
        <w:rPr>
          <w:rFonts w:cs="Arial"/>
          <w:bCs/>
          <w:i/>
          <w:snapToGrid w:val="0"/>
        </w:rPr>
        <w:t xml:space="preserve"> </w:t>
      </w:r>
      <w:r w:rsidR="005C7580" w:rsidRPr="00786D0E">
        <w:rPr>
          <w:rFonts w:cs="Arial"/>
          <w:bCs/>
          <w:snapToGrid w:val="0"/>
        </w:rPr>
        <w:t xml:space="preserve">and </w:t>
      </w:r>
      <w:r w:rsidR="005C7580" w:rsidRPr="00786D0E">
        <w:rPr>
          <w:rFonts w:cs="Arial"/>
          <w:bCs/>
          <w:i/>
          <w:snapToGrid w:val="0"/>
        </w:rPr>
        <w:t>ROS1</w:t>
      </w:r>
      <w:r w:rsidR="009D60C8" w:rsidRPr="00786D0E">
        <w:rPr>
          <w:rFonts w:cs="Arial"/>
          <w:bCs/>
          <w:snapToGrid w:val="0"/>
        </w:rPr>
        <w:t>-</w:t>
      </w:r>
      <w:r w:rsidR="005C7580" w:rsidRPr="00786D0E">
        <w:rPr>
          <w:rFonts w:cs="Arial"/>
          <w:bCs/>
          <w:snapToGrid w:val="0"/>
        </w:rPr>
        <w:t>positive populations.</w:t>
      </w:r>
    </w:p>
    <w:p w:rsidR="00530174" w:rsidRPr="00786D0E" w:rsidRDefault="00530174" w:rsidP="00610B60">
      <w:pPr>
        <w:widowControl w:val="0"/>
        <w:spacing w:before="240" w:line="276" w:lineRule="auto"/>
        <w:jc w:val="both"/>
        <w:outlineLvl w:val="1"/>
        <w:rPr>
          <w:rFonts w:cs="Arial"/>
          <w:b/>
          <w:bCs/>
          <w:i/>
          <w:snapToGrid w:val="0"/>
          <w:sz w:val="28"/>
          <w:szCs w:val="28"/>
        </w:rPr>
      </w:pPr>
      <w:r w:rsidRPr="00786D0E">
        <w:rPr>
          <w:rFonts w:cs="Arial"/>
          <w:b/>
          <w:bCs/>
          <w:i/>
          <w:snapToGrid w:val="0"/>
          <w:sz w:val="28"/>
          <w:szCs w:val="28"/>
        </w:rPr>
        <w:t>Consumer comments</w:t>
      </w:r>
    </w:p>
    <w:p w:rsidR="00670B05" w:rsidRPr="00786D0E" w:rsidRDefault="00670B05" w:rsidP="00670B05">
      <w:pPr>
        <w:widowControl w:val="0"/>
        <w:numPr>
          <w:ilvl w:val="1"/>
          <w:numId w:val="2"/>
        </w:numPr>
        <w:spacing w:before="0" w:after="120"/>
        <w:jc w:val="both"/>
        <w:rPr>
          <w:rFonts w:cs="Arial"/>
          <w:bCs/>
          <w:snapToGrid w:val="0"/>
        </w:rPr>
      </w:pPr>
      <w:r w:rsidRPr="00786D0E">
        <w:rPr>
          <w:rFonts w:cs="Arial"/>
          <w:bCs/>
          <w:snapToGrid w:val="0"/>
        </w:rPr>
        <w:t xml:space="preserve">The PBAC noted and welcomed the input from individuals (7) and organisations (1) via the Consumer Comments facility on the PBS website. The comments described benefits of treatment with </w:t>
      </w:r>
      <w:proofErr w:type="spellStart"/>
      <w:r w:rsidRPr="00786D0E">
        <w:rPr>
          <w:rFonts w:cs="Arial"/>
          <w:bCs/>
          <w:snapToGrid w:val="0"/>
        </w:rPr>
        <w:t>crizotinib</w:t>
      </w:r>
      <w:proofErr w:type="spellEnd"/>
      <w:r w:rsidRPr="00786D0E">
        <w:rPr>
          <w:rFonts w:cs="Arial"/>
          <w:bCs/>
          <w:snapToGrid w:val="0"/>
        </w:rPr>
        <w:t>,</w:t>
      </w:r>
      <w:r w:rsidR="00612F5F" w:rsidRPr="00786D0E">
        <w:rPr>
          <w:rFonts w:cs="Arial"/>
          <w:bCs/>
          <w:snapToGrid w:val="0"/>
        </w:rPr>
        <w:t xml:space="preserve"> and emphasized its eff</w:t>
      </w:r>
      <w:r w:rsidR="000F6482" w:rsidRPr="00786D0E">
        <w:rPr>
          <w:rFonts w:cs="Arial"/>
          <w:bCs/>
          <w:snapToGrid w:val="0"/>
        </w:rPr>
        <w:t>ectiveness</w:t>
      </w:r>
      <w:r w:rsidR="00612F5F" w:rsidRPr="00786D0E">
        <w:rPr>
          <w:rFonts w:cs="Arial"/>
          <w:bCs/>
          <w:snapToGrid w:val="0"/>
        </w:rPr>
        <w:t xml:space="preserve"> in reducing tumour burden and improving quality of life.</w:t>
      </w:r>
    </w:p>
    <w:p w:rsidR="00670B05" w:rsidRPr="00786D0E" w:rsidRDefault="004D250E" w:rsidP="00670B05">
      <w:pPr>
        <w:widowControl w:val="0"/>
        <w:numPr>
          <w:ilvl w:val="1"/>
          <w:numId w:val="2"/>
        </w:numPr>
        <w:spacing w:before="0" w:after="120"/>
        <w:jc w:val="both"/>
        <w:rPr>
          <w:rFonts w:cs="Arial"/>
          <w:bCs/>
          <w:snapToGrid w:val="0"/>
        </w:rPr>
      </w:pPr>
      <w:r w:rsidRPr="00786D0E">
        <w:rPr>
          <w:rFonts w:cs="Arial"/>
          <w:bCs/>
          <w:snapToGrid w:val="0"/>
        </w:rPr>
        <w:t xml:space="preserve">A </w:t>
      </w:r>
      <w:r w:rsidR="00670B05" w:rsidRPr="00786D0E">
        <w:rPr>
          <w:rFonts w:cs="Arial"/>
          <w:bCs/>
          <w:snapToGrid w:val="0"/>
        </w:rPr>
        <w:t xml:space="preserve">comment from Rare Cancers Australia noted that the PBS listing of </w:t>
      </w:r>
      <w:proofErr w:type="spellStart"/>
      <w:r w:rsidR="00A927D2" w:rsidRPr="00786D0E">
        <w:rPr>
          <w:rFonts w:cs="Arial"/>
          <w:bCs/>
          <w:snapToGrid w:val="0"/>
        </w:rPr>
        <w:t>crizotinib</w:t>
      </w:r>
      <w:proofErr w:type="spellEnd"/>
      <w:r w:rsidR="00670B05" w:rsidRPr="00786D0E">
        <w:rPr>
          <w:rFonts w:cs="Arial"/>
          <w:bCs/>
          <w:snapToGrid w:val="0"/>
        </w:rPr>
        <w:t xml:space="preserve"> would make a </w:t>
      </w:r>
      <w:r w:rsidRPr="00786D0E">
        <w:rPr>
          <w:rFonts w:cs="Arial"/>
          <w:bCs/>
          <w:snapToGrid w:val="0"/>
        </w:rPr>
        <w:t xml:space="preserve">meaningful difference in the lives of </w:t>
      </w:r>
      <w:r w:rsidR="00612F5F" w:rsidRPr="00786D0E">
        <w:rPr>
          <w:rFonts w:cs="Arial"/>
          <w:bCs/>
          <w:snapToGrid w:val="0"/>
        </w:rPr>
        <w:t>the</w:t>
      </w:r>
      <w:r w:rsidRPr="00786D0E">
        <w:rPr>
          <w:rFonts w:cs="Arial"/>
          <w:bCs/>
          <w:snapToGrid w:val="0"/>
        </w:rPr>
        <w:t xml:space="preserve"> </w:t>
      </w:r>
      <w:r w:rsidR="00612F5F" w:rsidRPr="00786D0E">
        <w:rPr>
          <w:rFonts w:cs="Arial"/>
          <w:bCs/>
          <w:snapToGrid w:val="0"/>
        </w:rPr>
        <w:t>small</w:t>
      </w:r>
      <w:r w:rsidRPr="00786D0E">
        <w:rPr>
          <w:rFonts w:cs="Arial"/>
          <w:bCs/>
          <w:snapToGrid w:val="0"/>
        </w:rPr>
        <w:t xml:space="preserve"> population of </w:t>
      </w:r>
      <w:r w:rsidR="00612F5F" w:rsidRPr="00786D0E">
        <w:rPr>
          <w:rFonts w:cs="Arial"/>
          <w:bCs/>
          <w:i/>
          <w:snapToGrid w:val="0"/>
        </w:rPr>
        <w:t>ROS1</w:t>
      </w:r>
      <w:r w:rsidR="009D60C8" w:rsidRPr="00786D0E">
        <w:rPr>
          <w:rFonts w:cs="Arial"/>
          <w:bCs/>
          <w:i/>
          <w:snapToGrid w:val="0"/>
        </w:rPr>
        <w:t>-</w:t>
      </w:r>
      <w:r w:rsidR="00612F5F" w:rsidRPr="00786D0E">
        <w:rPr>
          <w:rFonts w:cs="Arial"/>
          <w:bCs/>
          <w:snapToGrid w:val="0"/>
        </w:rPr>
        <w:t xml:space="preserve">positive NSCLC patients </w:t>
      </w:r>
      <w:r w:rsidR="00670B05" w:rsidRPr="00786D0E">
        <w:rPr>
          <w:rFonts w:cs="Arial"/>
          <w:bCs/>
          <w:snapToGrid w:val="0"/>
        </w:rPr>
        <w:t>by slowing disease progression</w:t>
      </w:r>
      <w:r w:rsidR="00612F5F" w:rsidRPr="00786D0E">
        <w:rPr>
          <w:rFonts w:cs="Arial"/>
          <w:bCs/>
          <w:snapToGrid w:val="0"/>
        </w:rPr>
        <w:t xml:space="preserve"> and extending survival.</w:t>
      </w:r>
    </w:p>
    <w:p w:rsidR="00670B05" w:rsidRPr="00786D0E" w:rsidRDefault="00670B05" w:rsidP="00670B05">
      <w:pPr>
        <w:widowControl w:val="0"/>
        <w:numPr>
          <w:ilvl w:val="1"/>
          <w:numId w:val="2"/>
        </w:numPr>
        <w:spacing w:before="0" w:after="120"/>
        <w:jc w:val="both"/>
        <w:rPr>
          <w:rFonts w:cs="Arial"/>
          <w:bCs/>
          <w:snapToGrid w:val="0"/>
        </w:rPr>
      </w:pPr>
      <w:r w:rsidRPr="00786D0E">
        <w:rPr>
          <w:rFonts w:cs="Arial"/>
          <w:bCs/>
          <w:snapToGrid w:val="0"/>
        </w:rPr>
        <w:t xml:space="preserve">The Medical Oncology Group of Australia (MOGA) also expressed its support for the </w:t>
      </w:r>
      <w:proofErr w:type="spellStart"/>
      <w:r w:rsidR="00612F5F" w:rsidRPr="00786D0E">
        <w:rPr>
          <w:rFonts w:cs="Arial"/>
          <w:bCs/>
          <w:snapToGrid w:val="0"/>
        </w:rPr>
        <w:t>crizotinib</w:t>
      </w:r>
      <w:proofErr w:type="spellEnd"/>
      <w:r w:rsidRPr="00786D0E">
        <w:rPr>
          <w:rFonts w:cs="Arial"/>
          <w:bCs/>
          <w:snapToGrid w:val="0"/>
        </w:rPr>
        <w:t xml:space="preserve"> submission, </w:t>
      </w:r>
      <w:r w:rsidR="00612F5F" w:rsidRPr="00786D0E">
        <w:rPr>
          <w:rFonts w:cs="Arial"/>
          <w:bCs/>
          <w:snapToGrid w:val="0"/>
        </w:rPr>
        <w:t xml:space="preserve">noting that the PBS listing of </w:t>
      </w:r>
      <w:proofErr w:type="spellStart"/>
      <w:r w:rsidR="00612F5F" w:rsidRPr="00786D0E">
        <w:rPr>
          <w:rFonts w:cs="Arial"/>
          <w:bCs/>
          <w:snapToGrid w:val="0"/>
        </w:rPr>
        <w:t>crizotinib</w:t>
      </w:r>
      <w:proofErr w:type="spellEnd"/>
      <w:r w:rsidR="00612F5F" w:rsidRPr="00786D0E">
        <w:rPr>
          <w:rFonts w:cs="Arial"/>
          <w:bCs/>
          <w:snapToGrid w:val="0"/>
        </w:rPr>
        <w:t xml:space="preserve"> in this population would fill a significant area of unmet need</w:t>
      </w:r>
      <w:r w:rsidRPr="00786D0E">
        <w:rPr>
          <w:rFonts w:cs="Arial"/>
          <w:bCs/>
          <w:snapToGrid w:val="0"/>
        </w:rPr>
        <w:t xml:space="preserve">. The PBAC noted that the MOGA presented the European Society for Medical Oncology Magnitude of Clinical Benefit Scale (ESMO-MCBS) for </w:t>
      </w:r>
      <w:proofErr w:type="spellStart"/>
      <w:r w:rsidR="00612F5F" w:rsidRPr="00786D0E">
        <w:rPr>
          <w:rFonts w:cs="Arial"/>
          <w:bCs/>
          <w:snapToGrid w:val="0"/>
        </w:rPr>
        <w:t>crizotinib</w:t>
      </w:r>
      <w:proofErr w:type="spellEnd"/>
      <w:r w:rsidRPr="00786D0E">
        <w:rPr>
          <w:rFonts w:cs="Arial"/>
          <w:bCs/>
          <w:snapToGrid w:val="0"/>
        </w:rPr>
        <w:t xml:space="preserve">, </w:t>
      </w:r>
      <w:r w:rsidR="00612F5F" w:rsidRPr="00786D0E">
        <w:rPr>
          <w:rFonts w:cs="Arial"/>
          <w:bCs/>
          <w:snapToGrid w:val="0"/>
        </w:rPr>
        <w:t>which was limited to 3 (out of a maximum of 5, where 5 and 4 represent the grades with substantial improvement)</w:t>
      </w:r>
      <w:r w:rsidR="00612F5F" w:rsidRPr="00786D0E">
        <w:rPr>
          <w:rStyle w:val="FootnoteReference"/>
          <w:rFonts w:cs="Arial"/>
          <w:bCs/>
          <w:snapToGrid w:val="0"/>
        </w:rPr>
        <w:footnoteReference w:id="1"/>
      </w:r>
      <w:r w:rsidR="00612F5F" w:rsidRPr="00786D0E">
        <w:rPr>
          <w:rFonts w:cs="Arial"/>
          <w:bCs/>
          <w:snapToGrid w:val="0"/>
        </w:rPr>
        <w:t xml:space="preserve">, based on single </w:t>
      </w:r>
      <w:r w:rsidR="00612F5F" w:rsidRPr="00786D0E">
        <w:rPr>
          <w:rFonts w:cs="Arial"/>
          <w:bCs/>
          <w:snapToGrid w:val="0"/>
        </w:rPr>
        <w:lastRenderedPageBreak/>
        <w:t>arm studies.</w:t>
      </w:r>
    </w:p>
    <w:p w:rsidR="00AC59CA" w:rsidRPr="00610B60" w:rsidRDefault="00AC59CA" w:rsidP="00610B60">
      <w:pPr>
        <w:widowControl w:val="0"/>
        <w:spacing w:before="240" w:line="276" w:lineRule="auto"/>
        <w:jc w:val="both"/>
        <w:outlineLvl w:val="1"/>
        <w:rPr>
          <w:rFonts w:cs="Arial"/>
          <w:b/>
          <w:bCs/>
          <w:i/>
          <w:snapToGrid w:val="0"/>
          <w:sz w:val="28"/>
          <w:szCs w:val="28"/>
        </w:rPr>
      </w:pPr>
      <w:r w:rsidRPr="00610B60">
        <w:rPr>
          <w:rFonts w:cs="Arial"/>
          <w:b/>
          <w:bCs/>
          <w:i/>
          <w:snapToGrid w:val="0"/>
          <w:sz w:val="28"/>
          <w:szCs w:val="28"/>
        </w:rPr>
        <w:t>Clinical trials</w:t>
      </w:r>
      <w:bookmarkEnd w:id="11"/>
    </w:p>
    <w:p w:rsidR="00AC59CA" w:rsidRPr="00786D0E" w:rsidRDefault="00AC59CA" w:rsidP="000D39E9">
      <w:pPr>
        <w:pStyle w:val="ListParagraph"/>
        <w:numPr>
          <w:ilvl w:val="1"/>
          <w:numId w:val="2"/>
        </w:numPr>
        <w:spacing w:before="0" w:after="120"/>
        <w:jc w:val="both"/>
      </w:pPr>
      <w:r w:rsidRPr="00786D0E">
        <w:t xml:space="preserve">The submission was based on a naïve comparison of two single-arm studies of </w:t>
      </w:r>
      <w:proofErr w:type="spellStart"/>
      <w:r w:rsidRPr="00786D0E">
        <w:t>crizotinib</w:t>
      </w:r>
      <w:proofErr w:type="spellEnd"/>
      <w:r w:rsidRPr="00786D0E">
        <w:t xml:space="preserve"> in </w:t>
      </w:r>
      <w:r w:rsidR="00891F78" w:rsidRPr="00786D0E">
        <w:t xml:space="preserve">the second-line treatment of </w:t>
      </w:r>
      <w:r w:rsidRPr="00786D0E">
        <w:t xml:space="preserve">NSCLC (n = 180) </w:t>
      </w:r>
      <w:r w:rsidR="00891F78" w:rsidRPr="00786D0E">
        <w:t xml:space="preserve">with the </w:t>
      </w:r>
      <w:proofErr w:type="spellStart"/>
      <w:r w:rsidR="00891F78" w:rsidRPr="00786D0E">
        <w:t>pemetrexed</w:t>
      </w:r>
      <w:proofErr w:type="spellEnd"/>
      <w:r w:rsidR="00891F78" w:rsidRPr="00786D0E">
        <w:t xml:space="preserve"> arm of </w:t>
      </w:r>
      <w:r w:rsidRPr="00786D0E">
        <w:t xml:space="preserve">one randomised controlled trial that compared </w:t>
      </w:r>
      <w:proofErr w:type="spellStart"/>
      <w:r w:rsidRPr="00786D0E">
        <w:t>pemetrexed</w:t>
      </w:r>
      <w:proofErr w:type="spellEnd"/>
      <w:r w:rsidRPr="00786D0E">
        <w:t xml:space="preserve"> to docetaxel in </w:t>
      </w:r>
      <w:r w:rsidR="00891F78" w:rsidRPr="00786D0E">
        <w:t xml:space="preserve">the </w:t>
      </w:r>
      <w:r w:rsidRPr="00786D0E">
        <w:t xml:space="preserve">second-line treatment of NSCLC (Hanna et al 2004, n = 283 in </w:t>
      </w:r>
      <w:r w:rsidR="00891F78" w:rsidRPr="00786D0E">
        <w:t xml:space="preserve">the </w:t>
      </w:r>
      <w:proofErr w:type="spellStart"/>
      <w:r w:rsidRPr="00786D0E">
        <w:t>pemetrexed</w:t>
      </w:r>
      <w:proofErr w:type="spellEnd"/>
      <w:r w:rsidRPr="00786D0E">
        <w:t xml:space="preserve"> arm). </w:t>
      </w:r>
      <w:proofErr w:type="spellStart"/>
      <w:r w:rsidRPr="00786D0E">
        <w:t>Scagliotti</w:t>
      </w:r>
      <w:proofErr w:type="spellEnd"/>
      <w:r w:rsidRPr="00786D0E">
        <w:t xml:space="preserve"> et al. 2009: a retrospective analysis of Hanna et al. 2004 by NSCLC histology (squamous and non-squamous), was included during the evaluation. The submission also presented four supportive studies of the clinical effectiveness of </w:t>
      </w:r>
      <w:proofErr w:type="spellStart"/>
      <w:r w:rsidRPr="00786D0E">
        <w:t>crizotinib</w:t>
      </w:r>
      <w:proofErr w:type="spellEnd"/>
      <w:r w:rsidRPr="00786D0E">
        <w:t>.</w:t>
      </w:r>
    </w:p>
    <w:p w:rsidR="00AC59CA" w:rsidRPr="00786D0E" w:rsidRDefault="00AC59CA" w:rsidP="000D39E9">
      <w:pPr>
        <w:pStyle w:val="ListParagraph"/>
        <w:numPr>
          <w:ilvl w:val="1"/>
          <w:numId w:val="2"/>
        </w:numPr>
        <w:spacing w:before="0" w:after="120"/>
        <w:jc w:val="both"/>
      </w:pPr>
      <w:r w:rsidRPr="00786D0E">
        <w:t>Details of the trials presented in the submission are provided in the table below.</w:t>
      </w:r>
    </w:p>
    <w:p w:rsidR="00AC59CA" w:rsidRPr="00786D0E" w:rsidRDefault="00AC59CA" w:rsidP="00AC59CA">
      <w:pPr>
        <w:pStyle w:val="TableHeading0"/>
        <w:jc w:val="both"/>
      </w:pPr>
      <w:r w:rsidRPr="00786D0E">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671"/>
        <w:gridCol w:w="1965"/>
      </w:tblGrid>
      <w:tr w:rsidR="00AC59CA" w:rsidRPr="00786D0E" w:rsidTr="001F354C">
        <w:tc>
          <w:tcPr>
            <w:tcW w:w="796" w:type="pct"/>
          </w:tcPr>
          <w:p w:rsidR="00AC59CA" w:rsidRPr="00786D0E" w:rsidRDefault="00AC59CA" w:rsidP="001F354C">
            <w:pPr>
              <w:keepNext/>
              <w:spacing w:before="40" w:after="40"/>
              <w:jc w:val="both"/>
              <w:rPr>
                <w:rFonts w:ascii="Arial Narrow" w:hAnsi="Arial Narrow"/>
                <w:b/>
                <w:sz w:val="20"/>
              </w:rPr>
            </w:pPr>
            <w:r w:rsidRPr="00786D0E">
              <w:rPr>
                <w:rFonts w:ascii="Arial Narrow" w:hAnsi="Arial Narrow"/>
                <w:b/>
                <w:sz w:val="20"/>
              </w:rPr>
              <w:t>Trial ID</w:t>
            </w:r>
          </w:p>
        </w:tc>
        <w:tc>
          <w:tcPr>
            <w:tcW w:w="3122" w:type="pct"/>
          </w:tcPr>
          <w:p w:rsidR="00AC59CA" w:rsidRPr="00786D0E" w:rsidRDefault="00AC59CA" w:rsidP="001F354C">
            <w:pPr>
              <w:keepNext/>
              <w:spacing w:before="40" w:after="40"/>
              <w:jc w:val="both"/>
              <w:rPr>
                <w:rFonts w:ascii="Arial Narrow" w:hAnsi="Arial Narrow"/>
                <w:b/>
                <w:sz w:val="20"/>
              </w:rPr>
            </w:pPr>
            <w:r w:rsidRPr="00786D0E">
              <w:rPr>
                <w:rFonts w:ascii="Arial Narrow" w:hAnsi="Arial Narrow"/>
                <w:b/>
                <w:sz w:val="20"/>
              </w:rPr>
              <w:t>Protocol title/ Publication title</w:t>
            </w:r>
          </w:p>
        </w:tc>
        <w:tc>
          <w:tcPr>
            <w:tcW w:w="1082" w:type="pct"/>
          </w:tcPr>
          <w:p w:rsidR="00AC59CA" w:rsidRPr="00786D0E" w:rsidRDefault="00AC59CA" w:rsidP="001F354C">
            <w:pPr>
              <w:keepNext/>
              <w:spacing w:before="40" w:after="40"/>
              <w:jc w:val="both"/>
              <w:rPr>
                <w:rFonts w:ascii="Arial Narrow" w:hAnsi="Arial Narrow"/>
                <w:b/>
                <w:sz w:val="20"/>
              </w:rPr>
            </w:pPr>
            <w:r w:rsidRPr="00786D0E">
              <w:rPr>
                <w:rFonts w:ascii="Arial Narrow" w:hAnsi="Arial Narrow"/>
                <w:b/>
                <w:sz w:val="20"/>
              </w:rPr>
              <w:t>Publication citation</w:t>
            </w:r>
          </w:p>
        </w:tc>
      </w:tr>
      <w:tr w:rsidR="00AC59CA" w:rsidRPr="00786D0E" w:rsidTr="001F354C">
        <w:tc>
          <w:tcPr>
            <w:tcW w:w="5000" w:type="pct"/>
            <w:gridSpan w:val="3"/>
          </w:tcPr>
          <w:p w:rsidR="00AC59CA" w:rsidRPr="00786D0E" w:rsidRDefault="00891F78" w:rsidP="00891F78">
            <w:pPr>
              <w:keepNext/>
              <w:spacing w:before="40" w:after="40"/>
              <w:jc w:val="both"/>
              <w:rPr>
                <w:rFonts w:ascii="Arial Narrow" w:hAnsi="Arial Narrow"/>
                <w:b/>
                <w:sz w:val="20"/>
              </w:rPr>
            </w:pPr>
            <w:r w:rsidRPr="00786D0E">
              <w:rPr>
                <w:rFonts w:ascii="Arial Narrow" w:hAnsi="Arial Narrow"/>
                <w:b/>
                <w:sz w:val="20"/>
              </w:rPr>
              <w:t xml:space="preserve">Primary evidence for </w:t>
            </w:r>
            <w:proofErr w:type="spellStart"/>
            <w:r w:rsidRPr="00786D0E">
              <w:rPr>
                <w:rFonts w:ascii="Arial Narrow" w:hAnsi="Arial Narrow"/>
                <w:b/>
                <w:sz w:val="20"/>
              </w:rPr>
              <w:t>crizotinib</w:t>
            </w:r>
            <w:proofErr w:type="spellEnd"/>
          </w:p>
        </w:tc>
      </w:tr>
      <w:tr w:rsidR="00AC59CA" w:rsidRPr="00786D0E" w:rsidTr="001F354C">
        <w:tc>
          <w:tcPr>
            <w:tcW w:w="796" w:type="pct"/>
            <w:tcBorders>
              <w:bottom w:val="nil"/>
            </w:tcBorders>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A8081001</w:t>
            </w:r>
          </w:p>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(PROFILE 1001)</w:t>
            </w:r>
          </w:p>
        </w:tc>
        <w:tc>
          <w:tcPr>
            <w:tcW w:w="3122"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 xml:space="preserve">Pfizer Inc. Internal study report title. Phase 1 Safety, Pharmacokinetic and </w:t>
            </w:r>
            <w:proofErr w:type="spellStart"/>
            <w:r w:rsidRPr="00786D0E">
              <w:rPr>
                <w:rFonts w:ascii="Arial Narrow" w:hAnsi="Arial Narrow"/>
                <w:sz w:val="20"/>
              </w:rPr>
              <w:t>Pharmacodynamic</w:t>
            </w:r>
            <w:proofErr w:type="spellEnd"/>
            <w:r w:rsidRPr="00786D0E">
              <w:rPr>
                <w:rFonts w:ascii="Arial Narrow" w:hAnsi="Arial Narrow"/>
                <w:sz w:val="20"/>
              </w:rPr>
              <w:t xml:space="preserve"> Study of PF-02341066, a c-Met/HGFR Selective Tyrosine Kinase Inhibitor, Administered Orally to Patients with Advanced Cancer.</w:t>
            </w:r>
          </w:p>
        </w:tc>
        <w:tc>
          <w:tcPr>
            <w:tcW w:w="1082"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01 April 2016</w:t>
            </w:r>
          </w:p>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CSR</w:t>
            </w:r>
          </w:p>
        </w:tc>
      </w:tr>
      <w:tr w:rsidR="00AC59CA" w:rsidRPr="00786D0E" w:rsidTr="001F354C">
        <w:tc>
          <w:tcPr>
            <w:tcW w:w="796" w:type="pct"/>
            <w:tcBorders>
              <w:top w:val="nil"/>
              <w:bottom w:val="nil"/>
            </w:tcBorders>
          </w:tcPr>
          <w:p w:rsidR="00AC59CA" w:rsidRPr="00786D0E" w:rsidRDefault="00AC59CA" w:rsidP="001F354C">
            <w:pPr>
              <w:keepNext/>
              <w:spacing w:before="40" w:after="40"/>
              <w:jc w:val="both"/>
              <w:rPr>
                <w:rFonts w:ascii="Arial Narrow" w:hAnsi="Arial Narrow"/>
                <w:sz w:val="20"/>
              </w:rPr>
            </w:pPr>
          </w:p>
        </w:tc>
        <w:tc>
          <w:tcPr>
            <w:tcW w:w="3122"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 xml:space="preserve">Shaw A.T, et al. </w:t>
            </w:r>
            <w:proofErr w:type="spellStart"/>
            <w:r w:rsidRPr="00786D0E">
              <w:rPr>
                <w:rFonts w:ascii="Arial Narrow" w:hAnsi="Arial Narrow"/>
                <w:sz w:val="20"/>
              </w:rPr>
              <w:t>Crizotinib</w:t>
            </w:r>
            <w:proofErr w:type="spellEnd"/>
            <w:r w:rsidRPr="00786D0E">
              <w:rPr>
                <w:rFonts w:ascii="Arial Narrow" w:hAnsi="Arial Narrow"/>
                <w:sz w:val="20"/>
              </w:rPr>
              <w:t xml:space="preserve"> in </w:t>
            </w:r>
            <w:r w:rsidR="00420D95" w:rsidRPr="00786D0E">
              <w:rPr>
                <w:rFonts w:ascii="Arial Narrow" w:hAnsi="Arial Narrow"/>
                <w:i/>
                <w:sz w:val="20"/>
              </w:rPr>
              <w:t>ROS1</w:t>
            </w:r>
            <w:r w:rsidRPr="00786D0E">
              <w:rPr>
                <w:rFonts w:ascii="Arial Narrow" w:hAnsi="Arial Narrow"/>
                <w:sz w:val="20"/>
              </w:rPr>
              <w:t>-rearranged Non-Small-Cell Lung Cancer.</w:t>
            </w:r>
          </w:p>
        </w:tc>
        <w:tc>
          <w:tcPr>
            <w:tcW w:w="1082"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 xml:space="preserve">N </w:t>
            </w:r>
            <w:proofErr w:type="spellStart"/>
            <w:r w:rsidRPr="00786D0E">
              <w:rPr>
                <w:rFonts w:ascii="Arial Narrow" w:hAnsi="Arial Narrow"/>
                <w:sz w:val="20"/>
              </w:rPr>
              <w:t>Engl</w:t>
            </w:r>
            <w:proofErr w:type="spellEnd"/>
            <w:r w:rsidRPr="00786D0E">
              <w:rPr>
                <w:rFonts w:ascii="Arial Narrow" w:hAnsi="Arial Narrow"/>
                <w:sz w:val="20"/>
              </w:rPr>
              <w:t xml:space="preserve"> J Med (2014); 371(21): 1963-1971.</w:t>
            </w:r>
          </w:p>
        </w:tc>
      </w:tr>
      <w:tr w:rsidR="00AC59CA" w:rsidRPr="00786D0E" w:rsidTr="001F354C">
        <w:tc>
          <w:tcPr>
            <w:tcW w:w="796" w:type="pct"/>
            <w:tcBorders>
              <w:top w:val="nil"/>
              <w:bottom w:val="single" w:sz="4" w:space="0" w:color="auto"/>
            </w:tcBorders>
          </w:tcPr>
          <w:p w:rsidR="00AC59CA" w:rsidRPr="00786D0E" w:rsidRDefault="00AC59CA" w:rsidP="001F354C">
            <w:pPr>
              <w:keepNext/>
              <w:spacing w:before="40" w:after="40"/>
              <w:jc w:val="both"/>
              <w:rPr>
                <w:rFonts w:ascii="Arial Narrow" w:hAnsi="Arial Narrow"/>
                <w:sz w:val="20"/>
              </w:rPr>
            </w:pPr>
          </w:p>
        </w:tc>
        <w:tc>
          <w:tcPr>
            <w:tcW w:w="3122"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 xml:space="preserve">Shaw A.T, et al. </w:t>
            </w:r>
            <w:proofErr w:type="spellStart"/>
            <w:r w:rsidRPr="00786D0E">
              <w:rPr>
                <w:rFonts w:ascii="Arial Narrow" w:hAnsi="Arial Narrow"/>
                <w:sz w:val="20"/>
              </w:rPr>
              <w:t>Crizotinib</w:t>
            </w:r>
            <w:proofErr w:type="spellEnd"/>
            <w:r w:rsidRPr="00786D0E">
              <w:rPr>
                <w:rFonts w:ascii="Arial Narrow" w:hAnsi="Arial Narrow"/>
                <w:sz w:val="20"/>
              </w:rPr>
              <w:t xml:space="preserve"> in advanced </w:t>
            </w:r>
            <w:r w:rsidR="00420D95" w:rsidRPr="00786D0E">
              <w:rPr>
                <w:rFonts w:ascii="Arial Narrow" w:hAnsi="Arial Narrow"/>
                <w:i/>
                <w:sz w:val="20"/>
              </w:rPr>
              <w:t>ROS1</w:t>
            </w:r>
            <w:r w:rsidRPr="00786D0E">
              <w:rPr>
                <w:rFonts w:ascii="Arial Narrow" w:hAnsi="Arial Narrow"/>
                <w:sz w:val="20"/>
              </w:rPr>
              <w:t>-rearranged non-small cell lung cancer (NSCLC): updated results from PROFILE 1001</w:t>
            </w:r>
          </w:p>
        </w:tc>
        <w:tc>
          <w:tcPr>
            <w:tcW w:w="1082"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 xml:space="preserve">Ann </w:t>
            </w:r>
            <w:proofErr w:type="spellStart"/>
            <w:r w:rsidRPr="00786D0E">
              <w:rPr>
                <w:rFonts w:ascii="Arial Narrow" w:hAnsi="Arial Narrow"/>
                <w:sz w:val="20"/>
              </w:rPr>
              <w:t>Oncol</w:t>
            </w:r>
            <w:proofErr w:type="spellEnd"/>
            <w:r w:rsidRPr="00786D0E">
              <w:rPr>
                <w:rFonts w:ascii="Arial Narrow" w:hAnsi="Arial Narrow"/>
                <w:sz w:val="20"/>
              </w:rPr>
              <w:t xml:space="preserve"> (2016) 27 (suppl_6): 1206PD.</w:t>
            </w:r>
          </w:p>
        </w:tc>
      </w:tr>
      <w:tr w:rsidR="00AC59CA" w:rsidRPr="00786D0E" w:rsidTr="001F354C">
        <w:tc>
          <w:tcPr>
            <w:tcW w:w="796" w:type="pct"/>
            <w:tcBorders>
              <w:bottom w:val="nil"/>
            </w:tcBorders>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OO12-01</w:t>
            </w:r>
          </w:p>
        </w:tc>
        <w:tc>
          <w:tcPr>
            <w:tcW w:w="3122" w:type="pct"/>
          </w:tcPr>
          <w:p w:rsidR="00AC59CA" w:rsidRPr="00786D0E" w:rsidRDefault="00AC59CA" w:rsidP="001F354C">
            <w:pPr>
              <w:keepNext/>
              <w:spacing w:before="40" w:after="40"/>
              <w:jc w:val="both"/>
              <w:rPr>
                <w:rFonts w:ascii="Arial Narrow" w:hAnsi="Arial Narrow"/>
                <w:sz w:val="20"/>
              </w:rPr>
            </w:pPr>
            <w:proofErr w:type="spellStart"/>
            <w:r w:rsidRPr="00786D0E">
              <w:rPr>
                <w:rFonts w:ascii="Arial Narrow" w:hAnsi="Arial Narrow"/>
                <w:sz w:val="20"/>
              </w:rPr>
              <w:t>OxOnc</w:t>
            </w:r>
            <w:proofErr w:type="spellEnd"/>
            <w:r w:rsidRPr="00786D0E">
              <w:rPr>
                <w:rFonts w:ascii="Arial Narrow" w:hAnsi="Arial Narrow"/>
                <w:sz w:val="20"/>
              </w:rPr>
              <w:t xml:space="preserve"> Development, LP and Pfizer, Inc. Phase 2, open-label, single-arm study of the efficacy and safety of </w:t>
            </w:r>
            <w:proofErr w:type="spellStart"/>
            <w:r w:rsidRPr="00786D0E">
              <w:rPr>
                <w:rFonts w:ascii="Arial Narrow" w:hAnsi="Arial Narrow"/>
                <w:sz w:val="20"/>
              </w:rPr>
              <w:t>crizotinib</w:t>
            </w:r>
            <w:proofErr w:type="spellEnd"/>
            <w:r w:rsidRPr="00786D0E">
              <w:rPr>
                <w:rFonts w:ascii="Arial Narrow" w:hAnsi="Arial Narrow"/>
                <w:sz w:val="20"/>
              </w:rPr>
              <w:t xml:space="preserve"> in East Asian patients with advanced </w:t>
            </w:r>
            <w:r w:rsidR="00420D95" w:rsidRPr="00786D0E">
              <w:rPr>
                <w:rFonts w:ascii="Arial Narrow" w:hAnsi="Arial Narrow"/>
                <w:i/>
                <w:sz w:val="20"/>
              </w:rPr>
              <w:t>ALK</w:t>
            </w:r>
            <w:r w:rsidRPr="00786D0E">
              <w:rPr>
                <w:rFonts w:ascii="Arial Narrow" w:hAnsi="Arial Narrow"/>
                <w:sz w:val="20"/>
              </w:rPr>
              <w:t xml:space="preserve">-negative non-small cell lung cancer (NSCLC) harbouring a translocation or inversion involving the </w:t>
            </w:r>
            <w:r w:rsidRPr="00786D0E">
              <w:rPr>
                <w:rFonts w:ascii="Arial Narrow" w:hAnsi="Arial Narrow"/>
                <w:i/>
                <w:sz w:val="20"/>
              </w:rPr>
              <w:t>c-</w:t>
            </w:r>
            <w:proofErr w:type="spellStart"/>
            <w:r w:rsidRPr="00786D0E">
              <w:rPr>
                <w:rFonts w:ascii="Arial Narrow" w:hAnsi="Arial Narrow"/>
                <w:i/>
                <w:sz w:val="20"/>
              </w:rPr>
              <w:t>ros</w:t>
            </w:r>
            <w:proofErr w:type="spellEnd"/>
            <w:r w:rsidRPr="00786D0E">
              <w:rPr>
                <w:rFonts w:ascii="Arial Narrow" w:hAnsi="Arial Narrow"/>
                <w:sz w:val="20"/>
              </w:rPr>
              <w:t xml:space="preserve"> oncogene (</w:t>
            </w:r>
            <w:r w:rsidR="00420D95" w:rsidRPr="00786D0E">
              <w:rPr>
                <w:rFonts w:ascii="Arial Narrow" w:hAnsi="Arial Narrow"/>
                <w:i/>
                <w:sz w:val="20"/>
              </w:rPr>
              <w:t>ROS1</w:t>
            </w:r>
            <w:r w:rsidRPr="00786D0E">
              <w:rPr>
                <w:rFonts w:ascii="Arial Narrow" w:hAnsi="Arial Narrow"/>
                <w:sz w:val="20"/>
              </w:rPr>
              <w:t>) locus</w:t>
            </w:r>
          </w:p>
        </w:tc>
        <w:tc>
          <w:tcPr>
            <w:tcW w:w="1082"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26 January 2017</w:t>
            </w:r>
          </w:p>
        </w:tc>
      </w:tr>
      <w:tr w:rsidR="00AC59CA" w:rsidRPr="00786D0E" w:rsidTr="001F354C">
        <w:tc>
          <w:tcPr>
            <w:tcW w:w="796" w:type="pct"/>
            <w:tcBorders>
              <w:top w:val="nil"/>
            </w:tcBorders>
          </w:tcPr>
          <w:p w:rsidR="00AC59CA" w:rsidRPr="00786D0E" w:rsidRDefault="00AC59CA" w:rsidP="001F354C">
            <w:pPr>
              <w:keepNext/>
              <w:spacing w:before="40" w:after="40"/>
              <w:jc w:val="both"/>
              <w:rPr>
                <w:rFonts w:ascii="Arial Narrow" w:hAnsi="Arial Narrow"/>
                <w:sz w:val="20"/>
              </w:rPr>
            </w:pPr>
          </w:p>
        </w:tc>
        <w:tc>
          <w:tcPr>
            <w:tcW w:w="3122" w:type="pct"/>
          </w:tcPr>
          <w:p w:rsidR="00AC59CA" w:rsidRPr="00786D0E" w:rsidRDefault="00AC59CA" w:rsidP="001F354C">
            <w:pPr>
              <w:keepNext/>
              <w:spacing w:before="40" w:after="40"/>
              <w:jc w:val="both"/>
              <w:rPr>
                <w:rFonts w:ascii="Arial Narrow" w:hAnsi="Arial Narrow"/>
                <w:sz w:val="20"/>
              </w:rPr>
            </w:pPr>
            <w:proofErr w:type="spellStart"/>
            <w:r w:rsidRPr="00786D0E">
              <w:rPr>
                <w:rFonts w:ascii="Arial Narrow" w:hAnsi="Arial Narrow"/>
                <w:sz w:val="20"/>
              </w:rPr>
              <w:t>Goto</w:t>
            </w:r>
            <w:proofErr w:type="spellEnd"/>
            <w:r w:rsidRPr="00786D0E">
              <w:rPr>
                <w:rFonts w:ascii="Arial Narrow" w:hAnsi="Arial Narrow"/>
                <w:sz w:val="20"/>
              </w:rPr>
              <w:t xml:space="preserve">, K., et al. Phase II study of </w:t>
            </w:r>
            <w:proofErr w:type="spellStart"/>
            <w:r w:rsidRPr="00786D0E">
              <w:rPr>
                <w:rFonts w:ascii="Arial Narrow" w:hAnsi="Arial Narrow"/>
                <w:sz w:val="20"/>
              </w:rPr>
              <w:t>crizotinib</w:t>
            </w:r>
            <w:proofErr w:type="spellEnd"/>
            <w:r w:rsidRPr="00786D0E">
              <w:rPr>
                <w:rFonts w:ascii="Arial Narrow" w:hAnsi="Arial Narrow"/>
                <w:sz w:val="20"/>
              </w:rPr>
              <w:t xml:space="preserve"> in east Asian patients (pts) with </w:t>
            </w:r>
            <w:r w:rsidR="00420D95" w:rsidRPr="00786D0E">
              <w:rPr>
                <w:rFonts w:ascii="Arial Narrow" w:hAnsi="Arial Narrow"/>
                <w:i/>
                <w:sz w:val="20"/>
              </w:rPr>
              <w:t>ROS1</w:t>
            </w:r>
            <w:r w:rsidRPr="00786D0E">
              <w:rPr>
                <w:rFonts w:ascii="Arial Narrow" w:hAnsi="Arial Narrow"/>
                <w:sz w:val="20"/>
              </w:rPr>
              <w:t>-positive advanced non-small cell lung cancer (NSCLC).</w:t>
            </w:r>
          </w:p>
        </w:tc>
        <w:tc>
          <w:tcPr>
            <w:tcW w:w="1082"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 xml:space="preserve">J </w:t>
            </w:r>
            <w:proofErr w:type="spellStart"/>
            <w:r w:rsidRPr="00786D0E">
              <w:rPr>
                <w:rFonts w:ascii="Arial Narrow" w:hAnsi="Arial Narrow"/>
                <w:sz w:val="20"/>
              </w:rPr>
              <w:t>Clin</w:t>
            </w:r>
            <w:proofErr w:type="spellEnd"/>
            <w:r w:rsidRPr="00786D0E">
              <w:rPr>
                <w:rFonts w:ascii="Arial Narrow" w:hAnsi="Arial Narrow"/>
                <w:sz w:val="20"/>
              </w:rPr>
              <w:t xml:space="preserve"> </w:t>
            </w:r>
            <w:proofErr w:type="spellStart"/>
            <w:r w:rsidRPr="00786D0E">
              <w:rPr>
                <w:rFonts w:ascii="Arial Narrow" w:hAnsi="Arial Narrow"/>
                <w:sz w:val="20"/>
              </w:rPr>
              <w:t>Oncol</w:t>
            </w:r>
            <w:proofErr w:type="spellEnd"/>
            <w:r w:rsidRPr="00786D0E">
              <w:rPr>
                <w:rFonts w:ascii="Arial Narrow" w:hAnsi="Arial Narrow"/>
                <w:sz w:val="20"/>
              </w:rPr>
              <w:t xml:space="preserve"> (2016); 34: </w:t>
            </w:r>
            <w:proofErr w:type="spellStart"/>
            <w:r w:rsidRPr="00786D0E">
              <w:rPr>
                <w:rFonts w:ascii="Arial Narrow" w:hAnsi="Arial Narrow"/>
                <w:sz w:val="20"/>
              </w:rPr>
              <w:t>suppl</w:t>
            </w:r>
            <w:proofErr w:type="spellEnd"/>
            <w:r w:rsidRPr="00786D0E">
              <w:rPr>
                <w:rFonts w:ascii="Arial Narrow" w:hAnsi="Arial Narrow"/>
                <w:sz w:val="20"/>
              </w:rPr>
              <w:t xml:space="preserve">; </w:t>
            </w:r>
            <w:proofErr w:type="spellStart"/>
            <w:r w:rsidRPr="00786D0E">
              <w:rPr>
                <w:rFonts w:ascii="Arial Narrow" w:hAnsi="Arial Narrow"/>
                <w:sz w:val="20"/>
              </w:rPr>
              <w:t>abstr</w:t>
            </w:r>
            <w:proofErr w:type="spellEnd"/>
            <w:r w:rsidRPr="00786D0E">
              <w:rPr>
                <w:rFonts w:ascii="Arial Narrow" w:hAnsi="Arial Narrow"/>
                <w:sz w:val="20"/>
              </w:rPr>
              <w:t xml:space="preserve"> 9022</w:t>
            </w:r>
          </w:p>
        </w:tc>
      </w:tr>
      <w:tr w:rsidR="00AC59CA" w:rsidRPr="00786D0E" w:rsidTr="001F354C">
        <w:tc>
          <w:tcPr>
            <w:tcW w:w="5000" w:type="pct"/>
            <w:gridSpan w:val="3"/>
          </w:tcPr>
          <w:p w:rsidR="00AC59CA" w:rsidRPr="00786D0E" w:rsidRDefault="00AC59CA" w:rsidP="001F354C">
            <w:pPr>
              <w:keepNext/>
              <w:spacing w:before="40" w:after="40"/>
              <w:jc w:val="both"/>
              <w:rPr>
                <w:rFonts w:ascii="Arial Narrow" w:hAnsi="Arial Narrow"/>
                <w:b/>
                <w:sz w:val="20"/>
              </w:rPr>
            </w:pPr>
            <w:r w:rsidRPr="00786D0E">
              <w:rPr>
                <w:rFonts w:ascii="Arial Narrow" w:hAnsi="Arial Narrow"/>
                <w:b/>
                <w:sz w:val="20"/>
              </w:rPr>
              <w:t>Sup</w:t>
            </w:r>
            <w:r w:rsidR="00891F78" w:rsidRPr="00786D0E">
              <w:rPr>
                <w:rFonts w:ascii="Arial Narrow" w:hAnsi="Arial Narrow"/>
                <w:b/>
                <w:sz w:val="20"/>
              </w:rPr>
              <w:t xml:space="preserve">portive evidence for </w:t>
            </w:r>
            <w:proofErr w:type="spellStart"/>
            <w:r w:rsidR="00891F78" w:rsidRPr="00786D0E">
              <w:rPr>
                <w:rFonts w:ascii="Arial Narrow" w:hAnsi="Arial Narrow"/>
                <w:b/>
                <w:sz w:val="20"/>
              </w:rPr>
              <w:t>crizotinib</w:t>
            </w:r>
            <w:proofErr w:type="spellEnd"/>
          </w:p>
        </w:tc>
      </w:tr>
      <w:tr w:rsidR="00AC59CA" w:rsidRPr="00786D0E" w:rsidTr="001F354C">
        <w:tc>
          <w:tcPr>
            <w:tcW w:w="796" w:type="pct"/>
          </w:tcPr>
          <w:p w:rsidR="00AC59CA" w:rsidRPr="00786D0E" w:rsidRDefault="00AC59CA" w:rsidP="001F354C">
            <w:pPr>
              <w:keepNext/>
              <w:spacing w:before="40" w:after="40"/>
              <w:jc w:val="both"/>
              <w:rPr>
                <w:rFonts w:ascii="Arial Narrow" w:hAnsi="Arial Narrow"/>
                <w:sz w:val="20"/>
              </w:rPr>
            </w:pPr>
            <w:proofErr w:type="spellStart"/>
            <w:r w:rsidRPr="00786D0E">
              <w:rPr>
                <w:rFonts w:ascii="Arial Narrow" w:hAnsi="Arial Narrow"/>
                <w:sz w:val="20"/>
              </w:rPr>
              <w:t>Maziéres</w:t>
            </w:r>
            <w:proofErr w:type="spellEnd"/>
            <w:r w:rsidRPr="00786D0E">
              <w:rPr>
                <w:rFonts w:ascii="Arial Narrow" w:hAnsi="Arial Narrow"/>
                <w:sz w:val="20"/>
              </w:rPr>
              <w:t xml:space="preserve"> 2015</w:t>
            </w:r>
          </w:p>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(EUROS1)</w:t>
            </w:r>
          </w:p>
        </w:tc>
        <w:tc>
          <w:tcPr>
            <w:tcW w:w="3122" w:type="pct"/>
          </w:tcPr>
          <w:p w:rsidR="00AC59CA" w:rsidRPr="00786D0E" w:rsidRDefault="00AC59CA" w:rsidP="001F354C">
            <w:pPr>
              <w:keepNext/>
              <w:spacing w:before="40" w:after="40"/>
              <w:jc w:val="both"/>
              <w:rPr>
                <w:rFonts w:ascii="Arial Narrow" w:hAnsi="Arial Narrow"/>
                <w:sz w:val="20"/>
              </w:rPr>
            </w:pPr>
            <w:proofErr w:type="spellStart"/>
            <w:r w:rsidRPr="00786D0E">
              <w:rPr>
                <w:rFonts w:ascii="Arial Narrow" w:hAnsi="Arial Narrow"/>
                <w:sz w:val="20"/>
              </w:rPr>
              <w:t>Maziéres</w:t>
            </w:r>
            <w:proofErr w:type="spellEnd"/>
            <w:r w:rsidRPr="00786D0E">
              <w:rPr>
                <w:rFonts w:ascii="Arial Narrow" w:hAnsi="Arial Narrow"/>
                <w:sz w:val="20"/>
              </w:rPr>
              <w:t xml:space="preserve">, J., et al. </w:t>
            </w:r>
            <w:proofErr w:type="spellStart"/>
            <w:r w:rsidRPr="00786D0E">
              <w:rPr>
                <w:rFonts w:ascii="Arial Narrow" w:hAnsi="Arial Narrow"/>
                <w:sz w:val="20"/>
              </w:rPr>
              <w:t>Crizotinib</w:t>
            </w:r>
            <w:proofErr w:type="spellEnd"/>
            <w:r w:rsidRPr="00786D0E">
              <w:rPr>
                <w:rFonts w:ascii="Arial Narrow" w:hAnsi="Arial Narrow"/>
                <w:sz w:val="20"/>
              </w:rPr>
              <w:t xml:space="preserve"> Therapy for Advanced Lung Adenocarcinoma and a </w:t>
            </w:r>
            <w:r w:rsidR="00420D95" w:rsidRPr="00786D0E">
              <w:rPr>
                <w:rFonts w:ascii="Arial Narrow" w:hAnsi="Arial Narrow"/>
                <w:i/>
                <w:sz w:val="20"/>
              </w:rPr>
              <w:t>ROS1</w:t>
            </w:r>
            <w:r w:rsidRPr="00786D0E">
              <w:rPr>
                <w:rFonts w:ascii="Arial Narrow" w:hAnsi="Arial Narrow"/>
                <w:sz w:val="20"/>
              </w:rPr>
              <w:t xml:space="preserve"> Rearrangement: Results from the EUROS1 Cohort.</w:t>
            </w:r>
          </w:p>
        </w:tc>
        <w:tc>
          <w:tcPr>
            <w:tcW w:w="1082"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 xml:space="preserve">J </w:t>
            </w:r>
            <w:proofErr w:type="spellStart"/>
            <w:r w:rsidRPr="00786D0E">
              <w:rPr>
                <w:rFonts w:ascii="Arial Narrow" w:hAnsi="Arial Narrow"/>
                <w:sz w:val="20"/>
              </w:rPr>
              <w:t>Clin</w:t>
            </w:r>
            <w:proofErr w:type="spellEnd"/>
            <w:r w:rsidRPr="00786D0E">
              <w:rPr>
                <w:rFonts w:ascii="Arial Narrow" w:hAnsi="Arial Narrow"/>
                <w:sz w:val="20"/>
              </w:rPr>
              <w:t xml:space="preserve"> </w:t>
            </w:r>
            <w:proofErr w:type="spellStart"/>
            <w:r w:rsidRPr="00786D0E">
              <w:rPr>
                <w:rFonts w:ascii="Arial Narrow" w:hAnsi="Arial Narrow"/>
                <w:sz w:val="20"/>
              </w:rPr>
              <w:t>Oncol</w:t>
            </w:r>
            <w:proofErr w:type="spellEnd"/>
            <w:r w:rsidRPr="00786D0E">
              <w:rPr>
                <w:rFonts w:ascii="Arial Narrow" w:hAnsi="Arial Narrow"/>
                <w:sz w:val="20"/>
              </w:rPr>
              <w:t xml:space="preserve"> (2015); 33 (9): 992 – 999.</w:t>
            </w:r>
          </w:p>
        </w:tc>
      </w:tr>
      <w:tr w:rsidR="00AC59CA" w:rsidRPr="00786D0E" w:rsidTr="001F354C">
        <w:tc>
          <w:tcPr>
            <w:tcW w:w="796"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Moro-</w:t>
            </w:r>
            <w:proofErr w:type="spellStart"/>
            <w:r w:rsidRPr="00786D0E">
              <w:rPr>
                <w:rFonts w:ascii="Arial Narrow" w:hAnsi="Arial Narrow"/>
                <w:sz w:val="20"/>
              </w:rPr>
              <w:t>Sibilot</w:t>
            </w:r>
            <w:proofErr w:type="spellEnd"/>
            <w:r w:rsidRPr="00786D0E">
              <w:rPr>
                <w:rFonts w:ascii="Arial Narrow" w:hAnsi="Arial Narrow"/>
                <w:sz w:val="20"/>
              </w:rPr>
              <w:t xml:space="preserve"> 2015</w:t>
            </w:r>
          </w:p>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w:t>
            </w:r>
            <w:proofErr w:type="spellStart"/>
            <w:r w:rsidRPr="00786D0E">
              <w:rPr>
                <w:rFonts w:ascii="Arial Narrow" w:hAnsi="Arial Narrow"/>
                <w:sz w:val="20"/>
              </w:rPr>
              <w:t>ACS</w:t>
            </w:r>
            <w:r w:rsidRPr="00786D0E">
              <w:rPr>
                <w:rFonts w:ascii="Arial Narrow" w:hAnsi="Arial Narrow" w:cs="Arial"/>
                <w:sz w:val="20"/>
              </w:rPr>
              <w:t>é</w:t>
            </w:r>
            <w:proofErr w:type="spellEnd"/>
            <w:r w:rsidRPr="00786D0E">
              <w:rPr>
                <w:rFonts w:ascii="Arial Narrow" w:hAnsi="Arial Narrow"/>
                <w:sz w:val="20"/>
              </w:rPr>
              <w:t>)</w:t>
            </w:r>
          </w:p>
        </w:tc>
        <w:tc>
          <w:tcPr>
            <w:tcW w:w="3122"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Moro-</w:t>
            </w:r>
            <w:proofErr w:type="spellStart"/>
            <w:r w:rsidRPr="00786D0E">
              <w:rPr>
                <w:rFonts w:ascii="Arial Narrow" w:hAnsi="Arial Narrow"/>
                <w:sz w:val="20"/>
              </w:rPr>
              <w:t>Sibilot</w:t>
            </w:r>
            <w:proofErr w:type="spellEnd"/>
            <w:r w:rsidRPr="00786D0E">
              <w:rPr>
                <w:rFonts w:ascii="Arial Narrow" w:hAnsi="Arial Narrow"/>
                <w:sz w:val="20"/>
              </w:rPr>
              <w:t xml:space="preserve">, D., et al. </w:t>
            </w:r>
            <w:proofErr w:type="spellStart"/>
            <w:r w:rsidRPr="00786D0E">
              <w:rPr>
                <w:rFonts w:ascii="Arial Narrow" w:hAnsi="Arial Narrow"/>
                <w:sz w:val="20"/>
              </w:rPr>
              <w:t>Crizotinib</w:t>
            </w:r>
            <w:proofErr w:type="spellEnd"/>
            <w:r w:rsidRPr="00786D0E">
              <w:rPr>
                <w:rFonts w:ascii="Arial Narrow" w:hAnsi="Arial Narrow"/>
                <w:sz w:val="20"/>
              </w:rPr>
              <w:t xml:space="preserve"> in patients with advanced </w:t>
            </w:r>
            <w:r w:rsidR="00420D95" w:rsidRPr="00786D0E">
              <w:rPr>
                <w:rFonts w:ascii="Arial Narrow" w:hAnsi="Arial Narrow"/>
                <w:i/>
                <w:sz w:val="20"/>
              </w:rPr>
              <w:t>ROS1</w:t>
            </w:r>
            <w:r w:rsidRPr="00786D0E">
              <w:rPr>
                <w:rFonts w:ascii="Arial Narrow" w:hAnsi="Arial Narrow"/>
                <w:sz w:val="20"/>
              </w:rPr>
              <w:t xml:space="preserve">-rearranged non-small cell lung cancer (NSCLC). Preliminary results of the </w:t>
            </w:r>
            <w:proofErr w:type="spellStart"/>
            <w:r w:rsidRPr="00786D0E">
              <w:rPr>
                <w:rFonts w:ascii="Arial Narrow" w:hAnsi="Arial Narrow"/>
                <w:sz w:val="20"/>
              </w:rPr>
              <w:t>ACSé</w:t>
            </w:r>
            <w:proofErr w:type="spellEnd"/>
            <w:r w:rsidRPr="00786D0E">
              <w:rPr>
                <w:rFonts w:ascii="Arial Narrow" w:hAnsi="Arial Narrow"/>
                <w:sz w:val="20"/>
              </w:rPr>
              <w:t xml:space="preserve"> phase II trial.</w:t>
            </w:r>
          </w:p>
        </w:tc>
        <w:tc>
          <w:tcPr>
            <w:tcW w:w="1082"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 xml:space="preserve">J </w:t>
            </w:r>
            <w:proofErr w:type="spellStart"/>
            <w:r w:rsidRPr="00786D0E">
              <w:rPr>
                <w:rFonts w:ascii="Arial Narrow" w:hAnsi="Arial Narrow"/>
                <w:sz w:val="20"/>
              </w:rPr>
              <w:t>Clin</w:t>
            </w:r>
            <w:proofErr w:type="spellEnd"/>
            <w:r w:rsidRPr="00786D0E">
              <w:rPr>
                <w:rFonts w:ascii="Arial Narrow" w:hAnsi="Arial Narrow"/>
                <w:sz w:val="20"/>
              </w:rPr>
              <w:t xml:space="preserve"> </w:t>
            </w:r>
            <w:proofErr w:type="spellStart"/>
            <w:r w:rsidRPr="00786D0E">
              <w:rPr>
                <w:rFonts w:ascii="Arial Narrow" w:hAnsi="Arial Narrow"/>
                <w:sz w:val="20"/>
              </w:rPr>
              <w:t>Oncol</w:t>
            </w:r>
            <w:proofErr w:type="spellEnd"/>
            <w:r w:rsidRPr="00786D0E">
              <w:rPr>
                <w:rFonts w:ascii="Arial Narrow" w:hAnsi="Arial Narrow"/>
                <w:sz w:val="20"/>
              </w:rPr>
              <w:t xml:space="preserve"> (2015); 33 (15)_</w:t>
            </w:r>
            <w:proofErr w:type="spellStart"/>
            <w:r w:rsidRPr="00786D0E">
              <w:rPr>
                <w:rFonts w:ascii="Arial Narrow" w:hAnsi="Arial Narrow"/>
                <w:sz w:val="20"/>
              </w:rPr>
              <w:t>suppl</w:t>
            </w:r>
            <w:proofErr w:type="spellEnd"/>
            <w:r w:rsidRPr="00786D0E">
              <w:rPr>
                <w:rFonts w:ascii="Arial Narrow" w:hAnsi="Arial Narrow"/>
                <w:sz w:val="20"/>
              </w:rPr>
              <w:t xml:space="preserve"> (May 2015)</w:t>
            </w:r>
          </w:p>
        </w:tc>
      </w:tr>
      <w:tr w:rsidR="00AC59CA" w:rsidRPr="00786D0E" w:rsidTr="001F354C">
        <w:tc>
          <w:tcPr>
            <w:tcW w:w="796" w:type="pct"/>
          </w:tcPr>
          <w:p w:rsidR="00AC59CA" w:rsidRPr="00786D0E" w:rsidRDefault="00AC59CA" w:rsidP="001F354C">
            <w:pPr>
              <w:keepNext/>
              <w:spacing w:before="40" w:after="40"/>
              <w:jc w:val="both"/>
              <w:rPr>
                <w:rFonts w:ascii="Arial Narrow" w:hAnsi="Arial Narrow"/>
                <w:sz w:val="20"/>
              </w:rPr>
            </w:pPr>
            <w:proofErr w:type="spellStart"/>
            <w:r w:rsidRPr="00786D0E">
              <w:rPr>
                <w:rFonts w:ascii="Arial Narrow" w:hAnsi="Arial Narrow"/>
                <w:sz w:val="20"/>
              </w:rPr>
              <w:t>Michels</w:t>
            </w:r>
            <w:proofErr w:type="spellEnd"/>
            <w:r w:rsidRPr="00786D0E">
              <w:rPr>
                <w:rFonts w:ascii="Arial Narrow" w:hAnsi="Arial Narrow"/>
                <w:sz w:val="20"/>
              </w:rPr>
              <w:t xml:space="preserve"> 2016</w:t>
            </w:r>
          </w:p>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(EUCROSS)</w:t>
            </w:r>
          </w:p>
        </w:tc>
        <w:tc>
          <w:tcPr>
            <w:tcW w:w="3122" w:type="pct"/>
          </w:tcPr>
          <w:p w:rsidR="00AC59CA" w:rsidRPr="00786D0E" w:rsidRDefault="00AC59CA" w:rsidP="001F354C">
            <w:pPr>
              <w:keepNext/>
              <w:spacing w:before="40" w:after="40"/>
              <w:jc w:val="both"/>
              <w:rPr>
                <w:rFonts w:ascii="Arial Narrow" w:hAnsi="Arial Narrow"/>
                <w:sz w:val="20"/>
              </w:rPr>
            </w:pPr>
            <w:proofErr w:type="spellStart"/>
            <w:r w:rsidRPr="00786D0E">
              <w:rPr>
                <w:rFonts w:ascii="Arial Narrow" w:hAnsi="Arial Narrow"/>
                <w:sz w:val="20"/>
              </w:rPr>
              <w:t>Michels</w:t>
            </w:r>
            <w:proofErr w:type="spellEnd"/>
            <w:r w:rsidRPr="00786D0E">
              <w:rPr>
                <w:rFonts w:ascii="Arial Narrow" w:hAnsi="Arial Narrow"/>
                <w:sz w:val="20"/>
              </w:rPr>
              <w:t xml:space="preserve"> S., et al. A European phase II trial to evaluate efficacy and safety of </w:t>
            </w:r>
            <w:proofErr w:type="spellStart"/>
            <w:r w:rsidRPr="00786D0E">
              <w:rPr>
                <w:rFonts w:ascii="Arial Narrow" w:hAnsi="Arial Narrow"/>
                <w:sz w:val="20"/>
              </w:rPr>
              <w:t>crizotinib</w:t>
            </w:r>
            <w:proofErr w:type="spellEnd"/>
            <w:r w:rsidRPr="00786D0E">
              <w:rPr>
                <w:rFonts w:ascii="Arial Narrow" w:hAnsi="Arial Narrow"/>
                <w:sz w:val="20"/>
              </w:rPr>
              <w:t xml:space="preserve"> treatment in advanced adenocarcinoma of the lung harbouring </w:t>
            </w:r>
            <w:r w:rsidR="00420D95" w:rsidRPr="00786D0E">
              <w:rPr>
                <w:rFonts w:ascii="Arial Narrow" w:hAnsi="Arial Narrow"/>
                <w:i/>
                <w:sz w:val="20"/>
              </w:rPr>
              <w:t>ROS1</w:t>
            </w:r>
            <w:r w:rsidRPr="00786D0E">
              <w:rPr>
                <w:rFonts w:ascii="Arial Narrow" w:hAnsi="Arial Narrow"/>
                <w:sz w:val="20"/>
              </w:rPr>
              <w:t xml:space="preserve"> translocations-Preliminary results.</w:t>
            </w:r>
          </w:p>
        </w:tc>
        <w:tc>
          <w:tcPr>
            <w:tcW w:w="1082"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Oncology Research and Treatment (2016); 39: 209 -210.</w:t>
            </w:r>
          </w:p>
        </w:tc>
      </w:tr>
      <w:tr w:rsidR="00AC59CA" w:rsidRPr="00786D0E" w:rsidTr="001F354C">
        <w:tc>
          <w:tcPr>
            <w:tcW w:w="796"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Zhang 2016</w:t>
            </w:r>
          </w:p>
        </w:tc>
        <w:tc>
          <w:tcPr>
            <w:tcW w:w="3122"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 xml:space="preserve">Zhang, L., et al. Efficacy of </w:t>
            </w:r>
            <w:proofErr w:type="spellStart"/>
            <w:r w:rsidRPr="00786D0E">
              <w:rPr>
                <w:rFonts w:ascii="Arial Narrow" w:hAnsi="Arial Narrow"/>
                <w:sz w:val="20"/>
              </w:rPr>
              <w:t>crizotinib</w:t>
            </w:r>
            <w:proofErr w:type="spellEnd"/>
            <w:r w:rsidRPr="00786D0E">
              <w:rPr>
                <w:rFonts w:ascii="Arial Narrow" w:hAnsi="Arial Narrow"/>
                <w:sz w:val="20"/>
              </w:rPr>
              <w:t xml:space="preserve"> and </w:t>
            </w:r>
            <w:proofErr w:type="spellStart"/>
            <w:r w:rsidRPr="00786D0E">
              <w:rPr>
                <w:rFonts w:ascii="Arial Narrow" w:hAnsi="Arial Narrow"/>
                <w:sz w:val="20"/>
              </w:rPr>
              <w:t>pemetrexed</w:t>
            </w:r>
            <w:proofErr w:type="spellEnd"/>
            <w:r w:rsidRPr="00786D0E">
              <w:rPr>
                <w:rFonts w:ascii="Arial Narrow" w:hAnsi="Arial Narrow"/>
                <w:sz w:val="20"/>
              </w:rPr>
              <w:t xml:space="preserve">-based chemotherapy in Chinese NSCLC patients with </w:t>
            </w:r>
            <w:r w:rsidR="00420D95" w:rsidRPr="00786D0E">
              <w:rPr>
                <w:rFonts w:ascii="Arial Narrow" w:hAnsi="Arial Narrow"/>
                <w:i/>
                <w:sz w:val="20"/>
              </w:rPr>
              <w:t>ROS1</w:t>
            </w:r>
            <w:r w:rsidRPr="00786D0E">
              <w:rPr>
                <w:rFonts w:ascii="Arial Narrow" w:hAnsi="Arial Narrow"/>
                <w:sz w:val="20"/>
              </w:rPr>
              <w:t xml:space="preserve"> rearrangement.</w:t>
            </w:r>
          </w:p>
        </w:tc>
        <w:tc>
          <w:tcPr>
            <w:tcW w:w="1082" w:type="pct"/>
          </w:tcPr>
          <w:p w:rsidR="00AC59CA" w:rsidRPr="00786D0E" w:rsidRDefault="00AC59CA" w:rsidP="001F354C">
            <w:pPr>
              <w:keepNext/>
              <w:spacing w:before="40" w:after="40"/>
              <w:jc w:val="both"/>
              <w:rPr>
                <w:rFonts w:ascii="Arial Narrow" w:hAnsi="Arial Narrow"/>
                <w:sz w:val="20"/>
              </w:rPr>
            </w:pPr>
            <w:proofErr w:type="spellStart"/>
            <w:r w:rsidRPr="00786D0E">
              <w:rPr>
                <w:rFonts w:ascii="Arial Narrow" w:hAnsi="Arial Narrow"/>
                <w:sz w:val="20"/>
              </w:rPr>
              <w:t>Oncotarget</w:t>
            </w:r>
            <w:proofErr w:type="spellEnd"/>
            <w:r w:rsidRPr="00786D0E">
              <w:rPr>
                <w:rFonts w:ascii="Arial Narrow" w:hAnsi="Arial Narrow"/>
                <w:sz w:val="20"/>
              </w:rPr>
              <w:t xml:space="preserve"> (2016); 7(46):75145-75154.</w:t>
            </w:r>
          </w:p>
        </w:tc>
      </w:tr>
      <w:tr w:rsidR="00AC59CA" w:rsidRPr="00786D0E" w:rsidTr="001F354C">
        <w:tc>
          <w:tcPr>
            <w:tcW w:w="5000" w:type="pct"/>
            <w:gridSpan w:val="3"/>
          </w:tcPr>
          <w:p w:rsidR="00AC59CA" w:rsidRPr="00786D0E" w:rsidRDefault="00891F78" w:rsidP="00891F78">
            <w:pPr>
              <w:keepNext/>
              <w:spacing w:before="40" w:after="40"/>
              <w:jc w:val="both"/>
              <w:rPr>
                <w:rFonts w:ascii="Arial Narrow" w:hAnsi="Arial Narrow"/>
                <w:b/>
                <w:sz w:val="20"/>
              </w:rPr>
            </w:pPr>
            <w:r w:rsidRPr="00786D0E">
              <w:rPr>
                <w:rFonts w:ascii="Arial Narrow" w:hAnsi="Arial Narrow"/>
                <w:b/>
                <w:sz w:val="20"/>
              </w:rPr>
              <w:t>Evidence for c</w:t>
            </w:r>
            <w:r w:rsidR="00AC59CA" w:rsidRPr="00786D0E">
              <w:rPr>
                <w:rFonts w:ascii="Arial Narrow" w:hAnsi="Arial Narrow"/>
                <w:b/>
                <w:sz w:val="20"/>
              </w:rPr>
              <w:t>omparator treatments</w:t>
            </w:r>
          </w:p>
        </w:tc>
      </w:tr>
      <w:tr w:rsidR="00AC59CA" w:rsidRPr="00786D0E" w:rsidTr="001F354C">
        <w:tc>
          <w:tcPr>
            <w:tcW w:w="796"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Hanna et al. 2004</w:t>
            </w:r>
          </w:p>
        </w:tc>
        <w:tc>
          <w:tcPr>
            <w:tcW w:w="3122"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 xml:space="preserve">Hanna, N. et al. Randomised Phase III trial of </w:t>
            </w:r>
            <w:proofErr w:type="spellStart"/>
            <w:r w:rsidRPr="00786D0E">
              <w:rPr>
                <w:rFonts w:ascii="Arial Narrow" w:hAnsi="Arial Narrow"/>
                <w:sz w:val="20"/>
              </w:rPr>
              <w:t>pemetrexed</w:t>
            </w:r>
            <w:proofErr w:type="spellEnd"/>
            <w:r w:rsidRPr="00786D0E">
              <w:rPr>
                <w:rFonts w:ascii="Arial Narrow" w:hAnsi="Arial Narrow"/>
                <w:sz w:val="20"/>
              </w:rPr>
              <w:t xml:space="preserve"> versus docetaxel in patients with non-small-cell lung cancer previously treated with chemotherapy.</w:t>
            </w:r>
          </w:p>
        </w:tc>
        <w:tc>
          <w:tcPr>
            <w:tcW w:w="1082"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 xml:space="preserve">J of </w:t>
            </w:r>
            <w:proofErr w:type="spellStart"/>
            <w:r w:rsidRPr="00786D0E">
              <w:rPr>
                <w:rFonts w:ascii="Arial Narrow" w:hAnsi="Arial Narrow"/>
                <w:sz w:val="20"/>
              </w:rPr>
              <w:t>Clin</w:t>
            </w:r>
            <w:proofErr w:type="spellEnd"/>
            <w:r w:rsidRPr="00786D0E">
              <w:rPr>
                <w:rFonts w:ascii="Arial Narrow" w:hAnsi="Arial Narrow"/>
                <w:sz w:val="20"/>
              </w:rPr>
              <w:t xml:space="preserve"> </w:t>
            </w:r>
            <w:proofErr w:type="spellStart"/>
            <w:r w:rsidRPr="00786D0E">
              <w:rPr>
                <w:rFonts w:ascii="Arial Narrow" w:hAnsi="Arial Narrow"/>
                <w:sz w:val="20"/>
              </w:rPr>
              <w:t>Oncol</w:t>
            </w:r>
            <w:proofErr w:type="spellEnd"/>
            <w:r w:rsidRPr="00786D0E">
              <w:rPr>
                <w:rFonts w:ascii="Arial Narrow" w:hAnsi="Arial Narrow"/>
                <w:sz w:val="20"/>
              </w:rPr>
              <w:t xml:space="preserve"> (2004); 22(9): 1589-1597.</w:t>
            </w:r>
          </w:p>
        </w:tc>
      </w:tr>
      <w:tr w:rsidR="00AC59CA" w:rsidRPr="00786D0E" w:rsidTr="001F354C">
        <w:tc>
          <w:tcPr>
            <w:tcW w:w="796" w:type="pct"/>
          </w:tcPr>
          <w:p w:rsidR="00AC59CA" w:rsidRPr="00786D0E" w:rsidRDefault="00AC59CA" w:rsidP="001F354C">
            <w:pPr>
              <w:keepNext/>
              <w:spacing w:before="40" w:after="40"/>
              <w:jc w:val="both"/>
              <w:rPr>
                <w:rFonts w:ascii="Arial Narrow" w:hAnsi="Arial Narrow"/>
                <w:sz w:val="20"/>
              </w:rPr>
            </w:pPr>
            <w:proofErr w:type="spellStart"/>
            <w:r w:rsidRPr="00786D0E">
              <w:rPr>
                <w:rFonts w:ascii="Arial Narrow" w:hAnsi="Arial Narrow"/>
                <w:sz w:val="20"/>
              </w:rPr>
              <w:t>Scagliotti</w:t>
            </w:r>
            <w:proofErr w:type="spellEnd"/>
            <w:r w:rsidRPr="00786D0E">
              <w:rPr>
                <w:rFonts w:ascii="Arial Narrow" w:hAnsi="Arial Narrow"/>
                <w:sz w:val="20"/>
              </w:rPr>
              <w:t xml:space="preserve"> 2009</w:t>
            </w:r>
          </w:p>
        </w:tc>
        <w:tc>
          <w:tcPr>
            <w:tcW w:w="3122" w:type="pct"/>
          </w:tcPr>
          <w:p w:rsidR="00AC59CA" w:rsidRPr="00786D0E" w:rsidRDefault="00AC59CA" w:rsidP="001F354C">
            <w:pPr>
              <w:keepNext/>
              <w:spacing w:before="40" w:after="40"/>
              <w:jc w:val="both"/>
              <w:rPr>
                <w:rFonts w:ascii="Arial Narrow" w:hAnsi="Arial Narrow"/>
                <w:sz w:val="20"/>
              </w:rPr>
            </w:pPr>
            <w:proofErr w:type="spellStart"/>
            <w:r w:rsidRPr="00786D0E">
              <w:rPr>
                <w:rFonts w:ascii="Arial Narrow" w:hAnsi="Arial Narrow"/>
                <w:sz w:val="20"/>
              </w:rPr>
              <w:t>Scagliotti</w:t>
            </w:r>
            <w:proofErr w:type="spellEnd"/>
            <w:r w:rsidRPr="00786D0E">
              <w:rPr>
                <w:rFonts w:ascii="Arial Narrow" w:hAnsi="Arial Narrow"/>
                <w:sz w:val="20"/>
              </w:rPr>
              <w:t xml:space="preserve"> G, Hanna, N, Fossella, F et al. The differential efficacy of </w:t>
            </w:r>
            <w:proofErr w:type="spellStart"/>
            <w:r w:rsidRPr="00786D0E">
              <w:rPr>
                <w:rFonts w:ascii="Arial Narrow" w:hAnsi="Arial Narrow"/>
                <w:sz w:val="20"/>
              </w:rPr>
              <w:t>pemetrexed</w:t>
            </w:r>
            <w:proofErr w:type="spellEnd"/>
            <w:r w:rsidRPr="00786D0E">
              <w:rPr>
                <w:rFonts w:ascii="Arial Narrow" w:hAnsi="Arial Narrow"/>
                <w:sz w:val="20"/>
              </w:rPr>
              <w:t xml:space="preserve"> according to NSCLC histology: a review of two Phase III studies.</w:t>
            </w:r>
          </w:p>
        </w:tc>
        <w:tc>
          <w:tcPr>
            <w:tcW w:w="1082" w:type="pct"/>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The Oncologist 2009; 14: 253-263.</w:t>
            </w:r>
          </w:p>
        </w:tc>
      </w:tr>
    </w:tbl>
    <w:p w:rsidR="00AC59CA" w:rsidRPr="00786D0E" w:rsidRDefault="00AC59CA" w:rsidP="00AC59CA">
      <w:pPr>
        <w:widowControl w:val="0"/>
        <w:spacing w:before="0" w:after="120"/>
        <w:contextualSpacing/>
        <w:jc w:val="both"/>
        <w:rPr>
          <w:rFonts w:ascii="Arial Narrow" w:eastAsia="Times New Roman" w:hAnsi="Arial Narrow" w:cs="Arial"/>
          <w:snapToGrid w:val="0"/>
          <w:sz w:val="18"/>
          <w:szCs w:val="20"/>
        </w:rPr>
      </w:pPr>
      <w:r w:rsidRPr="00786D0E">
        <w:rPr>
          <w:rFonts w:ascii="Arial Narrow" w:eastAsia="Times New Roman" w:hAnsi="Arial Narrow" w:cs="Arial"/>
          <w:snapToGrid w:val="0"/>
          <w:sz w:val="18"/>
          <w:szCs w:val="20"/>
        </w:rPr>
        <w:t>Source: Table 2.2.1, pp85-7 of the submission and complied during the evaluation</w:t>
      </w:r>
    </w:p>
    <w:p w:rsidR="00AC59CA" w:rsidRPr="00786D0E" w:rsidRDefault="00AC59CA" w:rsidP="00AC59CA">
      <w:pPr>
        <w:widowControl w:val="0"/>
        <w:spacing w:before="0" w:after="120"/>
        <w:contextualSpacing/>
        <w:jc w:val="both"/>
        <w:rPr>
          <w:rFonts w:ascii="Arial Narrow" w:eastAsia="Times New Roman" w:hAnsi="Arial Narrow" w:cs="Arial"/>
          <w:snapToGrid w:val="0"/>
          <w:sz w:val="18"/>
          <w:szCs w:val="20"/>
        </w:rPr>
      </w:pPr>
      <w:r w:rsidRPr="00786D0E">
        <w:rPr>
          <w:rFonts w:ascii="Arial Narrow" w:eastAsia="Times New Roman" w:hAnsi="Arial Narrow" w:cs="Arial"/>
          <w:snapToGrid w:val="0"/>
          <w:sz w:val="18"/>
          <w:szCs w:val="20"/>
        </w:rPr>
        <w:t xml:space="preserve">c-Met/HGFR = tyrosine-protein kinase Met or hepatocyte growth factor receptor; CSR = clinical study report; NSCLC = non-small cell lung cancer; </w:t>
      </w:r>
      <w:r w:rsidR="00420D95" w:rsidRPr="00786D0E">
        <w:rPr>
          <w:rFonts w:ascii="Arial Narrow" w:eastAsia="Times New Roman" w:hAnsi="Arial Narrow" w:cs="Arial"/>
          <w:i/>
          <w:snapToGrid w:val="0"/>
          <w:sz w:val="18"/>
          <w:szCs w:val="20"/>
        </w:rPr>
        <w:t>ROS1</w:t>
      </w:r>
      <w:r w:rsidRPr="00786D0E">
        <w:rPr>
          <w:rFonts w:ascii="Arial Narrow" w:eastAsia="Times New Roman" w:hAnsi="Arial Narrow" w:cs="Arial"/>
          <w:snapToGrid w:val="0"/>
          <w:sz w:val="18"/>
          <w:szCs w:val="20"/>
        </w:rPr>
        <w:t xml:space="preserve"> = </w:t>
      </w:r>
      <w:r w:rsidRPr="00786D0E">
        <w:rPr>
          <w:rFonts w:ascii="Arial Narrow" w:eastAsia="Times New Roman" w:hAnsi="Arial Narrow" w:cs="Arial"/>
          <w:i/>
          <w:snapToGrid w:val="0"/>
          <w:sz w:val="18"/>
          <w:szCs w:val="20"/>
        </w:rPr>
        <w:t>ROS</w:t>
      </w:r>
      <w:r w:rsidRPr="00786D0E">
        <w:rPr>
          <w:rFonts w:ascii="Arial Narrow" w:eastAsia="Times New Roman" w:hAnsi="Arial Narrow" w:cs="Arial"/>
          <w:snapToGrid w:val="0"/>
          <w:sz w:val="18"/>
          <w:szCs w:val="20"/>
        </w:rPr>
        <w:t xml:space="preserve"> proto-oncogene 1</w:t>
      </w:r>
    </w:p>
    <w:p w:rsidR="00AC59CA" w:rsidRPr="00786D0E" w:rsidRDefault="00AC59CA" w:rsidP="000D39E9">
      <w:pPr>
        <w:pStyle w:val="ListParagraph"/>
        <w:numPr>
          <w:ilvl w:val="1"/>
          <w:numId w:val="2"/>
        </w:numPr>
        <w:spacing w:before="0" w:after="120"/>
        <w:jc w:val="both"/>
      </w:pPr>
      <w:r w:rsidRPr="00786D0E">
        <w:lastRenderedPageBreak/>
        <w:t xml:space="preserve">The key features of the studies included for the naïve comparison of the efficacy of </w:t>
      </w:r>
      <w:proofErr w:type="spellStart"/>
      <w:r w:rsidRPr="00786D0E">
        <w:t>crizotinib</w:t>
      </w:r>
      <w:proofErr w:type="spellEnd"/>
      <w:r w:rsidRPr="00786D0E">
        <w:t xml:space="preserve"> in patients with </w:t>
      </w:r>
      <w:r w:rsidR="00420D95" w:rsidRPr="00786D0E">
        <w:rPr>
          <w:i/>
        </w:rPr>
        <w:t>ROS1</w:t>
      </w:r>
      <w:r w:rsidRPr="00786D0E">
        <w:t xml:space="preserve">-positive advanced NSCLC versus </w:t>
      </w:r>
      <w:proofErr w:type="spellStart"/>
      <w:r w:rsidRPr="00786D0E">
        <w:t>pemetrexed</w:t>
      </w:r>
      <w:proofErr w:type="spellEnd"/>
      <w:r w:rsidRPr="00786D0E">
        <w:t xml:space="preserve"> in a broader population of NSCLC with an unknown prevalence of genetic aberrations are summarised in the table below.</w:t>
      </w:r>
    </w:p>
    <w:p w:rsidR="00AC59CA" w:rsidRPr="00786D0E" w:rsidRDefault="00AC59CA" w:rsidP="00AC59CA">
      <w:pPr>
        <w:pStyle w:val="TableHeading0"/>
        <w:jc w:val="both"/>
      </w:pPr>
      <w:r w:rsidRPr="00786D0E">
        <w:t xml:space="preserve">Table 3: Key features of the included evidence, </w:t>
      </w:r>
      <w:proofErr w:type="spellStart"/>
      <w:r w:rsidRPr="00786D0E">
        <w:t>crizotinib</w:t>
      </w:r>
      <w:proofErr w:type="spellEnd"/>
      <w:r w:rsidRPr="00786D0E">
        <w:t xml:space="preserve"> vs. </w:t>
      </w:r>
      <w:proofErr w:type="spellStart"/>
      <w:r w:rsidRPr="00786D0E">
        <w:t>pemetrexed</w:t>
      </w:r>
      <w:proofErr w:type="spellEnd"/>
      <w:r w:rsidRPr="00786D0E">
        <w:t xml:space="preserve"> (naïve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50"/>
        <w:gridCol w:w="1555"/>
        <w:gridCol w:w="425"/>
        <w:gridCol w:w="712"/>
        <w:gridCol w:w="2550"/>
        <w:gridCol w:w="1700"/>
        <w:gridCol w:w="690"/>
      </w:tblGrid>
      <w:tr w:rsidR="00AC59CA" w:rsidRPr="00786D0E" w:rsidTr="001F354C">
        <w:trPr>
          <w:tblHeader/>
        </w:trPr>
        <w:tc>
          <w:tcPr>
            <w:tcW w:w="798" w:type="pct"/>
            <w:tcBorders>
              <w:bottom w:val="single" w:sz="4" w:space="0" w:color="auto"/>
            </w:tcBorders>
            <w:shd w:val="clear" w:color="auto" w:fill="auto"/>
            <w:vAlign w:val="center"/>
          </w:tcPr>
          <w:p w:rsidR="00AC59CA" w:rsidRPr="00786D0E" w:rsidRDefault="00AC59CA" w:rsidP="001F354C">
            <w:pPr>
              <w:pStyle w:val="TableHeading0"/>
            </w:pPr>
            <w:r w:rsidRPr="00786D0E">
              <w:t>Trial</w:t>
            </w:r>
          </w:p>
        </w:tc>
        <w:tc>
          <w:tcPr>
            <w:tcW w:w="856" w:type="pct"/>
            <w:tcBorders>
              <w:bottom w:val="single" w:sz="4" w:space="0" w:color="auto"/>
            </w:tcBorders>
            <w:shd w:val="clear" w:color="auto" w:fill="auto"/>
            <w:vAlign w:val="center"/>
          </w:tcPr>
          <w:p w:rsidR="00AC59CA" w:rsidRPr="00786D0E" w:rsidRDefault="00AC59CA" w:rsidP="001F354C">
            <w:pPr>
              <w:pStyle w:val="TableHeading0"/>
            </w:pPr>
            <w:r w:rsidRPr="00786D0E">
              <w:t>Trial/study design</w:t>
            </w:r>
          </w:p>
        </w:tc>
        <w:tc>
          <w:tcPr>
            <w:tcW w:w="234" w:type="pct"/>
            <w:tcBorders>
              <w:bottom w:val="single" w:sz="4" w:space="0" w:color="auto"/>
            </w:tcBorders>
            <w:vAlign w:val="center"/>
          </w:tcPr>
          <w:p w:rsidR="00AC59CA" w:rsidRPr="00786D0E" w:rsidRDefault="00AC59CA" w:rsidP="001F354C">
            <w:pPr>
              <w:pStyle w:val="TableHeading0"/>
            </w:pPr>
            <w:r w:rsidRPr="00786D0E">
              <w:t>N</w:t>
            </w:r>
          </w:p>
        </w:tc>
        <w:tc>
          <w:tcPr>
            <w:tcW w:w="392" w:type="pct"/>
            <w:tcBorders>
              <w:bottom w:val="single" w:sz="4" w:space="0" w:color="auto"/>
            </w:tcBorders>
            <w:shd w:val="clear" w:color="auto" w:fill="auto"/>
            <w:vAlign w:val="center"/>
          </w:tcPr>
          <w:p w:rsidR="00AC59CA" w:rsidRPr="00786D0E" w:rsidRDefault="00AC59CA" w:rsidP="001F354C">
            <w:pPr>
              <w:pStyle w:val="TableHeading0"/>
            </w:pPr>
            <w:r w:rsidRPr="00786D0E">
              <w:t xml:space="preserve">Risk of bias </w:t>
            </w:r>
          </w:p>
        </w:tc>
        <w:tc>
          <w:tcPr>
            <w:tcW w:w="1404" w:type="pct"/>
            <w:tcBorders>
              <w:bottom w:val="single" w:sz="4" w:space="0" w:color="auto"/>
            </w:tcBorders>
            <w:shd w:val="clear" w:color="auto" w:fill="auto"/>
            <w:vAlign w:val="center"/>
          </w:tcPr>
          <w:p w:rsidR="00AC59CA" w:rsidRPr="00786D0E" w:rsidRDefault="00AC59CA" w:rsidP="001F354C">
            <w:pPr>
              <w:pStyle w:val="TableHeading0"/>
            </w:pPr>
            <w:r w:rsidRPr="00786D0E">
              <w:t>Patient population</w:t>
            </w:r>
          </w:p>
        </w:tc>
        <w:tc>
          <w:tcPr>
            <w:tcW w:w="936" w:type="pct"/>
            <w:tcBorders>
              <w:bottom w:val="single" w:sz="4" w:space="0" w:color="auto"/>
            </w:tcBorders>
            <w:shd w:val="clear" w:color="auto" w:fill="auto"/>
            <w:vAlign w:val="center"/>
          </w:tcPr>
          <w:p w:rsidR="00AC59CA" w:rsidRPr="00786D0E" w:rsidRDefault="00AC59CA" w:rsidP="001F354C">
            <w:pPr>
              <w:pStyle w:val="TableHeading0"/>
            </w:pPr>
            <w:r w:rsidRPr="00786D0E">
              <w:t>Key outcomes</w:t>
            </w:r>
          </w:p>
        </w:tc>
        <w:tc>
          <w:tcPr>
            <w:tcW w:w="380" w:type="pct"/>
            <w:tcBorders>
              <w:bottom w:val="single" w:sz="4" w:space="0" w:color="auto"/>
            </w:tcBorders>
            <w:shd w:val="clear" w:color="auto" w:fill="auto"/>
            <w:vAlign w:val="center"/>
          </w:tcPr>
          <w:p w:rsidR="00AC59CA" w:rsidRPr="00786D0E" w:rsidRDefault="00AC59CA" w:rsidP="001F354C">
            <w:pPr>
              <w:pStyle w:val="TableHeading0"/>
            </w:pPr>
            <w:r w:rsidRPr="00786D0E">
              <w:t>Model use</w:t>
            </w:r>
          </w:p>
        </w:tc>
      </w:tr>
      <w:tr w:rsidR="00AC59CA" w:rsidRPr="00786D0E" w:rsidTr="001F354C">
        <w:tc>
          <w:tcPr>
            <w:tcW w:w="798" w:type="pct"/>
            <w:tcBorders>
              <w:top w:val="single" w:sz="4" w:space="0" w:color="auto"/>
              <w:left w:val="single" w:sz="4" w:space="0" w:color="auto"/>
              <w:bottom w:val="single" w:sz="4" w:space="0" w:color="auto"/>
              <w:right w:val="nil"/>
            </w:tcBorders>
            <w:shd w:val="clear" w:color="auto" w:fill="auto"/>
            <w:vAlign w:val="center"/>
          </w:tcPr>
          <w:p w:rsidR="00AC59CA" w:rsidRPr="00786D0E" w:rsidRDefault="00AC59CA" w:rsidP="001F354C">
            <w:pPr>
              <w:pStyle w:val="TableText"/>
            </w:pPr>
            <w:r w:rsidRPr="00786D0E">
              <w:t>Primary studies</w:t>
            </w:r>
          </w:p>
        </w:tc>
        <w:tc>
          <w:tcPr>
            <w:tcW w:w="856" w:type="pct"/>
            <w:tcBorders>
              <w:top w:val="single" w:sz="4" w:space="0" w:color="auto"/>
              <w:left w:val="nil"/>
              <w:bottom w:val="single" w:sz="4" w:space="0" w:color="auto"/>
              <w:right w:val="nil"/>
            </w:tcBorders>
            <w:shd w:val="clear" w:color="auto" w:fill="auto"/>
            <w:vAlign w:val="center"/>
          </w:tcPr>
          <w:p w:rsidR="00AC59CA" w:rsidRPr="00786D0E" w:rsidRDefault="00AC59CA" w:rsidP="001F354C">
            <w:pPr>
              <w:pStyle w:val="TableText"/>
            </w:pPr>
          </w:p>
        </w:tc>
        <w:tc>
          <w:tcPr>
            <w:tcW w:w="234" w:type="pct"/>
            <w:tcBorders>
              <w:top w:val="single" w:sz="4" w:space="0" w:color="auto"/>
              <w:left w:val="nil"/>
              <w:bottom w:val="single" w:sz="4" w:space="0" w:color="auto"/>
              <w:right w:val="nil"/>
            </w:tcBorders>
          </w:tcPr>
          <w:p w:rsidR="00AC59CA" w:rsidRPr="00786D0E" w:rsidRDefault="00AC59CA" w:rsidP="001F354C">
            <w:pPr>
              <w:pStyle w:val="TableText"/>
            </w:pPr>
          </w:p>
        </w:tc>
        <w:tc>
          <w:tcPr>
            <w:tcW w:w="392" w:type="pct"/>
            <w:tcBorders>
              <w:top w:val="single" w:sz="4" w:space="0" w:color="auto"/>
              <w:left w:val="nil"/>
              <w:bottom w:val="single" w:sz="4" w:space="0" w:color="auto"/>
              <w:right w:val="nil"/>
            </w:tcBorders>
            <w:shd w:val="clear" w:color="auto" w:fill="auto"/>
          </w:tcPr>
          <w:p w:rsidR="00AC59CA" w:rsidRPr="00786D0E" w:rsidRDefault="00AC59CA" w:rsidP="001F354C">
            <w:pPr>
              <w:pStyle w:val="TableText"/>
            </w:pPr>
          </w:p>
        </w:tc>
        <w:tc>
          <w:tcPr>
            <w:tcW w:w="1404" w:type="pct"/>
            <w:tcBorders>
              <w:top w:val="single" w:sz="4" w:space="0" w:color="auto"/>
              <w:left w:val="nil"/>
              <w:bottom w:val="single" w:sz="4" w:space="0" w:color="auto"/>
              <w:right w:val="nil"/>
            </w:tcBorders>
            <w:shd w:val="clear" w:color="auto" w:fill="auto"/>
          </w:tcPr>
          <w:p w:rsidR="00AC59CA" w:rsidRPr="00786D0E" w:rsidRDefault="00AC59CA" w:rsidP="001F354C">
            <w:pPr>
              <w:pStyle w:val="TableText"/>
            </w:pPr>
          </w:p>
        </w:tc>
        <w:tc>
          <w:tcPr>
            <w:tcW w:w="936" w:type="pct"/>
            <w:tcBorders>
              <w:top w:val="single" w:sz="4" w:space="0" w:color="auto"/>
              <w:left w:val="nil"/>
              <w:bottom w:val="single" w:sz="4" w:space="0" w:color="auto"/>
              <w:right w:val="nil"/>
            </w:tcBorders>
            <w:shd w:val="clear" w:color="auto" w:fill="auto"/>
          </w:tcPr>
          <w:p w:rsidR="00AC59CA" w:rsidRPr="00786D0E" w:rsidRDefault="00AC59CA" w:rsidP="001F354C">
            <w:pPr>
              <w:pStyle w:val="TableText"/>
            </w:pPr>
          </w:p>
        </w:tc>
        <w:tc>
          <w:tcPr>
            <w:tcW w:w="380" w:type="pct"/>
            <w:tcBorders>
              <w:top w:val="single" w:sz="4" w:space="0" w:color="auto"/>
              <w:left w:val="nil"/>
              <w:bottom w:val="single" w:sz="4" w:space="0" w:color="auto"/>
              <w:right w:val="single" w:sz="4" w:space="0" w:color="auto"/>
            </w:tcBorders>
            <w:shd w:val="clear" w:color="auto" w:fill="auto"/>
          </w:tcPr>
          <w:p w:rsidR="00AC59CA" w:rsidRPr="00786D0E" w:rsidRDefault="00AC59CA" w:rsidP="001F354C">
            <w:pPr>
              <w:pStyle w:val="TableText"/>
            </w:pPr>
          </w:p>
        </w:tc>
      </w:tr>
      <w:tr w:rsidR="00AC59CA" w:rsidRPr="00786D0E" w:rsidTr="001F354C">
        <w:tc>
          <w:tcPr>
            <w:tcW w:w="798" w:type="pct"/>
            <w:tcBorders>
              <w:top w:val="single" w:sz="4" w:space="0" w:color="auto"/>
              <w:left w:val="single" w:sz="4" w:space="0" w:color="auto"/>
              <w:bottom w:val="single" w:sz="4" w:space="0" w:color="auto"/>
              <w:right w:val="nil"/>
            </w:tcBorders>
            <w:shd w:val="clear" w:color="auto" w:fill="auto"/>
            <w:vAlign w:val="center"/>
          </w:tcPr>
          <w:p w:rsidR="00AC59CA" w:rsidRPr="00786D0E" w:rsidRDefault="00AC59CA" w:rsidP="001F354C">
            <w:pPr>
              <w:pStyle w:val="TableText"/>
            </w:pPr>
            <w:proofErr w:type="spellStart"/>
            <w:r w:rsidRPr="00786D0E">
              <w:t>Crizotinib</w:t>
            </w:r>
            <w:proofErr w:type="spellEnd"/>
          </w:p>
        </w:tc>
        <w:tc>
          <w:tcPr>
            <w:tcW w:w="856" w:type="pct"/>
            <w:tcBorders>
              <w:top w:val="single" w:sz="4" w:space="0" w:color="auto"/>
              <w:left w:val="nil"/>
              <w:bottom w:val="single" w:sz="4" w:space="0" w:color="auto"/>
              <w:right w:val="nil"/>
            </w:tcBorders>
            <w:shd w:val="clear" w:color="auto" w:fill="auto"/>
            <w:vAlign w:val="center"/>
          </w:tcPr>
          <w:p w:rsidR="00AC59CA" w:rsidRPr="00786D0E" w:rsidRDefault="00AC59CA" w:rsidP="001F354C">
            <w:pPr>
              <w:pStyle w:val="TableText"/>
            </w:pPr>
          </w:p>
        </w:tc>
        <w:tc>
          <w:tcPr>
            <w:tcW w:w="234" w:type="pct"/>
            <w:tcBorders>
              <w:top w:val="single" w:sz="4" w:space="0" w:color="auto"/>
              <w:left w:val="nil"/>
              <w:bottom w:val="single" w:sz="4" w:space="0" w:color="auto"/>
              <w:right w:val="nil"/>
            </w:tcBorders>
          </w:tcPr>
          <w:p w:rsidR="00AC59CA" w:rsidRPr="00786D0E" w:rsidRDefault="00AC59CA" w:rsidP="001F354C">
            <w:pPr>
              <w:pStyle w:val="TableText"/>
            </w:pPr>
          </w:p>
        </w:tc>
        <w:tc>
          <w:tcPr>
            <w:tcW w:w="392" w:type="pct"/>
            <w:tcBorders>
              <w:top w:val="single" w:sz="4" w:space="0" w:color="auto"/>
              <w:left w:val="nil"/>
              <w:bottom w:val="single" w:sz="4" w:space="0" w:color="auto"/>
              <w:right w:val="nil"/>
            </w:tcBorders>
            <w:shd w:val="clear" w:color="auto" w:fill="auto"/>
          </w:tcPr>
          <w:p w:rsidR="00AC59CA" w:rsidRPr="00786D0E" w:rsidRDefault="00AC59CA" w:rsidP="001F354C">
            <w:pPr>
              <w:pStyle w:val="TableText"/>
            </w:pPr>
          </w:p>
        </w:tc>
        <w:tc>
          <w:tcPr>
            <w:tcW w:w="1404" w:type="pct"/>
            <w:tcBorders>
              <w:top w:val="single" w:sz="4" w:space="0" w:color="auto"/>
              <w:left w:val="nil"/>
              <w:bottom w:val="single" w:sz="4" w:space="0" w:color="auto"/>
              <w:right w:val="nil"/>
            </w:tcBorders>
            <w:shd w:val="clear" w:color="auto" w:fill="auto"/>
          </w:tcPr>
          <w:p w:rsidR="00AC59CA" w:rsidRPr="00786D0E" w:rsidRDefault="00AC59CA" w:rsidP="001F354C">
            <w:pPr>
              <w:pStyle w:val="TableText"/>
            </w:pPr>
          </w:p>
        </w:tc>
        <w:tc>
          <w:tcPr>
            <w:tcW w:w="936" w:type="pct"/>
            <w:tcBorders>
              <w:top w:val="single" w:sz="4" w:space="0" w:color="auto"/>
              <w:left w:val="nil"/>
              <w:bottom w:val="single" w:sz="4" w:space="0" w:color="auto"/>
              <w:right w:val="nil"/>
            </w:tcBorders>
            <w:shd w:val="clear" w:color="auto" w:fill="auto"/>
          </w:tcPr>
          <w:p w:rsidR="00AC59CA" w:rsidRPr="00786D0E" w:rsidRDefault="00AC59CA" w:rsidP="001F354C">
            <w:pPr>
              <w:pStyle w:val="TableText"/>
            </w:pPr>
          </w:p>
        </w:tc>
        <w:tc>
          <w:tcPr>
            <w:tcW w:w="380" w:type="pct"/>
            <w:tcBorders>
              <w:top w:val="single" w:sz="4" w:space="0" w:color="auto"/>
              <w:left w:val="nil"/>
              <w:bottom w:val="single" w:sz="4" w:space="0" w:color="auto"/>
              <w:right w:val="single" w:sz="4" w:space="0" w:color="auto"/>
            </w:tcBorders>
            <w:shd w:val="clear" w:color="auto" w:fill="auto"/>
          </w:tcPr>
          <w:p w:rsidR="00AC59CA" w:rsidRPr="00786D0E" w:rsidRDefault="00AC59CA" w:rsidP="001F354C">
            <w:pPr>
              <w:pStyle w:val="TableText"/>
            </w:pPr>
          </w:p>
        </w:tc>
      </w:tr>
      <w:tr w:rsidR="00AC59CA" w:rsidRPr="00786D0E" w:rsidTr="001F354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C59CA" w:rsidRPr="00786D0E" w:rsidRDefault="00AC59CA" w:rsidP="001F354C">
            <w:pPr>
              <w:pStyle w:val="TableText"/>
            </w:pPr>
            <w:r w:rsidRPr="00786D0E">
              <w:t>A8081001</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C59CA" w:rsidRPr="00786D0E" w:rsidRDefault="00AC59CA" w:rsidP="001F354C">
            <w:pPr>
              <w:pStyle w:val="TableText"/>
            </w:pPr>
            <w:r w:rsidRPr="00786D0E">
              <w:t>Phase I, MC, OL</w:t>
            </w:r>
          </w:p>
          <w:p w:rsidR="00AC59CA" w:rsidRPr="00786D0E" w:rsidRDefault="00AC59CA" w:rsidP="001F354C">
            <w:pPr>
              <w:pStyle w:val="TableText"/>
            </w:pPr>
            <w:r w:rsidRPr="00786D0E">
              <w:t xml:space="preserve">(AU, </w:t>
            </w:r>
            <w:proofErr w:type="spellStart"/>
            <w:r w:rsidRPr="00786D0E">
              <w:t>S.Korea</w:t>
            </w:r>
            <w:proofErr w:type="spellEnd"/>
            <w:r w:rsidRPr="00786D0E">
              <w:t>, USA)</w:t>
            </w:r>
          </w:p>
        </w:tc>
        <w:tc>
          <w:tcPr>
            <w:tcW w:w="234" w:type="pct"/>
            <w:tcBorders>
              <w:top w:val="single" w:sz="4" w:space="0" w:color="auto"/>
              <w:left w:val="single" w:sz="4" w:space="0" w:color="auto"/>
              <w:bottom w:val="single" w:sz="4" w:space="0" w:color="auto"/>
              <w:right w:val="single" w:sz="4" w:space="0" w:color="auto"/>
            </w:tcBorders>
          </w:tcPr>
          <w:p w:rsidR="00AC59CA" w:rsidRPr="00786D0E" w:rsidRDefault="00AC59CA" w:rsidP="001F354C">
            <w:pPr>
              <w:pStyle w:val="TableText"/>
            </w:pPr>
            <w:r w:rsidRPr="00786D0E">
              <w:t>53</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High</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420D95" w:rsidP="001F354C">
            <w:pPr>
              <w:pStyle w:val="TableText"/>
            </w:pPr>
            <w:r w:rsidRPr="00786D0E">
              <w:rPr>
                <w:i/>
              </w:rPr>
              <w:t>ROS1</w:t>
            </w:r>
            <w:r w:rsidR="00AC59CA" w:rsidRPr="00786D0E">
              <w:t xml:space="preserve">-pos (FISH, RT-PCR) </w:t>
            </w:r>
          </w:p>
          <w:p w:rsidR="00AC59CA" w:rsidRPr="00786D0E" w:rsidRDefault="00AC59CA" w:rsidP="001F354C">
            <w:pPr>
              <w:pStyle w:val="TableText"/>
            </w:pPr>
            <w:r w:rsidRPr="00786D0E">
              <w:t>Stage III or IV NSCLC</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 xml:space="preserve">ORR </w:t>
            </w:r>
            <w:r w:rsidRPr="00786D0E">
              <w:rPr>
                <w:vertAlign w:val="superscript"/>
              </w:rPr>
              <w:t>a</w:t>
            </w:r>
            <w:r w:rsidRPr="00786D0E">
              <w:t>, PFS, OS, AEs</w:t>
            </w:r>
          </w:p>
        </w:tc>
        <w:tc>
          <w:tcPr>
            <w:tcW w:w="380" w:type="pct"/>
            <w:tcBorders>
              <w:top w:val="single" w:sz="4" w:space="0" w:color="auto"/>
              <w:left w:val="single" w:sz="4" w:space="0" w:color="auto"/>
              <w:bottom w:val="nil"/>
              <w:right w:val="single" w:sz="4" w:space="0" w:color="auto"/>
            </w:tcBorders>
            <w:shd w:val="clear" w:color="auto" w:fill="auto"/>
          </w:tcPr>
          <w:p w:rsidR="00AC59CA" w:rsidRPr="00786D0E" w:rsidRDefault="00AC59CA" w:rsidP="001F354C">
            <w:pPr>
              <w:pStyle w:val="TableText"/>
            </w:pPr>
            <w:r w:rsidRPr="00786D0E">
              <w:t>Pooled</w:t>
            </w:r>
          </w:p>
        </w:tc>
      </w:tr>
      <w:tr w:rsidR="00AC59CA" w:rsidRPr="00786D0E" w:rsidTr="001F354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C59CA" w:rsidRPr="00786D0E" w:rsidRDefault="00AC59CA" w:rsidP="001F354C">
            <w:pPr>
              <w:pStyle w:val="TableText"/>
            </w:pPr>
            <w:r w:rsidRPr="00786D0E">
              <w:t>OO12-01</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C59CA" w:rsidRPr="00786D0E" w:rsidRDefault="00AC59CA" w:rsidP="001F354C">
            <w:pPr>
              <w:pStyle w:val="TableText"/>
            </w:pPr>
            <w:r w:rsidRPr="00786D0E">
              <w:t>Phase II, MC, OL</w:t>
            </w:r>
          </w:p>
          <w:p w:rsidR="00AC59CA" w:rsidRPr="00786D0E" w:rsidRDefault="00AC59CA" w:rsidP="001F354C">
            <w:pPr>
              <w:pStyle w:val="TableText"/>
            </w:pPr>
            <w:r w:rsidRPr="00786D0E">
              <w:t xml:space="preserve">(East Asia) </w:t>
            </w:r>
            <w:r w:rsidRPr="00786D0E">
              <w:rPr>
                <w:vertAlign w:val="superscript"/>
              </w:rPr>
              <w:t>b</w:t>
            </w:r>
          </w:p>
        </w:tc>
        <w:tc>
          <w:tcPr>
            <w:tcW w:w="234" w:type="pct"/>
            <w:tcBorders>
              <w:top w:val="single" w:sz="4" w:space="0" w:color="auto"/>
              <w:left w:val="single" w:sz="4" w:space="0" w:color="auto"/>
              <w:bottom w:val="single" w:sz="4" w:space="0" w:color="auto"/>
              <w:right w:val="single" w:sz="4" w:space="0" w:color="auto"/>
            </w:tcBorders>
          </w:tcPr>
          <w:p w:rsidR="00AC59CA" w:rsidRPr="00786D0E" w:rsidRDefault="00AC59CA" w:rsidP="001F354C">
            <w:pPr>
              <w:pStyle w:val="TableText"/>
            </w:pPr>
            <w:r w:rsidRPr="00786D0E">
              <w:t>127</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High</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420D95" w:rsidP="001F354C">
            <w:pPr>
              <w:pStyle w:val="TableText"/>
            </w:pPr>
            <w:r w:rsidRPr="00786D0E">
              <w:rPr>
                <w:i/>
              </w:rPr>
              <w:t>ROS1</w:t>
            </w:r>
            <w:r w:rsidR="00AC59CA" w:rsidRPr="00786D0E">
              <w:t xml:space="preserve">-pos, </w:t>
            </w:r>
            <w:r w:rsidRPr="00786D0E">
              <w:rPr>
                <w:i/>
              </w:rPr>
              <w:t>ALK</w:t>
            </w:r>
            <w:r w:rsidR="00AC59CA" w:rsidRPr="00786D0E">
              <w:t>-</w:t>
            </w:r>
            <w:proofErr w:type="spellStart"/>
            <w:r w:rsidR="00AC59CA" w:rsidRPr="00786D0E">
              <w:t>neg</w:t>
            </w:r>
            <w:proofErr w:type="spellEnd"/>
            <w:r w:rsidR="00AC59CA" w:rsidRPr="00786D0E">
              <w:t xml:space="preserve"> (FISH, IHC, RT-PCR); </w:t>
            </w:r>
            <w:proofErr w:type="spellStart"/>
            <w:r w:rsidR="00AC59CA" w:rsidRPr="00786D0E">
              <w:t>adv</w:t>
            </w:r>
            <w:proofErr w:type="spellEnd"/>
            <w:r w:rsidR="00AC59CA" w:rsidRPr="00786D0E">
              <w:t xml:space="preserve"> NSCLC </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 xml:space="preserve">ORR </w:t>
            </w:r>
            <w:r w:rsidRPr="00786D0E">
              <w:rPr>
                <w:vertAlign w:val="superscript"/>
              </w:rPr>
              <w:t>a</w:t>
            </w:r>
            <w:r w:rsidRPr="00786D0E">
              <w:t>, PFS, OS, AEs</w:t>
            </w:r>
          </w:p>
        </w:tc>
        <w:tc>
          <w:tcPr>
            <w:tcW w:w="380" w:type="pct"/>
            <w:tcBorders>
              <w:top w:val="nil"/>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rPr>
                <w:vertAlign w:val="superscript"/>
              </w:rPr>
            </w:pPr>
            <w:r w:rsidRPr="00786D0E">
              <w:t xml:space="preserve">results </w:t>
            </w:r>
            <w:r w:rsidRPr="00786D0E">
              <w:rPr>
                <w:vertAlign w:val="superscript"/>
              </w:rPr>
              <w:t>c</w:t>
            </w:r>
          </w:p>
        </w:tc>
      </w:tr>
      <w:tr w:rsidR="00AC59CA" w:rsidRPr="00786D0E" w:rsidTr="001F354C">
        <w:tc>
          <w:tcPr>
            <w:tcW w:w="798" w:type="pct"/>
            <w:tcBorders>
              <w:top w:val="single" w:sz="4" w:space="0" w:color="auto"/>
              <w:left w:val="single" w:sz="4" w:space="0" w:color="auto"/>
              <w:bottom w:val="single" w:sz="4" w:space="0" w:color="auto"/>
              <w:right w:val="nil"/>
            </w:tcBorders>
            <w:shd w:val="clear" w:color="auto" w:fill="auto"/>
            <w:vAlign w:val="center"/>
          </w:tcPr>
          <w:p w:rsidR="00AC59CA" w:rsidRPr="00786D0E" w:rsidRDefault="00AC59CA" w:rsidP="001F354C">
            <w:pPr>
              <w:pStyle w:val="TableText"/>
            </w:pPr>
            <w:proofErr w:type="spellStart"/>
            <w:r w:rsidRPr="00786D0E">
              <w:t>Pemetrexed</w:t>
            </w:r>
            <w:proofErr w:type="spellEnd"/>
          </w:p>
        </w:tc>
        <w:tc>
          <w:tcPr>
            <w:tcW w:w="856" w:type="pct"/>
            <w:tcBorders>
              <w:top w:val="single" w:sz="4" w:space="0" w:color="auto"/>
              <w:left w:val="nil"/>
              <w:bottom w:val="single" w:sz="4" w:space="0" w:color="auto"/>
              <w:right w:val="nil"/>
            </w:tcBorders>
            <w:shd w:val="clear" w:color="auto" w:fill="auto"/>
            <w:vAlign w:val="center"/>
          </w:tcPr>
          <w:p w:rsidR="00AC59CA" w:rsidRPr="00786D0E" w:rsidRDefault="00AC59CA" w:rsidP="001F354C">
            <w:pPr>
              <w:pStyle w:val="TableText"/>
            </w:pPr>
          </w:p>
        </w:tc>
        <w:tc>
          <w:tcPr>
            <w:tcW w:w="234" w:type="pct"/>
            <w:tcBorders>
              <w:top w:val="single" w:sz="4" w:space="0" w:color="auto"/>
              <w:left w:val="nil"/>
              <w:bottom w:val="single" w:sz="4" w:space="0" w:color="auto"/>
              <w:right w:val="nil"/>
            </w:tcBorders>
          </w:tcPr>
          <w:p w:rsidR="00AC59CA" w:rsidRPr="00786D0E" w:rsidRDefault="00AC59CA" w:rsidP="001F354C">
            <w:pPr>
              <w:pStyle w:val="TableText"/>
            </w:pPr>
          </w:p>
        </w:tc>
        <w:tc>
          <w:tcPr>
            <w:tcW w:w="392" w:type="pct"/>
            <w:tcBorders>
              <w:top w:val="single" w:sz="4" w:space="0" w:color="auto"/>
              <w:left w:val="nil"/>
              <w:bottom w:val="single" w:sz="4" w:space="0" w:color="auto"/>
              <w:right w:val="nil"/>
            </w:tcBorders>
            <w:shd w:val="clear" w:color="auto" w:fill="auto"/>
          </w:tcPr>
          <w:p w:rsidR="00AC59CA" w:rsidRPr="00786D0E" w:rsidRDefault="00AC59CA" w:rsidP="001F354C">
            <w:pPr>
              <w:pStyle w:val="TableText"/>
            </w:pPr>
          </w:p>
        </w:tc>
        <w:tc>
          <w:tcPr>
            <w:tcW w:w="1404" w:type="pct"/>
            <w:tcBorders>
              <w:top w:val="single" w:sz="4" w:space="0" w:color="auto"/>
              <w:left w:val="nil"/>
              <w:bottom w:val="single" w:sz="4" w:space="0" w:color="auto"/>
              <w:right w:val="nil"/>
            </w:tcBorders>
            <w:shd w:val="clear" w:color="auto" w:fill="auto"/>
          </w:tcPr>
          <w:p w:rsidR="00AC59CA" w:rsidRPr="00786D0E" w:rsidRDefault="00AC59CA" w:rsidP="001F354C">
            <w:pPr>
              <w:pStyle w:val="TableText"/>
            </w:pPr>
          </w:p>
        </w:tc>
        <w:tc>
          <w:tcPr>
            <w:tcW w:w="936" w:type="pct"/>
            <w:tcBorders>
              <w:top w:val="single" w:sz="4" w:space="0" w:color="auto"/>
              <w:left w:val="nil"/>
              <w:bottom w:val="single" w:sz="4" w:space="0" w:color="auto"/>
              <w:right w:val="nil"/>
            </w:tcBorders>
            <w:shd w:val="clear" w:color="auto" w:fill="auto"/>
          </w:tcPr>
          <w:p w:rsidR="00AC59CA" w:rsidRPr="00786D0E" w:rsidRDefault="00AC59CA" w:rsidP="001F354C">
            <w:pPr>
              <w:pStyle w:val="TableText"/>
            </w:pPr>
          </w:p>
        </w:tc>
        <w:tc>
          <w:tcPr>
            <w:tcW w:w="380" w:type="pct"/>
            <w:tcBorders>
              <w:top w:val="single" w:sz="4" w:space="0" w:color="auto"/>
              <w:left w:val="nil"/>
              <w:bottom w:val="single" w:sz="4" w:space="0" w:color="auto"/>
              <w:right w:val="single" w:sz="4" w:space="0" w:color="auto"/>
            </w:tcBorders>
            <w:shd w:val="clear" w:color="auto" w:fill="auto"/>
          </w:tcPr>
          <w:p w:rsidR="00AC59CA" w:rsidRPr="00786D0E" w:rsidRDefault="00AC59CA" w:rsidP="001F354C">
            <w:pPr>
              <w:pStyle w:val="TableText"/>
            </w:pPr>
          </w:p>
        </w:tc>
      </w:tr>
      <w:tr w:rsidR="00AC59CA" w:rsidRPr="00786D0E" w:rsidTr="001F354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C59CA" w:rsidRPr="00786D0E" w:rsidRDefault="00AC59CA" w:rsidP="001F354C">
            <w:pPr>
              <w:pStyle w:val="TableText"/>
            </w:pPr>
            <w:r w:rsidRPr="00786D0E">
              <w:t>Hanna et al. 2004</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C59CA" w:rsidRPr="00786D0E" w:rsidRDefault="00AC59CA" w:rsidP="001F354C">
            <w:pPr>
              <w:pStyle w:val="TableText"/>
            </w:pPr>
            <w:r w:rsidRPr="00786D0E">
              <w:t>Phase III, MC, R, OL</w:t>
            </w:r>
          </w:p>
        </w:tc>
        <w:tc>
          <w:tcPr>
            <w:tcW w:w="234" w:type="pct"/>
            <w:tcBorders>
              <w:top w:val="single" w:sz="4" w:space="0" w:color="auto"/>
              <w:left w:val="single" w:sz="4" w:space="0" w:color="auto"/>
              <w:bottom w:val="single" w:sz="4" w:space="0" w:color="auto"/>
              <w:right w:val="single" w:sz="4" w:space="0" w:color="auto"/>
            </w:tcBorders>
          </w:tcPr>
          <w:p w:rsidR="00AC59CA" w:rsidRPr="00786D0E" w:rsidRDefault="00AC59CA" w:rsidP="001F354C">
            <w:pPr>
              <w:pStyle w:val="TableText"/>
            </w:pPr>
            <w:r w:rsidRPr="00786D0E">
              <w:t>283</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Low</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 xml:space="preserve">Stage IIIB or IV NSCLC (unselected pts) </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 xml:space="preserve">OS </w:t>
            </w:r>
            <w:r w:rsidRPr="00786D0E">
              <w:rPr>
                <w:vertAlign w:val="superscript"/>
              </w:rPr>
              <w:t>a</w:t>
            </w:r>
            <w:r w:rsidRPr="00786D0E">
              <w:t>, ORR, PFS, AEs</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Yes</w:t>
            </w:r>
          </w:p>
        </w:tc>
      </w:tr>
      <w:tr w:rsidR="00AC59CA" w:rsidRPr="00786D0E" w:rsidTr="001F354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C59CA" w:rsidRPr="00786D0E" w:rsidRDefault="00AC59CA" w:rsidP="001F354C">
            <w:pPr>
              <w:pStyle w:val="TableText"/>
            </w:pPr>
            <w:proofErr w:type="spellStart"/>
            <w:r w:rsidRPr="00786D0E">
              <w:t>Scagliotti</w:t>
            </w:r>
            <w:proofErr w:type="spellEnd"/>
            <w:r w:rsidRPr="00786D0E">
              <w:t xml:space="preserve"> 2009 </w:t>
            </w:r>
            <w:r w:rsidRPr="00786D0E">
              <w:rPr>
                <w:vertAlign w:val="superscript"/>
              </w:rPr>
              <w:t>d</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C59CA" w:rsidRPr="00786D0E" w:rsidRDefault="00AC59CA" w:rsidP="001F354C">
            <w:pPr>
              <w:pStyle w:val="TableText"/>
            </w:pPr>
            <w:r w:rsidRPr="00786D0E">
              <w:t>Retro</w:t>
            </w:r>
          </w:p>
        </w:tc>
        <w:tc>
          <w:tcPr>
            <w:tcW w:w="234" w:type="pct"/>
            <w:tcBorders>
              <w:top w:val="single" w:sz="4" w:space="0" w:color="auto"/>
              <w:left w:val="single" w:sz="4" w:space="0" w:color="auto"/>
              <w:bottom w:val="single" w:sz="4" w:space="0" w:color="auto"/>
              <w:right w:val="single" w:sz="4" w:space="0" w:color="auto"/>
            </w:tcBorders>
          </w:tcPr>
          <w:p w:rsidR="00AC59CA" w:rsidRPr="00786D0E" w:rsidRDefault="00AC59CA" w:rsidP="001F354C">
            <w:pPr>
              <w:pStyle w:val="TableText"/>
            </w:pPr>
            <w:r w:rsidRPr="00786D0E">
              <w:t>283</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High</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Stage IIIB or IV NS NSCLC</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OS, PFS by histology</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No</w:t>
            </w:r>
          </w:p>
        </w:tc>
      </w:tr>
      <w:tr w:rsidR="00AC59CA" w:rsidRPr="00786D0E" w:rsidTr="001F354C">
        <w:tc>
          <w:tcPr>
            <w:tcW w:w="798" w:type="pct"/>
            <w:tcBorders>
              <w:top w:val="single" w:sz="4" w:space="0" w:color="auto"/>
              <w:left w:val="single" w:sz="4" w:space="0" w:color="auto"/>
              <w:bottom w:val="single" w:sz="4" w:space="0" w:color="auto"/>
              <w:right w:val="nil"/>
            </w:tcBorders>
            <w:shd w:val="clear" w:color="auto" w:fill="auto"/>
            <w:vAlign w:val="center"/>
          </w:tcPr>
          <w:p w:rsidR="00AC59CA" w:rsidRPr="00786D0E" w:rsidRDefault="00AC59CA" w:rsidP="00891F78">
            <w:pPr>
              <w:pStyle w:val="TableText"/>
            </w:pPr>
            <w:r w:rsidRPr="00786D0E">
              <w:t>Supportive studies</w:t>
            </w:r>
          </w:p>
        </w:tc>
        <w:tc>
          <w:tcPr>
            <w:tcW w:w="856" w:type="pct"/>
            <w:tcBorders>
              <w:top w:val="single" w:sz="4" w:space="0" w:color="auto"/>
              <w:left w:val="nil"/>
              <w:bottom w:val="single" w:sz="4" w:space="0" w:color="auto"/>
              <w:right w:val="nil"/>
            </w:tcBorders>
            <w:shd w:val="clear" w:color="auto" w:fill="auto"/>
            <w:vAlign w:val="center"/>
          </w:tcPr>
          <w:p w:rsidR="00AC59CA" w:rsidRPr="00786D0E" w:rsidRDefault="00AC59CA" w:rsidP="001F354C">
            <w:pPr>
              <w:pStyle w:val="TableText"/>
            </w:pPr>
          </w:p>
        </w:tc>
        <w:tc>
          <w:tcPr>
            <w:tcW w:w="234" w:type="pct"/>
            <w:tcBorders>
              <w:top w:val="single" w:sz="4" w:space="0" w:color="auto"/>
              <w:left w:val="nil"/>
              <w:bottom w:val="single" w:sz="4" w:space="0" w:color="auto"/>
              <w:right w:val="nil"/>
            </w:tcBorders>
          </w:tcPr>
          <w:p w:rsidR="00AC59CA" w:rsidRPr="00786D0E" w:rsidRDefault="00AC59CA" w:rsidP="001F354C">
            <w:pPr>
              <w:pStyle w:val="TableText"/>
            </w:pPr>
          </w:p>
        </w:tc>
        <w:tc>
          <w:tcPr>
            <w:tcW w:w="392" w:type="pct"/>
            <w:tcBorders>
              <w:top w:val="single" w:sz="4" w:space="0" w:color="auto"/>
              <w:left w:val="nil"/>
              <w:bottom w:val="single" w:sz="4" w:space="0" w:color="auto"/>
              <w:right w:val="nil"/>
            </w:tcBorders>
            <w:shd w:val="clear" w:color="auto" w:fill="auto"/>
          </w:tcPr>
          <w:p w:rsidR="00AC59CA" w:rsidRPr="00786D0E" w:rsidRDefault="00AC59CA" w:rsidP="001F354C">
            <w:pPr>
              <w:pStyle w:val="TableText"/>
            </w:pPr>
          </w:p>
        </w:tc>
        <w:tc>
          <w:tcPr>
            <w:tcW w:w="1404" w:type="pct"/>
            <w:tcBorders>
              <w:top w:val="single" w:sz="4" w:space="0" w:color="auto"/>
              <w:left w:val="nil"/>
              <w:bottom w:val="single" w:sz="4" w:space="0" w:color="auto"/>
              <w:right w:val="nil"/>
            </w:tcBorders>
            <w:shd w:val="clear" w:color="auto" w:fill="auto"/>
          </w:tcPr>
          <w:p w:rsidR="00AC59CA" w:rsidRPr="00786D0E" w:rsidRDefault="00AC59CA" w:rsidP="001F354C">
            <w:pPr>
              <w:pStyle w:val="TableText"/>
            </w:pPr>
          </w:p>
        </w:tc>
        <w:tc>
          <w:tcPr>
            <w:tcW w:w="936" w:type="pct"/>
            <w:tcBorders>
              <w:top w:val="single" w:sz="4" w:space="0" w:color="auto"/>
              <w:left w:val="nil"/>
              <w:bottom w:val="single" w:sz="4" w:space="0" w:color="auto"/>
              <w:right w:val="nil"/>
            </w:tcBorders>
            <w:shd w:val="clear" w:color="auto" w:fill="auto"/>
          </w:tcPr>
          <w:p w:rsidR="00AC59CA" w:rsidRPr="00786D0E" w:rsidRDefault="00AC59CA" w:rsidP="001F354C">
            <w:pPr>
              <w:pStyle w:val="TableText"/>
            </w:pPr>
          </w:p>
        </w:tc>
        <w:tc>
          <w:tcPr>
            <w:tcW w:w="380" w:type="pct"/>
            <w:tcBorders>
              <w:top w:val="single" w:sz="4" w:space="0" w:color="auto"/>
              <w:left w:val="nil"/>
              <w:bottom w:val="single" w:sz="4" w:space="0" w:color="auto"/>
              <w:right w:val="single" w:sz="4" w:space="0" w:color="auto"/>
            </w:tcBorders>
            <w:shd w:val="clear" w:color="auto" w:fill="auto"/>
          </w:tcPr>
          <w:p w:rsidR="00AC59CA" w:rsidRPr="00786D0E" w:rsidRDefault="00AC59CA" w:rsidP="001F354C">
            <w:pPr>
              <w:pStyle w:val="TableText"/>
            </w:pPr>
          </w:p>
        </w:tc>
      </w:tr>
      <w:tr w:rsidR="00AC59CA" w:rsidRPr="00786D0E" w:rsidTr="001F354C">
        <w:tc>
          <w:tcPr>
            <w:tcW w:w="798" w:type="pct"/>
            <w:tcBorders>
              <w:top w:val="single" w:sz="4" w:space="0" w:color="auto"/>
              <w:left w:val="single" w:sz="4" w:space="0" w:color="auto"/>
              <w:bottom w:val="single" w:sz="4" w:space="0" w:color="auto"/>
              <w:right w:val="nil"/>
            </w:tcBorders>
            <w:shd w:val="clear" w:color="auto" w:fill="auto"/>
            <w:vAlign w:val="center"/>
          </w:tcPr>
          <w:p w:rsidR="00AC59CA" w:rsidRPr="00786D0E" w:rsidRDefault="00AC59CA" w:rsidP="001F354C">
            <w:pPr>
              <w:pStyle w:val="TableText"/>
            </w:pPr>
            <w:proofErr w:type="spellStart"/>
            <w:r w:rsidRPr="00786D0E">
              <w:t>Crizotinib</w:t>
            </w:r>
            <w:proofErr w:type="spellEnd"/>
          </w:p>
        </w:tc>
        <w:tc>
          <w:tcPr>
            <w:tcW w:w="856" w:type="pct"/>
            <w:tcBorders>
              <w:top w:val="single" w:sz="4" w:space="0" w:color="auto"/>
              <w:left w:val="nil"/>
              <w:bottom w:val="single" w:sz="4" w:space="0" w:color="auto"/>
              <w:right w:val="nil"/>
            </w:tcBorders>
            <w:shd w:val="clear" w:color="auto" w:fill="auto"/>
            <w:vAlign w:val="center"/>
          </w:tcPr>
          <w:p w:rsidR="00AC59CA" w:rsidRPr="00786D0E" w:rsidRDefault="00AC59CA" w:rsidP="001F354C">
            <w:pPr>
              <w:pStyle w:val="TableText"/>
            </w:pPr>
          </w:p>
        </w:tc>
        <w:tc>
          <w:tcPr>
            <w:tcW w:w="234" w:type="pct"/>
            <w:tcBorders>
              <w:top w:val="single" w:sz="4" w:space="0" w:color="auto"/>
              <w:left w:val="nil"/>
              <w:bottom w:val="single" w:sz="4" w:space="0" w:color="auto"/>
              <w:right w:val="nil"/>
            </w:tcBorders>
          </w:tcPr>
          <w:p w:rsidR="00AC59CA" w:rsidRPr="00786D0E" w:rsidRDefault="00AC59CA" w:rsidP="001F354C">
            <w:pPr>
              <w:pStyle w:val="TableText"/>
            </w:pPr>
          </w:p>
        </w:tc>
        <w:tc>
          <w:tcPr>
            <w:tcW w:w="392" w:type="pct"/>
            <w:tcBorders>
              <w:top w:val="single" w:sz="4" w:space="0" w:color="auto"/>
              <w:left w:val="nil"/>
              <w:bottom w:val="single" w:sz="4" w:space="0" w:color="auto"/>
              <w:right w:val="nil"/>
            </w:tcBorders>
            <w:shd w:val="clear" w:color="auto" w:fill="auto"/>
          </w:tcPr>
          <w:p w:rsidR="00AC59CA" w:rsidRPr="00786D0E" w:rsidRDefault="00AC59CA" w:rsidP="001F354C">
            <w:pPr>
              <w:pStyle w:val="TableText"/>
            </w:pPr>
          </w:p>
        </w:tc>
        <w:tc>
          <w:tcPr>
            <w:tcW w:w="1404" w:type="pct"/>
            <w:tcBorders>
              <w:top w:val="single" w:sz="4" w:space="0" w:color="auto"/>
              <w:left w:val="nil"/>
              <w:bottom w:val="single" w:sz="4" w:space="0" w:color="auto"/>
              <w:right w:val="nil"/>
            </w:tcBorders>
            <w:shd w:val="clear" w:color="auto" w:fill="auto"/>
          </w:tcPr>
          <w:p w:rsidR="00AC59CA" w:rsidRPr="00786D0E" w:rsidRDefault="00AC59CA" w:rsidP="001F354C">
            <w:pPr>
              <w:pStyle w:val="TableText"/>
            </w:pPr>
          </w:p>
        </w:tc>
        <w:tc>
          <w:tcPr>
            <w:tcW w:w="936" w:type="pct"/>
            <w:tcBorders>
              <w:top w:val="single" w:sz="4" w:space="0" w:color="auto"/>
              <w:left w:val="nil"/>
              <w:bottom w:val="single" w:sz="4" w:space="0" w:color="auto"/>
              <w:right w:val="nil"/>
            </w:tcBorders>
            <w:shd w:val="clear" w:color="auto" w:fill="auto"/>
          </w:tcPr>
          <w:p w:rsidR="00AC59CA" w:rsidRPr="00786D0E" w:rsidRDefault="00AC59CA" w:rsidP="001F354C">
            <w:pPr>
              <w:pStyle w:val="TableText"/>
            </w:pPr>
          </w:p>
        </w:tc>
        <w:tc>
          <w:tcPr>
            <w:tcW w:w="380" w:type="pct"/>
            <w:tcBorders>
              <w:top w:val="single" w:sz="4" w:space="0" w:color="auto"/>
              <w:left w:val="nil"/>
              <w:bottom w:val="single" w:sz="4" w:space="0" w:color="auto"/>
              <w:right w:val="single" w:sz="4" w:space="0" w:color="auto"/>
            </w:tcBorders>
            <w:shd w:val="clear" w:color="auto" w:fill="auto"/>
          </w:tcPr>
          <w:p w:rsidR="00AC59CA" w:rsidRPr="00786D0E" w:rsidRDefault="00AC59CA" w:rsidP="001F354C">
            <w:pPr>
              <w:pStyle w:val="TableText"/>
            </w:pPr>
          </w:p>
        </w:tc>
      </w:tr>
      <w:tr w:rsidR="00AC59CA" w:rsidRPr="00786D0E" w:rsidTr="001F354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C59CA" w:rsidRPr="00786D0E" w:rsidRDefault="00AC59CA" w:rsidP="001F354C">
            <w:pPr>
              <w:pStyle w:val="TableText"/>
            </w:pPr>
            <w:proofErr w:type="spellStart"/>
            <w:r w:rsidRPr="00786D0E">
              <w:t>Michels</w:t>
            </w:r>
            <w:proofErr w:type="spellEnd"/>
            <w:r w:rsidRPr="00786D0E">
              <w:t xml:space="preserve"> 2016</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C59CA" w:rsidRPr="00786D0E" w:rsidRDefault="00AC59CA" w:rsidP="001F354C">
            <w:pPr>
              <w:pStyle w:val="TableText"/>
            </w:pPr>
            <w:r w:rsidRPr="00786D0E">
              <w:t xml:space="preserve">Phase II, OL </w:t>
            </w:r>
            <w:r w:rsidRPr="00786D0E">
              <w:br/>
              <w:t>(Spain, Germany)</w:t>
            </w:r>
          </w:p>
        </w:tc>
        <w:tc>
          <w:tcPr>
            <w:tcW w:w="234" w:type="pct"/>
            <w:tcBorders>
              <w:top w:val="single" w:sz="4" w:space="0" w:color="auto"/>
              <w:left w:val="single" w:sz="4" w:space="0" w:color="auto"/>
              <w:bottom w:val="single" w:sz="4" w:space="0" w:color="auto"/>
              <w:right w:val="single" w:sz="4" w:space="0" w:color="auto"/>
            </w:tcBorders>
          </w:tcPr>
          <w:p w:rsidR="00AC59CA" w:rsidRPr="00786D0E" w:rsidRDefault="00AC59CA" w:rsidP="001F354C">
            <w:pPr>
              <w:pStyle w:val="TableText"/>
            </w:pPr>
            <w:r w:rsidRPr="00786D0E">
              <w:t>33</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Unclear</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420D95" w:rsidP="001F354C">
            <w:pPr>
              <w:pStyle w:val="TableText"/>
            </w:pPr>
            <w:r w:rsidRPr="00786D0E">
              <w:rPr>
                <w:i/>
              </w:rPr>
              <w:t>ROS1</w:t>
            </w:r>
            <w:r w:rsidR="00AC59CA" w:rsidRPr="00786D0E">
              <w:t xml:space="preserve">-pos (FISH); </w:t>
            </w:r>
            <w:proofErr w:type="spellStart"/>
            <w:r w:rsidR="00AC59CA" w:rsidRPr="00786D0E">
              <w:t>adv</w:t>
            </w:r>
            <w:proofErr w:type="spellEnd"/>
            <w:r w:rsidR="00AC59CA" w:rsidRPr="00786D0E">
              <w:t xml:space="preserve"> NSCLC</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 xml:space="preserve">PFS </w:t>
            </w:r>
            <w:r w:rsidRPr="00786D0E">
              <w:rPr>
                <w:vertAlign w:val="superscript"/>
              </w:rPr>
              <w:t>a</w:t>
            </w:r>
            <w:r w:rsidRPr="00786D0E">
              <w:t>, ORR</w:t>
            </w:r>
          </w:p>
        </w:tc>
        <w:tc>
          <w:tcPr>
            <w:tcW w:w="380" w:type="pct"/>
            <w:tcBorders>
              <w:top w:val="single" w:sz="4" w:space="0" w:color="auto"/>
              <w:left w:val="single" w:sz="4" w:space="0" w:color="auto"/>
              <w:bottom w:val="nil"/>
              <w:right w:val="single" w:sz="4" w:space="0" w:color="auto"/>
            </w:tcBorders>
            <w:shd w:val="clear" w:color="auto" w:fill="auto"/>
          </w:tcPr>
          <w:p w:rsidR="00AC59CA" w:rsidRPr="00786D0E" w:rsidRDefault="00AC59CA" w:rsidP="001F354C">
            <w:pPr>
              <w:pStyle w:val="TableText"/>
            </w:pPr>
            <w:r w:rsidRPr="00786D0E">
              <w:t>No</w:t>
            </w:r>
          </w:p>
        </w:tc>
      </w:tr>
      <w:tr w:rsidR="00AC59CA" w:rsidRPr="00786D0E" w:rsidTr="001F354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C59CA" w:rsidRPr="00786D0E" w:rsidRDefault="00AC59CA" w:rsidP="001F354C">
            <w:pPr>
              <w:pStyle w:val="TableText"/>
            </w:pPr>
            <w:r w:rsidRPr="00786D0E">
              <w:t>Moro-</w:t>
            </w:r>
            <w:proofErr w:type="spellStart"/>
            <w:r w:rsidRPr="00786D0E">
              <w:t>Sibilot</w:t>
            </w:r>
            <w:proofErr w:type="spellEnd"/>
            <w:r w:rsidRPr="00786D0E">
              <w:t xml:space="preserve"> 2015</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C59CA" w:rsidRPr="00786D0E" w:rsidRDefault="00AC59CA" w:rsidP="001F354C">
            <w:pPr>
              <w:pStyle w:val="TableText"/>
            </w:pPr>
            <w:r w:rsidRPr="00786D0E">
              <w:t>Phase II, OL (France)</w:t>
            </w:r>
          </w:p>
        </w:tc>
        <w:tc>
          <w:tcPr>
            <w:tcW w:w="234" w:type="pct"/>
            <w:tcBorders>
              <w:top w:val="single" w:sz="4" w:space="0" w:color="auto"/>
              <w:left w:val="single" w:sz="4" w:space="0" w:color="auto"/>
              <w:bottom w:val="single" w:sz="4" w:space="0" w:color="auto"/>
              <w:right w:val="single" w:sz="4" w:space="0" w:color="auto"/>
            </w:tcBorders>
          </w:tcPr>
          <w:p w:rsidR="00AC59CA" w:rsidRPr="00786D0E" w:rsidRDefault="00AC59CA" w:rsidP="001F354C">
            <w:pPr>
              <w:pStyle w:val="TableText"/>
            </w:pPr>
            <w:r w:rsidRPr="00786D0E">
              <w:t>34</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Unclear</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420D95" w:rsidP="001F354C">
            <w:pPr>
              <w:pStyle w:val="TableText"/>
            </w:pPr>
            <w:r w:rsidRPr="00786D0E">
              <w:rPr>
                <w:i/>
              </w:rPr>
              <w:t>ROS1</w:t>
            </w:r>
            <w:r w:rsidR="00AC59CA" w:rsidRPr="00786D0E">
              <w:t xml:space="preserve">-pos (FISH); </w:t>
            </w:r>
            <w:proofErr w:type="spellStart"/>
            <w:r w:rsidR="00AC59CA" w:rsidRPr="00786D0E">
              <w:t>adv</w:t>
            </w:r>
            <w:proofErr w:type="spellEnd"/>
            <w:r w:rsidR="00AC59CA" w:rsidRPr="00786D0E">
              <w:t xml:space="preserve"> NSCLC</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 xml:space="preserve">ORR </w:t>
            </w:r>
            <w:r w:rsidRPr="00786D0E">
              <w:rPr>
                <w:vertAlign w:val="superscript"/>
              </w:rPr>
              <w:t>a</w:t>
            </w:r>
            <w:r w:rsidRPr="00786D0E">
              <w:t>, OS, AEs</w:t>
            </w:r>
          </w:p>
        </w:tc>
        <w:tc>
          <w:tcPr>
            <w:tcW w:w="380" w:type="pct"/>
            <w:tcBorders>
              <w:top w:val="nil"/>
              <w:left w:val="single" w:sz="4" w:space="0" w:color="auto"/>
              <w:bottom w:val="nil"/>
              <w:right w:val="single" w:sz="4" w:space="0" w:color="auto"/>
            </w:tcBorders>
            <w:shd w:val="clear" w:color="auto" w:fill="auto"/>
          </w:tcPr>
          <w:p w:rsidR="00AC59CA" w:rsidRPr="00786D0E" w:rsidRDefault="00AC59CA" w:rsidP="001F354C">
            <w:pPr>
              <w:pStyle w:val="TableText"/>
            </w:pPr>
          </w:p>
        </w:tc>
      </w:tr>
      <w:tr w:rsidR="00AC59CA" w:rsidRPr="00786D0E" w:rsidTr="001F354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C59CA" w:rsidRPr="00786D0E" w:rsidRDefault="00AC59CA" w:rsidP="001F354C">
            <w:pPr>
              <w:pStyle w:val="TableText"/>
              <w:rPr>
                <w:vertAlign w:val="superscript"/>
              </w:rPr>
            </w:pPr>
            <w:proofErr w:type="spellStart"/>
            <w:r w:rsidRPr="00786D0E">
              <w:t>Maziéres</w:t>
            </w:r>
            <w:proofErr w:type="spellEnd"/>
            <w:r w:rsidRPr="00786D0E">
              <w:t xml:space="preserve"> 2015 </w:t>
            </w:r>
            <w:r w:rsidRPr="00786D0E">
              <w:rPr>
                <w:vertAlign w:val="superscript"/>
              </w:rPr>
              <w:t>e</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C59CA" w:rsidRPr="00786D0E" w:rsidRDefault="00AC59CA" w:rsidP="001F354C">
            <w:pPr>
              <w:pStyle w:val="TableText"/>
            </w:pPr>
            <w:r w:rsidRPr="00786D0E">
              <w:t>Retro, MC, OL</w:t>
            </w:r>
          </w:p>
          <w:p w:rsidR="00AC59CA" w:rsidRPr="00786D0E" w:rsidRDefault="00AC59CA" w:rsidP="001F354C">
            <w:pPr>
              <w:pStyle w:val="TableText"/>
            </w:pPr>
            <w:r w:rsidRPr="00786D0E">
              <w:t>(Europe)</w:t>
            </w:r>
            <w:r w:rsidRPr="00786D0E">
              <w:rPr>
                <w:vertAlign w:val="superscript"/>
              </w:rPr>
              <w:t xml:space="preserve"> f</w:t>
            </w:r>
          </w:p>
        </w:tc>
        <w:tc>
          <w:tcPr>
            <w:tcW w:w="234" w:type="pct"/>
            <w:tcBorders>
              <w:top w:val="single" w:sz="4" w:space="0" w:color="auto"/>
              <w:left w:val="single" w:sz="4" w:space="0" w:color="auto"/>
              <w:bottom w:val="single" w:sz="4" w:space="0" w:color="auto"/>
              <w:right w:val="single" w:sz="4" w:space="0" w:color="auto"/>
            </w:tcBorders>
          </w:tcPr>
          <w:p w:rsidR="00AC59CA" w:rsidRPr="00786D0E" w:rsidRDefault="00AC59CA" w:rsidP="001F354C">
            <w:pPr>
              <w:pStyle w:val="TableText"/>
            </w:pPr>
            <w:r w:rsidRPr="00786D0E">
              <w:t>32</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High</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420D95" w:rsidP="001F354C">
            <w:pPr>
              <w:pStyle w:val="TableText"/>
            </w:pPr>
            <w:r w:rsidRPr="00786D0E">
              <w:rPr>
                <w:i/>
              </w:rPr>
              <w:t>ROS1</w:t>
            </w:r>
            <w:r w:rsidR="00AC59CA" w:rsidRPr="00786D0E">
              <w:t>-pos (FISH); Stage IV NSCLC (adeno)</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 xml:space="preserve">ORR </w:t>
            </w:r>
            <w:r w:rsidRPr="00786D0E">
              <w:rPr>
                <w:vertAlign w:val="superscript"/>
              </w:rPr>
              <w:t>a</w:t>
            </w:r>
            <w:r w:rsidRPr="00786D0E">
              <w:t>, PFS, OS, AEs</w:t>
            </w:r>
          </w:p>
        </w:tc>
        <w:tc>
          <w:tcPr>
            <w:tcW w:w="380" w:type="pct"/>
            <w:tcBorders>
              <w:top w:val="nil"/>
              <w:left w:val="single" w:sz="4" w:space="0" w:color="auto"/>
              <w:bottom w:val="nil"/>
              <w:right w:val="single" w:sz="4" w:space="0" w:color="auto"/>
            </w:tcBorders>
            <w:shd w:val="clear" w:color="auto" w:fill="auto"/>
          </w:tcPr>
          <w:p w:rsidR="00AC59CA" w:rsidRPr="00786D0E" w:rsidRDefault="00AC59CA" w:rsidP="001F354C">
            <w:pPr>
              <w:pStyle w:val="TableText"/>
            </w:pPr>
          </w:p>
        </w:tc>
      </w:tr>
      <w:tr w:rsidR="00AC59CA" w:rsidRPr="00786D0E" w:rsidTr="001F354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C59CA" w:rsidRPr="00786D0E" w:rsidRDefault="00AC59CA" w:rsidP="001F354C">
            <w:pPr>
              <w:pStyle w:val="TableText"/>
              <w:rPr>
                <w:vertAlign w:val="superscript"/>
              </w:rPr>
            </w:pPr>
            <w:r w:rsidRPr="00786D0E">
              <w:t xml:space="preserve">Zhang 2016 </w:t>
            </w:r>
            <w:r w:rsidRPr="00786D0E">
              <w:rPr>
                <w:vertAlign w:val="superscript"/>
              </w:rPr>
              <w:t>g</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C59CA" w:rsidRPr="00786D0E" w:rsidRDefault="00AC59CA" w:rsidP="001F354C">
            <w:pPr>
              <w:pStyle w:val="TableText"/>
            </w:pPr>
            <w:r w:rsidRPr="00786D0E">
              <w:t>Retro, OL (China)</w:t>
            </w:r>
          </w:p>
        </w:tc>
        <w:tc>
          <w:tcPr>
            <w:tcW w:w="234" w:type="pct"/>
            <w:tcBorders>
              <w:top w:val="single" w:sz="4" w:space="0" w:color="auto"/>
              <w:left w:val="single" w:sz="4" w:space="0" w:color="auto"/>
              <w:bottom w:val="single" w:sz="4" w:space="0" w:color="auto"/>
              <w:right w:val="single" w:sz="4" w:space="0" w:color="auto"/>
            </w:tcBorders>
          </w:tcPr>
          <w:p w:rsidR="00AC59CA" w:rsidRPr="00786D0E" w:rsidRDefault="00AC59CA" w:rsidP="001F354C">
            <w:pPr>
              <w:pStyle w:val="TableText"/>
              <w:rPr>
                <w:vertAlign w:val="superscript"/>
              </w:rPr>
            </w:pPr>
            <w:r w:rsidRPr="00786D0E">
              <w:t>51</w:t>
            </w:r>
            <w:r w:rsidRPr="00786D0E">
              <w:rPr>
                <w:vertAlign w:val="superscript"/>
              </w:rPr>
              <w:t>g</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High</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420D95" w:rsidP="001F354C">
            <w:pPr>
              <w:pStyle w:val="TableText"/>
            </w:pPr>
            <w:r w:rsidRPr="00786D0E">
              <w:rPr>
                <w:i/>
              </w:rPr>
              <w:t>ROS1</w:t>
            </w:r>
            <w:r w:rsidR="00AC59CA" w:rsidRPr="00786D0E">
              <w:t xml:space="preserve">-pos (RT-PCR); </w:t>
            </w:r>
            <w:proofErr w:type="spellStart"/>
            <w:r w:rsidR="00AC59CA" w:rsidRPr="00786D0E">
              <w:t>adv</w:t>
            </w:r>
            <w:proofErr w:type="spellEnd"/>
            <w:r w:rsidR="00AC59CA" w:rsidRPr="00786D0E">
              <w:t xml:space="preserve"> NSCLC</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r w:rsidRPr="00786D0E">
              <w:t xml:space="preserve">PFS </w:t>
            </w:r>
            <w:r w:rsidRPr="00786D0E">
              <w:rPr>
                <w:vertAlign w:val="superscript"/>
              </w:rPr>
              <w:t>a</w:t>
            </w:r>
            <w:r w:rsidRPr="00786D0E">
              <w:t>, ORR</w:t>
            </w:r>
          </w:p>
        </w:tc>
        <w:tc>
          <w:tcPr>
            <w:tcW w:w="380" w:type="pct"/>
            <w:tcBorders>
              <w:top w:val="nil"/>
              <w:left w:val="single" w:sz="4" w:space="0" w:color="auto"/>
              <w:bottom w:val="single" w:sz="4" w:space="0" w:color="auto"/>
              <w:right w:val="single" w:sz="4" w:space="0" w:color="auto"/>
            </w:tcBorders>
            <w:shd w:val="clear" w:color="auto" w:fill="auto"/>
          </w:tcPr>
          <w:p w:rsidR="00AC59CA" w:rsidRPr="00786D0E" w:rsidRDefault="00AC59CA" w:rsidP="001F354C">
            <w:pPr>
              <w:pStyle w:val="TableText"/>
            </w:pPr>
          </w:p>
        </w:tc>
      </w:tr>
    </w:tbl>
    <w:p w:rsidR="00AC59CA" w:rsidRPr="00786D0E" w:rsidRDefault="00AC59CA" w:rsidP="00AC59CA">
      <w:pPr>
        <w:pStyle w:val="TableFooter"/>
      </w:pPr>
      <w:r w:rsidRPr="00786D0E">
        <w:t xml:space="preserve">Source: Complied during the evaluation from pp101-127 of the submission, A8081001 CSR, OO12-01 CSR, Hanna et al. 2004, </w:t>
      </w:r>
      <w:proofErr w:type="spellStart"/>
      <w:r w:rsidRPr="00786D0E">
        <w:t>Scagliotti</w:t>
      </w:r>
      <w:proofErr w:type="spellEnd"/>
      <w:r w:rsidRPr="00786D0E">
        <w:t xml:space="preserve"> et al. 2009, </w:t>
      </w:r>
      <w:proofErr w:type="spellStart"/>
      <w:r w:rsidRPr="00786D0E">
        <w:t>Michels</w:t>
      </w:r>
      <w:proofErr w:type="spellEnd"/>
      <w:r w:rsidRPr="00786D0E">
        <w:t xml:space="preserve"> et al 2016, Moro-</w:t>
      </w:r>
      <w:proofErr w:type="spellStart"/>
      <w:r w:rsidRPr="00786D0E">
        <w:t>Sibilot</w:t>
      </w:r>
      <w:proofErr w:type="spellEnd"/>
      <w:r w:rsidRPr="00786D0E">
        <w:t xml:space="preserve"> 2015, </w:t>
      </w:r>
      <w:proofErr w:type="spellStart"/>
      <w:r w:rsidRPr="00786D0E">
        <w:t>Maziéres</w:t>
      </w:r>
      <w:proofErr w:type="spellEnd"/>
      <w:r w:rsidRPr="00786D0E">
        <w:t xml:space="preserve"> 2015 and Zhang 2016</w:t>
      </w:r>
    </w:p>
    <w:p w:rsidR="00AC59CA" w:rsidRPr="00786D0E" w:rsidRDefault="00AC59CA" w:rsidP="00AC59CA">
      <w:pPr>
        <w:pStyle w:val="TableFooter"/>
      </w:pPr>
      <w:r w:rsidRPr="00786D0E">
        <w:t xml:space="preserve">Adeno = adenocarcinoma; </w:t>
      </w:r>
      <w:proofErr w:type="spellStart"/>
      <w:r w:rsidRPr="00786D0E">
        <w:t>Adv</w:t>
      </w:r>
      <w:proofErr w:type="spellEnd"/>
      <w:r w:rsidRPr="00786D0E">
        <w:t xml:space="preserve"> = advanced (not further defined); AE = adverse events; AU = Australia; MC = multi centre; FISH = fluorescent in-situ hybridisation; IHC = immunohistochemistry; </w:t>
      </w:r>
      <w:proofErr w:type="spellStart"/>
      <w:r w:rsidRPr="00786D0E">
        <w:t>neg</w:t>
      </w:r>
      <w:proofErr w:type="spellEnd"/>
      <w:r w:rsidRPr="00786D0E">
        <w:t xml:space="preserve"> = negative; NS = non-squamous; NSCLC = non-small cell lung cancer OL = open label; ORR = objective response rate; OS = overall survival; PFS = progression-free survival; </w:t>
      </w:r>
      <w:proofErr w:type="spellStart"/>
      <w:r w:rsidRPr="00786D0E">
        <w:t>pos</w:t>
      </w:r>
      <w:proofErr w:type="spellEnd"/>
      <w:r w:rsidRPr="00786D0E">
        <w:t xml:space="preserve"> = positive; Retro = retrospective; R = randomised; RT-PCR = reverse transcription polymerase chain reaction; </w:t>
      </w:r>
      <w:proofErr w:type="spellStart"/>
      <w:r w:rsidRPr="00786D0E">
        <w:t>S.Korea</w:t>
      </w:r>
      <w:proofErr w:type="spellEnd"/>
      <w:r w:rsidRPr="00786D0E">
        <w:t xml:space="preserve"> = South Korea; USA = United States of America; vs. = versus</w:t>
      </w:r>
    </w:p>
    <w:p w:rsidR="00AC59CA" w:rsidRPr="00786D0E" w:rsidRDefault="00AC59CA" w:rsidP="00AC59CA">
      <w:pPr>
        <w:pStyle w:val="TableFooter"/>
      </w:pPr>
      <w:proofErr w:type="gramStart"/>
      <w:r w:rsidRPr="00786D0E">
        <w:rPr>
          <w:vertAlign w:val="superscript"/>
        </w:rPr>
        <w:t>a</w:t>
      </w:r>
      <w:proofErr w:type="gramEnd"/>
      <w:r w:rsidRPr="00786D0E">
        <w:rPr>
          <w:vertAlign w:val="superscript"/>
        </w:rPr>
        <w:t xml:space="preserve"> </w:t>
      </w:r>
      <w:r w:rsidRPr="00786D0E">
        <w:t>Primary outcome</w:t>
      </w:r>
    </w:p>
    <w:p w:rsidR="00AC59CA" w:rsidRPr="00786D0E" w:rsidRDefault="00AC59CA" w:rsidP="00AC59CA">
      <w:pPr>
        <w:pStyle w:val="TableFooter"/>
      </w:pPr>
      <w:proofErr w:type="gramStart"/>
      <w:r w:rsidRPr="00786D0E">
        <w:rPr>
          <w:vertAlign w:val="superscript"/>
        </w:rPr>
        <w:t>b</w:t>
      </w:r>
      <w:proofErr w:type="gramEnd"/>
      <w:r w:rsidRPr="00786D0E">
        <w:rPr>
          <w:vertAlign w:val="superscript"/>
        </w:rPr>
        <w:t xml:space="preserve"> </w:t>
      </w:r>
      <w:r w:rsidRPr="00786D0E">
        <w:t>China, Japan, Taiwan and South Korea</w:t>
      </w:r>
    </w:p>
    <w:p w:rsidR="00AC59CA" w:rsidRPr="00786D0E" w:rsidRDefault="00AC59CA" w:rsidP="00AC59CA">
      <w:pPr>
        <w:pStyle w:val="TableFooter"/>
      </w:pPr>
      <w:proofErr w:type="gramStart"/>
      <w:r w:rsidRPr="00786D0E">
        <w:rPr>
          <w:vertAlign w:val="superscript"/>
        </w:rPr>
        <w:t>c</w:t>
      </w:r>
      <w:proofErr w:type="gramEnd"/>
      <w:r w:rsidRPr="00786D0E">
        <w:t xml:space="preserve"> Combined Kaplan-Meier data from restricted cohort (OS and PFS restricted at last event)</w:t>
      </w:r>
    </w:p>
    <w:p w:rsidR="00AC59CA" w:rsidRPr="00786D0E" w:rsidRDefault="00AC59CA" w:rsidP="00AC59CA">
      <w:pPr>
        <w:pStyle w:val="TableFooter"/>
      </w:pPr>
      <w:proofErr w:type="gramStart"/>
      <w:r w:rsidRPr="00786D0E">
        <w:rPr>
          <w:vertAlign w:val="superscript"/>
        </w:rPr>
        <w:t>d</w:t>
      </w:r>
      <w:proofErr w:type="gramEnd"/>
      <w:r w:rsidRPr="00786D0E">
        <w:rPr>
          <w:vertAlign w:val="superscript"/>
        </w:rPr>
        <w:t xml:space="preserve"> </w:t>
      </w:r>
      <w:r w:rsidRPr="00786D0E">
        <w:t>Retrospective analysis of Hanna et al. 2004 by NSCLC histology (squamous and non-squamous)</w:t>
      </w:r>
    </w:p>
    <w:p w:rsidR="00AC59CA" w:rsidRPr="00786D0E" w:rsidRDefault="00AC59CA" w:rsidP="00AC59CA">
      <w:pPr>
        <w:pStyle w:val="TableFooter"/>
      </w:pPr>
      <w:proofErr w:type="gramStart"/>
      <w:r w:rsidRPr="00786D0E">
        <w:rPr>
          <w:vertAlign w:val="superscript"/>
        </w:rPr>
        <w:t>e</w:t>
      </w:r>
      <w:proofErr w:type="gramEnd"/>
      <w:r w:rsidRPr="00786D0E">
        <w:rPr>
          <w:vertAlign w:val="superscript"/>
        </w:rPr>
        <w:t xml:space="preserve"> </w:t>
      </w:r>
      <w:r w:rsidRPr="00786D0E">
        <w:t>A total of 26 (81%) patients received</w:t>
      </w:r>
      <w:r w:rsidRPr="00786D0E">
        <w:rPr>
          <w:vertAlign w:val="superscript"/>
        </w:rPr>
        <w:t xml:space="preserve"> </w:t>
      </w:r>
      <w:proofErr w:type="spellStart"/>
      <w:r w:rsidRPr="00786D0E">
        <w:t>pemetrexed</w:t>
      </w:r>
      <w:proofErr w:type="spellEnd"/>
      <w:r w:rsidRPr="00786D0E">
        <w:t xml:space="preserve"> (either alone or in combination with platinum-based chemotherapy and either before or after </w:t>
      </w:r>
      <w:proofErr w:type="spellStart"/>
      <w:r w:rsidRPr="00786D0E">
        <w:t>crizotinib</w:t>
      </w:r>
      <w:proofErr w:type="spellEnd"/>
    </w:p>
    <w:p w:rsidR="00AC59CA" w:rsidRPr="00786D0E" w:rsidRDefault="00AC59CA" w:rsidP="00AC59CA">
      <w:pPr>
        <w:pStyle w:val="TableFooter"/>
      </w:pPr>
      <w:proofErr w:type="gramStart"/>
      <w:r w:rsidRPr="00786D0E">
        <w:rPr>
          <w:vertAlign w:val="superscript"/>
        </w:rPr>
        <w:t>f</w:t>
      </w:r>
      <w:proofErr w:type="gramEnd"/>
      <w:r w:rsidRPr="00786D0E">
        <w:t xml:space="preserve"> France, Switzerland, Italy, Germany, Poland, and the Netherlands</w:t>
      </w:r>
    </w:p>
    <w:p w:rsidR="00AC59CA" w:rsidRPr="00786D0E" w:rsidRDefault="00AC59CA" w:rsidP="00AC59CA">
      <w:pPr>
        <w:pStyle w:val="TableFooter"/>
      </w:pPr>
      <w:proofErr w:type="gramStart"/>
      <w:r w:rsidRPr="00786D0E">
        <w:rPr>
          <w:vertAlign w:val="superscript"/>
        </w:rPr>
        <w:t>g</w:t>
      </w:r>
      <w:proofErr w:type="gramEnd"/>
      <w:r w:rsidRPr="00786D0E">
        <w:rPr>
          <w:vertAlign w:val="superscript"/>
        </w:rPr>
        <w:t xml:space="preserve"> </w:t>
      </w:r>
      <w:r w:rsidRPr="00786D0E">
        <w:t>A total of 15 (2</w:t>
      </w:r>
      <w:r w:rsidR="00891F78" w:rsidRPr="00786D0E">
        <w:t>9</w:t>
      </w:r>
      <w:r w:rsidRPr="00786D0E">
        <w:t xml:space="preserve">%) </w:t>
      </w:r>
      <w:r w:rsidR="00777530" w:rsidRPr="00786D0E">
        <w:t xml:space="preserve">patients </w:t>
      </w:r>
      <w:r w:rsidRPr="00786D0E">
        <w:t xml:space="preserve">received </w:t>
      </w:r>
      <w:proofErr w:type="spellStart"/>
      <w:r w:rsidRPr="00786D0E">
        <w:t>crizotinib</w:t>
      </w:r>
      <w:proofErr w:type="spellEnd"/>
      <w:r w:rsidRPr="00786D0E">
        <w:t xml:space="preserve"> in </w:t>
      </w:r>
      <w:r w:rsidRPr="00786D0E">
        <w:rPr>
          <w:rFonts w:ascii="Times New Roman" w:hAnsi="Times New Roman" w:cs="Times New Roman"/>
        </w:rPr>
        <w:t>≥</w:t>
      </w:r>
      <w:r w:rsidRPr="00786D0E">
        <w:t>2</w:t>
      </w:r>
      <w:r w:rsidRPr="00786D0E">
        <w:rPr>
          <w:vertAlign w:val="superscript"/>
        </w:rPr>
        <w:t>nd</w:t>
      </w:r>
      <w:r w:rsidRPr="00786D0E">
        <w:t xml:space="preserve"> line, 49 (96%) patient</w:t>
      </w:r>
      <w:r w:rsidR="00777530" w:rsidRPr="00786D0E">
        <w:t>s</w:t>
      </w:r>
      <w:r w:rsidRPr="00786D0E">
        <w:t xml:space="preserve"> received </w:t>
      </w:r>
      <w:proofErr w:type="spellStart"/>
      <w:r w:rsidRPr="00786D0E">
        <w:t>pemetrexed</w:t>
      </w:r>
      <w:proofErr w:type="spellEnd"/>
      <w:r w:rsidRPr="00786D0E">
        <w:t xml:space="preserve"> (1</w:t>
      </w:r>
      <w:r w:rsidRPr="00786D0E">
        <w:rPr>
          <w:vertAlign w:val="superscript"/>
        </w:rPr>
        <w:t>st</w:t>
      </w:r>
      <w:r w:rsidRPr="00786D0E">
        <w:t xml:space="preserve"> line: n=28; </w:t>
      </w:r>
      <w:r w:rsidRPr="00786D0E">
        <w:rPr>
          <w:rFonts w:ascii="Times New Roman" w:hAnsi="Times New Roman" w:cs="Times New Roman"/>
        </w:rPr>
        <w:t>≥</w:t>
      </w:r>
      <w:r w:rsidRPr="00786D0E">
        <w:t>2</w:t>
      </w:r>
      <w:r w:rsidRPr="00786D0E">
        <w:rPr>
          <w:vertAlign w:val="superscript"/>
        </w:rPr>
        <w:t>nd</w:t>
      </w:r>
      <w:r w:rsidRPr="00786D0E">
        <w:t xml:space="preserve"> line: n=21) and 44 </w:t>
      </w:r>
      <w:r w:rsidR="00891F78" w:rsidRPr="00786D0E">
        <w:t xml:space="preserve">(86%) </w:t>
      </w:r>
      <w:r w:rsidR="00777530" w:rsidRPr="00786D0E">
        <w:t xml:space="preserve">patients </w:t>
      </w:r>
      <w:r w:rsidRPr="00786D0E">
        <w:t>received non-</w:t>
      </w:r>
      <w:proofErr w:type="spellStart"/>
      <w:r w:rsidRPr="00786D0E">
        <w:t>pemetrexed</w:t>
      </w:r>
      <w:proofErr w:type="spellEnd"/>
      <w:r w:rsidRPr="00786D0E">
        <w:t>-based chemotherapy (1</w:t>
      </w:r>
      <w:r w:rsidRPr="00786D0E">
        <w:rPr>
          <w:vertAlign w:val="superscript"/>
        </w:rPr>
        <w:t>st</w:t>
      </w:r>
      <w:r w:rsidRPr="00786D0E">
        <w:t xml:space="preserve"> line: n=19; </w:t>
      </w:r>
      <w:r w:rsidRPr="00786D0E">
        <w:rPr>
          <w:rFonts w:ascii="Times New Roman" w:hAnsi="Times New Roman" w:cs="Times New Roman"/>
        </w:rPr>
        <w:t>≥</w:t>
      </w:r>
      <w:r w:rsidRPr="00786D0E">
        <w:t>2</w:t>
      </w:r>
      <w:r w:rsidRPr="00786D0E">
        <w:rPr>
          <w:vertAlign w:val="superscript"/>
        </w:rPr>
        <w:t>nd</w:t>
      </w:r>
      <w:r w:rsidRPr="00786D0E">
        <w:t xml:space="preserve"> line: n=25)</w:t>
      </w:r>
    </w:p>
    <w:p w:rsidR="00AC59CA" w:rsidRPr="00786D0E" w:rsidRDefault="00AC59CA" w:rsidP="000D39E9">
      <w:pPr>
        <w:pStyle w:val="ListParagraph"/>
        <w:numPr>
          <w:ilvl w:val="1"/>
          <w:numId w:val="2"/>
        </w:numPr>
        <w:spacing w:before="0" w:after="120"/>
        <w:jc w:val="both"/>
      </w:pPr>
      <w:r w:rsidRPr="00786D0E">
        <w:t xml:space="preserve">There were a number of transitivity issues across the </w:t>
      </w:r>
      <w:proofErr w:type="spellStart"/>
      <w:r w:rsidRPr="00786D0E">
        <w:t>crizotinib</w:t>
      </w:r>
      <w:proofErr w:type="spellEnd"/>
      <w:r w:rsidRPr="00786D0E">
        <w:t xml:space="preserve"> studies and Hann</w:t>
      </w:r>
      <w:r w:rsidR="000F6482" w:rsidRPr="00786D0E">
        <w:t>a et al (2004). These included:</w:t>
      </w:r>
    </w:p>
    <w:p w:rsidR="00AC59CA" w:rsidRPr="00786D0E" w:rsidRDefault="00AC59CA" w:rsidP="00C37FB2">
      <w:pPr>
        <w:pStyle w:val="ListParagraph"/>
        <w:numPr>
          <w:ilvl w:val="0"/>
          <w:numId w:val="13"/>
        </w:numPr>
        <w:spacing w:before="0" w:after="120"/>
        <w:ind w:left="1134"/>
        <w:jc w:val="both"/>
      </w:pPr>
      <w:r w:rsidRPr="00786D0E">
        <w:t xml:space="preserve">the comparison of a </w:t>
      </w:r>
      <w:r w:rsidR="00420D95" w:rsidRPr="00786D0E">
        <w:rPr>
          <w:i/>
        </w:rPr>
        <w:t>ROS1</w:t>
      </w:r>
      <w:r w:rsidRPr="00786D0E">
        <w:t xml:space="preserve">-positive NSCLC population in the </w:t>
      </w:r>
      <w:proofErr w:type="spellStart"/>
      <w:r w:rsidRPr="00786D0E">
        <w:t>crizotinib</w:t>
      </w:r>
      <w:proofErr w:type="spellEnd"/>
      <w:r w:rsidRPr="00786D0E">
        <w:t xml:space="preserve"> studies compared with an unselected </w:t>
      </w:r>
      <w:proofErr w:type="spellStart"/>
      <w:r w:rsidRPr="00786D0E">
        <w:t>pemet</w:t>
      </w:r>
      <w:r w:rsidR="00C37FB2" w:rsidRPr="00786D0E">
        <w:t>rexed</w:t>
      </w:r>
      <w:proofErr w:type="spellEnd"/>
      <w:r w:rsidR="00C37FB2" w:rsidRPr="00786D0E">
        <w:t xml:space="preserve"> population in Hanna et al</w:t>
      </w:r>
      <w:r w:rsidRPr="00786D0E">
        <w:t xml:space="preserve"> 2004</w:t>
      </w:r>
      <w:r w:rsidR="00C37FB2" w:rsidRPr="00786D0E">
        <w:t>;</w:t>
      </w:r>
    </w:p>
    <w:p w:rsidR="00AC59CA" w:rsidRPr="00786D0E" w:rsidRDefault="00AC59CA" w:rsidP="00C37FB2">
      <w:pPr>
        <w:pStyle w:val="ListParagraph"/>
        <w:numPr>
          <w:ilvl w:val="0"/>
          <w:numId w:val="13"/>
        </w:numPr>
        <w:spacing w:before="0" w:after="120"/>
        <w:ind w:left="1134" w:hanging="357"/>
        <w:jc w:val="both"/>
      </w:pPr>
      <w:r w:rsidRPr="00786D0E">
        <w:t>larger proportion of patients with a performance status of 2 in Hanna et al (2004) (2% in A8081001, none in OO12-01 v</w:t>
      </w:r>
      <w:r w:rsidR="00C37FB2" w:rsidRPr="00786D0E">
        <w:t>s. 11.4% in Hanna et al (2004);</w:t>
      </w:r>
    </w:p>
    <w:p w:rsidR="00AC59CA" w:rsidRPr="00786D0E" w:rsidRDefault="00AC59CA" w:rsidP="00C37FB2">
      <w:pPr>
        <w:pStyle w:val="ListParagraph"/>
        <w:numPr>
          <w:ilvl w:val="0"/>
          <w:numId w:val="13"/>
        </w:numPr>
        <w:spacing w:before="0" w:after="120"/>
        <w:ind w:left="1134"/>
        <w:jc w:val="both"/>
      </w:pPr>
      <w:r w:rsidRPr="00786D0E">
        <w:lastRenderedPageBreak/>
        <w:t xml:space="preserve">larger proportion of patients with metastatic disease at baseline in the </w:t>
      </w:r>
      <w:proofErr w:type="spellStart"/>
      <w:r w:rsidRPr="00786D0E">
        <w:t>crizotinib</w:t>
      </w:r>
      <w:proofErr w:type="spellEnd"/>
      <w:r w:rsidRPr="00786D0E">
        <w:t xml:space="preserve"> studies (&gt;87% in A8081001 and 95% in OO12-01 </w:t>
      </w:r>
      <w:r w:rsidR="00C37FB2" w:rsidRPr="00786D0E">
        <w:t>vs. 75% in Hanna et al (2004));</w:t>
      </w:r>
    </w:p>
    <w:p w:rsidR="00AC59CA" w:rsidRPr="00786D0E" w:rsidRDefault="00AC59CA" w:rsidP="00C37FB2">
      <w:pPr>
        <w:pStyle w:val="ListParagraph"/>
        <w:numPr>
          <w:ilvl w:val="0"/>
          <w:numId w:val="13"/>
        </w:numPr>
        <w:spacing w:before="0" w:after="120"/>
        <w:ind w:left="1134"/>
        <w:jc w:val="both"/>
      </w:pPr>
      <w:r w:rsidRPr="00786D0E">
        <w:t>inclusion of patients with squamous NSCLC in Hanna et al 2004 (28%) who have p</w:t>
      </w:r>
      <w:r w:rsidR="00C37FB2" w:rsidRPr="00786D0E">
        <w:t xml:space="preserve">oorer outcomes with </w:t>
      </w:r>
      <w:proofErr w:type="spellStart"/>
      <w:r w:rsidR="00C37FB2" w:rsidRPr="00786D0E">
        <w:t>pemetrexed</w:t>
      </w:r>
      <w:proofErr w:type="spellEnd"/>
      <w:r w:rsidR="00C37FB2" w:rsidRPr="00786D0E">
        <w:t>;</w:t>
      </w:r>
    </w:p>
    <w:p w:rsidR="00AC59CA" w:rsidRPr="00786D0E" w:rsidRDefault="00AC59CA" w:rsidP="00C37FB2">
      <w:pPr>
        <w:pStyle w:val="ListParagraph"/>
        <w:numPr>
          <w:ilvl w:val="0"/>
          <w:numId w:val="13"/>
        </w:numPr>
        <w:spacing w:before="0" w:after="120"/>
        <w:ind w:left="1134"/>
        <w:jc w:val="both"/>
      </w:pPr>
      <w:r w:rsidRPr="00786D0E">
        <w:t xml:space="preserve">prior use of chemotherapy at baseline (&gt;80% in </w:t>
      </w:r>
      <w:proofErr w:type="spellStart"/>
      <w:r w:rsidRPr="00786D0E">
        <w:t>crizotinib</w:t>
      </w:r>
      <w:proofErr w:type="spellEnd"/>
      <w:r w:rsidRPr="00786D0E">
        <w:t xml:space="preserve"> studies vs. 100% in Hanna et al (2004));</w:t>
      </w:r>
    </w:p>
    <w:p w:rsidR="00AC59CA" w:rsidRPr="00786D0E" w:rsidRDefault="00AC59CA" w:rsidP="00C37FB2">
      <w:pPr>
        <w:pStyle w:val="ListParagraph"/>
        <w:numPr>
          <w:ilvl w:val="0"/>
          <w:numId w:val="13"/>
        </w:numPr>
        <w:spacing w:before="0" w:after="120"/>
        <w:ind w:left="1134"/>
        <w:jc w:val="both"/>
      </w:pPr>
      <w:proofErr w:type="gramStart"/>
      <w:r w:rsidRPr="00786D0E">
        <w:t>differences</w:t>
      </w:r>
      <w:proofErr w:type="gramEnd"/>
      <w:r w:rsidRPr="00786D0E">
        <w:t xml:space="preserve"> in treatment practices due to Hanna et al. 2004 being conducted in 2001 to 2003. The clinician survey of health service utilisation (HSU) presented in the submission reported that 22 oncologists estimated Australian patients received a median of six cycles of </w:t>
      </w:r>
      <w:proofErr w:type="spellStart"/>
      <w:r w:rsidRPr="00786D0E">
        <w:t>pemetrexed</w:t>
      </w:r>
      <w:proofErr w:type="spellEnd"/>
      <w:r w:rsidRPr="00786D0E">
        <w:t xml:space="preserve">, compared with four in Hanna et al (2004); </w:t>
      </w:r>
      <w:r w:rsidR="00DF323D" w:rsidRPr="00786D0E">
        <w:t>and</w:t>
      </w:r>
    </w:p>
    <w:p w:rsidR="00AC59CA" w:rsidRPr="00786D0E" w:rsidRDefault="00AC59CA" w:rsidP="00C37FB2">
      <w:pPr>
        <w:pStyle w:val="ListParagraph"/>
        <w:numPr>
          <w:ilvl w:val="0"/>
          <w:numId w:val="13"/>
        </w:numPr>
        <w:spacing w:before="0" w:after="120"/>
        <w:ind w:left="1134"/>
        <w:jc w:val="both"/>
      </w:pPr>
      <w:proofErr w:type="gramStart"/>
      <w:r w:rsidRPr="00786D0E">
        <w:t>predominantly</w:t>
      </w:r>
      <w:proofErr w:type="gramEnd"/>
      <w:r w:rsidRPr="00786D0E">
        <w:t xml:space="preserve"> patients of East Asian ethnicity, who have better NSCLC prognosis (Zhou and </w:t>
      </w:r>
      <w:proofErr w:type="spellStart"/>
      <w:r w:rsidRPr="00786D0E">
        <w:t>Cristiani</w:t>
      </w:r>
      <w:proofErr w:type="spellEnd"/>
      <w:r w:rsidRPr="00786D0E">
        <w:t xml:space="preserve">, 2011): in </w:t>
      </w:r>
      <w:proofErr w:type="spellStart"/>
      <w:r w:rsidRPr="00786D0E">
        <w:t>crizotinib</w:t>
      </w:r>
      <w:proofErr w:type="spellEnd"/>
      <w:r w:rsidRPr="00786D0E">
        <w:t xml:space="preserve"> studies (40% in A8081001 and 100% in OO12-01); unknown in Hanna et al (2004)</w:t>
      </w:r>
      <w:r w:rsidR="00DF323D" w:rsidRPr="00786D0E">
        <w:t>.</w:t>
      </w:r>
    </w:p>
    <w:p w:rsidR="00DF323D" w:rsidRPr="00786D0E" w:rsidRDefault="00DF323D" w:rsidP="000D39E9">
      <w:pPr>
        <w:pStyle w:val="ListParagraph"/>
        <w:numPr>
          <w:ilvl w:val="1"/>
          <w:numId w:val="2"/>
        </w:numPr>
        <w:spacing w:before="0" w:after="120"/>
        <w:jc w:val="both"/>
      </w:pPr>
      <w:r w:rsidRPr="00786D0E">
        <w:t>The ESC</w:t>
      </w:r>
      <w:r w:rsidR="001B4781" w:rsidRPr="00786D0E">
        <w:t>s</w:t>
      </w:r>
      <w:r w:rsidRPr="00786D0E">
        <w:t xml:space="preserve"> considered that transitivity issues were inherent to </w:t>
      </w:r>
      <w:r w:rsidR="00BB0233" w:rsidRPr="00786D0E">
        <w:t xml:space="preserve">most </w:t>
      </w:r>
      <w:r w:rsidRPr="00786D0E">
        <w:t>indirect comparisons, and advised that these issues should be interpreted in the light of the rarity of the patient population, noting that it was unlikely that direct</w:t>
      </w:r>
      <w:r w:rsidR="00CE0DD7" w:rsidRPr="00786D0E">
        <w:t xml:space="preserve"> randomised trials </w:t>
      </w:r>
      <w:r w:rsidRPr="00786D0E">
        <w:t>would be available for this patient population in the near future.</w:t>
      </w:r>
    </w:p>
    <w:p w:rsidR="00AC59CA" w:rsidRPr="00610B60" w:rsidRDefault="00AC59CA" w:rsidP="00610B60">
      <w:pPr>
        <w:widowControl w:val="0"/>
        <w:spacing w:before="240" w:line="276" w:lineRule="auto"/>
        <w:jc w:val="both"/>
        <w:outlineLvl w:val="1"/>
        <w:rPr>
          <w:rFonts w:cs="Arial"/>
          <w:b/>
          <w:bCs/>
          <w:i/>
          <w:snapToGrid w:val="0"/>
          <w:sz w:val="28"/>
          <w:szCs w:val="28"/>
        </w:rPr>
      </w:pPr>
      <w:bookmarkStart w:id="12" w:name="_Toc413139278"/>
      <w:r w:rsidRPr="00610B60">
        <w:rPr>
          <w:rFonts w:cs="Arial"/>
          <w:b/>
          <w:bCs/>
          <w:i/>
          <w:snapToGrid w:val="0"/>
          <w:sz w:val="28"/>
          <w:szCs w:val="28"/>
        </w:rPr>
        <w:t>Comparative effectiveness</w:t>
      </w:r>
      <w:bookmarkEnd w:id="12"/>
    </w:p>
    <w:p w:rsidR="00AC59CA" w:rsidRPr="00786D0E" w:rsidRDefault="00AC59CA" w:rsidP="000D39E9">
      <w:pPr>
        <w:pStyle w:val="ListParagraph"/>
        <w:numPr>
          <w:ilvl w:val="1"/>
          <w:numId w:val="2"/>
        </w:numPr>
        <w:spacing w:before="0" w:after="120"/>
        <w:jc w:val="both"/>
      </w:pPr>
      <w:r w:rsidRPr="00786D0E">
        <w:t xml:space="preserve">The pooled results for overall survival (OS) for </w:t>
      </w:r>
      <w:proofErr w:type="spellStart"/>
      <w:r w:rsidRPr="00786D0E">
        <w:t>crizotinib</w:t>
      </w:r>
      <w:proofErr w:type="spellEnd"/>
      <w:r w:rsidRPr="00786D0E">
        <w:t xml:space="preserve"> from A8081001 and OO12</w:t>
      </w:r>
      <w:r w:rsidRPr="00786D0E">
        <w:noBreakHyphen/>
        <w:t xml:space="preserve">01 compared to </w:t>
      </w:r>
      <w:proofErr w:type="spellStart"/>
      <w:r w:rsidRPr="00786D0E">
        <w:t>pemetrexed</w:t>
      </w:r>
      <w:proofErr w:type="spellEnd"/>
      <w:r w:rsidRPr="00786D0E">
        <w:t xml:space="preserve"> are presented in the table below. The Kaplan-Meier plots for OS for </w:t>
      </w:r>
      <w:proofErr w:type="spellStart"/>
      <w:r w:rsidRPr="00786D0E">
        <w:t>crizotinib</w:t>
      </w:r>
      <w:proofErr w:type="spellEnd"/>
      <w:r w:rsidRPr="00786D0E">
        <w:t xml:space="preserve"> and </w:t>
      </w:r>
      <w:proofErr w:type="spellStart"/>
      <w:r w:rsidRPr="00786D0E">
        <w:t>pemetrexed</w:t>
      </w:r>
      <w:proofErr w:type="spellEnd"/>
      <w:r w:rsidRPr="00786D0E">
        <w:t xml:space="preserve"> ar</w:t>
      </w:r>
      <w:r w:rsidR="000F6482" w:rsidRPr="00786D0E">
        <w:t>e presented in Figures 1 and 2.</w:t>
      </w:r>
    </w:p>
    <w:p w:rsidR="00AC59CA" w:rsidRPr="00786D0E" w:rsidRDefault="00AC59CA" w:rsidP="00AC59CA">
      <w:pPr>
        <w:pStyle w:val="TableHeading0"/>
        <w:jc w:val="both"/>
      </w:pPr>
      <w:r w:rsidRPr="00786D0E">
        <w:t xml:space="preserve">Table 4: </w:t>
      </w:r>
      <w:proofErr w:type="spellStart"/>
      <w:r w:rsidRPr="00786D0E">
        <w:t>Crizotinib</w:t>
      </w:r>
      <w:proofErr w:type="spellEnd"/>
      <w:r w:rsidRPr="00786D0E">
        <w:t xml:space="preserve"> pooled OS outcomes (Studies A8081001</w:t>
      </w:r>
      <w:r w:rsidRPr="00786D0E">
        <w:rPr>
          <w:vertAlign w:val="superscript"/>
        </w:rPr>
        <w:t>a</w:t>
      </w:r>
      <w:r w:rsidRPr="00786D0E">
        <w:t xml:space="preserve"> and OO12-01)</w:t>
      </w:r>
    </w:p>
    <w:tbl>
      <w:tblPr>
        <w:tblW w:w="498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7"/>
        <w:gridCol w:w="3119"/>
        <w:gridCol w:w="2959"/>
      </w:tblGrid>
      <w:tr w:rsidR="00AC59CA" w:rsidRPr="00786D0E" w:rsidTr="001F354C">
        <w:trPr>
          <w:trHeight w:val="481"/>
        </w:trPr>
        <w:tc>
          <w:tcPr>
            <w:tcW w:w="1644" w:type="pct"/>
            <w:shd w:val="clear" w:color="auto" w:fill="auto"/>
            <w:vAlign w:val="center"/>
            <w:hideMark/>
          </w:tcPr>
          <w:p w:rsidR="00AC59CA" w:rsidRPr="00786D0E" w:rsidRDefault="00AC59CA" w:rsidP="001F354C">
            <w:pPr>
              <w:spacing w:before="40" w:after="40"/>
              <w:jc w:val="both"/>
              <w:rPr>
                <w:rFonts w:ascii="Arial Narrow" w:eastAsia="Times New Roman" w:hAnsi="Arial Narrow"/>
                <w:b/>
                <w:color w:val="000000"/>
                <w:sz w:val="20"/>
                <w:lang w:eastAsia="en-AU"/>
              </w:rPr>
            </w:pPr>
          </w:p>
        </w:tc>
        <w:tc>
          <w:tcPr>
            <w:tcW w:w="1722" w:type="pct"/>
            <w:shd w:val="clear" w:color="auto" w:fill="auto"/>
            <w:vAlign w:val="center"/>
            <w:hideMark/>
          </w:tcPr>
          <w:p w:rsidR="00AC59CA" w:rsidRPr="00786D0E" w:rsidRDefault="00AC59CA" w:rsidP="001F354C">
            <w:pPr>
              <w:pStyle w:val="TableText"/>
              <w:jc w:val="center"/>
              <w:rPr>
                <w:b/>
              </w:rPr>
            </w:pPr>
            <w:proofErr w:type="spellStart"/>
            <w:r w:rsidRPr="00786D0E">
              <w:rPr>
                <w:rFonts w:eastAsia="Times New Roman"/>
                <w:b/>
                <w:color w:val="000000"/>
                <w:lang w:eastAsia="en-AU"/>
              </w:rPr>
              <w:t>Crizotinib</w:t>
            </w:r>
            <w:proofErr w:type="spellEnd"/>
          </w:p>
          <w:p w:rsidR="00AC59CA" w:rsidRPr="00786D0E" w:rsidRDefault="00AC59CA" w:rsidP="001F354C">
            <w:pPr>
              <w:pStyle w:val="TableText"/>
              <w:jc w:val="center"/>
              <w:rPr>
                <w:b/>
              </w:rPr>
            </w:pPr>
            <w:r w:rsidRPr="00786D0E">
              <w:rPr>
                <w:b/>
              </w:rPr>
              <w:t xml:space="preserve">Pooled A8081001 &amp; OO12-01 </w:t>
            </w:r>
            <w:r w:rsidRPr="00786D0E">
              <w:rPr>
                <w:rFonts w:eastAsia="Times New Roman"/>
                <w:b/>
                <w:color w:val="000000"/>
                <w:lang w:eastAsia="en-AU"/>
              </w:rPr>
              <w:t>(N=53)</w:t>
            </w:r>
          </w:p>
        </w:tc>
        <w:tc>
          <w:tcPr>
            <w:tcW w:w="1634" w:type="pct"/>
            <w:shd w:val="clear" w:color="auto" w:fill="auto"/>
            <w:vAlign w:val="center"/>
            <w:hideMark/>
          </w:tcPr>
          <w:p w:rsidR="00AC59CA" w:rsidRPr="00786D0E" w:rsidRDefault="00AC59CA" w:rsidP="001F354C">
            <w:pPr>
              <w:spacing w:before="40" w:after="40"/>
              <w:jc w:val="center"/>
              <w:rPr>
                <w:rFonts w:ascii="Arial Narrow" w:eastAsia="Times New Roman" w:hAnsi="Arial Narrow"/>
                <w:b/>
                <w:color w:val="000000"/>
                <w:sz w:val="20"/>
                <w:lang w:eastAsia="en-AU"/>
              </w:rPr>
            </w:pPr>
            <w:proofErr w:type="spellStart"/>
            <w:r w:rsidRPr="00786D0E">
              <w:rPr>
                <w:rFonts w:ascii="Arial Narrow" w:eastAsia="Times New Roman" w:hAnsi="Arial Narrow"/>
                <w:b/>
                <w:color w:val="000000"/>
                <w:sz w:val="20"/>
                <w:lang w:eastAsia="en-AU"/>
              </w:rPr>
              <w:t>Pemetrexed</w:t>
            </w:r>
            <w:proofErr w:type="spellEnd"/>
          </w:p>
          <w:p w:rsidR="00AC59CA" w:rsidRPr="00786D0E" w:rsidRDefault="00AC59CA" w:rsidP="001F354C">
            <w:pPr>
              <w:spacing w:before="40" w:after="40"/>
              <w:jc w:val="center"/>
              <w:rPr>
                <w:rFonts w:ascii="Arial Narrow" w:eastAsia="Times New Roman" w:hAnsi="Arial Narrow"/>
                <w:b/>
                <w:color w:val="000000"/>
                <w:sz w:val="20"/>
                <w:lang w:eastAsia="en-AU"/>
              </w:rPr>
            </w:pPr>
            <w:r w:rsidRPr="00786D0E">
              <w:rPr>
                <w:rFonts w:ascii="Arial Narrow" w:eastAsia="Times New Roman" w:hAnsi="Arial Narrow"/>
                <w:b/>
                <w:color w:val="000000"/>
                <w:sz w:val="20"/>
                <w:lang w:eastAsia="en-AU"/>
              </w:rPr>
              <w:t>Hanna et al (2004) (N=283)</w:t>
            </w:r>
          </w:p>
        </w:tc>
      </w:tr>
      <w:tr w:rsidR="00AC59CA" w:rsidRPr="00786D0E" w:rsidTr="001F354C">
        <w:trPr>
          <w:trHeight w:val="300"/>
        </w:trPr>
        <w:tc>
          <w:tcPr>
            <w:tcW w:w="1644" w:type="pct"/>
            <w:shd w:val="clear" w:color="auto" w:fill="auto"/>
            <w:vAlign w:val="center"/>
            <w:hideMark/>
          </w:tcPr>
          <w:p w:rsidR="00AC59CA" w:rsidRPr="00786D0E" w:rsidRDefault="00AC59CA" w:rsidP="001F354C">
            <w:pPr>
              <w:spacing w:before="40" w:after="40"/>
              <w:jc w:val="both"/>
              <w:rPr>
                <w:rFonts w:ascii="Arial Narrow" w:eastAsia="Times New Roman" w:hAnsi="Arial Narrow"/>
                <w:color w:val="000000"/>
                <w:sz w:val="20"/>
                <w:lang w:eastAsia="en-AU"/>
              </w:rPr>
            </w:pPr>
            <w:r w:rsidRPr="00786D0E">
              <w:rPr>
                <w:rFonts w:ascii="Arial Narrow" w:eastAsia="Times New Roman" w:hAnsi="Arial Narrow"/>
                <w:iCs/>
                <w:color w:val="000000"/>
                <w:sz w:val="20"/>
                <w:lang w:eastAsia="en-AU"/>
              </w:rPr>
              <w:t>Median follow-up for OS</w:t>
            </w:r>
          </w:p>
        </w:tc>
        <w:tc>
          <w:tcPr>
            <w:tcW w:w="1722" w:type="pct"/>
            <w:shd w:val="clear" w:color="auto" w:fill="auto"/>
            <w:vAlign w:val="center"/>
            <w:hideMark/>
          </w:tcPr>
          <w:p w:rsidR="00AC59CA" w:rsidRPr="00786D0E" w:rsidRDefault="00AC59CA" w:rsidP="001F354C">
            <w:pPr>
              <w:spacing w:before="40" w:after="40"/>
              <w:jc w:val="center"/>
              <w:rPr>
                <w:rFonts w:ascii="Arial Narrow" w:eastAsia="Times New Roman" w:hAnsi="Arial Narrow"/>
                <w:color w:val="000000"/>
                <w:sz w:val="20"/>
                <w:lang w:eastAsia="en-AU"/>
              </w:rPr>
            </w:pPr>
            <w:r w:rsidRPr="00786D0E">
              <w:rPr>
                <w:rFonts w:ascii="Arial Narrow" w:eastAsia="Times New Roman" w:hAnsi="Arial Narrow"/>
                <w:color w:val="000000"/>
                <w:sz w:val="20"/>
                <w:lang w:eastAsia="en-AU"/>
              </w:rPr>
              <w:t>-</w:t>
            </w:r>
          </w:p>
        </w:tc>
        <w:tc>
          <w:tcPr>
            <w:tcW w:w="1634" w:type="pct"/>
            <w:shd w:val="clear" w:color="auto" w:fill="auto"/>
            <w:vAlign w:val="center"/>
            <w:hideMark/>
          </w:tcPr>
          <w:p w:rsidR="00AC59CA" w:rsidRPr="00786D0E" w:rsidRDefault="00AC59CA" w:rsidP="001F354C">
            <w:pPr>
              <w:spacing w:before="40" w:after="40"/>
              <w:jc w:val="center"/>
              <w:rPr>
                <w:rFonts w:ascii="Arial Narrow" w:eastAsia="Times New Roman" w:hAnsi="Arial Narrow"/>
                <w:color w:val="000000"/>
                <w:sz w:val="20"/>
                <w:vertAlign w:val="superscript"/>
                <w:lang w:eastAsia="en-AU"/>
              </w:rPr>
            </w:pPr>
            <w:r w:rsidRPr="00786D0E">
              <w:rPr>
                <w:rFonts w:ascii="Arial Narrow" w:eastAsia="Times New Roman" w:hAnsi="Arial Narrow"/>
                <w:color w:val="000000"/>
                <w:sz w:val="20"/>
                <w:lang w:eastAsia="en-AU"/>
              </w:rPr>
              <w:t xml:space="preserve">7.5 months </w:t>
            </w:r>
            <w:r w:rsidRPr="00786D0E">
              <w:rPr>
                <w:rFonts w:ascii="Arial Narrow" w:eastAsia="Times New Roman" w:hAnsi="Arial Narrow"/>
                <w:color w:val="000000"/>
                <w:sz w:val="20"/>
                <w:vertAlign w:val="superscript"/>
                <w:lang w:eastAsia="en-AU"/>
              </w:rPr>
              <w:t>b</w:t>
            </w:r>
          </w:p>
        </w:tc>
      </w:tr>
      <w:tr w:rsidR="00AC59CA" w:rsidRPr="00786D0E" w:rsidTr="001F354C">
        <w:trPr>
          <w:trHeight w:val="300"/>
        </w:trPr>
        <w:tc>
          <w:tcPr>
            <w:tcW w:w="1644" w:type="pct"/>
            <w:shd w:val="clear" w:color="auto" w:fill="auto"/>
            <w:vAlign w:val="center"/>
            <w:hideMark/>
          </w:tcPr>
          <w:p w:rsidR="00AC59CA" w:rsidRPr="00786D0E" w:rsidRDefault="00AC59CA" w:rsidP="001F354C">
            <w:pPr>
              <w:spacing w:before="40" w:after="40"/>
              <w:jc w:val="both"/>
              <w:rPr>
                <w:rFonts w:ascii="Arial Narrow" w:eastAsia="Times New Roman" w:hAnsi="Arial Narrow"/>
                <w:color w:val="000000"/>
                <w:sz w:val="20"/>
                <w:lang w:eastAsia="en-AU"/>
              </w:rPr>
            </w:pPr>
            <w:r w:rsidRPr="00786D0E">
              <w:rPr>
                <w:rFonts w:ascii="Arial Narrow" w:eastAsia="Times New Roman" w:hAnsi="Arial Narrow"/>
                <w:iCs/>
                <w:color w:val="000000"/>
                <w:sz w:val="20"/>
                <w:lang w:eastAsia="en-AU"/>
              </w:rPr>
              <w:t>Deaths n/N (%)</w:t>
            </w:r>
          </w:p>
        </w:tc>
        <w:tc>
          <w:tcPr>
            <w:tcW w:w="1722" w:type="pct"/>
            <w:shd w:val="clear" w:color="auto" w:fill="auto"/>
            <w:vAlign w:val="center"/>
            <w:hideMark/>
          </w:tcPr>
          <w:p w:rsidR="00AC59CA" w:rsidRPr="001144C3" w:rsidRDefault="001144C3" w:rsidP="001F354C">
            <w:pPr>
              <w:spacing w:before="40" w:after="40"/>
              <w:jc w:val="center"/>
              <w:rPr>
                <w:rFonts w:ascii="Arial Narrow" w:eastAsia="Times New Roman" w:hAnsi="Arial Narrow"/>
                <w:color w:val="000000"/>
                <w:sz w:val="20"/>
                <w:highlight w:val="black"/>
                <w:lang w:eastAsia="en-AU"/>
              </w:rPr>
            </w:pPr>
            <w:r>
              <w:rPr>
                <w:rFonts w:ascii="Arial Narrow" w:eastAsia="Times New Roman" w:hAnsi="Arial Narrow"/>
                <w:noProof/>
                <w:color w:val="000000"/>
                <w:sz w:val="20"/>
                <w:highlight w:val="black"/>
                <w:lang w:eastAsia="en-AU"/>
              </w:rPr>
              <w:t>''''''''''''''' '''''''''''''''</w:t>
            </w:r>
          </w:p>
        </w:tc>
        <w:tc>
          <w:tcPr>
            <w:tcW w:w="1634" w:type="pct"/>
            <w:shd w:val="clear" w:color="auto" w:fill="auto"/>
            <w:vAlign w:val="center"/>
            <w:hideMark/>
          </w:tcPr>
          <w:p w:rsidR="00AC59CA" w:rsidRPr="00786D0E" w:rsidRDefault="00AC59CA" w:rsidP="001F354C">
            <w:pPr>
              <w:spacing w:before="40" w:after="40"/>
              <w:jc w:val="center"/>
              <w:rPr>
                <w:rFonts w:ascii="Arial Narrow" w:eastAsia="Times New Roman" w:hAnsi="Arial Narrow"/>
                <w:color w:val="000000"/>
                <w:sz w:val="20"/>
                <w:lang w:eastAsia="en-AU"/>
              </w:rPr>
            </w:pPr>
            <w:r w:rsidRPr="00786D0E">
              <w:rPr>
                <w:rFonts w:ascii="Arial Narrow" w:eastAsia="Times New Roman" w:hAnsi="Arial Narrow"/>
                <w:color w:val="000000"/>
                <w:sz w:val="20"/>
                <w:lang w:eastAsia="en-AU"/>
              </w:rPr>
              <w:t>409/501 (71.6%)</w:t>
            </w:r>
          </w:p>
        </w:tc>
      </w:tr>
      <w:tr w:rsidR="00AC59CA" w:rsidRPr="00786D0E" w:rsidTr="001F354C">
        <w:trPr>
          <w:trHeight w:val="70"/>
        </w:trPr>
        <w:tc>
          <w:tcPr>
            <w:tcW w:w="1644" w:type="pct"/>
            <w:shd w:val="clear" w:color="auto" w:fill="auto"/>
            <w:vAlign w:val="center"/>
            <w:hideMark/>
          </w:tcPr>
          <w:p w:rsidR="00AC59CA" w:rsidRPr="00786D0E" w:rsidRDefault="00AC59CA" w:rsidP="001F354C">
            <w:pPr>
              <w:spacing w:before="40" w:after="40"/>
              <w:jc w:val="both"/>
              <w:rPr>
                <w:rFonts w:ascii="Arial Narrow" w:eastAsia="Times New Roman" w:hAnsi="Arial Narrow"/>
                <w:color w:val="000000"/>
                <w:sz w:val="20"/>
                <w:lang w:eastAsia="en-AU"/>
              </w:rPr>
            </w:pPr>
            <w:r w:rsidRPr="00786D0E">
              <w:rPr>
                <w:rFonts w:ascii="Arial Narrow" w:eastAsia="Times New Roman" w:hAnsi="Arial Narrow"/>
                <w:color w:val="000000"/>
                <w:sz w:val="20"/>
                <w:lang w:eastAsia="en-AU"/>
              </w:rPr>
              <w:t>Median OS, months (95% CI)</w:t>
            </w:r>
          </w:p>
        </w:tc>
        <w:tc>
          <w:tcPr>
            <w:tcW w:w="1722" w:type="pct"/>
            <w:shd w:val="clear" w:color="auto" w:fill="auto"/>
            <w:vAlign w:val="center"/>
            <w:hideMark/>
          </w:tcPr>
          <w:p w:rsidR="00AC59CA" w:rsidRPr="001144C3" w:rsidRDefault="001144C3" w:rsidP="001F354C">
            <w:pPr>
              <w:spacing w:before="40" w:after="40"/>
              <w:jc w:val="center"/>
              <w:rPr>
                <w:rFonts w:ascii="Arial Narrow" w:eastAsia="Times New Roman" w:hAnsi="Arial Narrow"/>
                <w:color w:val="000000"/>
                <w:sz w:val="20"/>
                <w:highlight w:val="black"/>
                <w:lang w:eastAsia="en-AU"/>
              </w:rPr>
            </w:pPr>
            <w:r>
              <w:rPr>
                <w:rFonts w:ascii="Arial Narrow" w:eastAsia="Times New Roman" w:hAnsi="Arial Narrow"/>
                <w:noProof/>
                <w:color w:val="000000"/>
                <w:sz w:val="20"/>
                <w:highlight w:val="black"/>
                <w:lang w:eastAsia="en-AU"/>
              </w:rPr>
              <w:t>''''''''' '''''''''''''''' '''''''''''</w:t>
            </w:r>
          </w:p>
        </w:tc>
        <w:tc>
          <w:tcPr>
            <w:tcW w:w="1634" w:type="pct"/>
            <w:shd w:val="clear" w:color="auto" w:fill="auto"/>
            <w:vAlign w:val="center"/>
            <w:hideMark/>
          </w:tcPr>
          <w:p w:rsidR="00AC59CA" w:rsidRPr="00786D0E" w:rsidRDefault="00AC59CA" w:rsidP="001F354C">
            <w:pPr>
              <w:spacing w:before="40" w:after="40"/>
              <w:jc w:val="center"/>
              <w:rPr>
                <w:rFonts w:ascii="Arial Narrow" w:eastAsia="Times New Roman" w:hAnsi="Arial Narrow"/>
                <w:color w:val="000000"/>
                <w:sz w:val="20"/>
                <w:lang w:eastAsia="en-AU"/>
              </w:rPr>
            </w:pPr>
            <w:r w:rsidRPr="00786D0E">
              <w:rPr>
                <w:rFonts w:ascii="Arial Narrow" w:eastAsia="Times New Roman" w:hAnsi="Arial Narrow"/>
                <w:color w:val="000000"/>
                <w:sz w:val="20"/>
                <w:lang w:eastAsia="en-AU"/>
              </w:rPr>
              <w:t>8.3 months</w:t>
            </w:r>
          </w:p>
        </w:tc>
      </w:tr>
    </w:tbl>
    <w:p w:rsidR="00AC59CA" w:rsidRPr="00786D0E" w:rsidRDefault="00AC59CA" w:rsidP="00AC59CA">
      <w:pPr>
        <w:pStyle w:val="TableFooter"/>
      </w:pPr>
      <w:r w:rsidRPr="00786D0E">
        <w:rPr>
          <w:rFonts w:eastAsia="Arial"/>
          <w:snapToGrid/>
        </w:rPr>
        <w:t xml:space="preserve">Source: </w:t>
      </w:r>
      <w:r w:rsidRPr="00786D0E">
        <w:t xml:space="preserve">Table 2.6.2, p180 of the submission </w:t>
      </w:r>
    </w:p>
    <w:p w:rsidR="00AC59CA" w:rsidRPr="00786D0E" w:rsidRDefault="00AC59CA" w:rsidP="00AC59CA">
      <w:pPr>
        <w:pStyle w:val="TableFooter"/>
        <w:rPr>
          <w:rFonts w:eastAsia="Arial"/>
          <w:snapToGrid/>
        </w:rPr>
      </w:pPr>
      <w:r w:rsidRPr="00786D0E">
        <w:rPr>
          <w:rFonts w:eastAsia="Arial"/>
          <w:snapToGrid/>
        </w:rPr>
        <w:t>CI = confidence interval; NR = not reached; OS = overall survival</w:t>
      </w:r>
    </w:p>
    <w:p w:rsidR="00AC59CA" w:rsidRPr="00786D0E" w:rsidRDefault="00AC59CA" w:rsidP="00AC59CA">
      <w:pPr>
        <w:pStyle w:val="TableFooter"/>
        <w:rPr>
          <w:rFonts w:eastAsia="Arial"/>
          <w:snapToGrid/>
        </w:rPr>
      </w:pPr>
      <w:proofErr w:type="gramStart"/>
      <w:r w:rsidRPr="00786D0E">
        <w:rPr>
          <w:rFonts w:eastAsia="Arial"/>
          <w:snapToGrid/>
          <w:vertAlign w:val="superscript"/>
        </w:rPr>
        <w:t>a</w:t>
      </w:r>
      <w:proofErr w:type="gramEnd"/>
      <w:r w:rsidRPr="00786D0E">
        <w:rPr>
          <w:rFonts w:eastAsia="Arial"/>
          <w:snapToGrid/>
        </w:rPr>
        <w:t xml:space="preserve"> Safety analysis population</w:t>
      </w:r>
    </w:p>
    <w:p w:rsidR="00AC59CA" w:rsidRPr="00786D0E" w:rsidRDefault="00AC59CA" w:rsidP="00AC59CA">
      <w:pPr>
        <w:pStyle w:val="TableFooter"/>
        <w:rPr>
          <w:rFonts w:eastAsia="Arial"/>
          <w:snapToGrid/>
        </w:rPr>
      </w:pPr>
      <w:proofErr w:type="gramStart"/>
      <w:r w:rsidRPr="00786D0E">
        <w:rPr>
          <w:rFonts w:eastAsia="Arial"/>
          <w:snapToGrid/>
          <w:vertAlign w:val="superscript"/>
        </w:rPr>
        <w:t>b</w:t>
      </w:r>
      <w:proofErr w:type="gramEnd"/>
      <w:r w:rsidRPr="00786D0E">
        <w:rPr>
          <w:rFonts w:eastAsia="Arial"/>
          <w:snapToGrid/>
          <w:vertAlign w:val="superscript"/>
        </w:rPr>
        <w:t xml:space="preserve"> </w:t>
      </w:r>
      <w:r w:rsidRPr="00786D0E">
        <w:rPr>
          <w:rFonts w:eastAsia="Arial"/>
          <w:snapToGrid/>
        </w:rPr>
        <w:t xml:space="preserve">For both </w:t>
      </w:r>
      <w:proofErr w:type="spellStart"/>
      <w:r w:rsidRPr="00786D0E">
        <w:rPr>
          <w:rFonts w:eastAsia="Arial"/>
          <w:snapToGrid/>
        </w:rPr>
        <w:t>pemetrexed</w:t>
      </w:r>
      <w:proofErr w:type="spellEnd"/>
      <w:r w:rsidRPr="00786D0E">
        <w:rPr>
          <w:rFonts w:eastAsia="Arial"/>
          <w:snapToGrid/>
        </w:rPr>
        <w:t xml:space="preserve"> and docetaxel arms</w:t>
      </w:r>
    </w:p>
    <w:p w:rsidR="00AC59CA" w:rsidRPr="00786D0E" w:rsidRDefault="00AC59CA" w:rsidP="00AC59CA">
      <w:pPr>
        <w:pStyle w:val="TableFooter"/>
        <w:spacing w:after="0"/>
        <w:rPr>
          <w:rFonts w:asciiTheme="minorHAnsi" w:eastAsia="Arial" w:hAnsiTheme="minorHAnsi"/>
          <w:snapToGrid/>
          <w:sz w:val="24"/>
          <w:szCs w:val="24"/>
        </w:rPr>
      </w:pPr>
    </w:p>
    <w:p w:rsidR="00AC59CA" w:rsidRPr="00786D0E" w:rsidRDefault="00AC59CA" w:rsidP="00AC59CA">
      <w:pPr>
        <w:pStyle w:val="TableHeading0"/>
        <w:jc w:val="both"/>
      </w:pPr>
      <w:r w:rsidRPr="00786D0E">
        <w:lastRenderedPageBreak/>
        <w:t xml:space="preserve">Figure 1: </w:t>
      </w:r>
      <w:proofErr w:type="spellStart"/>
      <w:r w:rsidRPr="00786D0E">
        <w:t>Crizotinib</w:t>
      </w:r>
      <w:proofErr w:type="spellEnd"/>
      <w:r w:rsidRPr="00786D0E">
        <w:t xml:space="preserve"> pooled OS Kaplan-Meier curve (N = 180)</w:t>
      </w:r>
    </w:p>
    <w:p w:rsidR="00AC59CA" w:rsidRPr="00786D0E" w:rsidRDefault="001144C3" w:rsidP="00AC59CA">
      <w:pPr>
        <w:pStyle w:val="TableHeading0"/>
        <w:spacing w:after="0"/>
        <w:ind w:left="709"/>
        <w:jc w:val="both"/>
      </w:pPr>
      <w:r>
        <w:rPr>
          <w:noProof/>
          <w:lang w:eastAsia="en-AU"/>
        </w:rPr>
        <w:drawing>
          <wp:inline distT="0" distB="0" distL="0" distR="0" wp14:anchorId="1E208D64" wp14:editId="61DD05A7">
            <wp:extent cx="4181475" cy="2184400"/>
            <wp:effectExtent l="0" t="0" r="9525" b="635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81475" cy="2184400"/>
                    </a:xfrm>
                    <a:prstGeom prst="rect">
                      <a:avLst/>
                    </a:prstGeom>
                  </pic:spPr>
                </pic:pic>
              </a:graphicData>
            </a:graphic>
          </wp:inline>
        </w:drawing>
      </w:r>
    </w:p>
    <w:p w:rsidR="00AC59CA" w:rsidRPr="00786D0E" w:rsidRDefault="00AC59CA" w:rsidP="00AC59CA">
      <w:pPr>
        <w:pStyle w:val="TableFooter"/>
      </w:pPr>
      <w:r w:rsidRPr="00786D0E">
        <w:t xml:space="preserve">Source: Figure 2.6.2, p181 of the submission </w:t>
      </w:r>
    </w:p>
    <w:p w:rsidR="00AC59CA" w:rsidRPr="00786D0E" w:rsidRDefault="00AC59CA" w:rsidP="00AC59CA">
      <w:pPr>
        <w:pStyle w:val="TableFooter"/>
      </w:pPr>
      <w:r w:rsidRPr="00786D0E">
        <w:t>OS = overall survival</w:t>
      </w:r>
    </w:p>
    <w:p w:rsidR="00AC59CA" w:rsidRPr="00786D0E" w:rsidRDefault="00AC59CA" w:rsidP="00AC59CA">
      <w:pPr>
        <w:pStyle w:val="TableFooter"/>
        <w:rPr>
          <w:rFonts w:asciiTheme="minorHAnsi" w:eastAsia="Arial" w:hAnsiTheme="minorHAnsi"/>
          <w:snapToGrid/>
          <w:sz w:val="24"/>
          <w:szCs w:val="24"/>
        </w:rPr>
      </w:pPr>
    </w:p>
    <w:p w:rsidR="00AC59CA" w:rsidRPr="00786D0E" w:rsidRDefault="00AC59CA" w:rsidP="00AC59CA">
      <w:pPr>
        <w:pStyle w:val="TableHeading0"/>
        <w:jc w:val="both"/>
      </w:pPr>
      <w:r w:rsidRPr="00786D0E">
        <w:t xml:space="preserve">Figure 2: Kaplan-Meier plot of OS for </w:t>
      </w:r>
      <w:proofErr w:type="spellStart"/>
      <w:r w:rsidRPr="00786D0E">
        <w:t>pemetrexed</w:t>
      </w:r>
      <w:proofErr w:type="spellEnd"/>
      <w:r w:rsidRPr="00786D0E">
        <w:t xml:space="preserve"> from Hanna et al (2004) </w:t>
      </w:r>
    </w:p>
    <w:p w:rsidR="00AC59CA" w:rsidRPr="00786D0E" w:rsidRDefault="00AC59CA" w:rsidP="00AC59CA">
      <w:pPr>
        <w:pStyle w:val="TableHeading0"/>
        <w:spacing w:after="0"/>
        <w:ind w:left="709"/>
        <w:jc w:val="both"/>
      </w:pPr>
      <w:r w:rsidRPr="00786D0E">
        <w:rPr>
          <w:rFonts w:ascii="Arial" w:eastAsia="Times New Roman" w:hAnsi="Arial" w:cs="Times New Roman"/>
          <w:b w:val="0"/>
          <w:noProof/>
          <w:sz w:val="22"/>
          <w:lang w:eastAsia="en-AU"/>
        </w:rPr>
        <w:drawing>
          <wp:inline distT="0" distB="0" distL="0" distR="0" wp14:anchorId="772EB237" wp14:editId="5577E8B5">
            <wp:extent cx="4384391" cy="2406650"/>
            <wp:effectExtent l="19050" t="19050" r="16510" b="12700"/>
            <wp:docPr id="11" name="Picture 11" title="Figure 2: Kaplan-Meier plot of OS for pemetrexed from Hanna et al (200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7190" cy="2424654"/>
                    </a:xfrm>
                    <a:prstGeom prst="rect">
                      <a:avLst/>
                    </a:prstGeom>
                    <a:noFill/>
                    <a:ln w="3175">
                      <a:solidFill>
                        <a:sysClr val="windowText" lastClr="000000"/>
                      </a:solidFill>
                    </a:ln>
                  </pic:spPr>
                </pic:pic>
              </a:graphicData>
            </a:graphic>
          </wp:inline>
        </w:drawing>
      </w:r>
    </w:p>
    <w:p w:rsidR="00AC59CA" w:rsidRPr="00786D0E" w:rsidRDefault="00AC59CA" w:rsidP="00AC59CA">
      <w:pPr>
        <w:pStyle w:val="TableFooter"/>
      </w:pPr>
      <w:r w:rsidRPr="00786D0E">
        <w:t xml:space="preserve">Source: Figure 2.5.9, p149 of the submission </w:t>
      </w:r>
    </w:p>
    <w:p w:rsidR="00AC59CA" w:rsidRPr="00786D0E" w:rsidRDefault="00AC59CA" w:rsidP="00AC59CA">
      <w:pPr>
        <w:pStyle w:val="TableFooter"/>
      </w:pPr>
      <w:r w:rsidRPr="00786D0E">
        <w:t>CI = confidence interval; MST = median survival time; OS = overall survival</w:t>
      </w:r>
    </w:p>
    <w:p w:rsidR="000D39E9" w:rsidRPr="00786D0E" w:rsidRDefault="00AC59CA" w:rsidP="000D39E9">
      <w:pPr>
        <w:pStyle w:val="ListParagraph"/>
        <w:numPr>
          <w:ilvl w:val="1"/>
          <w:numId w:val="2"/>
        </w:numPr>
        <w:spacing w:before="240" w:after="120"/>
        <w:jc w:val="both"/>
      </w:pPr>
      <w:r w:rsidRPr="00786D0E">
        <w:t xml:space="preserve">Median overall survival was not reached in the pooled analysis for </w:t>
      </w:r>
      <w:proofErr w:type="spellStart"/>
      <w:r w:rsidRPr="00786D0E">
        <w:t>crizotinib</w:t>
      </w:r>
      <w:proofErr w:type="spellEnd"/>
      <w:r w:rsidRPr="00786D0E">
        <w:t xml:space="preserve">. </w:t>
      </w:r>
      <w:proofErr w:type="spellStart"/>
      <w:r w:rsidRPr="00786D0E">
        <w:t>Crizotinib</w:t>
      </w:r>
      <w:proofErr w:type="spellEnd"/>
      <w:r w:rsidRPr="00786D0E">
        <w:t xml:space="preserve"> showed a trend towards a substantial improvement in OS compared to the results for </w:t>
      </w:r>
      <w:proofErr w:type="spellStart"/>
      <w:r w:rsidRPr="00786D0E">
        <w:t>pemetrexed</w:t>
      </w:r>
      <w:proofErr w:type="spellEnd"/>
      <w:r w:rsidRPr="00786D0E">
        <w:t xml:space="preserve">. However, this may have been overestimated due to the inclusion of patients with possible poorer outcomes in the </w:t>
      </w:r>
      <w:proofErr w:type="spellStart"/>
      <w:r w:rsidRPr="00786D0E">
        <w:t>pemetrexed</w:t>
      </w:r>
      <w:proofErr w:type="spellEnd"/>
      <w:r w:rsidRPr="00786D0E">
        <w:t xml:space="preserve"> study (Hanna et al (2004)), worse performance status, and squamous NSCLC) compared to the </w:t>
      </w:r>
      <w:proofErr w:type="spellStart"/>
      <w:r w:rsidRPr="00786D0E">
        <w:t>crizotinib</w:t>
      </w:r>
      <w:proofErr w:type="spellEnd"/>
      <w:r w:rsidRPr="00786D0E">
        <w:t xml:space="preserve"> studies that included patients of East Asian ethnicity (who have better NSCLC prognosis); and which employed censoring practices resulting in patients being censored for reasons other than loss to follow-up.</w:t>
      </w:r>
    </w:p>
    <w:p w:rsidR="00D7397F" w:rsidRPr="00786D0E" w:rsidRDefault="000D39E9" w:rsidP="000D39E9">
      <w:pPr>
        <w:pStyle w:val="ListParagraph"/>
        <w:numPr>
          <w:ilvl w:val="1"/>
          <w:numId w:val="2"/>
        </w:numPr>
        <w:spacing w:after="120"/>
        <w:jc w:val="both"/>
      </w:pPr>
      <w:r w:rsidRPr="00786D0E">
        <w:t>The ESC</w:t>
      </w:r>
      <w:r w:rsidR="001B4781" w:rsidRPr="00786D0E">
        <w:t>s</w:t>
      </w:r>
      <w:r w:rsidRPr="00786D0E">
        <w:t xml:space="preserve"> noted that</w:t>
      </w:r>
      <w:r w:rsidR="001B4781" w:rsidRPr="00786D0E">
        <w:t>,</w:t>
      </w:r>
      <w:r w:rsidRPr="00786D0E">
        <w:t xml:space="preserve"> </w:t>
      </w:r>
      <w:r w:rsidR="00D7397F" w:rsidRPr="00786D0E">
        <w:t xml:space="preserve">although </w:t>
      </w:r>
      <w:r w:rsidRPr="00786D0E">
        <w:t xml:space="preserve">median OS was not reached in the pooled analysis for </w:t>
      </w:r>
      <w:proofErr w:type="spellStart"/>
      <w:r w:rsidRPr="00786D0E">
        <w:t>crizo</w:t>
      </w:r>
      <w:r w:rsidR="00D7397F" w:rsidRPr="00786D0E">
        <w:t>tinib</w:t>
      </w:r>
      <w:proofErr w:type="spellEnd"/>
      <w:r w:rsidR="00D7397F" w:rsidRPr="00786D0E">
        <w:t xml:space="preserve">, the </w:t>
      </w:r>
      <w:proofErr w:type="spellStart"/>
      <w:r w:rsidRPr="00786D0E">
        <w:t>crizotinib</w:t>
      </w:r>
      <w:proofErr w:type="spellEnd"/>
      <w:r w:rsidRPr="00786D0E">
        <w:t xml:space="preserve"> </w:t>
      </w:r>
      <w:r w:rsidR="00D7397F" w:rsidRPr="00786D0E">
        <w:t xml:space="preserve">arm </w:t>
      </w:r>
      <w:r w:rsidRPr="00786D0E">
        <w:t>showed a trend towards a</w:t>
      </w:r>
      <w:r w:rsidR="00D7397F" w:rsidRPr="00786D0E">
        <w:t>n</w:t>
      </w:r>
      <w:r w:rsidRPr="00786D0E">
        <w:t xml:space="preserve"> improvement in OS compared to the results for </w:t>
      </w:r>
      <w:proofErr w:type="spellStart"/>
      <w:r w:rsidRPr="00786D0E">
        <w:t>pemetrexed</w:t>
      </w:r>
      <w:proofErr w:type="spellEnd"/>
      <w:r w:rsidRPr="00786D0E">
        <w:t>.</w:t>
      </w:r>
    </w:p>
    <w:p w:rsidR="00AC59CA" w:rsidRPr="00786D0E" w:rsidRDefault="000D39E9" w:rsidP="000D39E9">
      <w:pPr>
        <w:pStyle w:val="ListParagraph"/>
        <w:numPr>
          <w:ilvl w:val="1"/>
          <w:numId w:val="2"/>
        </w:numPr>
        <w:spacing w:after="120"/>
        <w:jc w:val="both"/>
      </w:pPr>
      <w:r w:rsidRPr="00786D0E">
        <w:t>The ESC</w:t>
      </w:r>
      <w:r w:rsidR="001B4781" w:rsidRPr="00786D0E">
        <w:t>s</w:t>
      </w:r>
      <w:r w:rsidRPr="00786D0E">
        <w:t xml:space="preserve"> considered that </w:t>
      </w:r>
      <w:r w:rsidR="001B4781" w:rsidRPr="00786D0E">
        <w:t xml:space="preserve">incremental </w:t>
      </w:r>
      <w:r w:rsidRPr="00786D0E">
        <w:t>OS was likely to be overestimated, as (</w:t>
      </w:r>
      <w:proofErr w:type="spellStart"/>
      <w:r w:rsidRPr="00786D0E">
        <w:t>i</w:t>
      </w:r>
      <w:proofErr w:type="spellEnd"/>
      <w:r w:rsidRPr="00786D0E">
        <w:t xml:space="preserve">) </w:t>
      </w:r>
      <w:proofErr w:type="spellStart"/>
      <w:r w:rsidRPr="00786D0E">
        <w:t>crizotinib</w:t>
      </w:r>
      <w:proofErr w:type="spellEnd"/>
      <w:r w:rsidRPr="00786D0E">
        <w:t xml:space="preserve"> studies employed censoring practices resulting in patients being censored for reasons other than loss to follow-up; and (ii) the magnitude of OS benefit with </w:t>
      </w:r>
      <w:proofErr w:type="spellStart"/>
      <w:r w:rsidRPr="00786D0E">
        <w:lastRenderedPageBreak/>
        <w:t>crizotinib</w:t>
      </w:r>
      <w:proofErr w:type="spellEnd"/>
      <w:r w:rsidRPr="00786D0E">
        <w:t xml:space="preserve"> was unknown as only 31% of patients had died in the pooled </w:t>
      </w:r>
      <w:proofErr w:type="spellStart"/>
      <w:r w:rsidRPr="00786D0E">
        <w:t>crizotinib</w:t>
      </w:r>
      <w:proofErr w:type="spellEnd"/>
      <w:r w:rsidRPr="00786D0E">
        <w:t xml:space="preserve"> analysis. As such, t</w:t>
      </w:r>
      <w:r w:rsidR="00DF323D" w:rsidRPr="00786D0E">
        <w:t>he ESC</w:t>
      </w:r>
      <w:r w:rsidR="001B4781" w:rsidRPr="00786D0E">
        <w:t>s</w:t>
      </w:r>
      <w:r w:rsidR="00DF323D" w:rsidRPr="00786D0E">
        <w:t xml:space="preserve"> </w:t>
      </w:r>
      <w:r w:rsidR="00CF4381" w:rsidRPr="00786D0E">
        <w:t xml:space="preserve">also </w:t>
      </w:r>
      <w:r w:rsidR="001B4781" w:rsidRPr="00786D0E">
        <w:t>advised</w:t>
      </w:r>
      <w:r w:rsidR="00DF323D" w:rsidRPr="00786D0E">
        <w:t xml:space="preserve"> that the </w:t>
      </w:r>
      <w:r w:rsidR="001D592D" w:rsidRPr="00786D0E">
        <w:t xml:space="preserve">magnitude of </w:t>
      </w:r>
      <w:r w:rsidR="00DF323D" w:rsidRPr="00786D0E">
        <w:t xml:space="preserve">incremental </w:t>
      </w:r>
      <w:r w:rsidR="00CF4381" w:rsidRPr="00786D0E">
        <w:t xml:space="preserve">overall </w:t>
      </w:r>
      <w:r w:rsidR="00DF323D" w:rsidRPr="00786D0E">
        <w:t xml:space="preserve">survival, if any, with </w:t>
      </w:r>
      <w:proofErr w:type="spellStart"/>
      <w:r w:rsidR="00DF323D" w:rsidRPr="00786D0E">
        <w:t>crizotinib</w:t>
      </w:r>
      <w:proofErr w:type="spellEnd"/>
      <w:r w:rsidR="00DF323D" w:rsidRPr="00786D0E">
        <w:t xml:space="preserve"> treatment </w:t>
      </w:r>
      <w:r w:rsidR="001B4781" w:rsidRPr="00786D0E">
        <w:t xml:space="preserve">over </w:t>
      </w:r>
      <w:proofErr w:type="spellStart"/>
      <w:r w:rsidR="001B4781" w:rsidRPr="00786D0E">
        <w:t>pemetrexed</w:t>
      </w:r>
      <w:proofErr w:type="spellEnd"/>
      <w:r w:rsidR="001B4781" w:rsidRPr="00786D0E">
        <w:t xml:space="preserve"> treatment </w:t>
      </w:r>
      <w:r w:rsidR="00DF323D" w:rsidRPr="00786D0E">
        <w:t>was difficult to determine from the evidence presented in the submission.</w:t>
      </w:r>
    </w:p>
    <w:p w:rsidR="00AC59CA" w:rsidRPr="00786D0E" w:rsidRDefault="00AC59CA" w:rsidP="000D39E9">
      <w:pPr>
        <w:pStyle w:val="ListParagraph"/>
        <w:numPr>
          <w:ilvl w:val="1"/>
          <w:numId w:val="2"/>
        </w:numPr>
        <w:spacing w:before="0" w:after="120"/>
        <w:jc w:val="both"/>
      </w:pPr>
      <w:r w:rsidRPr="00786D0E">
        <w:t xml:space="preserve">Table 5 presents the naïve comparison of PFS outcomes with </w:t>
      </w:r>
      <w:proofErr w:type="spellStart"/>
      <w:r w:rsidRPr="00786D0E">
        <w:t>crizotinib</w:t>
      </w:r>
      <w:proofErr w:type="spellEnd"/>
      <w:r w:rsidRPr="00786D0E">
        <w:t xml:space="preserve"> compared with </w:t>
      </w:r>
      <w:proofErr w:type="spellStart"/>
      <w:r w:rsidRPr="00786D0E">
        <w:t>pemetrexed</w:t>
      </w:r>
      <w:proofErr w:type="spellEnd"/>
      <w:r w:rsidRPr="00786D0E">
        <w:t>. Figure 3 presents the Kaplan-</w:t>
      </w:r>
      <w:r w:rsidR="00C37FB2" w:rsidRPr="00786D0E">
        <w:t xml:space="preserve">Meier plot for </w:t>
      </w:r>
      <w:proofErr w:type="spellStart"/>
      <w:r w:rsidR="00C37FB2" w:rsidRPr="00786D0E">
        <w:t>crizotinib</w:t>
      </w:r>
      <w:proofErr w:type="spellEnd"/>
      <w:r w:rsidR="00C37FB2" w:rsidRPr="00786D0E">
        <w:t xml:space="preserve"> PFS.</w:t>
      </w:r>
    </w:p>
    <w:p w:rsidR="00AC59CA" w:rsidRPr="00786D0E" w:rsidRDefault="00AC59CA" w:rsidP="00AC59CA">
      <w:pPr>
        <w:pStyle w:val="TableHeading0"/>
        <w:jc w:val="both"/>
      </w:pPr>
      <w:r w:rsidRPr="00786D0E">
        <w:t xml:space="preserve">Table 5: </w:t>
      </w:r>
      <w:proofErr w:type="spellStart"/>
      <w:r w:rsidRPr="00786D0E">
        <w:t>Crizotinib</w:t>
      </w:r>
      <w:proofErr w:type="spellEnd"/>
      <w:r w:rsidRPr="00786D0E">
        <w:t xml:space="preserve"> pooled PFS outcomes (Studies A8081001 and OO12-01)</w:t>
      </w:r>
    </w:p>
    <w:tbl>
      <w:tblPr>
        <w:tblW w:w="4985" w:type="pct"/>
        <w:tblInd w:w="28" w:type="dxa"/>
        <w:tblCellMar>
          <w:left w:w="28" w:type="dxa"/>
          <w:right w:w="28" w:type="dxa"/>
        </w:tblCellMar>
        <w:tblLook w:val="04A0" w:firstRow="1" w:lastRow="0" w:firstColumn="1" w:lastColumn="0" w:noHBand="0" w:noVBand="1"/>
      </w:tblPr>
      <w:tblGrid>
        <w:gridCol w:w="3121"/>
        <w:gridCol w:w="2977"/>
        <w:gridCol w:w="2957"/>
      </w:tblGrid>
      <w:tr w:rsidR="00AC59CA" w:rsidRPr="00786D0E" w:rsidTr="001F354C">
        <w:trPr>
          <w:cantSplit/>
          <w:trHeight w:val="300"/>
          <w:tblHeader/>
        </w:trPr>
        <w:tc>
          <w:tcPr>
            <w:tcW w:w="1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59CA" w:rsidRPr="00786D0E" w:rsidRDefault="00AC59CA" w:rsidP="001F354C">
            <w:pPr>
              <w:spacing w:before="40" w:after="40"/>
              <w:jc w:val="both"/>
              <w:rPr>
                <w:rFonts w:ascii="Arial Narrow" w:eastAsia="Times New Roman" w:hAnsi="Arial Narrow"/>
                <w:b/>
                <w:color w:val="000000"/>
                <w:sz w:val="20"/>
                <w:lang w:eastAsia="en-AU"/>
              </w:rPr>
            </w:pPr>
            <w:r w:rsidRPr="00786D0E">
              <w:rPr>
                <w:rFonts w:ascii="Arial Narrow" w:eastAsia="Times New Roman" w:hAnsi="Arial Narrow"/>
                <w:b/>
                <w:color w:val="000000"/>
                <w:sz w:val="20"/>
                <w:lang w:eastAsia="en-AU"/>
              </w:rPr>
              <w:t>Study</w:t>
            </w:r>
            <w:r w:rsidRPr="00786D0E">
              <w:rPr>
                <w:rFonts w:ascii="Arial Narrow" w:eastAsia="Times New Roman" w:hAnsi="Arial Narrow"/>
                <w:b/>
                <w:iCs/>
                <w:color w:val="000000"/>
                <w:sz w:val="20"/>
                <w:lang w:eastAsia="en-AU"/>
              </w:rPr>
              <w:t xml:space="preserve"> and intervention</w:t>
            </w:r>
          </w:p>
        </w:tc>
        <w:tc>
          <w:tcPr>
            <w:tcW w:w="1644" w:type="pct"/>
            <w:tcBorders>
              <w:top w:val="single" w:sz="4" w:space="0" w:color="auto"/>
              <w:left w:val="nil"/>
              <w:bottom w:val="single" w:sz="4" w:space="0" w:color="auto"/>
              <w:right w:val="single" w:sz="4" w:space="0" w:color="auto"/>
            </w:tcBorders>
            <w:shd w:val="clear" w:color="auto" w:fill="auto"/>
            <w:vAlign w:val="center"/>
            <w:hideMark/>
          </w:tcPr>
          <w:p w:rsidR="00AC59CA" w:rsidRPr="00786D0E" w:rsidRDefault="00AC59CA" w:rsidP="001F354C">
            <w:pPr>
              <w:pStyle w:val="TableText"/>
              <w:ind w:left="-22"/>
              <w:jc w:val="center"/>
              <w:rPr>
                <w:b/>
              </w:rPr>
            </w:pPr>
            <w:proofErr w:type="spellStart"/>
            <w:r w:rsidRPr="00786D0E">
              <w:rPr>
                <w:b/>
              </w:rPr>
              <w:t>Crizotinib</w:t>
            </w:r>
            <w:proofErr w:type="spellEnd"/>
          </w:p>
          <w:p w:rsidR="00AC59CA" w:rsidRPr="00786D0E" w:rsidRDefault="00AC59CA" w:rsidP="001F354C">
            <w:pPr>
              <w:pStyle w:val="TableText"/>
              <w:ind w:left="-22"/>
              <w:jc w:val="center"/>
              <w:rPr>
                <w:rFonts w:eastAsia="Times New Roman"/>
                <w:b/>
                <w:color w:val="000000"/>
                <w:lang w:eastAsia="en-AU"/>
              </w:rPr>
            </w:pPr>
            <w:r w:rsidRPr="00786D0E">
              <w:rPr>
                <w:b/>
              </w:rPr>
              <w:t>Pooled A8081001 &amp; OO12-01 (N=180)</w:t>
            </w:r>
          </w:p>
        </w:tc>
        <w:tc>
          <w:tcPr>
            <w:tcW w:w="1633" w:type="pct"/>
            <w:tcBorders>
              <w:top w:val="single" w:sz="4" w:space="0" w:color="auto"/>
              <w:left w:val="double" w:sz="4" w:space="0" w:color="auto"/>
              <w:bottom w:val="single" w:sz="4" w:space="0" w:color="auto"/>
              <w:right w:val="single" w:sz="4" w:space="0" w:color="auto"/>
            </w:tcBorders>
            <w:shd w:val="clear" w:color="auto" w:fill="auto"/>
            <w:vAlign w:val="center"/>
            <w:hideMark/>
          </w:tcPr>
          <w:p w:rsidR="00AC59CA" w:rsidRPr="00786D0E" w:rsidRDefault="00AC59CA" w:rsidP="001F354C">
            <w:pPr>
              <w:spacing w:before="40" w:after="40"/>
              <w:ind w:left="-22"/>
              <w:jc w:val="center"/>
              <w:rPr>
                <w:rFonts w:ascii="Arial Narrow" w:eastAsia="Times New Roman" w:hAnsi="Arial Narrow"/>
                <w:b/>
                <w:color w:val="000000"/>
                <w:sz w:val="20"/>
                <w:lang w:eastAsia="en-AU"/>
              </w:rPr>
            </w:pPr>
            <w:proofErr w:type="spellStart"/>
            <w:r w:rsidRPr="00786D0E">
              <w:rPr>
                <w:rFonts w:ascii="Arial Narrow" w:eastAsia="Times New Roman" w:hAnsi="Arial Narrow"/>
                <w:b/>
                <w:color w:val="000000"/>
                <w:sz w:val="20"/>
                <w:lang w:eastAsia="en-AU"/>
              </w:rPr>
              <w:t>Pemetrexed</w:t>
            </w:r>
            <w:proofErr w:type="spellEnd"/>
          </w:p>
          <w:p w:rsidR="00AC59CA" w:rsidRPr="00786D0E" w:rsidRDefault="00AC59CA" w:rsidP="001F354C">
            <w:pPr>
              <w:spacing w:before="40" w:after="40"/>
              <w:ind w:left="-22"/>
              <w:jc w:val="center"/>
              <w:rPr>
                <w:rFonts w:ascii="Arial Narrow" w:eastAsia="Times New Roman" w:hAnsi="Arial Narrow"/>
                <w:b/>
                <w:color w:val="000000"/>
                <w:sz w:val="20"/>
                <w:lang w:eastAsia="en-AU"/>
              </w:rPr>
            </w:pPr>
            <w:r w:rsidRPr="00786D0E">
              <w:rPr>
                <w:rFonts w:ascii="Arial Narrow" w:eastAsia="Times New Roman" w:hAnsi="Arial Narrow"/>
                <w:b/>
                <w:color w:val="000000"/>
                <w:sz w:val="20"/>
                <w:lang w:eastAsia="en-AU"/>
              </w:rPr>
              <w:t>Hanna et al. 2004 (n=283)</w:t>
            </w:r>
          </w:p>
        </w:tc>
      </w:tr>
      <w:tr w:rsidR="00AC59CA" w:rsidRPr="00786D0E" w:rsidTr="001F354C">
        <w:trPr>
          <w:trHeight w:val="300"/>
        </w:trPr>
        <w:tc>
          <w:tcPr>
            <w:tcW w:w="1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59CA" w:rsidRPr="00786D0E" w:rsidRDefault="00AC59CA" w:rsidP="001F354C">
            <w:pPr>
              <w:spacing w:before="40" w:after="40"/>
              <w:jc w:val="both"/>
              <w:rPr>
                <w:rFonts w:ascii="Arial Narrow" w:eastAsia="Times New Roman" w:hAnsi="Arial Narrow"/>
                <w:color w:val="000000"/>
                <w:sz w:val="20"/>
                <w:lang w:eastAsia="en-AU"/>
              </w:rPr>
            </w:pPr>
            <w:r w:rsidRPr="00786D0E">
              <w:rPr>
                <w:rFonts w:ascii="Arial Narrow" w:eastAsia="Times New Roman" w:hAnsi="Arial Narrow"/>
                <w:iCs/>
                <w:color w:val="000000"/>
                <w:sz w:val="20"/>
                <w:lang w:eastAsia="en-AU"/>
              </w:rPr>
              <w:t xml:space="preserve">Median follow-up for PFS </w:t>
            </w:r>
          </w:p>
        </w:tc>
        <w:tc>
          <w:tcPr>
            <w:tcW w:w="1644" w:type="pct"/>
            <w:tcBorders>
              <w:top w:val="single" w:sz="4" w:space="0" w:color="auto"/>
              <w:left w:val="nil"/>
              <w:bottom w:val="single" w:sz="4" w:space="0" w:color="auto"/>
              <w:right w:val="single" w:sz="4" w:space="0" w:color="auto"/>
            </w:tcBorders>
            <w:shd w:val="clear" w:color="auto" w:fill="auto"/>
            <w:vAlign w:val="center"/>
            <w:hideMark/>
          </w:tcPr>
          <w:p w:rsidR="00AC59CA" w:rsidRPr="00786D0E" w:rsidRDefault="00AC59CA" w:rsidP="001F354C">
            <w:pPr>
              <w:spacing w:before="40" w:after="40"/>
              <w:ind w:left="-22"/>
              <w:jc w:val="center"/>
              <w:rPr>
                <w:rFonts w:ascii="Arial Narrow" w:eastAsia="Times New Roman" w:hAnsi="Arial Narrow"/>
                <w:color w:val="000000"/>
                <w:sz w:val="20"/>
                <w:lang w:eastAsia="en-AU"/>
              </w:rPr>
            </w:pPr>
            <w:r w:rsidRPr="00786D0E">
              <w:rPr>
                <w:rFonts w:ascii="Arial Narrow" w:eastAsia="Times New Roman" w:hAnsi="Arial Narrow"/>
                <w:color w:val="000000"/>
                <w:sz w:val="20"/>
                <w:lang w:eastAsia="en-AU"/>
              </w:rPr>
              <w:t>NR</w:t>
            </w:r>
          </w:p>
        </w:tc>
        <w:tc>
          <w:tcPr>
            <w:tcW w:w="1633" w:type="pct"/>
            <w:tcBorders>
              <w:top w:val="single" w:sz="4" w:space="0" w:color="auto"/>
              <w:left w:val="double" w:sz="4" w:space="0" w:color="auto"/>
              <w:bottom w:val="single" w:sz="4" w:space="0" w:color="auto"/>
              <w:right w:val="single" w:sz="4" w:space="0" w:color="auto"/>
            </w:tcBorders>
            <w:shd w:val="clear" w:color="auto" w:fill="auto"/>
            <w:vAlign w:val="center"/>
            <w:hideMark/>
          </w:tcPr>
          <w:p w:rsidR="00AC59CA" w:rsidRPr="00786D0E" w:rsidRDefault="00AC59CA" w:rsidP="001F354C">
            <w:pPr>
              <w:spacing w:before="40" w:after="40"/>
              <w:ind w:left="-22"/>
              <w:jc w:val="center"/>
              <w:rPr>
                <w:rFonts w:ascii="Arial Narrow" w:eastAsia="Times New Roman" w:hAnsi="Arial Narrow"/>
                <w:color w:val="000000"/>
                <w:sz w:val="20"/>
                <w:lang w:eastAsia="en-AU"/>
              </w:rPr>
            </w:pPr>
            <w:r w:rsidRPr="00786D0E">
              <w:rPr>
                <w:rFonts w:ascii="Arial Narrow" w:eastAsia="Times New Roman" w:hAnsi="Arial Narrow"/>
                <w:color w:val="000000"/>
                <w:sz w:val="20"/>
                <w:lang w:eastAsia="en-AU"/>
              </w:rPr>
              <w:t>7.5 months</w:t>
            </w:r>
          </w:p>
        </w:tc>
      </w:tr>
      <w:tr w:rsidR="00AC59CA" w:rsidRPr="00786D0E" w:rsidTr="001F354C">
        <w:trPr>
          <w:trHeight w:val="300"/>
        </w:trPr>
        <w:tc>
          <w:tcPr>
            <w:tcW w:w="1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59CA" w:rsidRPr="00786D0E" w:rsidRDefault="00AC59CA" w:rsidP="001F354C">
            <w:pPr>
              <w:spacing w:before="40" w:after="40"/>
              <w:jc w:val="both"/>
              <w:rPr>
                <w:rFonts w:ascii="Arial Narrow" w:eastAsia="Times New Roman" w:hAnsi="Arial Narrow"/>
                <w:iCs/>
                <w:color w:val="000000"/>
                <w:sz w:val="20"/>
                <w:lang w:eastAsia="en-AU"/>
              </w:rPr>
            </w:pPr>
            <w:r w:rsidRPr="00786D0E">
              <w:rPr>
                <w:rFonts w:ascii="Arial Narrow" w:eastAsia="Times New Roman" w:hAnsi="Arial Narrow"/>
                <w:iCs/>
                <w:color w:val="000000"/>
                <w:sz w:val="20"/>
                <w:lang w:eastAsia="en-AU"/>
              </w:rPr>
              <w:t>Patients with events n/N (%)</w:t>
            </w:r>
          </w:p>
        </w:tc>
        <w:tc>
          <w:tcPr>
            <w:tcW w:w="1644" w:type="pct"/>
            <w:tcBorders>
              <w:top w:val="single" w:sz="4" w:space="0" w:color="auto"/>
              <w:left w:val="nil"/>
              <w:bottom w:val="single" w:sz="4" w:space="0" w:color="auto"/>
              <w:right w:val="single" w:sz="4" w:space="0" w:color="auto"/>
            </w:tcBorders>
            <w:shd w:val="clear" w:color="auto" w:fill="auto"/>
            <w:hideMark/>
          </w:tcPr>
          <w:p w:rsidR="00AC59CA" w:rsidRPr="001144C3" w:rsidRDefault="001144C3" w:rsidP="001F354C">
            <w:pPr>
              <w:spacing w:before="40" w:after="40"/>
              <w:ind w:left="-22"/>
              <w:jc w:val="center"/>
              <w:rPr>
                <w:rFonts w:ascii="Arial Narrow" w:eastAsia="Times New Roman" w:hAnsi="Arial Narrow"/>
                <w:color w:val="000000"/>
                <w:sz w:val="20"/>
                <w:highlight w:val="black"/>
                <w:lang w:eastAsia="en-AU"/>
              </w:rPr>
            </w:pPr>
            <w:r>
              <w:rPr>
                <w:rFonts w:ascii="Arial Narrow" w:eastAsia="Times New Roman" w:hAnsi="Arial Narrow"/>
                <w:noProof/>
                <w:color w:val="000000"/>
                <w:sz w:val="20"/>
                <w:highlight w:val="black"/>
                <w:lang w:eastAsia="en-AU"/>
              </w:rPr>
              <w:t>'''''''''''''''' ''''''''''''''</w:t>
            </w:r>
          </w:p>
        </w:tc>
        <w:tc>
          <w:tcPr>
            <w:tcW w:w="1633" w:type="pct"/>
            <w:tcBorders>
              <w:top w:val="single" w:sz="4" w:space="0" w:color="auto"/>
              <w:left w:val="double" w:sz="4" w:space="0" w:color="auto"/>
              <w:bottom w:val="single" w:sz="4" w:space="0" w:color="auto"/>
              <w:right w:val="single" w:sz="4" w:space="0" w:color="auto"/>
            </w:tcBorders>
            <w:shd w:val="clear" w:color="auto" w:fill="auto"/>
            <w:hideMark/>
          </w:tcPr>
          <w:p w:rsidR="00AC59CA" w:rsidRPr="00786D0E" w:rsidRDefault="00AC59CA" w:rsidP="001F354C">
            <w:pPr>
              <w:spacing w:before="40" w:after="40"/>
              <w:ind w:left="-22"/>
              <w:jc w:val="center"/>
              <w:rPr>
                <w:rFonts w:ascii="Arial Narrow" w:eastAsia="Times New Roman" w:hAnsi="Arial Narrow"/>
                <w:color w:val="000000"/>
                <w:sz w:val="20"/>
                <w:vertAlign w:val="superscript"/>
                <w:lang w:eastAsia="en-AU"/>
              </w:rPr>
            </w:pPr>
            <w:r w:rsidRPr="00786D0E">
              <w:rPr>
                <w:rFonts w:ascii="Times New Roman" w:eastAsia="Times New Roman" w:hAnsi="Times New Roman"/>
                <w:color w:val="000000"/>
                <w:sz w:val="20"/>
                <w:lang w:eastAsia="en-AU"/>
              </w:rPr>
              <w:t>─</w:t>
            </w:r>
          </w:p>
        </w:tc>
      </w:tr>
      <w:tr w:rsidR="00AC59CA" w:rsidRPr="00786D0E" w:rsidTr="001F354C">
        <w:trPr>
          <w:trHeight w:val="300"/>
        </w:trPr>
        <w:tc>
          <w:tcPr>
            <w:tcW w:w="1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59CA" w:rsidRPr="00786D0E" w:rsidRDefault="00AC59CA" w:rsidP="001F354C">
            <w:pPr>
              <w:spacing w:before="40" w:after="40"/>
              <w:jc w:val="both"/>
              <w:rPr>
                <w:rFonts w:ascii="Arial Narrow" w:eastAsia="Times New Roman" w:hAnsi="Arial Narrow"/>
                <w:color w:val="000000"/>
                <w:sz w:val="20"/>
                <w:lang w:eastAsia="en-AU"/>
              </w:rPr>
            </w:pPr>
            <w:r w:rsidRPr="00786D0E">
              <w:rPr>
                <w:rFonts w:ascii="Arial Narrow" w:eastAsia="Times New Roman" w:hAnsi="Arial Narrow"/>
                <w:iCs/>
                <w:color w:val="000000"/>
                <w:sz w:val="20"/>
                <w:lang w:eastAsia="en-AU"/>
              </w:rPr>
              <w:t>Censored n/N (%)</w:t>
            </w:r>
          </w:p>
        </w:tc>
        <w:tc>
          <w:tcPr>
            <w:tcW w:w="1644" w:type="pct"/>
            <w:tcBorders>
              <w:top w:val="single" w:sz="4" w:space="0" w:color="auto"/>
              <w:left w:val="nil"/>
              <w:bottom w:val="single" w:sz="4" w:space="0" w:color="auto"/>
              <w:right w:val="single" w:sz="4" w:space="0" w:color="auto"/>
            </w:tcBorders>
            <w:shd w:val="clear" w:color="auto" w:fill="auto"/>
            <w:vAlign w:val="center"/>
            <w:hideMark/>
          </w:tcPr>
          <w:p w:rsidR="00AC59CA" w:rsidRPr="001144C3" w:rsidRDefault="001144C3" w:rsidP="001F354C">
            <w:pPr>
              <w:spacing w:before="40" w:after="40"/>
              <w:ind w:left="-22"/>
              <w:jc w:val="center"/>
              <w:rPr>
                <w:rFonts w:ascii="Arial Narrow" w:eastAsia="Times New Roman" w:hAnsi="Arial Narrow"/>
                <w:color w:val="000000"/>
                <w:sz w:val="20"/>
                <w:highlight w:val="black"/>
                <w:lang w:eastAsia="en-AU"/>
              </w:rPr>
            </w:pPr>
            <w:r>
              <w:rPr>
                <w:rFonts w:ascii="Arial Narrow" w:eastAsia="Times New Roman" w:hAnsi="Arial Narrow"/>
                <w:noProof/>
                <w:color w:val="000000"/>
                <w:sz w:val="20"/>
                <w:highlight w:val="black"/>
                <w:lang w:eastAsia="en-AU"/>
              </w:rPr>
              <w:t>'''''''''''''''' '''''''''''''</w:t>
            </w:r>
          </w:p>
        </w:tc>
        <w:tc>
          <w:tcPr>
            <w:tcW w:w="1633" w:type="pct"/>
            <w:tcBorders>
              <w:top w:val="single" w:sz="4" w:space="0" w:color="auto"/>
              <w:left w:val="double" w:sz="4" w:space="0" w:color="auto"/>
              <w:bottom w:val="single" w:sz="4" w:space="0" w:color="auto"/>
              <w:right w:val="single" w:sz="4" w:space="0" w:color="auto"/>
            </w:tcBorders>
            <w:shd w:val="clear" w:color="auto" w:fill="auto"/>
            <w:vAlign w:val="center"/>
            <w:hideMark/>
          </w:tcPr>
          <w:p w:rsidR="00AC59CA" w:rsidRPr="00786D0E" w:rsidRDefault="00AC59CA" w:rsidP="001F354C">
            <w:pPr>
              <w:spacing w:before="40" w:after="40"/>
              <w:ind w:left="-22"/>
              <w:jc w:val="center"/>
              <w:rPr>
                <w:rFonts w:ascii="Arial Narrow" w:eastAsia="Times New Roman" w:hAnsi="Arial Narrow"/>
                <w:color w:val="000000"/>
                <w:sz w:val="20"/>
                <w:lang w:eastAsia="en-AU"/>
              </w:rPr>
            </w:pPr>
            <w:r w:rsidRPr="00786D0E">
              <w:rPr>
                <w:rFonts w:ascii="Arial Narrow" w:eastAsia="Times New Roman" w:hAnsi="Arial Narrow"/>
                <w:color w:val="000000"/>
                <w:sz w:val="20"/>
                <w:lang w:eastAsia="en-AU"/>
              </w:rPr>
              <w:t>18 (6.4%)</w:t>
            </w:r>
          </w:p>
        </w:tc>
      </w:tr>
      <w:tr w:rsidR="00AC59CA" w:rsidRPr="00786D0E" w:rsidTr="001F354C">
        <w:trPr>
          <w:trHeight w:val="70"/>
        </w:trPr>
        <w:tc>
          <w:tcPr>
            <w:tcW w:w="172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C59CA" w:rsidRPr="00786D0E" w:rsidRDefault="00AC59CA" w:rsidP="001F354C">
            <w:pPr>
              <w:spacing w:before="40" w:after="40"/>
              <w:jc w:val="both"/>
              <w:rPr>
                <w:rFonts w:ascii="Arial Narrow" w:eastAsia="Times New Roman" w:hAnsi="Arial Narrow"/>
                <w:color w:val="000000"/>
                <w:sz w:val="20"/>
                <w:lang w:eastAsia="en-AU"/>
              </w:rPr>
            </w:pPr>
            <w:r w:rsidRPr="00786D0E">
              <w:rPr>
                <w:rFonts w:ascii="Arial Narrow" w:eastAsia="Times New Roman" w:hAnsi="Arial Narrow"/>
                <w:color w:val="000000"/>
                <w:sz w:val="20"/>
                <w:lang w:eastAsia="en-AU"/>
              </w:rPr>
              <w:t>Median PFS, months</w:t>
            </w:r>
          </w:p>
        </w:tc>
        <w:tc>
          <w:tcPr>
            <w:tcW w:w="1644" w:type="pct"/>
            <w:tcBorders>
              <w:top w:val="single" w:sz="4" w:space="0" w:color="auto"/>
              <w:left w:val="nil"/>
              <w:bottom w:val="single" w:sz="4" w:space="0" w:color="auto"/>
              <w:right w:val="single" w:sz="4" w:space="0" w:color="auto"/>
            </w:tcBorders>
            <w:shd w:val="clear" w:color="auto" w:fill="auto"/>
            <w:vAlign w:val="center"/>
            <w:hideMark/>
          </w:tcPr>
          <w:p w:rsidR="00AC59CA" w:rsidRPr="001144C3" w:rsidRDefault="001144C3" w:rsidP="001F354C">
            <w:pPr>
              <w:spacing w:before="40" w:after="40"/>
              <w:ind w:left="-22"/>
              <w:jc w:val="center"/>
              <w:rPr>
                <w:rFonts w:ascii="Arial Narrow" w:eastAsia="Times New Roman" w:hAnsi="Arial Narrow"/>
                <w:color w:val="000000"/>
                <w:sz w:val="20"/>
                <w:highlight w:val="black"/>
                <w:lang w:eastAsia="en-AU"/>
              </w:rPr>
            </w:pPr>
            <w:r>
              <w:rPr>
                <w:rFonts w:ascii="Arial Narrow" w:eastAsia="Times New Roman" w:hAnsi="Arial Narrow"/>
                <w:noProof/>
                <w:color w:val="000000"/>
                <w:sz w:val="20"/>
                <w:highlight w:val="black"/>
                <w:lang w:eastAsia="en-AU"/>
              </w:rPr>
              <w:t>''''''''''' ''''''''''''''' ''''''''''''</w:t>
            </w:r>
          </w:p>
        </w:tc>
        <w:tc>
          <w:tcPr>
            <w:tcW w:w="1633" w:type="pct"/>
            <w:tcBorders>
              <w:top w:val="single" w:sz="4" w:space="0" w:color="auto"/>
              <w:left w:val="double" w:sz="4" w:space="0" w:color="auto"/>
              <w:bottom w:val="single" w:sz="4" w:space="0" w:color="auto"/>
              <w:right w:val="single" w:sz="4" w:space="0" w:color="auto"/>
            </w:tcBorders>
            <w:shd w:val="clear" w:color="auto" w:fill="auto"/>
            <w:vAlign w:val="center"/>
            <w:hideMark/>
          </w:tcPr>
          <w:p w:rsidR="00AC59CA" w:rsidRPr="00786D0E" w:rsidRDefault="00AC59CA" w:rsidP="001F354C">
            <w:pPr>
              <w:spacing w:before="40" w:after="40"/>
              <w:ind w:left="-22"/>
              <w:jc w:val="center"/>
              <w:rPr>
                <w:rFonts w:ascii="Arial Narrow" w:eastAsia="Times New Roman" w:hAnsi="Arial Narrow"/>
                <w:color w:val="000000"/>
                <w:sz w:val="20"/>
                <w:lang w:eastAsia="en-AU"/>
              </w:rPr>
            </w:pPr>
            <w:r w:rsidRPr="00786D0E">
              <w:rPr>
                <w:rFonts w:ascii="Arial Narrow" w:eastAsia="Times New Roman" w:hAnsi="Arial Narrow"/>
                <w:color w:val="000000"/>
                <w:sz w:val="20"/>
                <w:lang w:eastAsia="en-AU"/>
              </w:rPr>
              <w:t>2.9 (-, -)</w:t>
            </w:r>
          </w:p>
        </w:tc>
      </w:tr>
    </w:tbl>
    <w:p w:rsidR="00AC59CA" w:rsidRPr="00786D0E" w:rsidRDefault="00AC59CA" w:rsidP="00AC59CA">
      <w:pPr>
        <w:pStyle w:val="TableFooter"/>
      </w:pPr>
      <w:r w:rsidRPr="00786D0E">
        <w:rPr>
          <w:rFonts w:eastAsia="Arial"/>
          <w:snapToGrid/>
        </w:rPr>
        <w:t xml:space="preserve">Source: </w:t>
      </w:r>
      <w:r w:rsidRPr="00786D0E">
        <w:t xml:space="preserve">Table 2.6.1, p179 of the submission </w:t>
      </w:r>
    </w:p>
    <w:p w:rsidR="00AC59CA" w:rsidRPr="00786D0E" w:rsidRDefault="00AC59CA" w:rsidP="00AC59CA">
      <w:pPr>
        <w:pStyle w:val="TableFooter"/>
        <w:rPr>
          <w:rFonts w:eastAsia="Arial"/>
          <w:snapToGrid/>
        </w:rPr>
      </w:pPr>
      <w:r w:rsidRPr="00786D0E">
        <w:t>Note: PFS</w:t>
      </w:r>
      <w:r w:rsidRPr="00786D0E">
        <w:rPr>
          <w:rFonts w:eastAsia="Arial"/>
          <w:snapToGrid/>
        </w:rPr>
        <w:t xml:space="preserve">, quartiles, and probability of survival </w:t>
      </w:r>
      <w:r w:rsidRPr="00786D0E">
        <w:t xml:space="preserve">were </w:t>
      </w:r>
      <w:r w:rsidRPr="00786D0E">
        <w:rPr>
          <w:rFonts w:eastAsia="Arial"/>
          <w:snapToGrid/>
        </w:rPr>
        <w:t>presented with the Kaplan-Meier estimates calculated using the log cumulative hazard transformation.</w:t>
      </w:r>
    </w:p>
    <w:p w:rsidR="00AC59CA" w:rsidRPr="00786D0E" w:rsidRDefault="00AC59CA" w:rsidP="00AC59CA">
      <w:pPr>
        <w:pStyle w:val="TableFooter"/>
        <w:rPr>
          <w:rFonts w:eastAsia="Arial"/>
          <w:snapToGrid/>
        </w:rPr>
      </w:pPr>
      <w:r w:rsidRPr="00786D0E">
        <w:rPr>
          <w:rFonts w:eastAsia="Arial"/>
          <w:snapToGrid/>
        </w:rPr>
        <w:t xml:space="preserve">CI = confidence interval; KM = Kaplan-Meier; NR = not reached; </w:t>
      </w:r>
      <w:r w:rsidRPr="00786D0E">
        <w:t>PFS = progression-free survival</w:t>
      </w:r>
    </w:p>
    <w:p w:rsidR="00AC59CA" w:rsidRPr="00786D0E" w:rsidRDefault="00AC59CA" w:rsidP="00AC59CA">
      <w:pPr>
        <w:pStyle w:val="TableHeading0"/>
        <w:jc w:val="both"/>
      </w:pPr>
      <w:r w:rsidRPr="00786D0E">
        <w:t xml:space="preserve">Figure 3: </w:t>
      </w:r>
      <w:proofErr w:type="spellStart"/>
      <w:r w:rsidRPr="00786D0E">
        <w:t>Crizotinib</w:t>
      </w:r>
      <w:proofErr w:type="spellEnd"/>
      <w:r w:rsidRPr="00786D0E">
        <w:t xml:space="preserve"> pooled PFS Kaplan-Meier curve (N = 180)</w:t>
      </w:r>
    </w:p>
    <w:p w:rsidR="00AC59CA" w:rsidRPr="00786D0E" w:rsidRDefault="001144C3" w:rsidP="00AC59CA">
      <w:pPr>
        <w:pStyle w:val="TableHeading0"/>
        <w:ind w:left="851"/>
        <w:jc w:val="both"/>
      </w:pPr>
      <w:r>
        <w:rPr>
          <w:noProof/>
          <w:lang w:eastAsia="en-AU"/>
        </w:rPr>
        <w:drawing>
          <wp:inline distT="0" distB="0" distL="0" distR="0" wp14:anchorId="742743D7" wp14:editId="21627203">
            <wp:extent cx="4363720" cy="24479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63720" cy="2447925"/>
                    </a:xfrm>
                    <a:prstGeom prst="rect">
                      <a:avLst/>
                    </a:prstGeom>
                  </pic:spPr>
                </pic:pic>
              </a:graphicData>
            </a:graphic>
          </wp:inline>
        </w:drawing>
      </w:r>
    </w:p>
    <w:p w:rsidR="00AC59CA" w:rsidRPr="00786D0E" w:rsidRDefault="00AC59CA" w:rsidP="00AC59CA">
      <w:pPr>
        <w:pStyle w:val="TableFooter"/>
      </w:pPr>
      <w:r w:rsidRPr="00786D0E">
        <w:t xml:space="preserve">Source: Figure 2.6.1, p179 of the submission </w:t>
      </w:r>
    </w:p>
    <w:p w:rsidR="00AC59CA" w:rsidRPr="00786D0E" w:rsidRDefault="00AC59CA" w:rsidP="00AC59CA">
      <w:pPr>
        <w:pStyle w:val="TableFooter"/>
      </w:pPr>
      <w:r w:rsidRPr="00786D0E">
        <w:t xml:space="preserve">PFS = progression-free survival </w:t>
      </w:r>
    </w:p>
    <w:p w:rsidR="00AC59CA" w:rsidRPr="00786D0E" w:rsidRDefault="00AC59CA" w:rsidP="000D39E9">
      <w:pPr>
        <w:pStyle w:val="ListParagraph"/>
        <w:numPr>
          <w:ilvl w:val="1"/>
          <w:numId w:val="2"/>
        </w:numPr>
        <w:spacing w:before="0" w:after="120"/>
        <w:jc w:val="both"/>
      </w:pPr>
      <w:proofErr w:type="spellStart"/>
      <w:r w:rsidRPr="00786D0E">
        <w:t>Crizotinib</w:t>
      </w:r>
      <w:proofErr w:type="spellEnd"/>
      <w:r w:rsidRPr="00786D0E">
        <w:t xml:space="preserve"> showed superior median progression-free survival at </w:t>
      </w:r>
      <w:r w:rsidR="001144C3">
        <w:rPr>
          <w:noProof/>
          <w:color w:val="000000"/>
          <w:highlight w:val="black"/>
        </w:rPr>
        <w:t>'''''''''</w:t>
      </w:r>
      <w:r w:rsidRPr="00786D0E">
        <w:t xml:space="preserve"> months, compared with </w:t>
      </w:r>
      <w:proofErr w:type="spellStart"/>
      <w:r w:rsidRPr="00786D0E">
        <w:t>pemetrexed</w:t>
      </w:r>
      <w:proofErr w:type="spellEnd"/>
      <w:r w:rsidRPr="00786D0E">
        <w:t xml:space="preserve"> at 2.9 months. This w</w:t>
      </w:r>
      <w:r w:rsidR="001D592D" w:rsidRPr="00786D0E">
        <w:t>as likely overestimated due to:</w:t>
      </w:r>
    </w:p>
    <w:p w:rsidR="00AC59CA" w:rsidRPr="00786D0E" w:rsidRDefault="00AC59CA" w:rsidP="00500792">
      <w:pPr>
        <w:pStyle w:val="ListParagraph"/>
        <w:numPr>
          <w:ilvl w:val="0"/>
          <w:numId w:val="21"/>
        </w:numPr>
        <w:spacing w:before="0" w:after="120"/>
        <w:ind w:left="1134"/>
        <w:jc w:val="both"/>
      </w:pPr>
      <w:r w:rsidRPr="00786D0E">
        <w:t xml:space="preserve">patients treated with </w:t>
      </w:r>
      <w:proofErr w:type="spellStart"/>
      <w:r w:rsidRPr="00786D0E">
        <w:t>pemetrexed</w:t>
      </w:r>
      <w:proofErr w:type="spellEnd"/>
      <w:r w:rsidRPr="00786D0E">
        <w:t xml:space="preserve"> in Hanna et al 2004 having worse prognostic factors such as worse performance status, squamous NSCLC, and prior use of chemotherapy at </w:t>
      </w:r>
      <w:r w:rsidR="000F6482" w:rsidRPr="00786D0E">
        <w:t xml:space="preserve">baseline (favoured </w:t>
      </w:r>
      <w:proofErr w:type="spellStart"/>
      <w:r w:rsidR="000F6482" w:rsidRPr="00786D0E">
        <w:t>crizotinib</w:t>
      </w:r>
      <w:proofErr w:type="spellEnd"/>
      <w:r w:rsidR="000F6482" w:rsidRPr="00786D0E">
        <w:t>);</w:t>
      </w:r>
    </w:p>
    <w:p w:rsidR="00AC59CA" w:rsidRPr="00786D0E" w:rsidRDefault="00AC59CA" w:rsidP="00500792">
      <w:pPr>
        <w:pStyle w:val="ListParagraph"/>
        <w:numPr>
          <w:ilvl w:val="0"/>
          <w:numId w:val="21"/>
        </w:numPr>
        <w:spacing w:before="0" w:after="120"/>
        <w:ind w:left="1134"/>
        <w:jc w:val="both"/>
      </w:pPr>
      <w:r w:rsidRPr="00786D0E">
        <w:t xml:space="preserve">use of fewer doses of </w:t>
      </w:r>
      <w:proofErr w:type="spellStart"/>
      <w:r w:rsidRPr="00786D0E">
        <w:t>pemetrexed</w:t>
      </w:r>
      <w:proofErr w:type="spellEnd"/>
      <w:r w:rsidRPr="00786D0E">
        <w:t xml:space="preserve"> than Australian practice (favoured </w:t>
      </w:r>
      <w:proofErr w:type="spellStart"/>
      <w:r w:rsidRPr="00786D0E">
        <w:t>crizotinib</w:t>
      </w:r>
      <w:proofErr w:type="spellEnd"/>
      <w:r w:rsidRPr="00786D0E">
        <w:t xml:space="preserve">); </w:t>
      </w:r>
    </w:p>
    <w:p w:rsidR="00AC59CA" w:rsidRPr="00786D0E" w:rsidRDefault="00AC59CA" w:rsidP="00500792">
      <w:pPr>
        <w:pStyle w:val="ListParagraph"/>
        <w:numPr>
          <w:ilvl w:val="0"/>
          <w:numId w:val="21"/>
        </w:numPr>
        <w:spacing w:before="0" w:after="120"/>
        <w:ind w:left="1134"/>
        <w:jc w:val="both"/>
      </w:pPr>
      <w:r w:rsidRPr="00786D0E">
        <w:t>the results of Hanna et al 2004 not capturing improvements in clinical practice that have occurred since the trial was conducted; and</w:t>
      </w:r>
    </w:p>
    <w:p w:rsidR="00AC59CA" w:rsidRPr="00786D0E" w:rsidRDefault="00AC59CA" w:rsidP="00500792">
      <w:pPr>
        <w:pStyle w:val="ListParagraph"/>
        <w:numPr>
          <w:ilvl w:val="0"/>
          <w:numId w:val="21"/>
        </w:numPr>
        <w:spacing w:before="0" w:after="120"/>
        <w:ind w:left="1134"/>
        <w:jc w:val="both"/>
      </w:pPr>
      <w:proofErr w:type="gramStart"/>
      <w:r w:rsidRPr="00786D0E">
        <w:t>the</w:t>
      </w:r>
      <w:proofErr w:type="gramEnd"/>
      <w:r w:rsidRPr="00786D0E">
        <w:t xml:space="preserve"> predominantly East Asian ethnicity of patients who have better NSCLC progno</w:t>
      </w:r>
      <w:r w:rsidR="001D592D" w:rsidRPr="00786D0E">
        <w:t xml:space="preserve">sis in the </w:t>
      </w:r>
      <w:proofErr w:type="spellStart"/>
      <w:r w:rsidR="001D592D" w:rsidRPr="00786D0E">
        <w:t>crizotinib</w:t>
      </w:r>
      <w:proofErr w:type="spellEnd"/>
      <w:r w:rsidR="001D592D" w:rsidRPr="00786D0E">
        <w:t xml:space="preserve"> studies.</w:t>
      </w:r>
    </w:p>
    <w:p w:rsidR="00DF323D" w:rsidRPr="00786D0E" w:rsidRDefault="00DF323D" w:rsidP="000D39E9">
      <w:pPr>
        <w:pStyle w:val="ListParagraph"/>
        <w:numPr>
          <w:ilvl w:val="1"/>
          <w:numId w:val="2"/>
        </w:numPr>
        <w:spacing w:before="0" w:after="120"/>
        <w:jc w:val="both"/>
      </w:pPr>
      <w:r w:rsidRPr="00786D0E">
        <w:lastRenderedPageBreak/>
        <w:t xml:space="preserve">The PSCR (p3) argued that the differences in prognosis from the number of prior treatments was unlikely to have favoured </w:t>
      </w:r>
      <w:proofErr w:type="spellStart"/>
      <w:r w:rsidRPr="00786D0E">
        <w:t>crizotinib</w:t>
      </w:r>
      <w:proofErr w:type="spellEnd"/>
      <w:r w:rsidRPr="00786D0E">
        <w:t xml:space="preserve">, noting that a large proportion of patients in the </w:t>
      </w:r>
      <w:proofErr w:type="spellStart"/>
      <w:r w:rsidRPr="00786D0E">
        <w:t>crizotinib</w:t>
      </w:r>
      <w:proofErr w:type="spellEnd"/>
      <w:r w:rsidRPr="00786D0E">
        <w:t xml:space="preserve"> studies were more heavily pre-treated than the </w:t>
      </w:r>
      <w:proofErr w:type="spellStart"/>
      <w:r w:rsidRPr="00786D0E">
        <w:t>pemetrexed</w:t>
      </w:r>
      <w:proofErr w:type="spellEnd"/>
      <w:r w:rsidRPr="00786D0E">
        <w:t xml:space="preserve"> patients in Hanna et al 2004.</w:t>
      </w:r>
    </w:p>
    <w:p w:rsidR="00AC59CA" w:rsidRPr="00786D0E" w:rsidRDefault="00AC59CA" w:rsidP="000D39E9">
      <w:pPr>
        <w:pStyle w:val="ListParagraph"/>
        <w:numPr>
          <w:ilvl w:val="1"/>
          <w:numId w:val="2"/>
        </w:numPr>
        <w:spacing w:before="0" w:after="120"/>
        <w:jc w:val="both"/>
      </w:pPr>
      <w:r w:rsidRPr="00786D0E">
        <w:t xml:space="preserve">The comparison of a </w:t>
      </w:r>
      <w:r w:rsidR="00420D95" w:rsidRPr="00786D0E">
        <w:rPr>
          <w:i/>
        </w:rPr>
        <w:t>ROS1</w:t>
      </w:r>
      <w:r w:rsidR="009D60C8" w:rsidRPr="00786D0E">
        <w:t>-</w:t>
      </w:r>
      <w:r w:rsidRPr="00786D0E">
        <w:t xml:space="preserve">positive NSCLC population in the </w:t>
      </w:r>
      <w:proofErr w:type="spellStart"/>
      <w:r w:rsidRPr="00786D0E">
        <w:t>crizotinib</w:t>
      </w:r>
      <w:proofErr w:type="spellEnd"/>
      <w:r w:rsidRPr="00786D0E">
        <w:t xml:space="preserve"> studies compared with an unselected </w:t>
      </w:r>
      <w:proofErr w:type="spellStart"/>
      <w:r w:rsidRPr="00786D0E">
        <w:t>pemetrexed</w:t>
      </w:r>
      <w:proofErr w:type="spellEnd"/>
      <w:r w:rsidRPr="00786D0E">
        <w:t xml:space="preserve"> population in Hanna et al 2004 was a substantial transitivity issue. The direction of this bias is unknown. The prognostic impact of </w:t>
      </w:r>
      <w:r w:rsidR="00420D95" w:rsidRPr="00786D0E">
        <w:rPr>
          <w:i/>
        </w:rPr>
        <w:t>ROS1</w:t>
      </w:r>
      <w:r w:rsidRPr="00786D0E">
        <w:t xml:space="preserve"> gene rearrangements was unknown. In addition, it was unknown whether </w:t>
      </w:r>
      <w:r w:rsidR="00420D95" w:rsidRPr="00786D0E">
        <w:rPr>
          <w:i/>
        </w:rPr>
        <w:t>ROS1</w:t>
      </w:r>
      <w:r w:rsidRPr="00786D0E">
        <w:rPr>
          <w:i/>
        </w:rPr>
        <w:t xml:space="preserve"> </w:t>
      </w:r>
      <w:r w:rsidRPr="00786D0E">
        <w:t xml:space="preserve">gene rearrangements are a treatment effect modifier for </w:t>
      </w:r>
      <w:proofErr w:type="spellStart"/>
      <w:r w:rsidRPr="00786D0E">
        <w:t>pemetrexed</w:t>
      </w:r>
      <w:proofErr w:type="spellEnd"/>
      <w:r w:rsidRPr="00786D0E">
        <w:t xml:space="preserve">. </w:t>
      </w:r>
    </w:p>
    <w:p w:rsidR="00AC59CA" w:rsidRPr="00786D0E" w:rsidRDefault="00AC59CA" w:rsidP="000D39E9">
      <w:pPr>
        <w:pStyle w:val="ListParagraph"/>
        <w:numPr>
          <w:ilvl w:val="1"/>
          <w:numId w:val="2"/>
        </w:numPr>
        <w:spacing w:before="0" w:after="120"/>
        <w:jc w:val="both"/>
      </w:pPr>
      <w:proofErr w:type="spellStart"/>
      <w:r w:rsidRPr="00786D0E">
        <w:t>Scagliotti</w:t>
      </w:r>
      <w:proofErr w:type="spellEnd"/>
      <w:r w:rsidRPr="00786D0E">
        <w:t xml:space="preserve"> et al 2009 reported median progression</w:t>
      </w:r>
      <w:r w:rsidRPr="00786D0E">
        <w:noBreakHyphen/>
        <w:t xml:space="preserve">free survival of 3.1 months and overall survival of 9.3 months for patients with non-squamous NSCLC treated with </w:t>
      </w:r>
      <w:proofErr w:type="spellStart"/>
      <w:r w:rsidR="000F6482" w:rsidRPr="00786D0E">
        <w:t>pemetrexed</w:t>
      </w:r>
      <w:proofErr w:type="spellEnd"/>
      <w:r w:rsidR="000F6482" w:rsidRPr="00786D0E">
        <w:t xml:space="preserve"> in Hanna et al 2004.</w:t>
      </w:r>
    </w:p>
    <w:p w:rsidR="00AC59CA" w:rsidRPr="00786D0E" w:rsidRDefault="00AC59CA" w:rsidP="000D39E9">
      <w:pPr>
        <w:pStyle w:val="ListParagraph"/>
        <w:numPr>
          <w:ilvl w:val="1"/>
          <w:numId w:val="2"/>
        </w:numPr>
        <w:spacing w:before="0" w:after="120"/>
        <w:jc w:val="both"/>
      </w:pPr>
      <w:r w:rsidRPr="00786D0E">
        <w:t xml:space="preserve">The submission did not present a comparison of </w:t>
      </w:r>
      <w:proofErr w:type="spellStart"/>
      <w:r w:rsidRPr="00786D0E">
        <w:t>crizotinib</w:t>
      </w:r>
      <w:proofErr w:type="spellEnd"/>
      <w:r w:rsidRPr="00786D0E">
        <w:t xml:space="preserve"> with first line treatment to support a PBS listing that was agnostic to the line of treatment. In A8081001, median progression-free survival and overall survival were not reached for the seven patients with no prior therapies. OO12</w:t>
      </w:r>
      <w:r w:rsidRPr="00786D0E">
        <w:noBreakHyphen/>
        <w:t xml:space="preserve">01 reported median progression-free survival of </w:t>
      </w:r>
      <w:r w:rsidR="001144C3">
        <w:rPr>
          <w:noProof/>
          <w:color w:val="000000"/>
          <w:highlight w:val="black"/>
        </w:rPr>
        <w:t>'''''''''</w:t>
      </w:r>
      <w:r w:rsidRPr="00786D0E">
        <w:t xml:space="preserve"> months for 24 patients not previously treated with chemotherapy. Overall survival by number of prior treatments was not presented </w:t>
      </w:r>
      <w:r w:rsidR="000F6482" w:rsidRPr="00786D0E">
        <w:t>for OO12-01.</w:t>
      </w:r>
    </w:p>
    <w:p w:rsidR="00AC59CA" w:rsidRPr="00610B60" w:rsidRDefault="00AC59CA" w:rsidP="00610B60">
      <w:pPr>
        <w:widowControl w:val="0"/>
        <w:spacing w:before="240" w:line="276" w:lineRule="auto"/>
        <w:jc w:val="both"/>
        <w:outlineLvl w:val="1"/>
        <w:rPr>
          <w:rFonts w:cs="Arial"/>
          <w:b/>
          <w:bCs/>
          <w:i/>
          <w:snapToGrid w:val="0"/>
          <w:sz w:val="28"/>
          <w:szCs w:val="28"/>
        </w:rPr>
      </w:pPr>
      <w:bookmarkStart w:id="13" w:name="_Toc413139279"/>
      <w:r w:rsidRPr="00610B60">
        <w:rPr>
          <w:rFonts w:cs="Arial"/>
          <w:b/>
          <w:bCs/>
          <w:i/>
          <w:snapToGrid w:val="0"/>
          <w:sz w:val="28"/>
          <w:szCs w:val="28"/>
        </w:rPr>
        <w:t>Comparative harms</w:t>
      </w:r>
      <w:bookmarkEnd w:id="13"/>
    </w:p>
    <w:p w:rsidR="00AC59CA" w:rsidRPr="00786D0E" w:rsidRDefault="00AC59CA" w:rsidP="000D39E9">
      <w:pPr>
        <w:pStyle w:val="ListParagraph"/>
        <w:numPr>
          <w:ilvl w:val="1"/>
          <w:numId w:val="2"/>
        </w:numPr>
        <w:spacing w:before="0" w:after="120"/>
        <w:jc w:val="both"/>
      </w:pPr>
      <w:r w:rsidRPr="00786D0E">
        <w:t xml:space="preserve">Table 6 presents the naïve comparison of safety data from the two </w:t>
      </w:r>
      <w:proofErr w:type="spellStart"/>
      <w:r w:rsidRPr="00786D0E">
        <w:t>crizotinib</w:t>
      </w:r>
      <w:proofErr w:type="spellEnd"/>
      <w:r w:rsidRPr="00786D0E">
        <w:t xml:space="preserve"> studies and Hanna et al (2004).</w:t>
      </w:r>
    </w:p>
    <w:p w:rsidR="00AC59CA" w:rsidRPr="00786D0E" w:rsidRDefault="00AC59CA" w:rsidP="00AC59CA">
      <w:pPr>
        <w:pStyle w:val="TableHeading0"/>
        <w:jc w:val="both"/>
      </w:pPr>
      <w:r w:rsidRPr="00786D0E">
        <w:lastRenderedPageBreak/>
        <w:t xml:space="preserve">Table 6: Summary of all causality adverse events across primary evidence </w:t>
      </w:r>
    </w:p>
    <w:tbl>
      <w:tblPr>
        <w:tblStyle w:val="TableGrid"/>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Summary of all causality adverse events across primary evidence "/>
      </w:tblPr>
      <w:tblGrid>
        <w:gridCol w:w="4963"/>
        <w:gridCol w:w="1275"/>
        <w:gridCol w:w="1275"/>
        <w:gridCol w:w="1622"/>
      </w:tblGrid>
      <w:tr w:rsidR="00AC59CA" w:rsidRPr="00786D0E" w:rsidTr="00651CF6">
        <w:trPr>
          <w:cnfStyle w:val="100000000000" w:firstRow="1" w:lastRow="0" w:firstColumn="0" w:lastColumn="0" w:oddVBand="0" w:evenVBand="0" w:oddHBand="0" w:evenHBand="0" w:firstRowFirstColumn="0" w:firstRowLastColumn="0" w:lastRowFirstColumn="0" w:lastRowLastColumn="0"/>
          <w:tblHeader/>
        </w:trPr>
        <w:tc>
          <w:tcPr>
            <w:tcW w:w="2716" w:type="pct"/>
            <w:shd w:val="clear" w:color="auto" w:fill="FFFFFF" w:themeFill="background1"/>
          </w:tcPr>
          <w:p w:rsidR="00AC59CA" w:rsidRPr="00786D0E" w:rsidRDefault="00AC59CA" w:rsidP="001F354C">
            <w:pPr>
              <w:pStyle w:val="TableText"/>
              <w:jc w:val="both"/>
              <w:rPr>
                <w:szCs w:val="20"/>
                <w:lang w:val="en-AU"/>
              </w:rPr>
            </w:pPr>
          </w:p>
        </w:tc>
        <w:tc>
          <w:tcPr>
            <w:tcW w:w="698" w:type="pct"/>
            <w:shd w:val="clear" w:color="auto" w:fill="FFFFFF" w:themeFill="background1"/>
            <w:vAlign w:val="center"/>
          </w:tcPr>
          <w:p w:rsidR="00AC59CA" w:rsidRPr="00786D0E" w:rsidRDefault="00AC59CA" w:rsidP="001F354C">
            <w:pPr>
              <w:pStyle w:val="TableText"/>
              <w:jc w:val="center"/>
              <w:rPr>
                <w:szCs w:val="20"/>
                <w:vertAlign w:val="superscript"/>
                <w:lang w:val="en-AU"/>
              </w:rPr>
            </w:pPr>
            <w:r w:rsidRPr="00786D0E">
              <w:rPr>
                <w:szCs w:val="20"/>
                <w:lang w:val="en-AU"/>
              </w:rPr>
              <w:t>A8081001</w:t>
            </w:r>
          </w:p>
          <w:p w:rsidR="00AC59CA" w:rsidRPr="00786D0E" w:rsidRDefault="00AC59CA" w:rsidP="001F354C">
            <w:pPr>
              <w:pStyle w:val="TableText"/>
              <w:jc w:val="center"/>
              <w:rPr>
                <w:szCs w:val="20"/>
                <w:lang w:val="en-AU"/>
              </w:rPr>
            </w:pPr>
            <w:proofErr w:type="spellStart"/>
            <w:r w:rsidRPr="00786D0E">
              <w:rPr>
                <w:szCs w:val="20"/>
                <w:lang w:val="en-AU"/>
              </w:rPr>
              <w:t>Crizotinib</w:t>
            </w:r>
            <w:proofErr w:type="spellEnd"/>
          </w:p>
          <w:p w:rsidR="00AC59CA" w:rsidRPr="00786D0E" w:rsidRDefault="00AC59CA" w:rsidP="001F354C">
            <w:pPr>
              <w:pStyle w:val="TableText"/>
              <w:jc w:val="center"/>
              <w:rPr>
                <w:b w:val="0"/>
                <w:szCs w:val="20"/>
                <w:lang w:val="en-AU"/>
              </w:rPr>
            </w:pPr>
            <w:proofErr w:type="gramStart"/>
            <w:r w:rsidRPr="00786D0E">
              <w:rPr>
                <w:szCs w:val="20"/>
                <w:lang w:val="en-AU"/>
              </w:rPr>
              <w:t>n</w:t>
            </w:r>
            <w:proofErr w:type="gramEnd"/>
            <w:r w:rsidRPr="00786D0E">
              <w:rPr>
                <w:szCs w:val="20"/>
                <w:lang w:val="en-AU"/>
              </w:rPr>
              <w:t xml:space="preserve"> (%)</w:t>
            </w:r>
            <w:r w:rsidRPr="00786D0E">
              <w:rPr>
                <w:b w:val="0"/>
                <w:szCs w:val="20"/>
                <w:lang w:val="en-AU"/>
              </w:rPr>
              <w:t xml:space="preserve"> </w:t>
            </w:r>
            <w:r w:rsidRPr="00786D0E">
              <w:rPr>
                <w:szCs w:val="20"/>
                <w:lang w:val="en-AU"/>
              </w:rPr>
              <w:t>N=53</w:t>
            </w:r>
          </w:p>
        </w:tc>
        <w:tc>
          <w:tcPr>
            <w:tcW w:w="698" w:type="pct"/>
            <w:tcBorders>
              <w:right w:val="double" w:sz="4" w:space="0" w:color="auto"/>
            </w:tcBorders>
            <w:shd w:val="clear" w:color="auto" w:fill="FFFFFF" w:themeFill="background1"/>
            <w:vAlign w:val="center"/>
          </w:tcPr>
          <w:p w:rsidR="00AC59CA" w:rsidRPr="00786D0E" w:rsidRDefault="00AC59CA" w:rsidP="001F354C">
            <w:pPr>
              <w:pStyle w:val="TableText"/>
              <w:jc w:val="center"/>
              <w:rPr>
                <w:szCs w:val="20"/>
                <w:vertAlign w:val="superscript"/>
                <w:lang w:val="en-AU"/>
              </w:rPr>
            </w:pPr>
            <w:r w:rsidRPr="00786D0E">
              <w:rPr>
                <w:szCs w:val="20"/>
                <w:lang w:val="en-AU"/>
              </w:rPr>
              <w:t>OO12-01</w:t>
            </w:r>
          </w:p>
          <w:p w:rsidR="00AC59CA" w:rsidRPr="00786D0E" w:rsidRDefault="00AC59CA" w:rsidP="001F354C">
            <w:pPr>
              <w:pStyle w:val="TableText"/>
              <w:jc w:val="center"/>
              <w:rPr>
                <w:szCs w:val="20"/>
                <w:lang w:val="en-AU"/>
              </w:rPr>
            </w:pPr>
            <w:proofErr w:type="spellStart"/>
            <w:r w:rsidRPr="00786D0E">
              <w:rPr>
                <w:szCs w:val="20"/>
                <w:lang w:val="en-AU"/>
              </w:rPr>
              <w:t>Crizotinib</w:t>
            </w:r>
            <w:proofErr w:type="spellEnd"/>
          </w:p>
          <w:p w:rsidR="00AC59CA" w:rsidRPr="00786D0E" w:rsidRDefault="00AC59CA" w:rsidP="001F354C">
            <w:pPr>
              <w:pStyle w:val="TableText"/>
              <w:jc w:val="center"/>
              <w:rPr>
                <w:b w:val="0"/>
                <w:szCs w:val="20"/>
                <w:lang w:val="en-AU"/>
              </w:rPr>
            </w:pPr>
            <w:proofErr w:type="gramStart"/>
            <w:r w:rsidRPr="00786D0E">
              <w:rPr>
                <w:szCs w:val="20"/>
                <w:lang w:val="en-AU"/>
              </w:rPr>
              <w:t>n</w:t>
            </w:r>
            <w:proofErr w:type="gramEnd"/>
            <w:r w:rsidRPr="00786D0E">
              <w:rPr>
                <w:szCs w:val="20"/>
                <w:lang w:val="en-AU"/>
              </w:rPr>
              <w:t xml:space="preserve"> (%) N=127</w:t>
            </w:r>
          </w:p>
        </w:tc>
        <w:tc>
          <w:tcPr>
            <w:tcW w:w="887" w:type="pct"/>
            <w:tcBorders>
              <w:left w:val="double" w:sz="4" w:space="0" w:color="auto"/>
            </w:tcBorders>
            <w:shd w:val="clear" w:color="auto" w:fill="FFFFFF" w:themeFill="background1"/>
          </w:tcPr>
          <w:p w:rsidR="00AC59CA" w:rsidRPr="00786D0E" w:rsidRDefault="00AC59CA" w:rsidP="001F354C">
            <w:pPr>
              <w:pStyle w:val="TableText"/>
              <w:jc w:val="center"/>
              <w:rPr>
                <w:szCs w:val="20"/>
                <w:lang w:val="en-AU"/>
              </w:rPr>
            </w:pPr>
            <w:r w:rsidRPr="00786D0E">
              <w:rPr>
                <w:szCs w:val="20"/>
                <w:lang w:val="en-AU"/>
              </w:rPr>
              <w:t>Hanna et al. 2004</w:t>
            </w:r>
          </w:p>
          <w:p w:rsidR="00AC59CA" w:rsidRPr="00786D0E" w:rsidRDefault="00AC59CA" w:rsidP="001F354C">
            <w:pPr>
              <w:pStyle w:val="TableText"/>
              <w:jc w:val="center"/>
              <w:rPr>
                <w:szCs w:val="20"/>
                <w:lang w:val="en-AU"/>
              </w:rPr>
            </w:pPr>
            <w:proofErr w:type="spellStart"/>
            <w:r w:rsidRPr="00786D0E">
              <w:rPr>
                <w:szCs w:val="20"/>
                <w:lang w:val="en-AU"/>
              </w:rPr>
              <w:t>Pemetrexed</w:t>
            </w:r>
            <w:proofErr w:type="spellEnd"/>
          </w:p>
          <w:p w:rsidR="00AC59CA" w:rsidRPr="00786D0E" w:rsidRDefault="00AC59CA" w:rsidP="001F354C">
            <w:pPr>
              <w:pStyle w:val="TableText"/>
              <w:jc w:val="center"/>
              <w:rPr>
                <w:szCs w:val="20"/>
                <w:lang w:val="en-AU"/>
              </w:rPr>
            </w:pPr>
            <w:r w:rsidRPr="00786D0E">
              <w:rPr>
                <w:szCs w:val="20"/>
                <w:lang w:val="en-AU"/>
              </w:rPr>
              <w:t>(%) N=265</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szCs w:val="20"/>
                <w:lang w:val="en-AU"/>
              </w:rPr>
              <w:t>Any grade</w:t>
            </w:r>
          </w:p>
        </w:tc>
        <w:tc>
          <w:tcPr>
            <w:tcW w:w="698" w:type="pct"/>
            <w:vAlign w:val="center"/>
          </w:tcPr>
          <w:p w:rsidR="00AC59CA" w:rsidRPr="00786D0E" w:rsidRDefault="00AC59CA" w:rsidP="001F354C">
            <w:pPr>
              <w:pStyle w:val="TableText"/>
              <w:jc w:val="center"/>
              <w:rPr>
                <w:szCs w:val="20"/>
                <w:lang w:val="en-AU"/>
              </w:rPr>
            </w:pPr>
            <w:r w:rsidRPr="00786D0E">
              <w:rPr>
                <w:szCs w:val="20"/>
                <w:lang w:val="en-AU"/>
              </w:rPr>
              <w:t>53 (100%)</w:t>
            </w:r>
          </w:p>
        </w:tc>
        <w:tc>
          <w:tcPr>
            <w:tcW w:w="698" w:type="pct"/>
            <w:tcBorders>
              <w:right w:val="double" w:sz="4" w:space="0" w:color="auto"/>
            </w:tcBorders>
            <w:vAlign w:val="center"/>
          </w:tcPr>
          <w:p w:rsidR="00AC59CA" w:rsidRPr="001144C3" w:rsidRDefault="001144C3" w:rsidP="001F354C">
            <w:pPr>
              <w:pStyle w:val="TableText"/>
              <w:jc w:val="center"/>
              <w:rPr>
                <w:szCs w:val="20"/>
                <w:highlight w:val="black"/>
                <w:lang w:val="en-AU"/>
              </w:rPr>
            </w:pPr>
            <w:r>
              <w:rPr>
                <w:noProof/>
                <w:color w:val="000000"/>
                <w:szCs w:val="2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szCs w:val="20"/>
                <w:lang w:val="en-AU"/>
              </w:rPr>
              <w:t>-</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szCs w:val="20"/>
                <w:lang w:val="en-AU"/>
              </w:rPr>
              <w:t>Grade 3-4</w:t>
            </w:r>
          </w:p>
        </w:tc>
        <w:tc>
          <w:tcPr>
            <w:tcW w:w="698" w:type="pct"/>
            <w:vAlign w:val="center"/>
          </w:tcPr>
          <w:p w:rsidR="00AC59CA" w:rsidRPr="00786D0E" w:rsidRDefault="00AC59CA" w:rsidP="001F354C">
            <w:pPr>
              <w:pStyle w:val="TableText"/>
              <w:jc w:val="center"/>
              <w:rPr>
                <w:szCs w:val="20"/>
                <w:lang w:val="en-AU"/>
              </w:rPr>
            </w:pPr>
            <w:r w:rsidRPr="00786D0E">
              <w:rPr>
                <w:szCs w:val="20"/>
                <w:lang w:val="en-AU"/>
              </w:rPr>
              <w:t>28 (53%)</w:t>
            </w:r>
          </w:p>
        </w:tc>
        <w:tc>
          <w:tcPr>
            <w:tcW w:w="698" w:type="pct"/>
            <w:tcBorders>
              <w:right w:val="double" w:sz="4" w:space="0" w:color="auto"/>
            </w:tcBorders>
            <w:vAlign w:val="center"/>
          </w:tcPr>
          <w:p w:rsidR="00AC59CA" w:rsidRPr="001144C3" w:rsidRDefault="001144C3" w:rsidP="001F354C">
            <w:pPr>
              <w:pStyle w:val="TableText"/>
              <w:jc w:val="center"/>
              <w:rPr>
                <w:szCs w:val="20"/>
                <w:highlight w:val="black"/>
                <w:lang w:val="en-AU"/>
              </w:rPr>
            </w:pPr>
            <w:r>
              <w:rPr>
                <w:noProof/>
                <w:color w:val="000000"/>
                <w:szCs w:val="2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szCs w:val="20"/>
                <w:lang w:val="en-AU"/>
              </w:rPr>
              <w:t>-</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szCs w:val="20"/>
                <w:lang w:val="en-AU"/>
              </w:rPr>
              <w:t>Fatal AE</w:t>
            </w:r>
          </w:p>
        </w:tc>
        <w:tc>
          <w:tcPr>
            <w:tcW w:w="698" w:type="pct"/>
            <w:tcBorders>
              <w:bottom w:val="single" w:sz="4" w:space="0" w:color="auto"/>
            </w:tcBorders>
            <w:vAlign w:val="center"/>
          </w:tcPr>
          <w:p w:rsidR="00AC59CA" w:rsidRPr="00786D0E" w:rsidRDefault="00AC59CA" w:rsidP="001F354C">
            <w:pPr>
              <w:pStyle w:val="TableText"/>
              <w:jc w:val="center"/>
              <w:rPr>
                <w:szCs w:val="20"/>
                <w:lang w:val="en-AU"/>
              </w:rPr>
            </w:pPr>
            <w:r w:rsidRPr="00786D0E">
              <w:rPr>
                <w:szCs w:val="20"/>
                <w:lang w:val="en-AU"/>
              </w:rPr>
              <w:t>9 (17%)</w:t>
            </w:r>
          </w:p>
        </w:tc>
        <w:tc>
          <w:tcPr>
            <w:tcW w:w="698" w:type="pct"/>
            <w:tcBorders>
              <w:bottom w:val="single" w:sz="4" w:space="0" w:color="auto"/>
              <w:right w:val="double" w:sz="4" w:space="0" w:color="auto"/>
            </w:tcBorders>
            <w:vAlign w:val="center"/>
          </w:tcPr>
          <w:p w:rsidR="00AC59CA" w:rsidRPr="001144C3" w:rsidRDefault="001144C3" w:rsidP="001F354C">
            <w:pPr>
              <w:pStyle w:val="TableText"/>
              <w:jc w:val="center"/>
              <w:rPr>
                <w:szCs w:val="20"/>
                <w:highlight w:val="black"/>
                <w:lang w:val="en-AU"/>
              </w:rPr>
            </w:pPr>
            <w:r>
              <w:rPr>
                <w:noProof/>
                <w:color w:val="000000"/>
                <w:szCs w:val="2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szCs w:val="20"/>
                <w:lang w:val="en-AU"/>
              </w:rPr>
              <w:t>3 (1%)</w:t>
            </w:r>
          </w:p>
        </w:tc>
      </w:tr>
      <w:tr w:rsidR="00AC59CA" w:rsidRPr="00786D0E" w:rsidTr="001F354C">
        <w:tc>
          <w:tcPr>
            <w:tcW w:w="5000" w:type="pct"/>
            <w:gridSpan w:val="4"/>
          </w:tcPr>
          <w:p w:rsidR="00AC59CA" w:rsidRPr="00786D0E" w:rsidRDefault="00AC59CA" w:rsidP="001F354C">
            <w:pPr>
              <w:pStyle w:val="TableText"/>
              <w:jc w:val="both"/>
              <w:rPr>
                <w:b/>
                <w:szCs w:val="20"/>
                <w:lang w:val="en-AU"/>
              </w:rPr>
            </w:pPr>
            <w:r w:rsidRPr="00786D0E">
              <w:rPr>
                <w:b/>
                <w:szCs w:val="20"/>
                <w:lang w:val="en-AU"/>
              </w:rPr>
              <w:t>Treatment-related AE leading to discontinuation</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szCs w:val="20"/>
                <w:lang w:val="en-AU"/>
              </w:rPr>
              <w:t>Permanent discontinuation</w:t>
            </w:r>
          </w:p>
        </w:tc>
        <w:tc>
          <w:tcPr>
            <w:tcW w:w="698" w:type="pct"/>
            <w:tcBorders>
              <w:top w:val="single" w:sz="4" w:space="0" w:color="auto"/>
              <w:bottom w:val="single" w:sz="4" w:space="0" w:color="auto"/>
            </w:tcBorders>
          </w:tcPr>
          <w:p w:rsidR="00AC59CA" w:rsidRPr="00786D0E" w:rsidRDefault="00AC59CA" w:rsidP="001F354C">
            <w:pPr>
              <w:pStyle w:val="TableText"/>
              <w:jc w:val="center"/>
              <w:rPr>
                <w:szCs w:val="20"/>
                <w:lang w:val="en-AU"/>
              </w:rPr>
            </w:pPr>
            <w:r w:rsidRPr="00786D0E">
              <w:rPr>
                <w:lang w:val="en-AU"/>
              </w:rPr>
              <w:t>4 (8%)</w:t>
            </w:r>
          </w:p>
        </w:tc>
        <w:tc>
          <w:tcPr>
            <w:tcW w:w="698" w:type="pct"/>
            <w:tcBorders>
              <w:right w:val="double" w:sz="4" w:space="0" w:color="auto"/>
            </w:tcBorders>
            <w:vAlign w:val="center"/>
          </w:tcPr>
          <w:p w:rsidR="00AC59CA" w:rsidRPr="001144C3" w:rsidRDefault="001144C3" w:rsidP="001F354C">
            <w:pPr>
              <w:pStyle w:val="TableText"/>
              <w:jc w:val="center"/>
              <w:rPr>
                <w:szCs w:val="20"/>
                <w:highlight w:val="black"/>
                <w:lang w:val="en-AU"/>
              </w:rPr>
            </w:pPr>
            <w:r>
              <w:rPr>
                <w:noProof/>
                <w:color w:val="000000"/>
                <w:szCs w:val="2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szCs w:val="20"/>
                <w:lang w:val="en-AU"/>
              </w:rPr>
              <w:t>-</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szCs w:val="20"/>
                <w:lang w:val="en-AU"/>
              </w:rPr>
              <w:t>Dose reduction</w:t>
            </w:r>
          </w:p>
        </w:tc>
        <w:tc>
          <w:tcPr>
            <w:tcW w:w="698" w:type="pct"/>
            <w:tcBorders>
              <w:top w:val="single" w:sz="4" w:space="0" w:color="auto"/>
              <w:bottom w:val="single" w:sz="4" w:space="0" w:color="auto"/>
            </w:tcBorders>
          </w:tcPr>
          <w:p w:rsidR="00AC59CA" w:rsidRPr="00786D0E" w:rsidRDefault="00AC59CA" w:rsidP="001F354C">
            <w:pPr>
              <w:pStyle w:val="TableText"/>
              <w:jc w:val="center"/>
              <w:rPr>
                <w:szCs w:val="20"/>
                <w:lang w:val="en-AU"/>
              </w:rPr>
            </w:pPr>
            <w:r w:rsidRPr="00786D0E">
              <w:rPr>
                <w:lang w:val="en-AU"/>
              </w:rPr>
              <w:t>6 (11%)</w:t>
            </w:r>
          </w:p>
        </w:tc>
        <w:tc>
          <w:tcPr>
            <w:tcW w:w="698" w:type="pct"/>
            <w:tcBorders>
              <w:right w:val="double" w:sz="4" w:space="0" w:color="auto"/>
            </w:tcBorders>
            <w:vAlign w:val="center"/>
          </w:tcPr>
          <w:p w:rsidR="00AC59CA" w:rsidRPr="001144C3" w:rsidRDefault="001144C3" w:rsidP="001F354C">
            <w:pPr>
              <w:pStyle w:val="TableText"/>
              <w:jc w:val="center"/>
              <w:rPr>
                <w:szCs w:val="20"/>
                <w:highlight w:val="black"/>
                <w:lang w:val="en-AU"/>
              </w:rPr>
            </w:pPr>
            <w:r>
              <w:rPr>
                <w:noProof/>
                <w:color w:val="000000"/>
                <w:szCs w:val="2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szCs w:val="20"/>
                <w:lang w:val="en-AU"/>
              </w:rPr>
              <w:t>-</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szCs w:val="20"/>
                <w:lang w:val="en-AU"/>
              </w:rPr>
              <w:t>Temporary discontinuation</w:t>
            </w:r>
          </w:p>
        </w:tc>
        <w:tc>
          <w:tcPr>
            <w:tcW w:w="698" w:type="pct"/>
            <w:tcBorders>
              <w:top w:val="single" w:sz="4" w:space="0" w:color="auto"/>
              <w:bottom w:val="single" w:sz="4" w:space="0" w:color="auto"/>
            </w:tcBorders>
          </w:tcPr>
          <w:p w:rsidR="00AC59CA" w:rsidRPr="00786D0E" w:rsidRDefault="00AC59CA" w:rsidP="001F354C">
            <w:pPr>
              <w:pStyle w:val="TableText"/>
              <w:jc w:val="center"/>
              <w:rPr>
                <w:szCs w:val="20"/>
                <w:lang w:val="en-AU"/>
              </w:rPr>
            </w:pPr>
            <w:r w:rsidRPr="00786D0E">
              <w:rPr>
                <w:lang w:val="en-AU"/>
              </w:rPr>
              <w:t>24 (45%)</w:t>
            </w:r>
          </w:p>
        </w:tc>
        <w:tc>
          <w:tcPr>
            <w:tcW w:w="698" w:type="pct"/>
            <w:tcBorders>
              <w:right w:val="double" w:sz="4" w:space="0" w:color="auto"/>
            </w:tcBorders>
            <w:vAlign w:val="center"/>
          </w:tcPr>
          <w:p w:rsidR="00AC59CA" w:rsidRPr="001144C3" w:rsidRDefault="001144C3" w:rsidP="001F354C">
            <w:pPr>
              <w:pStyle w:val="TableText"/>
              <w:jc w:val="center"/>
              <w:rPr>
                <w:szCs w:val="20"/>
                <w:highlight w:val="black"/>
                <w:lang w:val="en-AU"/>
              </w:rPr>
            </w:pPr>
            <w:r>
              <w:rPr>
                <w:noProof/>
                <w:color w:val="000000"/>
                <w:szCs w:val="2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szCs w:val="20"/>
                <w:lang w:val="en-AU"/>
              </w:rPr>
              <w:t>-</w:t>
            </w:r>
          </w:p>
        </w:tc>
      </w:tr>
      <w:tr w:rsidR="00AC59CA" w:rsidRPr="00786D0E" w:rsidTr="001F354C">
        <w:tc>
          <w:tcPr>
            <w:tcW w:w="5000" w:type="pct"/>
            <w:gridSpan w:val="4"/>
            <w:vAlign w:val="center"/>
          </w:tcPr>
          <w:p w:rsidR="00AC59CA" w:rsidRPr="00786D0E" w:rsidRDefault="00AC59CA" w:rsidP="001F354C">
            <w:pPr>
              <w:pStyle w:val="TableText"/>
              <w:jc w:val="both"/>
              <w:rPr>
                <w:szCs w:val="20"/>
                <w:lang w:val="en-AU"/>
              </w:rPr>
            </w:pPr>
            <w:r w:rsidRPr="00786D0E">
              <w:rPr>
                <w:b/>
                <w:szCs w:val="20"/>
                <w:lang w:val="en-AU"/>
              </w:rPr>
              <w:t>Grade 3 or 4 AE occurring ≥ 5% of patients</w:t>
            </w:r>
          </w:p>
        </w:tc>
      </w:tr>
      <w:tr w:rsidR="00AC59CA" w:rsidRPr="00786D0E" w:rsidTr="001F354C">
        <w:tc>
          <w:tcPr>
            <w:tcW w:w="2716" w:type="pct"/>
          </w:tcPr>
          <w:p w:rsidR="00AC59CA" w:rsidRPr="00786D0E" w:rsidRDefault="00AC59CA" w:rsidP="001F354C">
            <w:pPr>
              <w:pStyle w:val="TableText"/>
              <w:jc w:val="both"/>
              <w:rPr>
                <w:szCs w:val="20"/>
                <w:lang w:val="en-AU"/>
              </w:rPr>
            </w:pPr>
            <w:proofErr w:type="spellStart"/>
            <w:r w:rsidRPr="00786D0E">
              <w:rPr>
                <w:rFonts w:cs="Arial"/>
                <w:color w:val="000000"/>
                <w:szCs w:val="20"/>
                <w:lang w:val="en-AU"/>
              </w:rPr>
              <w:t>Hypophosphataemia</w:t>
            </w:r>
            <w:proofErr w:type="spellEnd"/>
          </w:p>
        </w:tc>
        <w:tc>
          <w:tcPr>
            <w:tcW w:w="698" w:type="pct"/>
            <w:tcBorders>
              <w:top w:val="single" w:sz="4" w:space="0" w:color="auto"/>
              <w:bottom w:val="single" w:sz="4" w:space="0" w:color="auto"/>
            </w:tcBorders>
          </w:tcPr>
          <w:p w:rsidR="00AC59CA" w:rsidRPr="00786D0E" w:rsidRDefault="00AC59CA" w:rsidP="001F354C">
            <w:pPr>
              <w:pStyle w:val="TableText"/>
              <w:jc w:val="center"/>
              <w:rPr>
                <w:lang w:val="en-AU"/>
              </w:rPr>
            </w:pPr>
            <w:r w:rsidRPr="00786D0E">
              <w:rPr>
                <w:lang w:val="en-AU"/>
              </w:rPr>
              <w:t>8 (15%)</w:t>
            </w:r>
          </w:p>
        </w:tc>
        <w:tc>
          <w:tcPr>
            <w:tcW w:w="698" w:type="pct"/>
            <w:tcBorders>
              <w:right w:val="double" w:sz="4" w:space="0" w:color="auto"/>
            </w:tcBorders>
            <w:vAlign w:val="center"/>
          </w:tcPr>
          <w:p w:rsidR="00AC59CA" w:rsidRPr="001144C3" w:rsidRDefault="001144C3" w:rsidP="001F354C">
            <w:pPr>
              <w:pStyle w:val="TableText"/>
              <w:jc w:val="center"/>
              <w:rPr>
                <w:szCs w:val="20"/>
                <w:highlight w:val="black"/>
                <w:lang w:val="en-AU"/>
              </w:rPr>
            </w:pPr>
            <w:r>
              <w:rPr>
                <w:noProof/>
                <w:color w:val="000000"/>
                <w:szCs w:val="2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szCs w:val="20"/>
                <w:lang w:val="en-AU"/>
              </w:rPr>
              <w:t>-</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szCs w:val="20"/>
                <w:lang w:val="en-AU"/>
              </w:rPr>
              <w:t>Neutropenia</w:t>
            </w:r>
          </w:p>
        </w:tc>
        <w:tc>
          <w:tcPr>
            <w:tcW w:w="698" w:type="pct"/>
            <w:tcBorders>
              <w:top w:val="single" w:sz="4" w:space="0" w:color="auto"/>
              <w:bottom w:val="single" w:sz="4" w:space="0" w:color="auto"/>
            </w:tcBorders>
          </w:tcPr>
          <w:p w:rsidR="00AC59CA" w:rsidRPr="00786D0E" w:rsidRDefault="00AC59CA" w:rsidP="001F354C">
            <w:pPr>
              <w:pStyle w:val="TableText"/>
              <w:jc w:val="center"/>
              <w:rPr>
                <w:lang w:val="en-AU"/>
              </w:rPr>
            </w:pPr>
            <w:r w:rsidRPr="00786D0E">
              <w:rPr>
                <w:lang w:val="en-AU"/>
              </w:rPr>
              <w:t>5 (9%)</w:t>
            </w:r>
          </w:p>
        </w:tc>
        <w:tc>
          <w:tcPr>
            <w:tcW w:w="698" w:type="pct"/>
            <w:tcBorders>
              <w:right w:val="double" w:sz="4" w:space="0" w:color="auto"/>
            </w:tcBorders>
            <w:vAlign w:val="center"/>
          </w:tcPr>
          <w:p w:rsidR="00AC59CA" w:rsidRPr="001144C3" w:rsidRDefault="001144C3" w:rsidP="001F354C">
            <w:pPr>
              <w:pStyle w:val="TableText"/>
              <w:jc w:val="center"/>
              <w:rPr>
                <w:szCs w:val="20"/>
                <w:highlight w:val="black"/>
                <w:lang w:val="en-AU"/>
              </w:rPr>
            </w:pPr>
            <w:r>
              <w:rPr>
                <w:noProof/>
                <w:color w:val="000000"/>
                <w:szCs w:val="2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szCs w:val="20"/>
                <w:lang w:val="en-AU"/>
              </w:rPr>
              <w:t>14 (5.3%)</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szCs w:val="20"/>
                <w:lang w:val="en-AU"/>
              </w:rPr>
              <w:t>Elevated transaminases</w:t>
            </w:r>
          </w:p>
        </w:tc>
        <w:tc>
          <w:tcPr>
            <w:tcW w:w="698" w:type="pct"/>
            <w:tcBorders>
              <w:top w:val="single" w:sz="4" w:space="0" w:color="auto"/>
              <w:bottom w:val="single" w:sz="4" w:space="0" w:color="auto"/>
            </w:tcBorders>
          </w:tcPr>
          <w:p w:rsidR="00AC59CA" w:rsidRPr="00786D0E" w:rsidRDefault="00AC59CA" w:rsidP="001F354C">
            <w:pPr>
              <w:pStyle w:val="TableText"/>
              <w:jc w:val="center"/>
              <w:rPr>
                <w:lang w:val="en-AU"/>
              </w:rPr>
            </w:pPr>
            <w:r w:rsidRPr="00786D0E">
              <w:rPr>
                <w:lang w:val="en-AU"/>
              </w:rPr>
              <w:t>2 (4%)</w:t>
            </w:r>
          </w:p>
        </w:tc>
        <w:tc>
          <w:tcPr>
            <w:tcW w:w="698" w:type="pct"/>
            <w:tcBorders>
              <w:right w:val="double" w:sz="4" w:space="0" w:color="auto"/>
            </w:tcBorders>
            <w:vAlign w:val="center"/>
          </w:tcPr>
          <w:p w:rsidR="00AC59CA" w:rsidRPr="001144C3" w:rsidRDefault="001144C3" w:rsidP="001F354C">
            <w:pPr>
              <w:pStyle w:val="TableText"/>
              <w:jc w:val="center"/>
              <w:rPr>
                <w:szCs w:val="20"/>
                <w:highlight w:val="black"/>
                <w:lang w:val="en-AU"/>
              </w:rPr>
            </w:pPr>
            <w:r>
              <w:rPr>
                <w:noProof/>
                <w:color w:val="000000"/>
                <w:szCs w:val="2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szCs w:val="20"/>
                <w:lang w:val="en-AU"/>
              </w:rPr>
              <w:t xml:space="preserve">21 (8%) </w:t>
            </w:r>
            <w:r w:rsidRPr="00786D0E">
              <w:rPr>
                <w:szCs w:val="20"/>
                <w:vertAlign w:val="superscript"/>
                <w:lang w:val="en-AU"/>
              </w:rPr>
              <w:t>a</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lang w:val="en-AU"/>
              </w:rPr>
              <w:t>Vomiting</w:t>
            </w:r>
          </w:p>
        </w:tc>
        <w:tc>
          <w:tcPr>
            <w:tcW w:w="698" w:type="pct"/>
            <w:tcBorders>
              <w:top w:val="single" w:sz="4" w:space="0" w:color="auto"/>
              <w:bottom w:val="single" w:sz="4" w:space="0" w:color="auto"/>
            </w:tcBorders>
          </w:tcPr>
          <w:p w:rsidR="00AC59CA" w:rsidRPr="00786D0E" w:rsidRDefault="00AC59CA" w:rsidP="001F354C">
            <w:pPr>
              <w:pStyle w:val="TableText"/>
              <w:jc w:val="center"/>
              <w:rPr>
                <w:lang w:val="en-AU"/>
              </w:rPr>
            </w:pPr>
            <w:r w:rsidRPr="00786D0E">
              <w:rPr>
                <w:lang w:val="en-AU"/>
              </w:rPr>
              <w:t>3 (6%)</w:t>
            </w:r>
          </w:p>
        </w:tc>
        <w:tc>
          <w:tcPr>
            <w:tcW w:w="698" w:type="pct"/>
            <w:tcBorders>
              <w:right w:val="double" w:sz="4" w:space="0" w:color="auto"/>
            </w:tcBorders>
            <w:vAlign w:val="center"/>
          </w:tcPr>
          <w:p w:rsidR="00AC59CA" w:rsidRPr="001144C3" w:rsidRDefault="001144C3" w:rsidP="001F354C">
            <w:pPr>
              <w:pStyle w:val="TableText"/>
              <w:jc w:val="center"/>
              <w:rPr>
                <w:szCs w:val="20"/>
                <w:highlight w:val="black"/>
                <w:lang w:val="en-AU"/>
              </w:rPr>
            </w:pPr>
            <w:r>
              <w:rPr>
                <w:noProof/>
                <w:color w:val="000000"/>
                <w:szCs w:val="20"/>
                <w:highlight w:val="black"/>
                <w:lang w:val="en-AU"/>
              </w:rPr>
              <w:t>''</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szCs w:val="20"/>
                <w:lang w:val="en-AU"/>
              </w:rPr>
              <w:t>4 (1.5%)</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lang w:val="en-AU"/>
              </w:rPr>
              <w:t>Fatigue</w:t>
            </w:r>
          </w:p>
        </w:tc>
        <w:tc>
          <w:tcPr>
            <w:tcW w:w="698" w:type="pct"/>
            <w:tcBorders>
              <w:top w:val="single" w:sz="4" w:space="0" w:color="auto"/>
              <w:bottom w:val="single" w:sz="4" w:space="0" w:color="auto"/>
            </w:tcBorders>
          </w:tcPr>
          <w:p w:rsidR="00AC59CA" w:rsidRPr="00786D0E" w:rsidRDefault="00AC59CA" w:rsidP="001F354C">
            <w:pPr>
              <w:pStyle w:val="TableText"/>
              <w:jc w:val="center"/>
              <w:rPr>
                <w:lang w:val="en-AU"/>
              </w:rPr>
            </w:pPr>
            <w:r w:rsidRPr="00786D0E">
              <w:rPr>
                <w:lang w:val="en-AU"/>
              </w:rPr>
              <w:t>-</w:t>
            </w:r>
          </w:p>
        </w:tc>
        <w:tc>
          <w:tcPr>
            <w:tcW w:w="698" w:type="pct"/>
            <w:tcBorders>
              <w:right w:val="double" w:sz="4" w:space="0" w:color="auto"/>
            </w:tcBorders>
            <w:vAlign w:val="center"/>
          </w:tcPr>
          <w:p w:rsidR="00AC59CA" w:rsidRPr="001144C3" w:rsidRDefault="001144C3" w:rsidP="001F354C">
            <w:pPr>
              <w:pStyle w:val="TableText"/>
              <w:jc w:val="center"/>
              <w:rPr>
                <w:szCs w:val="20"/>
                <w:highlight w:val="black"/>
                <w:lang w:val="en-AU"/>
              </w:rPr>
            </w:pPr>
            <w:r>
              <w:rPr>
                <w:noProof/>
                <w:color w:val="000000"/>
                <w:szCs w:val="20"/>
                <w:highlight w:val="black"/>
                <w:lang w:val="en-AU"/>
              </w:rPr>
              <w:t>'''</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szCs w:val="20"/>
                <w:lang w:val="en-AU"/>
              </w:rPr>
              <w:t>14 (5.3%)</w:t>
            </w:r>
          </w:p>
        </w:tc>
      </w:tr>
      <w:tr w:rsidR="00AC59CA" w:rsidRPr="00786D0E" w:rsidTr="001F354C">
        <w:tc>
          <w:tcPr>
            <w:tcW w:w="5000" w:type="pct"/>
            <w:gridSpan w:val="4"/>
            <w:vAlign w:val="center"/>
          </w:tcPr>
          <w:p w:rsidR="00AC59CA" w:rsidRPr="00786D0E" w:rsidRDefault="00AC59CA" w:rsidP="001F354C">
            <w:pPr>
              <w:pStyle w:val="TableText"/>
              <w:jc w:val="both"/>
              <w:rPr>
                <w:szCs w:val="20"/>
                <w:lang w:val="en-AU"/>
              </w:rPr>
            </w:pPr>
            <w:r w:rsidRPr="00786D0E">
              <w:rPr>
                <w:b/>
                <w:szCs w:val="20"/>
                <w:lang w:val="en-AU"/>
              </w:rPr>
              <w:t>Most frequent AEs of any grade (≥ 30% of patients)</w:t>
            </w:r>
          </w:p>
        </w:tc>
      </w:tr>
      <w:tr w:rsidR="00AC59CA" w:rsidRPr="00786D0E" w:rsidTr="001F354C">
        <w:tc>
          <w:tcPr>
            <w:tcW w:w="2716" w:type="pct"/>
          </w:tcPr>
          <w:p w:rsidR="00AC59CA" w:rsidRPr="00786D0E" w:rsidRDefault="00AC59CA" w:rsidP="001F354C">
            <w:pPr>
              <w:pStyle w:val="TableText"/>
              <w:jc w:val="both"/>
              <w:rPr>
                <w:lang w:val="en-AU"/>
              </w:rPr>
            </w:pPr>
            <w:r w:rsidRPr="00786D0E">
              <w:rPr>
                <w:lang w:val="en-AU"/>
              </w:rPr>
              <w:t>Vision Disorder</w:t>
            </w:r>
          </w:p>
        </w:tc>
        <w:tc>
          <w:tcPr>
            <w:tcW w:w="698" w:type="pct"/>
            <w:tcBorders>
              <w:top w:val="single" w:sz="4" w:space="0" w:color="auto"/>
              <w:bottom w:val="single" w:sz="4" w:space="0" w:color="auto"/>
            </w:tcBorders>
          </w:tcPr>
          <w:p w:rsidR="00AC59CA" w:rsidRPr="00786D0E" w:rsidRDefault="00AC59CA" w:rsidP="001F354C">
            <w:pPr>
              <w:pStyle w:val="TableText"/>
              <w:jc w:val="center"/>
              <w:rPr>
                <w:lang w:val="en-AU"/>
              </w:rPr>
            </w:pPr>
            <w:r w:rsidRPr="00786D0E">
              <w:rPr>
                <w:lang w:val="en-AU"/>
              </w:rPr>
              <w:t>46 (87%)</w:t>
            </w:r>
          </w:p>
        </w:tc>
        <w:tc>
          <w:tcPr>
            <w:tcW w:w="698" w:type="pct"/>
            <w:tcBorders>
              <w:right w:val="double" w:sz="4" w:space="0" w:color="auto"/>
            </w:tcBorders>
          </w:tcPr>
          <w:p w:rsidR="00AC59CA" w:rsidRPr="001144C3" w:rsidRDefault="001144C3" w:rsidP="001F354C">
            <w:pPr>
              <w:pStyle w:val="TableText"/>
              <w:jc w:val="center"/>
              <w:rPr>
                <w:highlight w:val="black"/>
                <w:lang w:val="en-AU"/>
              </w:rPr>
            </w:pPr>
            <w:r>
              <w:rPr>
                <w:noProof/>
                <w:color w:val="000000"/>
                <w:highlight w:val="black"/>
                <w:lang w:val="en-AU"/>
              </w:rPr>
              <w:t>'''''' '''''''''''''</w:t>
            </w:r>
          </w:p>
        </w:tc>
        <w:tc>
          <w:tcPr>
            <w:tcW w:w="887" w:type="pct"/>
            <w:tcBorders>
              <w:left w:val="double" w:sz="4" w:space="0" w:color="auto"/>
            </w:tcBorders>
          </w:tcPr>
          <w:p w:rsidR="00AC59CA" w:rsidRPr="00786D0E" w:rsidRDefault="00AC59CA" w:rsidP="001F354C">
            <w:pPr>
              <w:pStyle w:val="TableText"/>
              <w:jc w:val="center"/>
              <w:rPr>
                <w:lang w:val="en-AU"/>
              </w:rPr>
            </w:pPr>
            <w:r w:rsidRPr="00786D0E">
              <w:rPr>
                <w:lang w:val="en-AU"/>
              </w:rPr>
              <w:t>-</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lang w:val="en-AU"/>
              </w:rPr>
              <w:t>Elevated Transaminases</w:t>
            </w:r>
          </w:p>
        </w:tc>
        <w:tc>
          <w:tcPr>
            <w:tcW w:w="698" w:type="pct"/>
            <w:tcBorders>
              <w:top w:val="single" w:sz="4" w:space="0" w:color="auto"/>
              <w:bottom w:val="single" w:sz="4" w:space="0" w:color="auto"/>
            </w:tcBorders>
          </w:tcPr>
          <w:p w:rsidR="00AC59CA" w:rsidRPr="00786D0E" w:rsidRDefault="00AC59CA" w:rsidP="001F354C">
            <w:pPr>
              <w:pStyle w:val="TableText"/>
              <w:jc w:val="center"/>
              <w:rPr>
                <w:lang w:val="en-AU"/>
              </w:rPr>
            </w:pPr>
            <w:r w:rsidRPr="00786D0E">
              <w:rPr>
                <w:lang w:val="en-AU"/>
              </w:rPr>
              <w:t>19 (36%)</w:t>
            </w:r>
          </w:p>
        </w:tc>
        <w:tc>
          <w:tcPr>
            <w:tcW w:w="698" w:type="pct"/>
            <w:tcBorders>
              <w:right w:val="double" w:sz="4" w:space="0" w:color="auto"/>
            </w:tcBorders>
          </w:tcPr>
          <w:p w:rsidR="00AC59CA" w:rsidRPr="001144C3" w:rsidRDefault="001144C3" w:rsidP="001F354C">
            <w:pPr>
              <w:pStyle w:val="TableText"/>
              <w:jc w:val="center"/>
              <w:rPr>
                <w:szCs w:val="20"/>
                <w:highlight w:val="black"/>
                <w:lang w:val="en-AU"/>
              </w:rPr>
            </w:pPr>
            <w:r>
              <w:rPr>
                <w:noProof/>
                <w:color w:val="00000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lang w:val="en-AU"/>
              </w:rPr>
              <w:t xml:space="preserve">21 (8%) </w:t>
            </w:r>
            <w:r w:rsidRPr="00786D0E">
              <w:rPr>
                <w:vertAlign w:val="superscript"/>
                <w:lang w:val="en-AU"/>
              </w:rPr>
              <w:t>a</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lang w:val="en-AU"/>
              </w:rPr>
              <w:t>Nausea</w:t>
            </w:r>
          </w:p>
        </w:tc>
        <w:tc>
          <w:tcPr>
            <w:tcW w:w="698" w:type="pct"/>
            <w:tcBorders>
              <w:top w:val="single" w:sz="4" w:space="0" w:color="auto"/>
            </w:tcBorders>
          </w:tcPr>
          <w:p w:rsidR="00AC59CA" w:rsidRPr="00786D0E" w:rsidRDefault="00AC59CA" w:rsidP="001F354C">
            <w:pPr>
              <w:pStyle w:val="TableText"/>
              <w:jc w:val="center"/>
              <w:rPr>
                <w:lang w:val="en-AU"/>
              </w:rPr>
            </w:pPr>
            <w:r w:rsidRPr="00786D0E">
              <w:rPr>
                <w:lang w:val="en-AU"/>
              </w:rPr>
              <w:t>31 (59%)</w:t>
            </w:r>
          </w:p>
        </w:tc>
        <w:tc>
          <w:tcPr>
            <w:tcW w:w="698" w:type="pct"/>
            <w:tcBorders>
              <w:right w:val="double" w:sz="4" w:space="0" w:color="auto"/>
            </w:tcBorders>
          </w:tcPr>
          <w:p w:rsidR="00AC59CA" w:rsidRPr="001144C3" w:rsidRDefault="001144C3" w:rsidP="001F354C">
            <w:pPr>
              <w:pStyle w:val="TableText"/>
              <w:jc w:val="center"/>
              <w:rPr>
                <w:szCs w:val="20"/>
                <w:highlight w:val="black"/>
                <w:lang w:val="en-AU"/>
              </w:rPr>
            </w:pPr>
            <w:r>
              <w:rPr>
                <w:noProof/>
                <w:color w:val="00000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lang w:val="en-AU"/>
              </w:rPr>
              <w:t>82 (31%)</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lang w:val="en-AU"/>
              </w:rPr>
              <w:t>Diarrhoea</w:t>
            </w:r>
          </w:p>
        </w:tc>
        <w:tc>
          <w:tcPr>
            <w:tcW w:w="698" w:type="pct"/>
            <w:tcBorders>
              <w:top w:val="single" w:sz="4" w:space="0" w:color="auto"/>
            </w:tcBorders>
          </w:tcPr>
          <w:p w:rsidR="00AC59CA" w:rsidRPr="00786D0E" w:rsidRDefault="00AC59CA" w:rsidP="001F354C">
            <w:pPr>
              <w:pStyle w:val="TableText"/>
              <w:jc w:val="center"/>
              <w:rPr>
                <w:lang w:val="en-AU"/>
              </w:rPr>
            </w:pPr>
            <w:r w:rsidRPr="00786D0E">
              <w:rPr>
                <w:lang w:val="en-AU"/>
              </w:rPr>
              <w:t>24 (45%)</w:t>
            </w:r>
          </w:p>
        </w:tc>
        <w:tc>
          <w:tcPr>
            <w:tcW w:w="698" w:type="pct"/>
            <w:tcBorders>
              <w:right w:val="double" w:sz="4" w:space="0" w:color="auto"/>
            </w:tcBorders>
          </w:tcPr>
          <w:p w:rsidR="00AC59CA" w:rsidRPr="001144C3" w:rsidRDefault="001144C3" w:rsidP="001F354C">
            <w:pPr>
              <w:pStyle w:val="TableText"/>
              <w:jc w:val="center"/>
              <w:rPr>
                <w:szCs w:val="20"/>
                <w:highlight w:val="black"/>
                <w:lang w:val="en-AU"/>
              </w:rPr>
            </w:pPr>
            <w:r>
              <w:rPr>
                <w:noProof/>
                <w:color w:val="00000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lang w:val="en-AU"/>
              </w:rPr>
              <w:t>34 (13%)</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lang w:val="en-AU"/>
              </w:rPr>
              <w:t>Vomiting</w:t>
            </w:r>
          </w:p>
        </w:tc>
        <w:tc>
          <w:tcPr>
            <w:tcW w:w="698" w:type="pct"/>
            <w:tcBorders>
              <w:top w:val="single" w:sz="4" w:space="0" w:color="auto"/>
            </w:tcBorders>
          </w:tcPr>
          <w:p w:rsidR="00AC59CA" w:rsidRPr="00786D0E" w:rsidRDefault="00AC59CA" w:rsidP="001F354C">
            <w:pPr>
              <w:pStyle w:val="TableText"/>
              <w:jc w:val="center"/>
              <w:rPr>
                <w:lang w:val="en-AU"/>
              </w:rPr>
            </w:pPr>
            <w:r w:rsidRPr="00786D0E">
              <w:rPr>
                <w:lang w:val="en-AU"/>
              </w:rPr>
              <w:t>27 (51%)</w:t>
            </w:r>
          </w:p>
        </w:tc>
        <w:tc>
          <w:tcPr>
            <w:tcW w:w="698" w:type="pct"/>
            <w:tcBorders>
              <w:right w:val="double" w:sz="4" w:space="0" w:color="auto"/>
            </w:tcBorders>
          </w:tcPr>
          <w:p w:rsidR="00AC59CA" w:rsidRPr="001144C3" w:rsidRDefault="001144C3" w:rsidP="001F354C">
            <w:pPr>
              <w:pStyle w:val="TableText"/>
              <w:jc w:val="center"/>
              <w:rPr>
                <w:szCs w:val="20"/>
                <w:highlight w:val="black"/>
                <w:lang w:val="en-AU"/>
              </w:rPr>
            </w:pPr>
            <w:r>
              <w:rPr>
                <w:noProof/>
                <w:color w:val="00000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lang w:val="en-AU"/>
              </w:rPr>
              <w:t>-</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lang w:val="en-AU"/>
              </w:rPr>
              <w:t>Constipation</w:t>
            </w:r>
          </w:p>
        </w:tc>
        <w:tc>
          <w:tcPr>
            <w:tcW w:w="698" w:type="pct"/>
            <w:tcBorders>
              <w:top w:val="single" w:sz="4" w:space="0" w:color="auto"/>
            </w:tcBorders>
          </w:tcPr>
          <w:p w:rsidR="00AC59CA" w:rsidRPr="00786D0E" w:rsidRDefault="00AC59CA" w:rsidP="001F354C">
            <w:pPr>
              <w:pStyle w:val="TableText"/>
              <w:jc w:val="center"/>
              <w:rPr>
                <w:lang w:val="en-AU"/>
              </w:rPr>
            </w:pPr>
            <w:r w:rsidRPr="00786D0E">
              <w:rPr>
                <w:lang w:val="en-AU"/>
              </w:rPr>
              <w:t>23 (43%)</w:t>
            </w:r>
          </w:p>
        </w:tc>
        <w:tc>
          <w:tcPr>
            <w:tcW w:w="698" w:type="pct"/>
            <w:tcBorders>
              <w:right w:val="double" w:sz="4" w:space="0" w:color="auto"/>
            </w:tcBorders>
          </w:tcPr>
          <w:p w:rsidR="00AC59CA" w:rsidRPr="001144C3" w:rsidRDefault="001144C3" w:rsidP="001F354C">
            <w:pPr>
              <w:pStyle w:val="TableText"/>
              <w:jc w:val="center"/>
              <w:rPr>
                <w:szCs w:val="20"/>
                <w:highlight w:val="black"/>
                <w:lang w:val="en-AU"/>
              </w:rPr>
            </w:pPr>
            <w:r>
              <w:rPr>
                <w:noProof/>
                <w:color w:val="00000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lang w:val="en-AU"/>
              </w:rPr>
              <w:t>42 (16%)</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lang w:val="en-AU"/>
              </w:rPr>
              <w:t>Oedema</w:t>
            </w:r>
          </w:p>
        </w:tc>
        <w:tc>
          <w:tcPr>
            <w:tcW w:w="698" w:type="pct"/>
            <w:tcBorders>
              <w:top w:val="single" w:sz="4" w:space="0" w:color="auto"/>
            </w:tcBorders>
          </w:tcPr>
          <w:p w:rsidR="00AC59CA" w:rsidRPr="00786D0E" w:rsidRDefault="00AC59CA" w:rsidP="001F354C">
            <w:pPr>
              <w:pStyle w:val="TableText"/>
              <w:jc w:val="center"/>
              <w:rPr>
                <w:lang w:val="en-AU"/>
              </w:rPr>
            </w:pPr>
            <w:r w:rsidRPr="00786D0E">
              <w:rPr>
                <w:lang w:val="en-AU"/>
              </w:rPr>
              <w:t>29 (55%)</w:t>
            </w:r>
          </w:p>
        </w:tc>
        <w:tc>
          <w:tcPr>
            <w:tcW w:w="698" w:type="pct"/>
            <w:tcBorders>
              <w:right w:val="double" w:sz="4" w:space="0" w:color="auto"/>
            </w:tcBorders>
          </w:tcPr>
          <w:p w:rsidR="00AC59CA" w:rsidRPr="001144C3" w:rsidRDefault="001144C3" w:rsidP="001F354C">
            <w:pPr>
              <w:pStyle w:val="TableText"/>
              <w:jc w:val="center"/>
              <w:rPr>
                <w:szCs w:val="20"/>
                <w:highlight w:val="black"/>
                <w:lang w:val="en-AU"/>
              </w:rPr>
            </w:pPr>
            <w:r>
              <w:rPr>
                <w:noProof/>
                <w:color w:val="00000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lang w:val="en-AU"/>
              </w:rPr>
              <w:t>13 (5%)</w:t>
            </w:r>
          </w:p>
        </w:tc>
      </w:tr>
      <w:tr w:rsidR="00AC59CA" w:rsidRPr="00786D0E" w:rsidTr="001F354C">
        <w:tc>
          <w:tcPr>
            <w:tcW w:w="2716" w:type="pct"/>
          </w:tcPr>
          <w:p w:rsidR="00AC59CA" w:rsidRPr="00786D0E" w:rsidRDefault="00AC59CA" w:rsidP="001F354C">
            <w:pPr>
              <w:pStyle w:val="TableText"/>
              <w:jc w:val="both"/>
              <w:rPr>
                <w:lang w:val="en-AU"/>
              </w:rPr>
            </w:pPr>
            <w:r w:rsidRPr="00786D0E">
              <w:rPr>
                <w:lang w:val="en-AU"/>
              </w:rPr>
              <w:t>Upper Respiratory Infection</w:t>
            </w:r>
          </w:p>
        </w:tc>
        <w:tc>
          <w:tcPr>
            <w:tcW w:w="698" w:type="pct"/>
            <w:tcBorders>
              <w:top w:val="single" w:sz="4" w:space="0" w:color="auto"/>
            </w:tcBorders>
          </w:tcPr>
          <w:p w:rsidR="00AC59CA" w:rsidRPr="00786D0E" w:rsidRDefault="00AC59CA" w:rsidP="001F354C">
            <w:pPr>
              <w:pStyle w:val="TableText"/>
              <w:jc w:val="center"/>
              <w:rPr>
                <w:lang w:val="en-AU"/>
              </w:rPr>
            </w:pPr>
            <w:r w:rsidRPr="00786D0E">
              <w:rPr>
                <w:lang w:val="en-AU"/>
              </w:rPr>
              <w:t>21 (40%)</w:t>
            </w:r>
          </w:p>
        </w:tc>
        <w:tc>
          <w:tcPr>
            <w:tcW w:w="698" w:type="pct"/>
            <w:tcBorders>
              <w:right w:val="double" w:sz="4" w:space="0" w:color="auto"/>
            </w:tcBorders>
          </w:tcPr>
          <w:p w:rsidR="00AC59CA" w:rsidRPr="001144C3" w:rsidRDefault="001144C3" w:rsidP="001F354C">
            <w:pPr>
              <w:pStyle w:val="TableText"/>
              <w:jc w:val="center"/>
              <w:rPr>
                <w:highlight w:val="black"/>
                <w:lang w:val="en-AU"/>
              </w:rPr>
            </w:pPr>
            <w:r>
              <w:rPr>
                <w:noProof/>
                <w:color w:val="000000"/>
                <w:highlight w:val="black"/>
                <w:lang w:val="en-AU"/>
              </w:rPr>
              <w:t>''''' ''''''''''''''</w:t>
            </w:r>
          </w:p>
        </w:tc>
        <w:tc>
          <w:tcPr>
            <w:tcW w:w="887" w:type="pct"/>
            <w:tcBorders>
              <w:left w:val="double" w:sz="4" w:space="0" w:color="auto"/>
            </w:tcBorders>
          </w:tcPr>
          <w:p w:rsidR="00AC59CA" w:rsidRPr="00786D0E" w:rsidRDefault="00AC59CA" w:rsidP="001F354C">
            <w:pPr>
              <w:pStyle w:val="TableText"/>
              <w:jc w:val="center"/>
              <w:rPr>
                <w:lang w:val="en-AU"/>
              </w:rPr>
            </w:pPr>
            <w:r w:rsidRPr="00786D0E">
              <w:rPr>
                <w:lang w:val="en-AU"/>
              </w:rPr>
              <w:t>-</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lang w:val="en-AU"/>
              </w:rPr>
              <w:t>Neutropenia</w:t>
            </w:r>
          </w:p>
        </w:tc>
        <w:tc>
          <w:tcPr>
            <w:tcW w:w="698" w:type="pct"/>
            <w:tcBorders>
              <w:top w:val="single" w:sz="4" w:space="0" w:color="auto"/>
            </w:tcBorders>
          </w:tcPr>
          <w:p w:rsidR="00AC59CA" w:rsidRPr="00786D0E" w:rsidRDefault="00AC59CA" w:rsidP="001F354C">
            <w:pPr>
              <w:pStyle w:val="TableText"/>
              <w:jc w:val="center"/>
              <w:rPr>
                <w:lang w:val="en-AU"/>
              </w:rPr>
            </w:pPr>
            <w:r w:rsidRPr="00786D0E">
              <w:rPr>
                <w:lang w:val="en-AU"/>
              </w:rPr>
              <w:t>9 (17%)</w:t>
            </w:r>
          </w:p>
        </w:tc>
        <w:tc>
          <w:tcPr>
            <w:tcW w:w="698" w:type="pct"/>
            <w:tcBorders>
              <w:right w:val="double" w:sz="4" w:space="0" w:color="auto"/>
            </w:tcBorders>
          </w:tcPr>
          <w:p w:rsidR="00AC59CA" w:rsidRPr="001144C3" w:rsidRDefault="001144C3" w:rsidP="001F354C">
            <w:pPr>
              <w:pStyle w:val="TableText"/>
              <w:jc w:val="center"/>
              <w:rPr>
                <w:szCs w:val="20"/>
                <w:highlight w:val="black"/>
                <w:lang w:val="en-AU"/>
              </w:rPr>
            </w:pPr>
            <w:r>
              <w:rPr>
                <w:noProof/>
                <w:color w:val="00000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lang w:val="en-AU"/>
              </w:rPr>
              <w:t>-</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lang w:val="en-AU"/>
              </w:rPr>
              <w:t>Dizziness</w:t>
            </w:r>
          </w:p>
        </w:tc>
        <w:tc>
          <w:tcPr>
            <w:tcW w:w="698" w:type="pct"/>
            <w:tcBorders>
              <w:top w:val="single" w:sz="4" w:space="0" w:color="auto"/>
            </w:tcBorders>
          </w:tcPr>
          <w:p w:rsidR="00AC59CA" w:rsidRPr="00786D0E" w:rsidRDefault="00AC59CA" w:rsidP="001F354C">
            <w:pPr>
              <w:pStyle w:val="TableText"/>
              <w:jc w:val="center"/>
              <w:rPr>
                <w:lang w:val="en-AU"/>
              </w:rPr>
            </w:pPr>
            <w:r w:rsidRPr="00786D0E">
              <w:rPr>
                <w:lang w:val="en-AU"/>
              </w:rPr>
              <w:t>21 (40%)</w:t>
            </w:r>
          </w:p>
        </w:tc>
        <w:tc>
          <w:tcPr>
            <w:tcW w:w="698" w:type="pct"/>
            <w:tcBorders>
              <w:right w:val="double" w:sz="4" w:space="0" w:color="auto"/>
            </w:tcBorders>
          </w:tcPr>
          <w:p w:rsidR="00AC59CA" w:rsidRPr="001144C3" w:rsidRDefault="001144C3" w:rsidP="001F354C">
            <w:pPr>
              <w:pStyle w:val="TableText"/>
              <w:jc w:val="center"/>
              <w:rPr>
                <w:szCs w:val="20"/>
                <w:highlight w:val="black"/>
                <w:lang w:val="en-AU"/>
              </w:rPr>
            </w:pPr>
            <w:r>
              <w:rPr>
                <w:noProof/>
                <w:color w:val="00000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lang w:val="en-AU"/>
              </w:rPr>
              <w:t>-</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lang w:val="en-AU"/>
              </w:rPr>
              <w:t>Fatigue</w:t>
            </w:r>
          </w:p>
        </w:tc>
        <w:tc>
          <w:tcPr>
            <w:tcW w:w="698" w:type="pct"/>
            <w:tcBorders>
              <w:top w:val="single" w:sz="4" w:space="0" w:color="auto"/>
            </w:tcBorders>
          </w:tcPr>
          <w:p w:rsidR="00AC59CA" w:rsidRPr="00786D0E" w:rsidRDefault="00AC59CA" w:rsidP="001F354C">
            <w:pPr>
              <w:pStyle w:val="TableText"/>
              <w:jc w:val="center"/>
              <w:rPr>
                <w:lang w:val="en-AU"/>
              </w:rPr>
            </w:pPr>
            <w:r w:rsidRPr="00786D0E">
              <w:rPr>
                <w:lang w:val="en-AU"/>
              </w:rPr>
              <w:t>17 (32%)</w:t>
            </w:r>
          </w:p>
        </w:tc>
        <w:tc>
          <w:tcPr>
            <w:tcW w:w="698" w:type="pct"/>
            <w:tcBorders>
              <w:right w:val="double" w:sz="4" w:space="0" w:color="auto"/>
            </w:tcBorders>
          </w:tcPr>
          <w:p w:rsidR="00AC59CA" w:rsidRPr="001144C3" w:rsidRDefault="001144C3" w:rsidP="001F354C">
            <w:pPr>
              <w:pStyle w:val="TableText"/>
              <w:jc w:val="center"/>
              <w:rPr>
                <w:szCs w:val="20"/>
                <w:highlight w:val="black"/>
                <w:lang w:val="en-AU"/>
              </w:rPr>
            </w:pPr>
            <w:r>
              <w:rPr>
                <w:noProof/>
                <w:color w:val="00000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lang w:val="en-AU"/>
              </w:rPr>
              <w:t>90 (34%)</w:t>
            </w:r>
          </w:p>
        </w:tc>
      </w:tr>
      <w:tr w:rsidR="00AC59CA" w:rsidRPr="00786D0E" w:rsidTr="001F354C">
        <w:tc>
          <w:tcPr>
            <w:tcW w:w="2716" w:type="pct"/>
          </w:tcPr>
          <w:p w:rsidR="00AC59CA" w:rsidRPr="00786D0E" w:rsidRDefault="00AC59CA" w:rsidP="001F354C">
            <w:pPr>
              <w:pStyle w:val="TableText"/>
              <w:jc w:val="both"/>
              <w:rPr>
                <w:szCs w:val="20"/>
                <w:lang w:val="en-AU"/>
              </w:rPr>
            </w:pPr>
            <w:r w:rsidRPr="00786D0E">
              <w:rPr>
                <w:lang w:val="en-AU"/>
              </w:rPr>
              <w:t>Neuropathy</w:t>
            </w:r>
          </w:p>
        </w:tc>
        <w:tc>
          <w:tcPr>
            <w:tcW w:w="698" w:type="pct"/>
            <w:tcBorders>
              <w:top w:val="single" w:sz="4" w:space="0" w:color="auto"/>
            </w:tcBorders>
          </w:tcPr>
          <w:p w:rsidR="00AC59CA" w:rsidRPr="00786D0E" w:rsidRDefault="00AC59CA" w:rsidP="001F354C">
            <w:pPr>
              <w:pStyle w:val="TableText"/>
              <w:jc w:val="center"/>
              <w:rPr>
                <w:lang w:val="en-AU"/>
              </w:rPr>
            </w:pPr>
            <w:r w:rsidRPr="00786D0E">
              <w:rPr>
                <w:lang w:val="en-AU"/>
              </w:rPr>
              <w:t>16 (30%)</w:t>
            </w:r>
          </w:p>
        </w:tc>
        <w:tc>
          <w:tcPr>
            <w:tcW w:w="698" w:type="pct"/>
            <w:tcBorders>
              <w:right w:val="double" w:sz="4" w:space="0" w:color="auto"/>
            </w:tcBorders>
          </w:tcPr>
          <w:p w:rsidR="00AC59CA" w:rsidRPr="001144C3" w:rsidRDefault="001144C3" w:rsidP="001F354C">
            <w:pPr>
              <w:pStyle w:val="TableText"/>
              <w:jc w:val="center"/>
              <w:rPr>
                <w:szCs w:val="20"/>
                <w:highlight w:val="black"/>
                <w:lang w:val="en-AU"/>
              </w:rPr>
            </w:pPr>
            <w:r>
              <w:rPr>
                <w:noProof/>
                <w:color w:val="000000"/>
                <w:highlight w:val="black"/>
                <w:lang w:val="en-AU"/>
              </w:rPr>
              <w:t>''''' ''''''''''''''</w:t>
            </w:r>
          </w:p>
        </w:tc>
        <w:tc>
          <w:tcPr>
            <w:tcW w:w="887" w:type="pct"/>
            <w:tcBorders>
              <w:left w:val="double" w:sz="4" w:space="0" w:color="auto"/>
            </w:tcBorders>
          </w:tcPr>
          <w:p w:rsidR="00AC59CA" w:rsidRPr="00786D0E" w:rsidRDefault="00AC59CA" w:rsidP="001F354C">
            <w:pPr>
              <w:pStyle w:val="TableText"/>
              <w:jc w:val="center"/>
              <w:rPr>
                <w:szCs w:val="20"/>
                <w:lang w:val="en-AU"/>
              </w:rPr>
            </w:pPr>
            <w:r w:rsidRPr="00786D0E">
              <w:rPr>
                <w:lang w:val="en-AU"/>
              </w:rPr>
              <w:t>-</w:t>
            </w:r>
          </w:p>
        </w:tc>
      </w:tr>
    </w:tbl>
    <w:p w:rsidR="00AC59CA" w:rsidRPr="00786D0E" w:rsidRDefault="00AC59CA" w:rsidP="00AC59CA">
      <w:pPr>
        <w:pStyle w:val="TableFooter"/>
      </w:pPr>
      <w:r w:rsidRPr="00786D0E">
        <w:t xml:space="preserve">Source: Table 2.5.25, p155, Tables 2.5.30-2.5.34, pp 161-164 of the submission, Table 25, p88 of the OO12-01 CSR and Hanna et al. 2004 </w:t>
      </w:r>
    </w:p>
    <w:p w:rsidR="00AC59CA" w:rsidRPr="00786D0E" w:rsidRDefault="00AC59CA" w:rsidP="00AC59CA">
      <w:pPr>
        <w:pStyle w:val="TableFooter"/>
        <w:tabs>
          <w:tab w:val="left" w:pos="709"/>
        </w:tabs>
      </w:pPr>
      <w:r w:rsidRPr="00786D0E">
        <w:t>AE = adverse event; ALT = alanine aminotransferase; NR = not reached</w:t>
      </w:r>
    </w:p>
    <w:p w:rsidR="00AC59CA" w:rsidRPr="00786D0E" w:rsidRDefault="00AC59CA" w:rsidP="00AC59CA">
      <w:pPr>
        <w:pStyle w:val="TableFooter"/>
        <w:tabs>
          <w:tab w:val="left" w:pos="709"/>
        </w:tabs>
      </w:pPr>
      <w:proofErr w:type="spellStart"/>
      <w:proofErr w:type="gramStart"/>
      <w:r w:rsidRPr="00786D0E">
        <w:rPr>
          <w:vertAlign w:val="superscript"/>
        </w:rPr>
        <w:t>a</w:t>
      </w:r>
      <w:proofErr w:type="spellEnd"/>
      <w:proofErr w:type="gramEnd"/>
      <w:r w:rsidRPr="00786D0E">
        <w:rPr>
          <w:vertAlign w:val="superscript"/>
        </w:rPr>
        <w:t xml:space="preserve"> </w:t>
      </w:r>
      <w:r w:rsidRPr="00786D0E">
        <w:t>Elevated ALT only</w:t>
      </w:r>
    </w:p>
    <w:p w:rsidR="00941CE2" w:rsidRPr="00786D0E" w:rsidRDefault="00941CE2" w:rsidP="00941CE2">
      <w:pPr>
        <w:pStyle w:val="ListParagraph"/>
        <w:numPr>
          <w:ilvl w:val="1"/>
          <w:numId w:val="2"/>
        </w:numPr>
        <w:spacing w:before="0" w:after="120"/>
        <w:jc w:val="both"/>
      </w:pPr>
      <w:bookmarkStart w:id="14" w:name="_Toc413139281"/>
      <w:bookmarkStart w:id="15" w:name="_Toc491433492"/>
      <w:r w:rsidRPr="00786D0E">
        <w:t xml:space="preserve">The common adverse events that occurred with </w:t>
      </w:r>
      <w:proofErr w:type="spellStart"/>
      <w:r w:rsidRPr="00786D0E">
        <w:t>crizotinib</w:t>
      </w:r>
      <w:proofErr w:type="spellEnd"/>
      <w:r w:rsidRPr="00786D0E">
        <w:t xml:space="preserve"> were vision disorders, elevated transaminases, oedema, and gastrointestinal adverse events. Based on a naïve comparison, the rates of Grade</w:t>
      </w:r>
      <w:r w:rsidR="00EF7F1F">
        <w:t xml:space="preserve"> 3 or 4 neutropenia, </w:t>
      </w:r>
      <w:proofErr w:type="spellStart"/>
      <w:r w:rsidR="00EF7F1F">
        <w:t>hypophospha</w:t>
      </w:r>
      <w:r w:rsidRPr="00786D0E">
        <w:t>taemia</w:t>
      </w:r>
      <w:proofErr w:type="spellEnd"/>
      <w:r w:rsidRPr="00786D0E">
        <w:t xml:space="preserve">, and vomiting showed a trend towards occurring more frequently in </w:t>
      </w:r>
      <w:proofErr w:type="spellStart"/>
      <w:r w:rsidRPr="00786D0E">
        <w:t>crizotinib</w:t>
      </w:r>
      <w:proofErr w:type="spellEnd"/>
      <w:r w:rsidRPr="00786D0E">
        <w:t xml:space="preserve">. Grade 3 or 4 fatigue showed a trend towards occurring more frequently with </w:t>
      </w:r>
      <w:proofErr w:type="spellStart"/>
      <w:r w:rsidRPr="00786D0E">
        <w:t>pemetrexed</w:t>
      </w:r>
      <w:proofErr w:type="spellEnd"/>
      <w:r w:rsidRPr="00786D0E">
        <w:t>.</w:t>
      </w:r>
    </w:p>
    <w:p w:rsidR="00941CE2" w:rsidRPr="00786D0E" w:rsidRDefault="00941CE2" w:rsidP="00D7397F">
      <w:pPr>
        <w:pStyle w:val="ListParagraph"/>
        <w:numPr>
          <w:ilvl w:val="1"/>
          <w:numId w:val="2"/>
        </w:numPr>
        <w:jc w:val="both"/>
      </w:pPr>
      <w:r w:rsidRPr="00786D0E">
        <w:t>Notwithstanding the inherent biases of indirect comparisons, the ESC</w:t>
      </w:r>
      <w:r w:rsidR="001B4781" w:rsidRPr="00786D0E">
        <w:t>s</w:t>
      </w:r>
      <w:r w:rsidRPr="00786D0E">
        <w:t xml:space="preserve"> considered that the fatal adverse event rate in the </w:t>
      </w:r>
      <w:proofErr w:type="spellStart"/>
      <w:r w:rsidRPr="00786D0E">
        <w:t>crizotinib</w:t>
      </w:r>
      <w:proofErr w:type="spellEnd"/>
      <w:r w:rsidRPr="00786D0E">
        <w:t xml:space="preserve"> studies (17% and </w:t>
      </w:r>
      <w:r w:rsidR="001144C3">
        <w:rPr>
          <w:noProof/>
          <w:color w:val="000000"/>
          <w:highlight w:val="black"/>
        </w:rPr>
        <w:t>'''</w:t>
      </w:r>
      <w:r w:rsidRPr="00786D0E">
        <w:t xml:space="preserve">%) appeared to be </w:t>
      </w:r>
      <w:r w:rsidR="001D592D" w:rsidRPr="00786D0E">
        <w:t>greater</w:t>
      </w:r>
      <w:r w:rsidRPr="00786D0E">
        <w:t xml:space="preserve"> than for </w:t>
      </w:r>
      <w:proofErr w:type="spellStart"/>
      <w:r w:rsidR="001B4781" w:rsidRPr="00786D0E">
        <w:t>pemetrexed</w:t>
      </w:r>
      <w:proofErr w:type="spellEnd"/>
      <w:r w:rsidRPr="00786D0E">
        <w:t xml:space="preserve"> (1%).</w:t>
      </w:r>
    </w:p>
    <w:p w:rsidR="00941CE2" w:rsidRPr="00786D0E" w:rsidRDefault="00941CE2" w:rsidP="00941CE2">
      <w:pPr>
        <w:pStyle w:val="Heading2"/>
        <w:jc w:val="both"/>
        <w:rPr>
          <w:i w:val="0"/>
        </w:rPr>
      </w:pPr>
      <w:r w:rsidRPr="00786D0E">
        <w:rPr>
          <w:i w:val="0"/>
        </w:rPr>
        <w:lastRenderedPageBreak/>
        <w:t>Benefits and harms</w:t>
      </w:r>
    </w:p>
    <w:p w:rsidR="00941CE2" w:rsidRPr="00786D0E" w:rsidRDefault="00941CE2" w:rsidP="00AC59CA">
      <w:pPr>
        <w:pStyle w:val="ListParagraph"/>
        <w:numPr>
          <w:ilvl w:val="1"/>
          <w:numId w:val="2"/>
        </w:numPr>
        <w:spacing w:before="0" w:after="120"/>
        <w:jc w:val="both"/>
      </w:pPr>
      <w:r w:rsidRPr="00786D0E">
        <w:t xml:space="preserve">The naïve comparison presented in the submission did not allow for a comparison of the benefits and harms of </w:t>
      </w:r>
      <w:proofErr w:type="spellStart"/>
      <w:r w:rsidRPr="00786D0E">
        <w:t>crizotinib</w:t>
      </w:r>
      <w:proofErr w:type="spellEnd"/>
      <w:r w:rsidRPr="00786D0E">
        <w:t xml:space="preserve"> and </w:t>
      </w:r>
      <w:proofErr w:type="spellStart"/>
      <w:r w:rsidRPr="00786D0E">
        <w:t>pemetrexed</w:t>
      </w:r>
      <w:proofErr w:type="spellEnd"/>
      <w:r w:rsidRPr="00786D0E">
        <w:t>. Accordingly, a benefits/harms table has not been presented.</w:t>
      </w:r>
    </w:p>
    <w:p w:rsidR="00AC59CA" w:rsidRPr="00786D0E" w:rsidRDefault="00AC59CA" w:rsidP="00AC59CA">
      <w:pPr>
        <w:pStyle w:val="Heading2"/>
        <w:jc w:val="both"/>
        <w:rPr>
          <w:i w:val="0"/>
        </w:rPr>
      </w:pPr>
      <w:r w:rsidRPr="00786D0E">
        <w:rPr>
          <w:i w:val="0"/>
        </w:rPr>
        <w:t>Clinical claim</w:t>
      </w:r>
      <w:bookmarkEnd w:id="14"/>
      <w:bookmarkEnd w:id="15"/>
    </w:p>
    <w:p w:rsidR="000144A4" w:rsidRPr="00786D0E" w:rsidRDefault="00AC59CA" w:rsidP="000D39E9">
      <w:pPr>
        <w:pStyle w:val="ListParagraph"/>
        <w:numPr>
          <w:ilvl w:val="1"/>
          <w:numId w:val="2"/>
        </w:numPr>
        <w:spacing w:before="0" w:after="120"/>
        <w:jc w:val="both"/>
      </w:pPr>
      <w:r w:rsidRPr="00786D0E">
        <w:t xml:space="preserve">The submission claimed </w:t>
      </w:r>
      <w:r w:rsidR="000F6482" w:rsidRPr="00786D0E">
        <w:t xml:space="preserve">that </w:t>
      </w:r>
      <w:proofErr w:type="spellStart"/>
      <w:r w:rsidRPr="00786D0E">
        <w:t>crizotinib</w:t>
      </w:r>
      <w:proofErr w:type="spellEnd"/>
      <w:r w:rsidRPr="00786D0E">
        <w:t xml:space="preserve"> had superior effectiveness </w:t>
      </w:r>
      <w:r w:rsidR="000F6482" w:rsidRPr="00786D0E">
        <w:t>over</w:t>
      </w:r>
      <w:r w:rsidRPr="00786D0E">
        <w:t xml:space="preserve"> its main comparator, </w:t>
      </w:r>
      <w:proofErr w:type="spellStart"/>
      <w:r w:rsidRPr="00786D0E">
        <w:t>pemetrexed</w:t>
      </w:r>
      <w:proofErr w:type="spellEnd"/>
      <w:r w:rsidRPr="00786D0E">
        <w:t xml:space="preserve">, in patients with </w:t>
      </w:r>
      <w:r w:rsidR="00420D95" w:rsidRPr="00786D0E">
        <w:rPr>
          <w:i/>
        </w:rPr>
        <w:t>ROS1</w:t>
      </w:r>
      <w:r w:rsidRPr="00786D0E">
        <w:t>-positive advanced NSCLC who have progressed on prior platinum-based chemotherapy.</w:t>
      </w:r>
    </w:p>
    <w:p w:rsidR="00AC59CA" w:rsidRPr="00786D0E" w:rsidRDefault="00B726AF" w:rsidP="000D39E9">
      <w:pPr>
        <w:pStyle w:val="ListParagraph"/>
        <w:numPr>
          <w:ilvl w:val="1"/>
          <w:numId w:val="2"/>
        </w:numPr>
        <w:spacing w:before="0" w:after="120"/>
        <w:jc w:val="both"/>
      </w:pPr>
      <w:r w:rsidRPr="00786D0E">
        <w:t>The ESC</w:t>
      </w:r>
      <w:r w:rsidR="001B4781" w:rsidRPr="00786D0E">
        <w:t>s</w:t>
      </w:r>
      <w:r w:rsidR="00C10D7B" w:rsidRPr="00786D0E">
        <w:t xml:space="preserve"> </w:t>
      </w:r>
      <w:r w:rsidRPr="00786D0E">
        <w:t>considered that</w:t>
      </w:r>
      <w:r w:rsidR="001B4781" w:rsidRPr="00786D0E">
        <w:t>,</w:t>
      </w:r>
      <w:r w:rsidRPr="00786D0E">
        <w:t xml:space="preserve"> although </w:t>
      </w:r>
      <w:proofErr w:type="spellStart"/>
      <w:r w:rsidR="001D592D" w:rsidRPr="00786D0E">
        <w:t>crizotinib</w:t>
      </w:r>
      <w:proofErr w:type="spellEnd"/>
      <w:r w:rsidR="001D592D" w:rsidRPr="00786D0E">
        <w:t xml:space="preserve"> </w:t>
      </w:r>
      <w:r w:rsidR="00C10D7B" w:rsidRPr="00786D0E">
        <w:t>wa</w:t>
      </w:r>
      <w:r w:rsidR="001D592D" w:rsidRPr="00786D0E">
        <w:t xml:space="preserve">s likely to be more effective than </w:t>
      </w:r>
      <w:proofErr w:type="spellStart"/>
      <w:r w:rsidR="001D592D" w:rsidRPr="00786D0E">
        <w:t>pemetrexed</w:t>
      </w:r>
      <w:proofErr w:type="spellEnd"/>
      <w:r w:rsidRPr="00786D0E">
        <w:t xml:space="preserve">, the magnitude of </w:t>
      </w:r>
      <w:r w:rsidR="001D592D" w:rsidRPr="00786D0E">
        <w:t>incremental</w:t>
      </w:r>
      <w:r w:rsidRPr="00786D0E">
        <w:t xml:space="preserve"> effectiveness was difficult to estimate. </w:t>
      </w:r>
      <w:r w:rsidR="00C10D7B" w:rsidRPr="00786D0E">
        <w:t xml:space="preserve">Overall, </w:t>
      </w:r>
      <w:r w:rsidR="00CE0DD7" w:rsidRPr="00786D0E">
        <w:t>t</w:t>
      </w:r>
      <w:r w:rsidRPr="00786D0E">
        <w:t>he ESC</w:t>
      </w:r>
      <w:r w:rsidR="001B4781" w:rsidRPr="00786D0E">
        <w:t>s</w:t>
      </w:r>
      <w:r w:rsidRPr="00786D0E">
        <w:t xml:space="preserve"> </w:t>
      </w:r>
      <w:r w:rsidR="00C10D7B" w:rsidRPr="00786D0E">
        <w:t xml:space="preserve">and PBAC advised </w:t>
      </w:r>
      <w:r w:rsidRPr="00786D0E">
        <w:t xml:space="preserve">that the biases in the indirect comparison along with the transitivity issues indicated that the </w:t>
      </w:r>
      <w:r w:rsidR="001D592D" w:rsidRPr="00786D0E">
        <w:t xml:space="preserve">incremental </w:t>
      </w:r>
      <w:r w:rsidRPr="00786D0E">
        <w:t xml:space="preserve">effectiveness of </w:t>
      </w:r>
      <w:proofErr w:type="spellStart"/>
      <w:r w:rsidRPr="00786D0E">
        <w:t>crizotinib</w:t>
      </w:r>
      <w:proofErr w:type="spellEnd"/>
      <w:r w:rsidRPr="00786D0E">
        <w:t xml:space="preserve"> </w:t>
      </w:r>
      <w:r w:rsidR="001D592D" w:rsidRPr="00786D0E">
        <w:t xml:space="preserve">over </w:t>
      </w:r>
      <w:proofErr w:type="spellStart"/>
      <w:r w:rsidR="001D592D" w:rsidRPr="00786D0E">
        <w:t>pemetrexed</w:t>
      </w:r>
      <w:proofErr w:type="spellEnd"/>
      <w:r w:rsidR="001D592D" w:rsidRPr="00786D0E">
        <w:t xml:space="preserve"> </w:t>
      </w:r>
      <w:r w:rsidRPr="00786D0E">
        <w:t>was overestimated in the submission</w:t>
      </w:r>
      <w:r w:rsidR="00907A05" w:rsidRPr="00786D0E">
        <w:t xml:space="preserve">; however, </w:t>
      </w:r>
      <w:r w:rsidR="00082E7F" w:rsidRPr="00786D0E">
        <w:t>the PBAC</w:t>
      </w:r>
      <w:r w:rsidR="00907A05" w:rsidRPr="00786D0E">
        <w:t xml:space="preserve"> was satisfied that </w:t>
      </w:r>
      <w:r w:rsidR="000F6482" w:rsidRPr="00786D0E">
        <w:t xml:space="preserve">the </w:t>
      </w:r>
      <w:r w:rsidR="00AE17BB" w:rsidRPr="00786D0E">
        <w:t xml:space="preserve">incremental </w:t>
      </w:r>
      <w:r w:rsidR="000F6482" w:rsidRPr="00786D0E">
        <w:t xml:space="preserve">effectiveness of </w:t>
      </w:r>
      <w:proofErr w:type="spellStart"/>
      <w:r w:rsidR="00907A05" w:rsidRPr="00786D0E">
        <w:t>crizotinib</w:t>
      </w:r>
      <w:proofErr w:type="spellEnd"/>
      <w:r w:rsidR="00907A05" w:rsidRPr="00786D0E">
        <w:t xml:space="preserve"> treatment in the </w:t>
      </w:r>
      <w:r w:rsidR="00907A05" w:rsidRPr="00786D0E">
        <w:rPr>
          <w:i/>
        </w:rPr>
        <w:t>ROS1</w:t>
      </w:r>
      <w:r w:rsidR="000F6482" w:rsidRPr="00786D0E">
        <w:t>-positive NSCLC</w:t>
      </w:r>
      <w:r w:rsidR="00907A05" w:rsidRPr="00786D0E">
        <w:t xml:space="preserve"> population would be </w:t>
      </w:r>
      <w:r w:rsidR="000F6482" w:rsidRPr="00786D0E">
        <w:t xml:space="preserve">similar to </w:t>
      </w:r>
      <w:r w:rsidR="00907A05" w:rsidRPr="00786D0E">
        <w:t xml:space="preserve">that in the </w:t>
      </w:r>
      <w:r w:rsidR="00907A05" w:rsidRPr="00786D0E">
        <w:rPr>
          <w:i/>
        </w:rPr>
        <w:t>ALK</w:t>
      </w:r>
      <w:r w:rsidR="000F6482" w:rsidRPr="00786D0E">
        <w:t>-positive NSCLC</w:t>
      </w:r>
      <w:r w:rsidR="00907A05" w:rsidRPr="00786D0E">
        <w:t xml:space="preserve"> population.</w:t>
      </w:r>
    </w:p>
    <w:p w:rsidR="000144A4" w:rsidRPr="00786D0E" w:rsidRDefault="00AC59CA" w:rsidP="000D39E9">
      <w:pPr>
        <w:pStyle w:val="ListParagraph"/>
        <w:numPr>
          <w:ilvl w:val="1"/>
          <w:numId w:val="2"/>
        </w:numPr>
        <w:spacing w:before="0" w:after="120"/>
        <w:jc w:val="both"/>
      </w:pPr>
      <w:r w:rsidRPr="00786D0E">
        <w:t xml:space="preserve">The submission claimed </w:t>
      </w:r>
      <w:proofErr w:type="spellStart"/>
      <w:r w:rsidRPr="00786D0E">
        <w:t>crizotinib’s</w:t>
      </w:r>
      <w:proofErr w:type="spellEnd"/>
      <w:r w:rsidRPr="00786D0E">
        <w:t xml:space="preserve"> adverse event profile was no worse than standard care single agent chemotherapy (</w:t>
      </w:r>
      <w:proofErr w:type="spellStart"/>
      <w:r w:rsidRPr="00786D0E">
        <w:t>pemetrexed</w:t>
      </w:r>
      <w:proofErr w:type="spellEnd"/>
      <w:r w:rsidRPr="00786D0E">
        <w:t xml:space="preserve">). </w:t>
      </w:r>
      <w:r w:rsidR="00044A04" w:rsidRPr="00786D0E">
        <w:t>The ESC</w:t>
      </w:r>
      <w:r w:rsidR="001B4781" w:rsidRPr="00786D0E">
        <w:t>s</w:t>
      </w:r>
      <w:r w:rsidR="00044A04" w:rsidRPr="00786D0E">
        <w:t xml:space="preserve"> noted that t</w:t>
      </w:r>
      <w:r w:rsidRPr="00786D0E">
        <w:t xml:space="preserve">he PBAC previously accepted that </w:t>
      </w:r>
      <w:proofErr w:type="spellStart"/>
      <w:r w:rsidRPr="00786D0E">
        <w:t>crizotinib</w:t>
      </w:r>
      <w:proofErr w:type="spellEnd"/>
      <w:r w:rsidRPr="00786D0E">
        <w:t xml:space="preserve"> had non-inferior safety compared to </w:t>
      </w:r>
      <w:proofErr w:type="spellStart"/>
      <w:r w:rsidRPr="00786D0E">
        <w:t>pemetrexed</w:t>
      </w:r>
      <w:proofErr w:type="spellEnd"/>
      <w:r w:rsidRPr="00786D0E">
        <w:t xml:space="preserve"> and docetaxel at its November 2013 consideration of </w:t>
      </w:r>
      <w:proofErr w:type="spellStart"/>
      <w:r w:rsidRPr="00786D0E">
        <w:t>crizotinib</w:t>
      </w:r>
      <w:proofErr w:type="spellEnd"/>
      <w:r w:rsidRPr="00786D0E">
        <w:t xml:space="preserve"> for </w:t>
      </w:r>
      <w:r w:rsidR="00420D95" w:rsidRPr="00786D0E">
        <w:rPr>
          <w:i/>
        </w:rPr>
        <w:t>ALK</w:t>
      </w:r>
      <w:r w:rsidRPr="00786D0E">
        <w:noBreakHyphen/>
        <w:t>positive NSCLC (paragraph 9, November 2013 PBAC public summary document (PSD)).</w:t>
      </w:r>
    </w:p>
    <w:p w:rsidR="00AC59CA" w:rsidRPr="00786D0E" w:rsidRDefault="00B726AF" w:rsidP="000D39E9">
      <w:pPr>
        <w:pStyle w:val="ListParagraph"/>
        <w:numPr>
          <w:ilvl w:val="1"/>
          <w:numId w:val="2"/>
        </w:numPr>
        <w:spacing w:before="0" w:after="120"/>
        <w:jc w:val="both"/>
      </w:pPr>
      <w:r w:rsidRPr="00786D0E">
        <w:t>The ESC</w:t>
      </w:r>
      <w:r w:rsidR="001B4781" w:rsidRPr="00786D0E">
        <w:t>s</w:t>
      </w:r>
      <w:r w:rsidRPr="00786D0E">
        <w:t xml:space="preserve"> considered that the submission</w:t>
      </w:r>
      <w:r w:rsidR="00CF4381" w:rsidRPr="00786D0E">
        <w:t>’s</w:t>
      </w:r>
      <w:r w:rsidRPr="00786D0E">
        <w:t xml:space="preserve"> claim of non-inferior safety compared to standard care single agent chemotherapy (</w:t>
      </w:r>
      <w:proofErr w:type="spellStart"/>
      <w:r w:rsidRPr="00786D0E">
        <w:t>pemetrexed</w:t>
      </w:r>
      <w:proofErr w:type="spellEnd"/>
      <w:r w:rsidRPr="00786D0E">
        <w:t>) was reasonable.</w:t>
      </w:r>
    </w:p>
    <w:p w:rsidR="00907A05" w:rsidRPr="00786D0E" w:rsidRDefault="00907A05" w:rsidP="00907A05">
      <w:pPr>
        <w:pStyle w:val="ListParagraph"/>
        <w:numPr>
          <w:ilvl w:val="1"/>
          <w:numId w:val="2"/>
        </w:numPr>
        <w:spacing w:before="0" w:after="120"/>
        <w:jc w:val="both"/>
      </w:pPr>
      <w:r w:rsidRPr="00786D0E">
        <w:t xml:space="preserve">The PBAC considered that the submission’s claim of non-inferior safety compared with </w:t>
      </w:r>
      <w:proofErr w:type="spellStart"/>
      <w:r w:rsidRPr="00786D0E">
        <w:t>pemetrexed</w:t>
      </w:r>
      <w:proofErr w:type="spellEnd"/>
      <w:r w:rsidRPr="00786D0E">
        <w:t xml:space="preserve"> was reasonable, but noted that the fatal adverse event rate in the </w:t>
      </w:r>
      <w:proofErr w:type="spellStart"/>
      <w:r w:rsidRPr="00786D0E">
        <w:t>crizotinib</w:t>
      </w:r>
      <w:proofErr w:type="spellEnd"/>
      <w:r w:rsidRPr="00786D0E">
        <w:t xml:space="preserve"> studies (17% and </w:t>
      </w:r>
      <w:proofErr w:type="gramStart"/>
      <w:r w:rsidR="001144C3">
        <w:rPr>
          <w:noProof/>
          <w:color w:val="000000"/>
          <w:highlight w:val="black"/>
        </w:rPr>
        <w:t>''</w:t>
      </w:r>
      <w:r w:rsidRPr="00786D0E">
        <w:t>%</w:t>
      </w:r>
      <w:proofErr w:type="gramEnd"/>
      <w:r w:rsidRPr="00786D0E">
        <w:t xml:space="preserve">) appeared to be greater than for </w:t>
      </w:r>
      <w:proofErr w:type="spellStart"/>
      <w:r w:rsidRPr="00786D0E">
        <w:t>pemetrexed</w:t>
      </w:r>
      <w:proofErr w:type="spellEnd"/>
      <w:r w:rsidRPr="00786D0E">
        <w:t xml:space="preserve"> (1%).</w:t>
      </w:r>
    </w:p>
    <w:p w:rsidR="00AC59CA" w:rsidRPr="00786D0E" w:rsidRDefault="00AC59CA" w:rsidP="00AC59CA">
      <w:pPr>
        <w:pStyle w:val="Heading2"/>
        <w:jc w:val="both"/>
      </w:pPr>
      <w:bookmarkStart w:id="16" w:name="_Toc413139282"/>
      <w:bookmarkStart w:id="17" w:name="_Toc491433493"/>
      <w:r w:rsidRPr="00786D0E">
        <w:t>Economic analysis</w:t>
      </w:r>
      <w:bookmarkEnd w:id="16"/>
      <w:bookmarkEnd w:id="17"/>
    </w:p>
    <w:p w:rsidR="00AC59CA" w:rsidRPr="00786D0E" w:rsidRDefault="00AC59CA" w:rsidP="000D39E9">
      <w:pPr>
        <w:pStyle w:val="ListParagraph"/>
        <w:numPr>
          <w:ilvl w:val="1"/>
          <w:numId w:val="2"/>
        </w:numPr>
        <w:spacing w:before="0" w:after="120"/>
        <w:jc w:val="both"/>
      </w:pPr>
      <w:r w:rsidRPr="00786D0E">
        <w:t>The submission presented a modelled cost-utility analysis based on the superiority claim of the proposed scenario (</w:t>
      </w:r>
      <w:r w:rsidR="00420D95" w:rsidRPr="00786D0E">
        <w:rPr>
          <w:i/>
        </w:rPr>
        <w:t>ROS1</w:t>
      </w:r>
      <w:r w:rsidRPr="00786D0E">
        <w:t xml:space="preserve"> testing and </w:t>
      </w:r>
      <w:proofErr w:type="spellStart"/>
      <w:r w:rsidRPr="00786D0E">
        <w:t>crizotinib</w:t>
      </w:r>
      <w:proofErr w:type="spellEnd"/>
      <w:r w:rsidRPr="00786D0E">
        <w:t xml:space="preserve">) with the current scenario (no </w:t>
      </w:r>
      <w:r w:rsidR="00420D95" w:rsidRPr="00786D0E">
        <w:rPr>
          <w:i/>
        </w:rPr>
        <w:t>ROS1</w:t>
      </w:r>
      <w:r w:rsidRPr="00786D0E">
        <w:t xml:space="preserve"> testing and single agent chemotherapy with </w:t>
      </w:r>
      <w:proofErr w:type="spellStart"/>
      <w:r w:rsidRPr="00786D0E">
        <w:t>pemetrexed</w:t>
      </w:r>
      <w:proofErr w:type="spellEnd"/>
      <w:r w:rsidRPr="00786D0E">
        <w:t>).</w:t>
      </w:r>
    </w:p>
    <w:p w:rsidR="00AC59CA" w:rsidRPr="00786D0E" w:rsidRDefault="00AC59CA" w:rsidP="00AC59CA">
      <w:pPr>
        <w:pStyle w:val="TableHeading0"/>
        <w:jc w:val="both"/>
      </w:pPr>
      <w:r w:rsidRPr="00786D0E">
        <w:lastRenderedPageBreak/>
        <w:t>Table 7: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54"/>
        <w:gridCol w:w="6928"/>
      </w:tblGrid>
      <w:tr w:rsidR="00AC59CA" w:rsidRPr="00786D0E" w:rsidTr="001F354C">
        <w:trPr>
          <w:tblHeader/>
        </w:trPr>
        <w:tc>
          <w:tcPr>
            <w:tcW w:w="1186" w:type="pct"/>
            <w:shd w:val="clear" w:color="auto" w:fill="auto"/>
            <w:vAlign w:val="center"/>
          </w:tcPr>
          <w:p w:rsidR="00AC59CA" w:rsidRPr="00786D0E" w:rsidRDefault="00AC59CA" w:rsidP="001F354C">
            <w:pPr>
              <w:pStyle w:val="TableText"/>
              <w:jc w:val="both"/>
              <w:rPr>
                <w:b/>
              </w:rPr>
            </w:pPr>
            <w:r w:rsidRPr="00786D0E">
              <w:rPr>
                <w:b/>
              </w:rPr>
              <w:t>Component</w:t>
            </w:r>
          </w:p>
        </w:tc>
        <w:tc>
          <w:tcPr>
            <w:tcW w:w="3814" w:type="pct"/>
            <w:shd w:val="clear" w:color="auto" w:fill="auto"/>
            <w:vAlign w:val="center"/>
          </w:tcPr>
          <w:p w:rsidR="00AC59CA" w:rsidRPr="00786D0E" w:rsidRDefault="00AC59CA" w:rsidP="001F354C">
            <w:pPr>
              <w:pStyle w:val="TableText"/>
              <w:jc w:val="both"/>
              <w:rPr>
                <w:b/>
              </w:rPr>
            </w:pPr>
            <w:r w:rsidRPr="00786D0E">
              <w:rPr>
                <w:b/>
              </w:rPr>
              <w:t>Summary</w:t>
            </w:r>
          </w:p>
        </w:tc>
      </w:tr>
      <w:tr w:rsidR="00AC59CA" w:rsidRPr="00786D0E" w:rsidTr="001F354C">
        <w:tc>
          <w:tcPr>
            <w:tcW w:w="1186" w:type="pct"/>
            <w:shd w:val="clear" w:color="auto" w:fill="auto"/>
            <w:vAlign w:val="center"/>
          </w:tcPr>
          <w:p w:rsidR="00AC59CA" w:rsidRPr="00786D0E" w:rsidRDefault="00AC59CA" w:rsidP="001F354C">
            <w:pPr>
              <w:pStyle w:val="TableText"/>
              <w:jc w:val="both"/>
            </w:pPr>
            <w:r w:rsidRPr="00786D0E">
              <w:t>Time horizon</w:t>
            </w:r>
          </w:p>
        </w:tc>
        <w:tc>
          <w:tcPr>
            <w:tcW w:w="3814" w:type="pct"/>
            <w:shd w:val="clear" w:color="auto" w:fill="auto"/>
            <w:vAlign w:val="center"/>
          </w:tcPr>
          <w:p w:rsidR="00AC59CA" w:rsidRPr="00786D0E" w:rsidRDefault="00AC59CA" w:rsidP="001F354C">
            <w:pPr>
              <w:pStyle w:val="TableText"/>
              <w:jc w:val="both"/>
              <w:rPr>
                <w:rFonts w:ascii="Times" w:eastAsia="Times New Roman" w:hAnsi="Times" w:cs="Times New Roman"/>
              </w:rPr>
            </w:pPr>
            <w:r w:rsidRPr="00786D0E">
              <w:t xml:space="preserve">10 years in the model base case versus 25.4 months in A8081001 and </w:t>
            </w:r>
            <w:r w:rsidR="001144C3">
              <w:rPr>
                <w:noProof/>
                <w:color w:val="000000"/>
                <w:highlight w:val="black"/>
              </w:rPr>
              <w:t>''''''''''</w:t>
            </w:r>
            <w:r w:rsidRPr="00786D0E">
              <w:t xml:space="preserve"> months in OO12-01 and 7.5 months in Hanna et al (2004)</w:t>
            </w:r>
          </w:p>
        </w:tc>
      </w:tr>
      <w:tr w:rsidR="00AC59CA" w:rsidRPr="00786D0E" w:rsidTr="001F354C">
        <w:tc>
          <w:tcPr>
            <w:tcW w:w="1186" w:type="pct"/>
            <w:shd w:val="clear" w:color="auto" w:fill="auto"/>
            <w:vAlign w:val="center"/>
          </w:tcPr>
          <w:p w:rsidR="00AC59CA" w:rsidRPr="00786D0E" w:rsidRDefault="00AC59CA" w:rsidP="001F354C">
            <w:pPr>
              <w:pStyle w:val="TableText"/>
              <w:jc w:val="both"/>
              <w:rPr>
                <w:rFonts w:ascii="Times" w:eastAsia="Times New Roman" w:hAnsi="Times" w:cs="Times New Roman"/>
              </w:rPr>
            </w:pPr>
            <w:r w:rsidRPr="00786D0E">
              <w:t>Outcomes</w:t>
            </w:r>
          </w:p>
        </w:tc>
        <w:tc>
          <w:tcPr>
            <w:tcW w:w="3814" w:type="pct"/>
            <w:shd w:val="clear" w:color="auto" w:fill="auto"/>
            <w:vAlign w:val="center"/>
          </w:tcPr>
          <w:p w:rsidR="00AC59CA" w:rsidRPr="00786D0E" w:rsidRDefault="00AC59CA" w:rsidP="001F354C">
            <w:pPr>
              <w:pStyle w:val="TableText"/>
              <w:jc w:val="both"/>
              <w:rPr>
                <w:rFonts w:ascii="Times" w:eastAsia="Times New Roman" w:hAnsi="Times" w:cs="Times New Roman"/>
              </w:rPr>
            </w:pPr>
            <w:r w:rsidRPr="00786D0E">
              <w:t>LYG and QALYs</w:t>
            </w:r>
          </w:p>
        </w:tc>
      </w:tr>
      <w:tr w:rsidR="00AC59CA" w:rsidRPr="00786D0E" w:rsidTr="001F354C">
        <w:tc>
          <w:tcPr>
            <w:tcW w:w="1186" w:type="pct"/>
            <w:shd w:val="clear" w:color="auto" w:fill="auto"/>
            <w:vAlign w:val="center"/>
          </w:tcPr>
          <w:p w:rsidR="00AC59CA" w:rsidRPr="00786D0E" w:rsidRDefault="00AC59CA" w:rsidP="001F354C">
            <w:pPr>
              <w:pStyle w:val="TableText"/>
              <w:jc w:val="both"/>
              <w:rPr>
                <w:rFonts w:ascii="Times" w:eastAsia="Times New Roman" w:hAnsi="Times" w:cs="Times New Roman"/>
              </w:rPr>
            </w:pPr>
            <w:r w:rsidRPr="00786D0E">
              <w:t>Methods used to generate results</w:t>
            </w:r>
          </w:p>
        </w:tc>
        <w:tc>
          <w:tcPr>
            <w:tcW w:w="3814" w:type="pct"/>
            <w:shd w:val="clear" w:color="auto" w:fill="auto"/>
            <w:vAlign w:val="center"/>
          </w:tcPr>
          <w:p w:rsidR="00AC59CA" w:rsidRPr="00786D0E" w:rsidRDefault="00AC59CA" w:rsidP="001F354C">
            <w:pPr>
              <w:pStyle w:val="TableText"/>
              <w:jc w:val="both"/>
              <w:rPr>
                <w:rFonts w:ascii="Times" w:eastAsia="Times New Roman" w:hAnsi="Times" w:cs="Times New Roman"/>
              </w:rPr>
            </w:pPr>
            <w:r w:rsidRPr="00786D0E">
              <w:t>Cohort expected value analysis</w:t>
            </w:r>
          </w:p>
        </w:tc>
      </w:tr>
      <w:tr w:rsidR="00AC59CA" w:rsidRPr="00786D0E" w:rsidTr="001F354C">
        <w:tc>
          <w:tcPr>
            <w:tcW w:w="1186" w:type="pct"/>
            <w:shd w:val="clear" w:color="auto" w:fill="auto"/>
            <w:vAlign w:val="center"/>
          </w:tcPr>
          <w:p w:rsidR="00AC59CA" w:rsidRPr="00786D0E" w:rsidRDefault="00AC59CA" w:rsidP="001F354C">
            <w:pPr>
              <w:pStyle w:val="TableText"/>
              <w:jc w:val="both"/>
              <w:rPr>
                <w:rFonts w:ascii="Times" w:eastAsia="Times New Roman" w:hAnsi="Times" w:cs="Times New Roman"/>
              </w:rPr>
            </w:pPr>
            <w:r w:rsidRPr="00786D0E">
              <w:t>Health states</w:t>
            </w:r>
          </w:p>
        </w:tc>
        <w:tc>
          <w:tcPr>
            <w:tcW w:w="3814" w:type="pct"/>
            <w:shd w:val="clear" w:color="auto" w:fill="auto"/>
            <w:vAlign w:val="center"/>
          </w:tcPr>
          <w:p w:rsidR="00AC59CA" w:rsidRPr="00786D0E" w:rsidRDefault="00AC59CA" w:rsidP="001F354C">
            <w:pPr>
              <w:pStyle w:val="TableText"/>
              <w:jc w:val="both"/>
            </w:pPr>
            <w:r w:rsidRPr="00786D0E">
              <w:t>Partitioned survival state-transition model with three health states: pre-progress</w:t>
            </w:r>
            <w:r w:rsidR="009D60C8" w:rsidRPr="00786D0E">
              <w:t>ion, post-progression and dead</w:t>
            </w:r>
          </w:p>
        </w:tc>
      </w:tr>
      <w:tr w:rsidR="00AC59CA" w:rsidRPr="00786D0E" w:rsidTr="001F354C">
        <w:tc>
          <w:tcPr>
            <w:tcW w:w="1186" w:type="pct"/>
            <w:shd w:val="clear" w:color="auto" w:fill="auto"/>
            <w:vAlign w:val="center"/>
          </w:tcPr>
          <w:p w:rsidR="00AC59CA" w:rsidRPr="00786D0E" w:rsidRDefault="00AC59CA" w:rsidP="001F354C">
            <w:pPr>
              <w:pStyle w:val="TableText"/>
              <w:jc w:val="both"/>
              <w:rPr>
                <w:rFonts w:ascii="Times" w:eastAsia="Times New Roman" w:hAnsi="Times" w:cs="Times New Roman"/>
              </w:rPr>
            </w:pPr>
            <w:r w:rsidRPr="00786D0E">
              <w:t>Utilities</w:t>
            </w:r>
          </w:p>
        </w:tc>
        <w:tc>
          <w:tcPr>
            <w:tcW w:w="3814" w:type="pct"/>
            <w:shd w:val="clear" w:color="auto" w:fill="auto"/>
            <w:vAlign w:val="center"/>
          </w:tcPr>
          <w:p w:rsidR="00AC59CA" w:rsidRPr="00786D0E" w:rsidRDefault="00AC59CA" w:rsidP="001F354C">
            <w:pPr>
              <w:pStyle w:val="TableText"/>
              <w:jc w:val="both"/>
              <w:rPr>
                <w:rFonts w:ascii="Times" w:eastAsia="Times New Roman" w:hAnsi="Times" w:cs="Times New Roman"/>
              </w:rPr>
            </w:pPr>
            <w:r w:rsidRPr="00786D0E">
              <w:t xml:space="preserve">EORTC QLQ-C30 from OO12-01 mapped to EQ-5D-5L. Same for </w:t>
            </w:r>
            <w:proofErr w:type="spellStart"/>
            <w:r w:rsidRPr="00786D0E">
              <w:t>crizotinib</w:t>
            </w:r>
            <w:proofErr w:type="spellEnd"/>
            <w:r w:rsidRPr="00786D0E">
              <w:t xml:space="preserve"> and </w:t>
            </w:r>
            <w:proofErr w:type="spellStart"/>
            <w:r w:rsidRPr="00786D0E">
              <w:t>pemetrexed</w:t>
            </w:r>
            <w:proofErr w:type="spellEnd"/>
            <w:r w:rsidRPr="00786D0E">
              <w:t xml:space="preserve">. </w:t>
            </w:r>
          </w:p>
        </w:tc>
      </w:tr>
      <w:tr w:rsidR="00AC59CA" w:rsidRPr="00786D0E" w:rsidTr="001F354C">
        <w:tc>
          <w:tcPr>
            <w:tcW w:w="1186" w:type="pct"/>
            <w:shd w:val="clear" w:color="auto" w:fill="auto"/>
            <w:vAlign w:val="center"/>
          </w:tcPr>
          <w:p w:rsidR="00AC59CA" w:rsidRPr="00786D0E" w:rsidRDefault="00AC59CA" w:rsidP="001F354C">
            <w:pPr>
              <w:pStyle w:val="TableText"/>
              <w:jc w:val="both"/>
              <w:rPr>
                <w:rFonts w:ascii="Times" w:eastAsia="Times New Roman" w:hAnsi="Times" w:cs="Times New Roman"/>
              </w:rPr>
            </w:pPr>
            <w:r w:rsidRPr="00786D0E">
              <w:t>Cycle length</w:t>
            </w:r>
          </w:p>
        </w:tc>
        <w:tc>
          <w:tcPr>
            <w:tcW w:w="3814" w:type="pct"/>
            <w:shd w:val="clear" w:color="auto" w:fill="auto"/>
            <w:vAlign w:val="center"/>
          </w:tcPr>
          <w:p w:rsidR="00AC59CA" w:rsidRPr="00786D0E" w:rsidRDefault="00AC59CA" w:rsidP="001F354C">
            <w:pPr>
              <w:pStyle w:val="TableText"/>
              <w:jc w:val="both"/>
              <w:rPr>
                <w:rFonts w:ascii="Times" w:eastAsia="Times New Roman" w:hAnsi="Times" w:cs="Times New Roman"/>
              </w:rPr>
            </w:pPr>
            <w:r w:rsidRPr="00786D0E">
              <w:t>8 weeks</w:t>
            </w:r>
          </w:p>
        </w:tc>
      </w:tr>
      <w:tr w:rsidR="00AC59CA" w:rsidRPr="00786D0E" w:rsidTr="001F354C">
        <w:tc>
          <w:tcPr>
            <w:tcW w:w="1186" w:type="pct"/>
            <w:shd w:val="clear" w:color="auto" w:fill="auto"/>
            <w:vAlign w:val="center"/>
          </w:tcPr>
          <w:p w:rsidR="00AC59CA" w:rsidRPr="00786D0E" w:rsidRDefault="00AC59CA" w:rsidP="001F354C">
            <w:pPr>
              <w:pStyle w:val="TableText"/>
              <w:jc w:val="both"/>
              <w:rPr>
                <w:rFonts w:ascii="Times" w:eastAsia="Times New Roman" w:hAnsi="Times" w:cs="Times New Roman"/>
              </w:rPr>
            </w:pPr>
            <w:r w:rsidRPr="00786D0E">
              <w:t>Transition probabilities</w:t>
            </w:r>
          </w:p>
        </w:tc>
        <w:tc>
          <w:tcPr>
            <w:tcW w:w="3814" w:type="pct"/>
            <w:shd w:val="clear" w:color="auto" w:fill="auto"/>
            <w:vAlign w:val="center"/>
          </w:tcPr>
          <w:p w:rsidR="00AC59CA" w:rsidRPr="00786D0E" w:rsidRDefault="00AC59CA" w:rsidP="001F354C">
            <w:pPr>
              <w:pStyle w:val="TableText"/>
              <w:jc w:val="both"/>
            </w:pPr>
            <w:r w:rsidRPr="00786D0E">
              <w:t xml:space="preserve">Modelled using exponential function from pooled </w:t>
            </w:r>
            <w:proofErr w:type="spellStart"/>
            <w:r w:rsidRPr="00786D0E">
              <w:t>crizotinib</w:t>
            </w:r>
            <w:proofErr w:type="spellEnd"/>
            <w:r w:rsidRPr="00786D0E">
              <w:t xml:space="preserve"> KM PFS and OS curves and </w:t>
            </w:r>
            <w:proofErr w:type="spellStart"/>
            <w:r w:rsidRPr="00786D0E">
              <w:t>pemetrexed</w:t>
            </w:r>
            <w:proofErr w:type="spellEnd"/>
            <w:r w:rsidRPr="00786D0E">
              <w:t xml:space="preserve"> KM PFS and OS curves from Hanna et al. 2004. Modelled through</w:t>
            </w:r>
            <w:r w:rsidR="009D60C8" w:rsidRPr="00786D0E">
              <w:t>out (KM not used in base case).</w:t>
            </w:r>
          </w:p>
        </w:tc>
      </w:tr>
    </w:tbl>
    <w:p w:rsidR="00AC59CA" w:rsidRPr="00786D0E" w:rsidRDefault="00AC59CA" w:rsidP="00AC59CA">
      <w:pPr>
        <w:pStyle w:val="TableFooter"/>
      </w:pPr>
      <w:r w:rsidRPr="00786D0E">
        <w:t>Source: Table 3.1.1, p192 and Table 3.5.3, p217 of the submission</w:t>
      </w:r>
    </w:p>
    <w:p w:rsidR="00AC59CA" w:rsidRPr="00786D0E" w:rsidRDefault="00AC59CA" w:rsidP="00AC59CA">
      <w:pPr>
        <w:pStyle w:val="TableFooter"/>
      </w:pPr>
      <w:r w:rsidRPr="00786D0E">
        <w:t xml:space="preserve">EORTC = European Organisation for Research and Treatment of Cancer; QLQ-C30 = EORTC core quality of life questionnaire; EQ-5D-5l = </w:t>
      </w:r>
      <w:proofErr w:type="spellStart"/>
      <w:r w:rsidRPr="00786D0E">
        <w:rPr>
          <w:szCs w:val="18"/>
        </w:rPr>
        <w:t>Euroqol</w:t>
      </w:r>
      <w:proofErr w:type="spellEnd"/>
      <w:r w:rsidRPr="00786D0E">
        <w:rPr>
          <w:szCs w:val="18"/>
        </w:rPr>
        <w:t xml:space="preserve"> 5-dimension 5-level instrument</w:t>
      </w:r>
      <w:r w:rsidRPr="00786D0E">
        <w:t>; KM = Kaplan-Meier; LY = life year; OS = overall survival; PFS = progression-free survival; QALY = quality-adjusted life year</w:t>
      </w:r>
    </w:p>
    <w:p w:rsidR="00AC59CA" w:rsidRPr="00786D0E" w:rsidRDefault="00AC59CA" w:rsidP="000D39E9">
      <w:pPr>
        <w:pStyle w:val="ListParagraph"/>
        <w:numPr>
          <w:ilvl w:val="1"/>
          <w:numId w:val="2"/>
        </w:numPr>
        <w:spacing w:before="0" w:after="120"/>
        <w:jc w:val="both"/>
      </w:pPr>
      <w:r w:rsidRPr="00786D0E">
        <w:t xml:space="preserve">The modelled evaluation was divided into two phases: testing and treatment. For the testing phase, a simple decision analytic was used to determine the proportion of patients who would qualify for </w:t>
      </w:r>
      <w:proofErr w:type="spellStart"/>
      <w:r w:rsidRPr="00786D0E">
        <w:t>crizotinib</w:t>
      </w:r>
      <w:proofErr w:type="spellEnd"/>
      <w:r w:rsidRPr="00786D0E">
        <w:t xml:space="preserve"> treatment on the basis of the underlying prevalence of </w:t>
      </w:r>
      <w:r w:rsidR="00420D95" w:rsidRPr="00786D0E">
        <w:rPr>
          <w:i/>
        </w:rPr>
        <w:t>ROS1</w:t>
      </w:r>
      <w:r w:rsidRPr="00786D0E">
        <w:t xml:space="preserve"> positivity (estimated at 1.61%) and the analytical performance of IHC (95.1% sensitivity and 93.8% specificity) as a </w:t>
      </w:r>
      <w:r w:rsidR="0085501F" w:rsidRPr="00786D0E">
        <w:t>pr</w:t>
      </w:r>
      <w:r w:rsidR="001D2A21" w:rsidRPr="00786D0E">
        <w:t>e-</w:t>
      </w:r>
      <w:r w:rsidRPr="00786D0E">
        <w:t>test with FISH confirmation (100</w:t>
      </w:r>
      <w:r w:rsidR="009D60C8" w:rsidRPr="00786D0E">
        <w:t>% sensitivity and specificity).</w:t>
      </w:r>
    </w:p>
    <w:p w:rsidR="00AC59CA" w:rsidRPr="00786D0E" w:rsidRDefault="00AC59CA" w:rsidP="000D39E9">
      <w:pPr>
        <w:pStyle w:val="ListParagraph"/>
        <w:numPr>
          <w:ilvl w:val="1"/>
          <w:numId w:val="2"/>
        </w:numPr>
        <w:spacing w:before="0" w:after="120"/>
        <w:jc w:val="both"/>
      </w:pPr>
      <w:r w:rsidRPr="00786D0E">
        <w:t xml:space="preserve">In the treatment stage, patients were assumed to receive either </w:t>
      </w:r>
      <w:r w:rsidR="001144C3">
        <w:rPr>
          <w:noProof/>
          <w:color w:val="000000"/>
          <w:highlight w:val="black"/>
        </w:rPr>
        <w:t>''''''''</w:t>
      </w:r>
      <w:r w:rsidRPr="00786D0E">
        <w:t xml:space="preserve"> months of </w:t>
      </w:r>
      <w:proofErr w:type="spellStart"/>
      <w:r w:rsidRPr="00786D0E">
        <w:t>crizotinib</w:t>
      </w:r>
      <w:proofErr w:type="spellEnd"/>
      <w:r w:rsidRPr="00786D0E">
        <w:t xml:space="preserve"> treatment or six cycles of </w:t>
      </w:r>
      <w:proofErr w:type="spellStart"/>
      <w:r w:rsidRPr="00786D0E">
        <w:t>pemetrexed</w:t>
      </w:r>
      <w:proofErr w:type="spellEnd"/>
      <w:r w:rsidRPr="00786D0E">
        <w:t xml:space="preserve">, irrespective of disease progression. This was not consistent with the clinical evidence for </w:t>
      </w:r>
      <w:proofErr w:type="spellStart"/>
      <w:r w:rsidRPr="00786D0E">
        <w:t>pemetrexed</w:t>
      </w:r>
      <w:proofErr w:type="spellEnd"/>
      <w:r w:rsidRPr="00786D0E">
        <w:t xml:space="preserve"> where a median of four cycles was used. Median duration of treatment in the </w:t>
      </w:r>
      <w:proofErr w:type="spellStart"/>
      <w:r w:rsidRPr="00786D0E">
        <w:t>crizotinib</w:t>
      </w:r>
      <w:proofErr w:type="spellEnd"/>
      <w:r w:rsidRPr="00786D0E">
        <w:t xml:space="preserve"> studies was longer than median progression-free survival. Exponential models for the probability of remaining alive (OS) or progression-free (PFS) were used for both the </w:t>
      </w:r>
      <w:proofErr w:type="spellStart"/>
      <w:r w:rsidRPr="00786D0E">
        <w:t>crizotinib</w:t>
      </w:r>
      <w:proofErr w:type="spellEnd"/>
      <w:r w:rsidRPr="00786D0E">
        <w:t xml:space="preserve"> and </w:t>
      </w:r>
      <w:proofErr w:type="spellStart"/>
      <w:r w:rsidRPr="00786D0E">
        <w:t>pemetrexed</w:t>
      </w:r>
      <w:proofErr w:type="spellEnd"/>
      <w:r w:rsidRPr="00786D0E">
        <w:t xml:space="preserve"> treatment arms. The model did not attribute a higher risk of death for the post-progression state. This might not reflect the disease process. Table 8 presents the key drivers of the model.</w:t>
      </w:r>
    </w:p>
    <w:p w:rsidR="00AC59CA" w:rsidRPr="00786D0E" w:rsidRDefault="00AC59CA" w:rsidP="00AC59CA">
      <w:pPr>
        <w:pStyle w:val="TableHeading0"/>
        <w:jc w:val="both"/>
      </w:pPr>
      <w:r w:rsidRPr="00786D0E">
        <w:t>Table 8: Key drivers of the model</w:t>
      </w:r>
    </w:p>
    <w:tbl>
      <w:tblPr>
        <w:tblW w:w="498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4395"/>
        <w:gridCol w:w="2108"/>
      </w:tblGrid>
      <w:tr w:rsidR="00AC59CA" w:rsidRPr="00786D0E" w:rsidTr="001F354C">
        <w:trPr>
          <w:tblHeader/>
        </w:trPr>
        <w:tc>
          <w:tcPr>
            <w:tcW w:w="1409" w:type="pct"/>
            <w:shd w:val="clear" w:color="auto" w:fill="auto"/>
            <w:vAlign w:val="center"/>
          </w:tcPr>
          <w:p w:rsidR="00AC59CA" w:rsidRPr="00786D0E" w:rsidRDefault="00AC59CA" w:rsidP="001F354C">
            <w:pPr>
              <w:pStyle w:val="TableText"/>
              <w:jc w:val="both"/>
              <w:rPr>
                <w:b/>
              </w:rPr>
            </w:pPr>
            <w:r w:rsidRPr="00786D0E">
              <w:rPr>
                <w:b/>
              </w:rPr>
              <w:t>Description</w:t>
            </w:r>
          </w:p>
        </w:tc>
        <w:tc>
          <w:tcPr>
            <w:tcW w:w="2427" w:type="pct"/>
            <w:shd w:val="clear" w:color="auto" w:fill="auto"/>
            <w:vAlign w:val="center"/>
          </w:tcPr>
          <w:p w:rsidR="00AC59CA" w:rsidRPr="00786D0E" w:rsidRDefault="00AC59CA" w:rsidP="001F354C">
            <w:pPr>
              <w:pStyle w:val="TableText"/>
              <w:jc w:val="both"/>
              <w:rPr>
                <w:b/>
              </w:rPr>
            </w:pPr>
            <w:r w:rsidRPr="00786D0E">
              <w:rPr>
                <w:b/>
              </w:rPr>
              <w:t>Method/Value</w:t>
            </w:r>
          </w:p>
        </w:tc>
        <w:tc>
          <w:tcPr>
            <w:tcW w:w="1164" w:type="pct"/>
            <w:shd w:val="clear" w:color="auto" w:fill="auto"/>
            <w:vAlign w:val="center"/>
          </w:tcPr>
          <w:p w:rsidR="00AC59CA" w:rsidRPr="00786D0E" w:rsidRDefault="00AC59CA" w:rsidP="001F354C">
            <w:pPr>
              <w:pStyle w:val="TableText"/>
              <w:jc w:val="both"/>
              <w:rPr>
                <w:b/>
              </w:rPr>
            </w:pPr>
            <w:r w:rsidRPr="00786D0E">
              <w:rPr>
                <w:b/>
              </w:rPr>
              <w:t>Impact</w:t>
            </w:r>
          </w:p>
        </w:tc>
      </w:tr>
      <w:tr w:rsidR="00AC59CA" w:rsidRPr="00786D0E" w:rsidTr="001F354C">
        <w:tc>
          <w:tcPr>
            <w:tcW w:w="1409" w:type="pct"/>
            <w:shd w:val="clear" w:color="auto" w:fill="auto"/>
            <w:vAlign w:val="center"/>
          </w:tcPr>
          <w:p w:rsidR="00AC59CA" w:rsidRPr="00786D0E" w:rsidRDefault="00AC59CA" w:rsidP="001F354C">
            <w:pPr>
              <w:pStyle w:val="TableText"/>
              <w:jc w:val="both"/>
            </w:pPr>
            <w:r w:rsidRPr="00786D0E">
              <w:t>Extrapolation</w:t>
            </w:r>
          </w:p>
        </w:tc>
        <w:tc>
          <w:tcPr>
            <w:tcW w:w="2427" w:type="pct"/>
            <w:shd w:val="clear" w:color="auto" w:fill="auto"/>
            <w:vAlign w:val="center"/>
          </w:tcPr>
          <w:p w:rsidR="00AC59CA" w:rsidRPr="00786D0E" w:rsidRDefault="00AC59CA" w:rsidP="001F354C">
            <w:pPr>
              <w:pStyle w:val="TableText"/>
              <w:jc w:val="both"/>
            </w:pPr>
            <w:r w:rsidRPr="00786D0E">
              <w:t xml:space="preserve">Exponential extrapolation of PFS and OS for both </w:t>
            </w:r>
            <w:proofErr w:type="spellStart"/>
            <w:r w:rsidRPr="00786D0E">
              <w:t>crizotinib</w:t>
            </w:r>
            <w:proofErr w:type="spellEnd"/>
            <w:r w:rsidRPr="00786D0E">
              <w:t xml:space="preserve"> and </w:t>
            </w:r>
            <w:proofErr w:type="spellStart"/>
            <w:r w:rsidRPr="00786D0E">
              <w:t>pemetrexed</w:t>
            </w:r>
            <w:proofErr w:type="spellEnd"/>
            <w:r w:rsidRPr="00786D0E">
              <w:t xml:space="preserve"> for 10 years</w:t>
            </w:r>
          </w:p>
        </w:tc>
        <w:tc>
          <w:tcPr>
            <w:tcW w:w="1164" w:type="pct"/>
            <w:shd w:val="clear" w:color="auto" w:fill="auto"/>
            <w:vAlign w:val="center"/>
          </w:tcPr>
          <w:p w:rsidR="00AC59CA" w:rsidRPr="00786D0E" w:rsidRDefault="00AC59CA" w:rsidP="001F354C">
            <w:pPr>
              <w:pStyle w:val="TableText"/>
              <w:jc w:val="both"/>
            </w:pPr>
            <w:r w:rsidRPr="00786D0E">
              <w:t xml:space="preserve">High, favours </w:t>
            </w:r>
            <w:proofErr w:type="spellStart"/>
            <w:r w:rsidRPr="00786D0E">
              <w:t>crizotinib</w:t>
            </w:r>
            <w:proofErr w:type="spellEnd"/>
            <w:r w:rsidRPr="00786D0E">
              <w:t xml:space="preserve"> </w:t>
            </w:r>
          </w:p>
        </w:tc>
      </w:tr>
      <w:tr w:rsidR="00AC59CA" w:rsidRPr="00786D0E" w:rsidTr="001F354C">
        <w:tc>
          <w:tcPr>
            <w:tcW w:w="1409" w:type="pct"/>
            <w:shd w:val="clear" w:color="auto" w:fill="auto"/>
            <w:vAlign w:val="center"/>
          </w:tcPr>
          <w:p w:rsidR="00AC59CA" w:rsidRPr="00786D0E" w:rsidRDefault="00AC59CA" w:rsidP="001F354C">
            <w:pPr>
              <w:pStyle w:val="TableText"/>
              <w:jc w:val="both"/>
            </w:pPr>
            <w:r w:rsidRPr="00786D0E">
              <w:t>Time horizon</w:t>
            </w:r>
          </w:p>
        </w:tc>
        <w:tc>
          <w:tcPr>
            <w:tcW w:w="2427" w:type="pct"/>
            <w:shd w:val="clear" w:color="auto" w:fill="auto"/>
            <w:vAlign w:val="center"/>
          </w:tcPr>
          <w:p w:rsidR="00AC59CA" w:rsidRPr="00786D0E" w:rsidRDefault="00AC59CA" w:rsidP="001F354C">
            <w:pPr>
              <w:pStyle w:val="TableText"/>
              <w:jc w:val="both"/>
            </w:pPr>
            <w:r w:rsidRPr="00786D0E">
              <w:t>10 years</w:t>
            </w:r>
          </w:p>
        </w:tc>
        <w:tc>
          <w:tcPr>
            <w:tcW w:w="1164" w:type="pct"/>
            <w:shd w:val="clear" w:color="auto" w:fill="auto"/>
            <w:vAlign w:val="center"/>
          </w:tcPr>
          <w:p w:rsidR="00AC59CA" w:rsidRPr="00786D0E" w:rsidRDefault="00AC59CA" w:rsidP="001F354C">
            <w:pPr>
              <w:pStyle w:val="TableText"/>
              <w:jc w:val="both"/>
            </w:pPr>
            <w:r w:rsidRPr="00786D0E">
              <w:t xml:space="preserve">High, favours </w:t>
            </w:r>
            <w:proofErr w:type="spellStart"/>
            <w:r w:rsidRPr="00786D0E">
              <w:t>crizotinib</w:t>
            </w:r>
            <w:proofErr w:type="spellEnd"/>
          </w:p>
        </w:tc>
      </w:tr>
      <w:tr w:rsidR="00AC59CA" w:rsidRPr="00786D0E" w:rsidTr="001F354C">
        <w:tc>
          <w:tcPr>
            <w:tcW w:w="1409" w:type="pct"/>
            <w:shd w:val="clear" w:color="auto" w:fill="auto"/>
            <w:vAlign w:val="center"/>
          </w:tcPr>
          <w:p w:rsidR="00AC59CA" w:rsidRPr="00786D0E" w:rsidRDefault="00AC59CA" w:rsidP="001F354C">
            <w:pPr>
              <w:pStyle w:val="TableText"/>
              <w:jc w:val="both"/>
            </w:pPr>
            <w:r w:rsidRPr="00786D0E">
              <w:t>Utilities</w:t>
            </w:r>
          </w:p>
        </w:tc>
        <w:tc>
          <w:tcPr>
            <w:tcW w:w="2427" w:type="pct"/>
            <w:shd w:val="clear" w:color="auto" w:fill="auto"/>
            <w:vAlign w:val="center"/>
          </w:tcPr>
          <w:p w:rsidR="00AC59CA" w:rsidRPr="00786D0E" w:rsidRDefault="00AC59CA" w:rsidP="001F354C">
            <w:pPr>
              <w:pStyle w:val="TableText"/>
              <w:jc w:val="both"/>
            </w:pPr>
            <w:r w:rsidRPr="00786D0E">
              <w:t xml:space="preserve">EORTC QLQ-C30 mapped to EQ-5D-5L from OO12-01 </w:t>
            </w:r>
          </w:p>
        </w:tc>
        <w:tc>
          <w:tcPr>
            <w:tcW w:w="1164" w:type="pct"/>
            <w:shd w:val="clear" w:color="auto" w:fill="auto"/>
            <w:vAlign w:val="center"/>
          </w:tcPr>
          <w:p w:rsidR="00AC59CA" w:rsidRPr="00786D0E" w:rsidRDefault="00AC59CA" w:rsidP="001F354C">
            <w:pPr>
              <w:pStyle w:val="TableText"/>
              <w:jc w:val="both"/>
            </w:pPr>
            <w:r w:rsidRPr="00786D0E">
              <w:t xml:space="preserve">Moderate, favours </w:t>
            </w:r>
            <w:proofErr w:type="spellStart"/>
            <w:r w:rsidRPr="00786D0E">
              <w:t>crizotinib</w:t>
            </w:r>
            <w:proofErr w:type="spellEnd"/>
            <w:r w:rsidRPr="00786D0E">
              <w:t xml:space="preserve"> </w:t>
            </w:r>
          </w:p>
        </w:tc>
      </w:tr>
      <w:tr w:rsidR="00AC59CA" w:rsidRPr="00786D0E" w:rsidTr="001F354C">
        <w:tc>
          <w:tcPr>
            <w:tcW w:w="1409" w:type="pct"/>
            <w:shd w:val="clear" w:color="auto" w:fill="auto"/>
            <w:vAlign w:val="center"/>
          </w:tcPr>
          <w:p w:rsidR="00AC59CA" w:rsidRPr="00786D0E" w:rsidRDefault="00AC59CA" w:rsidP="001F354C">
            <w:pPr>
              <w:pStyle w:val="TableText"/>
              <w:jc w:val="both"/>
            </w:pPr>
            <w:r w:rsidRPr="00786D0E">
              <w:t xml:space="preserve">Duration of </w:t>
            </w:r>
            <w:proofErr w:type="spellStart"/>
            <w:r w:rsidRPr="00786D0E">
              <w:t>crizotinib</w:t>
            </w:r>
            <w:proofErr w:type="spellEnd"/>
            <w:r w:rsidRPr="00786D0E">
              <w:t xml:space="preserve"> treatment</w:t>
            </w:r>
          </w:p>
        </w:tc>
        <w:tc>
          <w:tcPr>
            <w:tcW w:w="2427" w:type="pct"/>
            <w:shd w:val="clear" w:color="auto" w:fill="auto"/>
            <w:vAlign w:val="center"/>
          </w:tcPr>
          <w:p w:rsidR="00AC59CA" w:rsidRPr="00786D0E" w:rsidRDefault="001144C3" w:rsidP="001F354C">
            <w:pPr>
              <w:pStyle w:val="TableText"/>
              <w:jc w:val="both"/>
            </w:pPr>
            <w:r>
              <w:rPr>
                <w:noProof/>
                <w:color w:val="000000"/>
                <w:highlight w:val="black"/>
              </w:rPr>
              <w:t>''''''''''</w:t>
            </w:r>
            <w:r w:rsidR="00AC59CA" w:rsidRPr="00786D0E">
              <w:t xml:space="preserve"> months (weighted median from </w:t>
            </w:r>
            <w:proofErr w:type="spellStart"/>
            <w:r w:rsidR="00AC59CA" w:rsidRPr="00786D0E">
              <w:t>crizotinib</w:t>
            </w:r>
            <w:proofErr w:type="spellEnd"/>
            <w:r w:rsidR="00AC59CA" w:rsidRPr="00786D0E">
              <w:t xml:space="preserve"> studies)</w:t>
            </w:r>
          </w:p>
        </w:tc>
        <w:tc>
          <w:tcPr>
            <w:tcW w:w="1164" w:type="pct"/>
            <w:shd w:val="clear" w:color="auto" w:fill="auto"/>
            <w:vAlign w:val="center"/>
          </w:tcPr>
          <w:p w:rsidR="00AC59CA" w:rsidRPr="00786D0E" w:rsidRDefault="00AC59CA" w:rsidP="001F354C">
            <w:pPr>
              <w:pStyle w:val="TableText"/>
              <w:jc w:val="both"/>
            </w:pPr>
            <w:r w:rsidRPr="00786D0E">
              <w:t xml:space="preserve">Moderate, favours </w:t>
            </w:r>
            <w:proofErr w:type="spellStart"/>
            <w:r w:rsidRPr="00786D0E">
              <w:t>crizotinib</w:t>
            </w:r>
            <w:proofErr w:type="spellEnd"/>
            <w:r w:rsidRPr="00786D0E">
              <w:t xml:space="preserve"> </w:t>
            </w:r>
          </w:p>
        </w:tc>
      </w:tr>
      <w:tr w:rsidR="00AC59CA" w:rsidRPr="00786D0E" w:rsidTr="001F354C">
        <w:tc>
          <w:tcPr>
            <w:tcW w:w="1409" w:type="pct"/>
            <w:shd w:val="clear" w:color="auto" w:fill="auto"/>
            <w:vAlign w:val="center"/>
          </w:tcPr>
          <w:p w:rsidR="00AC59CA" w:rsidRPr="00786D0E" w:rsidRDefault="00AC59CA" w:rsidP="001F354C">
            <w:pPr>
              <w:pStyle w:val="TableText"/>
              <w:jc w:val="both"/>
            </w:pPr>
            <w:r w:rsidRPr="00786D0E">
              <w:t xml:space="preserve">Prevalence of </w:t>
            </w:r>
            <w:r w:rsidR="00420D95" w:rsidRPr="00786D0E">
              <w:rPr>
                <w:i/>
              </w:rPr>
              <w:t>ROS1</w:t>
            </w:r>
            <w:r w:rsidRPr="00786D0E">
              <w:t xml:space="preserve"> positive</w:t>
            </w:r>
          </w:p>
        </w:tc>
        <w:tc>
          <w:tcPr>
            <w:tcW w:w="2427" w:type="pct"/>
            <w:shd w:val="clear" w:color="auto" w:fill="auto"/>
            <w:vAlign w:val="center"/>
          </w:tcPr>
          <w:p w:rsidR="00AC59CA" w:rsidRPr="00786D0E" w:rsidRDefault="00AC59CA" w:rsidP="001F354C">
            <w:pPr>
              <w:pStyle w:val="TableText"/>
              <w:jc w:val="both"/>
            </w:pPr>
            <w:r w:rsidRPr="00786D0E">
              <w:t>1.61%</w:t>
            </w:r>
          </w:p>
        </w:tc>
        <w:tc>
          <w:tcPr>
            <w:tcW w:w="1164" w:type="pct"/>
            <w:shd w:val="clear" w:color="auto" w:fill="auto"/>
            <w:vAlign w:val="center"/>
          </w:tcPr>
          <w:p w:rsidR="00AC59CA" w:rsidRPr="00786D0E" w:rsidRDefault="00AC59CA" w:rsidP="001F354C">
            <w:pPr>
              <w:pStyle w:val="TableText"/>
              <w:jc w:val="both"/>
            </w:pPr>
            <w:r w:rsidRPr="00786D0E">
              <w:t>Moderate (unclear bias)</w:t>
            </w:r>
          </w:p>
        </w:tc>
      </w:tr>
      <w:tr w:rsidR="00AC59CA" w:rsidRPr="00786D0E" w:rsidTr="001F354C">
        <w:tc>
          <w:tcPr>
            <w:tcW w:w="1409" w:type="pct"/>
            <w:shd w:val="clear" w:color="auto" w:fill="auto"/>
            <w:vAlign w:val="center"/>
          </w:tcPr>
          <w:p w:rsidR="00AC59CA" w:rsidRPr="00786D0E" w:rsidRDefault="00AC59CA" w:rsidP="001F354C">
            <w:pPr>
              <w:pStyle w:val="TableText"/>
              <w:jc w:val="both"/>
            </w:pPr>
            <w:r w:rsidRPr="00786D0E">
              <w:t>Exclusion of re-biopsy costs</w:t>
            </w:r>
          </w:p>
        </w:tc>
        <w:tc>
          <w:tcPr>
            <w:tcW w:w="2427" w:type="pct"/>
            <w:shd w:val="clear" w:color="auto" w:fill="auto"/>
            <w:vAlign w:val="center"/>
          </w:tcPr>
          <w:p w:rsidR="00AC59CA" w:rsidRPr="00786D0E" w:rsidRDefault="00AC59CA" w:rsidP="001F354C">
            <w:pPr>
              <w:pStyle w:val="TableText"/>
              <w:jc w:val="both"/>
            </w:pPr>
            <w:r w:rsidRPr="00786D0E">
              <w:t>No patients require re-biopsy</w:t>
            </w:r>
          </w:p>
        </w:tc>
        <w:tc>
          <w:tcPr>
            <w:tcW w:w="1164" w:type="pct"/>
            <w:shd w:val="clear" w:color="auto" w:fill="auto"/>
            <w:vAlign w:val="center"/>
          </w:tcPr>
          <w:p w:rsidR="00AC59CA" w:rsidRPr="00786D0E" w:rsidRDefault="00AC59CA" w:rsidP="001F354C">
            <w:pPr>
              <w:pStyle w:val="TableText"/>
              <w:jc w:val="both"/>
            </w:pPr>
            <w:r w:rsidRPr="00786D0E">
              <w:t xml:space="preserve">Low, favours </w:t>
            </w:r>
            <w:proofErr w:type="spellStart"/>
            <w:r w:rsidRPr="00786D0E">
              <w:t>crizotinib</w:t>
            </w:r>
            <w:proofErr w:type="spellEnd"/>
            <w:r w:rsidRPr="00786D0E">
              <w:t xml:space="preserve"> </w:t>
            </w:r>
          </w:p>
        </w:tc>
      </w:tr>
    </w:tbl>
    <w:p w:rsidR="00AC59CA" w:rsidRPr="00786D0E" w:rsidRDefault="00AC59CA" w:rsidP="00AC59CA">
      <w:pPr>
        <w:pStyle w:val="TableFooter"/>
      </w:pPr>
      <w:r w:rsidRPr="00786D0E">
        <w:t>Source: compiled during the evaluation (reference sections/tables/spreadsheets within the submission)</w:t>
      </w:r>
    </w:p>
    <w:p w:rsidR="00AC59CA" w:rsidRPr="00786D0E" w:rsidRDefault="00AC59CA" w:rsidP="00AC59CA">
      <w:pPr>
        <w:pStyle w:val="TableFooter"/>
      </w:pPr>
      <w:r w:rsidRPr="00786D0E">
        <w:t xml:space="preserve">EORTC = European Organisation for Research and Treatment of Cancer; EQ-5D-5L = EuroQol-5 dimension-5 level instrument; OS = overall survival; PFS = progression-free survival; </w:t>
      </w:r>
      <w:r w:rsidR="00420D95" w:rsidRPr="00786D0E">
        <w:rPr>
          <w:i/>
        </w:rPr>
        <w:t>ROS1</w:t>
      </w:r>
      <w:r w:rsidRPr="00786D0E">
        <w:t xml:space="preserve"> = ROS proto-oncogene 1</w:t>
      </w:r>
    </w:p>
    <w:p w:rsidR="00077C71" w:rsidRPr="00786D0E" w:rsidRDefault="00077C71" w:rsidP="000D39E9">
      <w:pPr>
        <w:pStyle w:val="ListParagraph"/>
        <w:numPr>
          <w:ilvl w:val="1"/>
          <w:numId w:val="2"/>
        </w:numPr>
        <w:spacing w:before="0" w:after="120"/>
        <w:jc w:val="both"/>
      </w:pPr>
      <w:r w:rsidRPr="00786D0E">
        <w:t>The ESC</w:t>
      </w:r>
      <w:r w:rsidR="001B4781" w:rsidRPr="00786D0E">
        <w:t>s</w:t>
      </w:r>
      <w:r w:rsidRPr="00786D0E">
        <w:t xml:space="preserve"> noted that the submission </w:t>
      </w:r>
      <w:r w:rsidR="001D592D" w:rsidRPr="00786D0E">
        <w:t xml:space="preserve">had </w:t>
      </w:r>
      <w:r w:rsidR="00B10838" w:rsidRPr="00786D0E">
        <w:t>presented</w:t>
      </w:r>
      <w:r w:rsidRPr="00786D0E">
        <w:t xml:space="preserve"> four goodness-of-fit scenarios</w:t>
      </w:r>
      <w:r w:rsidR="00B10838" w:rsidRPr="00786D0E">
        <w:t xml:space="preserve"> for extrapolating OS in the </w:t>
      </w:r>
      <w:proofErr w:type="spellStart"/>
      <w:r w:rsidR="00B10838" w:rsidRPr="00786D0E">
        <w:t>crizotinib</w:t>
      </w:r>
      <w:proofErr w:type="spellEnd"/>
      <w:r w:rsidR="00B10838" w:rsidRPr="00786D0E">
        <w:t xml:space="preserve"> arm</w:t>
      </w:r>
      <w:r w:rsidRPr="00786D0E">
        <w:t xml:space="preserve"> and </w:t>
      </w:r>
      <w:r w:rsidR="001D592D" w:rsidRPr="00786D0E">
        <w:t xml:space="preserve">had </w:t>
      </w:r>
      <w:r w:rsidRPr="00786D0E">
        <w:t xml:space="preserve">claimed that exponential </w:t>
      </w:r>
      <w:r w:rsidR="00B10838" w:rsidRPr="00786D0E">
        <w:t xml:space="preserve">distribution </w:t>
      </w:r>
      <w:r w:rsidR="00B10838" w:rsidRPr="00786D0E">
        <w:lastRenderedPageBreak/>
        <w:t xml:space="preserve">had the best fit. </w:t>
      </w:r>
      <w:r w:rsidR="00D7397F" w:rsidRPr="00786D0E">
        <w:t xml:space="preserve">Although </w:t>
      </w:r>
      <w:r w:rsidR="00B10838" w:rsidRPr="00786D0E">
        <w:t>the goodness-of-fit statistics were similar for all the distributions presented, the ESC</w:t>
      </w:r>
      <w:r w:rsidR="001B4781" w:rsidRPr="00786D0E">
        <w:t>s</w:t>
      </w:r>
      <w:r w:rsidR="00B10838" w:rsidRPr="00786D0E">
        <w:t xml:space="preserve"> considered that exponential distribution was the most conservative option</w:t>
      </w:r>
      <w:r w:rsidR="002B1425" w:rsidRPr="00786D0E">
        <w:t>,</w:t>
      </w:r>
      <w:r w:rsidR="00133B8B" w:rsidRPr="00786D0E">
        <w:t xml:space="preserve"> given the observed data sets </w:t>
      </w:r>
      <w:r w:rsidR="00CF4381" w:rsidRPr="00786D0E">
        <w:t xml:space="preserve">used </w:t>
      </w:r>
      <w:r w:rsidR="00133B8B" w:rsidRPr="00786D0E">
        <w:t>as an initial basis</w:t>
      </w:r>
      <w:r w:rsidR="00B10838" w:rsidRPr="00786D0E">
        <w:t>.</w:t>
      </w:r>
    </w:p>
    <w:p w:rsidR="00B10838" w:rsidRPr="00786D0E" w:rsidRDefault="00B10838" w:rsidP="000D39E9">
      <w:pPr>
        <w:pStyle w:val="ListParagraph"/>
        <w:numPr>
          <w:ilvl w:val="1"/>
          <w:numId w:val="2"/>
        </w:numPr>
        <w:spacing w:before="0" w:after="120"/>
        <w:jc w:val="both"/>
      </w:pPr>
      <w:r w:rsidRPr="00786D0E">
        <w:t xml:space="preserve">For the </w:t>
      </w:r>
      <w:proofErr w:type="spellStart"/>
      <w:r w:rsidRPr="00786D0E">
        <w:t>pemetrexed</w:t>
      </w:r>
      <w:proofErr w:type="spellEnd"/>
      <w:r w:rsidRPr="00786D0E">
        <w:t xml:space="preserve"> arm, the ESC</w:t>
      </w:r>
      <w:r w:rsidR="001B4781" w:rsidRPr="00786D0E">
        <w:t>s</w:t>
      </w:r>
      <w:r w:rsidRPr="00786D0E">
        <w:t xml:space="preserve"> noted that the submission extrapolated PFS and OS from Hanna et al. 2004 from 20 months to 10 years using exponential distribution. Further, the extrapolated survival curves were not externally validated. The ESC</w:t>
      </w:r>
      <w:r w:rsidR="001B4781" w:rsidRPr="00786D0E">
        <w:t>s</w:t>
      </w:r>
      <w:r w:rsidRPr="00786D0E">
        <w:t xml:space="preserve"> considered that improvements in clinical practice since Hanna et al. 2004 was conducted would have resulted in improvements in NSCLC survival in the chemotherapy arm.</w:t>
      </w:r>
    </w:p>
    <w:p w:rsidR="00AC59CA" w:rsidRPr="00786D0E" w:rsidRDefault="00AC59CA" w:rsidP="000D39E9">
      <w:pPr>
        <w:pStyle w:val="ListParagraph"/>
        <w:numPr>
          <w:ilvl w:val="1"/>
          <w:numId w:val="2"/>
        </w:numPr>
        <w:spacing w:before="0" w:after="120"/>
        <w:jc w:val="both"/>
      </w:pPr>
      <w:r w:rsidRPr="00786D0E">
        <w:t>The key driver of the model was the extrapolation of</w:t>
      </w:r>
      <w:r w:rsidR="002B1425" w:rsidRPr="00786D0E">
        <w:t xml:space="preserve"> </w:t>
      </w:r>
      <w:proofErr w:type="spellStart"/>
      <w:r w:rsidR="002B1425" w:rsidRPr="00786D0E">
        <w:t>crizotinib</w:t>
      </w:r>
      <w:proofErr w:type="spellEnd"/>
      <w:r w:rsidR="002B1425" w:rsidRPr="00786D0E">
        <w:t xml:space="preserve"> outcomes and the 10-</w:t>
      </w:r>
      <w:r w:rsidRPr="00786D0E">
        <w:t xml:space="preserve">year time horizon. The submission estimated that, at five years (60.7 months), 35% of patients treated with </w:t>
      </w:r>
      <w:proofErr w:type="spellStart"/>
      <w:r w:rsidRPr="00786D0E">
        <w:t>crizotinib</w:t>
      </w:r>
      <w:proofErr w:type="spellEnd"/>
      <w:r w:rsidRPr="00786D0E">
        <w:t xml:space="preserve"> would be alive and 9% would be progression free. This was not supported by post-progression survival data from </w:t>
      </w:r>
      <w:proofErr w:type="spellStart"/>
      <w:r w:rsidRPr="00786D0E">
        <w:t>crizotinib</w:t>
      </w:r>
      <w:proofErr w:type="spellEnd"/>
      <w:r w:rsidRPr="00786D0E">
        <w:t xml:space="preserve"> studies involving the </w:t>
      </w:r>
      <w:r w:rsidR="00420D95" w:rsidRPr="00786D0E">
        <w:rPr>
          <w:i/>
        </w:rPr>
        <w:t>ALK</w:t>
      </w:r>
      <w:r w:rsidRPr="00786D0E">
        <w:t xml:space="preserve"> biomarker. A Canadian observational study (</w:t>
      </w:r>
      <w:proofErr w:type="spellStart"/>
      <w:r w:rsidRPr="00786D0E">
        <w:t>Kayaniyil</w:t>
      </w:r>
      <w:proofErr w:type="spellEnd"/>
      <w:r w:rsidRPr="00786D0E">
        <w:t xml:space="preserve"> et al., 2016) of 49 </w:t>
      </w:r>
      <w:r w:rsidR="00420D95" w:rsidRPr="00786D0E">
        <w:rPr>
          <w:i/>
        </w:rPr>
        <w:t>ALK</w:t>
      </w:r>
      <w:r w:rsidRPr="00786D0E">
        <w:t xml:space="preserve">-positive patients treated with </w:t>
      </w:r>
      <w:proofErr w:type="spellStart"/>
      <w:r w:rsidRPr="00786D0E">
        <w:t>crizotinib</w:t>
      </w:r>
      <w:proofErr w:type="spellEnd"/>
      <w:r w:rsidRPr="00786D0E">
        <w:t xml:space="preserve"> reported 0% one</w:t>
      </w:r>
      <w:r w:rsidR="002B1425" w:rsidRPr="00786D0E">
        <w:t>-</w:t>
      </w:r>
      <w:r w:rsidRPr="00786D0E">
        <w:t xml:space="preserve">year survival after </w:t>
      </w:r>
      <w:proofErr w:type="spellStart"/>
      <w:r w:rsidRPr="00786D0E">
        <w:t>crizotinib</w:t>
      </w:r>
      <w:proofErr w:type="spellEnd"/>
      <w:r w:rsidRPr="00786D0E">
        <w:t xml:space="preserve"> discontinuation for patients who did not use </w:t>
      </w:r>
      <w:proofErr w:type="spellStart"/>
      <w:r w:rsidRPr="00786D0E">
        <w:t>ceritinib</w:t>
      </w:r>
      <w:proofErr w:type="spellEnd"/>
      <w:r w:rsidRPr="00786D0E">
        <w:t xml:space="preserve"> (another </w:t>
      </w:r>
      <w:r w:rsidR="00420D95" w:rsidRPr="00786D0E">
        <w:rPr>
          <w:i/>
        </w:rPr>
        <w:t>ALK</w:t>
      </w:r>
      <w:r w:rsidRPr="00786D0E">
        <w:t xml:space="preserve"> inhibitor).</w:t>
      </w:r>
    </w:p>
    <w:p w:rsidR="00AC59CA" w:rsidRPr="00786D0E" w:rsidRDefault="00AC59CA" w:rsidP="000D39E9">
      <w:pPr>
        <w:pStyle w:val="ListParagraph"/>
        <w:numPr>
          <w:ilvl w:val="1"/>
          <w:numId w:val="2"/>
        </w:numPr>
        <w:spacing w:before="0" w:after="120"/>
        <w:jc w:val="both"/>
      </w:pPr>
      <w:r w:rsidRPr="00786D0E">
        <w:t>Table 9 presents the results of the economic evaluation.</w:t>
      </w:r>
    </w:p>
    <w:p w:rsidR="00AC59CA" w:rsidRPr="00786D0E" w:rsidRDefault="00AC59CA" w:rsidP="00AC59CA">
      <w:pPr>
        <w:pStyle w:val="TableHeading0"/>
        <w:jc w:val="both"/>
      </w:pPr>
      <w:r w:rsidRPr="00786D0E">
        <w:t xml:space="preserve">Table 9: Results of the economic evaluation </w:t>
      </w:r>
      <w:r w:rsidRPr="00786D0E">
        <w:rPr>
          <w:rFonts w:eastAsia="Times New Roman" w:cs="Arial"/>
          <w:snapToGrid w:val="0"/>
          <w:sz w:val="18"/>
          <w:szCs w:val="20"/>
        </w:rPr>
        <w:t xml:space="preserve">(per patient undergoing </w:t>
      </w:r>
      <w:r w:rsidR="00420D95" w:rsidRPr="00786D0E">
        <w:rPr>
          <w:rFonts w:eastAsia="Times New Roman" w:cs="Arial"/>
          <w:i/>
          <w:snapToGrid w:val="0"/>
          <w:sz w:val="18"/>
          <w:szCs w:val="20"/>
        </w:rPr>
        <w:t>ROS1</w:t>
      </w:r>
      <w:r w:rsidRPr="00786D0E">
        <w:rPr>
          <w:rFonts w:eastAsia="Times New Roman" w:cs="Arial"/>
          <w:snapToGrid w:val="0"/>
          <w:sz w:val="18"/>
          <w:szCs w:val="20"/>
        </w:rPr>
        <w:t xml:space="preserve"> IHC testing)</w:t>
      </w:r>
    </w:p>
    <w:tbl>
      <w:tblPr>
        <w:tblW w:w="498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72"/>
        <w:gridCol w:w="1134"/>
        <w:gridCol w:w="1135"/>
        <w:gridCol w:w="1114"/>
      </w:tblGrid>
      <w:tr w:rsidR="00AC59CA" w:rsidRPr="00786D0E" w:rsidTr="001F354C">
        <w:tc>
          <w:tcPr>
            <w:tcW w:w="3132" w:type="pct"/>
            <w:vAlign w:val="center"/>
          </w:tcPr>
          <w:p w:rsidR="00AC59CA" w:rsidRPr="00786D0E" w:rsidRDefault="00AC59CA" w:rsidP="001F354C">
            <w:pPr>
              <w:keepNext/>
              <w:spacing w:before="40" w:after="40"/>
              <w:jc w:val="both"/>
              <w:rPr>
                <w:rFonts w:ascii="Arial Narrow" w:hAnsi="Arial Narrow"/>
                <w:b/>
                <w:sz w:val="20"/>
              </w:rPr>
            </w:pPr>
            <w:r w:rsidRPr="00786D0E">
              <w:rPr>
                <w:rFonts w:ascii="Arial Narrow" w:hAnsi="Arial Narrow"/>
                <w:b/>
                <w:sz w:val="20"/>
              </w:rPr>
              <w:t>Component</w:t>
            </w:r>
          </w:p>
        </w:tc>
        <w:tc>
          <w:tcPr>
            <w:tcW w:w="626" w:type="pct"/>
            <w:vAlign w:val="center"/>
          </w:tcPr>
          <w:p w:rsidR="00AC59CA" w:rsidRPr="00786D0E" w:rsidRDefault="00AC59CA" w:rsidP="001F354C">
            <w:pPr>
              <w:keepNext/>
              <w:spacing w:before="40" w:after="40"/>
              <w:jc w:val="center"/>
              <w:rPr>
                <w:rFonts w:ascii="Arial Narrow" w:hAnsi="Arial Narrow"/>
                <w:b/>
                <w:sz w:val="20"/>
              </w:rPr>
            </w:pPr>
            <w:proofErr w:type="spellStart"/>
            <w:r w:rsidRPr="00786D0E">
              <w:rPr>
                <w:rFonts w:ascii="Arial Narrow" w:hAnsi="Arial Narrow"/>
                <w:b/>
                <w:sz w:val="20"/>
              </w:rPr>
              <w:t>Crizotinib</w:t>
            </w:r>
            <w:proofErr w:type="spellEnd"/>
          </w:p>
        </w:tc>
        <w:tc>
          <w:tcPr>
            <w:tcW w:w="627" w:type="pct"/>
            <w:vAlign w:val="center"/>
          </w:tcPr>
          <w:p w:rsidR="00AC59CA" w:rsidRPr="00786D0E" w:rsidRDefault="00AC59CA" w:rsidP="001F354C">
            <w:pPr>
              <w:keepNext/>
              <w:spacing w:before="40" w:after="40"/>
              <w:jc w:val="center"/>
              <w:rPr>
                <w:rFonts w:ascii="Arial Narrow" w:hAnsi="Arial Narrow"/>
                <w:b/>
                <w:sz w:val="20"/>
              </w:rPr>
            </w:pPr>
            <w:proofErr w:type="spellStart"/>
            <w:r w:rsidRPr="00786D0E">
              <w:rPr>
                <w:rFonts w:ascii="Arial Narrow" w:hAnsi="Arial Narrow"/>
                <w:b/>
                <w:sz w:val="20"/>
              </w:rPr>
              <w:t>Pemetrexed</w:t>
            </w:r>
            <w:proofErr w:type="spellEnd"/>
          </w:p>
        </w:tc>
        <w:tc>
          <w:tcPr>
            <w:tcW w:w="616" w:type="pct"/>
            <w:vAlign w:val="center"/>
          </w:tcPr>
          <w:p w:rsidR="00AC59CA" w:rsidRPr="00786D0E" w:rsidRDefault="00AC59CA" w:rsidP="001F354C">
            <w:pPr>
              <w:keepNext/>
              <w:spacing w:before="40" w:after="40"/>
              <w:jc w:val="center"/>
              <w:rPr>
                <w:rFonts w:ascii="Arial Narrow" w:hAnsi="Arial Narrow"/>
                <w:b/>
                <w:sz w:val="20"/>
              </w:rPr>
            </w:pPr>
            <w:r w:rsidRPr="00786D0E">
              <w:rPr>
                <w:rFonts w:ascii="Arial Narrow" w:hAnsi="Arial Narrow"/>
                <w:b/>
                <w:sz w:val="20"/>
              </w:rPr>
              <w:t>Increment</w:t>
            </w:r>
          </w:p>
        </w:tc>
      </w:tr>
      <w:tr w:rsidR="00AC59CA" w:rsidRPr="00786D0E" w:rsidTr="001F354C">
        <w:tc>
          <w:tcPr>
            <w:tcW w:w="3132" w:type="pct"/>
            <w:vAlign w:val="center"/>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Costs</w:t>
            </w:r>
          </w:p>
        </w:tc>
        <w:tc>
          <w:tcPr>
            <w:tcW w:w="626" w:type="pct"/>
            <w:vAlign w:val="center"/>
          </w:tcPr>
          <w:p w:rsidR="00AC59CA" w:rsidRPr="00786D0E" w:rsidRDefault="00AC59CA" w:rsidP="001F354C">
            <w:pPr>
              <w:keepNext/>
              <w:spacing w:before="40" w:after="40"/>
              <w:jc w:val="center"/>
              <w:rPr>
                <w:rFonts w:ascii="Times" w:eastAsia="Times New Roman" w:hAnsi="Times" w:cs="Times New Roman"/>
                <w:sz w:val="20"/>
              </w:rPr>
            </w:pPr>
            <w:r w:rsidRPr="00786D0E">
              <w:rPr>
                <w:rFonts w:ascii="Arial Narrow" w:hAnsi="Arial Narrow"/>
                <w:sz w:val="20"/>
              </w:rPr>
              <w:t>$</w:t>
            </w:r>
            <w:r w:rsidR="001144C3">
              <w:rPr>
                <w:rFonts w:ascii="Arial Narrow" w:hAnsi="Arial Narrow"/>
                <w:noProof/>
                <w:color w:val="000000"/>
                <w:sz w:val="20"/>
                <w:highlight w:val="black"/>
              </w:rPr>
              <w:t>'''''''''''''''</w:t>
            </w:r>
          </w:p>
        </w:tc>
        <w:tc>
          <w:tcPr>
            <w:tcW w:w="627" w:type="pct"/>
            <w:vAlign w:val="center"/>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w:t>
            </w:r>
            <w:r w:rsidR="001144C3">
              <w:rPr>
                <w:rFonts w:ascii="Arial Narrow" w:hAnsi="Arial Narrow"/>
                <w:noProof/>
                <w:color w:val="000000"/>
                <w:sz w:val="20"/>
                <w:highlight w:val="black"/>
              </w:rPr>
              <w:t>''''''''''''''''</w:t>
            </w:r>
          </w:p>
        </w:tc>
        <w:tc>
          <w:tcPr>
            <w:tcW w:w="616" w:type="pct"/>
            <w:vAlign w:val="center"/>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w:t>
            </w:r>
            <w:r w:rsidR="001144C3">
              <w:rPr>
                <w:rFonts w:ascii="Arial Narrow" w:hAnsi="Arial Narrow"/>
                <w:noProof/>
                <w:color w:val="000000"/>
                <w:sz w:val="20"/>
                <w:highlight w:val="black"/>
              </w:rPr>
              <w:t>'''''''''''''''</w:t>
            </w:r>
          </w:p>
        </w:tc>
      </w:tr>
      <w:tr w:rsidR="00AC59CA" w:rsidRPr="00786D0E" w:rsidTr="001F354C">
        <w:tc>
          <w:tcPr>
            <w:tcW w:w="3132" w:type="pct"/>
            <w:vAlign w:val="center"/>
          </w:tcPr>
          <w:p w:rsidR="00AC59CA" w:rsidRPr="00786D0E" w:rsidRDefault="00AC59CA" w:rsidP="001F354C">
            <w:pPr>
              <w:keepNext/>
              <w:spacing w:before="40" w:after="40"/>
              <w:jc w:val="both"/>
              <w:rPr>
                <w:rFonts w:ascii="Times" w:eastAsia="Times New Roman" w:hAnsi="Times" w:cs="Times New Roman"/>
                <w:sz w:val="20"/>
              </w:rPr>
            </w:pPr>
            <w:r w:rsidRPr="00786D0E">
              <w:rPr>
                <w:rFonts w:ascii="Arial Narrow" w:hAnsi="Arial Narrow"/>
                <w:sz w:val="20"/>
              </w:rPr>
              <w:t>QALYs</w:t>
            </w:r>
          </w:p>
        </w:tc>
        <w:tc>
          <w:tcPr>
            <w:tcW w:w="626" w:type="pct"/>
            <w:vAlign w:val="center"/>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0.58</w:t>
            </w:r>
          </w:p>
        </w:tc>
        <w:tc>
          <w:tcPr>
            <w:tcW w:w="627" w:type="pct"/>
            <w:vAlign w:val="center"/>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0.54</w:t>
            </w:r>
          </w:p>
        </w:tc>
        <w:tc>
          <w:tcPr>
            <w:tcW w:w="616" w:type="pct"/>
            <w:vAlign w:val="center"/>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0.03</w:t>
            </w:r>
          </w:p>
        </w:tc>
      </w:tr>
      <w:tr w:rsidR="00AC59CA" w:rsidRPr="00786D0E" w:rsidTr="001F354C">
        <w:tc>
          <w:tcPr>
            <w:tcW w:w="4384" w:type="pct"/>
            <w:gridSpan w:val="3"/>
            <w:vAlign w:val="center"/>
          </w:tcPr>
          <w:p w:rsidR="00AC59CA" w:rsidRPr="00786D0E" w:rsidRDefault="00AC59CA" w:rsidP="001F354C">
            <w:pPr>
              <w:keepNext/>
              <w:spacing w:before="40" w:after="40"/>
              <w:jc w:val="both"/>
              <w:rPr>
                <w:rFonts w:ascii="Times" w:eastAsia="Times New Roman" w:hAnsi="Times" w:cs="Times New Roman"/>
                <w:sz w:val="20"/>
              </w:rPr>
            </w:pPr>
            <w:r w:rsidRPr="00786D0E">
              <w:rPr>
                <w:rFonts w:ascii="Arial Narrow" w:hAnsi="Arial Narrow"/>
                <w:sz w:val="20"/>
              </w:rPr>
              <w:t>Incremental cost/extra QALY gained</w:t>
            </w:r>
          </w:p>
        </w:tc>
        <w:tc>
          <w:tcPr>
            <w:tcW w:w="616" w:type="pct"/>
            <w:vAlign w:val="center"/>
          </w:tcPr>
          <w:p w:rsidR="00AC59CA" w:rsidRPr="00786D0E" w:rsidRDefault="00AC59CA" w:rsidP="001F354C">
            <w:pPr>
              <w:spacing w:before="0" w:after="0"/>
              <w:jc w:val="center"/>
              <w:rPr>
                <w:rFonts w:ascii="Arial Narrow" w:hAnsi="Arial Narrow"/>
                <w:sz w:val="20"/>
              </w:rPr>
            </w:pPr>
            <w:r w:rsidRPr="00786D0E">
              <w:rPr>
                <w:rFonts w:ascii="Arial Narrow" w:eastAsia="Times New Roman" w:hAnsi="Arial Narrow" w:cs="Times New Roman"/>
                <w:sz w:val="20"/>
                <w:szCs w:val="20"/>
              </w:rPr>
              <w:t>$</w:t>
            </w:r>
            <w:r w:rsidR="001144C3">
              <w:rPr>
                <w:rFonts w:ascii="Arial Narrow" w:eastAsia="Times New Roman" w:hAnsi="Arial Narrow" w:cs="Times New Roman"/>
                <w:noProof/>
                <w:color w:val="000000"/>
                <w:sz w:val="20"/>
                <w:szCs w:val="20"/>
                <w:highlight w:val="black"/>
              </w:rPr>
              <w:t>''''''''''''''''</w:t>
            </w:r>
          </w:p>
        </w:tc>
      </w:tr>
    </w:tbl>
    <w:p w:rsidR="00AC59CA" w:rsidRPr="00786D0E" w:rsidRDefault="00AC59CA" w:rsidP="00AC59CA">
      <w:pPr>
        <w:widowControl w:val="0"/>
        <w:spacing w:before="0" w:after="120"/>
        <w:contextualSpacing/>
        <w:jc w:val="both"/>
        <w:rPr>
          <w:rFonts w:ascii="Arial Narrow" w:eastAsia="Times New Roman" w:hAnsi="Arial Narrow" w:cs="Arial"/>
          <w:snapToGrid w:val="0"/>
          <w:sz w:val="18"/>
          <w:szCs w:val="20"/>
        </w:rPr>
      </w:pPr>
      <w:r w:rsidRPr="00786D0E">
        <w:rPr>
          <w:rFonts w:ascii="Arial Narrow" w:eastAsia="Times New Roman" w:hAnsi="Arial Narrow" w:cs="Arial"/>
          <w:snapToGrid w:val="0"/>
          <w:sz w:val="18"/>
          <w:szCs w:val="20"/>
        </w:rPr>
        <w:t>Source: Table 3.8.1, p227 of the submission</w:t>
      </w:r>
    </w:p>
    <w:p w:rsidR="00AC59CA" w:rsidRPr="00786D0E" w:rsidRDefault="00AC59CA" w:rsidP="00AC59CA">
      <w:pPr>
        <w:widowControl w:val="0"/>
        <w:spacing w:before="0" w:after="120"/>
        <w:contextualSpacing/>
        <w:jc w:val="both"/>
        <w:rPr>
          <w:rFonts w:ascii="Arial Narrow" w:eastAsia="Times New Roman" w:hAnsi="Arial Narrow" w:cs="Arial"/>
          <w:snapToGrid w:val="0"/>
          <w:sz w:val="18"/>
          <w:szCs w:val="20"/>
        </w:rPr>
      </w:pPr>
      <w:r w:rsidRPr="00786D0E">
        <w:rPr>
          <w:rFonts w:ascii="Arial Narrow" w:eastAsia="Times New Roman" w:hAnsi="Arial Narrow" w:cs="Arial"/>
          <w:snapToGrid w:val="0"/>
          <w:sz w:val="18"/>
          <w:szCs w:val="20"/>
        </w:rPr>
        <w:t xml:space="preserve">IHC = immunohistochemistry; QALY = quality-adjusted life year; </w:t>
      </w:r>
      <w:r w:rsidR="00420D95" w:rsidRPr="00786D0E">
        <w:rPr>
          <w:rFonts w:ascii="Arial Narrow" w:eastAsia="Times New Roman" w:hAnsi="Arial Narrow" w:cs="Arial"/>
          <w:i/>
          <w:snapToGrid w:val="0"/>
          <w:sz w:val="18"/>
          <w:szCs w:val="20"/>
        </w:rPr>
        <w:t>ROS1</w:t>
      </w:r>
      <w:r w:rsidRPr="00786D0E">
        <w:rPr>
          <w:rFonts w:ascii="Arial Narrow" w:eastAsia="Times New Roman" w:hAnsi="Arial Narrow" w:cs="Arial"/>
          <w:snapToGrid w:val="0"/>
          <w:sz w:val="18"/>
          <w:szCs w:val="20"/>
        </w:rPr>
        <w:t xml:space="preserve"> = </w:t>
      </w:r>
      <w:r w:rsidRPr="00786D0E">
        <w:rPr>
          <w:rFonts w:ascii="Arial Narrow" w:eastAsia="Times New Roman" w:hAnsi="Arial Narrow" w:cs="Arial"/>
          <w:i/>
          <w:snapToGrid w:val="0"/>
          <w:sz w:val="18"/>
          <w:szCs w:val="20"/>
        </w:rPr>
        <w:t>ROS</w:t>
      </w:r>
      <w:r w:rsidRPr="00786D0E">
        <w:rPr>
          <w:rFonts w:ascii="Arial Narrow" w:eastAsia="Times New Roman" w:hAnsi="Arial Narrow" w:cs="Arial"/>
          <w:snapToGrid w:val="0"/>
          <w:sz w:val="18"/>
          <w:szCs w:val="20"/>
        </w:rPr>
        <w:t xml:space="preserve"> proto-oncogene 1</w:t>
      </w:r>
    </w:p>
    <w:p w:rsidR="00AC59CA" w:rsidRPr="00786D0E" w:rsidRDefault="00AC59CA" w:rsidP="000D39E9">
      <w:pPr>
        <w:pStyle w:val="ListParagraph"/>
        <w:numPr>
          <w:ilvl w:val="1"/>
          <w:numId w:val="2"/>
        </w:numPr>
        <w:spacing w:before="0" w:after="120"/>
        <w:jc w:val="both"/>
      </w:pPr>
      <w:r w:rsidRPr="00786D0E">
        <w:t xml:space="preserve">The ICER of </w:t>
      </w:r>
      <w:r w:rsidR="006C6A16">
        <w:t>QALY$45,000/QALY - $75,000/QALY</w:t>
      </w:r>
      <w:r w:rsidRPr="00786D0E">
        <w:t xml:space="preserve"> from the economic model was likely overestimated because:</w:t>
      </w:r>
    </w:p>
    <w:p w:rsidR="00AC59CA" w:rsidRPr="00786D0E" w:rsidRDefault="00AC59CA" w:rsidP="00C37FB2">
      <w:pPr>
        <w:pStyle w:val="ListParagraph"/>
        <w:numPr>
          <w:ilvl w:val="0"/>
          <w:numId w:val="14"/>
        </w:numPr>
        <w:spacing w:before="0" w:after="120"/>
        <w:ind w:left="1134"/>
        <w:jc w:val="both"/>
      </w:pPr>
      <w:proofErr w:type="gramStart"/>
      <w:r w:rsidRPr="00786D0E">
        <w:t>the</w:t>
      </w:r>
      <w:proofErr w:type="gramEnd"/>
      <w:r w:rsidRPr="00786D0E">
        <w:t xml:space="preserve"> extrapolated PFS and OS for </w:t>
      </w:r>
      <w:proofErr w:type="spellStart"/>
      <w:r w:rsidRPr="00786D0E">
        <w:t>crizotinib</w:t>
      </w:r>
      <w:proofErr w:type="spellEnd"/>
      <w:r w:rsidRPr="00786D0E">
        <w:t xml:space="preserve"> </w:t>
      </w:r>
      <w:r w:rsidR="00EF7F1F" w:rsidRPr="00786D0E">
        <w:t>were</w:t>
      </w:r>
      <w:r w:rsidRPr="00786D0E">
        <w:t xml:space="preserve"> overestimated because substantial post-progression survival was assumed</w:t>
      </w:r>
      <w:r w:rsidR="00FC5883" w:rsidRPr="00786D0E">
        <w:t>. The PSCR (p4) argued that</w:t>
      </w:r>
      <w:r w:rsidR="00133B8B" w:rsidRPr="00786D0E">
        <w:t>,</w:t>
      </w:r>
      <w:r w:rsidR="00FC5883" w:rsidRPr="00786D0E">
        <w:t xml:space="preserve"> even in the absence of a formal analysis of post-progression survival time, it </w:t>
      </w:r>
      <w:r w:rsidR="002B1425" w:rsidRPr="00786D0E">
        <w:t>wa</w:t>
      </w:r>
      <w:r w:rsidR="00FC5883" w:rsidRPr="00786D0E">
        <w:t xml:space="preserve">s clear from reviewing of the reported outcomes of study OO12-01 that the majority of patients treated with </w:t>
      </w:r>
      <w:proofErr w:type="spellStart"/>
      <w:r w:rsidR="00FC5883" w:rsidRPr="00786D0E">
        <w:t>crizotinib</w:t>
      </w:r>
      <w:proofErr w:type="spellEnd"/>
      <w:r w:rsidR="00FC5883" w:rsidRPr="00786D0E">
        <w:t xml:space="preserve"> must have experienced post-progression survival of over </w:t>
      </w:r>
      <w:r w:rsidR="001144C3">
        <w:rPr>
          <w:noProof/>
          <w:color w:val="000000"/>
          <w:highlight w:val="black"/>
        </w:rPr>
        <w:t>'''''</w:t>
      </w:r>
      <w:r w:rsidR="00FC5883" w:rsidRPr="00786D0E">
        <w:t xml:space="preserve"> months, since the median PFS was </w:t>
      </w:r>
      <w:r w:rsidR="001144C3">
        <w:rPr>
          <w:noProof/>
          <w:color w:val="000000"/>
          <w:highlight w:val="black"/>
        </w:rPr>
        <w:t xml:space="preserve">''''''''' </w:t>
      </w:r>
      <w:r w:rsidR="00FC5883" w:rsidRPr="001A6093">
        <w:t>months</w:t>
      </w:r>
      <w:r w:rsidR="00FC5883" w:rsidRPr="00786D0E">
        <w:t xml:space="preserve"> (95% CI: </w:t>
      </w:r>
      <w:r w:rsidR="001144C3">
        <w:rPr>
          <w:noProof/>
          <w:color w:val="000000"/>
          <w:highlight w:val="black"/>
        </w:rPr>
        <w:t>'''''''''' ''''''''</w:t>
      </w:r>
      <w:r w:rsidR="00FC5883" w:rsidRPr="00786D0E">
        <w:t xml:space="preserve">) and the lower bound of the confidence interval for median overall survival was </w:t>
      </w:r>
      <w:r w:rsidR="001144C3">
        <w:rPr>
          <w:noProof/>
          <w:color w:val="000000"/>
          <w:highlight w:val="black"/>
        </w:rPr>
        <w:t>'''''''''</w:t>
      </w:r>
      <w:r w:rsidR="00FC5883" w:rsidRPr="00786D0E">
        <w:t xml:space="preserve"> months (95% CI: </w:t>
      </w:r>
      <w:r w:rsidR="001144C3">
        <w:rPr>
          <w:noProof/>
          <w:color w:val="000000"/>
          <w:highlight w:val="black"/>
        </w:rPr>
        <w:t>'''''''''' ''''''</w:t>
      </w:r>
      <w:r w:rsidR="00FC5883" w:rsidRPr="00786D0E">
        <w:t>)</w:t>
      </w:r>
      <w:r w:rsidRPr="00786D0E">
        <w:t>;</w:t>
      </w:r>
    </w:p>
    <w:p w:rsidR="00AC59CA" w:rsidRPr="00786D0E" w:rsidRDefault="00AC59CA" w:rsidP="00C37FB2">
      <w:pPr>
        <w:pStyle w:val="ListParagraph"/>
        <w:numPr>
          <w:ilvl w:val="0"/>
          <w:numId w:val="14"/>
        </w:numPr>
        <w:spacing w:before="0" w:after="120"/>
        <w:ind w:left="1134"/>
        <w:jc w:val="both"/>
      </w:pPr>
      <w:r w:rsidRPr="00786D0E">
        <w:t xml:space="preserve">the </w:t>
      </w:r>
      <w:proofErr w:type="spellStart"/>
      <w:r w:rsidRPr="00786D0E">
        <w:t>crizotinib</w:t>
      </w:r>
      <w:proofErr w:type="spellEnd"/>
      <w:r w:rsidRPr="00786D0E">
        <w:t xml:space="preserve"> studies overestimated the likely survival gain in the PBS population because it included patients with better prognostic factors (performance status of 0 or 1, younger age,</w:t>
      </w:r>
      <w:r w:rsidR="00C37FB2" w:rsidRPr="00786D0E">
        <w:t xml:space="preserve"> and East Asian ethnicity); and</w:t>
      </w:r>
    </w:p>
    <w:p w:rsidR="00E445A6" w:rsidRPr="00786D0E" w:rsidRDefault="00AC59CA" w:rsidP="00C37FB2">
      <w:pPr>
        <w:pStyle w:val="ListParagraph"/>
        <w:numPr>
          <w:ilvl w:val="0"/>
          <w:numId w:val="14"/>
        </w:numPr>
        <w:spacing w:before="0" w:after="120"/>
        <w:ind w:left="1134"/>
        <w:jc w:val="both"/>
      </w:pPr>
      <w:proofErr w:type="gramStart"/>
      <w:r w:rsidRPr="00786D0E">
        <w:t>the</w:t>
      </w:r>
      <w:proofErr w:type="gramEnd"/>
      <w:r w:rsidRPr="00786D0E">
        <w:t xml:space="preserve"> effectiveness of </w:t>
      </w:r>
      <w:proofErr w:type="spellStart"/>
      <w:r w:rsidRPr="00786D0E">
        <w:t>pemetrexed</w:t>
      </w:r>
      <w:proofErr w:type="spellEnd"/>
      <w:r w:rsidRPr="00786D0E">
        <w:t xml:space="preserve"> was underestimated due to the inclusion of patients with squamous NSCLC in the trial (worse outcomes with </w:t>
      </w:r>
      <w:proofErr w:type="spellStart"/>
      <w:r w:rsidRPr="00786D0E">
        <w:t>pemetrexed</w:t>
      </w:r>
      <w:proofErr w:type="spellEnd"/>
      <w:r w:rsidRPr="00786D0E">
        <w:t xml:space="preserve">) and the use of fewer </w:t>
      </w:r>
      <w:proofErr w:type="spellStart"/>
      <w:r w:rsidRPr="00786D0E">
        <w:t>pemetrexed</w:t>
      </w:r>
      <w:proofErr w:type="spellEnd"/>
      <w:r w:rsidRPr="00786D0E">
        <w:t xml:space="preserve"> cycles. </w:t>
      </w:r>
      <w:r w:rsidR="00E445A6" w:rsidRPr="00786D0E">
        <w:t xml:space="preserve">The PSCR (p6) presented additional sensitivity analyses that increased the progression-free survival and overall survival of </w:t>
      </w:r>
      <w:proofErr w:type="spellStart"/>
      <w:r w:rsidR="00E445A6" w:rsidRPr="00786D0E">
        <w:t>pemetrexed</w:t>
      </w:r>
      <w:proofErr w:type="spellEnd"/>
      <w:r w:rsidR="00E445A6" w:rsidRPr="00786D0E">
        <w:t xml:space="preserve"> by improvements of 10%, 20% and 30%. This resulted in ICERs of </w:t>
      </w:r>
      <w:r w:rsidR="006C6A16">
        <w:t>between $45,000 - $</w:t>
      </w:r>
      <w:proofErr w:type="gramStart"/>
      <w:r w:rsidR="006C6A16">
        <w:t>75,000/QALY</w:t>
      </w:r>
      <w:proofErr w:type="gramEnd"/>
      <w:r w:rsidR="00E445A6" w:rsidRPr="00786D0E">
        <w:t>.</w:t>
      </w:r>
    </w:p>
    <w:p w:rsidR="00B10838" w:rsidRPr="00786D0E" w:rsidRDefault="00077C71" w:rsidP="000D39E9">
      <w:pPr>
        <w:pStyle w:val="ListParagraph"/>
        <w:numPr>
          <w:ilvl w:val="1"/>
          <w:numId w:val="2"/>
        </w:numPr>
        <w:spacing w:before="0" w:after="120"/>
        <w:jc w:val="both"/>
      </w:pPr>
      <w:r w:rsidRPr="00786D0E">
        <w:lastRenderedPageBreak/>
        <w:t xml:space="preserve">The </w:t>
      </w:r>
      <w:r w:rsidR="00B10838" w:rsidRPr="00786D0E">
        <w:t>ESC</w:t>
      </w:r>
      <w:r w:rsidR="001B4781" w:rsidRPr="00786D0E">
        <w:t>s</w:t>
      </w:r>
      <w:r w:rsidR="00B10838" w:rsidRPr="00786D0E">
        <w:t xml:space="preserve"> considered that the use of historical data for the chemotherapy arm confounded the analysis; however, </w:t>
      </w:r>
      <w:r w:rsidR="001F3354" w:rsidRPr="00786D0E">
        <w:t xml:space="preserve">the ESCs </w:t>
      </w:r>
      <w:r w:rsidR="00133B8B" w:rsidRPr="00786D0E">
        <w:t>also</w:t>
      </w:r>
      <w:r w:rsidR="002B1425" w:rsidRPr="00786D0E">
        <w:t xml:space="preserve"> </w:t>
      </w:r>
      <w:r w:rsidR="00B10838" w:rsidRPr="00786D0E">
        <w:t>acknowledged that Hanna et al 2004 was the best available dataset for estimating survival with chemotherapy treatment in this small patient population</w:t>
      </w:r>
      <w:r w:rsidR="004B2379" w:rsidRPr="00786D0E">
        <w:t>.</w:t>
      </w:r>
    </w:p>
    <w:p w:rsidR="00077C71" w:rsidRPr="00786D0E" w:rsidRDefault="00B10838" w:rsidP="000D39E9">
      <w:pPr>
        <w:pStyle w:val="ListParagraph"/>
        <w:numPr>
          <w:ilvl w:val="1"/>
          <w:numId w:val="2"/>
        </w:numPr>
        <w:spacing w:before="0" w:after="120"/>
        <w:jc w:val="both"/>
      </w:pPr>
      <w:r w:rsidRPr="00786D0E">
        <w:t xml:space="preserve">Overall, the </w:t>
      </w:r>
      <w:r w:rsidR="00077C71" w:rsidRPr="00786D0E">
        <w:t>ESC</w:t>
      </w:r>
      <w:r w:rsidR="001B4781" w:rsidRPr="00786D0E">
        <w:t>s</w:t>
      </w:r>
      <w:r w:rsidR="00077C71" w:rsidRPr="00786D0E">
        <w:t xml:space="preserve"> considered that the economic evaluation was informed by a naïve </w:t>
      </w:r>
      <w:r w:rsidR="00133B8B" w:rsidRPr="00786D0E">
        <w:t xml:space="preserve">clinical </w:t>
      </w:r>
      <w:r w:rsidR="00077C71" w:rsidRPr="00786D0E">
        <w:t xml:space="preserve">comparison that likely overestimated the effectiveness of </w:t>
      </w:r>
      <w:proofErr w:type="spellStart"/>
      <w:r w:rsidR="00077C71" w:rsidRPr="00786D0E">
        <w:t>crizotinib</w:t>
      </w:r>
      <w:proofErr w:type="spellEnd"/>
      <w:r w:rsidR="00077C71" w:rsidRPr="00786D0E">
        <w:t xml:space="preserve"> and underestimated the effectiveness of </w:t>
      </w:r>
      <w:proofErr w:type="spellStart"/>
      <w:r w:rsidR="00077C71" w:rsidRPr="00786D0E">
        <w:t>pemetrexed</w:t>
      </w:r>
      <w:proofErr w:type="spellEnd"/>
      <w:r w:rsidR="00077C71" w:rsidRPr="00786D0E">
        <w:t>.</w:t>
      </w:r>
      <w:r w:rsidR="00133B8B" w:rsidRPr="00786D0E">
        <w:t xml:space="preserve"> The extrapolated incremental effectiveness was therefore likely overestimated.</w:t>
      </w:r>
    </w:p>
    <w:p w:rsidR="00AC59CA" w:rsidRPr="00786D0E" w:rsidRDefault="00AC59CA" w:rsidP="000D39E9">
      <w:pPr>
        <w:pStyle w:val="ListParagraph"/>
        <w:numPr>
          <w:ilvl w:val="1"/>
          <w:numId w:val="2"/>
        </w:numPr>
        <w:spacing w:before="0" w:after="120"/>
        <w:jc w:val="both"/>
      </w:pPr>
      <w:r w:rsidRPr="00786D0E">
        <w:t>Table 10 presents the key sensitivity analy</w:t>
      </w:r>
      <w:r w:rsidR="009D60C8" w:rsidRPr="00786D0E">
        <w:t>ses of the economic evaluation.</w:t>
      </w:r>
    </w:p>
    <w:p w:rsidR="00AC59CA" w:rsidRPr="00786D0E" w:rsidRDefault="00AC59CA" w:rsidP="00AC59CA">
      <w:pPr>
        <w:keepNext/>
        <w:spacing w:before="0" w:after="60"/>
        <w:jc w:val="both"/>
        <w:rPr>
          <w:rFonts w:ascii="Arial Narrow" w:hAnsi="Arial Narrow"/>
          <w:b/>
          <w:sz w:val="20"/>
        </w:rPr>
      </w:pPr>
      <w:r w:rsidRPr="00786D0E">
        <w:rPr>
          <w:rFonts w:ascii="Arial Narrow" w:hAnsi="Arial Narrow"/>
          <w:b/>
          <w:sz w:val="20"/>
        </w:rPr>
        <w:t>Table 10: Results of univariate sensitivity analyses (per 10,000 patients tested)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115"/>
        <w:gridCol w:w="1143"/>
        <w:gridCol w:w="850"/>
        <w:gridCol w:w="974"/>
      </w:tblGrid>
      <w:tr w:rsidR="00AC59CA" w:rsidRPr="00786D0E" w:rsidTr="001F354C">
        <w:trPr>
          <w:cantSplit/>
          <w:tblHeader/>
        </w:trPr>
        <w:tc>
          <w:tcPr>
            <w:tcW w:w="3367"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both"/>
              <w:rPr>
                <w:rFonts w:ascii="Arial Narrow" w:hAnsi="Arial Narrow"/>
                <w:b/>
                <w:sz w:val="20"/>
              </w:rPr>
            </w:pPr>
            <w:r w:rsidRPr="00786D0E">
              <w:rPr>
                <w:rFonts w:ascii="Arial Narrow" w:hAnsi="Arial Narrow"/>
                <w:b/>
                <w:sz w:val="20"/>
              </w:rPr>
              <w:t>Univariate analyses</w:t>
            </w:r>
          </w:p>
        </w:tc>
        <w:tc>
          <w:tcPr>
            <w:tcW w:w="629"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center"/>
              <w:rPr>
                <w:rFonts w:ascii="Arial Narrow" w:hAnsi="Arial Narrow"/>
                <w:b/>
                <w:sz w:val="20"/>
                <w:vertAlign w:val="superscript"/>
              </w:rPr>
            </w:pPr>
            <w:r w:rsidRPr="00786D0E">
              <w:rPr>
                <w:rFonts w:ascii="Arial Narrow" w:hAnsi="Arial Narrow"/>
                <w:b/>
                <w:sz w:val="20"/>
              </w:rPr>
              <w:t>Δ costs</w:t>
            </w:r>
          </w:p>
        </w:tc>
        <w:tc>
          <w:tcPr>
            <w:tcW w:w="468"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center"/>
              <w:rPr>
                <w:rFonts w:ascii="Arial Narrow" w:hAnsi="Arial Narrow"/>
                <w:b/>
                <w:sz w:val="20"/>
              </w:rPr>
            </w:pPr>
            <w:r w:rsidRPr="00786D0E">
              <w:rPr>
                <w:rFonts w:ascii="Arial Narrow" w:hAnsi="Arial Narrow"/>
                <w:b/>
                <w:sz w:val="20"/>
              </w:rPr>
              <w:t>Δ QALYs</w:t>
            </w:r>
          </w:p>
        </w:tc>
        <w:tc>
          <w:tcPr>
            <w:tcW w:w="536"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center"/>
              <w:rPr>
                <w:rFonts w:ascii="Arial Narrow" w:hAnsi="Arial Narrow"/>
                <w:b/>
                <w:sz w:val="20"/>
              </w:rPr>
            </w:pPr>
            <w:r w:rsidRPr="00786D0E">
              <w:rPr>
                <w:rFonts w:ascii="Arial Narrow" w:hAnsi="Arial Narrow"/>
                <w:b/>
                <w:sz w:val="20"/>
              </w:rPr>
              <w:t>ICER</w:t>
            </w:r>
          </w:p>
        </w:tc>
      </w:tr>
      <w:tr w:rsidR="00AC59CA" w:rsidRPr="00786D0E" w:rsidTr="001F354C">
        <w:tc>
          <w:tcPr>
            <w:tcW w:w="3367"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both"/>
              <w:rPr>
                <w:rFonts w:ascii="Arial Narrow" w:hAnsi="Arial Narrow"/>
                <w:b/>
                <w:sz w:val="20"/>
              </w:rPr>
            </w:pPr>
            <w:r w:rsidRPr="00786D0E">
              <w:rPr>
                <w:rFonts w:ascii="Arial Narrow" w:hAnsi="Arial Narrow"/>
                <w:b/>
                <w:sz w:val="20"/>
              </w:rPr>
              <w:t>Base case</w:t>
            </w:r>
          </w:p>
        </w:tc>
        <w:tc>
          <w:tcPr>
            <w:tcW w:w="629"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center"/>
              <w:rPr>
                <w:rFonts w:ascii="Arial Narrow" w:hAnsi="Arial Narrow"/>
                <w:b/>
                <w:sz w:val="20"/>
              </w:rPr>
            </w:pPr>
            <w:r w:rsidRPr="00786D0E">
              <w:rPr>
                <w:rFonts w:ascii="Arial Narrow" w:hAnsi="Arial Narrow"/>
                <w:b/>
                <w:sz w:val="20"/>
              </w:rPr>
              <w:t>$</w:t>
            </w:r>
            <w:r w:rsidR="001144C3">
              <w:rPr>
                <w:rFonts w:ascii="Arial Narrow" w:hAnsi="Arial Narrow"/>
                <w:b/>
                <w:noProof/>
                <w:color w:val="000000"/>
                <w:sz w:val="20"/>
                <w:highlight w:val="black"/>
              </w:rPr>
              <w:t>'''''''''''''''''''''''</w:t>
            </w:r>
          </w:p>
        </w:tc>
        <w:tc>
          <w:tcPr>
            <w:tcW w:w="468"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center"/>
              <w:rPr>
                <w:rFonts w:ascii="Arial Narrow" w:hAnsi="Arial Narrow"/>
                <w:b/>
                <w:sz w:val="20"/>
              </w:rPr>
            </w:pPr>
            <w:r w:rsidRPr="00786D0E">
              <w:rPr>
                <w:rFonts w:ascii="Arial Narrow" w:hAnsi="Arial Narrow"/>
                <w:b/>
                <w:sz w:val="20"/>
              </w:rPr>
              <w:t>318</w:t>
            </w:r>
          </w:p>
        </w:tc>
        <w:tc>
          <w:tcPr>
            <w:tcW w:w="536"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center"/>
              <w:rPr>
                <w:rFonts w:ascii="Arial Narrow" w:hAnsi="Arial Narrow"/>
                <w:b/>
                <w:sz w:val="20"/>
              </w:rPr>
            </w:pPr>
            <w:r w:rsidRPr="00786D0E">
              <w:rPr>
                <w:rFonts w:ascii="Arial Narrow" w:hAnsi="Arial Narrow"/>
                <w:b/>
                <w:sz w:val="20"/>
              </w:rPr>
              <w:t>$</w:t>
            </w:r>
            <w:r w:rsidR="001144C3">
              <w:rPr>
                <w:rFonts w:ascii="Arial Narrow" w:hAnsi="Arial Narrow"/>
                <w:b/>
                <w:noProof/>
                <w:color w:val="000000"/>
                <w:sz w:val="20"/>
                <w:highlight w:val="black"/>
              </w:rPr>
              <w:t>''''''''''''</w:t>
            </w:r>
          </w:p>
        </w:tc>
      </w:tr>
      <w:tr w:rsidR="00AC59CA" w:rsidRPr="00786D0E" w:rsidTr="001F354C">
        <w:tc>
          <w:tcPr>
            <w:tcW w:w="3367" w:type="pct"/>
            <w:shd w:val="clear" w:color="auto" w:fill="auto"/>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 xml:space="preserve">Lower range of pooled prevalence of </w:t>
            </w:r>
            <w:r w:rsidR="00420D95" w:rsidRPr="00786D0E">
              <w:rPr>
                <w:rFonts w:ascii="Arial Narrow" w:hAnsi="Arial Narrow"/>
                <w:i/>
                <w:sz w:val="20"/>
              </w:rPr>
              <w:t>ROS1</w:t>
            </w:r>
            <w:r w:rsidRPr="00786D0E">
              <w:rPr>
                <w:rFonts w:ascii="Arial Narrow" w:hAnsi="Arial Narrow"/>
                <w:sz w:val="20"/>
              </w:rPr>
              <w:t xml:space="preserve"> positive = 0.4% (base case = 1.61%)</w:t>
            </w:r>
          </w:p>
        </w:tc>
        <w:tc>
          <w:tcPr>
            <w:tcW w:w="629"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w:t>
            </w:r>
            <w:r w:rsidR="001144C3">
              <w:rPr>
                <w:rFonts w:ascii="Arial Narrow" w:hAnsi="Arial Narrow"/>
                <w:noProof/>
                <w:color w:val="000000"/>
                <w:sz w:val="20"/>
                <w:highlight w:val="black"/>
              </w:rPr>
              <w:t>'''''''''''''''''''''''''</w:t>
            </w:r>
          </w:p>
        </w:tc>
        <w:tc>
          <w:tcPr>
            <w:tcW w:w="468"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79</w:t>
            </w:r>
          </w:p>
        </w:tc>
        <w:tc>
          <w:tcPr>
            <w:tcW w:w="536"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w:t>
            </w:r>
            <w:r w:rsidR="001144C3">
              <w:rPr>
                <w:rFonts w:ascii="Arial Narrow" w:hAnsi="Arial Narrow"/>
                <w:noProof/>
                <w:color w:val="000000"/>
                <w:sz w:val="20"/>
                <w:highlight w:val="black"/>
              </w:rPr>
              <w:t>''''''''''''''''</w:t>
            </w:r>
          </w:p>
        </w:tc>
      </w:tr>
      <w:tr w:rsidR="00AC59CA" w:rsidRPr="00786D0E" w:rsidTr="001F354C">
        <w:trPr>
          <w:trHeight w:val="318"/>
        </w:trPr>
        <w:tc>
          <w:tcPr>
            <w:tcW w:w="3367" w:type="pct"/>
            <w:tcBorders>
              <w:top w:val="single" w:sz="4" w:space="0" w:color="auto"/>
              <w:left w:val="single" w:sz="4" w:space="0" w:color="auto"/>
              <w:bottom w:val="nil"/>
              <w:right w:val="single" w:sz="4" w:space="0" w:color="auto"/>
            </w:tcBorders>
            <w:shd w:val="clear" w:color="auto" w:fill="auto"/>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Time horizon (base case = 10 years)</w:t>
            </w:r>
          </w:p>
        </w:tc>
        <w:tc>
          <w:tcPr>
            <w:tcW w:w="629" w:type="pct"/>
            <w:tcBorders>
              <w:top w:val="single" w:sz="4" w:space="0" w:color="auto"/>
              <w:left w:val="single" w:sz="4" w:space="0" w:color="auto"/>
              <w:bottom w:val="nil"/>
              <w:right w:val="single" w:sz="4" w:space="0" w:color="auto"/>
            </w:tcBorders>
            <w:vAlign w:val="center"/>
          </w:tcPr>
          <w:p w:rsidR="00AC59CA" w:rsidRPr="00786D0E" w:rsidRDefault="00AC59CA" w:rsidP="001F354C">
            <w:pPr>
              <w:keepNext/>
              <w:spacing w:before="40" w:after="40"/>
              <w:jc w:val="center"/>
              <w:rPr>
                <w:rFonts w:ascii="Arial Narrow" w:hAnsi="Arial Narrow"/>
                <w:sz w:val="20"/>
              </w:rPr>
            </w:pPr>
          </w:p>
        </w:tc>
        <w:tc>
          <w:tcPr>
            <w:tcW w:w="468" w:type="pct"/>
            <w:tcBorders>
              <w:top w:val="single" w:sz="4" w:space="0" w:color="auto"/>
              <w:left w:val="single" w:sz="4" w:space="0" w:color="auto"/>
              <w:bottom w:val="nil"/>
              <w:right w:val="single" w:sz="4" w:space="0" w:color="auto"/>
            </w:tcBorders>
            <w:vAlign w:val="center"/>
          </w:tcPr>
          <w:p w:rsidR="00AC59CA" w:rsidRPr="00786D0E" w:rsidRDefault="00AC59CA" w:rsidP="001F354C">
            <w:pPr>
              <w:keepNext/>
              <w:spacing w:before="40" w:after="40"/>
              <w:jc w:val="center"/>
              <w:rPr>
                <w:rFonts w:ascii="Arial Narrow" w:hAnsi="Arial Narrow"/>
                <w:sz w:val="20"/>
              </w:rPr>
            </w:pPr>
          </w:p>
        </w:tc>
        <w:tc>
          <w:tcPr>
            <w:tcW w:w="536" w:type="pct"/>
            <w:tcBorders>
              <w:top w:val="single" w:sz="4" w:space="0" w:color="auto"/>
              <w:left w:val="single" w:sz="4" w:space="0" w:color="auto"/>
              <w:bottom w:val="nil"/>
              <w:right w:val="single" w:sz="4" w:space="0" w:color="auto"/>
            </w:tcBorders>
            <w:shd w:val="clear" w:color="auto" w:fill="auto"/>
          </w:tcPr>
          <w:p w:rsidR="00AC59CA" w:rsidRPr="00786D0E" w:rsidRDefault="00AC59CA" w:rsidP="001F354C">
            <w:pPr>
              <w:keepNext/>
              <w:spacing w:before="40" w:after="40"/>
              <w:jc w:val="center"/>
              <w:rPr>
                <w:rFonts w:ascii="Arial Narrow" w:hAnsi="Arial Narrow"/>
                <w:sz w:val="20"/>
              </w:rPr>
            </w:pPr>
          </w:p>
        </w:tc>
      </w:tr>
      <w:tr w:rsidR="00AC59CA" w:rsidRPr="00786D0E" w:rsidTr="001F354C">
        <w:trPr>
          <w:trHeight w:val="244"/>
        </w:trPr>
        <w:tc>
          <w:tcPr>
            <w:tcW w:w="3367" w:type="pct"/>
            <w:tcBorders>
              <w:top w:val="nil"/>
              <w:left w:val="single" w:sz="4" w:space="0" w:color="auto"/>
              <w:bottom w:val="nil"/>
              <w:right w:val="single" w:sz="4" w:space="0" w:color="auto"/>
            </w:tcBorders>
            <w:shd w:val="clear" w:color="auto" w:fill="auto"/>
          </w:tcPr>
          <w:p w:rsidR="00AC59CA" w:rsidRPr="00786D0E" w:rsidRDefault="00AC59CA" w:rsidP="001F354C">
            <w:pPr>
              <w:keepNext/>
              <w:spacing w:before="40" w:after="40"/>
              <w:ind w:left="227"/>
              <w:jc w:val="both"/>
              <w:rPr>
                <w:rFonts w:ascii="Arial Narrow" w:hAnsi="Arial Narrow"/>
                <w:sz w:val="20"/>
              </w:rPr>
            </w:pPr>
            <w:r w:rsidRPr="00786D0E">
              <w:rPr>
                <w:rFonts w:ascii="Arial Narrow" w:hAnsi="Arial Narrow"/>
                <w:sz w:val="20"/>
              </w:rPr>
              <w:t>5.1 years (33 cycles)</w:t>
            </w:r>
          </w:p>
        </w:tc>
        <w:tc>
          <w:tcPr>
            <w:tcW w:w="629" w:type="pct"/>
            <w:tcBorders>
              <w:top w:val="nil"/>
              <w:left w:val="single" w:sz="4" w:space="0" w:color="auto"/>
              <w:bottom w:val="nil"/>
              <w:right w:val="single" w:sz="4" w:space="0" w:color="auto"/>
            </w:tcBorders>
            <w:vAlign w:val="center"/>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w:t>
            </w:r>
            <w:r w:rsidR="001144C3">
              <w:rPr>
                <w:rFonts w:ascii="Arial Narrow" w:hAnsi="Arial Narrow"/>
                <w:noProof/>
                <w:color w:val="000000"/>
                <w:sz w:val="20"/>
                <w:highlight w:val="black"/>
              </w:rPr>
              <w:t>''''''''''''''''''''''''</w:t>
            </w:r>
          </w:p>
        </w:tc>
        <w:tc>
          <w:tcPr>
            <w:tcW w:w="468" w:type="pct"/>
            <w:tcBorders>
              <w:top w:val="nil"/>
              <w:left w:val="single" w:sz="4" w:space="0" w:color="auto"/>
              <w:bottom w:val="nil"/>
              <w:right w:val="single" w:sz="4" w:space="0" w:color="auto"/>
            </w:tcBorders>
            <w:vAlign w:val="center"/>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241</w:t>
            </w:r>
          </w:p>
        </w:tc>
        <w:tc>
          <w:tcPr>
            <w:tcW w:w="536" w:type="pct"/>
            <w:tcBorders>
              <w:top w:val="nil"/>
              <w:left w:val="single" w:sz="4" w:space="0" w:color="auto"/>
              <w:bottom w:val="nil"/>
              <w:right w:val="single" w:sz="4" w:space="0" w:color="auto"/>
            </w:tcBorders>
            <w:shd w:val="clear" w:color="auto" w:fill="auto"/>
          </w:tcPr>
          <w:p w:rsidR="00AC59CA" w:rsidRPr="00786D0E" w:rsidRDefault="00AC59CA" w:rsidP="001F354C">
            <w:pPr>
              <w:keepNext/>
              <w:spacing w:before="40" w:after="40"/>
              <w:jc w:val="center"/>
              <w:rPr>
                <w:rFonts w:ascii="Arial Narrow" w:hAnsi="Arial Narrow"/>
                <w:sz w:val="20"/>
                <w:highlight w:val="lightGray"/>
              </w:rPr>
            </w:pPr>
            <w:r w:rsidRPr="00786D0E">
              <w:rPr>
                <w:rFonts w:ascii="Arial Narrow" w:hAnsi="Arial Narrow"/>
                <w:sz w:val="20"/>
              </w:rPr>
              <w:t>$</w:t>
            </w:r>
            <w:r w:rsidR="001144C3">
              <w:rPr>
                <w:rFonts w:ascii="Arial Narrow" w:hAnsi="Arial Narrow"/>
                <w:noProof/>
                <w:color w:val="000000"/>
                <w:sz w:val="20"/>
                <w:highlight w:val="black"/>
              </w:rPr>
              <w:t>''''''''''''''''</w:t>
            </w:r>
          </w:p>
        </w:tc>
      </w:tr>
      <w:tr w:rsidR="00AC59CA" w:rsidRPr="00786D0E" w:rsidTr="001F354C">
        <w:trPr>
          <w:trHeight w:val="279"/>
        </w:trPr>
        <w:tc>
          <w:tcPr>
            <w:tcW w:w="3367" w:type="pct"/>
            <w:tcBorders>
              <w:top w:val="nil"/>
              <w:left w:val="single" w:sz="4" w:space="0" w:color="auto"/>
              <w:bottom w:val="single" w:sz="4" w:space="0" w:color="auto"/>
              <w:right w:val="single" w:sz="4" w:space="0" w:color="auto"/>
            </w:tcBorders>
            <w:shd w:val="clear" w:color="auto" w:fill="auto"/>
          </w:tcPr>
          <w:p w:rsidR="00AC59CA" w:rsidRPr="00786D0E" w:rsidRDefault="00AC59CA" w:rsidP="001F354C">
            <w:pPr>
              <w:keepNext/>
              <w:spacing w:before="40" w:after="40"/>
              <w:ind w:left="227"/>
              <w:jc w:val="both"/>
              <w:rPr>
                <w:rFonts w:ascii="Arial Narrow" w:hAnsi="Arial Narrow"/>
                <w:sz w:val="20"/>
              </w:rPr>
            </w:pPr>
            <w:r w:rsidRPr="00786D0E">
              <w:rPr>
                <w:rFonts w:ascii="Arial Narrow" w:hAnsi="Arial Narrow"/>
                <w:sz w:val="20"/>
              </w:rPr>
              <w:t>7.5 years (49 cycles)</w:t>
            </w:r>
          </w:p>
        </w:tc>
        <w:tc>
          <w:tcPr>
            <w:tcW w:w="629" w:type="pct"/>
            <w:tcBorders>
              <w:top w:val="nil"/>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w:t>
            </w:r>
            <w:r w:rsidR="001144C3">
              <w:rPr>
                <w:rFonts w:ascii="Arial Narrow" w:hAnsi="Arial Narrow"/>
                <w:noProof/>
                <w:color w:val="000000"/>
                <w:sz w:val="20"/>
                <w:highlight w:val="black"/>
              </w:rPr>
              <w:t>'''''''''''''''''''''''''''''</w:t>
            </w:r>
          </w:p>
        </w:tc>
        <w:tc>
          <w:tcPr>
            <w:tcW w:w="468" w:type="pct"/>
            <w:tcBorders>
              <w:top w:val="nil"/>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292</w:t>
            </w:r>
          </w:p>
        </w:tc>
        <w:tc>
          <w:tcPr>
            <w:tcW w:w="536" w:type="pct"/>
            <w:tcBorders>
              <w:top w:val="nil"/>
              <w:left w:val="single" w:sz="4" w:space="0" w:color="auto"/>
              <w:bottom w:val="single" w:sz="4" w:space="0" w:color="auto"/>
              <w:right w:val="single" w:sz="4" w:space="0" w:color="auto"/>
            </w:tcBorders>
            <w:shd w:val="clear" w:color="auto" w:fill="auto"/>
          </w:tcPr>
          <w:p w:rsidR="00AC59CA" w:rsidRPr="00786D0E" w:rsidRDefault="00AC59CA" w:rsidP="001F354C">
            <w:pPr>
              <w:keepNext/>
              <w:spacing w:before="40" w:after="40"/>
              <w:jc w:val="center"/>
              <w:rPr>
                <w:rFonts w:ascii="Arial Narrow" w:hAnsi="Arial Narrow"/>
                <w:sz w:val="20"/>
                <w:highlight w:val="lightGray"/>
              </w:rPr>
            </w:pPr>
            <w:r w:rsidRPr="00786D0E">
              <w:rPr>
                <w:rFonts w:ascii="Arial Narrow" w:hAnsi="Arial Narrow"/>
                <w:sz w:val="20"/>
              </w:rPr>
              <w:t>$</w:t>
            </w:r>
            <w:r w:rsidR="001144C3">
              <w:rPr>
                <w:rFonts w:ascii="Arial Narrow" w:hAnsi="Arial Narrow"/>
                <w:noProof/>
                <w:color w:val="000000"/>
                <w:sz w:val="20"/>
                <w:highlight w:val="black"/>
              </w:rPr>
              <w:t>''''''''''''''''</w:t>
            </w:r>
          </w:p>
        </w:tc>
      </w:tr>
      <w:tr w:rsidR="00AC59CA" w:rsidRPr="00786D0E" w:rsidTr="001F354C">
        <w:tc>
          <w:tcPr>
            <w:tcW w:w="3367"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 xml:space="preserve">Treatment duration of </w:t>
            </w:r>
            <w:proofErr w:type="spellStart"/>
            <w:r w:rsidRPr="00786D0E">
              <w:rPr>
                <w:rFonts w:ascii="Arial Narrow" w:hAnsi="Arial Narrow"/>
                <w:sz w:val="20"/>
              </w:rPr>
              <w:t>crizotinib</w:t>
            </w:r>
            <w:proofErr w:type="spellEnd"/>
            <w:r w:rsidRPr="00786D0E">
              <w:rPr>
                <w:rFonts w:ascii="Arial Narrow" w:hAnsi="Arial Narrow"/>
                <w:sz w:val="20"/>
              </w:rPr>
              <w:t xml:space="preserve">: weighted average (base case = </w:t>
            </w:r>
            <w:r w:rsidR="001144C3">
              <w:rPr>
                <w:rFonts w:ascii="Arial Narrow" w:hAnsi="Arial Narrow"/>
                <w:noProof/>
                <w:color w:val="000000"/>
                <w:sz w:val="20"/>
                <w:highlight w:val="black"/>
              </w:rPr>
              <w:t>'''''''''''</w:t>
            </w:r>
            <w:r w:rsidRPr="00786D0E">
              <w:rPr>
                <w:rFonts w:ascii="Arial Narrow" w:hAnsi="Arial Narrow"/>
                <w:sz w:val="20"/>
              </w:rPr>
              <w:t xml:space="preserve"> months)</w:t>
            </w:r>
          </w:p>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 xml:space="preserve">Duration of treatment = </w:t>
            </w:r>
            <w:r w:rsidR="001144C3">
              <w:rPr>
                <w:rFonts w:ascii="Arial Narrow" w:hAnsi="Arial Narrow"/>
                <w:noProof/>
                <w:color w:val="000000"/>
                <w:sz w:val="20"/>
                <w:highlight w:val="black"/>
              </w:rPr>
              <w:t>'''''''''''</w:t>
            </w:r>
            <w:r w:rsidRPr="00786D0E">
              <w:rPr>
                <w:rFonts w:ascii="Arial Narrow" w:hAnsi="Arial Narrow"/>
                <w:sz w:val="20"/>
              </w:rPr>
              <w:t xml:space="preserve"> months (mean modelled PFS)</w:t>
            </w:r>
          </w:p>
        </w:tc>
        <w:tc>
          <w:tcPr>
            <w:tcW w:w="629" w:type="pct"/>
            <w:tcBorders>
              <w:top w:val="single" w:sz="4" w:space="0" w:color="auto"/>
              <w:left w:val="single" w:sz="4" w:space="0" w:color="auto"/>
              <w:bottom w:val="single" w:sz="4" w:space="0" w:color="auto"/>
              <w:right w:val="single" w:sz="4" w:space="0" w:color="auto"/>
            </w:tcBorders>
            <w:vAlign w:val="bottom"/>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w:t>
            </w:r>
            <w:r w:rsidR="001144C3">
              <w:rPr>
                <w:rFonts w:ascii="Arial Narrow" w:hAnsi="Arial Narrow"/>
                <w:noProof/>
                <w:color w:val="000000"/>
                <w:sz w:val="20"/>
                <w:highlight w:val="black"/>
              </w:rPr>
              <w:t>'''''''''''''''''''''''''</w:t>
            </w:r>
          </w:p>
        </w:tc>
        <w:tc>
          <w:tcPr>
            <w:tcW w:w="468" w:type="pct"/>
            <w:tcBorders>
              <w:top w:val="single" w:sz="4" w:space="0" w:color="auto"/>
              <w:left w:val="single" w:sz="4" w:space="0" w:color="auto"/>
              <w:bottom w:val="single" w:sz="4" w:space="0" w:color="auto"/>
              <w:right w:val="single" w:sz="4" w:space="0" w:color="auto"/>
            </w:tcBorders>
            <w:vAlign w:val="bottom"/>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318</w:t>
            </w:r>
          </w:p>
        </w:tc>
        <w:tc>
          <w:tcPr>
            <w:tcW w:w="536" w:type="pct"/>
            <w:tcBorders>
              <w:top w:val="single" w:sz="4" w:space="0" w:color="auto"/>
              <w:left w:val="single" w:sz="4" w:space="0" w:color="auto"/>
              <w:bottom w:val="single" w:sz="4" w:space="0" w:color="auto"/>
              <w:right w:val="single" w:sz="4" w:space="0" w:color="auto"/>
            </w:tcBorders>
            <w:vAlign w:val="bottom"/>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w:t>
            </w:r>
            <w:r w:rsidR="001144C3">
              <w:rPr>
                <w:rFonts w:ascii="Arial Narrow" w:hAnsi="Arial Narrow"/>
                <w:noProof/>
                <w:color w:val="000000"/>
                <w:sz w:val="20"/>
                <w:highlight w:val="black"/>
              </w:rPr>
              <w:t>'''''''''''''''''</w:t>
            </w:r>
          </w:p>
        </w:tc>
      </w:tr>
      <w:tr w:rsidR="00AC59CA" w:rsidRPr="00786D0E" w:rsidTr="001F354C">
        <w:tc>
          <w:tcPr>
            <w:tcW w:w="3367"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Multivariate analysis:</w:t>
            </w:r>
          </w:p>
          <w:p w:rsidR="00AC59CA" w:rsidRPr="00786D0E" w:rsidRDefault="00AC59CA" w:rsidP="000D39E9">
            <w:pPr>
              <w:keepNext/>
              <w:numPr>
                <w:ilvl w:val="0"/>
                <w:numId w:val="10"/>
              </w:numPr>
              <w:spacing w:before="40" w:after="40"/>
              <w:ind w:left="113" w:hanging="113"/>
              <w:jc w:val="both"/>
              <w:rPr>
                <w:rFonts w:ascii="Arial Narrow" w:hAnsi="Arial Narrow"/>
                <w:sz w:val="20"/>
                <w:vertAlign w:val="superscript"/>
              </w:rPr>
            </w:pPr>
            <w:r w:rsidRPr="00786D0E">
              <w:rPr>
                <w:rFonts w:ascii="Arial Narrow" w:hAnsi="Arial Narrow"/>
                <w:sz w:val="20"/>
              </w:rPr>
              <w:t xml:space="preserve">Meta-analysis sensitivity (96.4%) and specificity (95.5%) excluding Rogers 2015 </w:t>
            </w:r>
            <w:r w:rsidRPr="00786D0E">
              <w:rPr>
                <w:rFonts w:ascii="Arial Narrow" w:hAnsi="Arial Narrow"/>
                <w:sz w:val="20"/>
                <w:vertAlign w:val="superscript"/>
              </w:rPr>
              <w:br/>
            </w:r>
            <w:r w:rsidRPr="00786D0E">
              <w:rPr>
                <w:rFonts w:ascii="Arial Narrow" w:hAnsi="Arial Narrow"/>
                <w:sz w:val="20"/>
              </w:rPr>
              <w:t>(base case: sensitivity = 95.1%, specificity = 93.8%)</w:t>
            </w:r>
          </w:p>
          <w:p w:rsidR="00AC59CA" w:rsidRPr="00786D0E" w:rsidRDefault="00AC59CA" w:rsidP="000D39E9">
            <w:pPr>
              <w:keepNext/>
              <w:numPr>
                <w:ilvl w:val="0"/>
                <w:numId w:val="10"/>
              </w:numPr>
              <w:spacing w:before="40" w:after="40"/>
              <w:ind w:left="113" w:hanging="113"/>
              <w:jc w:val="both"/>
              <w:rPr>
                <w:rFonts w:ascii="Arial Narrow" w:hAnsi="Arial Narrow"/>
                <w:sz w:val="20"/>
                <w:vertAlign w:val="superscript"/>
              </w:rPr>
            </w:pPr>
            <w:r w:rsidRPr="00786D0E">
              <w:rPr>
                <w:rFonts w:ascii="Arial Narrow" w:hAnsi="Arial Narrow"/>
                <w:sz w:val="20"/>
              </w:rPr>
              <w:t>Time horizon = 5.1 years (33 cycles) (base case = 10 years)</w:t>
            </w:r>
          </w:p>
          <w:p w:rsidR="00AC59CA" w:rsidRPr="00786D0E" w:rsidRDefault="00AC59CA" w:rsidP="000D39E9">
            <w:pPr>
              <w:keepNext/>
              <w:numPr>
                <w:ilvl w:val="0"/>
                <w:numId w:val="10"/>
              </w:numPr>
              <w:spacing w:before="40" w:after="40"/>
              <w:ind w:left="113" w:hanging="113"/>
              <w:jc w:val="both"/>
              <w:rPr>
                <w:rFonts w:ascii="Arial Narrow" w:hAnsi="Arial Narrow"/>
                <w:sz w:val="20"/>
                <w:vertAlign w:val="superscript"/>
              </w:rPr>
            </w:pPr>
            <w:r w:rsidRPr="00786D0E">
              <w:rPr>
                <w:rFonts w:ascii="Arial Narrow" w:hAnsi="Arial Narrow"/>
                <w:sz w:val="20"/>
              </w:rPr>
              <w:t xml:space="preserve">Treatment duration of </w:t>
            </w:r>
            <w:proofErr w:type="spellStart"/>
            <w:r w:rsidRPr="00786D0E">
              <w:rPr>
                <w:rFonts w:ascii="Arial Narrow" w:hAnsi="Arial Narrow"/>
                <w:sz w:val="20"/>
              </w:rPr>
              <w:t>crizotinib</w:t>
            </w:r>
            <w:proofErr w:type="spellEnd"/>
            <w:r w:rsidRPr="00786D0E">
              <w:rPr>
                <w:rFonts w:ascii="Arial Narrow" w:hAnsi="Arial Narrow"/>
                <w:sz w:val="20"/>
              </w:rPr>
              <w:t xml:space="preserve"> 23.2 months (base case = </w:t>
            </w:r>
            <w:r w:rsidR="001144C3">
              <w:rPr>
                <w:rFonts w:ascii="Arial Narrow" w:hAnsi="Arial Narrow"/>
                <w:noProof/>
                <w:color w:val="000000"/>
                <w:sz w:val="20"/>
                <w:highlight w:val="black"/>
              </w:rPr>
              <w:t>''''''''''</w:t>
            </w:r>
            <w:r w:rsidRPr="00786D0E">
              <w:rPr>
                <w:rFonts w:ascii="Arial Narrow" w:hAnsi="Arial Narrow"/>
                <w:sz w:val="20"/>
              </w:rPr>
              <w:t xml:space="preserve"> months)</w:t>
            </w:r>
          </w:p>
          <w:p w:rsidR="00AC59CA" w:rsidRPr="00786D0E" w:rsidRDefault="00AC59CA" w:rsidP="000D39E9">
            <w:pPr>
              <w:keepNext/>
              <w:numPr>
                <w:ilvl w:val="0"/>
                <w:numId w:val="10"/>
              </w:numPr>
              <w:spacing w:before="40" w:after="40"/>
              <w:ind w:left="113" w:hanging="113"/>
              <w:jc w:val="both"/>
              <w:rPr>
                <w:rFonts w:ascii="Arial Narrow" w:hAnsi="Arial Narrow"/>
                <w:sz w:val="20"/>
              </w:rPr>
            </w:pPr>
            <w:r w:rsidRPr="00786D0E">
              <w:rPr>
                <w:rFonts w:ascii="Arial Narrow" w:hAnsi="Arial Narrow"/>
                <w:sz w:val="20"/>
              </w:rPr>
              <w:t xml:space="preserve">Utilities from </w:t>
            </w:r>
            <w:proofErr w:type="spellStart"/>
            <w:r w:rsidRPr="00786D0E">
              <w:rPr>
                <w:rFonts w:ascii="Arial Narrow" w:hAnsi="Arial Narrow"/>
                <w:sz w:val="20"/>
              </w:rPr>
              <w:t>Chouaid</w:t>
            </w:r>
            <w:proofErr w:type="spellEnd"/>
            <w:r w:rsidRPr="00786D0E">
              <w:rPr>
                <w:rFonts w:ascii="Arial Narrow" w:hAnsi="Arial Narrow"/>
                <w:sz w:val="20"/>
              </w:rPr>
              <w:t xml:space="preserve"> 2012: PFS = 0.700, progression = 0.580 (base case: PFS = </w:t>
            </w:r>
            <w:r w:rsidR="001144C3">
              <w:rPr>
                <w:rFonts w:ascii="Arial Narrow" w:hAnsi="Arial Narrow"/>
                <w:noProof/>
                <w:color w:val="000000"/>
                <w:sz w:val="20"/>
                <w:highlight w:val="black"/>
              </w:rPr>
              <w:t>''''''''''''''</w:t>
            </w:r>
            <w:r w:rsidRPr="00786D0E">
              <w:rPr>
                <w:rFonts w:ascii="Arial Narrow" w:hAnsi="Arial Narrow"/>
                <w:sz w:val="20"/>
              </w:rPr>
              <w:t xml:space="preserve">, progression </w:t>
            </w:r>
            <w:r w:rsidR="001144C3">
              <w:rPr>
                <w:rFonts w:ascii="Arial Narrow" w:hAnsi="Arial Narrow"/>
                <w:noProof/>
                <w:color w:val="000000"/>
                <w:sz w:val="20"/>
                <w:highlight w:val="black"/>
              </w:rPr>
              <w:t>'''' '''''''''''''</w:t>
            </w:r>
            <w:r w:rsidRPr="00786D0E">
              <w:rPr>
                <w:rFonts w:ascii="Arial Narrow" w:hAnsi="Arial Narrow"/>
                <w:sz w:val="20"/>
              </w:rPr>
              <w:t>)</w:t>
            </w:r>
          </w:p>
          <w:p w:rsidR="00AC59CA" w:rsidRPr="00786D0E" w:rsidRDefault="00AC59CA" w:rsidP="000D39E9">
            <w:pPr>
              <w:keepNext/>
              <w:numPr>
                <w:ilvl w:val="0"/>
                <w:numId w:val="10"/>
              </w:numPr>
              <w:spacing w:before="40" w:after="40"/>
              <w:ind w:left="113" w:hanging="113"/>
              <w:jc w:val="both"/>
              <w:rPr>
                <w:rFonts w:ascii="Arial Narrow" w:hAnsi="Arial Narrow"/>
                <w:sz w:val="20"/>
              </w:rPr>
            </w:pPr>
            <w:proofErr w:type="spellStart"/>
            <w:r w:rsidRPr="00786D0E">
              <w:rPr>
                <w:rFonts w:ascii="Arial Narrow" w:hAnsi="Arial Narrow"/>
                <w:sz w:val="20"/>
              </w:rPr>
              <w:t>Crizotinib</w:t>
            </w:r>
            <w:proofErr w:type="spellEnd"/>
            <w:r w:rsidRPr="00786D0E">
              <w:rPr>
                <w:rFonts w:ascii="Arial Narrow" w:hAnsi="Arial Narrow"/>
                <w:sz w:val="20"/>
              </w:rPr>
              <w:t xml:space="preserve"> OS: Weibull with worse OS outcomes (base case exponential)</w:t>
            </w:r>
            <w:r w:rsidRPr="00786D0E">
              <w:rPr>
                <w:rFonts w:ascii="Arial Narrow" w:hAnsi="Arial Narrow"/>
                <w:sz w:val="20"/>
                <w:vertAlign w:val="superscript"/>
              </w:rPr>
              <w:t>a</w:t>
            </w:r>
          </w:p>
          <w:p w:rsidR="00AC59CA" w:rsidRPr="00786D0E" w:rsidRDefault="00AC59CA" w:rsidP="000D39E9">
            <w:pPr>
              <w:keepNext/>
              <w:numPr>
                <w:ilvl w:val="0"/>
                <w:numId w:val="10"/>
              </w:numPr>
              <w:spacing w:before="40" w:after="40"/>
              <w:ind w:left="113" w:hanging="113"/>
              <w:jc w:val="both"/>
              <w:rPr>
                <w:rFonts w:ascii="Arial Narrow" w:hAnsi="Arial Narrow"/>
                <w:sz w:val="20"/>
              </w:rPr>
            </w:pPr>
            <w:proofErr w:type="spellStart"/>
            <w:r w:rsidRPr="00786D0E">
              <w:rPr>
                <w:rFonts w:ascii="Arial Narrow" w:hAnsi="Arial Narrow"/>
                <w:sz w:val="20"/>
              </w:rPr>
              <w:t>Pemetrexed</w:t>
            </w:r>
            <w:proofErr w:type="spellEnd"/>
            <w:r w:rsidRPr="00786D0E">
              <w:rPr>
                <w:rFonts w:ascii="Arial Narrow" w:hAnsi="Arial Narrow"/>
                <w:sz w:val="20"/>
              </w:rPr>
              <w:t xml:space="preserve"> PFS and OS adjusted using </w:t>
            </w:r>
            <w:proofErr w:type="spellStart"/>
            <w:r w:rsidRPr="00786D0E">
              <w:rPr>
                <w:rFonts w:ascii="Arial Narrow" w:hAnsi="Arial Narrow"/>
                <w:sz w:val="20"/>
              </w:rPr>
              <w:t>Scagliotti</w:t>
            </w:r>
            <w:proofErr w:type="spellEnd"/>
            <w:r w:rsidRPr="00786D0E">
              <w:rPr>
                <w:rFonts w:ascii="Arial Narrow" w:hAnsi="Arial Narrow"/>
                <w:sz w:val="20"/>
              </w:rPr>
              <w:t xml:space="preserve"> et al. 2009 </w:t>
            </w:r>
            <w:proofErr w:type="spellStart"/>
            <w:r w:rsidRPr="00786D0E">
              <w:rPr>
                <w:rFonts w:ascii="Arial Narrow" w:hAnsi="Arial Narrow"/>
                <w:sz w:val="20"/>
                <w:vertAlign w:val="superscript"/>
              </w:rPr>
              <w:t>a,b</w:t>
            </w:r>
            <w:proofErr w:type="spellEnd"/>
          </w:p>
        </w:tc>
        <w:tc>
          <w:tcPr>
            <w:tcW w:w="629"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w:t>
            </w:r>
            <w:r w:rsidR="001144C3">
              <w:rPr>
                <w:rFonts w:ascii="Arial Narrow" w:hAnsi="Arial Narrow"/>
                <w:noProof/>
                <w:color w:val="000000"/>
                <w:sz w:val="20"/>
                <w:highlight w:val="black"/>
              </w:rPr>
              <w:t>''''''''''''''''''''''''</w:t>
            </w:r>
          </w:p>
        </w:tc>
        <w:tc>
          <w:tcPr>
            <w:tcW w:w="468"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189</w:t>
            </w:r>
          </w:p>
        </w:tc>
        <w:tc>
          <w:tcPr>
            <w:tcW w:w="536"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w:t>
            </w:r>
            <w:r w:rsidR="001144C3">
              <w:rPr>
                <w:rFonts w:ascii="Arial Narrow" w:hAnsi="Arial Narrow"/>
                <w:noProof/>
                <w:color w:val="000000"/>
                <w:sz w:val="20"/>
                <w:highlight w:val="black"/>
              </w:rPr>
              <w:t>''''''''''''''''</w:t>
            </w:r>
          </w:p>
        </w:tc>
      </w:tr>
      <w:tr w:rsidR="00AC59CA" w:rsidRPr="00786D0E" w:rsidTr="001F354C">
        <w:tc>
          <w:tcPr>
            <w:tcW w:w="3367"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both"/>
              <w:rPr>
                <w:rFonts w:ascii="Arial Narrow" w:hAnsi="Arial Narrow"/>
                <w:sz w:val="20"/>
              </w:rPr>
            </w:pPr>
            <w:r w:rsidRPr="00786D0E">
              <w:rPr>
                <w:rFonts w:ascii="Arial Narrow" w:hAnsi="Arial Narrow"/>
                <w:sz w:val="20"/>
              </w:rPr>
              <w:t>Multivariate analysis: as above except time horizon = 7.5 years</w:t>
            </w:r>
          </w:p>
        </w:tc>
        <w:tc>
          <w:tcPr>
            <w:tcW w:w="629"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w:t>
            </w:r>
            <w:r w:rsidR="001144C3">
              <w:rPr>
                <w:rFonts w:ascii="Arial Narrow" w:hAnsi="Arial Narrow"/>
                <w:noProof/>
                <w:color w:val="000000"/>
                <w:sz w:val="20"/>
                <w:highlight w:val="black"/>
              </w:rPr>
              <w:t>'''''''''''''''''''''''''''''</w:t>
            </w:r>
          </w:p>
        </w:tc>
        <w:tc>
          <w:tcPr>
            <w:tcW w:w="468"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223</w:t>
            </w:r>
          </w:p>
        </w:tc>
        <w:tc>
          <w:tcPr>
            <w:tcW w:w="536" w:type="pct"/>
            <w:tcBorders>
              <w:top w:val="single" w:sz="4" w:space="0" w:color="auto"/>
              <w:left w:val="single" w:sz="4" w:space="0" w:color="auto"/>
              <w:bottom w:val="single" w:sz="4" w:space="0" w:color="auto"/>
              <w:right w:val="single" w:sz="4" w:space="0" w:color="auto"/>
            </w:tcBorders>
            <w:vAlign w:val="center"/>
          </w:tcPr>
          <w:p w:rsidR="00AC59CA" w:rsidRPr="00786D0E" w:rsidRDefault="00AC59CA" w:rsidP="001F354C">
            <w:pPr>
              <w:keepNext/>
              <w:spacing w:before="40" w:after="40"/>
              <w:jc w:val="center"/>
              <w:rPr>
                <w:rFonts w:ascii="Arial Narrow" w:hAnsi="Arial Narrow"/>
                <w:sz w:val="20"/>
              </w:rPr>
            </w:pPr>
            <w:r w:rsidRPr="00786D0E">
              <w:rPr>
                <w:rFonts w:ascii="Arial Narrow" w:hAnsi="Arial Narrow"/>
                <w:sz w:val="20"/>
              </w:rPr>
              <w:t>$</w:t>
            </w:r>
            <w:r w:rsidR="001144C3">
              <w:rPr>
                <w:rFonts w:ascii="Arial Narrow" w:hAnsi="Arial Narrow"/>
                <w:noProof/>
                <w:color w:val="000000"/>
                <w:sz w:val="20"/>
                <w:highlight w:val="black"/>
              </w:rPr>
              <w:t>'''''''''''''''''</w:t>
            </w:r>
          </w:p>
        </w:tc>
      </w:tr>
    </w:tbl>
    <w:p w:rsidR="00AC59CA" w:rsidRPr="00786D0E" w:rsidRDefault="00AC59CA" w:rsidP="00AC59CA">
      <w:pPr>
        <w:widowControl w:val="0"/>
        <w:spacing w:before="0" w:after="120"/>
        <w:contextualSpacing/>
        <w:jc w:val="both"/>
        <w:rPr>
          <w:rFonts w:ascii="Arial Narrow" w:eastAsia="Times New Roman" w:hAnsi="Arial Narrow" w:cs="Arial"/>
          <w:snapToGrid w:val="0"/>
          <w:sz w:val="18"/>
          <w:szCs w:val="20"/>
        </w:rPr>
      </w:pPr>
      <w:r w:rsidRPr="00786D0E">
        <w:rPr>
          <w:rFonts w:ascii="Arial Narrow" w:eastAsia="Times New Roman" w:hAnsi="Arial Narrow" w:cs="Arial"/>
          <w:snapToGrid w:val="0"/>
          <w:sz w:val="18"/>
          <w:szCs w:val="20"/>
        </w:rPr>
        <w:t>Source: Table 3.9.2, p230 of the submission and constructed during the evaluation</w:t>
      </w:r>
    </w:p>
    <w:p w:rsidR="00AC59CA" w:rsidRPr="00786D0E" w:rsidRDefault="00AC59CA" w:rsidP="00AC59CA">
      <w:pPr>
        <w:widowControl w:val="0"/>
        <w:spacing w:before="0" w:after="120"/>
        <w:contextualSpacing/>
        <w:jc w:val="both"/>
        <w:rPr>
          <w:rFonts w:ascii="Arial Narrow" w:eastAsia="Times New Roman" w:hAnsi="Arial Narrow" w:cs="Arial"/>
          <w:snapToGrid w:val="0"/>
          <w:sz w:val="18"/>
          <w:szCs w:val="20"/>
        </w:rPr>
      </w:pPr>
      <w:r w:rsidRPr="00786D0E">
        <w:rPr>
          <w:rFonts w:ascii="Arial Narrow" w:eastAsia="Times New Roman" w:hAnsi="Arial Narrow" w:cs="Arial"/>
          <w:snapToGrid w:val="0"/>
          <w:sz w:val="18"/>
          <w:szCs w:val="20"/>
        </w:rPr>
        <w:t xml:space="preserve">ICER = incremental cost-effectiveness ratio; PFS = progression-free survival; OS = overall survival; QALY = quality-adjusted life year; </w:t>
      </w:r>
      <w:r w:rsidR="00420D95" w:rsidRPr="00786D0E">
        <w:rPr>
          <w:rFonts w:ascii="Arial Narrow" w:eastAsia="Times New Roman" w:hAnsi="Arial Narrow" w:cs="Arial"/>
          <w:i/>
          <w:snapToGrid w:val="0"/>
          <w:sz w:val="18"/>
          <w:szCs w:val="20"/>
        </w:rPr>
        <w:t>ROS1</w:t>
      </w:r>
      <w:r w:rsidRPr="00786D0E">
        <w:rPr>
          <w:rFonts w:ascii="Arial Narrow" w:eastAsia="Times New Roman" w:hAnsi="Arial Narrow" w:cs="Arial"/>
          <w:snapToGrid w:val="0"/>
          <w:sz w:val="18"/>
          <w:szCs w:val="20"/>
        </w:rPr>
        <w:t xml:space="preserve"> = ROS proto-oncogene 1; </w:t>
      </w:r>
      <w:r w:rsidRPr="00786D0E">
        <w:rPr>
          <w:rFonts w:ascii="Arial Narrow" w:eastAsia="Times New Roman" w:hAnsi="Arial Narrow" w:cs="Arial"/>
          <w:snapToGrid w:val="0"/>
          <w:sz w:val="20"/>
          <w:szCs w:val="20"/>
        </w:rPr>
        <w:t>Δ = incremental</w:t>
      </w:r>
    </w:p>
    <w:p w:rsidR="00AC59CA" w:rsidRPr="00786D0E" w:rsidRDefault="00AC59CA" w:rsidP="00AC59CA">
      <w:pPr>
        <w:widowControl w:val="0"/>
        <w:spacing w:before="0" w:after="120"/>
        <w:contextualSpacing/>
        <w:jc w:val="both"/>
        <w:rPr>
          <w:rFonts w:ascii="Arial Narrow" w:eastAsia="Times New Roman" w:hAnsi="Arial Narrow" w:cs="Arial"/>
          <w:snapToGrid w:val="0"/>
          <w:sz w:val="18"/>
          <w:szCs w:val="20"/>
        </w:rPr>
      </w:pPr>
      <w:proofErr w:type="gramStart"/>
      <w:r w:rsidRPr="00786D0E">
        <w:rPr>
          <w:rFonts w:ascii="Arial Narrow" w:eastAsia="Times New Roman" w:hAnsi="Arial Narrow" w:cs="Arial"/>
          <w:b/>
          <w:snapToGrid w:val="0"/>
          <w:sz w:val="18"/>
          <w:szCs w:val="20"/>
          <w:vertAlign w:val="superscript"/>
        </w:rPr>
        <w:t>a</w:t>
      </w:r>
      <w:proofErr w:type="gramEnd"/>
      <w:r w:rsidRPr="00786D0E">
        <w:rPr>
          <w:rFonts w:ascii="Arial Narrow" w:eastAsia="Times New Roman" w:hAnsi="Arial Narrow" w:cs="Arial"/>
          <w:b/>
          <w:snapToGrid w:val="0"/>
          <w:sz w:val="18"/>
          <w:szCs w:val="20"/>
          <w:vertAlign w:val="superscript"/>
        </w:rPr>
        <w:t xml:space="preserve"> </w:t>
      </w:r>
      <w:r w:rsidRPr="00786D0E">
        <w:rPr>
          <w:rFonts w:ascii="Arial Narrow" w:eastAsia="Times New Roman" w:hAnsi="Arial Narrow" w:cs="Arial"/>
          <w:snapToGrid w:val="0"/>
          <w:sz w:val="18"/>
          <w:szCs w:val="20"/>
        </w:rPr>
        <w:t>derived using ‘</w:t>
      </w:r>
      <w:proofErr w:type="spellStart"/>
      <w:r w:rsidRPr="00786D0E">
        <w:rPr>
          <w:rFonts w:ascii="Arial Narrow" w:eastAsia="Times New Roman" w:hAnsi="Arial Narrow" w:cs="Arial"/>
          <w:snapToGrid w:val="0"/>
          <w:sz w:val="18"/>
          <w:szCs w:val="20"/>
        </w:rPr>
        <w:t>nl</w:t>
      </w:r>
      <w:proofErr w:type="spellEnd"/>
      <w:r w:rsidRPr="00786D0E">
        <w:rPr>
          <w:rFonts w:ascii="Arial Narrow" w:eastAsia="Times New Roman" w:hAnsi="Arial Narrow" w:cs="Arial"/>
          <w:snapToGrid w:val="0"/>
          <w:sz w:val="18"/>
          <w:szCs w:val="20"/>
        </w:rPr>
        <w:t>’ command in Stata (version 13.0) for non-linear regression</w:t>
      </w:r>
    </w:p>
    <w:p w:rsidR="00AC59CA" w:rsidRDefault="00AC59CA" w:rsidP="00AC59CA">
      <w:pPr>
        <w:widowControl w:val="0"/>
        <w:spacing w:before="0" w:after="120"/>
        <w:contextualSpacing/>
        <w:jc w:val="both"/>
        <w:rPr>
          <w:rFonts w:ascii="Arial Narrow" w:eastAsia="Times New Roman" w:hAnsi="Arial Narrow" w:cs="Arial"/>
          <w:snapToGrid w:val="0"/>
          <w:sz w:val="18"/>
          <w:szCs w:val="20"/>
        </w:rPr>
      </w:pPr>
      <w:proofErr w:type="gramStart"/>
      <w:r w:rsidRPr="00786D0E">
        <w:rPr>
          <w:rFonts w:ascii="Arial Narrow" w:eastAsia="Times New Roman" w:hAnsi="Arial Narrow" w:cs="Arial"/>
          <w:snapToGrid w:val="0"/>
          <w:sz w:val="18"/>
          <w:szCs w:val="20"/>
          <w:vertAlign w:val="superscript"/>
        </w:rPr>
        <w:t>b</w:t>
      </w:r>
      <w:proofErr w:type="gramEnd"/>
      <w:r w:rsidRPr="00786D0E">
        <w:rPr>
          <w:rFonts w:ascii="Arial Narrow" w:eastAsia="Times New Roman" w:hAnsi="Arial Narrow" w:cs="Arial"/>
          <w:snapToGrid w:val="0"/>
          <w:sz w:val="18"/>
          <w:szCs w:val="20"/>
          <w:vertAlign w:val="superscript"/>
        </w:rPr>
        <w:t xml:space="preserve"> </w:t>
      </w:r>
      <w:r w:rsidRPr="00786D0E">
        <w:rPr>
          <w:rFonts w:ascii="Arial Narrow" w:eastAsia="Times New Roman" w:hAnsi="Arial Narrow" w:cs="Arial"/>
          <w:snapToGrid w:val="0"/>
          <w:sz w:val="18"/>
          <w:szCs w:val="20"/>
        </w:rPr>
        <w:t xml:space="preserve">Based on longer PFS for non-squamous NSCLC patients in </w:t>
      </w:r>
      <w:proofErr w:type="spellStart"/>
      <w:r w:rsidRPr="00786D0E">
        <w:rPr>
          <w:rFonts w:ascii="Arial Narrow" w:eastAsia="Times New Roman" w:hAnsi="Arial Narrow" w:cs="Arial"/>
          <w:snapToGrid w:val="0"/>
          <w:sz w:val="18"/>
          <w:szCs w:val="20"/>
        </w:rPr>
        <w:t>Scagliotti</w:t>
      </w:r>
      <w:proofErr w:type="spellEnd"/>
      <w:r w:rsidRPr="00786D0E">
        <w:rPr>
          <w:rFonts w:ascii="Arial Narrow" w:eastAsia="Times New Roman" w:hAnsi="Arial Narrow" w:cs="Arial"/>
          <w:snapToGrid w:val="0"/>
          <w:sz w:val="18"/>
          <w:szCs w:val="20"/>
        </w:rPr>
        <w:t xml:space="preserve"> et al. 2009 which did not provi</w:t>
      </w:r>
      <w:r w:rsidR="009D60C8" w:rsidRPr="00786D0E">
        <w:rPr>
          <w:rFonts w:ascii="Arial Narrow" w:eastAsia="Times New Roman" w:hAnsi="Arial Narrow" w:cs="Arial"/>
          <w:snapToGrid w:val="0"/>
          <w:sz w:val="18"/>
          <w:szCs w:val="20"/>
        </w:rPr>
        <w:t>de a Kaplan-Meier curve for PFS</w:t>
      </w:r>
    </w:p>
    <w:p w:rsidR="006C6A16" w:rsidRDefault="006C6A16" w:rsidP="00AC59CA">
      <w:pPr>
        <w:widowControl w:val="0"/>
        <w:spacing w:before="0" w:after="120"/>
        <w:contextualSpacing/>
        <w:jc w:val="both"/>
        <w:rPr>
          <w:rFonts w:ascii="Arial Narrow" w:eastAsia="Times New Roman" w:hAnsi="Arial Narrow" w:cs="Arial"/>
          <w:snapToGrid w:val="0"/>
          <w:sz w:val="18"/>
          <w:szCs w:val="20"/>
        </w:rPr>
      </w:pPr>
    </w:p>
    <w:p w:rsidR="006C6A16" w:rsidRPr="00786D0E" w:rsidRDefault="006C6A16" w:rsidP="006C6A16">
      <w:pPr>
        <w:widowControl w:val="0"/>
        <w:spacing w:before="0" w:after="120"/>
        <w:ind w:left="720"/>
        <w:contextualSpacing/>
        <w:jc w:val="both"/>
        <w:rPr>
          <w:rFonts w:ascii="Arial Narrow" w:eastAsia="Times New Roman" w:hAnsi="Arial Narrow" w:cs="Arial"/>
          <w:snapToGrid w:val="0"/>
          <w:sz w:val="18"/>
          <w:szCs w:val="20"/>
        </w:rPr>
      </w:pPr>
      <w:r w:rsidRPr="00070622">
        <w:rPr>
          <w:color w:val="000000" w:themeColor="text1"/>
        </w:rPr>
        <w:t xml:space="preserve">The redacted table shows </w:t>
      </w:r>
      <w:r>
        <w:rPr>
          <w:color w:val="000000" w:themeColor="text1"/>
        </w:rPr>
        <w:t>ICERs in the range $45,000</w:t>
      </w:r>
      <w:r w:rsidR="00076247">
        <w:t>/QALY</w:t>
      </w:r>
      <w:r>
        <w:rPr>
          <w:color w:val="000000" w:themeColor="text1"/>
        </w:rPr>
        <w:t xml:space="preserve"> </w:t>
      </w:r>
      <w:r w:rsidR="00076247">
        <w:rPr>
          <w:color w:val="000000" w:themeColor="text1"/>
        </w:rPr>
        <w:t>- $105,000</w:t>
      </w:r>
      <w:r w:rsidR="00076247">
        <w:t>/QALY</w:t>
      </w:r>
      <w:r w:rsidR="00076247">
        <w:rPr>
          <w:color w:val="000000" w:themeColor="text1"/>
        </w:rPr>
        <w:t>.</w:t>
      </w:r>
    </w:p>
    <w:p w:rsidR="00417802" w:rsidRPr="00786D0E" w:rsidRDefault="00AC59CA" w:rsidP="000D39E9">
      <w:pPr>
        <w:pStyle w:val="ListParagraph"/>
        <w:numPr>
          <w:ilvl w:val="1"/>
          <w:numId w:val="2"/>
        </w:numPr>
        <w:spacing w:before="0" w:after="120"/>
        <w:jc w:val="both"/>
      </w:pPr>
      <w:r w:rsidRPr="00786D0E">
        <w:t xml:space="preserve">The ICER was sensitive to the time horizon. The ICER was very high around the end of the trial duration </w:t>
      </w:r>
      <w:r w:rsidR="00076247">
        <w:t>QALY$105,000 /QALY - $200,000/QALY</w:t>
      </w:r>
      <w:r w:rsidRPr="00786D0E">
        <w:t xml:space="preserve"> at two years) and stabilises after eight years. This was consistent with the much larger proportion of patients treated with </w:t>
      </w:r>
      <w:proofErr w:type="spellStart"/>
      <w:r w:rsidRPr="00786D0E">
        <w:t>crizotinib</w:t>
      </w:r>
      <w:proofErr w:type="spellEnd"/>
      <w:r w:rsidRPr="00786D0E">
        <w:t xml:space="preserve"> being alive bet</w:t>
      </w:r>
      <w:r w:rsidR="002B1425" w:rsidRPr="00786D0E">
        <w:t>ween two years and eight years.</w:t>
      </w:r>
    </w:p>
    <w:p w:rsidR="00417802" w:rsidRPr="00786D0E" w:rsidRDefault="00AC59CA" w:rsidP="000D39E9">
      <w:pPr>
        <w:pStyle w:val="ListParagraph"/>
        <w:numPr>
          <w:ilvl w:val="2"/>
          <w:numId w:val="2"/>
        </w:numPr>
        <w:tabs>
          <w:tab w:val="left" w:pos="1134"/>
        </w:tabs>
        <w:spacing w:before="0" w:after="120"/>
        <w:ind w:left="1134" w:hanging="425"/>
        <w:jc w:val="both"/>
      </w:pPr>
      <w:r w:rsidRPr="00786D0E">
        <w:t>A multivariate sensitivity analysis conducted during the evaluation, with less favourable treatment assumptions</w:t>
      </w:r>
      <w:r w:rsidR="002B1425" w:rsidRPr="00786D0E">
        <w:t>,</w:t>
      </w:r>
      <w:r w:rsidRPr="00786D0E">
        <w:t xml:space="preserve"> but higher </w:t>
      </w:r>
      <w:r w:rsidR="00420D95" w:rsidRPr="00786D0E">
        <w:rPr>
          <w:i/>
        </w:rPr>
        <w:t>ROS1</w:t>
      </w:r>
      <w:r w:rsidRPr="00786D0E">
        <w:t xml:space="preserve"> IHC test performance, also resulted in a more conservative ICER of </w:t>
      </w:r>
      <w:r w:rsidR="00076247">
        <w:rPr>
          <w:color w:val="000000" w:themeColor="text1"/>
        </w:rPr>
        <w:t>$75,000</w:t>
      </w:r>
      <w:r w:rsidR="00076247">
        <w:t>/QALY</w:t>
      </w:r>
      <w:r w:rsidR="00076247">
        <w:rPr>
          <w:color w:val="000000" w:themeColor="text1"/>
        </w:rPr>
        <w:t xml:space="preserve"> - $105,000</w:t>
      </w:r>
      <w:r w:rsidR="00076247">
        <w:t>/QALY</w:t>
      </w:r>
      <w:r w:rsidR="00076247" w:rsidRPr="00786D0E" w:rsidDel="00076247">
        <w:t xml:space="preserve"> </w:t>
      </w:r>
      <w:r w:rsidRPr="00786D0E">
        <w:t>over a five</w:t>
      </w:r>
      <w:r w:rsidR="002B1425" w:rsidRPr="00786D0E">
        <w:t>-</w:t>
      </w:r>
      <w:r w:rsidRPr="00786D0E">
        <w:t>year time horizon.</w:t>
      </w:r>
    </w:p>
    <w:p w:rsidR="00E445A6" w:rsidRPr="00786D0E" w:rsidRDefault="00E445A6" w:rsidP="000D39E9">
      <w:pPr>
        <w:pStyle w:val="ListParagraph"/>
        <w:numPr>
          <w:ilvl w:val="2"/>
          <w:numId w:val="2"/>
        </w:numPr>
        <w:tabs>
          <w:tab w:val="left" w:pos="1134"/>
        </w:tabs>
        <w:spacing w:before="0" w:after="120"/>
        <w:ind w:left="1134" w:hanging="425"/>
        <w:jc w:val="both"/>
      </w:pPr>
      <w:r w:rsidRPr="00786D0E">
        <w:t xml:space="preserve">The PSCR (p5) </w:t>
      </w:r>
      <w:r w:rsidR="005719C7" w:rsidRPr="00786D0E">
        <w:t>argued that</w:t>
      </w:r>
      <w:r w:rsidR="00133B8B" w:rsidRPr="00786D0E">
        <w:t>,</w:t>
      </w:r>
      <w:r w:rsidR="005719C7" w:rsidRPr="00786D0E">
        <w:t xml:space="preserve"> even though </w:t>
      </w:r>
      <w:r w:rsidR="00D7397F" w:rsidRPr="00786D0E">
        <w:t>a</w:t>
      </w:r>
      <w:r w:rsidRPr="00786D0E">
        <w:t xml:space="preserve"> five-year time horizon </w:t>
      </w:r>
      <w:r w:rsidR="00D7397F" w:rsidRPr="00786D0E">
        <w:t xml:space="preserve">was </w:t>
      </w:r>
      <w:r w:rsidRPr="00786D0E">
        <w:t>considered approp</w:t>
      </w:r>
      <w:r w:rsidR="005719C7" w:rsidRPr="00786D0E">
        <w:t xml:space="preserve">riate by the PBAC for </w:t>
      </w:r>
      <w:proofErr w:type="spellStart"/>
      <w:r w:rsidR="005719C7" w:rsidRPr="00786D0E">
        <w:t>nivolumab</w:t>
      </w:r>
      <w:proofErr w:type="spellEnd"/>
      <w:r w:rsidR="005719C7" w:rsidRPr="00786D0E">
        <w:t xml:space="preserve">, it was not appropriate for </w:t>
      </w:r>
      <w:proofErr w:type="spellStart"/>
      <w:r w:rsidRPr="00786D0E">
        <w:t>crizotinib</w:t>
      </w:r>
      <w:proofErr w:type="spellEnd"/>
      <w:r w:rsidRPr="00786D0E">
        <w:t xml:space="preserve">, </w:t>
      </w:r>
      <w:r w:rsidR="005719C7" w:rsidRPr="00786D0E">
        <w:t>as</w:t>
      </w:r>
      <w:r w:rsidRPr="00786D0E">
        <w:t xml:space="preserve"> </w:t>
      </w:r>
      <w:proofErr w:type="spellStart"/>
      <w:r w:rsidRPr="00786D0E">
        <w:t>nivolumab</w:t>
      </w:r>
      <w:proofErr w:type="spellEnd"/>
      <w:r w:rsidRPr="00786D0E">
        <w:t xml:space="preserve"> had a two-year survival rate of 29% (</w:t>
      </w:r>
      <w:proofErr w:type="spellStart"/>
      <w:r w:rsidRPr="00786D0E">
        <w:t>CheckMate</w:t>
      </w:r>
      <w:proofErr w:type="spellEnd"/>
      <w:r w:rsidRPr="00786D0E">
        <w:t xml:space="preserve"> 057 study), </w:t>
      </w:r>
      <w:r w:rsidR="005719C7" w:rsidRPr="00786D0E">
        <w:t xml:space="preserve">which </w:t>
      </w:r>
      <w:r w:rsidR="005719C7" w:rsidRPr="00786D0E">
        <w:lastRenderedPageBreak/>
        <w:t xml:space="preserve">was </w:t>
      </w:r>
      <w:r w:rsidRPr="00786D0E">
        <w:t xml:space="preserve">substantially lower than the two-year survival for </w:t>
      </w:r>
      <w:proofErr w:type="spellStart"/>
      <w:r w:rsidRPr="00786D0E">
        <w:t>crizotinib</w:t>
      </w:r>
      <w:proofErr w:type="spellEnd"/>
      <w:r w:rsidR="005719C7" w:rsidRPr="00786D0E">
        <w:t xml:space="preserve"> (67%)</w:t>
      </w:r>
      <w:r w:rsidRPr="00786D0E">
        <w:t xml:space="preserve">. In addition, the PSCR stated that there was no long-term survival data for </w:t>
      </w:r>
      <w:proofErr w:type="spellStart"/>
      <w:r w:rsidRPr="00786D0E">
        <w:t>crizotinib</w:t>
      </w:r>
      <w:proofErr w:type="spellEnd"/>
      <w:r w:rsidRPr="00786D0E">
        <w:t xml:space="preserve">-treated </w:t>
      </w:r>
      <w:r w:rsidR="00420D95" w:rsidRPr="00786D0E">
        <w:rPr>
          <w:i/>
        </w:rPr>
        <w:t>ROS1</w:t>
      </w:r>
      <w:r w:rsidR="009D60C8" w:rsidRPr="00786D0E">
        <w:t>-</w:t>
      </w:r>
      <w:r w:rsidRPr="00786D0E">
        <w:t xml:space="preserve">positive advanced NSCLC patients, and that </w:t>
      </w:r>
      <w:r w:rsidR="00133B8B" w:rsidRPr="00786D0E">
        <w:t xml:space="preserve">a </w:t>
      </w:r>
      <w:r w:rsidRPr="00786D0E">
        <w:t>10-year time horizon captured the expected life-span of the modelled population.</w:t>
      </w:r>
    </w:p>
    <w:p w:rsidR="00E445A6" w:rsidRPr="00786D0E" w:rsidRDefault="00E445A6" w:rsidP="000D39E9">
      <w:pPr>
        <w:pStyle w:val="ListParagraph"/>
        <w:numPr>
          <w:ilvl w:val="2"/>
          <w:numId w:val="2"/>
        </w:numPr>
        <w:tabs>
          <w:tab w:val="left" w:pos="1134"/>
        </w:tabs>
        <w:spacing w:before="0" w:after="120"/>
        <w:ind w:left="1134" w:hanging="425"/>
        <w:jc w:val="both"/>
      </w:pPr>
      <w:r w:rsidRPr="00786D0E">
        <w:t>The PSCR (p7) further contended that applying convergence to modelled survival outcomes w</w:t>
      </w:r>
      <w:r w:rsidR="00133B8B" w:rsidRPr="00786D0E">
        <w:t>ould</w:t>
      </w:r>
      <w:r w:rsidRPr="00786D0E">
        <w:t xml:space="preserve"> not </w:t>
      </w:r>
      <w:r w:rsidR="00133B8B" w:rsidRPr="00786D0E">
        <w:t xml:space="preserve">be </w:t>
      </w:r>
      <w:r w:rsidRPr="00786D0E">
        <w:t xml:space="preserve">appropriate because there was no reliable evidence on the long-term outcomes of patients treated with </w:t>
      </w:r>
      <w:proofErr w:type="spellStart"/>
      <w:r w:rsidRPr="00786D0E">
        <w:t>crizotinib</w:t>
      </w:r>
      <w:proofErr w:type="spellEnd"/>
      <w:r w:rsidRPr="00786D0E">
        <w:t>.</w:t>
      </w:r>
    </w:p>
    <w:p w:rsidR="00E445A6" w:rsidRPr="00786D0E" w:rsidRDefault="00E445A6" w:rsidP="000D39E9">
      <w:pPr>
        <w:pStyle w:val="ListParagraph"/>
        <w:numPr>
          <w:ilvl w:val="2"/>
          <w:numId w:val="2"/>
        </w:numPr>
        <w:tabs>
          <w:tab w:val="left" w:pos="1134"/>
        </w:tabs>
        <w:spacing w:before="0" w:after="120"/>
        <w:ind w:left="1134" w:hanging="425"/>
        <w:jc w:val="both"/>
      </w:pPr>
      <w:r w:rsidRPr="00786D0E">
        <w:t>The ESC</w:t>
      </w:r>
      <w:r w:rsidR="001B4781" w:rsidRPr="00786D0E">
        <w:t>s</w:t>
      </w:r>
      <w:r w:rsidRPr="00786D0E">
        <w:t xml:space="preserve"> noted the PSCR’s arguments,</w:t>
      </w:r>
      <w:r w:rsidR="00417802" w:rsidRPr="00786D0E">
        <w:t xml:space="preserve"> but considered that even if a 10</w:t>
      </w:r>
      <w:r w:rsidR="00133B8B" w:rsidRPr="00786D0E">
        <w:t>-</w:t>
      </w:r>
      <w:r w:rsidR="00417802" w:rsidRPr="00786D0E">
        <w:t>year time horizon was accepted, the lack of convergence was implausible.</w:t>
      </w:r>
    </w:p>
    <w:p w:rsidR="00417802" w:rsidRPr="0098375A" w:rsidRDefault="00417802" w:rsidP="000D39E9">
      <w:pPr>
        <w:pStyle w:val="ListParagraph"/>
        <w:numPr>
          <w:ilvl w:val="2"/>
          <w:numId w:val="2"/>
        </w:numPr>
        <w:tabs>
          <w:tab w:val="left" w:pos="1134"/>
        </w:tabs>
        <w:spacing w:before="0" w:after="120"/>
        <w:ind w:left="1134" w:hanging="425"/>
        <w:jc w:val="both"/>
      </w:pPr>
      <w:r w:rsidRPr="0098375A">
        <w:t>The ESC</w:t>
      </w:r>
      <w:r w:rsidR="001B4781" w:rsidRPr="0098375A">
        <w:t>s</w:t>
      </w:r>
      <w:r w:rsidRPr="0098375A">
        <w:t xml:space="preserve"> considered that a multivariate sensitivity analysis forcing the </w:t>
      </w:r>
      <w:proofErr w:type="spellStart"/>
      <w:r w:rsidRPr="0098375A">
        <w:t>crizotinib</w:t>
      </w:r>
      <w:proofErr w:type="spellEnd"/>
      <w:r w:rsidRPr="0098375A">
        <w:t xml:space="preserve"> OS curve to 0% alive at 10 years, along with a </w:t>
      </w:r>
      <w:proofErr w:type="spellStart"/>
      <w:r w:rsidRPr="0098375A">
        <w:t>pemetrexed</w:t>
      </w:r>
      <w:proofErr w:type="spellEnd"/>
      <w:r w:rsidRPr="0098375A">
        <w:t xml:space="preserve"> OS curve</w:t>
      </w:r>
      <w:r w:rsidR="001F3354" w:rsidRPr="0098375A">
        <w:t xml:space="preserve"> </w:t>
      </w:r>
      <w:r w:rsidR="0098375A" w:rsidRPr="0098375A">
        <w:t xml:space="preserve">which would be </w:t>
      </w:r>
      <w:r w:rsidR="001F3354" w:rsidRPr="0098375A">
        <w:t>more reflective of current treatment practice</w:t>
      </w:r>
      <w:r w:rsidRPr="0098375A">
        <w:t xml:space="preserve">, would provide further information on the realistic cost-effectiveness of </w:t>
      </w:r>
      <w:proofErr w:type="spellStart"/>
      <w:r w:rsidRPr="0098375A">
        <w:t>crizotinib</w:t>
      </w:r>
      <w:proofErr w:type="spellEnd"/>
      <w:r w:rsidRPr="0098375A">
        <w:t>.</w:t>
      </w:r>
    </w:p>
    <w:p w:rsidR="009B6207" w:rsidRPr="00786D0E" w:rsidRDefault="009B6207" w:rsidP="001F3354">
      <w:pPr>
        <w:pStyle w:val="ListParagraph"/>
        <w:numPr>
          <w:ilvl w:val="1"/>
          <w:numId w:val="2"/>
        </w:numPr>
        <w:spacing w:before="0" w:after="120"/>
        <w:jc w:val="both"/>
      </w:pPr>
      <w:r w:rsidRPr="00786D0E">
        <w:t xml:space="preserve">The submission assumed </w:t>
      </w:r>
      <w:proofErr w:type="spellStart"/>
      <w:r w:rsidRPr="00786D0E">
        <w:t>crizotinib</w:t>
      </w:r>
      <w:proofErr w:type="spellEnd"/>
      <w:r w:rsidRPr="00786D0E">
        <w:t xml:space="preserve"> would be used on average for </w:t>
      </w:r>
      <w:r w:rsidR="001144C3">
        <w:rPr>
          <w:noProof/>
          <w:color w:val="000000"/>
          <w:highlight w:val="black"/>
        </w:rPr>
        <w:t>''''''''</w:t>
      </w:r>
      <w:r w:rsidRPr="00786D0E">
        <w:t xml:space="preserve"> months. However, the mean </w:t>
      </w:r>
      <w:r w:rsidR="00804D11" w:rsidRPr="00786D0E">
        <w:t>PFS</w:t>
      </w:r>
      <w:r w:rsidRPr="00786D0E">
        <w:t xml:space="preserve"> was </w:t>
      </w:r>
      <w:r w:rsidR="001144C3">
        <w:rPr>
          <w:noProof/>
          <w:color w:val="000000"/>
          <w:highlight w:val="black"/>
        </w:rPr>
        <w:t>''''''''</w:t>
      </w:r>
      <w:r w:rsidRPr="00786D0E">
        <w:t xml:space="preserve"> months. The PSCR (p5) argued that this difference was due to treatment discontinuations that would be inevitable in clinical practice. The ESC</w:t>
      </w:r>
      <w:r w:rsidR="001B4781" w:rsidRPr="00786D0E">
        <w:t>s</w:t>
      </w:r>
      <w:r w:rsidRPr="00786D0E">
        <w:t xml:space="preserve"> noted that increasing the mean modelled treatment duration to </w:t>
      </w:r>
      <w:r w:rsidR="001144C3">
        <w:rPr>
          <w:noProof/>
          <w:color w:val="000000"/>
          <w:highlight w:val="black"/>
        </w:rPr>
        <w:t>''''''''</w:t>
      </w:r>
      <w:r w:rsidRPr="00786D0E">
        <w:t xml:space="preserve"> months increased the ICER from a base case </w:t>
      </w:r>
      <w:r w:rsidR="00804D11" w:rsidRPr="00786D0E">
        <w:t xml:space="preserve">of </w:t>
      </w:r>
      <w:r w:rsidR="00076247">
        <w:t>QALY$45,000/QALY - $75,000/QALY</w:t>
      </w:r>
      <w:r w:rsidRPr="00786D0E">
        <w:t>.</w:t>
      </w:r>
    </w:p>
    <w:p w:rsidR="00AC59CA" w:rsidRPr="00786D0E" w:rsidRDefault="00AC59CA" w:rsidP="00AC59CA">
      <w:pPr>
        <w:pStyle w:val="Heading2"/>
        <w:jc w:val="both"/>
      </w:pPr>
      <w:bookmarkStart w:id="18" w:name="_Toc413139283"/>
      <w:bookmarkStart w:id="19" w:name="_Toc491433495"/>
      <w:r w:rsidRPr="00786D0E">
        <w:t>Drug cost/patient/course: $</w:t>
      </w:r>
      <w:bookmarkEnd w:id="18"/>
      <w:bookmarkEnd w:id="19"/>
      <w:r w:rsidR="001144C3">
        <w:rPr>
          <w:noProof/>
          <w:color w:val="000000"/>
          <w:highlight w:val="black"/>
        </w:rPr>
        <w:t>''''''''''''''''</w:t>
      </w:r>
    </w:p>
    <w:p w:rsidR="00AC59CA" w:rsidRPr="00786D0E" w:rsidRDefault="00AC59CA" w:rsidP="000D39E9">
      <w:pPr>
        <w:pStyle w:val="ListParagraph"/>
        <w:numPr>
          <w:ilvl w:val="1"/>
          <w:numId w:val="2"/>
        </w:numPr>
        <w:spacing w:before="0" w:after="120"/>
        <w:jc w:val="both"/>
      </w:pPr>
      <w:r w:rsidRPr="00786D0E">
        <w:t>The estimate of $</w:t>
      </w:r>
      <w:r w:rsidR="001144C3">
        <w:rPr>
          <w:noProof/>
          <w:color w:val="000000"/>
          <w:highlight w:val="black"/>
        </w:rPr>
        <w:t>''''''''''''''''</w:t>
      </w:r>
      <w:r w:rsidRPr="00786D0E">
        <w:t xml:space="preserve"> assumed a cost of $</w:t>
      </w:r>
      <w:r w:rsidR="001144C3">
        <w:rPr>
          <w:noProof/>
          <w:color w:val="000000"/>
          <w:highlight w:val="black"/>
        </w:rPr>
        <w:t>'''''''''''</w:t>
      </w:r>
      <w:r w:rsidRPr="00786D0E">
        <w:t xml:space="preserve"> per pack for 30 days treatment at 100% dose intensity for a 19.7 month treatment course. The treatment duration was based on the weighted median treatment duration from the two </w:t>
      </w:r>
      <w:proofErr w:type="spellStart"/>
      <w:r w:rsidRPr="00786D0E">
        <w:t>crizotinib</w:t>
      </w:r>
      <w:proofErr w:type="spellEnd"/>
      <w:r w:rsidRPr="00786D0E">
        <w:t xml:space="preserve"> studies. A course of </w:t>
      </w:r>
      <w:proofErr w:type="spellStart"/>
      <w:r w:rsidRPr="00786D0E">
        <w:t>pemetrexed</w:t>
      </w:r>
      <w:proofErr w:type="spellEnd"/>
      <w:r w:rsidRPr="00786D0E">
        <w:t xml:space="preserve"> costs $</w:t>
      </w:r>
      <w:r w:rsidR="001144C3">
        <w:rPr>
          <w:noProof/>
          <w:color w:val="000000"/>
          <w:highlight w:val="black"/>
        </w:rPr>
        <w:t>'''''''''''</w:t>
      </w:r>
      <w:r w:rsidRPr="00786D0E">
        <w:t xml:space="preserve"> for six 21-day cycles of treatment, excluding che</w:t>
      </w:r>
      <w:r w:rsidR="00133B8B" w:rsidRPr="00786D0E">
        <w:t>motherapy administration costs.</w:t>
      </w:r>
    </w:p>
    <w:p w:rsidR="00AC59CA" w:rsidRPr="00786D0E" w:rsidRDefault="00AC59CA" w:rsidP="00AC59CA">
      <w:pPr>
        <w:pStyle w:val="Heading2"/>
        <w:jc w:val="both"/>
      </w:pPr>
      <w:bookmarkStart w:id="20" w:name="_Toc413139284"/>
      <w:bookmarkStart w:id="21" w:name="_Toc491433496"/>
      <w:r w:rsidRPr="00786D0E">
        <w:t>Estimated MBS and PBS usage &amp; financial implications</w:t>
      </w:r>
      <w:bookmarkEnd w:id="20"/>
      <w:bookmarkEnd w:id="21"/>
    </w:p>
    <w:p w:rsidR="00AC59CA" w:rsidRPr="00786D0E" w:rsidRDefault="00AC59CA" w:rsidP="000D39E9">
      <w:pPr>
        <w:pStyle w:val="ListParagraph"/>
        <w:numPr>
          <w:ilvl w:val="1"/>
          <w:numId w:val="2"/>
        </w:numPr>
        <w:spacing w:before="0" w:after="120"/>
        <w:jc w:val="both"/>
      </w:pPr>
      <w:r w:rsidRPr="00786D0E">
        <w:t xml:space="preserve">This submission </w:t>
      </w:r>
      <w:r w:rsidR="00133B8B" w:rsidRPr="00786D0E">
        <w:t>was</w:t>
      </w:r>
      <w:r w:rsidRPr="00786D0E">
        <w:t xml:space="preserve"> not considered by DUSC</w:t>
      </w:r>
      <w:r w:rsidRPr="00786D0E">
        <w:rPr>
          <w:color w:val="4472C4" w:themeColor="accent5"/>
        </w:rPr>
        <w:t xml:space="preserve">. </w:t>
      </w:r>
      <w:r w:rsidRPr="00786D0E">
        <w:t>The submission appropriately used an incidence-based epidemiological approach to estimate us</w:t>
      </w:r>
      <w:r w:rsidR="00133B8B" w:rsidRPr="00786D0E">
        <w:t>age and financial implications.</w:t>
      </w:r>
    </w:p>
    <w:p w:rsidR="00AC59CA" w:rsidRPr="00786D0E" w:rsidRDefault="00AC59CA" w:rsidP="00AC59CA">
      <w:pPr>
        <w:pStyle w:val="TableHeading0"/>
        <w:jc w:val="both"/>
      </w:pPr>
      <w:r w:rsidRPr="00786D0E">
        <w:lastRenderedPageBreak/>
        <w:t>Table 11:</w:t>
      </w:r>
      <w:r w:rsidRPr="00786D0E">
        <w:rPr>
          <w:color w:val="4472C4" w:themeColor="accent5"/>
        </w:rPr>
        <w:t xml:space="preserve"> </w:t>
      </w:r>
      <w:r w:rsidRPr="00786D0E">
        <w:t>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4"/>
        <w:gridCol w:w="1133"/>
        <w:gridCol w:w="992"/>
        <w:gridCol w:w="992"/>
        <w:gridCol w:w="1136"/>
        <w:gridCol w:w="990"/>
        <w:gridCol w:w="1037"/>
      </w:tblGrid>
      <w:tr w:rsidR="00AC59CA" w:rsidRPr="00786D0E" w:rsidTr="001F354C">
        <w:trPr>
          <w:tblHeader/>
        </w:trPr>
        <w:tc>
          <w:tcPr>
            <w:tcW w:w="1512" w:type="pct"/>
            <w:tcBorders>
              <w:bottom w:val="single" w:sz="4" w:space="0" w:color="auto"/>
            </w:tcBorders>
            <w:shd w:val="clear" w:color="auto" w:fill="auto"/>
            <w:vAlign w:val="center"/>
          </w:tcPr>
          <w:p w:rsidR="00AC59CA" w:rsidRPr="00786D0E" w:rsidRDefault="00AC59CA" w:rsidP="001F354C">
            <w:pPr>
              <w:pStyle w:val="TableText"/>
              <w:jc w:val="both"/>
            </w:pPr>
          </w:p>
        </w:tc>
        <w:tc>
          <w:tcPr>
            <w:tcW w:w="629" w:type="pct"/>
            <w:tcBorders>
              <w:bottom w:val="single" w:sz="4" w:space="0" w:color="auto"/>
            </w:tcBorders>
            <w:shd w:val="clear" w:color="auto" w:fill="auto"/>
            <w:vAlign w:val="center"/>
          </w:tcPr>
          <w:p w:rsidR="00AC59CA" w:rsidRPr="00786D0E" w:rsidRDefault="00AC59CA" w:rsidP="001F354C">
            <w:pPr>
              <w:pStyle w:val="TableText"/>
              <w:jc w:val="center"/>
              <w:rPr>
                <w:b/>
              </w:rPr>
            </w:pPr>
            <w:r w:rsidRPr="00786D0E">
              <w:rPr>
                <w:b/>
              </w:rPr>
              <w:t>Year 1</w:t>
            </w:r>
          </w:p>
        </w:tc>
        <w:tc>
          <w:tcPr>
            <w:tcW w:w="551" w:type="pct"/>
            <w:tcBorders>
              <w:bottom w:val="single" w:sz="4" w:space="0" w:color="auto"/>
            </w:tcBorders>
            <w:shd w:val="clear" w:color="auto" w:fill="auto"/>
            <w:vAlign w:val="center"/>
          </w:tcPr>
          <w:p w:rsidR="00AC59CA" w:rsidRPr="00786D0E" w:rsidRDefault="00AC59CA" w:rsidP="001F354C">
            <w:pPr>
              <w:pStyle w:val="TableText"/>
              <w:jc w:val="center"/>
              <w:rPr>
                <w:b/>
              </w:rPr>
            </w:pPr>
            <w:r w:rsidRPr="00786D0E">
              <w:rPr>
                <w:b/>
              </w:rPr>
              <w:t>Year 2</w:t>
            </w:r>
          </w:p>
        </w:tc>
        <w:tc>
          <w:tcPr>
            <w:tcW w:w="551" w:type="pct"/>
            <w:tcBorders>
              <w:bottom w:val="single" w:sz="4" w:space="0" w:color="auto"/>
            </w:tcBorders>
            <w:shd w:val="clear" w:color="auto" w:fill="auto"/>
            <w:vAlign w:val="center"/>
          </w:tcPr>
          <w:p w:rsidR="00AC59CA" w:rsidRPr="00786D0E" w:rsidRDefault="00AC59CA" w:rsidP="001F354C">
            <w:pPr>
              <w:pStyle w:val="TableText"/>
              <w:jc w:val="center"/>
              <w:rPr>
                <w:b/>
              </w:rPr>
            </w:pPr>
            <w:r w:rsidRPr="00786D0E">
              <w:rPr>
                <w:b/>
              </w:rPr>
              <w:t>Year 3</w:t>
            </w:r>
          </w:p>
        </w:tc>
        <w:tc>
          <w:tcPr>
            <w:tcW w:w="631" w:type="pct"/>
            <w:tcBorders>
              <w:bottom w:val="single" w:sz="4" w:space="0" w:color="auto"/>
            </w:tcBorders>
            <w:shd w:val="clear" w:color="auto" w:fill="auto"/>
            <w:vAlign w:val="center"/>
          </w:tcPr>
          <w:p w:rsidR="00AC59CA" w:rsidRPr="00786D0E" w:rsidRDefault="00AC59CA" w:rsidP="001F354C">
            <w:pPr>
              <w:pStyle w:val="TableText"/>
              <w:jc w:val="center"/>
              <w:rPr>
                <w:b/>
              </w:rPr>
            </w:pPr>
            <w:r w:rsidRPr="00786D0E">
              <w:rPr>
                <w:b/>
              </w:rPr>
              <w:t>Year 4</w:t>
            </w:r>
          </w:p>
        </w:tc>
        <w:tc>
          <w:tcPr>
            <w:tcW w:w="550" w:type="pct"/>
            <w:tcBorders>
              <w:bottom w:val="single" w:sz="4" w:space="0" w:color="auto"/>
            </w:tcBorders>
            <w:shd w:val="clear" w:color="auto" w:fill="auto"/>
            <w:vAlign w:val="center"/>
          </w:tcPr>
          <w:p w:rsidR="00AC59CA" w:rsidRPr="00786D0E" w:rsidRDefault="00AC59CA" w:rsidP="001F354C">
            <w:pPr>
              <w:pStyle w:val="TableText"/>
              <w:jc w:val="center"/>
              <w:rPr>
                <w:b/>
              </w:rPr>
            </w:pPr>
            <w:r w:rsidRPr="00786D0E">
              <w:rPr>
                <w:b/>
              </w:rPr>
              <w:t>Year 5</w:t>
            </w:r>
          </w:p>
        </w:tc>
        <w:tc>
          <w:tcPr>
            <w:tcW w:w="576" w:type="pct"/>
            <w:tcBorders>
              <w:bottom w:val="single" w:sz="4" w:space="0" w:color="auto"/>
            </w:tcBorders>
          </w:tcPr>
          <w:p w:rsidR="00AC59CA" w:rsidRPr="00786D0E" w:rsidRDefault="00AC59CA" w:rsidP="001F354C">
            <w:pPr>
              <w:pStyle w:val="TableText"/>
              <w:jc w:val="center"/>
              <w:rPr>
                <w:b/>
              </w:rPr>
            </w:pPr>
            <w:r w:rsidRPr="00786D0E">
              <w:rPr>
                <w:b/>
              </w:rPr>
              <w:t>Year 6</w:t>
            </w:r>
          </w:p>
        </w:tc>
      </w:tr>
      <w:tr w:rsidR="00AC59CA" w:rsidRPr="00786D0E" w:rsidTr="001F354C">
        <w:trPr>
          <w:tblHeader/>
        </w:trPr>
        <w:tc>
          <w:tcPr>
            <w:tcW w:w="1512" w:type="pct"/>
            <w:tcBorders>
              <w:right w:val="nil"/>
            </w:tcBorders>
            <w:shd w:val="clear" w:color="auto" w:fill="auto"/>
            <w:vAlign w:val="center"/>
          </w:tcPr>
          <w:p w:rsidR="00AC59CA" w:rsidRPr="00786D0E" w:rsidRDefault="00420D95" w:rsidP="001F354C">
            <w:pPr>
              <w:pStyle w:val="TableText"/>
              <w:jc w:val="both"/>
              <w:rPr>
                <w:b/>
              </w:rPr>
            </w:pPr>
            <w:r w:rsidRPr="00786D0E">
              <w:rPr>
                <w:b/>
                <w:i/>
              </w:rPr>
              <w:t>ROS1</w:t>
            </w:r>
            <w:r w:rsidR="00AC59CA" w:rsidRPr="00786D0E">
              <w:rPr>
                <w:b/>
              </w:rPr>
              <w:t xml:space="preserve"> testing</w:t>
            </w:r>
          </w:p>
        </w:tc>
        <w:tc>
          <w:tcPr>
            <w:tcW w:w="629" w:type="pct"/>
            <w:tcBorders>
              <w:left w:val="nil"/>
              <w:right w:val="nil"/>
            </w:tcBorders>
            <w:shd w:val="clear" w:color="auto" w:fill="auto"/>
            <w:vAlign w:val="center"/>
          </w:tcPr>
          <w:p w:rsidR="00AC59CA" w:rsidRPr="00786D0E" w:rsidRDefault="00AC59CA" w:rsidP="001F354C">
            <w:pPr>
              <w:pStyle w:val="TableText"/>
              <w:jc w:val="both"/>
              <w:rPr>
                <w:b/>
              </w:rPr>
            </w:pPr>
          </w:p>
        </w:tc>
        <w:tc>
          <w:tcPr>
            <w:tcW w:w="551" w:type="pct"/>
            <w:tcBorders>
              <w:left w:val="nil"/>
              <w:right w:val="nil"/>
            </w:tcBorders>
            <w:shd w:val="clear" w:color="auto" w:fill="auto"/>
            <w:vAlign w:val="center"/>
          </w:tcPr>
          <w:p w:rsidR="00AC59CA" w:rsidRPr="00786D0E" w:rsidRDefault="00AC59CA" w:rsidP="001F354C">
            <w:pPr>
              <w:pStyle w:val="TableText"/>
              <w:jc w:val="both"/>
              <w:rPr>
                <w:b/>
              </w:rPr>
            </w:pPr>
          </w:p>
        </w:tc>
        <w:tc>
          <w:tcPr>
            <w:tcW w:w="551" w:type="pct"/>
            <w:tcBorders>
              <w:left w:val="nil"/>
              <w:right w:val="nil"/>
            </w:tcBorders>
            <w:shd w:val="clear" w:color="auto" w:fill="auto"/>
            <w:vAlign w:val="center"/>
          </w:tcPr>
          <w:p w:rsidR="00AC59CA" w:rsidRPr="00786D0E" w:rsidRDefault="00AC59CA" w:rsidP="001F354C">
            <w:pPr>
              <w:pStyle w:val="TableText"/>
              <w:jc w:val="both"/>
              <w:rPr>
                <w:b/>
              </w:rPr>
            </w:pPr>
          </w:p>
        </w:tc>
        <w:tc>
          <w:tcPr>
            <w:tcW w:w="631" w:type="pct"/>
            <w:tcBorders>
              <w:left w:val="nil"/>
              <w:right w:val="nil"/>
            </w:tcBorders>
            <w:shd w:val="clear" w:color="auto" w:fill="auto"/>
            <w:vAlign w:val="center"/>
          </w:tcPr>
          <w:p w:rsidR="00AC59CA" w:rsidRPr="00786D0E" w:rsidRDefault="00AC59CA" w:rsidP="001F354C">
            <w:pPr>
              <w:pStyle w:val="TableText"/>
              <w:jc w:val="both"/>
              <w:rPr>
                <w:b/>
              </w:rPr>
            </w:pPr>
          </w:p>
        </w:tc>
        <w:tc>
          <w:tcPr>
            <w:tcW w:w="550" w:type="pct"/>
            <w:tcBorders>
              <w:left w:val="nil"/>
              <w:right w:val="nil"/>
            </w:tcBorders>
            <w:shd w:val="clear" w:color="auto" w:fill="auto"/>
            <w:vAlign w:val="center"/>
          </w:tcPr>
          <w:p w:rsidR="00AC59CA" w:rsidRPr="00786D0E" w:rsidRDefault="00AC59CA" w:rsidP="001F354C">
            <w:pPr>
              <w:pStyle w:val="TableText"/>
              <w:jc w:val="both"/>
              <w:rPr>
                <w:b/>
              </w:rPr>
            </w:pPr>
          </w:p>
        </w:tc>
        <w:tc>
          <w:tcPr>
            <w:tcW w:w="576" w:type="pct"/>
            <w:tcBorders>
              <w:left w:val="nil"/>
            </w:tcBorders>
          </w:tcPr>
          <w:p w:rsidR="00AC59CA" w:rsidRPr="00786D0E" w:rsidRDefault="00AC59CA" w:rsidP="001F354C">
            <w:pPr>
              <w:pStyle w:val="TableText"/>
              <w:jc w:val="both"/>
              <w:rPr>
                <w:b/>
              </w:rPr>
            </w:pPr>
          </w:p>
        </w:tc>
      </w:tr>
      <w:tr w:rsidR="00AC59CA" w:rsidRPr="00786D0E" w:rsidTr="001F354C">
        <w:trPr>
          <w:tblHeader/>
        </w:trPr>
        <w:tc>
          <w:tcPr>
            <w:tcW w:w="1512" w:type="pct"/>
            <w:shd w:val="clear" w:color="auto" w:fill="auto"/>
            <w:vAlign w:val="center"/>
          </w:tcPr>
          <w:p w:rsidR="00AC59CA" w:rsidRPr="00786D0E" w:rsidRDefault="00AC59CA" w:rsidP="001F354C">
            <w:pPr>
              <w:pStyle w:val="TableText"/>
              <w:jc w:val="both"/>
            </w:pPr>
            <w:r w:rsidRPr="00786D0E">
              <w:t>IHC</w:t>
            </w:r>
          </w:p>
        </w:tc>
        <w:tc>
          <w:tcPr>
            <w:tcW w:w="629"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1F354C">
            <w:pPr>
              <w:pStyle w:val="TableText"/>
              <w:jc w:val="center"/>
              <w:rPr>
                <w:highlight w:val="black"/>
              </w:rPr>
            </w:pPr>
            <w:r>
              <w:rPr>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1F354C">
            <w:pPr>
              <w:pStyle w:val="TableText"/>
              <w:jc w:val="center"/>
              <w:rPr>
                <w:highlight w:val="black"/>
              </w:rPr>
            </w:pPr>
            <w:r>
              <w:rPr>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1F354C">
            <w:pPr>
              <w:pStyle w:val="TableText"/>
              <w:jc w:val="center"/>
              <w:rPr>
                <w:highlight w:val="black"/>
              </w:rPr>
            </w:pPr>
            <w:r>
              <w:rPr>
                <w:noProof/>
                <w:color w:val="000000"/>
                <w:szCs w:val="20"/>
                <w:highlight w:val="black"/>
              </w:rPr>
              <w:t>'''''''''''''</w:t>
            </w:r>
          </w:p>
        </w:tc>
        <w:tc>
          <w:tcPr>
            <w:tcW w:w="63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1F354C">
            <w:pPr>
              <w:pStyle w:val="TableText"/>
              <w:jc w:val="center"/>
              <w:rPr>
                <w:highlight w:val="black"/>
              </w:rPr>
            </w:pPr>
            <w:r>
              <w:rPr>
                <w:noProof/>
                <w:color w:val="000000"/>
                <w:szCs w:val="2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1F354C">
            <w:pPr>
              <w:pStyle w:val="TableText"/>
              <w:jc w:val="center"/>
              <w:rPr>
                <w:highlight w:val="black"/>
              </w:rPr>
            </w:pPr>
            <w:r>
              <w:rPr>
                <w:noProof/>
                <w:color w:val="000000"/>
                <w:szCs w:val="20"/>
                <w:highlight w:val="black"/>
              </w:rPr>
              <w:t>''''''''''''''</w:t>
            </w:r>
          </w:p>
        </w:tc>
        <w:tc>
          <w:tcPr>
            <w:tcW w:w="576"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1F354C">
            <w:pPr>
              <w:pStyle w:val="TableText"/>
              <w:jc w:val="center"/>
              <w:rPr>
                <w:highlight w:val="black"/>
              </w:rPr>
            </w:pPr>
            <w:r>
              <w:rPr>
                <w:noProof/>
                <w:color w:val="000000"/>
                <w:szCs w:val="20"/>
                <w:highlight w:val="black"/>
              </w:rPr>
              <w:t>'''''''''''''</w:t>
            </w:r>
          </w:p>
        </w:tc>
      </w:tr>
      <w:tr w:rsidR="00AC59CA" w:rsidRPr="00786D0E" w:rsidTr="001F354C">
        <w:trPr>
          <w:tblHeader/>
        </w:trPr>
        <w:tc>
          <w:tcPr>
            <w:tcW w:w="1512" w:type="pct"/>
            <w:shd w:val="clear" w:color="auto" w:fill="auto"/>
            <w:vAlign w:val="center"/>
          </w:tcPr>
          <w:p w:rsidR="00AC59CA" w:rsidRPr="00786D0E" w:rsidRDefault="00AC59CA" w:rsidP="001F354C">
            <w:pPr>
              <w:pStyle w:val="TableText"/>
              <w:jc w:val="both"/>
            </w:pPr>
            <w:r w:rsidRPr="00786D0E">
              <w:t>FISH</w:t>
            </w:r>
          </w:p>
        </w:tc>
        <w:tc>
          <w:tcPr>
            <w:tcW w:w="629"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1F354C">
            <w:pPr>
              <w:pStyle w:val="TableText"/>
              <w:jc w:val="center"/>
              <w:rPr>
                <w:highlight w:val="black"/>
              </w:rPr>
            </w:pPr>
            <w:r>
              <w:rPr>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1F354C">
            <w:pPr>
              <w:pStyle w:val="TableText"/>
              <w:jc w:val="center"/>
              <w:rPr>
                <w:highlight w:val="black"/>
              </w:rPr>
            </w:pPr>
            <w:r>
              <w:rPr>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1F354C">
            <w:pPr>
              <w:pStyle w:val="TableText"/>
              <w:jc w:val="center"/>
              <w:rPr>
                <w:highlight w:val="black"/>
              </w:rPr>
            </w:pPr>
            <w:r>
              <w:rPr>
                <w:noProof/>
                <w:color w:val="000000"/>
                <w:szCs w:val="20"/>
                <w:highlight w:val="black"/>
              </w:rPr>
              <w:t>''''''''''</w:t>
            </w:r>
          </w:p>
        </w:tc>
        <w:tc>
          <w:tcPr>
            <w:tcW w:w="63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1F354C">
            <w:pPr>
              <w:pStyle w:val="TableText"/>
              <w:jc w:val="center"/>
              <w:rPr>
                <w:highlight w:val="black"/>
              </w:rPr>
            </w:pPr>
            <w:r>
              <w:rPr>
                <w:noProof/>
                <w:color w:val="000000"/>
                <w:szCs w:val="2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1F354C">
            <w:pPr>
              <w:pStyle w:val="TableText"/>
              <w:jc w:val="center"/>
              <w:rPr>
                <w:highlight w:val="black"/>
              </w:rPr>
            </w:pPr>
            <w:r>
              <w:rPr>
                <w:noProof/>
                <w:color w:val="000000"/>
                <w:szCs w:val="20"/>
                <w:highlight w:val="black"/>
              </w:rPr>
              <w:t>'''''''''</w:t>
            </w:r>
          </w:p>
        </w:tc>
        <w:tc>
          <w:tcPr>
            <w:tcW w:w="576"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1F354C">
            <w:pPr>
              <w:pStyle w:val="TableText"/>
              <w:jc w:val="center"/>
              <w:rPr>
                <w:highlight w:val="black"/>
              </w:rPr>
            </w:pPr>
            <w:r>
              <w:rPr>
                <w:noProof/>
                <w:color w:val="000000"/>
                <w:szCs w:val="20"/>
                <w:highlight w:val="black"/>
              </w:rPr>
              <w:t>''''''''''</w:t>
            </w:r>
          </w:p>
        </w:tc>
      </w:tr>
      <w:tr w:rsidR="00AC59CA" w:rsidRPr="00786D0E" w:rsidTr="001F354C">
        <w:tc>
          <w:tcPr>
            <w:tcW w:w="5000" w:type="pct"/>
            <w:gridSpan w:val="7"/>
            <w:shd w:val="clear" w:color="auto" w:fill="auto"/>
            <w:vAlign w:val="center"/>
          </w:tcPr>
          <w:p w:rsidR="00AC59CA" w:rsidRPr="00786D0E" w:rsidRDefault="00AC59CA" w:rsidP="001F354C">
            <w:pPr>
              <w:pStyle w:val="TableText"/>
              <w:jc w:val="both"/>
              <w:rPr>
                <w:b/>
                <w:bCs/>
                <w:color w:val="000000"/>
              </w:rPr>
            </w:pPr>
            <w:r w:rsidRPr="00786D0E">
              <w:rPr>
                <w:b/>
                <w:bCs/>
                <w:color w:val="000000"/>
              </w:rPr>
              <w:t>Estimated extent of use</w:t>
            </w:r>
          </w:p>
        </w:tc>
      </w:tr>
      <w:tr w:rsidR="00AC59CA" w:rsidRPr="00786D0E" w:rsidTr="001F354C">
        <w:tc>
          <w:tcPr>
            <w:tcW w:w="1512" w:type="pct"/>
            <w:shd w:val="clear" w:color="auto" w:fill="auto"/>
            <w:vAlign w:val="center"/>
          </w:tcPr>
          <w:p w:rsidR="00AC59CA" w:rsidRPr="00786D0E" w:rsidRDefault="00AC59CA" w:rsidP="001F354C">
            <w:pPr>
              <w:pStyle w:val="TableText"/>
              <w:jc w:val="both"/>
              <w:rPr>
                <w:rFonts w:ascii="Times" w:eastAsia="Times New Roman" w:hAnsi="Times" w:cs="Times New Roman"/>
              </w:rPr>
            </w:pPr>
            <w:r w:rsidRPr="00786D0E">
              <w:t>Number of patients treated</w:t>
            </w:r>
          </w:p>
        </w:tc>
        <w:tc>
          <w:tcPr>
            <w:tcW w:w="629" w:type="pct"/>
            <w:shd w:val="clear" w:color="auto" w:fill="auto"/>
          </w:tcPr>
          <w:p w:rsidR="00AC59CA" w:rsidRPr="00786D0E" w:rsidRDefault="001144C3" w:rsidP="001F354C">
            <w:pPr>
              <w:pStyle w:val="TableText"/>
              <w:jc w:val="center"/>
              <w:rPr>
                <w:bCs/>
                <w:color w:val="000000"/>
              </w:rPr>
            </w:pPr>
            <w:r>
              <w:rPr>
                <w:noProof/>
                <w:color w:val="000000"/>
                <w:highlight w:val="black"/>
              </w:rPr>
              <w:t>'''''''</w:t>
            </w:r>
            <w:r w:rsidR="00AC59CA" w:rsidRPr="00786D0E">
              <w:rPr>
                <w:vertAlign w:val="superscript"/>
              </w:rPr>
              <w:t xml:space="preserve"> a</w:t>
            </w:r>
          </w:p>
        </w:tc>
        <w:tc>
          <w:tcPr>
            <w:tcW w:w="551" w:type="pct"/>
            <w:shd w:val="clear" w:color="auto" w:fill="auto"/>
          </w:tcPr>
          <w:p w:rsidR="00AC59CA" w:rsidRPr="001144C3" w:rsidRDefault="001144C3" w:rsidP="001F354C">
            <w:pPr>
              <w:pStyle w:val="TableText"/>
              <w:jc w:val="center"/>
              <w:rPr>
                <w:bCs/>
                <w:color w:val="000000"/>
                <w:highlight w:val="black"/>
              </w:rPr>
            </w:pPr>
            <w:r>
              <w:rPr>
                <w:noProof/>
                <w:color w:val="000000"/>
                <w:highlight w:val="black"/>
              </w:rPr>
              <w:t>''''''</w:t>
            </w:r>
          </w:p>
        </w:tc>
        <w:tc>
          <w:tcPr>
            <w:tcW w:w="551" w:type="pct"/>
            <w:shd w:val="clear" w:color="auto" w:fill="auto"/>
          </w:tcPr>
          <w:p w:rsidR="00AC59CA" w:rsidRPr="001144C3" w:rsidRDefault="001144C3" w:rsidP="001F354C">
            <w:pPr>
              <w:pStyle w:val="TableText"/>
              <w:jc w:val="center"/>
              <w:rPr>
                <w:bCs/>
                <w:color w:val="000000"/>
                <w:highlight w:val="black"/>
              </w:rPr>
            </w:pPr>
            <w:r>
              <w:rPr>
                <w:noProof/>
                <w:color w:val="000000"/>
                <w:highlight w:val="black"/>
              </w:rPr>
              <w:t>'''''''</w:t>
            </w:r>
          </w:p>
        </w:tc>
        <w:tc>
          <w:tcPr>
            <w:tcW w:w="631" w:type="pct"/>
            <w:shd w:val="clear" w:color="auto" w:fill="auto"/>
          </w:tcPr>
          <w:p w:rsidR="00AC59CA" w:rsidRPr="001144C3" w:rsidRDefault="001144C3" w:rsidP="001F354C">
            <w:pPr>
              <w:pStyle w:val="TableText"/>
              <w:jc w:val="center"/>
              <w:rPr>
                <w:bCs/>
                <w:color w:val="000000"/>
                <w:highlight w:val="black"/>
              </w:rPr>
            </w:pPr>
            <w:r>
              <w:rPr>
                <w:noProof/>
                <w:color w:val="000000"/>
                <w:highlight w:val="black"/>
              </w:rPr>
              <w:t>''''''</w:t>
            </w:r>
          </w:p>
        </w:tc>
        <w:tc>
          <w:tcPr>
            <w:tcW w:w="550" w:type="pct"/>
            <w:shd w:val="clear" w:color="auto" w:fill="auto"/>
          </w:tcPr>
          <w:p w:rsidR="00AC59CA" w:rsidRPr="001144C3" w:rsidRDefault="001144C3" w:rsidP="001F354C">
            <w:pPr>
              <w:pStyle w:val="TableText"/>
              <w:jc w:val="center"/>
              <w:rPr>
                <w:bCs/>
                <w:color w:val="000000"/>
                <w:highlight w:val="black"/>
              </w:rPr>
            </w:pPr>
            <w:r>
              <w:rPr>
                <w:noProof/>
                <w:color w:val="000000"/>
                <w:highlight w:val="black"/>
              </w:rPr>
              <w:t>''''''</w:t>
            </w:r>
          </w:p>
        </w:tc>
        <w:tc>
          <w:tcPr>
            <w:tcW w:w="576" w:type="pct"/>
          </w:tcPr>
          <w:p w:rsidR="00AC59CA" w:rsidRPr="001144C3" w:rsidRDefault="001144C3" w:rsidP="001F354C">
            <w:pPr>
              <w:pStyle w:val="TableText"/>
              <w:jc w:val="center"/>
              <w:rPr>
                <w:bCs/>
                <w:color w:val="000000"/>
                <w:highlight w:val="black"/>
              </w:rPr>
            </w:pPr>
            <w:r>
              <w:rPr>
                <w:noProof/>
                <w:color w:val="000000"/>
                <w:highlight w:val="black"/>
              </w:rPr>
              <w:t>'''''''</w:t>
            </w:r>
          </w:p>
        </w:tc>
      </w:tr>
      <w:tr w:rsidR="00AC59CA" w:rsidRPr="00786D0E" w:rsidTr="001F354C">
        <w:tc>
          <w:tcPr>
            <w:tcW w:w="1512" w:type="pct"/>
            <w:shd w:val="clear" w:color="auto" w:fill="auto"/>
            <w:vAlign w:val="center"/>
          </w:tcPr>
          <w:p w:rsidR="00AC59CA" w:rsidRPr="00786D0E" w:rsidRDefault="00AC59CA" w:rsidP="001F354C">
            <w:pPr>
              <w:pStyle w:val="TableText"/>
              <w:jc w:val="both"/>
              <w:rPr>
                <w:rFonts w:ascii="Times" w:eastAsia="Times New Roman" w:hAnsi="Times" w:cs="Times New Roman"/>
              </w:rPr>
            </w:pPr>
            <w:r w:rsidRPr="00786D0E">
              <w:t xml:space="preserve">Number of scripts dispensed </w:t>
            </w:r>
          </w:p>
        </w:tc>
        <w:tc>
          <w:tcPr>
            <w:tcW w:w="629" w:type="pct"/>
            <w:shd w:val="clear" w:color="auto" w:fill="auto"/>
            <w:vAlign w:val="center"/>
          </w:tcPr>
          <w:p w:rsidR="00AC59CA" w:rsidRPr="001144C3" w:rsidRDefault="001144C3" w:rsidP="001F354C">
            <w:pPr>
              <w:pStyle w:val="TableText"/>
              <w:jc w:val="center"/>
              <w:rPr>
                <w:bCs/>
                <w:color w:val="000000"/>
                <w:highlight w:val="black"/>
              </w:rPr>
            </w:pPr>
            <w:r>
              <w:rPr>
                <w:noProof/>
                <w:color w:val="000000"/>
                <w:highlight w:val="black"/>
              </w:rPr>
              <w:t>''''''''''</w:t>
            </w:r>
          </w:p>
        </w:tc>
        <w:tc>
          <w:tcPr>
            <w:tcW w:w="551" w:type="pct"/>
            <w:shd w:val="clear" w:color="auto" w:fill="auto"/>
            <w:vAlign w:val="center"/>
          </w:tcPr>
          <w:p w:rsidR="00AC59CA" w:rsidRPr="001144C3" w:rsidRDefault="001144C3" w:rsidP="001F354C">
            <w:pPr>
              <w:pStyle w:val="TableText"/>
              <w:jc w:val="center"/>
              <w:rPr>
                <w:bCs/>
                <w:color w:val="000000"/>
                <w:highlight w:val="black"/>
              </w:rPr>
            </w:pPr>
            <w:r>
              <w:rPr>
                <w:noProof/>
                <w:color w:val="000000"/>
                <w:highlight w:val="black"/>
              </w:rPr>
              <w:t>'''''''''</w:t>
            </w:r>
          </w:p>
        </w:tc>
        <w:tc>
          <w:tcPr>
            <w:tcW w:w="551" w:type="pct"/>
            <w:shd w:val="clear" w:color="auto" w:fill="auto"/>
            <w:vAlign w:val="center"/>
          </w:tcPr>
          <w:p w:rsidR="00AC59CA" w:rsidRPr="001144C3" w:rsidRDefault="001144C3" w:rsidP="001F354C">
            <w:pPr>
              <w:pStyle w:val="TableText"/>
              <w:jc w:val="center"/>
              <w:rPr>
                <w:bCs/>
                <w:color w:val="000000"/>
                <w:highlight w:val="black"/>
              </w:rPr>
            </w:pPr>
            <w:r>
              <w:rPr>
                <w:noProof/>
                <w:color w:val="000000"/>
                <w:highlight w:val="black"/>
              </w:rPr>
              <w:t>'''''''''</w:t>
            </w:r>
          </w:p>
        </w:tc>
        <w:tc>
          <w:tcPr>
            <w:tcW w:w="631" w:type="pct"/>
            <w:shd w:val="clear" w:color="auto" w:fill="auto"/>
            <w:vAlign w:val="center"/>
          </w:tcPr>
          <w:p w:rsidR="00AC59CA" w:rsidRPr="001144C3" w:rsidRDefault="001144C3" w:rsidP="001F354C">
            <w:pPr>
              <w:pStyle w:val="TableText"/>
              <w:jc w:val="center"/>
              <w:rPr>
                <w:bCs/>
                <w:color w:val="000000"/>
                <w:highlight w:val="black"/>
              </w:rPr>
            </w:pPr>
            <w:r>
              <w:rPr>
                <w:noProof/>
                <w:color w:val="000000"/>
                <w:highlight w:val="black"/>
              </w:rPr>
              <w:t>'''''''''</w:t>
            </w:r>
          </w:p>
        </w:tc>
        <w:tc>
          <w:tcPr>
            <w:tcW w:w="550" w:type="pct"/>
            <w:shd w:val="clear" w:color="auto" w:fill="auto"/>
            <w:vAlign w:val="center"/>
          </w:tcPr>
          <w:p w:rsidR="00AC59CA" w:rsidRPr="001144C3" w:rsidRDefault="001144C3" w:rsidP="001F354C">
            <w:pPr>
              <w:pStyle w:val="TableText"/>
              <w:jc w:val="center"/>
              <w:rPr>
                <w:bCs/>
                <w:color w:val="000000"/>
                <w:highlight w:val="black"/>
              </w:rPr>
            </w:pPr>
            <w:r>
              <w:rPr>
                <w:noProof/>
                <w:color w:val="000000"/>
                <w:highlight w:val="black"/>
              </w:rPr>
              <w:t>''''''''''</w:t>
            </w:r>
          </w:p>
        </w:tc>
        <w:tc>
          <w:tcPr>
            <w:tcW w:w="576" w:type="pct"/>
            <w:vAlign w:val="center"/>
          </w:tcPr>
          <w:p w:rsidR="00AC59CA" w:rsidRPr="001144C3" w:rsidRDefault="001144C3" w:rsidP="001F354C">
            <w:pPr>
              <w:pStyle w:val="TableText"/>
              <w:jc w:val="center"/>
              <w:rPr>
                <w:bCs/>
                <w:color w:val="000000"/>
                <w:highlight w:val="black"/>
              </w:rPr>
            </w:pPr>
            <w:r>
              <w:rPr>
                <w:noProof/>
                <w:color w:val="000000"/>
                <w:highlight w:val="black"/>
              </w:rPr>
              <w:t>''''''''''</w:t>
            </w:r>
          </w:p>
        </w:tc>
      </w:tr>
      <w:tr w:rsidR="00AC59CA" w:rsidRPr="00786D0E" w:rsidTr="001F354C">
        <w:tc>
          <w:tcPr>
            <w:tcW w:w="5000" w:type="pct"/>
            <w:gridSpan w:val="7"/>
            <w:shd w:val="clear" w:color="auto" w:fill="auto"/>
            <w:vAlign w:val="center"/>
          </w:tcPr>
          <w:p w:rsidR="00AC59CA" w:rsidRPr="00786D0E" w:rsidRDefault="00AC59CA" w:rsidP="001F354C">
            <w:pPr>
              <w:pStyle w:val="TableText"/>
              <w:jc w:val="both"/>
              <w:rPr>
                <w:b/>
                <w:bCs/>
                <w:color w:val="000000"/>
              </w:rPr>
            </w:pPr>
            <w:r w:rsidRPr="00786D0E">
              <w:rPr>
                <w:b/>
                <w:bCs/>
                <w:color w:val="000000"/>
              </w:rPr>
              <w:t xml:space="preserve">Estimated financial implications of </w:t>
            </w:r>
            <w:proofErr w:type="spellStart"/>
            <w:r w:rsidRPr="00786D0E">
              <w:rPr>
                <w:b/>
                <w:bCs/>
                <w:color w:val="000000"/>
              </w:rPr>
              <w:t>crizotinib</w:t>
            </w:r>
            <w:proofErr w:type="spellEnd"/>
            <w:r w:rsidRPr="00786D0E">
              <w:rPr>
                <w:b/>
                <w:bCs/>
                <w:color w:val="000000"/>
              </w:rPr>
              <w:t xml:space="preserve"> </w:t>
            </w:r>
          </w:p>
        </w:tc>
      </w:tr>
      <w:tr w:rsidR="00AC59CA" w:rsidRPr="00786D0E" w:rsidTr="001F354C">
        <w:tc>
          <w:tcPr>
            <w:tcW w:w="1512" w:type="pct"/>
            <w:shd w:val="clear" w:color="auto" w:fill="auto"/>
            <w:vAlign w:val="center"/>
          </w:tcPr>
          <w:p w:rsidR="00AC59CA" w:rsidRPr="00786D0E" w:rsidRDefault="00AC59CA" w:rsidP="001F354C">
            <w:pPr>
              <w:pStyle w:val="TableText"/>
              <w:jc w:val="both"/>
              <w:rPr>
                <w:rFonts w:ascii="Times" w:eastAsia="Times New Roman" w:hAnsi="Times" w:cs="Times New Roman"/>
              </w:rPr>
            </w:pPr>
            <w:r w:rsidRPr="00786D0E">
              <w:rPr>
                <w:sz w:val="19"/>
                <w:szCs w:val="19"/>
              </w:rPr>
              <w:t>Cost to PBS/RPBS</w:t>
            </w:r>
          </w:p>
        </w:tc>
        <w:tc>
          <w:tcPr>
            <w:tcW w:w="629"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rFonts w:cs="Arial"/>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rFonts w:cs="Arial"/>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rFonts w:cs="Arial"/>
                <w:noProof/>
                <w:color w:val="000000"/>
                <w:szCs w:val="20"/>
                <w:highlight w:val="black"/>
              </w:rPr>
              <w:t>'''''''''''''''''''''''''''</w:t>
            </w:r>
          </w:p>
        </w:tc>
        <w:tc>
          <w:tcPr>
            <w:tcW w:w="63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rFonts w:cs="Arial"/>
                <w:noProof/>
                <w:color w:val="000000"/>
                <w:szCs w:val="2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rFonts w:cs="Arial"/>
                <w:noProof/>
                <w:color w:val="000000"/>
                <w:szCs w:val="20"/>
                <w:highlight w:val="black"/>
              </w:rPr>
              <w:t>''''''''''''''''''''''''</w:t>
            </w:r>
          </w:p>
        </w:tc>
        <w:tc>
          <w:tcPr>
            <w:tcW w:w="576"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rFonts w:cs="Arial"/>
                <w:noProof/>
                <w:color w:val="000000"/>
                <w:szCs w:val="20"/>
                <w:highlight w:val="black"/>
              </w:rPr>
              <w:t>'''''''''''''''''''''''''</w:t>
            </w:r>
          </w:p>
        </w:tc>
      </w:tr>
      <w:tr w:rsidR="00AC59CA" w:rsidRPr="00786D0E" w:rsidTr="001F354C">
        <w:tc>
          <w:tcPr>
            <w:tcW w:w="1512" w:type="pct"/>
            <w:shd w:val="clear" w:color="auto" w:fill="auto"/>
            <w:vAlign w:val="center"/>
          </w:tcPr>
          <w:p w:rsidR="00AC59CA" w:rsidRPr="00786D0E" w:rsidRDefault="00AC59CA" w:rsidP="001F354C">
            <w:pPr>
              <w:pStyle w:val="TableText"/>
              <w:jc w:val="both"/>
              <w:rPr>
                <w:sz w:val="19"/>
                <w:szCs w:val="19"/>
              </w:rPr>
            </w:pPr>
            <w:r w:rsidRPr="00786D0E">
              <w:rPr>
                <w:sz w:val="19"/>
                <w:szCs w:val="19"/>
              </w:rPr>
              <w:t>Co-payments</w:t>
            </w:r>
          </w:p>
        </w:tc>
        <w:tc>
          <w:tcPr>
            <w:tcW w:w="629"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rFonts w:cs="Arial"/>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rFonts w:cs="Arial"/>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rFonts w:cs="Arial"/>
                <w:noProof/>
                <w:color w:val="000000"/>
                <w:szCs w:val="20"/>
                <w:highlight w:val="black"/>
              </w:rPr>
              <w:t>'''''''''''''''''''</w:t>
            </w:r>
          </w:p>
        </w:tc>
        <w:tc>
          <w:tcPr>
            <w:tcW w:w="63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rFonts w:cs="Arial"/>
                <w:noProof/>
                <w:color w:val="000000"/>
                <w:szCs w:val="2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rFonts w:cs="Arial"/>
                <w:noProof/>
                <w:color w:val="000000"/>
                <w:szCs w:val="20"/>
                <w:highlight w:val="black"/>
              </w:rPr>
              <w:t>''''''''''''''''''''''</w:t>
            </w:r>
          </w:p>
        </w:tc>
        <w:tc>
          <w:tcPr>
            <w:tcW w:w="576"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rFonts w:cs="Arial"/>
                <w:noProof/>
                <w:color w:val="000000"/>
                <w:szCs w:val="20"/>
                <w:highlight w:val="black"/>
              </w:rPr>
              <w:t>'''''''''''''''''''''</w:t>
            </w:r>
          </w:p>
        </w:tc>
      </w:tr>
      <w:tr w:rsidR="00AC59CA" w:rsidRPr="00786D0E" w:rsidTr="001F354C">
        <w:tc>
          <w:tcPr>
            <w:tcW w:w="1512" w:type="pct"/>
            <w:shd w:val="clear" w:color="auto" w:fill="auto"/>
            <w:vAlign w:val="center"/>
          </w:tcPr>
          <w:p w:rsidR="00AC59CA" w:rsidRPr="00786D0E" w:rsidRDefault="00AC59CA" w:rsidP="001F354C">
            <w:pPr>
              <w:pStyle w:val="TableText"/>
              <w:jc w:val="both"/>
              <w:rPr>
                <w:sz w:val="19"/>
                <w:szCs w:val="19"/>
              </w:rPr>
            </w:pPr>
            <w:r w:rsidRPr="00786D0E">
              <w:rPr>
                <w:sz w:val="19"/>
                <w:szCs w:val="19"/>
              </w:rPr>
              <w:t>Cost to PBS/RPBS less co-payments</w:t>
            </w:r>
          </w:p>
        </w:tc>
        <w:tc>
          <w:tcPr>
            <w:tcW w:w="629"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rFonts w:cs="Arial"/>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rFonts w:cs="Arial"/>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rFonts w:cs="Arial"/>
                <w:noProof/>
                <w:color w:val="000000"/>
                <w:szCs w:val="20"/>
                <w:highlight w:val="black"/>
              </w:rPr>
              <w:t>'''''''''''''''''''''''''''''</w:t>
            </w:r>
          </w:p>
        </w:tc>
        <w:tc>
          <w:tcPr>
            <w:tcW w:w="63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rFonts w:cs="Arial"/>
                <w:noProof/>
                <w:color w:val="000000"/>
                <w:szCs w:val="2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rFonts w:cs="Arial"/>
                <w:noProof/>
                <w:color w:val="000000"/>
                <w:szCs w:val="20"/>
                <w:highlight w:val="black"/>
              </w:rPr>
              <w:t>''''''''''''''''''''''''''''</w:t>
            </w:r>
          </w:p>
        </w:tc>
        <w:tc>
          <w:tcPr>
            <w:tcW w:w="576"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rFonts w:cs="Arial"/>
                <w:noProof/>
                <w:color w:val="000000"/>
                <w:szCs w:val="20"/>
                <w:highlight w:val="black"/>
              </w:rPr>
              <w:t>''''''''''''''''''''''''</w:t>
            </w:r>
          </w:p>
        </w:tc>
      </w:tr>
      <w:tr w:rsidR="00AC59CA" w:rsidRPr="00786D0E" w:rsidTr="001F354C">
        <w:tc>
          <w:tcPr>
            <w:tcW w:w="5000" w:type="pct"/>
            <w:gridSpan w:val="7"/>
            <w:shd w:val="clear" w:color="auto" w:fill="auto"/>
            <w:vAlign w:val="center"/>
          </w:tcPr>
          <w:p w:rsidR="00AC59CA" w:rsidRPr="00786D0E" w:rsidRDefault="00AC59CA" w:rsidP="001F354C">
            <w:pPr>
              <w:pStyle w:val="TableText"/>
              <w:jc w:val="both"/>
              <w:rPr>
                <w:bCs/>
                <w:color w:val="000000"/>
              </w:rPr>
            </w:pPr>
            <w:r w:rsidRPr="00786D0E">
              <w:rPr>
                <w:b/>
                <w:bCs/>
                <w:color w:val="000000"/>
              </w:rPr>
              <w:t xml:space="preserve">Estimated financial implications for </w:t>
            </w:r>
            <w:proofErr w:type="spellStart"/>
            <w:r w:rsidRPr="00786D0E">
              <w:rPr>
                <w:b/>
                <w:bCs/>
                <w:color w:val="000000"/>
              </w:rPr>
              <w:t>pemetrexed</w:t>
            </w:r>
            <w:proofErr w:type="spellEnd"/>
            <w:r w:rsidRPr="00786D0E">
              <w:rPr>
                <w:b/>
                <w:bCs/>
                <w:color w:val="000000"/>
              </w:rPr>
              <w:t xml:space="preserve"> </w:t>
            </w:r>
          </w:p>
        </w:tc>
      </w:tr>
      <w:tr w:rsidR="00AC59CA" w:rsidRPr="00786D0E" w:rsidTr="001F354C">
        <w:tc>
          <w:tcPr>
            <w:tcW w:w="1512" w:type="pct"/>
            <w:shd w:val="clear" w:color="auto" w:fill="auto"/>
            <w:vAlign w:val="center"/>
          </w:tcPr>
          <w:p w:rsidR="00AC59CA" w:rsidRPr="00786D0E" w:rsidRDefault="00AC59CA" w:rsidP="001F354C">
            <w:pPr>
              <w:pStyle w:val="TableText"/>
              <w:jc w:val="both"/>
              <w:rPr>
                <w:sz w:val="19"/>
                <w:szCs w:val="19"/>
              </w:rPr>
            </w:pPr>
            <w:r w:rsidRPr="00786D0E">
              <w:rPr>
                <w:sz w:val="19"/>
                <w:szCs w:val="19"/>
              </w:rPr>
              <w:t>Cost to PBS/RPBS</w:t>
            </w:r>
          </w:p>
        </w:tc>
        <w:tc>
          <w:tcPr>
            <w:tcW w:w="629"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63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76"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r>
      <w:tr w:rsidR="00AC59CA" w:rsidRPr="00786D0E" w:rsidTr="001F354C">
        <w:tc>
          <w:tcPr>
            <w:tcW w:w="1512" w:type="pct"/>
            <w:shd w:val="clear" w:color="auto" w:fill="auto"/>
            <w:vAlign w:val="center"/>
          </w:tcPr>
          <w:p w:rsidR="00AC59CA" w:rsidRPr="00786D0E" w:rsidRDefault="00AC59CA" w:rsidP="001F354C">
            <w:pPr>
              <w:pStyle w:val="TableText"/>
              <w:jc w:val="both"/>
              <w:rPr>
                <w:sz w:val="19"/>
                <w:szCs w:val="19"/>
              </w:rPr>
            </w:pPr>
            <w:r w:rsidRPr="00786D0E">
              <w:rPr>
                <w:sz w:val="19"/>
                <w:szCs w:val="19"/>
              </w:rPr>
              <w:t>Co-payments</w:t>
            </w:r>
          </w:p>
        </w:tc>
        <w:tc>
          <w:tcPr>
            <w:tcW w:w="629"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63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76"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r>
      <w:tr w:rsidR="00AC59CA" w:rsidRPr="00786D0E" w:rsidTr="001F354C">
        <w:tc>
          <w:tcPr>
            <w:tcW w:w="1512" w:type="pct"/>
            <w:shd w:val="clear" w:color="auto" w:fill="auto"/>
            <w:vAlign w:val="center"/>
          </w:tcPr>
          <w:p w:rsidR="00AC59CA" w:rsidRPr="00786D0E" w:rsidRDefault="00AC59CA" w:rsidP="001F354C">
            <w:pPr>
              <w:pStyle w:val="TableText"/>
              <w:jc w:val="both"/>
              <w:rPr>
                <w:sz w:val="19"/>
                <w:szCs w:val="19"/>
              </w:rPr>
            </w:pPr>
            <w:r w:rsidRPr="00786D0E">
              <w:rPr>
                <w:sz w:val="19"/>
                <w:szCs w:val="19"/>
              </w:rPr>
              <w:t>Cost to PBS/RPBS less co-payments</w:t>
            </w:r>
          </w:p>
        </w:tc>
        <w:tc>
          <w:tcPr>
            <w:tcW w:w="629"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63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76"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r>
      <w:tr w:rsidR="00AC59CA" w:rsidRPr="00786D0E" w:rsidTr="001F354C">
        <w:tc>
          <w:tcPr>
            <w:tcW w:w="5000" w:type="pct"/>
            <w:gridSpan w:val="7"/>
            <w:tcBorders>
              <w:right w:val="single" w:sz="4" w:space="0" w:color="auto"/>
            </w:tcBorders>
            <w:shd w:val="clear" w:color="auto" w:fill="auto"/>
            <w:vAlign w:val="center"/>
          </w:tcPr>
          <w:p w:rsidR="00AC59CA" w:rsidRPr="00786D0E" w:rsidRDefault="00AC59CA" w:rsidP="001F354C">
            <w:pPr>
              <w:pStyle w:val="TableText"/>
              <w:jc w:val="both"/>
              <w:rPr>
                <w:szCs w:val="20"/>
              </w:rPr>
            </w:pPr>
            <w:r w:rsidRPr="00786D0E">
              <w:rPr>
                <w:b/>
                <w:bCs/>
                <w:color w:val="000000"/>
              </w:rPr>
              <w:t>Estimated financial implications for the MBS</w:t>
            </w:r>
          </w:p>
        </w:tc>
      </w:tr>
      <w:tr w:rsidR="00AC59CA" w:rsidRPr="00786D0E" w:rsidTr="001F354C">
        <w:tc>
          <w:tcPr>
            <w:tcW w:w="1512" w:type="pct"/>
            <w:shd w:val="clear" w:color="auto" w:fill="auto"/>
            <w:vAlign w:val="center"/>
          </w:tcPr>
          <w:p w:rsidR="00AC59CA" w:rsidRPr="00786D0E" w:rsidRDefault="00AC59CA" w:rsidP="001F354C">
            <w:pPr>
              <w:pStyle w:val="TableText"/>
              <w:jc w:val="both"/>
              <w:rPr>
                <w:sz w:val="19"/>
                <w:szCs w:val="19"/>
              </w:rPr>
            </w:pPr>
            <w:r w:rsidRPr="00786D0E">
              <w:rPr>
                <w:sz w:val="19"/>
                <w:szCs w:val="19"/>
              </w:rPr>
              <w:t>IHC testing</w:t>
            </w:r>
          </w:p>
        </w:tc>
        <w:tc>
          <w:tcPr>
            <w:tcW w:w="629" w:type="pct"/>
            <w:tcBorders>
              <w:top w:val="single" w:sz="4" w:space="0" w:color="auto"/>
              <w:left w:val="single" w:sz="4" w:space="0" w:color="auto"/>
              <w:bottom w:val="single" w:sz="4" w:space="0" w:color="auto"/>
              <w:right w:val="single" w:sz="4" w:space="0" w:color="auto"/>
            </w:tcBorders>
          </w:tcPr>
          <w:p w:rsidR="00AC59CA" w:rsidRPr="001144C3" w:rsidRDefault="001144C3" w:rsidP="00786D0E">
            <w:pPr>
              <w:pStyle w:val="TableText"/>
              <w:jc w:val="right"/>
              <w:rPr>
                <w:szCs w:val="20"/>
                <w:highlight w:val="black"/>
              </w:rPr>
            </w:pPr>
            <w:r>
              <w:rPr>
                <w:noProof/>
                <w:color w:val="000000"/>
                <w:highlight w:val="black"/>
              </w:rPr>
              <w:t>''''''''''''''''''''''</w:t>
            </w:r>
          </w:p>
        </w:tc>
        <w:tc>
          <w:tcPr>
            <w:tcW w:w="551" w:type="pct"/>
            <w:tcBorders>
              <w:top w:val="single" w:sz="4" w:space="0" w:color="auto"/>
              <w:left w:val="single" w:sz="4" w:space="0" w:color="auto"/>
              <w:bottom w:val="single" w:sz="4" w:space="0" w:color="auto"/>
              <w:right w:val="single" w:sz="4" w:space="0" w:color="auto"/>
            </w:tcBorders>
          </w:tcPr>
          <w:p w:rsidR="00AC59CA" w:rsidRPr="001144C3" w:rsidRDefault="001144C3" w:rsidP="00786D0E">
            <w:pPr>
              <w:pStyle w:val="TableText"/>
              <w:jc w:val="right"/>
              <w:rPr>
                <w:szCs w:val="20"/>
                <w:highlight w:val="black"/>
              </w:rPr>
            </w:pPr>
            <w:r>
              <w:rPr>
                <w:noProof/>
                <w:color w:val="000000"/>
                <w:highlight w:val="black"/>
              </w:rPr>
              <w:t>'''''''''''''''''''''''</w:t>
            </w:r>
          </w:p>
        </w:tc>
        <w:tc>
          <w:tcPr>
            <w:tcW w:w="551" w:type="pct"/>
            <w:tcBorders>
              <w:top w:val="single" w:sz="4" w:space="0" w:color="auto"/>
              <w:left w:val="single" w:sz="4" w:space="0" w:color="auto"/>
              <w:bottom w:val="single" w:sz="4" w:space="0" w:color="auto"/>
              <w:right w:val="single" w:sz="4" w:space="0" w:color="auto"/>
            </w:tcBorders>
          </w:tcPr>
          <w:p w:rsidR="00AC59CA" w:rsidRPr="001144C3" w:rsidRDefault="001144C3" w:rsidP="00786D0E">
            <w:pPr>
              <w:pStyle w:val="TableText"/>
              <w:jc w:val="right"/>
              <w:rPr>
                <w:szCs w:val="20"/>
                <w:highlight w:val="black"/>
              </w:rPr>
            </w:pPr>
            <w:r>
              <w:rPr>
                <w:noProof/>
                <w:color w:val="000000"/>
                <w:highlight w:val="black"/>
              </w:rPr>
              <w:t>''''''''''''''''''''''''</w:t>
            </w:r>
          </w:p>
        </w:tc>
        <w:tc>
          <w:tcPr>
            <w:tcW w:w="631" w:type="pct"/>
            <w:tcBorders>
              <w:top w:val="single" w:sz="4" w:space="0" w:color="auto"/>
              <w:left w:val="single" w:sz="4" w:space="0" w:color="auto"/>
              <w:bottom w:val="single" w:sz="4" w:space="0" w:color="auto"/>
              <w:right w:val="single" w:sz="4" w:space="0" w:color="auto"/>
            </w:tcBorders>
          </w:tcPr>
          <w:p w:rsidR="00AC59CA" w:rsidRPr="001144C3" w:rsidRDefault="001144C3" w:rsidP="00786D0E">
            <w:pPr>
              <w:pStyle w:val="TableText"/>
              <w:jc w:val="right"/>
              <w:rPr>
                <w:szCs w:val="20"/>
                <w:highlight w:val="black"/>
              </w:rPr>
            </w:pPr>
            <w:r>
              <w:rPr>
                <w:noProof/>
                <w:color w:val="000000"/>
                <w:highlight w:val="black"/>
              </w:rPr>
              <w:t>''''''''''''''''''''</w:t>
            </w:r>
          </w:p>
        </w:tc>
        <w:tc>
          <w:tcPr>
            <w:tcW w:w="550" w:type="pct"/>
            <w:tcBorders>
              <w:top w:val="single" w:sz="4" w:space="0" w:color="auto"/>
              <w:left w:val="single" w:sz="4" w:space="0" w:color="auto"/>
              <w:bottom w:val="single" w:sz="4" w:space="0" w:color="auto"/>
              <w:right w:val="single" w:sz="4" w:space="0" w:color="auto"/>
            </w:tcBorders>
          </w:tcPr>
          <w:p w:rsidR="00AC59CA" w:rsidRPr="001144C3" w:rsidRDefault="001144C3" w:rsidP="00786D0E">
            <w:pPr>
              <w:pStyle w:val="TableText"/>
              <w:jc w:val="right"/>
              <w:rPr>
                <w:szCs w:val="20"/>
                <w:highlight w:val="black"/>
              </w:rPr>
            </w:pPr>
            <w:r>
              <w:rPr>
                <w:noProof/>
                <w:color w:val="000000"/>
                <w:highlight w:val="black"/>
              </w:rPr>
              <w:t>''''''''''''''''''''''''</w:t>
            </w:r>
          </w:p>
        </w:tc>
        <w:tc>
          <w:tcPr>
            <w:tcW w:w="576" w:type="pct"/>
            <w:tcBorders>
              <w:top w:val="single" w:sz="4" w:space="0" w:color="auto"/>
              <w:left w:val="single" w:sz="4" w:space="0" w:color="auto"/>
              <w:bottom w:val="single" w:sz="4" w:space="0" w:color="auto"/>
              <w:right w:val="single" w:sz="4" w:space="0" w:color="auto"/>
            </w:tcBorders>
          </w:tcPr>
          <w:p w:rsidR="00AC59CA" w:rsidRPr="001144C3" w:rsidRDefault="001144C3" w:rsidP="00786D0E">
            <w:pPr>
              <w:pStyle w:val="TableText"/>
              <w:jc w:val="right"/>
              <w:rPr>
                <w:szCs w:val="20"/>
                <w:highlight w:val="black"/>
              </w:rPr>
            </w:pPr>
            <w:r>
              <w:rPr>
                <w:noProof/>
                <w:color w:val="000000"/>
                <w:highlight w:val="black"/>
              </w:rPr>
              <w:t>''''''''''''''''''''</w:t>
            </w:r>
          </w:p>
        </w:tc>
      </w:tr>
      <w:tr w:rsidR="00AC59CA" w:rsidRPr="00786D0E" w:rsidTr="001F354C">
        <w:tc>
          <w:tcPr>
            <w:tcW w:w="1512" w:type="pct"/>
            <w:shd w:val="clear" w:color="auto" w:fill="auto"/>
            <w:vAlign w:val="center"/>
          </w:tcPr>
          <w:p w:rsidR="00AC59CA" w:rsidRPr="00786D0E" w:rsidRDefault="00AC59CA" w:rsidP="001F354C">
            <w:pPr>
              <w:pStyle w:val="TableText"/>
              <w:jc w:val="both"/>
              <w:rPr>
                <w:sz w:val="19"/>
                <w:szCs w:val="19"/>
              </w:rPr>
            </w:pPr>
            <w:r w:rsidRPr="00786D0E">
              <w:rPr>
                <w:sz w:val="19"/>
                <w:szCs w:val="19"/>
              </w:rPr>
              <w:t>FISH testing</w:t>
            </w:r>
          </w:p>
        </w:tc>
        <w:tc>
          <w:tcPr>
            <w:tcW w:w="629"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szCs w:val="20"/>
                <w:highlight w:val="black"/>
              </w:rPr>
            </w:pPr>
            <w:r>
              <w:rPr>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szCs w:val="20"/>
                <w:highlight w:val="black"/>
              </w:rPr>
            </w:pPr>
            <w:r>
              <w:rPr>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szCs w:val="20"/>
                <w:highlight w:val="black"/>
              </w:rPr>
            </w:pPr>
            <w:r>
              <w:rPr>
                <w:noProof/>
                <w:color w:val="000000"/>
                <w:szCs w:val="20"/>
                <w:highlight w:val="black"/>
              </w:rPr>
              <w:t>'''''''''''''''''''</w:t>
            </w:r>
          </w:p>
        </w:tc>
        <w:tc>
          <w:tcPr>
            <w:tcW w:w="63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szCs w:val="20"/>
                <w:highlight w:val="black"/>
              </w:rPr>
            </w:pPr>
            <w:r>
              <w:rPr>
                <w:noProof/>
                <w:color w:val="000000"/>
                <w:szCs w:val="2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szCs w:val="20"/>
                <w:highlight w:val="black"/>
              </w:rPr>
            </w:pPr>
            <w:r>
              <w:rPr>
                <w:noProof/>
                <w:color w:val="000000"/>
                <w:szCs w:val="20"/>
                <w:highlight w:val="black"/>
              </w:rPr>
              <w:t>''''''''''''''''''</w:t>
            </w:r>
          </w:p>
        </w:tc>
        <w:tc>
          <w:tcPr>
            <w:tcW w:w="576"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szCs w:val="20"/>
                <w:highlight w:val="black"/>
              </w:rPr>
            </w:pPr>
            <w:r>
              <w:rPr>
                <w:noProof/>
                <w:color w:val="000000"/>
                <w:szCs w:val="20"/>
                <w:highlight w:val="black"/>
              </w:rPr>
              <w:t>''''''''''''''''''''''</w:t>
            </w:r>
          </w:p>
        </w:tc>
      </w:tr>
      <w:tr w:rsidR="00AC59CA" w:rsidRPr="00786D0E" w:rsidTr="001F354C">
        <w:tc>
          <w:tcPr>
            <w:tcW w:w="1512" w:type="pct"/>
            <w:shd w:val="clear" w:color="auto" w:fill="auto"/>
            <w:vAlign w:val="center"/>
          </w:tcPr>
          <w:p w:rsidR="00AC59CA" w:rsidRPr="00786D0E" w:rsidRDefault="00AC59CA" w:rsidP="001F354C">
            <w:pPr>
              <w:pStyle w:val="TableText"/>
              <w:jc w:val="both"/>
              <w:rPr>
                <w:sz w:val="19"/>
                <w:szCs w:val="19"/>
              </w:rPr>
            </w:pPr>
            <w:r w:rsidRPr="00786D0E">
              <w:rPr>
                <w:sz w:val="19"/>
                <w:szCs w:val="19"/>
              </w:rPr>
              <w:t>Ophthalmological examinations</w:t>
            </w:r>
          </w:p>
        </w:tc>
        <w:tc>
          <w:tcPr>
            <w:tcW w:w="629"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szCs w:val="20"/>
                <w:highlight w:val="black"/>
              </w:rPr>
            </w:pPr>
            <w:r>
              <w:rPr>
                <w:noProof/>
                <w:color w:val="00000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szCs w:val="20"/>
                <w:highlight w:val="black"/>
              </w:rPr>
            </w:pPr>
            <w:r>
              <w:rPr>
                <w:noProof/>
                <w:color w:val="00000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szCs w:val="20"/>
                <w:highlight w:val="black"/>
              </w:rPr>
            </w:pPr>
            <w:r>
              <w:rPr>
                <w:noProof/>
                <w:color w:val="000000"/>
                <w:highlight w:val="black"/>
              </w:rPr>
              <w:t>''''''''''''''''</w:t>
            </w:r>
          </w:p>
        </w:tc>
        <w:tc>
          <w:tcPr>
            <w:tcW w:w="63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szCs w:val="20"/>
                <w:highlight w:val="black"/>
              </w:rPr>
            </w:pPr>
            <w:r>
              <w:rPr>
                <w:noProof/>
                <w:color w:val="00000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szCs w:val="20"/>
                <w:highlight w:val="black"/>
              </w:rPr>
            </w:pPr>
            <w:r>
              <w:rPr>
                <w:noProof/>
                <w:color w:val="000000"/>
                <w:highlight w:val="black"/>
              </w:rPr>
              <w:t>'''''''''''''''''</w:t>
            </w:r>
          </w:p>
        </w:tc>
        <w:tc>
          <w:tcPr>
            <w:tcW w:w="576"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szCs w:val="20"/>
                <w:highlight w:val="black"/>
              </w:rPr>
            </w:pPr>
            <w:r>
              <w:rPr>
                <w:noProof/>
                <w:color w:val="000000"/>
                <w:highlight w:val="black"/>
              </w:rPr>
              <w:t>'''''''''''''''''</w:t>
            </w:r>
          </w:p>
        </w:tc>
      </w:tr>
      <w:tr w:rsidR="00AC59CA" w:rsidRPr="00786D0E" w:rsidTr="001F354C">
        <w:tc>
          <w:tcPr>
            <w:tcW w:w="5000" w:type="pct"/>
            <w:gridSpan w:val="7"/>
            <w:shd w:val="clear" w:color="auto" w:fill="auto"/>
            <w:vAlign w:val="center"/>
          </w:tcPr>
          <w:p w:rsidR="00AC59CA" w:rsidRPr="00786D0E" w:rsidRDefault="00AC59CA" w:rsidP="001F354C">
            <w:pPr>
              <w:pStyle w:val="TableText"/>
              <w:jc w:val="both"/>
              <w:rPr>
                <w:b/>
                <w:bCs/>
                <w:color w:val="000000"/>
              </w:rPr>
            </w:pPr>
            <w:r w:rsidRPr="00786D0E">
              <w:rPr>
                <w:b/>
                <w:bCs/>
                <w:color w:val="000000"/>
              </w:rPr>
              <w:t>Net financial implications</w:t>
            </w:r>
          </w:p>
        </w:tc>
      </w:tr>
      <w:tr w:rsidR="00AC59CA" w:rsidRPr="00786D0E" w:rsidTr="001F354C">
        <w:tc>
          <w:tcPr>
            <w:tcW w:w="1512" w:type="pct"/>
            <w:shd w:val="clear" w:color="auto" w:fill="auto"/>
            <w:vAlign w:val="center"/>
          </w:tcPr>
          <w:p w:rsidR="00AC59CA" w:rsidRPr="00786D0E" w:rsidRDefault="00AC59CA" w:rsidP="001F354C">
            <w:pPr>
              <w:pStyle w:val="TableText"/>
              <w:jc w:val="both"/>
              <w:rPr>
                <w:sz w:val="19"/>
                <w:szCs w:val="19"/>
              </w:rPr>
            </w:pPr>
            <w:r w:rsidRPr="00786D0E">
              <w:rPr>
                <w:sz w:val="19"/>
                <w:szCs w:val="19"/>
              </w:rPr>
              <w:t>Net cost to PBS/RPBS</w:t>
            </w:r>
          </w:p>
        </w:tc>
        <w:tc>
          <w:tcPr>
            <w:tcW w:w="629"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63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76"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r>
      <w:tr w:rsidR="00AC59CA" w:rsidRPr="00786D0E" w:rsidTr="001F354C">
        <w:tc>
          <w:tcPr>
            <w:tcW w:w="1512" w:type="pct"/>
            <w:shd w:val="clear" w:color="auto" w:fill="auto"/>
            <w:vAlign w:val="center"/>
          </w:tcPr>
          <w:p w:rsidR="00AC59CA" w:rsidRPr="00786D0E" w:rsidRDefault="00AC59CA" w:rsidP="001F354C">
            <w:pPr>
              <w:pStyle w:val="TableText"/>
              <w:jc w:val="both"/>
              <w:rPr>
                <w:rFonts w:ascii="Times" w:eastAsia="Times New Roman" w:hAnsi="Times" w:cs="Times New Roman"/>
              </w:rPr>
            </w:pPr>
            <w:r w:rsidRPr="00786D0E">
              <w:rPr>
                <w:sz w:val="19"/>
                <w:szCs w:val="19"/>
              </w:rPr>
              <w:t>Net cost to MBS</w:t>
            </w:r>
          </w:p>
        </w:tc>
        <w:tc>
          <w:tcPr>
            <w:tcW w:w="629"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63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c>
          <w:tcPr>
            <w:tcW w:w="576"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noProof/>
                <w:color w:val="000000"/>
                <w:szCs w:val="20"/>
                <w:highlight w:val="black"/>
              </w:rPr>
              <w:t>''''''''''''''''''''''''</w:t>
            </w:r>
          </w:p>
        </w:tc>
      </w:tr>
      <w:tr w:rsidR="00AC59CA" w:rsidRPr="00786D0E" w:rsidTr="001F354C">
        <w:tc>
          <w:tcPr>
            <w:tcW w:w="1512" w:type="pct"/>
            <w:shd w:val="clear" w:color="auto" w:fill="auto"/>
            <w:vAlign w:val="center"/>
          </w:tcPr>
          <w:p w:rsidR="00AC59CA" w:rsidRPr="00786D0E" w:rsidRDefault="00AC59CA" w:rsidP="001F354C">
            <w:pPr>
              <w:pStyle w:val="TableText"/>
              <w:jc w:val="both"/>
              <w:rPr>
                <w:sz w:val="19"/>
                <w:szCs w:val="19"/>
              </w:rPr>
            </w:pPr>
            <w:r w:rsidRPr="00786D0E">
              <w:rPr>
                <w:sz w:val="19"/>
                <w:szCs w:val="19"/>
              </w:rPr>
              <w:t>Net cost to PBS/RPBS/MBS</w:t>
            </w:r>
          </w:p>
        </w:tc>
        <w:tc>
          <w:tcPr>
            <w:tcW w:w="629"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b/>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b/>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b/>
                <w:noProof/>
                <w:color w:val="000000"/>
                <w:szCs w:val="20"/>
                <w:highlight w:val="black"/>
              </w:rPr>
              <w:t>''''''''''''''''''''</w:t>
            </w:r>
          </w:p>
        </w:tc>
        <w:tc>
          <w:tcPr>
            <w:tcW w:w="631"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b/>
                <w:noProof/>
                <w:color w:val="000000"/>
                <w:szCs w:val="2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b/>
                <w:noProof/>
                <w:color w:val="000000"/>
                <w:szCs w:val="20"/>
                <w:highlight w:val="black"/>
              </w:rPr>
              <w:t>''''''''''''''''''''''</w:t>
            </w:r>
          </w:p>
        </w:tc>
        <w:tc>
          <w:tcPr>
            <w:tcW w:w="576" w:type="pct"/>
            <w:tcBorders>
              <w:top w:val="single" w:sz="4" w:space="0" w:color="auto"/>
              <w:left w:val="single" w:sz="4" w:space="0" w:color="auto"/>
              <w:bottom w:val="single" w:sz="4" w:space="0" w:color="auto"/>
              <w:right w:val="single" w:sz="4" w:space="0" w:color="auto"/>
            </w:tcBorders>
            <w:vAlign w:val="center"/>
          </w:tcPr>
          <w:p w:rsidR="00AC59CA" w:rsidRPr="001144C3" w:rsidRDefault="001144C3" w:rsidP="00786D0E">
            <w:pPr>
              <w:pStyle w:val="TableText"/>
              <w:jc w:val="right"/>
              <w:rPr>
                <w:bCs/>
                <w:color w:val="000000"/>
                <w:highlight w:val="black"/>
              </w:rPr>
            </w:pPr>
            <w:r>
              <w:rPr>
                <w:b/>
                <w:noProof/>
                <w:color w:val="000000"/>
                <w:szCs w:val="20"/>
                <w:highlight w:val="black"/>
              </w:rPr>
              <w:t>'''''''''''''''''''''</w:t>
            </w:r>
          </w:p>
        </w:tc>
      </w:tr>
    </w:tbl>
    <w:p w:rsidR="00AC59CA" w:rsidRPr="00786D0E" w:rsidRDefault="00AC59CA" w:rsidP="00AC59CA">
      <w:pPr>
        <w:pStyle w:val="TableFooter"/>
      </w:pPr>
      <w:r w:rsidRPr="00786D0E">
        <w:t>Source: Tables 4.2.4-4.5.4 pp243-260 of the submission</w:t>
      </w:r>
    </w:p>
    <w:p w:rsidR="00AC59CA" w:rsidRPr="00786D0E" w:rsidRDefault="00AC59CA" w:rsidP="00AC59CA">
      <w:pPr>
        <w:pStyle w:val="TableFooter"/>
      </w:pPr>
      <w:r w:rsidRPr="00786D0E">
        <w:t>FISH = fluorescent in-situ hybridisation; IHC = immunohistochemistry; MBS = Medicare Benefits Schedule; PBS = Pharmaceutical Benefits Scheme; RPBS = Repatriation Pharmaceutical Benefits Scheme</w:t>
      </w:r>
    </w:p>
    <w:p w:rsidR="00AC59CA" w:rsidRDefault="00AC59CA" w:rsidP="00AC59CA">
      <w:pPr>
        <w:pStyle w:val="TableFooter"/>
      </w:pPr>
      <w:proofErr w:type="spellStart"/>
      <w:proofErr w:type="gramStart"/>
      <w:r w:rsidRPr="00786D0E">
        <w:rPr>
          <w:vertAlign w:val="superscript"/>
        </w:rPr>
        <w:t>a</w:t>
      </w:r>
      <w:proofErr w:type="spellEnd"/>
      <w:proofErr w:type="gramEnd"/>
      <w:r w:rsidRPr="00786D0E">
        <w:rPr>
          <w:vertAlign w:val="superscript"/>
        </w:rPr>
        <w:t xml:space="preserve"> </w:t>
      </w:r>
      <w:r w:rsidRPr="00786D0E">
        <w:t xml:space="preserve">estimates include </w:t>
      </w:r>
      <w:r w:rsidR="001144C3">
        <w:rPr>
          <w:noProof/>
          <w:color w:val="000000"/>
          <w:highlight w:val="black"/>
        </w:rPr>
        <w:t>''''''''</w:t>
      </w:r>
      <w:r w:rsidRPr="00786D0E">
        <w:t xml:space="preserve"> grandfathered patients</w:t>
      </w:r>
      <w:bookmarkStart w:id="22" w:name="_GoBack"/>
    </w:p>
    <w:bookmarkEnd w:id="22"/>
    <w:p w:rsidR="00076247" w:rsidRPr="00786D0E" w:rsidRDefault="00076247" w:rsidP="00AC59CA">
      <w:pPr>
        <w:pStyle w:val="TableFooter"/>
      </w:pPr>
    </w:p>
    <w:p w:rsidR="00076247" w:rsidRPr="00DA54D5" w:rsidRDefault="00076247" w:rsidP="00DA54D5">
      <w:pPr>
        <w:pStyle w:val="ListParagraph"/>
        <w:spacing w:before="0" w:after="120"/>
        <w:jc w:val="both"/>
        <w:rPr>
          <w:color w:val="000000" w:themeColor="text1"/>
        </w:rPr>
      </w:pPr>
      <w:r w:rsidRPr="00070622">
        <w:rPr>
          <w:color w:val="000000" w:themeColor="text1"/>
        </w:rPr>
        <w:t xml:space="preserve">The redacted table shows that at year 5, the estimated number of patients was less than 10,000 per year and the net </w:t>
      </w:r>
      <w:r>
        <w:rPr>
          <w:color w:val="000000" w:themeColor="text1"/>
        </w:rPr>
        <w:t>cost</w:t>
      </w:r>
      <w:r w:rsidRPr="00070622">
        <w:rPr>
          <w:color w:val="000000" w:themeColor="text1"/>
        </w:rPr>
        <w:t xml:space="preserve"> to </w:t>
      </w:r>
      <w:r>
        <w:rPr>
          <w:color w:val="000000" w:themeColor="text1"/>
        </w:rPr>
        <w:t>the PBS</w:t>
      </w:r>
      <w:r w:rsidRPr="00070622">
        <w:rPr>
          <w:color w:val="000000" w:themeColor="text1"/>
        </w:rPr>
        <w:t xml:space="preserve"> would be </w:t>
      </w:r>
      <w:r>
        <w:rPr>
          <w:color w:val="000000" w:themeColor="text1"/>
        </w:rPr>
        <w:t>less than $10</w:t>
      </w:r>
      <w:r w:rsidRPr="00070622">
        <w:rPr>
          <w:color w:val="000000" w:themeColor="text1"/>
        </w:rPr>
        <w:t xml:space="preserve"> million per year.</w:t>
      </w:r>
    </w:p>
    <w:p w:rsidR="00AC59CA" w:rsidRPr="00786D0E" w:rsidRDefault="00AC59CA" w:rsidP="000D39E9">
      <w:pPr>
        <w:pStyle w:val="ListParagraph"/>
        <w:numPr>
          <w:ilvl w:val="1"/>
          <w:numId w:val="2"/>
        </w:numPr>
        <w:spacing w:before="0" w:after="120"/>
        <w:jc w:val="both"/>
      </w:pPr>
      <w:r w:rsidRPr="00786D0E">
        <w:t>The estimated net cost to the PBS and RPBS was $</w:t>
      </w:r>
      <w:r w:rsidRPr="00CF74BD">
        <w:t>20</w:t>
      </w:r>
      <w:r w:rsidR="00CF74BD">
        <w:t xml:space="preserve"> - $30</w:t>
      </w:r>
      <w:r w:rsidRPr="00CF74BD">
        <w:t> million</w:t>
      </w:r>
      <w:r w:rsidRPr="00786D0E">
        <w:t xml:space="preserve"> over </w:t>
      </w:r>
      <w:r w:rsidR="00932FAC" w:rsidRPr="00786D0E">
        <w:t>the first six years of listing.</w:t>
      </w:r>
    </w:p>
    <w:p w:rsidR="00AC59CA" w:rsidRPr="00786D0E" w:rsidRDefault="00AC59CA" w:rsidP="000D39E9">
      <w:pPr>
        <w:pStyle w:val="ListParagraph"/>
        <w:numPr>
          <w:ilvl w:val="1"/>
          <w:numId w:val="2"/>
        </w:numPr>
        <w:spacing w:before="0" w:after="120"/>
        <w:jc w:val="both"/>
      </w:pPr>
      <w:r w:rsidRPr="00786D0E">
        <w:t>The estimated net cost to the MBS was $</w:t>
      </w:r>
      <w:r w:rsidR="001144C3">
        <w:rPr>
          <w:noProof/>
          <w:color w:val="000000"/>
          <w:highlight w:val="black"/>
        </w:rPr>
        <w:t>'''''''''''''''''''''</w:t>
      </w:r>
      <w:r w:rsidRPr="00786D0E">
        <w:t xml:space="preserve"> over the first six year</w:t>
      </w:r>
      <w:r w:rsidR="00932FAC" w:rsidRPr="00786D0E">
        <w:t>s of listing.</w:t>
      </w:r>
    </w:p>
    <w:p w:rsidR="00AC59CA" w:rsidRPr="00786D0E" w:rsidRDefault="00AC59CA" w:rsidP="000D39E9">
      <w:pPr>
        <w:pStyle w:val="ListParagraph"/>
        <w:numPr>
          <w:ilvl w:val="1"/>
          <w:numId w:val="2"/>
        </w:numPr>
        <w:spacing w:before="0" w:after="120"/>
        <w:jc w:val="both"/>
      </w:pPr>
      <w:r w:rsidRPr="00786D0E">
        <w:t>The estimated net cost to government health budgets was $</w:t>
      </w:r>
      <w:r w:rsidR="00CF74BD">
        <w:t>20 - $30</w:t>
      </w:r>
      <w:r w:rsidRPr="00CF74BD">
        <w:t xml:space="preserve"> million</w:t>
      </w:r>
      <w:r w:rsidRPr="00786D0E">
        <w:t xml:space="preserve"> over </w:t>
      </w:r>
      <w:r w:rsidR="00932FAC" w:rsidRPr="00786D0E">
        <w:t>the first six years of listing.</w:t>
      </w:r>
    </w:p>
    <w:p w:rsidR="00105C86" w:rsidRPr="00786D0E" w:rsidRDefault="00AC59CA" w:rsidP="000D39E9">
      <w:pPr>
        <w:pStyle w:val="ListParagraph"/>
        <w:numPr>
          <w:ilvl w:val="1"/>
          <w:numId w:val="2"/>
        </w:numPr>
        <w:spacing w:before="0" w:after="120"/>
        <w:jc w:val="both"/>
      </w:pPr>
      <w:r w:rsidRPr="00786D0E">
        <w:t xml:space="preserve">The </w:t>
      </w:r>
      <w:r w:rsidR="00D7397F" w:rsidRPr="00786D0E">
        <w:t>ESC</w:t>
      </w:r>
      <w:r w:rsidR="001B4781" w:rsidRPr="00786D0E">
        <w:t>s</w:t>
      </w:r>
      <w:r w:rsidR="00D7397F" w:rsidRPr="00786D0E">
        <w:t xml:space="preserve"> considered that the </w:t>
      </w:r>
      <w:r w:rsidRPr="00786D0E">
        <w:t>financial implications of</w:t>
      </w:r>
      <w:r w:rsidRPr="00786D0E">
        <w:rPr>
          <w:i/>
        </w:rPr>
        <w:t xml:space="preserve"> </w:t>
      </w:r>
      <w:r w:rsidR="00420D95" w:rsidRPr="00786D0E">
        <w:rPr>
          <w:i/>
        </w:rPr>
        <w:t>ROS1</w:t>
      </w:r>
      <w:r w:rsidRPr="00786D0E">
        <w:t xml:space="preserve"> testing and </w:t>
      </w:r>
      <w:proofErr w:type="spellStart"/>
      <w:r w:rsidRPr="00786D0E">
        <w:t>crizotinib</w:t>
      </w:r>
      <w:proofErr w:type="spellEnd"/>
      <w:r w:rsidRPr="00786D0E">
        <w:t xml:space="preserve"> treatment </w:t>
      </w:r>
      <w:r w:rsidR="00D7397F" w:rsidRPr="00786D0E">
        <w:t xml:space="preserve">were </w:t>
      </w:r>
      <w:r w:rsidR="00133B8B" w:rsidRPr="00786D0E">
        <w:t>modestly</w:t>
      </w:r>
      <w:r w:rsidRPr="00786D0E">
        <w:t xml:space="preserve"> underestimated </w:t>
      </w:r>
      <w:r w:rsidR="00105C86" w:rsidRPr="00786D0E">
        <w:t>due to:</w:t>
      </w:r>
    </w:p>
    <w:p w:rsidR="003C2383" w:rsidRPr="00786D0E" w:rsidRDefault="00133B8B" w:rsidP="000D39E9">
      <w:pPr>
        <w:pStyle w:val="ListParagraph"/>
        <w:numPr>
          <w:ilvl w:val="2"/>
          <w:numId w:val="2"/>
        </w:numPr>
        <w:tabs>
          <w:tab w:val="left" w:pos="1134"/>
        </w:tabs>
        <w:spacing w:before="0" w:after="0"/>
        <w:ind w:hanging="11"/>
        <w:jc w:val="both"/>
      </w:pPr>
      <w:r w:rsidRPr="00786D0E">
        <w:t>u</w:t>
      </w:r>
      <w:r w:rsidR="00BB0233" w:rsidRPr="00786D0E">
        <w:t>nderesti</w:t>
      </w:r>
      <w:r w:rsidR="00804D11" w:rsidRPr="00786D0E">
        <w:t xml:space="preserve">mation of </w:t>
      </w:r>
      <w:r w:rsidR="00105C86" w:rsidRPr="00786D0E">
        <w:t xml:space="preserve">the </w:t>
      </w:r>
      <w:r w:rsidR="00BB0233" w:rsidRPr="00786D0E">
        <w:t xml:space="preserve">uptake of </w:t>
      </w:r>
      <w:r w:rsidR="00420D95" w:rsidRPr="00786D0E">
        <w:rPr>
          <w:i/>
        </w:rPr>
        <w:t>ROS1</w:t>
      </w:r>
      <w:r w:rsidR="00BB0233" w:rsidRPr="00786D0E">
        <w:t xml:space="preserve"> FISH testing following </w:t>
      </w:r>
      <w:r w:rsidR="00420D95" w:rsidRPr="00786D0E">
        <w:rPr>
          <w:i/>
        </w:rPr>
        <w:t>ROS1</w:t>
      </w:r>
      <w:r w:rsidR="009D60C8" w:rsidRPr="00786D0E">
        <w:rPr>
          <w:i/>
        </w:rPr>
        <w:t>-</w:t>
      </w:r>
      <w:r w:rsidR="00BB0233" w:rsidRPr="00786D0E">
        <w:t xml:space="preserve">positive </w:t>
      </w:r>
      <w:r w:rsidR="00105C86" w:rsidRPr="00786D0E">
        <w:t>IHC;</w:t>
      </w:r>
    </w:p>
    <w:p w:rsidR="003C2383" w:rsidRPr="00786D0E" w:rsidRDefault="00133B8B" w:rsidP="000D39E9">
      <w:pPr>
        <w:pStyle w:val="ListParagraph"/>
        <w:numPr>
          <w:ilvl w:val="2"/>
          <w:numId w:val="2"/>
        </w:numPr>
        <w:tabs>
          <w:tab w:val="left" w:pos="1134"/>
        </w:tabs>
        <w:spacing w:before="0" w:after="0"/>
        <w:ind w:left="1134" w:hanging="425"/>
        <w:jc w:val="both"/>
      </w:pPr>
      <w:r w:rsidRPr="00786D0E">
        <w:t>u</w:t>
      </w:r>
      <w:r w:rsidR="00BB0233" w:rsidRPr="00786D0E">
        <w:t>nderestimati</w:t>
      </w:r>
      <w:r w:rsidR="00804D11" w:rsidRPr="00786D0E">
        <w:t>on of the</w:t>
      </w:r>
      <w:r w:rsidR="00BB0233" w:rsidRPr="00786D0E">
        <w:t xml:space="preserve"> uptake of </w:t>
      </w:r>
      <w:proofErr w:type="spellStart"/>
      <w:r w:rsidR="00BB0233" w:rsidRPr="00786D0E">
        <w:t>crizotinib</w:t>
      </w:r>
      <w:proofErr w:type="spellEnd"/>
      <w:r w:rsidR="00BB0233" w:rsidRPr="00786D0E">
        <w:t xml:space="preserve"> in p</w:t>
      </w:r>
      <w:r w:rsidR="00105C86" w:rsidRPr="00786D0E">
        <w:t>atients eligible for second line treatment;</w:t>
      </w:r>
    </w:p>
    <w:p w:rsidR="00804D11" w:rsidRPr="00786D0E" w:rsidRDefault="00804D11" w:rsidP="000D39E9">
      <w:pPr>
        <w:pStyle w:val="ListParagraph"/>
        <w:numPr>
          <w:ilvl w:val="2"/>
          <w:numId w:val="2"/>
        </w:numPr>
        <w:tabs>
          <w:tab w:val="left" w:pos="1134"/>
        </w:tabs>
        <w:spacing w:before="0" w:after="0"/>
        <w:ind w:hanging="11"/>
        <w:jc w:val="both"/>
      </w:pPr>
      <w:r w:rsidRPr="00786D0E">
        <w:t xml:space="preserve">underestimation of mean duration of treatment with </w:t>
      </w:r>
      <w:proofErr w:type="spellStart"/>
      <w:r w:rsidRPr="00786D0E">
        <w:t>crizotinib</w:t>
      </w:r>
      <w:proofErr w:type="spellEnd"/>
      <w:r w:rsidRPr="00786D0E">
        <w:t>;</w:t>
      </w:r>
    </w:p>
    <w:p w:rsidR="003C2383" w:rsidRPr="00786D0E" w:rsidRDefault="00BB0233" w:rsidP="000D39E9">
      <w:pPr>
        <w:pStyle w:val="ListParagraph"/>
        <w:numPr>
          <w:ilvl w:val="2"/>
          <w:numId w:val="2"/>
        </w:numPr>
        <w:tabs>
          <w:tab w:val="left" w:pos="1134"/>
        </w:tabs>
        <w:spacing w:before="0" w:after="0"/>
        <w:ind w:hanging="11"/>
        <w:jc w:val="both"/>
      </w:pPr>
      <w:r w:rsidRPr="00786D0E">
        <w:t>overest</w:t>
      </w:r>
      <w:r w:rsidR="00105C86" w:rsidRPr="00786D0E">
        <w:t>imati</w:t>
      </w:r>
      <w:r w:rsidR="00804D11" w:rsidRPr="00786D0E">
        <w:t xml:space="preserve">on of </w:t>
      </w:r>
      <w:proofErr w:type="spellStart"/>
      <w:r w:rsidR="00105C86" w:rsidRPr="00786D0E">
        <w:t>pemetrexed</w:t>
      </w:r>
      <w:proofErr w:type="spellEnd"/>
      <w:r w:rsidR="00105C86" w:rsidRPr="00786D0E">
        <w:t xml:space="preserve"> cost-offsets;</w:t>
      </w:r>
      <w:r w:rsidRPr="00786D0E">
        <w:t xml:space="preserve"> and</w:t>
      </w:r>
    </w:p>
    <w:p w:rsidR="003C2383" w:rsidRPr="00786D0E" w:rsidRDefault="00BB0233" w:rsidP="000D39E9">
      <w:pPr>
        <w:pStyle w:val="ListParagraph"/>
        <w:numPr>
          <w:ilvl w:val="2"/>
          <w:numId w:val="2"/>
        </w:numPr>
        <w:tabs>
          <w:tab w:val="left" w:pos="1134"/>
        </w:tabs>
        <w:spacing w:before="0" w:after="0"/>
        <w:ind w:hanging="11"/>
        <w:jc w:val="both"/>
      </w:pPr>
      <w:proofErr w:type="gramStart"/>
      <w:r w:rsidRPr="00786D0E">
        <w:lastRenderedPageBreak/>
        <w:t>underestimati</w:t>
      </w:r>
      <w:r w:rsidR="00804D11" w:rsidRPr="00786D0E">
        <w:t>on</w:t>
      </w:r>
      <w:proofErr w:type="gramEnd"/>
      <w:r w:rsidR="00804D11" w:rsidRPr="00786D0E">
        <w:t xml:space="preserve"> of</w:t>
      </w:r>
      <w:r w:rsidRPr="00786D0E">
        <w:t xml:space="preserve"> the incidence of lung cancer</w:t>
      </w:r>
      <w:r w:rsidR="00105C86" w:rsidRPr="00786D0E">
        <w:t>.</w:t>
      </w:r>
    </w:p>
    <w:p w:rsidR="00105C86" w:rsidRPr="00786D0E" w:rsidRDefault="00105C86" w:rsidP="00133B8B">
      <w:pPr>
        <w:tabs>
          <w:tab w:val="left" w:pos="1134"/>
        </w:tabs>
        <w:spacing w:before="0" w:after="0"/>
        <w:jc w:val="both"/>
      </w:pPr>
    </w:p>
    <w:p w:rsidR="00105C86" w:rsidRPr="00786D0E" w:rsidRDefault="00105C86" w:rsidP="000D39E9">
      <w:pPr>
        <w:pStyle w:val="ListParagraph"/>
        <w:numPr>
          <w:ilvl w:val="1"/>
          <w:numId w:val="2"/>
        </w:numPr>
        <w:spacing w:before="0" w:after="120"/>
        <w:jc w:val="both"/>
      </w:pPr>
      <w:r w:rsidRPr="00786D0E">
        <w:t>The PSCR (p7, 10) presented additional univariate sensitivity analyses assuming (</w:t>
      </w:r>
      <w:proofErr w:type="spellStart"/>
      <w:r w:rsidRPr="00786D0E">
        <w:t>i</w:t>
      </w:r>
      <w:proofErr w:type="spellEnd"/>
      <w:r w:rsidR="00804D11" w:rsidRPr="00786D0E">
        <w:t xml:space="preserve">) higher uptake of </w:t>
      </w:r>
      <w:r w:rsidR="00420D95" w:rsidRPr="00786D0E">
        <w:rPr>
          <w:i/>
        </w:rPr>
        <w:t>ROS1</w:t>
      </w:r>
      <w:r w:rsidR="00804D11" w:rsidRPr="00786D0E">
        <w:t xml:space="preserve"> testing;</w:t>
      </w:r>
      <w:r w:rsidRPr="00786D0E">
        <w:t xml:space="preserve"> (ii) higher uptake of second-line treatment</w:t>
      </w:r>
      <w:r w:rsidR="00804D11" w:rsidRPr="00786D0E">
        <w:t>;</w:t>
      </w:r>
      <w:r w:rsidRPr="00786D0E">
        <w:t xml:space="preserve"> (iii) higher </w:t>
      </w:r>
      <w:proofErr w:type="spellStart"/>
      <w:r w:rsidRPr="00786D0E">
        <w:t>crizotinib</w:t>
      </w:r>
      <w:proofErr w:type="spellEnd"/>
      <w:r w:rsidRPr="00786D0E">
        <w:t xml:space="preserve"> uptake in the eligible population</w:t>
      </w:r>
      <w:r w:rsidR="00804D11" w:rsidRPr="00786D0E">
        <w:t>; and</w:t>
      </w:r>
      <w:r w:rsidRPr="00786D0E">
        <w:t xml:space="preserve"> </w:t>
      </w:r>
      <w:proofErr w:type="gramStart"/>
      <w:r w:rsidRPr="00786D0E">
        <w:t xml:space="preserve">(iv) </w:t>
      </w:r>
      <w:r w:rsidR="00804D11" w:rsidRPr="00786D0E">
        <w:t>removal</w:t>
      </w:r>
      <w:proofErr w:type="gramEnd"/>
      <w:r w:rsidR="00804D11" w:rsidRPr="00786D0E">
        <w:t xml:space="preserve"> of</w:t>
      </w:r>
      <w:r w:rsidRPr="00786D0E">
        <w:t xml:space="preserve"> </w:t>
      </w:r>
      <w:proofErr w:type="spellStart"/>
      <w:r w:rsidRPr="00786D0E">
        <w:t>pemetrexed</w:t>
      </w:r>
      <w:proofErr w:type="spellEnd"/>
      <w:r w:rsidRPr="00786D0E">
        <w:t xml:space="preserve"> cost offsets.</w:t>
      </w:r>
      <w:r w:rsidR="00932FAC" w:rsidRPr="00786D0E">
        <w:t xml:space="preserve"> The ESCs noted that making these changes (</w:t>
      </w:r>
      <w:r w:rsidR="00BE59DD" w:rsidRPr="00786D0E">
        <w:t xml:space="preserve">compared to </w:t>
      </w:r>
      <w:r w:rsidR="00932FAC" w:rsidRPr="00786D0E">
        <w:t>the five it had identified), changed the estimated net cost to the PBS and RPBS from $</w:t>
      </w:r>
      <w:r w:rsidR="00CF74BD">
        <w:t>20 - $30</w:t>
      </w:r>
      <w:r w:rsidR="00932FAC" w:rsidRPr="00CF74BD">
        <w:t> million</w:t>
      </w:r>
      <w:r w:rsidR="00932FAC" w:rsidRPr="00786D0E">
        <w:t xml:space="preserve"> to $</w:t>
      </w:r>
      <w:r w:rsidR="00142D6A" w:rsidRPr="00CF74BD">
        <w:t>20</w:t>
      </w:r>
      <w:r w:rsidR="00CF74BD">
        <w:t xml:space="preserve"> - $30</w:t>
      </w:r>
      <w:r w:rsidR="00142D6A" w:rsidRPr="00CF74BD">
        <w:t xml:space="preserve"> </w:t>
      </w:r>
      <w:r w:rsidR="00932FAC" w:rsidRPr="00CF74BD">
        <w:t>million</w:t>
      </w:r>
      <w:r w:rsidR="00932FAC" w:rsidRPr="00786D0E">
        <w:t xml:space="preserve"> over the first six years of listing.</w:t>
      </w:r>
    </w:p>
    <w:p w:rsidR="00105C86" w:rsidRPr="00786D0E" w:rsidRDefault="00105C86" w:rsidP="000D39E9">
      <w:pPr>
        <w:pStyle w:val="ListParagraph"/>
        <w:numPr>
          <w:ilvl w:val="1"/>
          <w:numId w:val="2"/>
        </w:numPr>
        <w:spacing w:before="0" w:after="120"/>
        <w:jc w:val="both"/>
      </w:pPr>
      <w:r w:rsidRPr="00786D0E">
        <w:t>The ESC</w:t>
      </w:r>
      <w:r w:rsidR="001B4781" w:rsidRPr="00786D0E">
        <w:t>s</w:t>
      </w:r>
      <w:r w:rsidRPr="00786D0E">
        <w:t xml:space="preserve"> noted that the financial implications were </w:t>
      </w:r>
      <w:r w:rsidR="00BE59DD" w:rsidRPr="00786D0E">
        <w:t>most</w:t>
      </w:r>
      <w:r w:rsidRPr="00786D0E">
        <w:t xml:space="preserve"> sensitive to the prevalence of </w:t>
      </w:r>
      <w:r w:rsidR="00420D95" w:rsidRPr="00786D0E">
        <w:rPr>
          <w:i/>
        </w:rPr>
        <w:t>ROS1</w:t>
      </w:r>
      <w:r w:rsidRPr="00786D0E">
        <w:t xml:space="preserve"> gene rearrangements and the duration and uptake of </w:t>
      </w:r>
      <w:proofErr w:type="spellStart"/>
      <w:r w:rsidRPr="00786D0E">
        <w:t>crizotinib</w:t>
      </w:r>
      <w:proofErr w:type="spellEnd"/>
      <w:r w:rsidRPr="00786D0E">
        <w:t xml:space="preserve"> treatment. The ESC</w:t>
      </w:r>
      <w:r w:rsidR="001B4781" w:rsidRPr="00786D0E">
        <w:t>s</w:t>
      </w:r>
      <w:r w:rsidRPr="00786D0E">
        <w:t xml:space="preserve"> further noted that the financial estimates were not as sensitive to re</w:t>
      </w:r>
      <w:r w:rsidR="00BE59DD" w:rsidRPr="00786D0E">
        <w:t xml:space="preserve">moving the </w:t>
      </w:r>
      <w:proofErr w:type="spellStart"/>
      <w:r w:rsidR="00BE59DD" w:rsidRPr="00786D0E">
        <w:t>pemetrexed</w:t>
      </w:r>
      <w:proofErr w:type="spellEnd"/>
      <w:r w:rsidR="00BE59DD" w:rsidRPr="00786D0E">
        <w:t xml:space="preserve"> </w:t>
      </w:r>
      <w:r w:rsidRPr="00786D0E">
        <w:t xml:space="preserve">cost-offsets due to </w:t>
      </w:r>
      <w:r w:rsidR="00BE59DD" w:rsidRPr="00786D0E">
        <w:t xml:space="preserve">further </w:t>
      </w:r>
      <w:proofErr w:type="spellStart"/>
      <w:r w:rsidRPr="00786D0E">
        <w:t>pemetrexed</w:t>
      </w:r>
      <w:proofErr w:type="spellEnd"/>
      <w:r w:rsidRPr="00786D0E">
        <w:t xml:space="preserve"> price</w:t>
      </w:r>
      <w:r w:rsidR="00BE59DD" w:rsidRPr="00786D0E">
        <w:t xml:space="preserve"> reductions</w:t>
      </w:r>
      <w:r w:rsidRPr="00786D0E">
        <w:t>.</w:t>
      </w:r>
    </w:p>
    <w:p w:rsidR="00105C86" w:rsidRPr="00786D0E" w:rsidRDefault="00105C86" w:rsidP="000D39E9">
      <w:pPr>
        <w:pStyle w:val="ListParagraph"/>
        <w:numPr>
          <w:ilvl w:val="1"/>
          <w:numId w:val="2"/>
        </w:numPr>
        <w:spacing w:before="0" w:after="120"/>
        <w:jc w:val="both"/>
      </w:pPr>
      <w:r w:rsidRPr="00786D0E">
        <w:t>The ESC</w:t>
      </w:r>
      <w:r w:rsidR="001B4781" w:rsidRPr="00786D0E">
        <w:t>s</w:t>
      </w:r>
      <w:r w:rsidRPr="00786D0E">
        <w:t xml:space="preserve"> noted that</w:t>
      </w:r>
      <w:r w:rsidR="001B4781" w:rsidRPr="00786D0E">
        <w:t>,</w:t>
      </w:r>
      <w:r w:rsidRPr="00786D0E">
        <w:t xml:space="preserve"> although the submission (and PSCR) requested a </w:t>
      </w:r>
      <w:r w:rsidR="00133B8B" w:rsidRPr="00786D0E">
        <w:t xml:space="preserve">PBS </w:t>
      </w:r>
      <w:r w:rsidRPr="00786D0E">
        <w:t xml:space="preserve">listing agnostic of </w:t>
      </w:r>
      <w:r w:rsidR="00133B8B" w:rsidRPr="00786D0E">
        <w:t xml:space="preserve">any </w:t>
      </w:r>
      <w:r w:rsidRPr="00786D0E">
        <w:t>line of treatment, the financial estimates presented in the submission did not take into</w:t>
      </w:r>
      <w:r w:rsidR="00D7397F" w:rsidRPr="00786D0E">
        <w:t xml:space="preserve"> account</w:t>
      </w:r>
      <w:r w:rsidRPr="00786D0E">
        <w:t xml:space="preserve"> first-line use of </w:t>
      </w:r>
      <w:proofErr w:type="spellStart"/>
      <w:r w:rsidRPr="00786D0E">
        <w:t>crizotinib</w:t>
      </w:r>
      <w:proofErr w:type="spellEnd"/>
      <w:r w:rsidRPr="00786D0E">
        <w:t xml:space="preserve"> in </w:t>
      </w:r>
      <w:r w:rsidRPr="00786D0E">
        <w:rPr>
          <w:i/>
        </w:rPr>
        <w:t>ROS1</w:t>
      </w:r>
      <w:r w:rsidR="009D60C8" w:rsidRPr="00786D0E">
        <w:t>-</w:t>
      </w:r>
      <w:r w:rsidRPr="00786D0E">
        <w:t>positive NSCLC patients.</w:t>
      </w:r>
    </w:p>
    <w:p w:rsidR="00AC59CA" w:rsidRPr="00786D0E" w:rsidRDefault="00AC59CA" w:rsidP="00AC59CA">
      <w:pPr>
        <w:pStyle w:val="Heading2"/>
        <w:jc w:val="both"/>
      </w:pPr>
      <w:bookmarkStart w:id="23" w:name="_Toc413139286"/>
      <w:bookmarkStart w:id="24" w:name="_Toc491433498"/>
      <w:r w:rsidRPr="00786D0E">
        <w:t>Financial Management – Risk Sharing Arrangements</w:t>
      </w:r>
      <w:bookmarkEnd w:id="23"/>
      <w:bookmarkEnd w:id="24"/>
    </w:p>
    <w:p w:rsidR="00AC59CA" w:rsidRPr="00786D0E" w:rsidRDefault="00AC59CA" w:rsidP="000D39E9">
      <w:pPr>
        <w:pStyle w:val="ListParagraph"/>
        <w:numPr>
          <w:ilvl w:val="1"/>
          <w:numId w:val="2"/>
        </w:numPr>
        <w:spacing w:before="0" w:after="120"/>
        <w:jc w:val="both"/>
      </w:pPr>
      <w:r w:rsidRPr="00786D0E">
        <w:t>The submission acknowledged that a risk</w:t>
      </w:r>
      <w:r w:rsidR="00841E8E">
        <w:t xml:space="preserve"> </w:t>
      </w:r>
      <w:r w:rsidRPr="00786D0E">
        <w:t>shar</w:t>
      </w:r>
      <w:r w:rsidR="00841E8E">
        <w:t>ing</w:t>
      </w:r>
      <w:r w:rsidRPr="00786D0E">
        <w:t xml:space="preserve"> arrangement (RSA) might be required to address any uncertainties in the financial estimates; however, no further details on the specifics of such an arrangement w</w:t>
      </w:r>
      <w:r w:rsidR="009821A8" w:rsidRPr="00786D0E">
        <w:t>ere included in the submission.</w:t>
      </w:r>
    </w:p>
    <w:p w:rsidR="00530174" w:rsidRPr="00786D0E" w:rsidRDefault="00530174" w:rsidP="003B782C">
      <w:pPr>
        <w:ind w:firstLine="720"/>
        <w:rPr>
          <w:i/>
        </w:rPr>
      </w:pPr>
      <w:r w:rsidRPr="00786D0E">
        <w:rPr>
          <w:i/>
        </w:rPr>
        <w:t>For more detail on PBAC’s view, see section 7 PBAC outcome.</w:t>
      </w:r>
    </w:p>
    <w:p w:rsidR="00827680" w:rsidRPr="00786D0E" w:rsidRDefault="00827680" w:rsidP="00827680">
      <w:pPr>
        <w:pStyle w:val="Heading1"/>
        <w:numPr>
          <w:ilvl w:val="0"/>
          <w:numId w:val="2"/>
        </w:numPr>
        <w:spacing w:before="200"/>
        <w:jc w:val="both"/>
      </w:pPr>
      <w:r w:rsidRPr="00786D0E">
        <w:t xml:space="preserve">PBAC </w:t>
      </w:r>
      <w:r w:rsidR="009D60C8" w:rsidRPr="00786D0E">
        <w:t>o</w:t>
      </w:r>
      <w:r w:rsidRPr="00786D0E">
        <w:t>utcome</w:t>
      </w:r>
    </w:p>
    <w:p w:rsidR="00D86EE5" w:rsidRPr="00786D0E" w:rsidRDefault="00022167" w:rsidP="00D86EE5">
      <w:pPr>
        <w:pStyle w:val="ListParagraph"/>
        <w:numPr>
          <w:ilvl w:val="1"/>
          <w:numId w:val="2"/>
        </w:numPr>
        <w:spacing w:before="0" w:after="120"/>
        <w:jc w:val="both"/>
      </w:pPr>
      <w:r w:rsidRPr="00786D0E">
        <w:t xml:space="preserve">The PBAC deferred </w:t>
      </w:r>
      <w:r w:rsidR="008C260A" w:rsidRPr="00786D0E">
        <w:t xml:space="preserve">its decision about whether to </w:t>
      </w:r>
      <w:r w:rsidRPr="00786D0E">
        <w:t>recommend list</w:t>
      </w:r>
      <w:r w:rsidR="008C260A" w:rsidRPr="00786D0E">
        <w:t>ing</w:t>
      </w:r>
      <w:r w:rsidRPr="00786D0E">
        <w:t xml:space="preserve"> </w:t>
      </w:r>
      <w:proofErr w:type="spellStart"/>
      <w:r w:rsidR="007D50BC" w:rsidRPr="00786D0E">
        <w:t>crizotinib</w:t>
      </w:r>
      <w:proofErr w:type="spellEnd"/>
      <w:r w:rsidR="007D50BC" w:rsidRPr="00786D0E">
        <w:t xml:space="preserve"> </w:t>
      </w:r>
      <w:r w:rsidRPr="00786D0E">
        <w:t xml:space="preserve">for the treatment of </w:t>
      </w:r>
      <w:r w:rsidRPr="00786D0E">
        <w:rPr>
          <w:i/>
        </w:rPr>
        <w:t>ROS1</w:t>
      </w:r>
      <w:r w:rsidR="009D60C8" w:rsidRPr="00786D0E">
        <w:t>-</w:t>
      </w:r>
      <w:r w:rsidRPr="00786D0E">
        <w:t>positive NSCL</w:t>
      </w:r>
      <w:r w:rsidR="003B782C" w:rsidRPr="00786D0E">
        <w:t>C</w:t>
      </w:r>
      <w:r w:rsidRPr="00786D0E">
        <w:t>, requesting that the sponsor develop an appropriate</w:t>
      </w:r>
      <w:r w:rsidR="003B782C" w:rsidRPr="00786D0E">
        <w:t xml:space="preserve"> pricing</w:t>
      </w:r>
      <w:r w:rsidRPr="00786D0E">
        <w:t xml:space="preserve"> strategy in response to the </w:t>
      </w:r>
      <w:r w:rsidR="003B782C" w:rsidRPr="00786D0E">
        <w:t>C</w:t>
      </w:r>
      <w:r w:rsidRPr="00786D0E">
        <w:t>ommittee’s concerns.</w:t>
      </w:r>
    </w:p>
    <w:p w:rsidR="00022167" w:rsidRPr="00786D0E" w:rsidRDefault="00022167" w:rsidP="00D86EE5">
      <w:pPr>
        <w:pStyle w:val="ListParagraph"/>
        <w:numPr>
          <w:ilvl w:val="1"/>
          <w:numId w:val="2"/>
        </w:numPr>
        <w:spacing w:before="0" w:after="120"/>
        <w:jc w:val="both"/>
      </w:pPr>
      <w:r w:rsidRPr="00786D0E">
        <w:t xml:space="preserve">In deciding to defer, </w:t>
      </w:r>
      <w:r w:rsidR="00D86EE5" w:rsidRPr="00786D0E">
        <w:t xml:space="preserve">the PBAC noted that the </w:t>
      </w:r>
      <w:proofErr w:type="spellStart"/>
      <w:r w:rsidR="00D86EE5" w:rsidRPr="00786D0E">
        <w:t>codependent</w:t>
      </w:r>
      <w:proofErr w:type="spellEnd"/>
      <w:r w:rsidR="00D86EE5" w:rsidRPr="00786D0E">
        <w:t xml:space="preserve"> test for </w:t>
      </w:r>
      <w:r w:rsidR="00D86EE5" w:rsidRPr="00786D0E">
        <w:rPr>
          <w:i/>
        </w:rPr>
        <w:t xml:space="preserve">ROS1 </w:t>
      </w:r>
      <w:r w:rsidR="00AC7F2D">
        <w:t>rearrangements</w:t>
      </w:r>
      <w:r w:rsidR="00AC7F2D" w:rsidRPr="00786D0E">
        <w:t xml:space="preserve"> </w:t>
      </w:r>
      <w:r w:rsidR="00834326" w:rsidRPr="00786D0E">
        <w:t xml:space="preserve">would be considered by </w:t>
      </w:r>
      <w:r w:rsidR="0094397D" w:rsidRPr="00786D0E">
        <w:t>the Medical Benefits Advisory Committee (</w:t>
      </w:r>
      <w:r w:rsidR="00D86EE5" w:rsidRPr="00786D0E">
        <w:t>MSAC</w:t>
      </w:r>
      <w:r w:rsidR="0094397D" w:rsidRPr="00786D0E">
        <w:t>)</w:t>
      </w:r>
      <w:r w:rsidR="00D86EE5" w:rsidRPr="00786D0E">
        <w:t xml:space="preserve"> in late November 2017. </w:t>
      </w:r>
      <w:r w:rsidR="00834326" w:rsidRPr="00786D0E">
        <w:t>T</w:t>
      </w:r>
      <w:r w:rsidRPr="00786D0E">
        <w:t>he PBAC acknowledged that there is a high unmet clinical need in the small proposed population</w:t>
      </w:r>
      <w:r w:rsidR="00983858" w:rsidRPr="00786D0E">
        <w:t xml:space="preserve"> (approximately </w:t>
      </w:r>
      <w:r w:rsidR="001144C3">
        <w:rPr>
          <w:noProof/>
          <w:color w:val="000000"/>
          <w:highlight w:val="black"/>
        </w:rPr>
        <w:t>'''''</w:t>
      </w:r>
      <w:r w:rsidR="0094397D" w:rsidRPr="00786D0E">
        <w:t xml:space="preserve"> patients per year</w:t>
      </w:r>
      <w:r w:rsidR="00983858" w:rsidRPr="00786D0E">
        <w:t xml:space="preserve">, 1.6% of all </w:t>
      </w:r>
      <w:r w:rsidR="008C260A" w:rsidRPr="00786D0E">
        <w:t xml:space="preserve">patients with </w:t>
      </w:r>
      <w:r w:rsidR="00983858" w:rsidRPr="00786D0E">
        <w:t>NSCLC</w:t>
      </w:r>
      <w:r w:rsidR="0094397D" w:rsidRPr="00786D0E">
        <w:t>)</w:t>
      </w:r>
      <w:r w:rsidR="008C260A" w:rsidRPr="00786D0E">
        <w:t>,</w:t>
      </w:r>
      <w:r w:rsidR="007A2CF3" w:rsidRPr="00786D0E">
        <w:t xml:space="preserve"> and recalled that this submission was the result of an invitation from the PBAC to the sponsor for a submission for this rare cancer population. Further, the PBAC</w:t>
      </w:r>
      <w:r w:rsidRPr="00786D0E">
        <w:t xml:space="preserve"> advised that </w:t>
      </w:r>
      <w:proofErr w:type="spellStart"/>
      <w:r w:rsidRPr="00786D0E">
        <w:t>crizotinib’s</w:t>
      </w:r>
      <w:proofErr w:type="spellEnd"/>
      <w:r w:rsidRPr="00786D0E">
        <w:t xml:space="preserve"> effectiveness and safety profile in the </w:t>
      </w:r>
      <w:r w:rsidRPr="00786D0E">
        <w:rPr>
          <w:i/>
        </w:rPr>
        <w:t>ROS1</w:t>
      </w:r>
      <w:r w:rsidR="009D60C8" w:rsidRPr="00786D0E">
        <w:t>-</w:t>
      </w:r>
      <w:r w:rsidRPr="00786D0E">
        <w:t xml:space="preserve">positive NSCLC population </w:t>
      </w:r>
      <w:r w:rsidR="00777530" w:rsidRPr="00786D0E">
        <w:t>i</w:t>
      </w:r>
      <w:r w:rsidRPr="00786D0E">
        <w:t xml:space="preserve">s similar to that in the </w:t>
      </w:r>
      <w:r w:rsidRPr="00786D0E">
        <w:rPr>
          <w:i/>
        </w:rPr>
        <w:t>ALK</w:t>
      </w:r>
      <w:r w:rsidR="009D60C8" w:rsidRPr="00786D0E">
        <w:t>-</w:t>
      </w:r>
      <w:r w:rsidRPr="00786D0E">
        <w:t>positive NSCLC population, for which it is already PBS listed.</w:t>
      </w:r>
    </w:p>
    <w:p w:rsidR="007D50BC" w:rsidRPr="00786D0E" w:rsidRDefault="00F074FC" w:rsidP="00F074FC">
      <w:pPr>
        <w:pStyle w:val="ListParagraph"/>
        <w:numPr>
          <w:ilvl w:val="1"/>
          <w:numId w:val="2"/>
        </w:numPr>
        <w:spacing w:before="0" w:after="120"/>
        <w:jc w:val="both"/>
      </w:pPr>
      <w:r w:rsidRPr="00786D0E">
        <w:t xml:space="preserve">The PBAC </w:t>
      </w:r>
      <w:r w:rsidR="008C260A" w:rsidRPr="00786D0E">
        <w:t>foreshadowed its intention to remove</w:t>
      </w:r>
      <w:r w:rsidRPr="00786D0E">
        <w:t xml:space="preserve"> the criterion ‘The condition must have progressed on or after prior platinum based chemotherapy’ from </w:t>
      </w:r>
      <w:r w:rsidR="008C260A" w:rsidRPr="00786D0E">
        <w:t>any recommended</w:t>
      </w:r>
      <w:r w:rsidRPr="00786D0E">
        <w:t xml:space="preserve"> initial and grandfathering treatment criteria to allow </w:t>
      </w:r>
      <w:r w:rsidR="00CF1984" w:rsidRPr="00786D0E">
        <w:t xml:space="preserve">the PBS listing of </w:t>
      </w:r>
      <w:proofErr w:type="spellStart"/>
      <w:r w:rsidR="00CF1984" w:rsidRPr="00786D0E">
        <w:t>crizotinib</w:t>
      </w:r>
      <w:proofErr w:type="spellEnd"/>
      <w:r w:rsidR="00CF1984" w:rsidRPr="00786D0E">
        <w:t xml:space="preserve"> in the </w:t>
      </w:r>
      <w:r w:rsidR="00CF1984" w:rsidRPr="00786D0E">
        <w:rPr>
          <w:i/>
        </w:rPr>
        <w:t>ROS1</w:t>
      </w:r>
      <w:r w:rsidR="00657857" w:rsidRPr="00786D0E">
        <w:t>-positive</w:t>
      </w:r>
      <w:r w:rsidR="00CF1984" w:rsidRPr="00786D0E">
        <w:t xml:space="preserve"> NSCLC population to be</w:t>
      </w:r>
      <w:r w:rsidRPr="00786D0E">
        <w:t xml:space="preserve"> agnostic </w:t>
      </w:r>
      <w:r w:rsidR="00CF1984" w:rsidRPr="00786D0E">
        <w:t>of</w:t>
      </w:r>
      <w:r w:rsidRPr="00786D0E">
        <w:t xml:space="preserve"> line of therapy</w:t>
      </w:r>
      <w:r w:rsidR="00CF1984" w:rsidRPr="00786D0E">
        <w:t xml:space="preserve">, consistent with its current listing in the </w:t>
      </w:r>
      <w:r w:rsidR="00CF1984" w:rsidRPr="00786D0E">
        <w:rPr>
          <w:i/>
        </w:rPr>
        <w:t>AL</w:t>
      </w:r>
      <w:r w:rsidR="00EB31C5" w:rsidRPr="00786D0E">
        <w:rPr>
          <w:i/>
        </w:rPr>
        <w:t>K</w:t>
      </w:r>
      <w:r w:rsidR="009D60C8" w:rsidRPr="00786D0E">
        <w:t>-</w:t>
      </w:r>
      <w:r w:rsidR="00CF1984" w:rsidRPr="00786D0E">
        <w:t>positive NSCLC population</w:t>
      </w:r>
      <w:r w:rsidRPr="00786D0E">
        <w:t xml:space="preserve">. </w:t>
      </w:r>
      <w:r w:rsidR="007D50BC" w:rsidRPr="00786D0E">
        <w:t xml:space="preserve">The PBAC advised that </w:t>
      </w:r>
      <w:r w:rsidRPr="00786D0E">
        <w:t xml:space="preserve">all other aspects of </w:t>
      </w:r>
      <w:r w:rsidR="007D50BC" w:rsidRPr="00786D0E">
        <w:t xml:space="preserve">the restriction </w:t>
      </w:r>
      <w:r w:rsidR="00F95055" w:rsidRPr="00786D0E">
        <w:t>requested</w:t>
      </w:r>
      <w:r w:rsidR="007D50BC" w:rsidRPr="00786D0E">
        <w:t xml:space="preserve"> by the </w:t>
      </w:r>
      <w:r w:rsidR="00F95055" w:rsidRPr="00786D0E">
        <w:t>sponsor, with proposed changes by the Secretariat, w</w:t>
      </w:r>
      <w:r w:rsidR="008C260A" w:rsidRPr="00786D0E">
        <w:t>ould be</w:t>
      </w:r>
      <w:r w:rsidRPr="00786D0E">
        <w:t xml:space="preserve"> appropriate</w:t>
      </w:r>
      <w:r w:rsidR="00F95055" w:rsidRPr="00786D0E">
        <w:t>.</w:t>
      </w:r>
    </w:p>
    <w:p w:rsidR="00F95055" w:rsidRPr="00786D0E" w:rsidRDefault="00B92EF1" w:rsidP="00022167">
      <w:pPr>
        <w:pStyle w:val="ListParagraph"/>
        <w:numPr>
          <w:ilvl w:val="1"/>
          <w:numId w:val="2"/>
        </w:numPr>
        <w:spacing w:before="0" w:after="120"/>
        <w:jc w:val="both"/>
      </w:pPr>
      <w:r w:rsidRPr="00786D0E">
        <w:lastRenderedPageBreak/>
        <w:t>The PBAC</w:t>
      </w:r>
      <w:r w:rsidR="00834326" w:rsidRPr="00786D0E">
        <w:t xml:space="preserve"> </w:t>
      </w:r>
      <w:r w:rsidRPr="00786D0E">
        <w:t>advised that the clinical place in therapy as proposed</w:t>
      </w:r>
      <w:r w:rsidR="00834326" w:rsidRPr="00786D0E">
        <w:t xml:space="preserve"> in the submission was </w:t>
      </w:r>
      <w:r w:rsidR="00556FF7" w:rsidRPr="00786D0E">
        <w:t xml:space="preserve">otherwise </w:t>
      </w:r>
      <w:r w:rsidR="00834326" w:rsidRPr="00786D0E">
        <w:t>appropriat</w:t>
      </w:r>
      <w:r w:rsidRPr="00786D0E">
        <w:t>e.</w:t>
      </w:r>
    </w:p>
    <w:p w:rsidR="00FA209B" w:rsidRPr="00786D0E" w:rsidRDefault="00FA209B" w:rsidP="00FA209B">
      <w:pPr>
        <w:pStyle w:val="ListParagraph"/>
        <w:numPr>
          <w:ilvl w:val="1"/>
          <w:numId w:val="2"/>
        </w:numPr>
        <w:spacing w:before="0" w:after="120"/>
        <w:jc w:val="both"/>
      </w:pPr>
      <w:r w:rsidRPr="00786D0E">
        <w:t xml:space="preserve">The PBAC considered that </w:t>
      </w:r>
      <w:proofErr w:type="spellStart"/>
      <w:r w:rsidRPr="00786D0E">
        <w:t>pemetrexed</w:t>
      </w:r>
      <w:proofErr w:type="spellEnd"/>
      <w:r w:rsidRPr="00786D0E">
        <w:t xml:space="preserve">, as a </w:t>
      </w:r>
      <w:r w:rsidR="008C260A" w:rsidRPr="00786D0E">
        <w:t xml:space="preserve">widely used </w:t>
      </w:r>
      <w:r w:rsidRPr="00786D0E">
        <w:t xml:space="preserve">representative of single-agent chemotherapy, was the appropriate </w:t>
      </w:r>
      <w:r w:rsidR="00CE0DD7" w:rsidRPr="00786D0E">
        <w:t xml:space="preserve">main </w:t>
      </w:r>
      <w:r w:rsidRPr="00786D0E">
        <w:t>comparator</w:t>
      </w:r>
      <w:r w:rsidR="00E35749" w:rsidRPr="00786D0E">
        <w:t xml:space="preserve">, and recalled that it had also considered that </w:t>
      </w:r>
      <w:proofErr w:type="spellStart"/>
      <w:r w:rsidR="00E35749" w:rsidRPr="00786D0E">
        <w:t>pemetrexed</w:t>
      </w:r>
      <w:proofErr w:type="spellEnd"/>
      <w:r w:rsidR="00E35749" w:rsidRPr="00786D0E">
        <w:t xml:space="preserve"> was the appropriate comparator for the current listing in the </w:t>
      </w:r>
      <w:r w:rsidR="00E35749" w:rsidRPr="00786D0E">
        <w:rPr>
          <w:i/>
        </w:rPr>
        <w:t>ALK</w:t>
      </w:r>
      <w:r w:rsidR="00E35749" w:rsidRPr="00786D0E">
        <w:t>-positive NSCLC population</w:t>
      </w:r>
      <w:r w:rsidRPr="00786D0E">
        <w:t>.</w:t>
      </w:r>
    </w:p>
    <w:p w:rsidR="0094397D" w:rsidRPr="00786D0E" w:rsidRDefault="0094397D" w:rsidP="00022167">
      <w:pPr>
        <w:pStyle w:val="ListParagraph"/>
        <w:numPr>
          <w:ilvl w:val="1"/>
          <w:numId w:val="2"/>
        </w:numPr>
        <w:spacing w:before="0" w:after="120"/>
        <w:jc w:val="both"/>
      </w:pPr>
      <w:r w:rsidRPr="00786D0E">
        <w:t xml:space="preserve">The PBAC noted that the submission was based on a naïve comparison of two single-arm studies of </w:t>
      </w:r>
      <w:proofErr w:type="spellStart"/>
      <w:r w:rsidRPr="00786D0E">
        <w:t>crizotinib</w:t>
      </w:r>
      <w:proofErr w:type="spellEnd"/>
      <w:r w:rsidRPr="00786D0E">
        <w:t xml:space="preserve"> in </w:t>
      </w:r>
      <w:r w:rsidR="00891F78" w:rsidRPr="00786D0E">
        <w:t xml:space="preserve">the </w:t>
      </w:r>
      <w:r w:rsidR="00777530" w:rsidRPr="00786D0E">
        <w:t xml:space="preserve">second-line treatment of </w:t>
      </w:r>
      <w:r w:rsidRPr="00786D0E">
        <w:t xml:space="preserve">NSCLC (n = 180) </w:t>
      </w:r>
      <w:r w:rsidR="008C260A" w:rsidRPr="00786D0E">
        <w:t xml:space="preserve">with the </w:t>
      </w:r>
      <w:proofErr w:type="spellStart"/>
      <w:r w:rsidR="008C260A" w:rsidRPr="00786D0E">
        <w:t>pemetrexed</w:t>
      </w:r>
      <w:proofErr w:type="spellEnd"/>
      <w:r w:rsidR="008C260A" w:rsidRPr="00786D0E">
        <w:t xml:space="preserve"> arm of </w:t>
      </w:r>
      <w:r w:rsidRPr="00786D0E">
        <w:t xml:space="preserve">one randomised controlled trial that compared </w:t>
      </w:r>
      <w:proofErr w:type="spellStart"/>
      <w:r w:rsidRPr="00786D0E">
        <w:t>pemetrexed</w:t>
      </w:r>
      <w:proofErr w:type="spellEnd"/>
      <w:r w:rsidRPr="00786D0E">
        <w:t xml:space="preserve"> to docetaxel in </w:t>
      </w:r>
      <w:r w:rsidR="00891F78" w:rsidRPr="00786D0E">
        <w:t xml:space="preserve">the </w:t>
      </w:r>
      <w:r w:rsidRPr="00786D0E">
        <w:t xml:space="preserve">second-line treatment of NSCLC (Hanna et al 2004, n = 283 in </w:t>
      </w:r>
      <w:r w:rsidR="008C260A" w:rsidRPr="00786D0E">
        <w:t xml:space="preserve">the </w:t>
      </w:r>
      <w:proofErr w:type="spellStart"/>
      <w:r w:rsidRPr="00786D0E">
        <w:t>pemetrexed</w:t>
      </w:r>
      <w:proofErr w:type="spellEnd"/>
      <w:r w:rsidRPr="00786D0E">
        <w:t xml:space="preserve"> arm).</w:t>
      </w:r>
    </w:p>
    <w:p w:rsidR="0094397D" w:rsidRPr="00786D0E" w:rsidRDefault="0094397D" w:rsidP="0094397D">
      <w:pPr>
        <w:pStyle w:val="ListParagraph"/>
        <w:numPr>
          <w:ilvl w:val="1"/>
          <w:numId w:val="2"/>
        </w:numPr>
        <w:jc w:val="both"/>
      </w:pPr>
      <w:r w:rsidRPr="00786D0E">
        <w:t xml:space="preserve">The PBAC considered that the effectiveness of </w:t>
      </w:r>
      <w:proofErr w:type="spellStart"/>
      <w:r w:rsidRPr="00786D0E">
        <w:t>crizotinib</w:t>
      </w:r>
      <w:proofErr w:type="spellEnd"/>
      <w:r w:rsidRPr="00786D0E">
        <w:t xml:space="preserve"> was </w:t>
      </w:r>
      <w:r w:rsidR="003854D0" w:rsidRPr="00786D0E">
        <w:t xml:space="preserve">potentially </w:t>
      </w:r>
      <w:r w:rsidRPr="00786D0E">
        <w:t xml:space="preserve">overestimated in the naïve comparison due to the </w:t>
      </w:r>
      <w:proofErr w:type="spellStart"/>
      <w:r w:rsidRPr="00786D0E">
        <w:t>crizotinib</w:t>
      </w:r>
      <w:proofErr w:type="spellEnd"/>
      <w:r w:rsidRPr="00786D0E">
        <w:t xml:space="preserve"> studies having (</w:t>
      </w:r>
      <w:proofErr w:type="spellStart"/>
      <w:r w:rsidRPr="00786D0E">
        <w:t>i</w:t>
      </w:r>
      <w:proofErr w:type="spellEnd"/>
      <w:r w:rsidRPr="00786D0E">
        <w:t xml:space="preserve">) a larger proportion of patients with a performance status of 0 or 1; (ii) patients previously untreated for advanced NSCLC, and (iii) predominantly East Asian patients who have </w:t>
      </w:r>
      <w:r w:rsidR="008C260A" w:rsidRPr="00786D0E">
        <w:t xml:space="preserve">a </w:t>
      </w:r>
      <w:r w:rsidRPr="00786D0E">
        <w:t>better prognosis.</w:t>
      </w:r>
    </w:p>
    <w:p w:rsidR="0094397D" w:rsidRPr="00786D0E" w:rsidRDefault="0094397D" w:rsidP="0094397D">
      <w:pPr>
        <w:pStyle w:val="ListParagraph"/>
        <w:numPr>
          <w:ilvl w:val="1"/>
          <w:numId w:val="2"/>
        </w:numPr>
        <w:jc w:val="both"/>
      </w:pPr>
      <w:r w:rsidRPr="00786D0E">
        <w:t xml:space="preserve">The PBAC considered that the effectiveness of </w:t>
      </w:r>
      <w:proofErr w:type="spellStart"/>
      <w:r w:rsidRPr="00786D0E">
        <w:t>pemetrexed</w:t>
      </w:r>
      <w:proofErr w:type="spellEnd"/>
      <w:r w:rsidRPr="00786D0E">
        <w:t xml:space="preserve"> was </w:t>
      </w:r>
      <w:r w:rsidR="003854D0" w:rsidRPr="00786D0E">
        <w:t xml:space="preserve">potentially </w:t>
      </w:r>
      <w:r w:rsidRPr="00786D0E">
        <w:t>underestimated, as (</w:t>
      </w:r>
      <w:proofErr w:type="spellStart"/>
      <w:r w:rsidRPr="00786D0E">
        <w:t>i</w:t>
      </w:r>
      <w:proofErr w:type="spellEnd"/>
      <w:r w:rsidRPr="00786D0E">
        <w:t>) study patients received fewer cycles of treatment than Australian practice (</w:t>
      </w:r>
      <w:r w:rsidR="008C260A" w:rsidRPr="00786D0E">
        <w:t xml:space="preserve">as </w:t>
      </w:r>
      <w:r w:rsidRPr="00786D0E">
        <w:t xml:space="preserve">estimated by Australian clinicians); (ii) </w:t>
      </w:r>
      <w:r w:rsidR="00556FF7" w:rsidRPr="00786D0E">
        <w:t>i</w:t>
      </w:r>
      <w:r w:rsidR="008C260A" w:rsidRPr="00786D0E">
        <w:t>t</w:t>
      </w:r>
      <w:r w:rsidR="00556FF7" w:rsidRPr="00786D0E">
        <w:t>s</w:t>
      </w:r>
      <w:r w:rsidR="008C260A" w:rsidRPr="00786D0E">
        <w:t xml:space="preserve"> supporting study </w:t>
      </w:r>
      <w:r w:rsidRPr="00786D0E">
        <w:t xml:space="preserve">included patients with squamous NSCLC who have worse outcomes with </w:t>
      </w:r>
      <w:proofErr w:type="spellStart"/>
      <w:r w:rsidRPr="00786D0E">
        <w:t>pemetrexed</w:t>
      </w:r>
      <w:proofErr w:type="spellEnd"/>
      <w:r w:rsidRPr="00786D0E">
        <w:t xml:space="preserve">, and (iii) </w:t>
      </w:r>
      <w:r w:rsidR="00AE17BB" w:rsidRPr="00786D0E">
        <w:t xml:space="preserve">other </w:t>
      </w:r>
      <w:r w:rsidRPr="00786D0E">
        <w:t>treatment practices may have improved since the study was conducted (2001 to 2003).</w:t>
      </w:r>
    </w:p>
    <w:p w:rsidR="00C10D7B" w:rsidRPr="00786D0E" w:rsidRDefault="00C10D7B" w:rsidP="00C10D7B">
      <w:pPr>
        <w:pStyle w:val="ListParagraph"/>
        <w:numPr>
          <w:ilvl w:val="1"/>
          <w:numId w:val="2"/>
        </w:numPr>
        <w:jc w:val="both"/>
      </w:pPr>
      <w:r w:rsidRPr="00786D0E">
        <w:t>The PBAC noted ESC’s advice that</w:t>
      </w:r>
      <w:r w:rsidR="00AE17BB" w:rsidRPr="00786D0E">
        <w:t>,</w:t>
      </w:r>
      <w:r w:rsidRPr="00786D0E">
        <w:t xml:space="preserve"> although </w:t>
      </w:r>
      <w:proofErr w:type="spellStart"/>
      <w:r w:rsidRPr="00786D0E">
        <w:t>crizotinib</w:t>
      </w:r>
      <w:proofErr w:type="spellEnd"/>
      <w:r w:rsidRPr="00786D0E">
        <w:t xml:space="preserve"> was likely to be more effective than </w:t>
      </w:r>
      <w:proofErr w:type="spellStart"/>
      <w:r w:rsidRPr="00786D0E">
        <w:t>pemetrexed</w:t>
      </w:r>
      <w:proofErr w:type="spellEnd"/>
      <w:r w:rsidRPr="00786D0E">
        <w:t>, the magnitude of incremental effectiveness was difficult to estimate</w:t>
      </w:r>
      <w:r w:rsidR="003854D0" w:rsidRPr="00786D0E">
        <w:t xml:space="preserve"> f</w:t>
      </w:r>
      <w:r w:rsidR="00AE17BB" w:rsidRPr="00786D0E">
        <w:t>r</w:t>
      </w:r>
      <w:r w:rsidR="003854D0" w:rsidRPr="00786D0E">
        <w:t>om the evidence provided in the submission</w:t>
      </w:r>
      <w:r w:rsidRPr="00786D0E">
        <w:t xml:space="preserve">. Overall, the PBAC advised that the biases </w:t>
      </w:r>
      <w:r w:rsidR="00AE17BB" w:rsidRPr="00786D0E">
        <w:t>and the transitivity issues with</w:t>
      </w:r>
      <w:r w:rsidRPr="00786D0E">
        <w:t xml:space="preserve"> the indirect comparison indicated that the incremental effectiveness of </w:t>
      </w:r>
      <w:proofErr w:type="spellStart"/>
      <w:r w:rsidRPr="00786D0E">
        <w:t>crizotinib</w:t>
      </w:r>
      <w:proofErr w:type="spellEnd"/>
      <w:r w:rsidRPr="00786D0E">
        <w:t xml:space="preserve"> over </w:t>
      </w:r>
      <w:proofErr w:type="spellStart"/>
      <w:r w:rsidRPr="00786D0E">
        <w:t>pemetrexed</w:t>
      </w:r>
      <w:proofErr w:type="spellEnd"/>
      <w:r w:rsidRPr="00786D0E">
        <w:t xml:space="preserve"> was overestimated</w:t>
      </w:r>
      <w:r w:rsidR="00907A05" w:rsidRPr="00786D0E">
        <w:t xml:space="preserve"> in the submission; however, as confirmed during the sponsor hearing, the Committee was satisfied that </w:t>
      </w:r>
      <w:r w:rsidR="00AE17BB" w:rsidRPr="00786D0E">
        <w:t xml:space="preserve">the incremental effectiveness of </w:t>
      </w:r>
      <w:proofErr w:type="spellStart"/>
      <w:r w:rsidR="00907A05" w:rsidRPr="00786D0E">
        <w:t>crizotinib</w:t>
      </w:r>
      <w:proofErr w:type="spellEnd"/>
      <w:r w:rsidR="00907A05" w:rsidRPr="00786D0E">
        <w:t xml:space="preserve"> treatment in the </w:t>
      </w:r>
      <w:r w:rsidR="00907A05" w:rsidRPr="00786D0E">
        <w:rPr>
          <w:i/>
        </w:rPr>
        <w:t>ROS1</w:t>
      </w:r>
      <w:r w:rsidR="00AE17BB" w:rsidRPr="00786D0E">
        <w:t>-positive NSCLC</w:t>
      </w:r>
      <w:r w:rsidR="00907A05" w:rsidRPr="00786D0E">
        <w:t xml:space="preserve"> population would be </w:t>
      </w:r>
      <w:r w:rsidR="00AE17BB" w:rsidRPr="00786D0E">
        <w:t xml:space="preserve">similar to </w:t>
      </w:r>
      <w:r w:rsidR="00907A05" w:rsidRPr="00786D0E">
        <w:t>that in the</w:t>
      </w:r>
      <w:r w:rsidR="00907A05" w:rsidRPr="00786D0E">
        <w:rPr>
          <w:i/>
        </w:rPr>
        <w:t xml:space="preserve"> ALK</w:t>
      </w:r>
      <w:r w:rsidR="00AE17BB" w:rsidRPr="00786D0E">
        <w:t>-positive NSCLC</w:t>
      </w:r>
      <w:r w:rsidR="00907A05" w:rsidRPr="00786D0E">
        <w:rPr>
          <w:i/>
        </w:rPr>
        <w:t xml:space="preserve"> </w:t>
      </w:r>
      <w:r w:rsidR="00907A05" w:rsidRPr="00786D0E">
        <w:t>population.</w:t>
      </w:r>
    </w:p>
    <w:p w:rsidR="0094397D" w:rsidRPr="00786D0E" w:rsidRDefault="00907A05" w:rsidP="00907A05">
      <w:pPr>
        <w:pStyle w:val="ListParagraph"/>
        <w:numPr>
          <w:ilvl w:val="1"/>
          <w:numId w:val="2"/>
        </w:numPr>
        <w:spacing w:before="0" w:after="120"/>
        <w:jc w:val="both"/>
      </w:pPr>
      <w:r w:rsidRPr="00786D0E">
        <w:t xml:space="preserve">The PBAC considered that the submission’s claim of non-inferior safety compared with </w:t>
      </w:r>
      <w:proofErr w:type="spellStart"/>
      <w:r w:rsidRPr="00786D0E">
        <w:t>pemetrexed</w:t>
      </w:r>
      <w:proofErr w:type="spellEnd"/>
      <w:r w:rsidRPr="00786D0E">
        <w:t xml:space="preserve"> was reasonable, but noted that the fatal adverse event rate in the </w:t>
      </w:r>
      <w:proofErr w:type="spellStart"/>
      <w:r w:rsidRPr="00786D0E">
        <w:t>crizotinib</w:t>
      </w:r>
      <w:proofErr w:type="spellEnd"/>
      <w:r w:rsidRPr="00786D0E">
        <w:t xml:space="preserve"> studies (17% and </w:t>
      </w:r>
      <w:r w:rsidR="001144C3">
        <w:rPr>
          <w:noProof/>
          <w:color w:val="000000"/>
          <w:highlight w:val="black"/>
        </w:rPr>
        <w:t>'''</w:t>
      </w:r>
      <w:r w:rsidRPr="00786D0E">
        <w:t xml:space="preserve">%) appeared to be greater than for </w:t>
      </w:r>
      <w:proofErr w:type="spellStart"/>
      <w:r w:rsidRPr="00786D0E">
        <w:t>pemetrexed</w:t>
      </w:r>
      <w:proofErr w:type="spellEnd"/>
      <w:r w:rsidRPr="00786D0E">
        <w:t xml:space="preserve"> (1%).</w:t>
      </w:r>
    </w:p>
    <w:p w:rsidR="00CF1D6C" w:rsidRPr="00786D0E" w:rsidRDefault="00771155" w:rsidP="00907A05">
      <w:pPr>
        <w:pStyle w:val="ListParagraph"/>
        <w:numPr>
          <w:ilvl w:val="1"/>
          <w:numId w:val="2"/>
        </w:numPr>
        <w:spacing w:before="0" w:after="120"/>
        <w:jc w:val="both"/>
      </w:pPr>
      <w:r w:rsidRPr="00786D0E">
        <w:t xml:space="preserve">The PBAC considered that the uncertainties in the incremental clinical benefit consequently affected the economic analysis presented in the submission, </w:t>
      </w:r>
      <w:r w:rsidR="00FB6B74" w:rsidRPr="00786D0E">
        <w:t xml:space="preserve">which was further confounded by the use of historical data for the chemotherapy arm. Overall, the PBAC considered that the resultant extrapolated incremental </w:t>
      </w:r>
      <w:r w:rsidR="00AE17BB" w:rsidRPr="00786D0E">
        <w:t>cost-</w:t>
      </w:r>
      <w:r w:rsidR="00FB6B74" w:rsidRPr="00786D0E">
        <w:t xml:space="preserve">effectiveness </w:t>
      </w:r>
      <w:r w:rsidR="00AE17BB" w:rsidRPr="00786D0E">
        <w:t xml:space="preserve">ratio </w:t>
      </w:r>
      <w:r w:rsidR="00FB6B74" w:rsidRPr="00786D0E">
        <w:t xml:space="preserve">(base case of </w:t>
      </w:r>
      <w:r w:rsidR="007C3B82">
        <w:t>$45,000/QALY - $75,000/QALY</w:t>
      </w:r>
      <w:r w:rsidR="00F074FC" w:rsidRPr="00786D0E">
        <w:t>)</w:t>
      </w:r>
      <w:r w:rsidR="00FB6B74" w:rsidRPr="00786D0E">
        <w:t xml:space="preserve"> was therefore uncertain and </w:t>
      </w:r>
      <w:r w:rsidR="00061238">
        <w:t xml:space="preserve">overly </w:t>
      </w:r>
      <w:r w:rsidR="00FB6B74" w:rsidRPr="00786D0E">
        <w:t>optimistic.</w:t>
      </w:r>
    </w:p>
    <w:p w:rsidR="00B27123" w:rsidRPr="00786D0E" w:rsidRDefault="00CF1D6C" w:rsidP="00405B48">
      <w:pPr>
        <w:pStyle w:val="ListParagraph"/>
        <w:numPr>
          <w:ilvl w:val="1"/>
          <w:numId w:val="2"/>
        </w:numPr>
        <w:jc w:val="both"/>
      </w:pPr>
      <w:r w:rsidRPr="00786D0E">
        <w:t xml:space="preserve">The PBAC recalled that it had recommended the PBS listing for </w:t>
      </w:r>
      <w:proofErr w:type="spellStart"/>
      <w:r w:rsidRPr="00786D0E">
        <w:t>crizotinib</w:t>
      </w:r>
      <w:proofErr w:type="spellEnd"/>
      <w:r w:rsidRPr="00786D0E">
        <w:t xml:space="preserve"> in the </w:t>
      </w:r>
      <w:r w:rsidRPr="00786D0E">
        <w:rPr>
          <w:i/>
        </w:rPr>
        <w:t>ALK</w:t>
      </w:r>
      <w:r w:rsidRPr="00786D0E">
        <w:t xml:space="preserve"> population based on evidence from a </w:t>
      </w:r>
      <w:r w:rsidR="00AE17BB" w:rsidRPr="00786D0E">
        <w:t xml:space="preserve">direct </w:t>
      </w:r>
      <w:r w:rsidRPr="00786D0E">
        <w:t xml:space="preserve">randomised controlled trial (A8081007) of </w:t>
      </w:r>
      <w:proofErr w:type="spellStart"/>
      <w:r w:rsidRPr="00786D0E">
        <w:t>crizotinib</w:t>
      </w:r>
      <w:proofErr w:type="spellEnd"/>
      <w:r w:rsidRPr="00786D0E">
        <w:t xml:space="preserve"> v</w:t>
      </w:r>
      <w:r w:rsidR="00F074FC" w:rsidRPr="00786D0E">
        <w:t>ersu</w:t>
      </w:r>
      <w:r w:rsidRPr="00786D0E">
        <w:t>s chemotherapy (n=343) with a 4.7 months</w:t>
      </w:r>
      <w:r w:rsidR="00AE17BB" w:rsidRPr="00786D0E">
        <w:t>’ gain</w:t>
      </w:r>
      <w:r w:rsidRPr="00786D0E">
        <w:t xml:space="preserve"> in </w:t>
      </w:r>
      <w:r w:rsidR="00AE17BB" w:rsidRPr="00786D0E">
        <w:t xml:space="preserve">median </w:t>
      </w:r>
      <w:r w:rsidRPr="00786D0E">
        <w:t xml:space="preserve">PFS </w:t>
      </w:r>
      <w:r w:rsidRPr="00786D0E">
        <w:lastRenderedPageBreak/>
        <w:t xml:space="preserve">with </w:t>
      </w:r>
      <w:proofErr w:type="spellStart"/>
      <w:r w:rsidRPr="00786D0E">
        <w:t>crizotinib</w:t>
      </w:r>
      <w:proofErr w:type="spellEnd"/>
      <w:r w:rsidRPr="00786D0E">
        <w:t xml:space="preserve"> treatment (7.7 vs 3.0 months; </w:t>
      </w:r>
      <w:r w:rsidRPr="00786D0E">
        <w:rPr>
          <w:iCs/>
        </w:rPr>
        <w:t xml:space="preserve">[4.2 months in </w:t>
      </w:r>
      <w:proofErr w:type="spellStart"/>
      <w:r w:rsidRPr="00786D0E">
        <w:rPr>
          <w:iCs/>
        </w:rPr>
        <w:t>pemetrexed</w:t>
      </w:r>
      <w:proofErr w:type="spellEnd"/>
      <w:r w:rsidRPr="00786D0E">
        <w:rPr>
          <w:iCs/>
        </w:rPr>
        <w:t xml:space="preserve"> subgroup]</w:t>
      </w:r>
      <w:r w:rsidRPr="00786D0E">
        <w:t xml:space="preserve">) </w:t>
      </w:r>
      <w:r w:rsidR="00AE17BB" w:rsidRPr="00786D0E">
        <w:t>and</w:t>
      </w:r>
      <w:r w:rsidRPr="00786D0E">
        <w:t xml:space="preserve"> a </w:t>
      </w:r>
      <w:r w:rsidR="00556FF7" w:rsidRPr="00786D0E">
        <w:t xml:space="preserve">hazard ratio </w:t>
      </w:r>
      <w:r w:rsidRPr="00786D0E">
        <w:t>of 0.487 (</w:t>
      </w:r>
      <w:r w:rsidR="00556FF7" w:rsidRPr="00786D0E">
        <w:t xml:space="preserve">95% confidence interval: </w:t>
      </w:r>
      <w:r w:rsidRPr="00786D0E">
        <w:t>0.371, 0.638) (</w:t>
      </w:r>
      <w:proofErr w:type="spellStart"/>
      <w:r w:rsidRPr="00786D0E">
        <w:t>crizotinib</w:t>
      </w:r>
      <w:proofErr w:type="spellEnd"/>
      <w:r w:rsidRPr="00786D0E">
        <w:t xml:space="preserve"> PSD, November 2013 PBAC meeting). As such, the PBAC advised that in the absence of similar robust evidence to determine the incremental benefit and therefore the cost-effectiveness of </w:t>
      </w:r>
      <w:proofErr w:type="spellStart"/>
      <w:r w:rsidRPr="00786D0E">
        <w:t>crizotinib</w:t>
      </w:r>
      <w:proofErr w:type="spellEnd"/>
      <w:r w:rsidRPr="00786D0E">
        <w:t xml:space="preserve"> in the </w:t>
      </w:r>
      <w:r w:rsidRPr="00786D0E">
        <w:rPr>
          <w:i/>
        </w:rPr>
        <w:t>ROS1</w:t>
      </w:r>
      <w:r w:rsidR="00AE17BB" w:rsidRPr="00786D0E">
        <w:t>-positive NSCLC</w:t>
      </w:r>
      <w:r w:rsidRPr="00786D0E">
        <w:t xml:space="preserve"> setting, and assuming a similar </w:t>
      </w:r>
      <w:r w:rsidR="00AE17BB" w:rsidRPr="00786D0E">
        <w:t>effectiveness across these two biomarker-defined</w:t>
      </w:r>
      <w:r w:rsidRPr="00786D0E">
        <w:t xml:space="preserve"> populations, the cost of treating a </w:t>
      </w:r>
      <w:r w:rsidRPr="00786D0E">
        <w:rPr>
          <w:i/>
        </w:rPr>
        <w:t>ROS1</w:t>
      </w:r>
      <w:r w:rsidR="009D60C8" w:rsidRPr="00786D0E">
        <w:t>-</w:t>
      </w:r>
      <w:r w:rsidRPr="00786D0E">
        <w:t xml:space="preserve">positive patient should be the same as treating an </w:t>
      </w:r>
      <w:r w:rsidRPr="00786D0E">
        <w:rPr>
          <w:i/>
        </w:rPr>
        <w:t>ALK</w:t>
      </w:r>
      <w:r w:rsidR="009D60C8" w:rsidRPr="00786D0E">
        <w:t>-</w:t>
      </w:r>
      <w:r w:rsidRPr="00786D0E">
        <w:t xml:space="preserve">positive patient. </w:t>
      </w:r>
      <w:r w:rsidR="00B27123" w:rsidRPr="00786D0E">
        <w:t xml:space="preserve">The PBAC considered that this </w:t>
      </w:r>
      <w:r w:rsidR="00AF0C31" w:rsidRPr="00786D0E">
        <w:t xml:space="preserve">conclusion of </w:t>
      </w:r>
      <w:r w:rsidR="00B27123" w:rsidRPr="00786D0E">
        <w:t xml:space="preserve">similarity was </w:t>
      </w:r>
      <w:r w:rsidR="00AF0C31" w:rsidRPr="00786D0E">
        <w:t xml:space="preserve">generous from the perspective of </w:t>
      </w:r>
      <w:r w:rsidR="00B27123" w:rsidRPr="00786D0E">
        <w:t>biological plausib</w:t>
      </w:r>
      <w:r w:rsidR="00AF0C31" w:rsidRPr="00786D0E">
        <w:t>i</w:t>
      </w:r>
      <w:r w:rsidR="00B27123" w:rsidRPr="00786D0E">
        <w:t>l</w:t>
      </w:r>
      <w:r w:rsidR="00AF0C31" w:rsidRPr="00786D0E">
        <w:t>ity</w:t>
      </w:r>
      <w:r w:rsidR="00B27123" w:rsidRPr="00786D0E">
        <w:t xml:space="preserve">, </w:t>
      </w:r>
      <w:r w:rsidR="00405B48" w:rsidRPr="00786D0E">
        <w:t>because</w:t>
      </w:r>
      <w:r w:rsidR="00061238">
        <w:t xml:space="preserve"> </w:t>
      </w:r>
      <w:r w:rsidR="00556FF7" w:rsidRPr="00786D0E">
        <w:t>(</w:t>
      </w:r>
      <w:proofErr w:type="spellStart"/>
      <w:r w:rsidR="00556FF7" w:rsidRPr="00786D0E">
        <w:t>i</w:t>
      </w:r>
      <w:proofErr w:type="spellEnd"/>
      <w:r w:rsidR="00556FF7" w:rsidRPr="00786D0E">
        <w:t>)</w:t>
      </w:r>
      <w:r w:rsidR="002A5D5B">
        <w:t xml:space="preserve"> although </w:t>
      </w:r>
      <w:r w:rsidR="00405B48" w:rsidRPr="00786D0E">
        <w:t xml:space="preserve">the </w:t>
      </w:r>
      <w:r w:rsidR="00405B48" w:rsidRPr="00786D0E">
        <w:rPr>
          <w:i/>
        </w:rPr>
        <w:t>ROS1</w:t>
      </w:r>
      <w:r w:rsidR="00405B48" w:rsidRPr="00786D0E">
        <w:t xml:space="preserve"> and </w:t>
      </w:r>
      <w:r w:rsidR="00405B48" w:rsidRPr="00786D0E">
        <w:rPr>
          <w:i/>
        </w:rPr>
        <w:t>ALK</w:t>
      </w:r>
      <w:r w:rsidR="00405B48" w:rsidRPr="00786D0E">
        <w:t xml:space="preserve"> genes are evolutionarily related</w:t>
      </w:r>
      <w:r w:rsidR="00061238">
        <w:t xml:space="preserve">, </w:t>
      </w:r>
      <w:r w:rsidR="00405B48" w:rsidRPr="00786D0E">
        <w:t xml:space="preserve">the kinase domains of </w:t>
      </w:r>
      <w:r w:rsidR="00405B48" w:rsidRPr="00786D0E">
        <w:rPr>
          <w:i/>
        </w:rPr>
        <w:t>ROS1</w:t>
      </w:r>
      <w:r w:rsidR="00405B48" w:rsidRPr="00786D0E">
        <w:t xml:space="preserve"> and </w:t>
      </w:r>
      <w:r w:rsidR="00405B48" w:rsidRPr="00786D0E">
        <w:rPr>
          <w:i/>
        </w:rPr>
        <w:t>ALK</w:t>
      </w:r>
      <w:r w:rsidR="00405B48" w:rsidRPr="00786D0E">
        <w:t xml:space="preserve"> show only about 49% a</w:t>
      </w:r>
      <w:r w:rsidR="00BB0952">
        <w:t>mino acid</w:t>
      </w:r>
      <w:r w:rsidR="00405B48" w:rsidRPr="00786D0E">
        <w:t xml:space="preserve"> sequence homology</w:t>
      </w:r>
      <w:r w:rsidR="002A5D5B">
        <w:rPr>
          <w:rStyle w:val="FootnoteReference"/>
        </w:rPr>
        <w:footnoteReference w:id="2"/>
      </w:r>
      <w:r w:rsidR="00405B48" w:rsidRPr="00786D0E">
        <w:t>; and (ii) ALK inhibitors have lower affinity (IC</w:t>
      </w:r>
      <w:r w:rsidR="00405B48" w:rsidRPr="00786D0E">
        <w:rPr>
          <w:vertAlign w:val="subscript"/>
        </w:rPr>
        <w:t>50</w:t>
      </w:r>
      <w:r w:rsidR="00405B48" w:rsidRPr="00786D0E">
        <w:t xml:space="preserve">) for ALK than ROS1 </w:t>
      </w:r>
      <w:r w:rsidR="00405B48" w:rsidRPr="00786D0E">
        <w:rPr>
          <w:i/>
        </w:rPr>
        <w:t>in vitro</w:t>
      </w:r>
      <w:r w:rsidR="00405B48" w:rsidRPr="00786D0E">
        <w:t xml:space="preserve"> indicating that ALK inhibitors are better at inhibiting ALK expression than at inhibiting ROS1 expression</w:t>
      </w:r>
      <w:r w:rsidR="00B27123" w:rsidRPr="00786D0E">
        <w:t>.</w:t>
      </w:r>
      <w:r w:rsidR="00061238">
        <w:t xml:space="preserve"> PBAC acknowledged that this data is not based on observations of clinically meaningful </w:t>
      </w:r>
      <w:proofErr w:type="gramStart"/>
      <w:r w:rsidR="00061238">
        <w:t>outcomes</w:t>
      </w:r>
      <w:r w:rsidR="002A5D5B">
        <w:t>,</w:t>
      </w:r>
      <w:proofErr w:type="gramEnd"/>
      <w:r w:rsidR="00061238">
        <w:t xml:space="preserve"> however it is important nonetheless in the context of rare cancers where the availability of high level evidence is necessarily limited.</w:t>
      </w:r>
    </w:p>
    <w:p w:rsidR="008F59F5" w:rsidRPr="00786D0E" w:rsidRDefault="00CF1D6C" w:rsidP="002967E4">
      <w:pPr>
        <w:pStyle w:val="ListParagraph"/>
        <w:numPr>
          <w:ilvl w:val="1"/>
          <w:numId w:val="2"/>
        </w:numPr>
        <w:jc w:val="both"/>
      </w:pPr>
      <w:r w:rsidRPr="00786D0E">
        <w:t xml:space="preserve">Therefore, </w:t>
      </w:r>
      <w:r w:rsidR="00B27123" w:rsidRPr="00786D0E">
        <w:t xml:space="preserve">the PBAC deferred its decision in order to consider any proposal that would </w:t>
      </w:r>
      <w:r w:rsidRPr="00786D0E">
        <w:t>maintain parity of</w:t>
      </w:r>
      <w:r w:rsidR="00061238">
        <w:t xml:space="preserve"> ALK inhibition</w:t>
      </w:r>
      <w:r w:rsidR="00061238" w:rsidRPr="00786D0E">
        <w:t xml:space="preserve"> </w:t>
      </w:r>
      <w:r w:rsidR="00B27123" w:rsidRPr="00786D0E">
        <w:t>cost</w:t>
      </w:r>
      <w:r w:rsidR="00D90AFF" w:rsidRPr="00786D0E">
        <w:t>s</w:t>
      </w:r>
      <w:r w:rsidR="00405B48" w:rsidRPr="00786D0E">
        <w:t xml:space="preserve"> </w:t>
      </w:r>
      <w:r w:rsidR="00D90AFF" w:rsidRPr="00786D0E">
        <w:t xml:space="preserve">across the two </w:t>
      </w:r>
      <w:r w:rsidRPr="00786D0E">
        <w:t>populations</w:t>
      </w:r>
      <w:r w:rsidR="001051F9" w:rsidRPr="00786D0E">
        <w:t>. To achieve this</w:t>
      </w:r>
      <w:r w:rsidRPr="00786D0E">
        <w:t xml:space="preserve">, the PBAC advised that the </w:t>
      </w:r>
      <w:r w:rsidR="00AE17BB" w:rsidRPr="00786D0E">
        <w:t xml:space="preserve">cost per patient </w:t>
      </w:r>
      <w:r w:rsidRPr="00786D0E">
        <w:t xml:space="preserve">of </w:t>
      </w:r>
      <w:proofErr w:type="spellStart"/>
      <w:r w:rsidRPr="00786D0E">
        <w:t>crizotinib</w:t>
      </w:r>
      <w:proofErr w:type="spellEnd"/>
      <w:r w:rsidRPr="00786D0E">
        <w:t xml:space="preserve"> in the </w:t>
      </w:r>
      <w:r w:rsidRPr="00786D0E">
        <w:rPr>
          <w:i/>
        </w:rPr>
        <w:t>ROS1</w:t>
      </w:r>
      <w:r w:rsidR="008F59F5" w:rsidRPr="00786D0E">
        <w:t>-positive</w:t>
      </w:r>
      <w:r w:rsidRPr="00786D0E">
        <w:rPr>
          <w:i/>
        </w:rPr>
        <w:t xml:space="preserve"> </w:t>
      </w:r>
      <w:r w:rsidRPr="00786D0E">
        <w:t xml:space="preserve">setting </w:t>
      </w:r>
      <w:r w:rsidR="00D90AFF" w:rsidRPr="00786D0E">
        <w:t xml:space="preserve">should </w:t>
      </w:r>
      <w:r w:rsidRPr="00786D0E">
        <w:t xml:space="preserve">be the same as that in the </w:t>
      </w:r>
      <w:r w:rsidRPr="00786D0E">
        <w:rPr>
          <w:i/>
        </w:rPr>
        <w:t>ALK</w:t>
      </w:r>
      <w:r w:rsidR="001A4F11" w:rsidRPr="00786D0E">
        <w:t xml:space="preserve">-positive </w:t>
      </w:r>
      <w:r w:rsidRPr="00786D0E">
        <w:t xml:space="preserve">setting, </w:t>
      </w:r>
      <w:r w:rsidR="001051F9" w:rsidRPr="00786D0E">
        <w:t xml:space="preserve">that is, </w:t>
      </w:r>
      <w:r w:rsidRPr="00786D0E">
        <w:t xml:space="preserve">after adjusting </w:t>
      </w:r>
      <w:r w:rsidR="00AE17BB" w:rsidRPr="00786D0E">
        <w:t xml:space="preserve">the </w:t>
      </w:r>
      <w:r w:rsidR="008F59F5" w:rsidRPr="00786D0E">
        <w:t xml:space="preserve">effective </w:t>
      </w:r>
      <w:r w:rsidR="00AE17BB" w:rsidRPr="00786D0E">
        <w:t xml:space="preserve">DPMQ </w:t>
      </w:r>
      <w:r w:rsidR="001051F9" w:rsidRPr="00786D0E">
        <w:t xml:space="preserve">in the </w:t>
      </w:r>
      <w:r w:rsidR="001051F9" w:rsidRPr="00786D0E">
        <w:rPr>
          <w:i/>
        </w:rPr>
        <w:t>ROS1</w:t>
      </w:r>
      <w:r w:rsidR="008F59F5" w:rsidRPr="00786D0E">
        <w:t>-positive</w:t>
      </w:r>
      <w:r w:rsidR="001051F9" w:rsidRPr="00786D0E">
        <w:rPr>
          <w:i/>
        </w:rPr>
        <w:t xml:space="preserve"> </w:t>
      </w:r>
      <w:r w:rsidR="001051F9" w:rsidRPr="00786D0E">
        <w:t xml:space="preserve">setting </w:t>
      </w:r>
      <w:r w:rsidR="00D90AFF" w:rsidRPr="00786D0E">
        <w:t xml:space="preserve">to account </w:t>
      </w:r>
      <w:r w:rsidRPr="00786D0E">
        <w:t xml:space="preserve">for the </w:t>
      </w:r>
      <w:r w:rsidR="00B27123" w:rsidRPr="00786D0E">
        <w:t xml:space="preserve">difference in </w:t>
      </w:r>
      <w:r w:rsidR="00AE17BB" w:rsidRPr="00786D0E">
        <w:t xml:space="preserve">observed </w:t>
      </w:r>
      <w:r w:rsidRPr="00786D0E">
        <w:t xml:space="preserve">treatment durations </w:t>
      </w:r>
      <w:r w:rsidR="00AE17BB" w:rsidRPr="00786D0E">
        <w:t xml:space="preserve">in each setting </w:t>
      </w:r>
      <w:r w:rsidRPr="00786D0E">
        <w:t>(</w:t>
      </w:r>
      <w:r w:rsidR="001144C3">
        <w:rPr>
          <w:noProof/>
          <w:color w:val="000000"/>
          <w:highlight w:val="black"/>
        </w:rPr>
        <w:t>''''''''</w:t>
      </w:r>
      <w:r w:rsidRPr="00786D0E">
        <w:t xml:space="preserve"> months and 7.7 months, respectively).</w:t>
      </w:r>
      <w:r w:rsidR="008F59F5" w:rsidRPr="00786D0E">
        <w:t xml:space="preserve"> A weighted average effective DPMQ could then be calculated across the two settings.</w:t>
      </w:r>
    </w:p>
    <w:p w:rsidR="00696CCF" w:rsidRPr="00786D0E" w:rsidRDefault="00696CCF" w:rsidP="002967E4">
      <w:pPr>
        <w:pStyle w:val="ListParagraph"/>
        <w:numPr>
          <w:ilvl w:val="1"/>
          <w:numId w:val="2"/>
        </w:numPr>
        <w:jc w:val="both"/>
      </w:pPr>
      <w:r w:rsidRPr="00786D0E">
        <w:t>In providing this advice, the PBAC also noted the results of a phase II study (n=32) demonstra</w:t>
      </w:r>
      <w:r w:rsidR="00717DED" w:rsidRPr="00786D0E">
        <w:t>ted</w:t>
      </w:r>
      <w:r w:rsidRPr="00786D0E">
        <w:t xml:space="preserve"> that </w:t>
      </w:r>
      <w:proofErr w:type="spellStart"/>
      <w:r w:rsidRPr="00786D0E">
        <w:t>ceritinib</w:t>
      </w:r>
      <w:proofErr w:type="spellEnd"/>
      <w:r w:rsidRPr="00786D0E">
        <w:t xml:space="preserve">, a second generation </w:t>
      </w:r>
      <w:r w:rsidRPr="00786D0E">
        <w:rPr>
          <w:i/>
        </w:rPr>
        <w:t>ALK</w:t>
      </w:r>
      <w:r w:rsidRPr="00786D0E">
        <w:t xml:space="preserve"> inhibitor also listed on the PBS for </w:t>
      </w:r>
      <w:r w:rsidRPr="00786D0E">
        <w:rPr>
          <w:i/>
        </w:rPr>
        <w:t>ALK</w:t>
      </w:r>
      <w:r w:rsidR="009D60C8" w:rsidRPr="00786D0E">
        <w:t>-</w:t>
      </w:r>
      <w:r w:rsidRPr="00786D0E">
        <w:t xml:space="preserve">positive NSCLC, was an effective agent in </w:t>
      </w:r>
      <w:r w:rsidRPr="00786D0E">
        <w:rPr>
          <w:i/>
        </w:rPr>
        <w:t>ROS1</w:t>
      </w:r>
      <w:r w:rsidR="009D60C8" w:rsidRPr="00786D0E">
        <w:t>-</w:t>
      </w:r>
      <w:r w:rsidRPr="00786D0E">
        <w:t xml:space="preserve">positive NSCLC, with a median progression-free survival </w:t>
      </w:r>
      <w:r w:rsidR="00717DED" w:rsidRPr="00786D0E">
        <w:t>of</w:t>
      </w:r>
      <w:r w:rsidRPr="00786D0E">
        <w:t xml:space="preserve"> 9.3 months in </w:t>
      </w:r>
      <w:proofErr w:type="spellStart"/>
      <w:r w:rsidRPr="00786D0E">
        <w:t>crizotinib</w:t>
      </w:r>
      <w:proofErr w:type="spellEnd"/>
      <w:r w:rsidRPr="00786D0E">
        <w:t>-naïve patients</w:t>
      </w:r>
      <w:r w:rsidRPr="00786D0E">
        <w:rPr>
          <w:rStyle w:val="FootnoteReference"/>
        </w:rPr>
        <w:footnoteReference w:id="3"/>
      </w:r>
      <w:r w:rsidRPr="00786D0E">
        <w:t>.</w:t>
      </w:r>
      <w:r w:rsidR="00891F78" w:rsidRPr="00786D0E">
        <w:t xml:space="preserve"> The PBAC considered that this was relevant, because </w:t>
      </w:r>
      <w:proofErr w:type="spellStart"/>
      <w:r w:rsidR="00891F78" w:rsidRPr="00786D0E">
        <w:t>ceritinib</w:t>
      </w:r>
      <w:proofErr w:type="spellEnd"/>
      <w:r w:rsidR="00891F78" w:rsidRPr="00786D0E">
        <w:t xml:space="preserve"> is </w:t>
      </w:r>
      <w:r w:rsidR="00B27123" w:rsidRPr="00786D0E">
        <w:t xml:space="preserve">already PBS-listed in the </w:t>
      </w:r>
      <w:r w:rsidR="00B27123" w:rsidRPr="00786D0E">
        <w:rPr>
          <w:i/>
        </w:rPr>
        <w:t>ALK</w:t>
      </w:r>
      <w:r w:rsidR="008F59F5" w:rsidRPr="00786D0E">
        <w:t>-positive</w:t>
      </w:r>
      <w:r w:rsidR="00B27123" w:rsidRPr="00786D0E">
        <w:t xml:space="preserve"> setting at </w:t>
      </w:r>
      <w:r w:rsidR="001A4F11" w:rsidRPr="00786D0E">
        <w:t>without the requirement for a written authority</w:t>
      </w:r>
      <w:r w:rsidR="00B27123" w:rsidRPr="00786D0E">
        <w:t>.</w:t>
      </w:r>
      <w:r w:rsidR="001A4F11" w:rsidRPr="00786D0E">
        <w:t xml:space="preserve"> The PBAC recalled that it had requested a minor submission from the sponsor of </w:t>
      </w:r>
      <w:proofErr w:type="spellStart"/>
      <w:r w:rsidR="001A4F11" w:rsidRPr="00786D0E">
        <w:t>crizotinib</w:t>
      </w:r>
      <w:proofErr w:type="spellEnd"/>
      <w:r w:rsidR="001A4F11" w:rsidRPr="00786D0E">
        <w:t xml:space="preserve"> in order to assess the comparative efficacy, safety and cost-effectiveness of </w:t>
      </w:r>
      <w:proofErr w:type="spellStart"/>
      <w:r w:rsidR="001A4F11" w:rsidRPr="00786D0E">
        <w:t>crizotinib</w:t>
      </w:r>
      <w:proofErr w:type="spellEnd"/>
      <w:r w:rsidR="001A4F11" w:rsidRPr="00786D0E">
        <w:t xml:space="preserve"> and </w:t>
      </w:r>
      <w:proofErr w:type="spellStart"/>
      <w:r w:rsidR="001A4F11" w:rsidRPr="00786D0E">
        <w:t>ceritinib</w:t>
      </w:r>
      <w:proofErr w:type="spellEnd"/>
      <w:r w:rsidR="001A4F11" w:rsidRPr="00786D0E">
        <w:t xml:space="preserve"> in </w:t>
      </w:r>
      <w:r w:rsidR="001A4F11" w:rsidRPr="00786D0E">
        <w:rPr>
          <w:i/>
        </w:rPr>
        <w:t>ALK</w:t>
      </w:r>
      <w:r w:rsidR="001A4F11" w:rsidRPr="00786D0E">
        <w:t xml:space="preserve">-positive NSCLC (paragraph 6.4, March 2017 </w:t>
      </w:r>
      <w:proofErr w:type="spellStart"/>
      <w:r w:rsidR="00806F24" w:rsidRPr="00786D0E">
        <w:t>crizotinib</w:t>
      </w:r>
      <w:proofErr w:type="spellEnd"/>
      <w:r w:rsidR="00806F24" w:rsidRPr="00786D0E">
        <w:t xml:space="preserve"> </w:t>
      </w:r>
      <w:r w:rsidR="001A4F11" w:rsidRPr="00786D0E">
        <w:t>PSD).</w:t>
      </w:r>
    </w:p>
    <w:p w:rsidR="00CF1D6C" w:rsidRPr="00786D0E" w:rsidRDefault="002967E4" w:rsidP="00CF1D6C">
      <w:pPr>
        <w:pStyle w:val="ListParagraph"/>
        <w:numPr>
          <w:ilvl w:val="1"/>
          <w:numId w:val="2"/>
        </w:numPr>
        <w:spacing w:after="120"/>
        <w:jc w:val="both"/>
      </w:pPr>
      <w:r w:rsidRPr="00786D0E">
        <w:t xml:space="preserve">The PBAC advised that the </w:t>
      </w:r>
      <w:r w:rsidR="00AE17BB" w:rsidRPr="00786D0E">
        <w:t xml:space="preserve">utilisation </w:t>
      </w:r>
      <w:r w:rsidRPr="00786D0E">
        <w:t xml:space="preserve">assumptions </w:t>
      </w:r>
      <w:r w:rsidR="00AE17BB" w:rsidRPr="00786D0E">
        <w:t>supporting</w:t>
      </w:r>
      <w:r w:rsidRPr="00786D0E">
        <w:t xml:space="preserve"> the financial estimates were reasonable from a PBS perspective</w:t>
      </w:r>
      <w:r w:rsidR="00771155" w:rsidRPr="00786D0E">
        <w:t xml:space="preserve"> </w:t>
      </w:r>
      <w:r w:rsidR="00E35749" w:rsidRPr="00786D0E">
        <w:t>after adjusting</w:t>
      </w:r>
      <w:r w:rsidR="00771155" w:rsidRPr="00786D0E">
        <w:t xml:space="preserve"> the </w:t>
      </w:r>
      <w:r w:rsidR="00E35749" w:rsidRPr="00786D0E">
        <w:t xml:space="preserve">estimate of </w:t>
      </w:r>
      <w:r w:rsidR="00771155" w:rsidRPr="00786D0E">
        <w:t xml:space="preserve">eligible patients </w:t>
      </w:r>
      <w:r w:rsidR="00E35749" w:rsidRPr="00786D0E">
        <w:t>i</w:t>
      </w:r>
      <w:r w:rsidR="00771155" w:rsidRPr="00786D0E">
        <w:t>n the first year to include patients who would receive treatment under the proposed grandfathering arrangement</w:t>
      </w:r>
      <w:r w:rsidR="008F59F5" w:rsidRPr="00786D0E">
        <w:t>.</w:t>
      </w:r>
    </w:p>
    <w:p w:rsidR="00907A05" w:rsidRPr="00786D0E" w:rsidRDefault="00771155" w:rsidP="00907A05">
      <w:pPr>
        <w:pStyle w:val="ListParagraph"/>
        <w:numPr>
          <w:ilvl w:val="1"/>
          <w:numId w:val="2"/>
        </w:numPr>
        <w:spacing w:before="0" w:after="120"/>
        <w:jc w:val="both"/>
      </w:pPr>
      <w:r w:rsidRPr="00786D0E">
        <w:t xml:space="preserve">The PBAC considered that given the modest financial estimates in a relatively small population, a </w:t>
      </w:r>
      <w:r w:rsidR="00841E8E">
        <w:t>r</w:t>
      </w:r>
      <w:r w:rsidR="00B05E6E" w:rsidRPr="00786D0E">
        <w:t xml:space="preserve">isk </w:t>
      </w:r>
      <w:r w:rsidR="00841E8E">
        <w:t>s</w:t>
      </w:r>
      <w:r w:rsidR="00B05E6E" w:rsidRPr="00786D0E">
        <w:t>har</w:t>
      </w:r>
      <w:r w:rsidR="00841E8E">
        <w:t>ing</w:t>
      </w:r>
      <w:r w:rsidR="00B05E6E" w:rsidRPr="00786D0E">
        <w:t xml:space="preserve"> </w:t>
      </w:r>
      <w:r w:rsidR="00841E8E">
        <w:t>a</w:t>
      </w:r>
      <w:r w:rsidR="00B05E6E" w:rsidRPr="00786D0E">
        <w:t xml:space="preserve">rrangement </w:t>
      </w:r>
      <w:r w:rsidRPr="00786D0E">
        <w:t xml:space="preserve">would not be necessary, provided </w:t>
      </w:r>
      <w:r w:rsidR="00601303" w:rsidRPr="00786D0E">
        <w:t xml:space="preserve">MSAC was </w:t>
      </w:r>
      <w:r w:rsidR="00601303" w:rsidRPr="00786D0E">
        <w:lastRenderedPageBreak/>
        <w:t xml:space="preserve">satisfied with the financial estimates and </w:t>
      </w:r>
      <w:proofErr w:type="spellStart"/>
      <w:r w:rsidRPr="00786D0E">
        <w:t>crizotinib</w:t>
      </w:r>
      <w:proofErr w:type="spellEnd"/>
      <w:r w:rsidRPr="00786D0E">
        <w:t xml:space="preserve"> was listed at the DPMQ </w:t>
      </w:r>
      <w:r w:rsidR="00E35749" w:rsidRPr="00786D0E">
        <w:t xml:space="preserve">determined by the approach outlined </w:t>
      </w:r>
      <w:r w:rsidRPr="00786D0E">
        <w:t>above (paragraph 7</w:t>
      </w:r>
      <w:r w:rsidR="00DD62F0" w:rsidRPr="00786D0E">
        <w:t>.1</w:t>
      </w:r>
      <w:r w:rsidR="008F59F5" w:rsidRPr="00786D0E">
        <w:t>3</w:t>
      </w:r>
      <w:r w:rsidRPr="00786D0E">
        <w:t>).</w:t>
      </w:r>
    </w:p>
    <w:p w:rsidR="00F95055" w:rsidRPr="00786D0E" w:rsidRDefault="00F95055" w:rsidP="00F95055">
      <w:pPr>
        <w:spacing w:before="240"/>
        <w:jc w:val="both"/>
        <w:rPr>
          <w:rFonts w:cs="Arial"/>
          <w:b/>
          <w:bCs/>
          <w:snapToGrid w:val="0"/>
        </w:rPr>
      </w:pPr>
      <w:r w:rsidRPr="00786D0E">
        <w:rPr>
          <w:rFonts w:cs="Arial"/>
          <w:b/>
          <w:bCs/>
          <w:snapToGrid w:val="0"/>
        </w:rPr>
        <w:t>Outcome:</w:t>
      </w:r>
    </w:p>
    <w:p w:rsidR="00F95055" w:rsidRPr="00786D0E" w:rsidRDefault="00F95055" w:rsidP="00F95055">
      <w:pPr>
        <w:jc w:val="both"/>
        <w:rPr>
          <w:rFonts w:cs="Arial"/>
          <w:bCs/>
          <w:snapToGrid w:val="0"/>
        </w:rPr>
      </w:pPr>
      <w:r w:rsidRPr="00786D0E">
        <w:rPr>
          <w:rFonts w:cs="Arial"/>
          <w:bCs/>
          <w:snapToGrid w:val="0"/>
        </w:rPr>
        <w:t xml:space="preserve">Deferred </w:t>
      </w:r>
    </w:p>
    <w:p w:rsidR="00610B60" w:rsidRPr="00D24BA5" w:rsidRDefault="00610B60" w:rsidP="00610B60">
      <w:pPr>
        <w:pStyle w:val="Heading1"/>
        <w:numPr>
          <w:ilvl w:val="0"/>
          <w:numId w:val="2"/>
        </w:numPr>
        <w:spacing w:before="200"/>
        <w:jc w:val="both"/>
      </w:pPr>
      <w:r>
        <w:t>Context for Decision</w:t>
      </w:r>
    </w:p>
    <w:p w:rsidR="00610B60" w:rsidRPr="00D24BA5" w:rsidRDefault="00610B60" w:rsidP="00610B60">
      <w:pPr>
        <w:spacing w:after="120"/>
      </w:pPr>
      <w:r w:rsidRPr="00D24BA5">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10B60" w:rsidRPr="00610B60" w:rsidRDefault="00610B60" w:rsidP="00610B60">
      <w:pPr>
        <w:pStyle w:val="Heading1"/>
        <w:numPr>
          <w:ilvl w:val="0"/>
          <w:numId w:val="2"/>
        </w:numPr>
        <w:spacing w:before="200"/>
        <w:jc w:val="both"/>
      </w:pPr>
      <w:r w:rsidRPr="00610B60">
        <w:t>Sponsor’s Comment</w:t>
      </w:r>
    </w:p>
    <w:p w:rsidR="00827680" w:rsidRPr="00786D0E" w:rsidRDefault="001A6093" w:rsidP="00777530">
      <w:pPr>
        <w:spacing w:before="0" w:after="120"/>
        <w:jc w:val="both"/>
      </w:pPr>
      <w:r>
        <w:t xml:space="preserve">The </w:t>
      </w:r>
      <w:r w:rsidRPr="001A6093">
        <w:t xml:space="preserve">Sponsor is committed to working with the PBAC and the Department of Health to make </w:t>
      </w:r>
      <w:proofErr w:type="spellStart"/>
      <w:r w:rsidRPr="001A6093">
        <w:t>crizotinib</w:t>
      </w:r>
      <w:proofErr w:type="spellEnd"/>
      <w:r w:rsidRPr="001A6093">
        <w:t xml:space="preserve"> available for the treatment of advanced ROS1-positive non-small cell lung cancer; a rare disease with high unmet clinical need.</w:t>
      </w:r>
    </w:p>
    <w:sectPr w:rsidR="00827680" w:rsidRPr="00786D0E" w:rsidSect="003051E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DAF133" w15:done="0"/>
  <w15:commentEx w15:paraId="29A39F99" w15:done="0"/>
  <w15:commentEx w15:paraId="3B31629F" w15:done="0"/>
  <w15:commentEx w15:paraId="3B39BD16" w15:done="0"/>
  <w15:commentEx w15:paraId="64F60BB9" w15:paraIdParent="3B39BD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DAF133" w16cid:durableId="1DC1951C"/>
  <w16cid:commentId w16cid:paraId="29A39F99" w16cid:durableId="1DC1951D"/>
  <w16cid:commentId w16cid:paraId="3B31629F" w16cid:durableId="1DC198F1"/>
  <w16cid:commentId w16cid:paraId="3B39BD16" w16cid:durableId="1DC1951E"/>
  <w16cid:commentId w16cid:paraId="64F60BB9" w16cid:durableId="1DC199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4C3" w:rsidRDefault="001144C3" w:rsidP="00BA3306">
      <w:pPr>
        <w:spacing w:before="0" w:after="0"/>
      </w:pPr>
      <w:r>
        <w:separator/>
      </w:r>
    </w:p>
    <w:p w:rsidR="001144C3" w:rsidRDefault="001144C3"/>
  </w:endnote>
  <w:endnote w:type="continuationSeparator" w:id="0">
    <w:p w:rsidR="001144C3" w:rsidRDefault="001144C3" w:rsidP="00BA3306">
      <w:pPr>
        <w:spacing w:before="0" w:after="0"/>
      </w:pPr>
      <w:r>
        <w:continuationSeparator/>
      </w:r>
    </w:p>
    <w:p w:rsidR="001144C3" w:rsidRDefault="00114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C3" w:rsidRDefault="00114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864299"/>
      <w:docPartObj>
        <w:docPartGallery w:val="Page Numbers (Bottom of Page)"/>
        <w:docPartUnique/>
      </w:docPartObj>
    </w:sdtPr>
    <w:sdtEndPr>
      <w:rPr>
        <w:noProof/>
      </w:rPr>
    </w:sdtEndPr>
    <w:sdtContent>
      <w:p w:rsidR="00A00F4B" w:rsidRDefault="00A00F4B">
        <w:pPr>
          <w:pStyle w:val="Footer"/>
          <w:jc w:val="center"/>
        </w:pPr>
        <w:r>
          <w:fldChar w:fldCharType="begin"/>
        </w:r>
        <w:r>
          <w:instrText xml:space="preserve"> PAGE   \* MERGEFORMAT </w:instrText>
        </w:r>
        <w:r>
          <w:fldChar w:fldCharType="separate"/>
        </w:r>
        <w:r w:rsidR="00000B64">
          <w:rPr>
            <w:noProof/>
          </w:rPr>
          <w:t>1</w:t>
        </w:r>
        <w:r>
          <w:rPr>
            <w:noProof/>
          </w:rPr>
          <w:fldChar w:fldCharType="end"/>
        </w:r>
      </w:p>
    </w:sdtContent>
  </w:sdt>
  <w:p w:rsidR="00A00F4B" w:rsidRDefault="00A00F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C3" w:rsidRDefault="00114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4C3" w:rsidRDefault="001144C3" w:rsidP="00BA3306">
      <w:pPr>
        <w:spacing w:before="0" w:after="0"/>
      </w:pPr>
      <w:r>
        <w:separator/>
      </w:r>
    </w:p>
    <w:p w:rsidR="001144C3" w:rsidRDefault="001144C3"/>
  </w:footnote>
  <w:footnote w:type="continuationSeparator" w:id="0">
    <w:p w:rsidR="001144C3" w:rsidRDefault="001144C3" w:rsidP="00BA3306">
      <w:pPr>
        <w:spacing w:before="0" w:after="0"/>
      </w:pPr>
      <w:r>
        <w:continuationSeparator/>
      </w:r>
    </w:p>
    <w:p w:rsidR="001144C3" w:rsidRDefault="001144C3"/>
  </w:footnote>
  <w:footnote w:id="1">
    <w:p w:rsidR="00A00F4B" w:rsidRDefault="00A00F4B" w:rsidP="00190E1B">
      <w:pPr>
        <w:pStyle w:val="FootnoteText"/>
        <w:jc w:val="both"/>
      </w:pPr>
      <w:r>
        <w:rPr>
          <w:rStyle w:val="FootnoteReference"/>
        </w:rPr>
        <w:footnoteRef/>
      </w:r>
      <w:r>
        <w:t xml:space="preserve"> </w:t>
      </w:r>
      <w:proofErr w:type="spellStart"/>
      <w:r w:rsidRPr="00612F5F">
        <w:t>Cherny</w:t>
      </w:r>
      <w:proofErr w:type="spellEnd"/>
      <w:r w:rsidRPr="00612F5F">
        <w:t xml:space="preserve"> NI, Sullivan R, Dafni U, et al: A standardised, generic, validated approach to stratify the magnitude of clinical benefit that can be anticipated from anti-cancer therapies: the European Society for Medical Oncology Magnitude of Clinical Benefit Scale (ESMO-MCBS). Ann </w:t>
      </w:r>
      <w:proofErr w:type="spellStart"/>
      <w:r w:rsidRPr="00612F5F">
        <w:t>Oncol</w:t>
      </w:r>
      <w:proofErr w:type="spellEnd"/>
      <w:r w:rsidRPr="00612F5F">
        <w:t xml:space="preserve"> 26:1547-73, 2015</w:t>
      </w:r>
    </w:p>
  </w:footnote>
  <w:footnote w:id="2">
    <w:p w:rsidR="00A00F4B" w:rsidRDefault="00A00F4B" w:rsidP="002A5D5B">
      <w:pPr>
        <w:pStyle w:val="FootnoteText"/>
      </w:pPr>
      <w:r>
        <w:rPr>
          <w:rStyle w:val="FootnoteReference"/>
        </w:rPr>
        <w:footnoteRef/>
      </w:r>
      <w:r>
        <w:t xml:space="preserve"> </w:t>
      </w:r>
      <w:proofErr w:type="gramStart"/>
      <w:r>
        <w:t xml:space="preserve">Expert Rev Anticancer </w:t>
      </w:r>
      <w:proofErr w:type="spellStart"/>
      <w:r>
        <w:t>Ther</w:t>
      </w:r>
      <w:proofErr w:type="spellEnd"/>
      <w:r>
        <w:t>.</w:t>
      </w:r>
      <w:proofErr w:type="gramEnd"/>
      <w:r>
        <w:t xml:space="preserve"> 2012 Apr</w:t>
      </w:r>
      <w:proofErr w:type="gramStart"/>
      <w:r>
        <w:t>;12</w:t>
      </w:r>
      <w:proofErr w:type="gramEnd"/>
      <w:r>
        <w:t xml:space="preserve">(4):447-56. </w:t>
      </w:r>
      <w:proofErr w:type="spellStart"/>
      <w:r>
        <w:t>doi</w:t>
      </w:r>
      <w:proofErr w:type="spellEnd"/>
      <w:r>
        <w:t>: 10.1586/era.12.17</w:t>
      </w:r>
    </w:p>
  </w:footnote>
  <w:footnote w:id="3">
    <w:p w:rsidR="00A00F4B" w:rsidRDefault="00A00F4B" w:rsidP="00696CCF">
      <w:pPr>
        <w:pStyle w:val="FootnoteText"/>
      </w:pPr>
      <w:r>
        <w:rPr>
          <w:rStyle w:val="FootnoteReference"/>
        </w:rPr>
        <w:footnoteRef/>
      </w:r>
      <w:r>
        <w:t xml:space="preserve"> Open-Label, </w:t>
      </w:r>
      <w:proofErr w:type="spellStart"/>
      <w:r>
        <w:t>Multicenter</w:t>
      </w:r>
      <w:proofErr w:type="spellEnd"/>
      <w:r>
        <w:t xml:space="preserve">, Phase II Study of </w:t>
      </w:r>
      <w:proofErr w:type="spellStart"/>
      <w:r>
        <w:t>Ceritinib</w:t>
      </w:r>
      <w:proofErr w:type="spellEnd"/>
      <w:r>
        <w:t xml:space="preserve"> in Patients </w:t>
      </w:r>
      <w:proofErr w:type="gramStart"/>
      <w:r>
        <w:t>With</w:t>
      </w:r>
      <w:proofErr w:type="gramEnd"/>
      <w:r>
        <w:t xml:space="preserve"> Non–Small-Cell Lung Cancer </w:t>
      </w:r>
      <w:proofErr w:type="spellStart"/>
      <w:r>
        <w:t>Harboring</w:t>
      </w:r>
      <w:proofErr w:type="spellEnd"/>
      <w:r>
        <w:t xml:space="preserve"> ROS1 Rearrangement. Journal of Clinical Oncology 2017 35:23, 2613-2618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C3" w:rsidRDefault="001144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4B" w:rsidRDefault="00A00F4B" w:rsidP="00530174">
    <w:pPr>
      <w:pStyle w:val="Header"/>
      <w:ind w:left="360"/>
      <w:jc w:val="center"/>
      <w:rPr>
        <w:rFonts w:cs="Arial"/>
        <w:i/>
        <w:color w:val="808080"/>
      </w:rPr>
    </w:pPr>
    <w:r>
      <w:rPr>
        <w:rFonts w:cs="Arial"/>
        <w:i/>
        <w:color w:val="808080"/>
      </w:rPr>
      <w:t>Public Summary Document</w:t>
    </w:r>
    <w:r w:rsidRPr="00766FD2">
      <w:rPr>
        <w:rFonts w:cs="Arial"/>
        <w:i/>
        <w:color w:val="808080"/>
      </w:rPr>
      <w:t xml:space="preserve"> – </w:t>
    </w:r>
    <w:r>
      <w:rPr>
        <w:rFonts w:cs="Arial"/>
        <w:i/>
        <w:color w:val="808080"/>
      </w:rPr>
      <w:t>November 2017</w:t>
    </w:r>
    <w:r w:rsidRPr="00766FD2">
      <w:rPr>
        <w:rFonts w:cs="Arial"/>
        <w:i/>
        <w:color w:val="808080"/>
      </w:rPr>
      <w:t xml:space="preserve"> PBAC Meeting</w:t>
    </w:r>
  </w:p>
  <w:p w:rsidR="00A00F4B" w:rsidRPr="00530174" w:rsidRDefault="00A00F4B" w:rsidP="005301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C3" w:rsidRDefault="00114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36A8B8"/>
    <w:lvl w:ilvl="0">
      <w:start w:val="1"/>
      <w:numFmt w:val="bullet"/>
      <w:pStyle w:val="ListBullet"/>
      <w:lvlText w:val=""/>
      <w:lvlJc w:val="left"/>
      <w:pPr>
        <w:tabs>
          <w:tab w:val="num" w:pos="-1083"/>
        </w:tabs>
        <w:ind w:left="-1083" w:hanging="360"/>
      </w:pPr>
      <w:rPr>
        <w:rFonts w:ascii="Symbol" w:hAnsi="Symbol" w:hint="default"/>
      </w:rPr>
    </w:lvl>
  </w:abstractNum>
  <w:abstractNum w:abstractNumId="1">
    <w:nsid w:val="0E5F7F9A"/>
    <w:multiLevelType w:val="hybridMultilevel"/>
    <w:tmpl w:val="02782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9208A8"/>
    <w:multiLevelType w:val="hybridMultilevel"/>
    <w:tmpl w:val="93E09266"/>
    <w:lvl w:ilvl="0" w:tplc="945635C4">
      <w:start w:val="1"/>
      <w:numFmt w:val="decimal"/>
      <w:pStyle w:val="Table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4FF1CA8"/>
    <w:multiLevelType w:val="hybridMultilevel"/>
    <w:tmpl w:val="B37C41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1F86521"/>
    <w:multiLevelType w:val="hybridMultilevel"/>
    <w:tmpl w:val="A57CF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4E6825"/>
    <w:multiLevelType w:val="multilevel"/>
    <w:tmpl w:val="543E237E"/>
    <w:lvl w:ilvl="0">
      <w:start w:val="1"/>
      <w:numFmt w:val="decimal"/>
      <w:pStyle w:val="Heading1"/>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9043F9B"/>
    <w:multiLevelType w:val="hybridMultilevel"/>
    <w:tmpl w:val="C6DA2A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4086415"/>
    <w:multiLevelType w:val="hybridMultilevel"/>
    <w:tmpl w:val="96108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C6D601E"/>
    <w:multiLevelType w:val="hybridMultilevel"/>
    <w:tmpl w:val="632AA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3583875"/>
    <w:multiLevelType w:val="hybridMultilevel"/>
    <w:tmpl w:val="19286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201671"/>
    <w:multiLevelType w:val="hybridMultilevel"/>
    <w:tmpl w:val="3F2249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A446648"/>
    <w:multiLevelType w:val="hybridMultilevel"/>
    <w:tmpl w:val="45C893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39A7806"/>
    <w:multiLevelType w:val="hybridMultilevel"/>
    <w:tmpl w:val="B7FCBB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53CB6388"/>
    <w:multiLevelType w:val="hybridMultilevel"/>
    <w:tmpl w:val="2468236C"/>
    <w:lvl w:ilvl="0" w:tplc="C92ADED4">
      <w:start w:val="1"/>
      <w:numFmt w:val="decimal"/>
      <w:pStyle w:val="TableNumber"/>
      <w:lvlText w:val="%1."/>
      <w:lvlJc w:val="left"/>
      <w:pPr>
        <w:tabs>
          <w:tab w:val="num" w:pos="357"/>
        </w:tabs>
        <w:ind w:left="357" w:hanging="35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6D27776"/>
    <w:multiLevelType w:val="hybridMultilevel"/>
    <w:tmpl w:val="B832F0EA"/>
    <w:lvl w:ilvl="0" w:tplc="D10C6000">
      <w:start w:val="1"/>
      <w:numFmt w:val="decimal"/>
      <w:pStyle w:val="MSACHeading1"/>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6A7203"/>
    <w:multiLevelType w:val="hybridMultilevel"/>
    <w:tmpl w:val="3D204C7C"/>
    <w:lvl w:ilvl="0" w:tplc="15EE8F8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AAD2B02"/>
    <w:multiLevelType w:val="hybridMultilevel"/>
    <w:tmpl w:val="568A43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F9A3A57"/>
    <w:multiLevelType w:val="hybridMultilevel"/>
    <w:tmpl w:val="AF500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D95A29"/>
    <w:multiLevelType w:val="hybridMultilevel"/>
    <w:tmpl w:val="2EE45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4536211"/>
    <w:multiLevelType w:val="hybridMultilevel"/>
    <w:tmpl w:val="E3640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6A026D0"/>
    <w:multiLevelType w:val="hybridMultilevel"/>
    <w:tmpl w:val="974A856E"/>
    <w:lvl w:ilvl="0" w:tplc="6CC4F894">
      <w:start w:val="1"/>
      <w:numFmt w:val="bullet"/>
      <w:pStyle w:val="BulletedText"/>
      <w:lvlText w:val=""/>
      <w:lvlJc w:val="left"/>
      <w:pPr>
        <w:ind w:left="717"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84D033C"/>
    <w:multiLevelType w:val="multilevel"/>
    <w:tmpl w:val="C2549EA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CA81E93"/>
    <w:multiLevelType w:val="hybridMultilevel"/>
    <w:tmpl w:val="5C00C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7"/>
  </w:num>
  <w:num w:numId="4">
    <w:abstractNumId w:val="18"/>
  </w:num>
  <w:num w:numId="5">
    <w:abstractNumId w:val="19"/>
  </w:num>
  <w:num w:numId="6">
    <w:abstractNumId w:val="5"/>
  </w:num>
  <w:num w:numId="7">
    <w:abstractNumId w:val="24"/>
  </w:num>
  <w:num w:numId="8">
    <w:abstractNumId w:val="0"/>
  </w:num>
  <w:num w:numId="9">
    <w:abstractNumId w:val="15"/>
  </w:num>
  <w:num w:numId="10">
    <w:abstractNumId w:val="11"/>
  </w:num>
  <w:num w:numId="11">
    <w:abstractNumId w:val="1"/>
  </w:num>
  <w:num w:numId="12">
    <w:abstractNumId w:val="8"/>
  </w:num>
  <w:num w:numId="13">
    <w:abstractNumId w:val="6"/>
  </w:num>
  <w:num w:numId="14">
    <w:abstractNumId w:val="12"/>
  </w:num>
  <w:num w:numId="15">
    <w:abstractNumId w:val="20"/>
  </w:num>
  <w:num w:numId="16">
    <w:abstractNumId w:val="9"/>
  </w:num>
  <w:num w:numId="17">
    <w:abstractNumId w:val="23"/>
  </w:num>
  <w:num w:numId="18">
    <w:abstractNumId w:val="22"/>
  </w:num>
  <w:num w:numId="19">
    <w:abstractNumId w:val="17"/>
  </w:num>
  <w:num w:numId="20">
    <w:abstractNumId w:val="4"/>
  </w:num>
  <w:num w:numId="21">
    <w:abstractNumId w:val="14"/>
  </w:num>
  <w:num w:numId="22">
    <w:abstractNumId w:val="3"/>
  </w:num>
  <w:num w:numId="23">
    <w:abstractNumId w:val="26"/>
  </w:num>
  <w:num w:numId="24">
    <w:abstractNumId w:val="21"/>
  </w:num>
  <w:num w:numId="25">
    <w:abstractNumId w:val="17"/>
  </w:num>
  <w:num w:numId="26">
    <w:abstractNumId w:val="17"/>
  </w:num>
  <w:num w:numId="27">
    <w:abstractNumId w:val="17"/>
  </w:num>
  <w:num w:numId="28">
    <w:abstractNumId w:val="5"/>
  </w:num>
  <w:num w:numId="29">
    <w:abstractNumId w:val="16"/>
  </w:num>
  <w:num w:numId="30">
    <w:abstractNumId w:val="10"/>
  </w:num>
  <w:num w:numId="31">
    <w:abstractNumId w:val="2"/>
  </w:num>
  <w:num w:numId="32">
    <w:abstractNumId w:val="5"/>
  </w:num>
  <w:num w:numId="33">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0380"/>
    <w:rsid w:val="00000982"/>
    <w:rsid w:val="00000B64"/>
    <w:rsid w:val="000010D5"/>
    <w:rsid w:val="00001AB4"/>
    <w:rsid w:val="000025A2"/>
    <w:rsid w:val="00002A0E"/>
    <w:rsid w:val="0001066F"/>
    <w:rsid w:val="0001081E"/>
    <w:rsid w:val="00011714"/>
    <w:rsid w:val="00011EE4"/>
    <w:rsid w:val="00012C71"/>
    <w:rsid w:val="00012E5C"/>
    <w:rsid w:val="00013222"/>
    <w:rsid w:val="00013F63"/>
    <w:rsid w:val="0001424C"/>
    <w:rsid w:val="000144A4"/>
    <w:rsid w:val="0001472A"/>
    <w:rsid w:val="0001484C"/>
    <w:rsid w:val="0001575C"/>
    <w:rsid w:val="000165E1"/>
    <w:rsid w:val="00016915"/>
    <w:rsid w:val="00016BF5"/>
    <w:rsid w:val="0001776D"/>
    <w:rsid w:val="000204BF"/>
    <w:rsid w:val="0002095B"/>
    <w:rsid w:val="00020AE6"/>
    <w:rsid w:val="00021309"/>
    <w:rsid w:val="000213F0"/>
    <w:rsid w:val="00022167"/>
    <w:rsid w:val="00023A86"/>
    <w:rsid w:val="00024465"/>
    <w:rsid w:val="000262F7"/>
    <w:rsid w:val="00030AB0"/>
    <w:rsid w:val="00030B99"/>
    <w:rsid w:val="000315AD"/>
    <w:rsid w:val="00033C49"/>
    <w:rsid w:val="00034404"/>
    <w:rsid w:val="00035506"/>
    <w:rsid w:val="00035CB9"/>
    <w:rsid w:val="00035CFC"/>
    <w:rsid w:val="000362E1"/>
    <w:rsid w:val="00037BAC"/>
    <w:rsid w:val="00040512"/>
    <w:rsid w:val="0004057B"/>
    <w:rsid w:val="000409B8"/>
    <w:rsid w:val="000418BA"/>
    <w:rsid w:val="00041FE6"/>
    <w:rsid w:val="00041FF3"/>
    <w:rsid w:val="000420D5"/>
    <w:rsid w:val="000421B7"/>
    <w:rsid w:val="00043743"/>
    <w:rsid w:val="00044A04"/>
    <w:rsid w:val="00044E35"/>
    <w:rsid w:val="000461CF"/>
    <w:rsid w:val="00046CED"/>
    <w:rsid w:val="000470BC"/>
    <w:rsid w:val="000476ED"/>
    <w:rsid w:val="00047CD3"/>
    <w:rsid w:val="0005150A"/>
    <w:rsid w:val="0005464F"/>
    <w:rsid w:val="00055090"/>
    <w:rsid w:val="0005618B"/>
    <w:rsid w:val="000566C2"/>
    <w:rsid w:val="00056B22"/>
    <w:rsid w:val="00057F71"/>
    <w:rsid w:val="00061238"/>
    <w:rsid w:val="00062067"/>
    <w:rsid w:val="0006265B"/>
    <w:rsid w:val="00063251"/>
    <w:rsid w:val="00063C4F"/>
    <w:rsid w:val="00065508"/>
    <w:rsid w:val="00065C62"/>
    <w:rsid w:val="00065CDE"/>
    <w:rsid w:val="00065E95"/>
    <w:rsid w:val="00065F4A"/>
    <w:rsid w:val="00067C8E"/>
    <w:rsid w:val="00071DF8"/>
    <w:rsid w:val="00073367"/>
    <w:rsid w:val="00073E91"/>
    <w:rsid w:val="0007564C"/>
    <w:rsid w:val="00076247"/>
    <w:rsid w:val="00077C71"/>
    <w:rsid w:val="00077ECA"/>
    <w:rsid w:val="00080FF3"/>
    <w:rsid w:val="00081598"/>
    <w:rsid w:val="00081A15"/>
    <w:rsid w:val="00082E7F"/>
    <w:rsid w:val="000847FE"/>
    <w:rsid w:val="00084A02"/>
    <w:rsid w:val="00085263"/>
    <w:rsid w:val="00086133"/>
    <w:rsid w:val="00086B7F"/>
    <w:rsid w:val="00087917"/>
    <w:rsid w:val="000902DD"/>
    <w:rsid w:val="00090A49"/>
    <w:rsid w:val="00090B64"/>
    <w:rsid w:val="0009115F"/>
    <w:rsid w:val="0009122B"/>
    <w:rsid w:val="0009315D"/>
    <w:rsid w:val="000935C2"/>
    <w:rsid w:val="00096604"/>
    <w:rsid w:val="00096851"/>
    <w:rsid w:val="00097879"/>
    <w:rsid w:val="00097DE5"/>
    <w:rsid w:val="000A0B08"/>
    <w:rsid w:val="000A0DEE"/>
    <w:rsid w:val="000A2694"/>
    <w:rsid w:val="000A2EF1"/>
    <w:rsid w:val="000A30F1"/>
    <w:rsid w:val="000A3C2B"/>
    <w:rsid w:val="000A581C"/>
    <w:rsid w:val="000A6960"/>
    <w:rsid w:val="000A6FBD"/>
    <w:rsid w:val="000A7CB4"/>
    <w:rsid w:val="000B004C"/>
    <w:rsid w:val="000B02B5"/>
    <w:rsid w:val="000B540E"/>
    <w:rsid w:val="000B56CD"/>
    <w:rsid w:val="000B6B69"/>
    <w:rsid w:val="000B6D77"/>
    <w:rsid w:val="000B744B"/>
    <w:rsid w:val="000B7A81"/>
    <w:rsid w:val="000B7EC5"/>
    <w:rsid w:val="000C0142"/>
    <w:rsid w:val="000C0E3F"/>
    <w:rsid w:val="000C40B8"/>
    <w:rsid w:val="000C5706"/>
    <w:rsid w:val="000C606F"/>
    <w:rsid w:val="000C6A40"/>
    <w:rsid w:val="000C7DD2"/>
    <w:rsid w:val="000D0023"/>
    <w:rsid w:val="000D013A"/>
    <w:rsid w:val="000D39E9"/>
    <w:rsid w:val="000D3E03"/>
    <w:rsid w:val="000D5825"/>
    <w:rsid w:val="000D7FCB"/>
    <w:rsid w:val="000E092B"/>
    <w:rsid w:val="000E7CD1"/>
    <w:rsid w:val="000F0087"/>
    <w:rsid w:val="000F0C9D"/>
    <w:rsid w:val="000F0FD7"/>
    <w:rsid w:val="000F1C14"/>
    <w:rsid w:val="000F2391"/>
    <w:rsid w:val="000F2534"/>
    <w:rsid w:val="000F3652"/>
    <w:rsid w:val="000F6482"/>
    <w:rsid w:val="00102A40"/>
    <w:rsid w:val="001051F9"/>
    <w:rsid w:val="00105C86"/>
    <w:rsid w:val="00105F18"/>
    <w:rsid w:val="0010680D"/>
    <w:rsid w:val="00107A2B"/>
    <w:rsid w:val="00111ADD"/>
    <w:rsid w:val="00112ADE"/>
    <w:rsid w:val="00114475"/>
    <w:rsid w:val="001144C3"/>
    <w:rsid w:val="00116CD5"/>
    <w:rsid w:val="00120FB9"/>
    <w:rsid w:val="00121855"/>
    <w:rsid w:val="001243B6"/>
    <w:rsid w:val="0012701F"/>
    <w:rsid w:val="0012714F"/>
    <w:rsid w:val="001279AE"/>
    <w:rsid w:val="0013093D"/>
    <w:rsid w:val="0013189A"/>
    <w:rsid w:val="00132446"/>
    <w:rsid w:val="00133B8B"/>
    <w:rsid w:val="00136493"/>
    <w:rsid w:val="00136D4A"/>
    <w:rsid w:val="00136E76"/>
    <w:rsid w:val="001373EB"/>
    <w:rsid w:val="00142D6A"/>
    <w:rsid w:val="00144146"/>
    <w:rsid w:val="00146757"/>
    <w:rsid w:val="001468C6"/>
    <w:rsid w:val="00146C47"/>
    <w:rsid w:val="00147F8C"/>
    <w:rsid w:val="001508A0"/>
    <w:rsid w:val="00151EF9"/>
    <w:rsid w:val="00152889"/>
    <w:rsid w:val="001554BA"/>
    <w:rsid w:val="0015567C"/>
    <w:rsid w:val="00155B53"/>
    <w:rsid w:val="001627F7"/>
    <w:rsid w:val="001634B1"/>
    <w:rsid w:val="00164EB5"/>
    <w:rsid w:val="00165155"/>
    <w:rsid w:val="00165445"/>
    <w:rsid w:val="00165A49"/>
    <w:rsid w:val="00165E81"/>
    <w:rsid w:val="001663D4"/>
    <w:rsid w:val="00167757"/>
    <w:rsid w:val="00171865"/>
    <w:rsid w:val="00171DEB"/>
    <w:rsid w:val="0017241E"/>
    <w:rsid w:val="00172ADC"/>
    <w:rsid w:val="00173577"/>
    <w:rsid w:val="00174FA7"/>
    <w:rsid w:val="00175000"/>
    <w:rsid w:val="001759FF"/>
    <w:rsid w:val="00176AA5"/>
    <w:rsid w:val="0017720E"/>
    <w:rsid w:val="00177893"/>
    <w:rsid w:val="00180128"/>
    <w:rsid w:val="00184221"/>
    <w:rsid w:val="0018544A"/>
    <w:rsid w:val="00186307"/>
    <w:rsid w:val="00186EBC"/>
    <w:rsid w:val="00187D6D"/>
    <w:rsid w:val="00190E1B"/>
    <w:rsid w:val="00191A2B"/>
    <w:rsid w:val="00192220"/>
    <w:rsid w:val="00193391"/>
    <w:rsid w:val="0019370C"/>
    <w:rsid w:val="00195DA4"/>
    <w:rsid w:val="00196CDA"/>
    <w:rsid w:val="001A0142"/>
    <w:rsid w:val="001A0792"/>
    <w:rsid w:val="001A117D"/>
    <w:rsid w:val="001A2736"/>
    <w:rsid w:val="001A2997"/>
    <w:rsid w:val="001A436A"/>
    <w:rsid w:val="001A4F11"/>
    <w:rsid w:val="001A5D23"/>
    <w:rsid w:val="001A6093"/>
    <w:rsid w:val="001A63F4"/>
    <w:rsid w:val="001A6B67"/>
    <w:rsid w:val="001A6B71"/>
    <w:rsid w:val="001A6CCC"/>
    <w:rsid w:val="001A7B53"/>
    <w:rsid w:val="001A7E05"/>
    <w:rsid w:val="001A7F04"/>
    <w:rsid w:val="001B00CE"/>
    <w:rsid w:val="001B1552"/>
    <w:rsid w:val="001B1CB7"/>
    <w:rsid w:val="001B23C2"/>
    <w:rsid w:val="001B4506"/>
    <w:rsid w:val="001B4781"/>
    <w:rsid w:val="001B6389"/>
    <w:rsid w:val="001B6D89"/>
    <w:rsid w:val="001B7D00"/>
    <w:rsid w:val="001C04CC"/>
    <w:rsid w:val="001C051E"/>
    <w:rsid w:val="001C0D17"/>
    <w:rsid w:val="001C126A"/>
    <w:rsid w:val="001C254C"/>
    <w:rsid w:val="001C2C53"/>
    <w:rsid w:val="001C3CCA"/>
    <w:rsid w:val="001C45A5"/>
    <w:rsid w:val="001C6621"/>
    <w:rsid w:val="001C73B6"/>
    <w:rsid w:val="001D264A"/>
    <w:rsid w:val="001D2A21"/>
    <w:rsid w:val="001D3373"/>
    <w:rsid w:val="001D3576"/>
    <w:rsid w:val="001D36C5"/>
    <w:rsid w:val="001D3CFD"/>
    <w:rsid w:val="001D575E"/>
    <w:rsid w:val="001D592D"/>
    <w:rsid w:val="001D5B61"/>
    <w:rsid w:val="001D5DE3"/>
    <w:rsid w:val="001D5EEA"/>
    <w:rsid w:val="001D6499"/>
    <w:rsid w:val="001E0563"/>
    <w:rsid w:val="001E41B7"/>
    <w:rsid w:val="001E41F2"/>
    <w:rsid w:val="001E5918"/>
    <w:rsid w:val="001F073C"/>
    <w:rsid w:val="001F202A"/>
    <w:rsid w:val="001F257A"/>
    <w:rsid w:val="001F2912"/>
    <w:rsid w:val="001F3354"/>
    <w:rsid w:val="001F354C"/>
    <w:rsid w:val="001F3E58"/>
    <w:rsid w:val="001F50AC"/>
    <w:rsid w:val="001F7C5D"/>
    <w:rsid w:val="00200296"/>
    <w:rsid w:val="00201ADB"/>
    <w:rsid w:val="00201B76"/>
    <w:rsid w:val="00201D33"/>
    <w:rsid w:val="00201D3B"/>
    <w:rsid w:val="002039E0"/>
    <w:rsid w:val="00203C93"/>
    <w:rsid w:val="00203CA1"/>
    <w:rsid w:val="00203FC5"/>
    <w:rsid w:val="002054B1"/>
    <w:rsid w:val="002058E5"/>
    <w:rsid w:val="0020668D"/>
    <w:rsid w:val="002067BB"/>
    <w:rsid w:val="00210740"/>
    <w:rsid w:val="002108C1"/>
    <w:rsid w:val="00210B0C"/>
    <w:rsid w:val="00210FAA"/>
    <w:rsid w:val="002117A5"/>
    <w:rsid w:val="00212487"/>
    <w:rsid w:val="002131E3"/>
    <w:rsid w:val="00213324"/>
    <w:rsid w:val="0021356C"/>
    <w:rsid w:val="00214D97"/>
    <w:rsid w:val="002161B2"/>
    <w:rsid w:val="0021646D"/>
    <w:rsid w:val="00217BA0"/>
    <w:rsid w:val="002209FE"/>
    <w:rsid w:val="00220EDF"/>
    <w:rsid w:val="00221558"/>
    <w:rsid w:val="00222FFB"/>
    <w:rsid w:val="0022324C"/>
    <w:rsid w:val="002234A6"/>
    <w:rsid w:val="0022385D"/>
    <w:rsid w:val="0022422A"/>
    <w:rsid w:val="00224C0C"/>
    <w:rsid w:val="00225930"/>
    <w:rsid w:val="00231DCD"/>
    <w:rsid w:val="002324F0"/>
    <w:rsid w:val="00234247"/>
    <w:rsid w:val="0023457D"/>
    <w:rsid w:val="0023533E"/>
    <w:rsid w:val="00237B01"/>
    <w:rsid w:val="00237C61"/>
    <w:rsid w:val="00237CA5"/>
    <w:rsid w:val="00237F70"/>
    <w:rsid w:val="00241994"/>
    <w:rsid w:val="002425EA"/>
    <w:rsid w:val="0024270F"/>
    <w:rsid w:val="00242EA0"/>
    <w:rsid w:val="00242F39"/>
    <w:rsid w:val="0024300B"/>
    <w:rsid w:val="00243685"/>
    <w:rsid w:val="00244A47"/>
    <w:rsid w:val="00246A39"/>
    <w:rsid w:val="00246D91"/>
    <w:rsid w:val="00250E9B"/>
    <w:rsid w:val="002513D5"/>
    <w:rsid w:val="00251F0F"/>
    <w:rsid w:val="00253C00"/>
    <w:rsid w:val="002542B9"/>
    <w:rsid w:val="00255E19"/>
    <w:rsid w:val="0025613F"/>
    <w:rsid w:val="00256D84"/>
    <w:rsid w:val="0025733E"/>
    <w:rsid w:val="00260B56"/>
    <w:rsid w:val="00261DC6"/>
    <w:rsid w:val="002626AA"/>
    <w:rsid w:val="00262ED2"/>
    <w:rsid w:val="002645F1"/>
    <w:rsid w:val="00264623"/>
    <w:rsid w:val="002651FC"/>
    <w:rsid w:val="0026772F"/>
    <w:rsid w:val="0027096D"/>
    <w:rsid w:val="002709BD"/>
    <w:rsid w:val="00271DDF"/>
    <w:rsid w:val="0027286D"/>
    <w:rsid w:val="00272D2C"/>
    <w:rsid w:val="002773EA"/>
    <w:rsid w:val="00277C93"/>
    <w:rsid w:val="002801E6"/>
    <w:rsid w:val="00280AD7"/>
    <w:rsid w:val="00280B5B"/>
    <w:rsid w:val="00281B3A"/>
    <w:rsid w:val="002836DF"/>
    <w:rsid w:val="0028553D"/>
    <w:rsid w:val="0028561A"/>
    <w:rsid w:val="00285F48"/>
    <w:rsid w:val="00286058"/>
    <w:rsid w:val="0028629B"/>
    <w:rsid w:val="002863C8"/>
    <w:rsid w:val="00286862"/>
    <w:rsid w:val="0028782B"/>
    <w:rsid w:val="00287FF9"/>
    <w:rsid w:val="002911B3"/>
    <w:rsid w:val="00291F4E"/>
    <w:rsid w:val="00292272"/>
    <w:rsid w:val="002928F4"/>
    <w:rsid w:val="002948BA"/>
    <w:rsid w:val="002949C2"/>
    <w:rsid w:val="002954EE"/>
    <w:rsid w:val="00296083"/>
    <w:rsid w:val="002967E4"/>
    <w:rsid w:val="002970E8"/>
    <w:rsid w:val="00297DB0"/>
    <w:rsid w:val="00297F99"/>
    <w:rsid w:val="002A1011"/>
    <w:rsid w:val="002A17B4"/>
    <w:rsid w:val="002A1C08"/>
    <w:rsid w:val="002A2BF3"/>
    <w:rsid w:val="002A3C51"/>
    <w:rsid w:val="002A4503"/>
    <w:rsid w:val="002A531D"/>
    <w:rsid w:val="002A5D5B"/>
    <w:rsid w:val="002A5F41"/>
    <w:rsid w:val="002A63EE"/>
    <w:rsid w:val="002A65E9"/>
    <w:rsid w:val="002A7956"/>
    <w:rsid w:val="002A7B55"/>
    <w:rsid w:val="002B1425"/>
    <w:rsid w:val="002B22D4"/>
    <w:rsid w:val="002B2531"/>
    <w:rsid w:val="002B29B3"/>
    <w:rsid w:val="002B2BB3"/>
    <w:rsid w:val="002B424D"/>
    <w:rsid w:val="002B4941"/>
    <w:rsid w:val="002B521D"/>
    <w:rsid w:val="002B5D74"/>
    <w:rsid w:val="002B6466"/>
    <w:rsid w:val="002B7ADB"/>
    <w:rsid w:val="002C00D5"/>
    <w:rsid w:val="002C02E5"/>
    <w:rsid w:val="002C1D2F"/>
    <w:rsid w:val="002C280B"/>
    <w:rsid w:val="002C281B"/>
    <w:rsid w:val="002C6060"/>
    <w:rsid w:val="002C6316"/>
    <w:rsid w:val="002C66E7"/>
    <w:rsid w:val="002C6B93"/>
    <w:rsid w:val="002C7438"/>
    <w:rsid w:val="002D25CA"/>
    <w:rsid w:val="002D2FCA"/>
    <w:rsid w:val="002D3200"/>
    <w:rsid w:val="002D5152"/>
    <w:rsid w:val="002D5D9A"/>
    <w:rsid w:val="002D644B"/>
    <w:rsid w:val="002D68DC"/>
    <w:rsid w:val="002D6B68"/>
    <w:rsid w:val="002D6FBD"/>
    <w:rsid w:val="002D7131"/>
    <w:rsid w:val="002D7344"/>
    <w:rsid w:val="002D7823"/>
    <w:rsid w:val="002E1DB4"/>
    <w:rsid w:val="002E279F"/>
    <w:rsid w:val="002E2E34"/>
    <w:rsid w:val="002E339B"/>
    <w:rsid w:val="002E339D"/>
    <w:rsid w:val="002E33DD"/>
    <w:rsid w:val="002E3DFB"/>
    <w:rsid w:val="002E3E4B"/>
    <w:rsid w:val="002E3EED"/>
    <w:rsid w:val="002E3F75"/>
    <w:rsid w:val="002E4C2D"/>
    <w:rsid w:val="002E538C"/>
    <w:rsid w:val="002E5DEA"/>
    <w:rsid w:val="002E720E"/>
    <w:rsid w:val="002E724A"/>
    <w:rsid w:val="002E724E"/>
    <w:rsid w:val="002F0B74"/>
    <w:rsid w:val="002F12CB"/>
    <w:rsid w:val="002F1E68"/>
    <w:rsid w:val="002F311E"/>
    <w:rsid w:val="002F3383"/>
    <w:rsid w:val="002F3E33"/>
    <w:rsid w:val="002F4571"/>
    <w:rsid w:val="002F4843"/>
    <w:rsid w:val="002F5334"/>
    <w:rsid w:val="002F5862"/>
    <w:rsid w:val="002F7062"/>
    <w:rsid w:val="002F71B8"/>
    <w:rsid w:val="003003A9"/>
    <w:rsid w:val="003014AD"/>
    <w:rsid w:val="00301EA1"/>
    <w:rsid w:val="00302FCC"/>
    <w:rsid w:val="0030377A"/>
    <w:rsid w:val="0030476F"/>
    <w:rsid w:val="003051E3"/>
    <w:rsid w:val="003061C0"/>
    <w:rsid w:val="003062AE"/>
    <w:rsid w:val="00306821"/>
    <w:rsid w:val="00306EBB"/>
    <w:rsid w:val="00310640"/>
    <w:rsid w:val="0031093E"/>
    <w:rsid w:val="00310B2E"/>
    <w:rsid w:val="00310D64"/>
    <w:rsid w:val="00311591"/>
    <w:rsid w:val="00313238"/>
    <w:rsid w:val="0031354B"/>
    <w:rsid w:val="003151E2"/>
    <w:rsid w:val="00315429"/>
    <w:rsid w:val="00315514"/>
    <w:rsid w:val="003158D8"/>
    <w:rsid w:val="003166FB"/>
    <w:rsid w:val="00320702"/>
    <w:rsid w:val="003213EC"/>
    <w:rsid w:val="003216A4"/>
    <w:rsid w:val="00324343"/>
    <w:rsid w:val="00325513"/>
    <w:rsid w:val="00326ABB"/>
    <w:rsid w:val="00326EDC"/>
    <w:rsid w:val="00326F4D"/>
    <w:rsid w:val="003319A7"/>
    <w:rsid w:val="00332052"/>
    <w:rsid w:val="00332B1C"/>
    <w:rsid w:val="00332C72"/>
    <w:rsid w:val="00334ACF"/>
    <w:rsid w:val="00336DE2"/>
    <w:rsid w:val="00336FBC"/>
    <w:rsid w:val="00337592"/>
    <w:rsid w:val="0033793E"/>
    <w:rsid w:val="00337E9B"/>
    <w:rsid w:val="003405BC"/>
    <w:rsid w:val="00340FAD"/>
    <w:rsid w:val="00341A14"/>
    <w:rsid w:val="003421CE"/>
    <w:rsid w:val="00342D1B"/>
    <w:rsid w:val="00344235"/>
    <w:rsid w:val="003448FE"/>
    <w:rsid w:val="00344EB8"/>
    <w:rsid w:val="00347643"/>
    <w:rsid w:val="00347EE3"/>
    <w:rsid w:val="003503FE"/>
    <w:rsid w:val="00351381"/>
    <w:rsid w:val="003514B1"/>
    <w:rsid w:val="003530A6"/>
    <w:rsid w:val="00353627"/>
    <w:rsid w:val="00354A7A"/>
    <w:rsid w:val="003559C6"/>
    <w:rsid w:val="00355F72"/>
    <w:rsid w:val="00357657"/>
    <w:rsid w:val="00360090"/>
    <w:rsid w:val="00363706"/>
    <w:rsid w:val="003639A6"/>
    <w:rsid w:val="00364F85"/>
    <w:rsid w:val="0036644B"/>
    <w:rsid w:val="003675D4"/>
    <w:rsid w:val="003679AE"/>
    <w:rsid w:val="00370034"/>
    <w:rsid w:val="003707D2"/>
    <w:rsid w:val="00374C94"/>
    <w:rsid w:val="00375D47"/>
    <w:rsid w:val="00375ED1"/>
    <w:rsid w:val="003800CB"/>
    <w:rsid w:val="003812AE"/>
    <w:rsid w:val="00381EB3"/>
    <w:rsid w:val="003824DF"/>
    <w:rsid w:val="0038281C"/>
    <w:rsid w:val="00383585"/>
    <w:rsid w:val="0038401B"/>
    <w:rsid w:val="003854D0"/>
    <w:rsid w:val="00385A64"/>
    <w:rsid w:val="00386D1A"/>
    <w:rsid w:val="00386D82"/>
    <w:rsid w:val="0038754E"/>
    <w:rsid w:val="00390294"/>
    <w:rsid w:val="003904BE"/>
    <w:rsid w:val="003925EE"/>
    <w:rsid w:val="00393E38"/>
    <w:rsid w:val="0039686B"/>
    <w:rsid w:val="0039694F"/>
    <w:rsid w:val="00396E3C"/>
    <w:rsid w:val="00397170"/>
    <w:rsid w:val="00397788"/>
    <w:rsid w:val="003A2D4F"/>
    <w:rsid w:val="003A3433"/>
    <w:rsid w:val="003A3D4E"/>
    <w:rsid w:val="003A537E"/>
    <w:rsid w:val="003A54D6"/>
    <w:rsid w:val="003A56B7"/>
    <w:rsid w:val="003A5F56"/>
    <w:rsid w:val="003A660F"/>
    <w:rsid w:val="003A7E8C"/>
    <w:rsid w:val="003B095E"/>
    <w:rsid w:val="003B1A60"/>
    <w:rsid w:val="003B2A58"/>
    <w:rsid w:val="003B33FB"/>
    <w:rsid w:val="003B3B80"/>
    <w:rsid w:val="003B41D4"/>
    <w:rsid w:val="003B4FDC"/>
    <w:rsid w:val="003B6544"/>
    <w:rsid w:val="003B782C"/>
    <w:rsid w:val="003B7C9D"/>
    <w:rsid w:val="003C0EAF"/>
    <w:rsid w:val="003C0FBF"/>
    <w:rsid w:val="003C1A9F"/>
    <w:rsid w:val="003C2383"/>
    <w:rsid w:val="003C30BC"/>
    <w:rsid w:val="003C3AD2"/>
    <w:rsid w:val="003C4C82"/>
    <w:rsid w:val="003C5BFA"/>
    <w:rsid w:val="003C5C3D"/>
    <w:rsid w:val="003C6161"/>
    <w:rsid w:val="003C6259"/>
    <w:rsid w:val="003C67DD"/>
    <w:rsid w:val="003C6FA5"/>
    <w:rsid w:val="003D031C"/>
    <w:rsid w:val="003D0407"/>
    <w:rsid w:val="003D11A9"/>
    <w:rsid w:val="003D2320"/>
    <w:rsid w:val="003D2A37"/>
    <w:rsid w:val="003D3CDC"/>
    <w:rsid w:val="003D5BCA"/>
    <w:rsid w:val="003D69EF"/>
    <w:rsid w:val="003D7941"/>
    <w:rsid w:val="003D7EF5"/>
    <w:rsid w:val="003E06A7"/>
    <w:rsid w:val="003E0EDB"/>
    <w:rsid w:val="003E105A"/>
    <w:rsid w:val="003E1100"/>
    <w:rsid w:val="003E1767"/>
    <w:rsid w:val="003E3FDF"/>
    <w:rsid w:val="003E5600"/>
    <w:rsid w:val="003E5C2E"/>
    <w:rsid w:val="003E5E44"/>
    <w:rsid w:val="003E6475"/>
    <w:rsid w:val="003E7BA3"/>
    <w:rsid w:val="003F04DE"/>
    <w:rsid w:val="003F0CD1"/>
    <w:rsid w:val="003F105A"/>
    <w:rsid w:val="003F1146"/>
    <w:rsid w:val="003F1BF8"/>
    <w:rsid w:val="003F2529"/>
    <w:rsid w:val="003F3263"/>
    <w:rsid w:val="003F424F"/>
    <w:rsid w:val="003F4492"/>
    <w:rsid w:val="003F53EF"/>
    <w:rsid w:val="003F6199"/>
    <w:rsid w:val="003F71B7"/>
    <w:rsid w:val="00401F70"/>
    <w:rsid w:val="004020BD"/>
    <w:rsid w:val="00402394"/>
    <w:rsid w:val="00402CB9"/>
    <w:rsid w:val="00403397"/>
    <w:rsid w:val="004033BF"/>
    <w:rsid w:val="0040422B"/>
    <w:rsid w:val="00405A49"/>
    <w:rsid w:val="00405B48"/>
    <w:rsid w:val="004061DE"/>
    <w:rsid w:val="0040643D"/>
    <w:rsid w:val="0041030D"/>
    <w:rsid w:val="00410EED"/>
    <w:rsid w:val="0041127D"/>
    <w:rsid w:val="00411801"/>
    <w:rsid w:val="0041377F"/>
    <w:rsid w:val="00414B50"/>
    <w:rsid w:val="00414FD1"/>
    <w:rsid w:val="00417802"/>
    <w:rsid w:val="004178F5"/>
    <w:rsid w:val="004201D2"/>
    <w:rsid w:val="00420AF0"/>
    <w:rsid w:val="00420D95"/>
    <w:rsid w:val="00421450"/>
    <w:rsid w:val="0042181F"/>
    <w:rsid w:val="00421845"/>
    <w:rsid w:val="00422257"/>
    <w:rsid w:val="004223AD"/>
    <w:rsid w:val="00422C07"/>
    <w:rsid w:val="0042317A"/>
    <w:rsid w:val="004235B9"/>
    <w:rsid w:val="00427E55"/>
    <w:rsid w:val="0043206C"/>
    <w:rsid w:val="00432124"/>
    <w:rsid w:val="00432684"/>
    <w:rsid w:val="0043376D"/>
    <w:rsid w:val="00435296"/>
    <w:rsid w:val="00435AE8"/>
    <w:rsid w:val="00435D73"/>
    <w:rsid w:val="00435DC0"/>
    <w:rsid w:val="00436FBF"/>
    <w:rsid w:val="00437BB5"/>
    <w:rsid w:val="00441A64"/>
    <w:rsid w:val="00443CCF"/>
    <w:rsid w:val="004467B7"/>
    <w:rsid w:val="0044680B"/>
    <w:rsid w:val="004478EC"/>
    <w:rsid w:val="00447996"/>
    <w:rsid w:val="0045255F"/>
    <w:rsid w:val="00452A31"/>
    <w:rsid w:val="00453859"/>
    <w:rsid w:val="00453BAE"/>
    <w:rsid w:val="00453D59"/>
    <w:rsid w:val="004543E4"/>
    <w:rsid w:val="00454E07"/>
    <w:rsid w:val="00456275"/>
    <w:rsid w:val="0045699D"/>
    <w:rsid w:val="00456A68"/>
    <w:rsid w:val="00456DCE"/>
    <w:rsid w:val="004572E0"/>
    <w:rsid w:val="00457571"/>
    <w:rsid w:val="004577F1"/>
    <w:rsid w:val="00460912"/>
    <w:rsid w:val="0046104A"/>
    <w:rsid w:val="004619BB"/>
    <w:rsid w:val="00462F03"/>
    <w:rsid w:val="0046354F"/>
    <w:rsid w:val="00463B02"/>
    <w:rsid w:val="00463DCF"/>
    <w:rsid w:val="00465D3F"/>
    <w:rsid w:val="00466151"/>
    <w:rsid w:val="0046621E"/>
    <w:rsid w:val="00466633"/>
    <w:rsid w:val="00467E35"/>
    <w:rsid w:val="00470086"/>
    <w:rsid w:val="00470409"/>
    <w:rsid w:val="0047091E"/>
    <w:rsid w:val="00472299"/>
    <w:rsid w:val="00472624"/>
    <w:rsid w:val="00472D4D"/>
    <w:rsid w:val="004730EA"/>
    <w:rsid w:val="00473F01"/>
    <w:rsid w:val="00474695"/>
    <w:rsid w:val="00474CDF"/>
    <w:rsid w:val="00475E40"/>
    <w:rsid w:val="0047685E"/>
    <w:rsid w:val="00476EDC"/>
    <w:rsid w:val="00477193"/>
    <w:rsid w:val="00482191"/>
    <w:rsid w:val="00482301"/>
    <w:rsid w:val="00484081"/>
    <w:rsid w:val="00484D28"/>
    <w:rsid w:val="00486971"/>
    <w:rsid w:val="00486C71"/>
    <w:rsid w:val="00487105"/>
    <w:rsid w:val="00490B66"/>
    <w:rsid w:val="00491206"/>
    <w:rsid w:val="004919DD"/>
    <w:rsid w:val="0049218B"/>
    <w:rsid w:val="004923B0"/>
    <w:rsid w:val="00492B40"/>
    <w:rsid w:val="00492E37"/>
    <w:rsid w:val="00492EA1"/>
    <w:rsid w:val="00493486"/>
    <w:rsid w:val="0049451D"/>
    <w:rsid w:val="00494797"/>
    <w:rsid w:val="00494A61"/>
    <w:rsid w:val="00494C79"/>
    <w:rsid w:val="00494F7C"/>
    <w:rsid w:val="00497462"/>
    <w:rsid w:val="004979B0"/>
    <w:rsid w:val="004A0667"/>
    <w:rsid w:val="004A126A"/>
    <w:rsid w:val="004A2737"/>
    <w:rsid w:val="004A2BC6"/>
    <w:rsid w:val="004A2DF5"/>
    <w:rsid w:val="004A3260"/>
    <w:rsid w:val="004A49C4"/>
    <w:rsid w:val="004A4EF3"/>
    <w:rsid w:val="004A6EB1"/>
    <w:rsid w:val="004A7540"/>
    <w:rsid w:val="004B2379"/>
    <w:rsid w:val="004B343F"/>
    <w:rsid w:val="004B3C00"/>
    <w:rsid w:val="004B4756"/>
    <w:rsid w:val="004B4BDE"/>
    <w:rsid w:val="004B5631"/>
    <w:rsid w:val="004B6041"/>
    <w:rsid w:val="004B6238"/>
    <w:rsid w:val="004B6402"/>
    <w:rsid w:val="004B6755"/>
    <w:rsid w:val="004B7AC4"/>
    <w:rsid w:val="004B7B48"/>
    <w:rsid w:val="004C3074"/>
    <w:rsid w:val="004C53BF"/>
    <w:rsid w:val="004C5649"/>
    <w:rsid w:val="004C6CF7"/>
    <w:rsid w:val="004C7241"/>
    <w:rsid w:val="004C734F"/>
    <w:rsid w:val="004C74AE"/>
    <w:rsid w:val="004C74D4"/>
    <w:rsid w:val="004C7C0F"/>
    <w:rsid w:val="004D0067"/>
    <w:rsid w:val="004D1006"/>
    <w:rsid w:val="004D250E"/>
    <w:rsid w:val="004D3707"/>
    <w:rsid w:val="004D42D8"/>
    <w:rsid w:val="004D45DF"/>
    <w:rsid w:val="004D66B9"/>
    <w:rsid w:val="004D7A5E"/>
    <w:rsid w:val="004D7C00"/>
    <w:rsid w:val="004E02DC"/>
    <w:rsid w:val="004E0C0B"/>
    <w:rsid w:val="004E0C49"/>
    <w:rsid w:val="004E13F2"/>
    <w:rsid w:val="004E2125"/>
    <w:rsid w:val="004E2357"/>
    <w:rsid w:val="004E576C"/>
    <w:rsid w:val="004E5B0C"/>
    <w:rsid w:val="004E5E9D"/>
    <w:rsid w:val="004E6099"/>
    <w:rsid w:val="004E7951"/>
    <w:rsid w:val="004E7D68"/>
    <w:rsid w:val="004F193F"/>
    <w:rsid w:val="004F3244"/>
    <w:rsid w:val="004F3688"/>
    <w:rsid w:val="004F3AAE"/>
    <w:rsid w:val="004F3DCC"/>
    <w:rsid w:val="004F4BDE"/>
    <w:rsid w:val="004F61DD"/>
    <w:rsid w:val="004F6385"/>
    <w:rsid w:val="004F7260"/>
    <w:rsid w:val="004F7265"/>
    <w:rsid w:val="004F7AEA"/>
    <w:rsid w:val="004F7CAC"/>
    <w:rsid w:val="00500792"/>
    <w:rsid w:val="00500954"/>
    <w:rsid w:val="00501E23"/>
    <w:rsid w:val="0050388D"/>
    <w:rsid w:val="00503A70"/>
    <w:rsid w:val="0050536D"/>
    <w:rsid w:val="005063F2"/>
    <w:rsid w:val="00510545"/>
    <w:rsid w:val="00511320"/>
    <w:rsid w:val="00511FE2"/>
    <w:rsid w:val="00512EAB"/>
    <w:rsid w:val="00513016"/>
    <w:rsid w:val="00513C9A"/>
    <w:rsid w:val="00514070"/>
    <w:rsid w:val="005143F9"/>
    <w:rsid w:val="00514DC2"/>
    <w:rsid w:val="00514F63"/>
    <w:rsid w:val="005159CD"/>
    <w:rsid w:val="00515AD0"/>
    <w:rsid w:val="00515E7E"/>
    <w:rsid w:val="0051616C"/>
    <w:rsid w:val="00516566"/>
    <w:rsid w:val="0052052D"/>
    <w:rsid w:val="00520EDA"/>
    <w:rsid w:val="00520F65"/>
    <w:rsid w:val="00521369"/>
    <w:rsid w:val="005218C3"/>
    <w:rsid w:val="00521B9B"/>
    <w:rsid w:val="00521BFF"/>
    <w:rsid w:val="00522DE5"/>
    <w:rsid w:val="005231E6"/>
    <w:rsid w:val="005252EF"/>
    <w:rsid w:val="00526A90"/>
    <w:rsid w:val="00527991"/>
    <w:rsid w:val="00530174"/>
    <w:rsid w:val="005312FE"/>
    <w:rsid w:val="00531C11"/>
    <w:rsid w:val="00532535"/>
    <w:rsid w:val="005327A9"/>
    <w:rsid w:val="005329A0"/>
    <w:rsid w:val="00532BE6"/>
    <w:rsid w:val="00533221"/>
    <w:rsid w:val="00533C9B"/>
    <w:rsid w:val="00534958"/>
    <w:rsid w:val="00534FFE"/>
    <w:rsid w:val="005355C9"/>
    <w:rsid w:val="00535C74"/>
    <w:rsid w:val="005361AB"/>
    <w:rsid w:val="0053691B"/>
    <w:rsid w:val="00537DC7"/>
    <w:rsid w:val="005400A6"/>
    <w:rsid w:val="00540440"/>
    <w:rsid w:val="0054165B"/>
    <w:rsid w:val="00541D43"/>
    <w:rsid w:val="00542068"/>
    <w:rsid w:val="00542604"/>
    <w:rsid w:val="005429A2"/>
    <w:rsid w:val="0054312C"/>
    <w:rsid w:val="0054370B"/>
    <w:rsid w:val="00543AF9"/>
    <w:rsid w:val="00546644"/>
    <w:rsid w:val="00546D16"/>
    <w:rsid w:val="00550ABD"/>
    <w:rsid w:val="005515D2"/>
    <w:rsid w:val="00553755"/>
    <w:rsid w:val="00554BE6"/>
    <w:rsid w:val="00555104"/>
    <w:rsid w:val="0055532F"/>
    <w:rsid w:val="005558A9"/>
    <w:rsid w:val="00555C1C"/>
    <w:rsid w:val="00555E74"/>
    <w:rsid w:val="00556E09"/>
    <w:rsid w:val="00556FF7"/>
    <w:rsid w:val="005570EB"/>
    <w:rsid w:val="00557ED5"/>
    <w:rsid w:val="005607DA"/>
    <w:rsid w:val="00560CB5"/>
    <w:rsid w:val="0056197B"/>
    <w:rsid w:val="00561A95"/>
    <w:rsid w:val="00561D24"/>
    <w:rsid w:val="005625F6"/>
    <w:rsid w:val="00562E3B"/>
    <w:rsid w:val="00563ACF"/>
    <w:rsid w:val="00563BB5"/>
    <w:rsid w:val="005643BB"/>
    <w:rsid w:val="00564C73"/>
    <w:rsid w:val="00567177"/>
    <w:rsid w:val="00567E8E"/>
    <w:rsid w:val="00571886"/>
    <w:rsid w:val="005719C7"/>
    <w:rsid w:val="00574848"/>
    <w:rsid w:val="00574DAB"/>
    <w:rsid w:val="0057534C"/>
    <w:rsid w:val="005762AF"/>
    <w:rsid w:val="00576ADE"/>
    <w:rsid w:val="00577CFD"/>
    <w:rsid w:val="00577DEF"/>
    <w:rsid w:val="00580351"/>
    <w:rsid w:val="00580D81"/>
    <w:rsid w:val="00581074"/>
    <w:rsid w:val="0058202C"/>
    <w:rsid w:val="0058374B"/>
    <w:rsid w:val="005844D7"/>
    <w:rsid w:val="00584B57"/>
    <w:rsid w:val="00585F4C"/>
    <w:rsid w:val="00587123"/>
    <w:rsid w:val="00587354"/>
    <w:rsid w:val="005900E6"/>
    <w:rsid w:val="00590B23"/>
    <w:rsid w:val="005920E4"/>
    <w:rsid w:val="00592878"/>
    <w:rsid w:val="00593DFB"/>
    <w:rsid w:val="00594045"/>
    <w:rsid w:val="005973A3"/>
    <w:rsid w:val="005973E9"/>
    <w:rsid w:val="00597972"/>
    <w:rsid w:val="005A36D7"/>
    <w:rsid w:val="005A5A77"/>
    <w:rsid w:val="005B3587"/>
    <w:rsid w:val="005B3783"/>
    <w:rsid w:val="005B3931"/>
    <w:rsid w:val="005B4E4E"/>
    <w:rsid w:val="005B52CD"/>
    <w:rsid w:val="005B536F"/>
    <w:rsid w:val="005B56DC"/>
    <w:rsid w:val="005B57E5"/>
    <w:rsid w:val="005B673B"/>
    <w:rsid w:val="005B7E90"/>
    <w:rsid w:val="005C0B6C"/>
    <w:rsid w:val="005C0B82"/>
    <w:rsid w:val="005C2463"/>
    <w:rsid w:val="005C2AA8"/>
    <w:rsid w:val="005C6920"/>
    <w:rsid w:val="005C7580"/>
    <w:rsid w:val="005C75A5"/>
    <w:rsid w:val="005D3150"/>
    <w:rsid w:val="005D5037"/>
    <w:rsid w:val="005D5948"/>
    <w:rsid w:val="005D5BA1"/>
    <w:rsid w:val="005D68AC"/>
    <w:rsid w:val="005D6C5D"/>
    <w:rsid w:val="005D7815"/>
    <w:rsid w:val="005D7C53"/>
    <w:rsid w:val="005E1A06"/>
    <w:rsid w:val="005E1FAE"/>
    <w:rsid w:val="005E2C9A"/>
    <w:rsid w:val="005E3A9B"/>
    <w:rsid w:val="005E4154"/>
    <w:rsid w:val="005E4313"/>
    <w:rsid w:val="005E49B2"/>
    <w:rsid w:val="005E4E3D"/>
    <w:rsid w:val="005E5098"/>
    <w:rsid w:val="005E5926"/>
    <w:rsid w:val="005E5BD7"/>
    <w:rsid w:val="005F04A5"/>
    <w:rsid w:val="005F0AE8"/>
    <w:rsid w:val="005F0C8E"/>
    <w:rsid w:val="005F1B5E"/>
    <w:rsid w:val="005F290A"/>
    <w:rsid w:val="005F2A6B"/>
    <w:rsid w:val="005F345E"/>
    <w:rsid w:val="005F352E"/>
    <w:rsid w:val="005F40C1"/>
    <w:rsid w:val="005F4430"/>
    <w:rsid w:val="005F4945"/>
    <w:rsid w:val="005F4DB7"/>
    <w:rsid w:val="005F4E18"/>
    <w:rsid w:val="005F66AF"/>
    <w:rsid w:val="005F7D28"/>
    <w:rsid w:val="00601303"/>
    <w:rsid w:val="006019D6"/>
    <w:rsid w:val="00601C16"/>
    <w:rsid w:val="006024D3"/>
    <w:rsid w:val="00602C5C"/>
    <w:rsid w:val="006041B2"/>
    <w:rsid w:val="00605115"/>
    <w:rsid w:val="00605145"/>
    <w:rsid w:val="00605BC6"/>
    <w:rsid w:val="00606EF9"/>
    <w:rsid w:val="0060706A"/>
    <w:rsid w:val="0060756E"/>
    <w:rsid w:val="00607758"/>
    <w:rsid w:val="00610B60"/>
    <w:rsid w:val="00610D5E"/>
    <w:rsid w:val="00611002"/>
    <w:rsid w:val="006110E8"/>
    <w:rsid w:val="00612420"/>
    <w:rsid w:val="006127BC"/>
    <w:rsid w:val="00612ED5"/>
    <w:rsid w:val="00612F5F"/>
    <w:rsid w:val="00613467"/>
    <w:rsid w:val="006151A7"/>
    <w:rsid w:val="006173D1"/>
    <w:rsid w:val="00620367"/>
    <w:rsid w:val="006209BF"/>
    <w:rsid w:val="006214C5"/>
    <w:rsid w:val="006230C1"/>
    <w:rsid w:val="00623F6E"/>
    <w:rsid w:val="00624197"/>
    <w:rsid w:val="00624315"/>
    <w:rsid w:val="0062454A"/>
    <w:rsid w:val="0062545B"/>
    <w:rsid w:val="0062552A"/>
    <w:rsid w:val="006256EB"/>
    <w:rsid w:val="00626178"/>
    <w:rsid w:val="00626566"/>
    <w:rsid w:val="00626C3C"/>
    <w:rsid w:val="00627E88"/>
    <w:rsid w:val="00632241"/>
    <w:rsid w:val="006332BE"/>
    <w:rsid w:val="0063383E"/>
    <w:rsid w:val="006344FE"/>
    <w:rsid w:val="006346DE"/>
    <w:rsid w:val="00634708"/>
    <w:rsid w:val="006350A7"/>
    <w:rsid w:val="00635386"/>
    <w:rsid w:val="006408C3"/>
    <w:rsid w:val="00641427"/>
    <w:rsid w:val="00641942"/>
    <w:rsid w:val="00642668"/>
    <w:rsid w:val="00643872"/>
    <w:rsid w:val="00644858"/>
    <w:rsid w:val="0064620D"/>
    <w:rsid w:val="00647326"/>
    <w:rsid w:val="006478F7"/>
    <w:rsid w:val="00647F25"/>
    <w:rsid w:val="00650C20"/>
    <w:rsid w:val="00651995"/>
    <w:rsid w:val="00651A39"/>
    <w:rsid w:val="00651A92"/>
    <w:rsid w:val="00651CF6"/>
    <w:rsid w:val="00652E2A"/>
    <w:rsid w:val="00653E6E"/>
    <w:rsid w:val="006566C4"/>
    <w:rsid w:val="00657754"/>
    <w:rsid w:val="00657857"/>
    <w:rsid w:val="006600F5"/>
    <w:rsid w:val="0066093E"/>
    <w:rsid w:val="00660B4A"/>
    <w:rsid w:val="006617A8"/>
    <w:rsid w:val="00662DFF"/>
    <w:rsid w:val="00663615"/>
    <w:rsid w:val="00664356"/>
    <w:rsid w:val="00664EB3"/>
    <w:rsid w:val="0066561E"/>
    <w:rsid w:val="00665954"/>
    <w:rsid w:val="00665F5D"/>
    <w:rsid w:val="00666885"/>
    <w:rsid w:val="00667536"/>
    <w:rsid w:val="00667E90"/>
    <w:rsid w:val="00670B05"/>
    <w:rsid w:val="00670B94"/>
    <w:rsid w:val="006717C1"/>
    <w:rsid w:val="00672120"/>
    <w:rsid w:val="00672A93"/>
    <w:rsid w:val="00672CC9"/>
    <w:rsid w:val="00673CF8"/>
    <w:rsid w:val="00673FB4"/>
    <w:rsid w:val="0067470C"/>
    <w:rsid w:val="00674CBE"/>
    <w:rsid w:val="0067523C"/>
    <w:rsid w:val="00675E30"/>
    <w:rsid w:val="00677FA5"/>
    <w:rsid w:val="00681F75"/>
    <w:rsid w:val="00682060"/>
    <w:rsid w:val="00683366"/>
    <w:rsid w:val="00685773"/>
    <w:rsid w:val="00686846"/>
    <w:rsid w:val="0069116E"/>
    <w:rsid w:val="006911C3"/>
    <w:rsid w:val="00691517"/>
    <w:rsid w:val="0069156D"/>
    <w:rsid w:val="00691913"/>
    <w:rsid w:val="00691C62"/>
    <w:rsid w:val="00692DF2"/>
    <w:rsid w:val="0069380F"/>
    <w:rsid w:val="00693D55"/>
    <w:rsid w:val="00693DDC"/>
    <w:rsid w:val="00694A26"/>
    <w:rsid w:val="006958EE"/>
    <w:rsid w:val="00695E86"/>
    <w:rsid w:val="00695FC5"/>
    <w:rsid w:val="00696CCF"/>
    <w:rsid w:val="006970D7"/>
    <w:rsid w:val="00697D43"/>
    <w:rsid w:val="006A0A9F"/>
    <w:rsid w:val="006A0E47"/>
    <w:rsid w:val="006A138B"/>
    <w:rsid w:val="006A1A70"/>
    <w:rsid w:val="006A1E93"/>
    <w:rsid w:val="006A440D"/>
    <w:rsid w:val="006A6BE4"/>
    <w:rsid w:val="006A6D13"/>
    <w:rsid w:val="006A7C9F"/>
    <w:rsid w:val="006B037B"/>
    <w:rsid w:val="006B1168"/>
    <w:rsid w:val="006B140A"/>
    <w:rsid w:val="006B2EC5"/>
    <w:rsid w:val="006B3AB4"/>
    <w:rsid w:val="006B4C5B"/>
    <w:rsid w:val="006B5B91"/>
    <w:rsid w:val="006B5D64"/>
    <w:rsid w:val="006B6D89"/>
    <w:rsid w:val="006C0051"/>
    <w:rsid w:val="006C0281"/>
    <w:rsid w:val="006C02A6"/>
    <w:rsid w:val="006C1445"/>
    <w:rsid w:val="006C3E8A"/>
    <w:rsid w:val="006C42A7"/>
    <w:rsid w:val="006C4906"/>
    <w:rsid w:val="006C5600"/>
    <w:rsid w:val="006C5AB8"/>
    <w:rsid w:val="006C5C2B"/>
    <w:rsid w:val="006C61D8"/>
    <w:rsid w:val="006C6A16"/>
    <w:rsid w:val="006C7474"/>
    <w:rsid w:val="006C78A3"/>
    <w:rsid w:val="006D0473"/>
    <w:rsid w:val="006D05D9"/>
    <w:rsid w:val="006D2387"/>
    <w:rsid w:val="006D2E08"/>
    <w:rsid w:val="006D31DA"/>
    <w:rsid w:val="006D3271"/>
    <w:rsid w:val="006D3333"/>
    <w:rsid w:val="006D3537"/>
    <w:rsid w:val="006D41E3"/>
    <w:rsid w:val="006D4C58"/>
    <w:rsid w:val="006D4F64"/>
    <w:rsid w:val="006D60D0"/>
    <w:rsid w:val="006D65CC"/>
    <w:rsid w:val="006E1B52"/>
    <w:rsid w:val="006E31BD"/>
    <w:rsid w:val="006E4389"/>
    <w:rsid w:val="006E4A66"/>
    <w:rsid w:val="006E4D0D"/>
    <w:rsid w:val="006E4D15"/>
    <w:rsid w:val="006E598F"/>
    <w:rsid w:val="006E6243"/>
    <w:rsid w:val="006E7302"/>
    <w:rsid w:val="006E7530"/>
    <w:rsid w:val="006E7BC9"/>
    <w:rsid w:val="006F037B"/>
    <w:rsid w:val="006F0DC5"/>
    <w:rsid w:val="006F161E"/>
    <w:rsid w:val="006F1796"/>
    <w:rsid w:val="006F21CC"/>
    <w:rsid w:val="006F2208"/>
    <w:rsid w:val="006F276A"/>
    <w:rsid w:val="006F2AA3"/>
    <w:rsid w:val="006F2D45"/>
    <w:rsid w:val="006F3B91"/>
    <w:rsid w:val="006F3DA3"/>
    <w:rsid w:val="006F3E3F"/>
    <w:rsid w:val="0070053B"/>
    <w:rsid w:val="0070286D"/>
    <w:rsid w:val="00703A86"/>
    <w:rsid w:val="00703D05"/>
    <w:rsid w:val="00705565"/>
    <w:rsid w:val="00706364"/>
    <w:rsid w:val="00707313"/>
    <w:rsid w:val="00707D2A"/>
    <w:rsid w:val="00710200"/>
    <w:rsid w:val="00710608"/>
    <w:rsid w:val="00710AE7"/>
    <w:rsid w:val="00710AFF"/>
    <w:rsid w:val="007118D2"/>
    <w:rsid w:val="00712002"/>
    <w:rsid w:val="00712C73"/>
    <w:rsid w:val="00712C84"/>
    <w:rsid w:val="0071342E"/>
    <w:rsid w:val="007146CB"/>
    <w:rsid w:val="007169B6"/>
    <w:rsid w:val="007179D5"/>
    <w:rsid w:val="00717DED"/>
    <w:rsid w:val="007200C4"/>
    <w:rsid w:val="00720387"/>
    <w:rsid w:val="00722B79"/>
    <w:rsid w:val="00722E15"/>
    <w:rsid w:val="00723E1E"/>
    <w:rsid w:val="00724AAF"/>
    <w:rsid w:val="00724B2B"/>
    <w:rsid w:val="00725CC6"/>
    <w:rsid w:val="00727278"/>
    <w:rsid w:val="00727EC6"/>
    <w:rsid w:val="00730680"/>
    <w:rsid w:val="007319F2"/>
    <w:rsid w:val="007336CA"/>
    <w:rsid w:val="007360F1"/>
    <w:rsid w:val="00736353"/>
    <w:rsid w:val="007368F0"/>
    <w:rsid w:val="0074160E"/>
    <w:rsid w:val="0074416D"/>
    <w:rsid w:val="007447D4"/>
    <w:rsid w:val="00744A78"/>
    <w:rsid w:val="00744E98"/>
    <w:rsid w:val="00746332"/>
    <w:rsid w:val="00750012"/>
    <w:rsid w:val="0075064D"/>
    <w:rsid w:val="007509A6"/>
    <w:rsid w:val="00750B5A"/>
    <w:rsid w:val="007530E6"/>
    <w:rsid w:val="00753517"/>
    <w:rsid w:val="00753753"/>
    <w:rsid w:val="00753F5D"/>
    <w:rsid w:val="007541D0"/>
    <w:rsid w:val="007543ED"/>
    <w:rsid w:val="00754A69"/>
    <w:rsid w:val="00754AFB"/>
    <w:rsid w:val="00755EFD"/>
    <w:rsid w:val="00756007"/>
    <w:rsid w:val="00756DFD"/>
    <w:rsid w:val="00761AC0"/>
    <w:rsid w:val="00762BE4"/>
    <w:rsid w:val="00765184"/>
    <w:rsid w:val="007653CD"/>
    <w:rsid w:val="00766EE3"/>
    <w:rsid w:val="00771155"/>
    <w:rsid w:val="00772C70"/>
    <w:rsid w:val="007752DD"/>
    <w:rsid w:val="00776515"/>
    <w:rsid w:val="007768B1"/>
    <w:rsid w:val="00776B65"/>
    <w:rsid w:val="00777530"/>
    <w:rsid w:val="0077789B"/>
    <w:rsid w:val="007807B4"/>
    <w:rsid w:val="0078377B"/>
    <w:rsid w:val="00783F68"/>
    <w:rsid w:val="007847FA"/>
    <w:rsid w:val="00786D0E"/>
    <w:rsid w:val="0078731C"/>
    <w:rsid w:val="00790910"/>
    <w:rsid w:val="00791DE1"/>
    <w:rsid w:val="007920FD"/>
    <w:rsid w:val="007934C5"/>
    <w:rsid w:val="00793969"/>
    <w:rsid w:val="00793E63"/>
    <w:rsid w:val="007959A5"/>
    <w:rsid w:val="007A0619"/>
    <w:rsid w:val="007A1D5C"/>
    <w:rsid w:val="007A1F61"/>
    <w:rsid w:val="007A2B6E"/>
    <w:rsid w:val="007A2CF3"/>
    <w:rsid w:val="007A2E8F"/>
    <w:rsid w:val="007A3A8C"/>
    <w:rsid w:val="007A4664"/>
    <w:rsid w:val="007A4F1F"/>
    <w:rsid w:val="007A5F49"/>
    <w:rsid w:val="007A6351"/>
    <w:rsid w:val="007A7C5A"/>
    <w:rsid w:val="007A7EA0"/>
    <w:rsid w:val="007B09D2"/>
    <w:rsid w:val="007B0E0C"/>
    <w:rsid w:val="007B0ECE"/>
    <w:rsid w:val="007B1A5F"/>
    <w:rsid w:val="007B2CC9"/>
    <w:rsid w:val="007B37B7"/>
    <w:rsid w:val="007B64BD"/>
    <w:rsid w:val="007B7DB9"/>
    <w:rsid w:val="007C0300"/>
    <w:rsid w:val="007C0579"/>
    <w:rsid w:val="007C135B"/>
    <w:rsid w:val="007C17CE"/>
    <w:rsid w:val="007C26E5"/>
    <w:rsid w:val="007C2C3F"/>
    <w:rsid w:val="007C2D24"/>
    <w:rsid w:val="007C3B82"/>
    <w:rsid w:val="007C5C43"/>
    <w:rsid w:val="007C720A"/>
    <w:rsid w:val="007C7357"/>
    <w:rsid w:val="007D1092"/>
    <w:rsid w:val="007D2621"/>
    <w:rsid w:val="007D2F4C"/>
    <w:rsid w:val="007D3D67"/>
    <w:rsid w:val="007D50BC"/>
    <w:rsid w:val="007D7344"/>
    <w:rsid w:val="007D7D7E"/>
    <w:rsid w:val="007E0B6D"/>
    <w:rsid w:val="007E1CE0"/>
    <w:rsid w:val="007E270A"/>
    <w:rsid w:val="007E464C"/>
    <w:rsid w:val="007E515B"/>
    <w:rsid w:val="007F08CA"/>
    <w:rsid w:val="007F0950"/>
    <w:rsid w:val="007F1AED"/>
    <w:rsid w:val="007F270A"/>
    <w:rsid w:val="007F3753"/>
    <w:rsid w:val="007F3B6E"/>
    <w:rsid w:val="007F7A7B"/>
    <w:rsid w:val="0080043C"/>
    <w:rsid w:val="0080055C"/>
    <w:rsid w:val="00801464"/>
    <w:rsid w:val="008017CA"/>
    <w:rsid w:val="0080220C"/>
    <w:rsid w:val="00802A38"/>
    <w:rsid w:val="00803B89"/>
    <w:rsid w:val="008041B7"/>
    <w:rsid w:val="00804D11"/>
    <w:rsid w:val="0080529B"/>
    <w:rsid w:val="00806434"/>
    <w:rsid w:val="00806F24"/>
    <w:rsid w:val="0080760F"/>
    <w:rsid w:val="0081257A"/>
    <w:rsid w:val="00813288"/>
    <w:rsid w:val="00814298"/>
    <w:rsid w:val="0081595C"/>
    <w:rsid w:val="0082121D"/>
    <w:rsid w:val="008212C6"/>
    <w:rsid w:val="00821876"/>
    <w:rsid w:val="00821A29"/>
    <w:rsid w:val="00821DA4"/>
    <w:rsid w:val="00821FC5"/>
    <w:rsid w:val="00823233"/>
    <w:rsid w:val="008243AD"/>
    <w:rsid w:val="00824426"/>
    <w:rsid w:val="00825DFE"/>
    <w:rsid w:val="00826A02"/>
    <w:rsid w:val="00827680"/>
    <w:rsid w:val="008302BA"/>
    <w:rsid w:val="008309B6"/>
    <w:rsid w:val="00830E52"/>
    <w:rsid w:val="00831DB2"/>
    <w:rsid w:val="008324E3"/>
    <w:rsid w:val="00834326"/>
    <w:rsid w:val="008344F4"/>
    <w:rsid w:val="008361CC"/>
    <w:rsid w:val="00836E8D"/>
    <w:rsid w:val="00837265"/>
    <w:rsid w:val="008404D5"/>
    <w:rsid w:val="008409A7"/>
    <w:rsid w:val="00841E8E"/>
    <w:rsid w:val="00841F08"/>
    <w:rsid w:val="00843B29"/>
    <w:rsid w:val="00843C1E"/>
    <w:rsid w:val="00843EF0"/>
    <w:rsid w:val="00845946"/>
    <w:rsid w:val="00846AC2"/>
    <w:rsid w:val="00846DD8"/>
    <w:rsid w:val="008476A0"/>
    <w:rsid w:val="0085051C"/>
    <w:rsid w:val="00850695"/>
    <w:rsid w:val="00850E39"/>
    <w:rsid w:val="0085244B"/>
    <w:rsid w:val="00852BA8"/>
    <w:rsid w:val="00852F38"/>
    <w:rsid w:val="00853448"/>
    <w:rsid w:val="00853723"/>
    <w:rsid w:val="008537FF"/>
    <w:rsid w:val="0085501F"/>
    <w:rsid w:val="008551DC"/>
    <w:rsid w:val="00856770"/>
    <w:rsid w:val="00856C34"/>
    <w:rsid w:val="00856E4E"/>
    <w:rsid w:val="00857050"/>
    <w:rsid w:val="00857178"/>
    <w:rsid w:val="00857339"/>
    <w:rsid w:val="00857664"/>
    <w:rsid w:val="0086087D"/>
    <w:rsid w:val="008609F4"/>
    <w:rsid w:val="00862B58"/>
    <w:rsid w:val="0086351D"/>
    <w:rsid w:val="00864E59"/>
    <w:rsid w:val="00865690"/>
    <w:rsid w:val="0086580F"/>
    <w:rsid w:val="00865DC1"/>
    <w:rsid w:val="00866743"/>
    <w:rsid w:val="0087002E"/>
    <w:rsid w:val="008707E1"/>
    <w:rsid w:val="00871163"/>
    <w:rsid w:val="00871D42"/>
    <w:rsid w:val="008726B2"/>
    <w:rsid w:val="00872AA6"/>
    <w:rsid w:val="008750F9"/>
    <w:rsid w:val="00875341"/>
    <w:rsid w:val="0087536F"/>
    <w:rsid w:val="008755AF"/>
    <w:rsid w:val="00875AA7"/>
    <w:rsid w:val="00880A40"/>
    <w:rsid w:val="00880AB1"/>
    <w:rsid w:val="0088106E"/>
    <w:rsid w:val="00881489"/>
    <w:rsid w:val="00882E30"/>
    <w:rsid w:val="00882F29"/>
    <w:rsid w:val="00883962"/>
    <w:rsid w:val="00885F13"/>
    <w:rsid w:val="008869F4"/>
    <w:rsid w:val="00886B79"/>
    <w:rsid w:val="0089041C"/>
    <w:rsid w:val="00891F78"/>
    <w:rsid w:val="00892B79"/>
    <w:rsid w:val="00893EAC"/>
    <w:rsid w:val="00893EEF"/>
    <w:rsid w:val="00894852"/>
    <w:rsid w:val="0089498D"/>
    <w:rsid w:val="00894BE2"/>
    <w:rsid w:val="00896F72"/>
    <w:rsid w:val="008A1001"/>
    <w:rsid w:val="008A148E"/>
    <w:rsid w:val="008A2249"/>
    <w:rsid w:val="008A2611"/>
    <w:rsid w:val="008A4621"/>
    <w:rsid w:val="008A4880"/>
    <w:rsid w:val="008A52B1"/>
    <w:rsid w:val="008A5936"/>
    <w:rsid w:val="008A6EC4"/>
    <w:rsid w:val="008B041D"/>
    <w:rsid w:val="008B1BA2"/>
    <w:rsid w:val="008B3764"/>
    <w:rsid w:val="008B49F6"/>
    <w:rsid w:val="008B5B32"/>
    <w:rsid w:val="008B63CC"/>
    <w:rsid w:val="008B6952"/>
    <w:rsid w:val="008B713B"/>
    <w:rsid w:val="008B7181"/>
    <w:rsid w:val="008B7648"/>
    <w:rsid w:val="008C0585"/>
    <w:rsid w:val="008C0F52"/>
    <w:rsid w:val="008C260A"/>
    <w:rsid w:val="008C3439"/>
    <w:rsid w:val="008C416F"/>
    <w:rsid w:val="008C65D7"/>
    <w:rsid w:val="008C66DC"/>
    <w:rsid w:val="008C6CEB"/>
    <w:rsid w:val="008C72EA"/>
    <w:rsid w:val="008D0191"/>
    <w:rsid w:val="008D07D9"/>
    <w:rsid w:val="008D0C9D"/>
    <w:rsid w:val="008D1287"/>
    <w:rsid w:val="008D28F5"/>
    <w:rsid w:val="008D2F9E"/>
    <w:rsid w:val="008D3CA2"/>
    <w:rsid w:val="008D4151"/>
    <w:rsid w:val="008D4E18"/>
    <w:rsid w:val="008D5D8E"/>
    <w:rsid w:val="008D63DB"/>
    <w:rsid w:val="008D78FF"/>
    <w:rsid w:val="008E1929"/>
    <w:rsid w:val="008E1FF5"/>
    <w:rsid w:val="008E36A1"/>
    <w:rsid w:val="008E3831"/>
    <w:rsid w:val="008E3FCF"/>
    <w:rsid w:val="008E474C"/>
    <w:rsid w:val="008E4D6F"/>
    <w:rsid w:val="008E5F9C"/>
    <w:rsid w:val="008E7D20"/>
    <w:rsid w:val="008F2EF3"/>
    <w:rsid w:val="008F50B3"/>
    <w:rsid w:val="008F510A"/>
    <w:rsid w:val="008F5459"/>
    <w:rsid w:val="008F59F5"/>
    <w:rsid w:val="008F5D47"/>
    <w:rsid w:val="008F6A6B"/>
    <w:rsid w:val="00901B91"/>
    <w:rsid w:val="00902869"/>
    <w:rsid w:val="00906120"/>
    <w:rsid w:val="0090659F"/>
    <w:rsid w:val="00907A05"/>
    <w:rsid w:val="0091027F"/>
    <w:rsid w:val="00910869"/>
    <w:rsid w:val="00910FC2"/>
    <w:rsid w:val="00911233"/>
    <w:rsid w:val="009114A0"/>
    <w:rsid w:val="0091261D"/>
    <w:rsid w:val="00912D7F"/>
    <w:rsid w:val="00914DA7"/>
    <w:rsid w:val="00914FC9"/>
    <w:rsid w:val="00915B1A"/>
    <w:rsid w:val="00915F63"/>
    <w:rsid w:val="009177E9"/>
    <w:rsid w:val="00917AEE"/>
    <w:rsid w:val="00917E38"/>
    <w:rsid w:val="0092091E"/>
    <w:rsid w:val="0092098D"/>
    <w:rsid w:val="009224F4"/>
    <w:rsid w:val="009239B6"/>
    <w:rsid w:val="009248EC"/>
    <w:rsid w:val="0092716E"/>
    <w:rsid w:val="009308F4"/>
    <w:rsid w:val="00931C61"/>
    <w:rsid w:val="009323C1"/>
    <w:rsid w:val="00932FAC"/>
    <w:rsid w:val="009331CF"/>
    <w:rsid w:val="009334AC"/>
    <w:rsid w:val="0093366A"/>
    <w:rsid w:val="0093402D"/>
    <w:rsid w:val="009345E0"/>
    <w:rsid w:val="00934C7D"/>
    <w:rsid w:val="00935567"/>
    <w:rsid w:val="00941CE2"/>
    <w:rsid w:val="00942010"/>
    <w:rsid w:val="00942E6D"/>
    <w:rsid w:val="009430D7"/>
    <w:rsid w:val="0094320A"/>
    <w:rsid w:val="0094397D"/>
    <w:rsid w:val="009473C2"/>
    <w:rsid w:val="00947726"/>
    <w:rsid w:val="00947BD1"/>
    <w:rsid w:val="00947DE6"/>
    <w:rsid w:val="00947ECE"/>
    <w:rsid w:val="00947F6D"/>
    <w:rsid w:val="009501F3"/>
    <w:rsid w:val="00950958"/>
    <w:rsid w:val="00951459"/>
    <w:rsid w:val="00951599"/>
    <w:rsid w:val="0095170D"/>
    <w:rsid w:val="00951A36"/>
    <w:rsid w:val="0095307F"/>
    <w:rsid w:val="009535AD"/>
    <w:rsid w:val="0095421E"/>
    <w:rsid w:val="00955526"/>
    <w:rsid w:val="00955BE0"/>
    <w:rsid w:val="00957227"/>
    <w:rsid w:val="0095756D"/>
    <w:rsid w:val="00961D91"/>
    <w:rsid w:val="009642B8"/>
    <w:rsid w:val="00964CF8"/>
    <w:rsid w:val="00965697"/>
    <w:rsid w:val="009657D0"/>
    <w:rsid w:val="00965F25"/>
    <w:rsid w:val="00966C09"/>
    <w:rsid w:val="00967881"/>
    <w:rsid w:val="00967A85"/>
    <w:rsid w:val="009707A0"/>
    <w:rsid w:val="0097143D"/>
    <w:rsid w:val="0097164D"/>
    <w:rsid w:val="00972073"/>
    <w:rsid w:val="009720FF"/>
    <w:rsid w:val="00972116"/>
    <w:rsid w:val="00973702"/>
    <w:rsid w:val="0097415D"/>
    <w:rsid w:val="00975EAA"/>
    <w:rsid w:val="00976439"/>
    <w:rsid w:val="009765E6"/>
    <w:rsid w:val="00976CC1"/>
    <w:rsid w:val="009806AC"/>
    <w:rsid w:val="00981DA2"/>
    <w:rsid w:val="009821A8"/>
    <w:rsid w:val="009821CC"/>
    <w:rsid w:val="0098222B"/>
    <w:rsid w:val="0098375A"/>
    <w:rsid w:val="00983858"/>
    <w:rsid w:val="00983AF2"/>
    <w:rsid w:val="00984441"/>
    <w:rsid w:val="009844CF"/>
    <w:rsid w:val="009849B6"/>
    <w:rsid w:val="00984DD8"/>
    <w:rsid w:val="009857E5"/>
    <w:rsid w:val="00987267"/>
    <w:rsid w:val="0099066F"/>
    <w:rsid w:val="0099085F"/>
    <w:rsid w:val="00992030"/>
    <w:rsid w:val="00992143"/>
    <w:rsid w:val="009925DB"/>
    <w:rsid w:val="00993CC9"/>
    <w:rsid w:val="00993ECD"/>
    <w:rsid w:val="00994DB2"/>
    <w:rsid w:val="009958E5"/>
    <w:rsid w:val="00995A14"/>
    <w:rsid w:val="0099633E"/>
    <w:rsid w:val="0099716B"/>
    <w:rsid w:val="009A0CAA"/>
    <w:rsid w:val="009A0DAE"/>
    <w:rsid w:val="009A12C0"/>
    <w:rsid w:val="009A4A18"/>
    <w:rsid w:val="009A54FA"/>
    <w:rsid w:val="009A69A9"/>
    <w:rsid w:val="009A6F74"/>
    <w:rsid w:val="009A6FEE"/>
    <w:rsid w:val="009B1774"/>
    <w:rsid w:val="009B22F7"/>
    <w:rsid w:val="009B2EAD"/>
    <w:rsid w:val="009B3D9F"/>
    <w:rsid w:val="009B5089"/>
    <w:rsid w:val="009B5A01"/>
    <w:rsid w:val="009B6207"/>
    <w:rsid w:val="009C0FF5"/>
    <w:rsid w:val="009C6749"/>
    <w:rsid w:val="009C68C1"/>
    <w:rsid w:val="009C6EC8"/>
    <w:rsid w:val="009D09DA"/>
    <w:rsid w:val="009D1749"/>
    <w:rsid w:val="009D2AC1"/>
    <w:rsid w:val="009D2CD0"/>
    <w:rsid w:val="009D3628"/>
    <w:rsid w:val="009D4815"/>
    <w:rsid w:val="009D4C2A"/>
    <w:rsid w:val="009D537E"/>
    <w:rsid w:val="009D5404"/>
    <w:rsid w:val="009D60C8"/>
    <w:rsid w:val="009D65E3"/>
    <w:rsid w:val="009D6914"/>
    <w:rsid w:val="009D77E4"/>
    <w:rsid w:val="009E18A2"/>
    <w:rsid w:val="009E1C22"/>
    <w:rsid w:val="009E2481"/>
    <w:rsid w:val="009E35E1"/>
    <w:rsid w:val="009E384B"/>
    <w:rsid w:val="009E4B32"/>
    <w:rsid w:val="009E5EE7"/>
    <w:rsid w:val="009E7B83"/>
    <w:rsid w:val="009F06FF"/>
    <w:rsid w:val="009F0C5D"/>
    <w:rsid w:val="009F3631"/>
    <w:rsid w:val="009F3790"/>
    <w:rsid w:val="009F42D8"/>
    <w:rsid w:val="009F63A9"/>
    <w:rsid w:val="009F68C0"/>
    <w:rsid w:val="009F6BB1"/>
    <w:rsid w:val="009F7CEB"/>
    <w:rsid w:val="00A00F4B"/>
    <w:rsid w:val="00A01AC9"/>
    <w:rsid w:val="00A040FD"/>
    <w:rsid w:val="00A0426A"/>
    <w:rsid w:val="00A04B31"/>
    <w:rsid w:val="00A04C0D"/>
    <w:rsid w:val="00A04F8A"/>
    <w:rsid w:val="00A0508A"/>
    <w:rsid w:val="00A05439"/>
    <w:rsid w:val="00A05C27"/>
    <w:rsid w:val="00A060CA"/>
    <w:rsid w:val="00A07BBE"/>
    <w:rsid w:val="00A109FE"/>
    <w:rsid w:val="00A128F6"/>
    <w:rsid w:val="00A13763"/>
    <w:rsid w:val="00A147D9"/>
    <w:rsid w:val="00A178B5"/>
    <w:rsid w:val="00A20425"/>
    <w:rsid w:val="00A205EA"/>
    <w:rsid w:val="00A20B1A"/>
    <w:rsid w:val="00A22A39"/>
    <w:rsid w:val="00A23A97"/>
    <w:rsid w:val="00A27E12"/>
    <w:rsid w:val="00A305F5"/>
    <w:rsid w:val="00A319D1"/>
    <w:rsid w:val="00A31DF3"/>
    <w:rsid w:val="00A32C40"/>
    <w:rsid w:val="00A337D8"/>
    <w:rsid w:val="00A3409F"/>
    <w:rsid w:val="00A3590B"/>
    <w:rsid w:val="00A40249"/>
    <w:rsid w:val="00A419A1"/>
    <w:rsid w:val="00A41E5D"/>
    <w:rsid w:val="00A42D1A"/>
    <w:rsid w:val="00A42DE1"/>
    <w:rsid w:val="00A439D4"/>
    <w:rsid w:val="00A44422"/>
    <w:rsid w:val="00A45143"/>
    <w:rsid w:val="00A4652A"/>
    <w:rsid w:val="00A47848"/>
    <w:rsid w:val="00A47E8F"/>
    <w:rsid w:val="00A50D0B"/>
    <w:rsid w:val="00A5266D"/>
    <w:rsid w:val="00A52E78"/>
    <w:rsid w:val="00A52FC9"/>
    <w:rsid w:val="00A535FB"/>
    <w:rsid w:val="00A53ACA"/>
    <w:rsid w:val="00A55678"/>
    <w:rsid w:val="00A57836"/>
    <w:rsid w:val="00A57A17"/>
    <w:rsid w:val="00A61868"/>
    <w:rsid w:val="00A6374D"/>
    <w:rsid w:val="00A645DC"/>
    <w:rsid w:val="00A64AFA"/>
    <w:rsid w:val="00A66238"/>
    <w:rsid w:val="00A7013B"/>
    <w:rsid w:val="00A709A0"/>
    <w:rsid w:val="00A70ECC"/>
    <w:rsid w:val="00A70EF3"/>
    <w:rsid w:val="00A73FB8"/>
    <w:rsid w:val="00A740F4"/>
    <w:rsid w:val="00A74932"/>
    <w:rsid w:val="00A76737"/>
    <w:rsid w:val="00A7699A"/>
    <w:rsid w:val="00A80F6F"/>
    <w:rsid w:val="00A81C47"/>
    <w:rsid w:val="00A81F82"/>
    <w:rsid w:val="00A82FD4"/>
    <w:rsid w:val="00A83094"/>
    <w:rsid w:val="00A83250"/>
    <w:rsid w:val="00A83729"/>
    <w:rsid w:val="00A83FCD"/>
    <w:rsid w:val="00A841B0"/>
    <w:rsid w:val="00A8425D"/>
    <w:rsid w:val="00A8545F"/>
    <w:rsid w:val="00A85A2B"/>
    <w:rsid w:val="00A87C27"/>
    <w:rsid w:val="00A87DA5"/>
    <w:rsid w:val="00A90921"/>
    <w:rsid w:val="00A90B0C"/>
    <w:rsid w:val="00A9184C"/>
    <w:rsid w:val="00A92122"/>
    <w:rsid w:val="00A927D2"/>
    <w:rsid w:val="00A92AB7"/>
    <w:rsid w:val="00A93543"/>
    <w:rsid w:val="00A93C3B"/>
    <w:rsid w:val="00A9425E"/>
    <w:rsid w:val="00A94EFC"/>
    <w:rsid w:val="00A95EE2"/>
    <w:rsid w:val="00A9605F"/>
    <w:rsid w:val="00A966AA"/>
    <w:rsid w:val="00A966DA"/>
    <w:rsid w:val="00A96FCE"/>
    <w:rsid w:val="00A97BBE"/>
    <w:rsid w:val="00AA0856"/>
    <w:rsid w:val="00AA0BF9"/>
    <w:rsid w:val="00AA1681"/>
    <w:rsid w:val="00AA2FA1"/>
    <w:rsid w:val="00AA3C8A"/>
    <w:rsid w:val="00AA429F"/>
    <w:rsid w:val="00AA51C1"/>
    <w:rsid w:val="00AA56DC"/>
    <w:rsid w:val="00AA5ECC"/>
    <w:rsid w:val="00AA6156"/>
    <w:rsid w:val="00AA6335"/>
    <w:rsid w:val="00AA65CA"/>
    <w:rsid w:val="00AA6D11"/>
    <w:rsid w:val="00AA6D4C"/>
    <w:rsid w:val="00AA6F5F"/>
    <w:rsid w:val="00AA73AC"/>
    <w:rsid w:val="00AA7B77"/>
    <w:rsid w:val="00AB0B2C"/>
    <w:rsid w:val="00AB187A"/>
    <w:rsid w:val="00AB1A56"/>
    <w:rsid w:val="00AB1C8E"/>
    <w:rsid w:val="00AB1DDB"/>
    <w:rsid w:val="00AB2B7E"/>
    <w:rsid w:val="00AB2E78"/>
    <w:rsid w:val="00AB409C"/>
    <w:rsid w:val="00AB507C"/>
    <w:rsid w:val="00AB514A"/>
    <w:rsid w:val="00AB7E0C"/>
    <w:rsid w:val="00AC054C"/>
    <w:rsid w:val="00AC2946"/>
    <w:rsid w:val="00AC4229"/>
    <w:rsid w:val="00AC50E3"/>
    <w:rsid w:val="00AC57B5"/>
    <w:rsid w:val="00AC59CA"/>
    <w:rsid w:val="00AC6D8C"/>
    <w:rsid w:val="00AC6EE0"/>
    <w:rsid w:val="00AC7B0B"/>
    <w:rsid w:val="00AC7F2D"/>
    <w:rsid w:val="00AC7F85"/>
    <w:rsid w:val="00AD0CD5"/>
    <w:rsid w:val="00AD101A"/>
    <w:rsid w:val="00AD1CA9"/>
    <w:rsid w:val="00AD2720"/>
    <w:rsid w:val="00AD2E72"/>
    <w:rsid w:val="00AD313B"/>
    <w:rsid w:val="00AD416F"/>
    <w:rsid w:val="00AD51C9"/>
    <w:rsid w:val="00AD5526"/>
    <w:rsid w:val="00AD5B94"/>
    <w:rsid w:val="00AD64B0"/>
    <w:rsid w:val="00AD71DB"/>
    <w:rsid w:val="00AD7CEE"/>
    <w:rsid w:val="00AE086A"/>
    <w:rsid w:val="00AE100F"/>
    <w:rsid w:val="00AE146B"/>
    <w:rsid w:val="00AE17BB"/>
    <w:rsid w:val="00AE2A68"/>
    <w:rsid w:val="00AE3F9A"/>
    <w:rsid w:val="00AE5A0D"/>
    <w:rsid w:val="00AF0C31"/>
    <w:rsid w:val="00AF0DF9"/>
    <w:rsid w:val="00AF2DEC"/>
    <w:rsid w:val="00AF43B6"/>
    <w:rsid w:val="00AF4BE4"/>
    <w:rsid w:val="00AF4C5C"/>
    <w:rsid w:val="00AF4E4B"/>
    <w:rsid w:val="00AF648E"/>
    <w:rsid w:val="00AF67D4"/>
    <w:rsid w:val="00AF722C"/>
    <w:rsid w:val="00B01753"/>
    <w:rsid w:val="00B01F2B"/>
    <w:rsid w:val="00B02B1B"/>
    <w:rsid w:val="00B02F43"/>
    <w:rsid w:val="00B04B87"/>
    <w:rsid w:val="00B05A6C"/>
    <w:rsid w:val="00B05E6E"/>
    <w:rsid w:val="00B06003"/>
    <w:rsid w:val="00B06A9E"/>
    <w:rsid w:val="00B06E49"/>
    <w:rsid w:val="00B0790C"/>
    <w:rsid w:val="00B102B7"/>
    <w:rsid w:val="00B1049E"/>
    <w:rsid w:val="00B10838"/>
    <w:rsid w:val="00B11EA0"/>
    <w:rsid w:val="00B12CAE"/>
    <w:rsid w:val="00B12F2A"/>
    <w:rsid w:val="00B150D8"/>
    <w:rsid w:val="00B173E9"/>
    <w:rsid w:val="00B17FDB"/>
    <w:rsid w:val="00B2018C"/>
    <w:rsid w:val="00B21AF7"/>
    <w:rsid w:val="00B21BB1"/>
    <w:rsid w:val="00B249A4"/>
    <w:rsid w:val="00B25C24"/>
    <w:rsid w:val="00B25D68"/>
    <w:rsid w:val="00B264D6"/>
    <w:rsid w:val="00B27123"/>
    <w:rsid w:val="00B2777B"/>
    <w:rsid w:val="00B277A4"/>
    <w:rsid w:val="00B30B07"/>
    <w:rsid w:val="00B314FC"/>
    <w:rsid w:val="00B317D6"/>
    <w:rsid w:val="00B31FBD"/>
    <w:rsid w:val="00B3288A"/>
    <w:rsid w:val="00B33160"/>
    <w:rsid w:val="00B33CFB"/>
    <w:rsid w:val="00B33EF7"/>
    <w:rsid w:val="00B3416A"/>
    <w:rsid w:val="00B35DE8"/>
    <w:rsid w:val="00B37079"/>
    <w:rsid w:val="00B4305B"/>
    <w:rsid w:val="00B436BA"/>
    <w:rsid w:val="00B4540D"/>
    <w:rsid w:val="00B45D22"/>
    <w:rsid w:val="00B465E6"/>
    <w:rsid w:val="00B50CEA"/>
    <w:rsid w:val="00B50F36"/>
    <w:rsid w:val="00B5650F"/>
    <w:rsid w:val="00B56685"/>
    <w:rsid w:val="00B56B36"/>
    <w:rsid w:val="00B614AD"/>
    <w:rsid w:val="00B61F3E"/>
    <w:rsid w:val="00B61FEE"/>
    <w:rsid w:val="00B62477"/>
    <w:rsid w:val="00B63F16"/>
    <w:rsid w:val="00B65460"/>
    <w:rsid w:val="00B65F0E"/>
    <w:rsid w:val="00B6616C"/>
    <w:rsid w:val="00B66A20"/>
    <w:rsid w:val="00B66C37"/>
    <w:rsid w:val="00B67119"/>
    <w:rsid w:val="00B67AD8"/>
    <w:rsid w:val="00B70C5A"/>
    <w:rsid w:val="00B70E5D"/>
    <w:rsid w:val="00B71675"/>
    <w:rsid w:val="00B71B62"/>
    <w:rsid w:val="00B726AF"/>
    <w:rsid w:val="00B73678"/>
    <w:rsid w:val="00B73993"/>
    <w:rsid w:val="00B73D93"/>
    <w:rsid w:val="00B73E1C"/>
    <w:rsid w:val="00B740C2"/>
    <w:rsid w:val="00B75BC0"/>
    <w:rsid w:val="00B7796D"/>
    <w:rsid w:val="00B801E2"/>
    <w:rsid w:val="00B80B83"/>
    <w:rsid w:val="00B81F74"/>
    <w:rsid w:val="00B83422"/>
    <w:rsid w:val="00B83CB1"/>
    <w:rsid w:val="00B83E3A"/>
    <w:rsid w:val="00B84933"/>
    <w:rsid w:val="00B863A0"/>
    <w:rsid w:val="00B86879"/>
    <w:rsid w:val="00B87581"/>
    <w:rsid w:val="00B90A08"/>
    <w:rsid w:val="00B9160A"/>
    <w:rsid w:val="00B9269D"/>
    <w:rsid w:val="00B92EF1"/>
    <w:rsid w:val="00B939C3"/>
    <w:rsid w:val="00B94F5B"/>
    <w:rsid w:val="00B95A57"/>
    <w:rsid w:val="00BA01AB"/>
    <w:rsid w:val="00BA0508"/>
    <w:rsid w:val="00BA13BC"/>
    <w:rsid w:val="00BA18E0"/>
    <w:rsid w:val="00BA2B56"/>
    <w:rsid w:val="00BA3306"/>
    <w:rsid w:val="00BA333E"/>
    <w:rsid w:val="00BA3A37"/>
    <w:rsid w:val="00BA3C3A"/>
    <w:rsid w:val="00BA73DB"/>
    <w:rsid w:val="00BA73EE"/>
    <w:rsid w:val="00BA767E"/>
    <w:rsid w:val="00BA77EA"/>
    <w:rsid w:val="00BB0233"/>
    <w:rsid w:val="00BB0952"/>
    <w:rsid w:val="00BB5A0E"/>
    <w:rsid w:val="00BB5C4E"/>
    <w:rsid w:val="00BB62A8"/>
    <w:rsid w:val="00BB6A2D"/>
    <w:rsid w:val="00BB7A57"/>
    <w:rsid w:val="00BC0770"/>
    <w:rsid w:val="00BC0DED"/>
    <w:rsid w:val="00BC18E7"/>
    <w:rsid w:val="00BC2836"/>
    <w:rsid w:val="00BC2A4C"/>
    <w:rsid w:val="00BC32CD"/>
    <w:rsid w:val="00BC55D5"/>
    <w:rsid w:val="00BC5708"/>
    <w:rsid w:val="00BC6D6A"/>
    <w:rsid w:val="00BC7549"/>
    <w:rsid w:val="00BC7AF9"/>
    <w:rsid w:val="00BD03EC"/>
    <w:rsid w:val="00BD0C5A"/>
    <w:rsid w:val="00BD1226"/>
    <w:rsid w:val="00BD1D0D"/>
    <w:rsid w:val="00BD32F9"/>
    <w:rsid w:val="00BD4142"/>
    <w:rsid w:val="00BD5151"/>
    <w:rsid w:val="00BD7374"/>
    <w:rsid w:val="00BD74F4"/>
    <w:rsid w:val="00BD7E61"/>
    <w:rsid w:val="00BE138E"/>
    <w:rsid w:val="00BE1CFF"/>
    <w:rsid w:val="00BE26C6"/>
    <w:rsid w:val="00BE346C"/>
    <w:rsid w:val="00BE3CAA"/>
    <w:rsid w:val="00BE3E5F"/>
    <w:rsid w:val="00BE5004"/>
    <w:rsid w:val="00BE583A"/>
    <w:rsid w:val="00BE58CF"/>
    <w:rsid w:val="00BE59DD"/>
    <w:rsid w:val="00BE5F7B"/>
    <w:rsid w:val="00BE68D0"/>
    <w:rsid w:val="00BF0DEA"/>
    <w:rsid w:val="00BF1B76"/>
    <w:rsid w:val="00BF1D6A"/>
    <w:rsid w:val="00BF3C76"/>
    <w:rsid w:val="00BF40CF"/>
    <w:rsid w:val="00BF45A7"/>
    <w:rsid w:val="00BF79CC"/>
    <w:rsid w:val="00C0017D"/>
    <w:rsid w:val="00C006B5"/>
    <w:rsid w:val="00C01303"/>
    <w:rsid w:val="00C02C2B"/>
    <w:rsid w:val="00C02C61"/>
    <w:rsid w:val="00C037C4"/>
    <w:rsid w:val="00C05B8B"/>
    <w:rsid w:val="00C07417"/>
    <w:rsid w:val="00C07BBA"/>
    <w:rsid w:val="00C103BB"/>
    <w:rsid w:val="00C10BFC"/>
    <w:rsid w:val="00C10D16"/>
    <w:rsid w:val="00C10D7B"/>
    <w:rsid w:val="00C11318"/>
    <w:rsid w:val="00C12329"/>
    <w:rsid w:val="00C13888"/>
    <w:rsid w:val="00C138EE"/>
    <w:rsid w:val="00C143D5"/>
    <w:rsid w:val="00C15031"/>
    <w:rsid w:val="00C162D9"/>
    <w:rsid w:val="00C20369"/>
    <w:rsid w:val="00C21FE9"/>
    <w:rsid w:val="00C23CAA"/>
    <w:rsid w:val="00C23FEA"/>
    <w:rsid w:val="00C2451B"/>
    <w:rsid w:val="00C25325"/>
    <w:rsid w:val="00C26267"/>
    <w:rsid w:val="00C2698B"/>
    <w:rsid w:val="00C30AFB"/>
    <w:rsid w:val="00C30EC0"/>
    <w:rsid w:val="00C317F3"/>
    <w:rsid w:val="00C320D5"/>
    <w:rsid w:val="00C335FF"/>
    <w:rsid w:val="00C33A1E"/>
    <w:rsid w:val="00C35342"/>
    <w:rsid w:val="00C357F2"/>
    <w:rsid w:val="00C361D5"/>
    <w:rsid w:val="00C36A1C"/>
    <w:rsid w:val="00C37FB2"/>
    <w:rsid w:val="00C405D1"/>
    <w:rsid w:val="00C41812"/>
    <w:rsid w:val="00C41A14"/>
    <w:rsid w:val="00C4220B"/>
    <w:rsid w:val="00C43CC8"/>
    <w:rsid w:val="00C4439C"/>
    <w:rsid w:val="00C44C37"/>
    <w:rsid w:val="00C453B8"/>
    <w:rsid w:val="00C46AE5"/>
    <w:rsid w:val="00C46C0D"/>
    <w:rsid w:val="00C47654"/>
    <w:rsid w:val="00C478A0"/>
    <w:rsid w:val="00C5202A"/>
    <w:rsid w:val="00C534AD"/>
    <w:rsid w:val="00C5631B"/>
    <w:rsid w:val="00C5632F"/>
    <w:rsid w:val="00C564AD"/>
    <w:rsid w:val="00C57E4D"/>
    <w:rsid w:val="00C61CB1"/>
    <w:rsid w:val="00C61D89"/>
    <w:rsid w:val="00C62324"/>
    <w:rsid w:val="00C6249A"/>
    <w:rsid w:val="00C626E2"/>
    <w:rsid w:val="00C628C8"/>
    <w:rsid w:val="00C62C83"/>
    <w:rsid w:val="00C63A42"/>
    <w:rsid w:val="00C64D6B"/>
    <w:rsid w:val="00C65CFA"/>
    <w:rsid w:val="00C66800"/>
    <w:rsid w:val="00C66864"/>
    <w:rsid w:val="00C67CDB"/>
    <w:rsid w:val="00C67EAD"/>
    <w:rsid w:val="00C71B4E"/>
    <w:rsid w:val="00C72899"/>
    <w:rsid w:val="00C7519E"/>
    <w:rsid w:val="00C7544A"/>
    <w:rsid w:val="00C7547A"/>
    <w:rsid w:val="00C77DE4"/>
    <w:rsid w:val="00C77E39"/>
    <w:rsid w:val="00C803E7"/>
    <w:rsid w:val="00C80B07"/>
    <w:rsid w:val="00C81A12"/>
    <w:rsid w:val="00C82FEF"/>
    <w:rsid w:val="00C844AC"/>
    <w:rsid w:val="00C846BE"/>
    <w:rsid w:val="00C84EDE"/>
    <w:rsid w:val="00C850DD"/>
    <w:rsid w:val="00C87C2F"/>
    <w:rsid w:val="00C90DE1"/>
    <w:rsid w:val="00C90E5F"/>
    <w:rsid w:val="00C936CD"/>
    <w:rsid w:val="00C93933"/>
    <w:rsid w:val="00C93B0F"/>
    <w:rsid w:val="00C93FF9"/>
    <w:rsid w:val="00C94C5D"/>
    <w:rsid w:val="00C95151"/>
    <w:rsid w:val="00C953D6"/>
    <w:rsid w:val="00C963DE"/>
    <w:rsid w:val="00CA0776"/>
    <w:rsid w:val="00CA0AB7"/>
    <w:rsid w:val="00CA0C26"/>
    <w:rsid w:val="00CA1DE6"/>
    <w:rsid w:val="00CA20AF"/>
    <w:rsid w:val="00CA2B78"/>
    <w:rsid w:val="00CA3DD4"/>
    <w:rsid w:val="00CA7085"/>
    <w:rsid w:val="00CB07A8"/>
    <w:rsid w:val="00CB098D"/>
    <w:rsid w:val="00CB1644"/>
    <w:rsid w:val="00CB1D55"/>
    <w:rsid w:val="00CB31B5"/>
    <w:rsid w:val="00CB5389"/>
    <w:rsid w:val="00CB5BBC"/>
    <w:rsid w:val="00CB786C"/>
    <w:rsid w:val="00CC017F"/>
    <w:rsid w:val="00CC03FF"/>
    <w:rsid w:val="00CC087E"/>
    <w:rsid w:val="00CC10E1"/>
    <w:rsid w:val="00CC19F9"/>
    <w:rsid w:val="00CC1ACF"/>
    <w:rsid w:val="00CC1E1D"/>
    <w:rsid w:val="00CC3501"/>
    <w:rsid w:val="00CC3DB0"/>
    <w:rsid w:val="00CC40E7"/>
    <w:rsid w:val="00CC50B5"/>
    <w:rsid w:val="00CC597B"/>
    <w:rsid w:val="00CC614C"/>
    <w:rsid w:val="00CC7311"/>
    <w:rsid w:val="00CC7325"/>
    <w:rsid w:val="00CC77A9"/>
    <w:rsid w:val="00CC7DC1"/>
    <w:rsid w:val="00CC7E74"/>
    <w:rsid w:val="00CD0663"/>
    <w:rsid w:val="00CD0F75"/>
    <w:rsid w:val="00CD12E3"/>
    <w:rsid w:val="00CD1CCC"/>
    <w:rsid w:val="00CD6327"/>
    <w:rsid w:val="00CE0890"/>
    <w:rsid w:val="00CE0D04"/>
    <w:rsid w:val="00CE0DD7"/>
    <w:rsid w:val="00CE16CB"/>
    <w:rsid w:val="00CE2222"/>
    <w:rsid w:val="00CE2B78"/>
    <w:rsid w:val="00CE6CB9"/>
    <w:rsid w:val="00CE7030"/>
    <w:rsid w:val="00CE74A3"/>
    <w:rsid w:val="00CE75AE"/>
    <w:rsid w:val="00CF0228"/>
    <w:rsid w:val="00CF0773"/>
    <w:rsid w:val="00CF083F"/>
    <w:rsid w:val="00CF1984"/>
    <w:rsid w:val="00CF1D6C"/>
    <w:rsid w:val="00CF2D9E"/>
    <w:rsid w:val="00CF3115"/>
    <w:rsid w:val="00CF3DFE"/>
    <w:rsid w:val="00CF4381"/>
    <w:rsid w:val="00CF74BD"/>
    <w:rsid w:val="00CF7F5B"/>
    <w:rsid w:val="00D01479"/>
    <w:rsid w:val="00D0323D"/>
    <w:rsid w:val="00D034DD"/>
    <w:rsid w:val="00D035AA"/>
    <w:rsid w:val="00D04952"/>
    <w:rsid w:val="00D04AC3"/>
    <w:rsid w:val="00D06A16"/>
    <w:rsid w:val="00D1078F"/>
    <w:rsid w:val="00D10A12"/>
    <w:rsid w:val="00D10E60"/>
    <w:rsid w:val="00D12214"/>
    <w:rsid w:val="00D12CD2"/>
    <w:rsid w:val="00D13FE0"/>
    <w:rsid w:val="00D146F7"/>
    <w:rsid w:val="00D14D23"/>
    <w:rsid w:val="00D15025"/>
    <w:rsid w:val="00D15D8B"/>
    <w:rsid w:val="00D16A2F"/>
    <w:rsid w:val="00D16CD8"/>
    <w:rsid w:val="00D17984"/>
    <w:rsid w:val="00D2140E"/>
    <w:rsid w:val="00D21418"/>
    <w:rsid w:val="00D21AE3"/>
    <w:rsid w:val="00D21E32"/>
    <w:rsid w:val="00D21E96"/>
    <w:rsid w:val="00D22075"/>
    <w:rsid w:val="00D22AB1"/>
    <w:rsid w:val="00D22D1E"/>
    <w:rsid w:val="00D234E3"/>
    <w:rsid w:val="00D24C1E"/>
    <w:rsid w:val="00D24DAD"/>
    <w:rsid w:val="00D25916"/>
    <w:rsid w:val="00D26581"/>
    <w:rsid w:val="00D2670A"/>
    <w:rsid w:val="00D27444"/>
    <w:rsid w:val="00D27FF7"/>
    <w:rsid w:val="00D30A07"/>
    <w:rsid w:val="00D30F2C"/>
    <w:rsid w:val="00D320B0"/>
    <w:rsid w:val="00D329E6"/>
    <w:rsid w:val="00D35CAF"/>
    <w:rsid w:val="00D37972"/>
    <w:rsid w:val="00D40896"/>
    <w:rsid w:val="00D41534"/>
    <w:rsid w:val="00D4197F"/>
    <w:rsid w:val="00D42BFD"/>
    <w:rsid w:val="00D42CD5"/>
    <w:rsid w:val="00D439A7"/>
    <w:rsid w:val="00D43E0C"/>
    <w:rsid w:val="00D4423C"/>
    <w:rsid w:val="00D451FC"/>
    <w:rsid w:val="00D452AA"/>
    <w:rsid w:val="00D4545C"/>
    <w:rsid w:val="00D466AB"/>
    <w:rsid w:val="00D46874"/>
    <w:rsid w:val="00D46DCD"/>
    <w:rsid w:val="00D472FD"/>
    <w:rsid w:val="00D50DD8"/>
    <w:rsid w:val="00D5132B"/>
    <w:rsid w:val="00D520C1"/>
    <w:rsid w:val="00D521B8"/>
    <w:rsid w:val="00D548CA"/>
    <w:rsid w:val="00D5566A"/>
    <w:rsid w:val="00D57DA7"/>
    <w:rsid w:val="00D607ED"/>
    <w:rsid w:val="00D61305"/>
    <w:rsid w:val="00D61B76"/>
    <w:rsid w:val="00D63C48"/>
    <w:rsid w:val="00D64289"/>
    <w:rsid w:val="00D64C54"/>
    <w:rsid w:val="00D65098"/>
    <w:rsid w:val="00D653C2"/>
    <w:rsid w:val="00D656A4"/>
    <w:rsid w:val="00D65B2E"/>
    <w:rsid w:val="00D665E4"/>
    <w:rsid w:val="00D6667B"/>
    <w:rsid w:val="00D711E0"/>
    <w:rsid w:val="00D71400"/>
    <w:rsid w:val="00D7397F"/>
    <w:rsid w:val="00D73EB4"/>
    <w:rsid w:val="00D7410D"/>
    <w:rsid w:val="00D75EC6"/>
    <w:rsid w:val="00D76840"/>
    <w:rsid w:val="00D77EFF"/>
    <w:rsid w:val="00D80116"/>
    <w:rsid w:val="00D80ACB"/>
    <w:rsid w:val="00D8284C"/>
    <w:rsid w:val="00D82E65"/>
    <w:rsid w:val="00D85769"/>
    <w:rsid w:val="00D86EE5"/>
    <w:rsid w:val="00D90119"/>
    <w:rsid w:val="00D90565"/>
    <w:rsid w:val="00D90AFF"/>
    <w:rsid w:val="00D9374C"/>
    <w:rsid w:val="00D95394"/>
    <w:rsid w:val="00D95F98"/>
    <w:rsid w:val="00D970E7"/>
    <w:rsid w:val="00DA032B"/>
    <w:rsid w:val="00DA0456"/>
    <w:rsid w:val="00DA13D7"/>
    <w:rsid w:val="00DA1883"/>
    <w:rsid w:val="00DA1DBF"/>
    <w:rsid w:val="00DA3F2D"/>
    <w:rsid w:val="00DA51BD"/>
    <w:rsid w:val="00DA54D5"/>
    <w:rsid w:val="00DA55BB"/>
    <w:rsid w:val="00DA73EE"/>
    <w:rsid w:val="00DB0151"/>
    <w:rsid w:val="00DB14DD"/>
    <w:rsid w:val="00DB2C4F"/>
    <w:rsid w:val="00DB4D28"/>
    <w:rsid w:val="00DB5BDD"/>
    <w:rsid w:val="00DB7304"/>
    <w:rsid w:val="00DB75DD"/>
    <w:rsid w:val="00DC15F5"/>
    <w:rsid w:val="00DC1743"/>
    <w:rsid w:val="00DC2605"/>
    <w:rsid w:val="00DC4CC9"/>
    <w:rsid w:val="00DC56F9"/>
    <w:rsid w:val="00DC6CE5"/>
    <w:rsid w:val="00DC71B6"/>
    <w:rsid w:val="00DC7746"/>
    <w:rsid w:val="00DD0A0B"/>
    <w:rsid w:val="00DD1B1C"/>
    <w:rsid w:val="00DD1CE9"/>
    <w:rsid w:val="00DD2129"/>
    <w:rsid w:val="00DD2C49"/>
    <w:rsid w:val="00DD3049"/>
    <w:rsid w:val="00DD4F21"/>
    <w:rsid w:val="00DD4F2A"/>
    <w:rsid w:val="00DD62F0"/>
    <w:rsid w:val="00DE06C2"/>
    <w:rsid w:val="00DE0E7B"/>
    <w:rsid w:val="00DE1424"/>
    <w:rsid w:val="00DE1AEE"/>
    <w:rsid w:val="00DE28BE"/>
    <w:rsid w:val="00DE30E2"/>
    <w:rsid w:val="00DE3278"/>
    <w:rsid w:val="00DE3A9A"/>
    <w:rsid w:val="00DE576E"/>
    <w:rsid w:val="00DE6421"/>
    <w:rsid w:val="00DF16C0"/>
    <w:rsid w:val="00DF1F8C"/>
    <w:rsid w:val="00DF2C5F"/>
    <w:rsid w:val="00DF323D"/>
    <w:rsid w:val="00DF48C8"/>
    <w:rsid w:val="00DF4ADA"/>
    <w:rsid w:val="00DF548B"/>
    <w:rsid w:val="00DF7BB1"/>
    <w:rsid w:val="00DF7FE8"/>
    <w:rsid w:val="00E00864"/>
    <w:rsid w:val="00E00B58"/>
    <w:rsid w:val="00E010DD"/>
    <w:rsid w:val="00E024F1"/>
    <w:rsid w:val="00E03CA2"/>
    <w:rsid w:val="00E03CA7"/>
    <w:rsid w:val="00E051B1"/>
    <w:rsid w:val="00E05384"/>
    <w:rsid w:val="00E05B21"/>
    <w:rsid w:val="00E05FBC"/>
    <w:rsid w:val="00E06C90"/>
    <w:rsid w:val="00E079C9"/>
    <w:rsid w:val="00E07EB2"/>
    <w:rsid w:val="00E10B7D"/>
    <w:rsid w:val="00E126C5"/>
    <w:rsid w:val="00E17DA4"/>
    <w:rsid w:val="00E17E4D"/>
    <w:rsid w:val="00E2029C"/>
    <w:rsid w:val="00E21B44"/>
    <w:rsid w:val="00E21C64"/>
    <w:rsid w:val="00E22564"/>
    <w:rsid w:val="00E227EA"/>
    <w:rsid w:val="00E23371"/>
    <w:rsid w:val="00E23660"/>
    <w:rsid w:val="00E24BFC"/>
    <w:rsid w:val="00E24EC4"/>
    <w:rsid w:val="00E24F2D"/>
    <w:rsid w:val="00E25376"/>
    <w:rsid w:val="00E2761D"/>
    <w:rsid w:val="00E276CB"/>
    <w:rsid w:val="00E31A1E"/>
    <w:rsid w:val="00E331C8"/>
    <w:rsid w:val="00E33D2B"/>
    <w:rsid w:val="00E34484"/>
    <w:rsid w:val="00E35749"/>
    <w:rsid w:val="00E35A83"/>
    <w:rsid w:val="00E361A2"/>
    <w:rsid w:val="00E3621E"/>
    <w:rsid w:val="00E36D7C"/>
    <w:rsid w:val="00E37308"/>
    <w:rsid w:val="00E37424"/>
    <w:rsid w:val="00E41B30"/>
    <w:rsid w:val="00E445A6"/>
    <w:rsid w:val="00E45010"/>
    <w:rsid w:val="00E45180"/>
    <w:rsid w:val="00E45305"/>
    <w:rsid w:val="00E45B64"/>
    <w:rsid w:val="00E46AC9"/>
    <w:rsid w:val="00E46BB7"/>
    <w:rsid w:val="00E50314"/>
    <w:rsid w:val="00E5071C"/>
    <w:rsid w:val="00E525CD"/>
    <w:rsid w:val="00E52A73"/>
    <w:rsid w:val="00E52FD2"/>
    <w:rsid w:val="00E53DB6"/>
    <w:rsid w:val="00E541B8"/>
    <w:rsid w:val="00E54FB3"/>
    <w:rsid w:val="00E55904"/>
    <w:rsid w:val="00E55E72"/>
    <w:rsid w:val="00E56492"/>
    <w:rsid w:val="00E56ED0"/>
    <w:rsid w:val="00E60DA4"/>
    <w:rsid w:val="00E62243"/>
    <w:rsid w:val="00E62744"/>
    <w:rsid w:val="00E64610"/>
    <w:rsid w:val="00E64754"/>
    <w:rsid w:val="00E65668"/>
    <w:rsid w:val="00E66614"/>
    <w:rsid w:val="00E668E8"/>
    <w:rsid w:val="00E672B4"/>
    <w:rsid w:val="00E67CBD"/>
    <w:rsid w:val="00E70D91"/>
    <w:rsid w:val="00E70F71"/>
    <w:rsid w:val="00E70FDF"/>
    <w:rsid w:val="00E7163F"/>
    <w:rsid w:val="00E72C7D"/>
    <w:rsid w:val="00E7368A"/>
    <w:rsid w:val="00E7546F"/>
    <w:rsid w:val="00E80B7A"/>
    <w:rsid w:val="00E81CD3"/>
    <w:rsid w:val="00E82094"/>
    <w:rsid w:val="00E8269B"/>
    <w:rsid w:val="00E828E9"/>
    <w:rsid w:val="00E82982"/>
    <w:rsid w:val="00E82EDC"/>
    <w:rsid w:val="00E83B68"/>
    <w:rsid w:val="00E8409D"/>
    <w:rsid w:val="00E84E10"/>
    <w:rsid w:val="00E855E4"/>
    <w:rsid w:val="00E902B5"/>
    <w:rsid w:val="00E90851"/>
    <w:rsid w:val="00E918E0"/>
    <w:rsid w:val="00E91F04"/>
    <w:rsid w:val="00E930FA"/>
    <w:rsid w:val="00E95040"/>
    <w:rsid w:val="00E952D1"/>
    <w:rsid w:val="00E979D9"/>
    <w:rsid w:val="00EA1751"/>
    <w:rsid w:val="00EA1B29"/>
    <w:rsid w:val="00EA2C45"/>
    <w:rsid w:val="00EA3FCE"/>
    <w:rsid w:val="00EA40DE"/>
    <w:rsid w:val="00EA5958"/>
    <w:rsid w:val="00EA5FC9"/>
    <w:rsid w:val="00EA66E6"/>
    <w:rsid w:val="00EA76AA"/>
    <w:rsid w:val="00EB2967"/>
    <w:rsid w:val="00EB31C5"/>
    <w:rsid w:val="00EB3970"/>
    <w:rsid w:val="00EB414C"/>
    <w:rsid w:val="00EB426B"/>
    <w:rsid w:val="00EB4973"/>
    <w:rsid w:val="00EB4E19"/>
    <w:rsid w:val="00EB5155"/>
    <w:rsid w:val="00EB5E6D"/>
    <w:rsid w:val="00EB60D0"/>
    <w:rsid w:val="00EB6DCB"/>
    <w:rsid w:val="00EB7C08"/>
    <w:rsid w:val="00EC09EB"/>
    <w:rsid w:val="00EC0C01"/>
    <w:rsid w:val="00EC484A"/>
    <w:rsid w:val="00EC6F4D"/>
    <w:rsid w:val="00EC7D9C"/>
    <w:rsid w:val="00ED30FD"/>
    <w:rsid w:val="00ED52C4"/>
    <w:rsid w:val="00ED6B54"/>
    <w:rsid w:val="00EE1282"/>
    <w:rsid w:val="00EE1939"/>
    <w:rsid w:val="00EE1DD2"/>
    <w:rsid w:val="00EE203C"/>
    <w:rsid w:val="00EE2E06"/>
    <w:rsid w:val="00EE46F0"/>
    <w:rsid w:val="00EE4A2B"/>
    <w:rsid w:val="00EE5839"/>
    <w:rsid w:val="00EE5E19"/>
    <w:rsid w:val="00EE6A70"/>
    <w:rsid w:val="00EE6E7C"/>
    <w:rsid w:val="00EE6E88"/>
    <w:rsid w:val="00EE78E3"/>
    <w:rsid w:val="00EF3278"/>
    <w:rsid w:val="00EF3D34"/>
    <w:rsid w:val="00EF456E"/>
    <w:rsid w:val="00EF5B07"/>
    <w:rsid w:val="00EF5FEF"/>
    <w:rsid w:val="00EF647D"/>
    <w:rsid w:val="00EF6672"/>
    <w:rsid w:val="00EF751D"/>
    <w:rsid w:val="00EF7F1F"/>
    <w:rsid w:val="00F00A5D"/>
    <w:rsid w:val="00F018A1"/>
    <w:rsid w:val="00F01AC1"/>
    <w:rsid w:val="00F01C74"/>
    <w:rsid w:val="00F01E48"/>
    <w:rsid w:val="00F034A2"/>
    <w:rsid w:val="00F0399A"/>
    <w:rsid w:val="00F045A7"/>
    <w:rsid w:val="00F049EC"/>
    <w:rsid w:val="00F04C9F"/>
    <w:rsid w:val="00F06BB2"/>
    <w:rsid w:val="00F06D56"/>
    <w:rsid w:val="00F074FC"/>
    <w:rsid w:val="00F108CC"/>
    <w:rsid w:val="00F10E0D"/>
    <w:rsid w:val="00F12C1E"/>
    <w:rsid w:val="00F1344D"/>
    <w:rsid w:val="00F13ACF"/>
    <w:rsid w:val="00F14188"/>
    <w:rsid w:val="00F1529A"/>
    <w:rsid w:val="00F16152"/>
    <w:rsid w:val="00F210CA"/>
    <w:rsid w:val="00F22310"/>
    <w:rsid w:val="00F225A6"/>
    <w:rsid w:val="00F25305"/>
    <w:rsid w:val="00F2547E"/>
    <w:rsid w:val="00F2591F"/>
    <w:rsid w:val="00F26428"/>
    <w:rsid w:val="00F26B4B"/>
    <w:rsid w:val="00F2706C"/>
    <w:rsid w:val="00F27304"/>
    <w:rsid w:val="00F274B1"/>
    <w:rsid w:val="00F305F4"/>
    <w:rsid w:val="00F3083C"/>
    <w:rsid w:val="00F3094A"/>
    <w:rsid w:val="00F3118A"/>
    <w:rsid w:val="00F3198B"/>
    <w:rsid w:val="00F31EE5"/>
    <w:rsid w:val="00F32CC0"/>
    <w:rsid w:val="00F35788"/>
    <w:rsid w:val="00F4163C"/>
    <w:rsid w:val="00F4267D"/>
    <w:rsid w:val="00F4305C"/>
    <w:rsid w:val="00F43CAA"/>
    <w:rsid w:val="00F4447B"/>
    <w:rsid w:val="00F449AE"/>
    <w:rsid w:val="00F44F75"/>
    <w:rsid w:val="00F45DB5"/>
    <w:rsid w:val="00F46344"/>
    <w:rsid w:val="00F46801"/>
    <w:rsid w:val="00F46906"/>
    <w:rsid w:val="00F509A8"/>
    <w:rsid w:val="00F51E67"/>
    <w:rsid w:val="00F52296"/>
    <w:rsid w:val="00F52D68"/>
    <w:rsid w:val="00F53352"/>
    <w:rsid w:val="00F53520"/>
    <w:rsid w:val="00F54190"/>
    <w:rsid w:val="00F55A5F"/>
    <w:rsid w:val="00F55E0D"/>
    <w:rsid w:val="00F56314"/>
    <w:rsid w:val="00F568CE"/>
    <w:rsid w:val="00F56ADB"/>
    <w:rsid w:val="00F56BE2"/>
    <w:rsid w:val="00F60493"/>
    <w:rsid w:val="00F61B83"/>
    <w:rsid w:val="00F61FDF"/>
    <w:rsid w:val="00F6245D"/>
    <w:rsid w:val="00F643A2"/>
    <w:rsid w:val="00F6587D"/>
    <w:rsid w:val="00F66FC8"/>
    <w:rsid w:val="00F706D4"/>
    <w:rsid w:val="00F70890"/>
    <w:rsid w:val="00F70C9C"/>
    <w:rsid w:val="00F710F9"/>
    <w:rsid w:val="00F713C7"/>
    <w:rsid w:val="00F7148D"/>
    <w:rsid w:val="00F72B42"/>
    <w:rsid w:val="00F733F3"/>
    <w:rsid w:val="00F73A39"/>
    <w:rsid w:val="00F758F8"/>
    <w:rsid w:val="00F75D3A"/>
    <w:rsid w:val="00F767C2"/>
    <w:rsid w:val="00F77503"/>
    <w:rsid w:val="00F80139"/>
    <w:rsid w:val="00F8074D"/>
    <w:rsid w:val="00F823AE"/>
    <w:rsid w:val="00F8311D"/>
    <w:rsid w:val="00F8393B"/>
    <w:rsid w:val="00F83B7B"/>
    <w:rsid w:val="00F84379"/>
    <w:rsid w:val="00F87963"/>
    <w:rsid w:val="00F87C31"/>
    <w:rsid w:val="00F90BA6"/>
    <w:rsid w:val="00F914B2"/>
    <w:rsid w:val="00F9212E"/>
    <w:rsid w:val="00F92808"/>
    <w:rsid w:val="00F935C9"/>
    <w:rsid w:val="00F93F34"/>
    <w:rsid w:val="00F95055"/>
    <w:rsid w:val="00F9565E"/>
    <w:rsid w:val="00FA0329"/>
    <w:rsid w:val="00FA1153"/>
    <w:rsid w:val="00FA209B"/>
    <w:rsid w:val="00FB08A7"/>
    <w:rsid w:val="00FB0993"/>
    <w:rsid w:val="00FB0D87"/>
    <w:rsid w:val="00FB10EC"/>
    <w:rsid w:val="00FB18B3"/>
    <w:rsid w:val="00FB1C03"/>
    <w:rsid w:val="00FB209A"/>
    <w:rsid w:val="00FB2414"/>
    <w:rsid w:val="00FB2D79"/>
    <w:rsid w:val="00FB5040"/>
    <w:rsid w:val="00FB57DB"/>
    <w:rsid w:val="00FB6B74"/>
    <w:rsid w:val="00FB6E62"/>
    <w:rsid w:val="00FC06E3"/>
    <w:rsid w:val="00FC18B0"/>
    <w:rsid w:val="00FC22AB"/>
    <w:rsid w:val="00FC22BF"/>
    <w:rsid w:val="00FC481B"/>
    <w:rsid w:val="00FC581E"/>
    <w:rsid w:val="00FC5883"/>
    <w:rsid w:val="00FC594B"/>
    <w:rsid w:val="00FC6015"/>
    <w:rsid w:val="00FC6D26"/>
    <w:rsid w:val="00FC7D24"/>
    <w:rsid w:val="00FD0CFA"/>
    <w:rsid w:val="00FD0DA5"/>
    <w:rsid w:val="00FD2F3D"/>
    <w:rsid w:val="00FD2FFC"/>
    <w:rsid w:val="00FD3A75"/>
    <w:rsid w:val="00FD40E4"/>
    <w:rsid w:val="00FD62E5"/>
    <w:rsid w:val="00FD7841"/>
    <w:rsid w:val="00FD7B32"/>
    <w:rsid w:val="00FE0435"/>
    <w:rsid w:val="00FE23F4"/>
    <w:rsid w:val="00FE2431"/>
    <w:rsid w:val="00FE327E"/>
    <w:rsid w:val="00FE4C58"/>
    <w:rsid w:val="00FE52B7"/>
    <w:rsid w:val="00FE6746"/>
    <w:rsid w:val="00FE67FF"/>
    <w:rsid w:val="00FE690B"/>
    <w:rsid w:val="00FE7611"/>
    <w:rsid w:val="00FE799C"/>
    <w:rsid w:val="00FE7B21"/>
    <w:rsid w:val="00FF0287"/>
    <w:rsid w:val="00FF0BEC"/>
    <w:rsid w:val="00FF1740"/>
    <w:rsid w:val="00FF1836"/>
    <w:rsid w:val="00FF1C57"/>
    <w:rsid w:val="00FF1D34"/>
    <w:rsid w:val="00FF2550"/>
    <w:rsid w:val="00FF38C1"/>
    <w:rsid w:val="00FF41F1"/>
    <w:rsid w:val="00FF49F6"/>
    <w:rsid w:val="00FF610D"/>
    <w:rsid w:val="00FF643F"/>
    <w:rsid w:val="00FF6C1C"/>
    <w:rsid w:val="00FF71C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uiPriority="59"/>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D16"/>
    <w:pPr>
      <w:spacing w:before="120" w:line="240" w:lineRule="auto"/>
    </w:pPr>
    <w:rPr>
      <w:sz w:val="24"/>
    </w:rPr>
  </w:style>
  <w:style w:type="paragraph" w:styleId="Heading1">
    <w:name w:val="heading 1"/>
    <w:basedOn w:val="Normal"/>
    <w:next w:val="Normal"/>
    <w:link w:val="Heading1Char"/>
    <w:uiPriority w:val="1"/>
    <w:qFormat/>
    <w:rsid w:val="00D24DAD"/>
    <w:pPr>
      <w:keepNext/>
      <w:keepLines/>
      <w:numPr>
        <w:numId w:val="6"/>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4DAD"/>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ES Paragraph,PBAC ES Paragraph"/>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1"/>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aliases w:val="Page 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aliases w:val="Page 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ES Paragraph Char,PBAC ES Paragraph Char"/>
    <w:basedOn w:val="DefaultParagraphFont"/>
    <w:link w:val="ListParagraph"/>
    <w:uiPriority w:val="72"/>
    <w:locked/>
    <w:rsid w:val="0095170D"/>
    <w:rPr>
      <w:sz w:val="24"/>
    </w:rPr>
  </w:style>
  <w:style w:type="numbering" w:customStyle="1" w:styleId="Headings">
    <w:name w:val="Headings"/>
    <w:uiPriority w:val="99"/>
    <w:rsid w:val="00C317F3"/>
    <w:pPr>
      <w:numPr>
        <w:numId w:val="3"/>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4"/>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947F6D"/>
    <w:rPr>
      <w:b/>
      <w:bCs/>
    </w:rPr>
  </w:style>
  <w:style w:type="table" w:customStyle="1" w:styleId="Summarybox1">
    <w:name w:val="Summary box1"/>
    <w:basedOn w:val="TableNormal"/>
    <w:next w:val="TableGrid"/>
    <w:uiPriority w:val="59"/>
    <w:rsid w:val="00BA0508"/>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7354"/>
    <w:rPr>
      <w:color w:val="808080"/>
    </w:rPr>
  </w:style>
  <w:style w:type="paragraph" w:customStyle="1" w:styleId="HiddenText">
    <w:name w:val="Hidden Text"/>
    <w:basedOn w:val="Normal"/>
    <w:link w:val="HiddenTextChar"/>
    <w:rsid w:val="00EC09EB"/>
    <w:pPr>
      <w:pBdr>
        <w:top w:val="single" w:sz="4" w:space="1" w:color="0000FF" w:shadow="1"/>
        <w:left w:val="single" w:sz="4" w:space="4" w:color="0000FF" w:shadow="1"/>
        <w:bottom w:val="single" w:sz="4" w:space="1" w:color="0000FF" w:shadow="1"/>
        <w:right w:val="single" w:sz="4" w:space="4" w:color="0000FF" w:shadow="1"/>
      </w:pBdr>
      <w:spacing w:before="0" w:after="80" w:line="276" w:lineRule="auto"/>
    </w:pPr>
    <w:rPr>
      <w:rFonts w:ascii="Arial" w:eastAsia="Times New Roman" w:hAnsi="Arial" w:cs="Times New Roman"/>
      <w:vanish/>
      <w:color w:val="0000FF"/>
      <w:sz w:val="22"/>
      <w:lang w:eastAsia="en-AU"/>
    </w:rPr>
  </w:style>
  <w:style w:type="character" w:customStyle="1" w:styleId="HiddenTextChar">
    <w:name w:val="Hidden Text Char"/>
    <w:link w:val="HiddenText"/>
    <w:rsid w:val="00EC09EB"/>
    <w:rPr>
      <w:rFonts w:ascii="Arial" w:eastAsia="Times New Roman" w:hAnsi="Arial" w:cs="Times New Roman"/>
      <w:vanish/>
      <w:color w:val="0000FF"/>
      <w:lang w:eastAsia="en-AU"/>
    </w:rPr>
  </w:style>
  <w:style w:type="paragraph" w:customStyle="1" w:styleId="BulletedText">
    <w:name w:val="Bulleted Text"/>
    <w:basedOn w:val="Normal"/>
    <w:rsid w:val="00FD40E4"/>
    <w:pPr>
      <w:numPr>
        <w:numId w:val="7"/>
      </w:numPr>
      <w:spacing w:before="0" w:after="120" w:line="276" w:lineRule="auto"/>
      <w:jc w:val="both"/>
    </w:pPr>
    <w:rPr>
      <w:rFonts w:ascii="Arial" w:eastAsia="Times New Roman" w:hAnsi="Arial" w:cs="Times New Roman"/>
      <w:sz w:val="22"/>
      <w:lang w:eastAsia="en-AU"/>
    </w:rPr>
  </w:style>
  <w:style w:type="character" w:customStyle="1" w:styleId="TableTextChar">
    <w:name w:val="Table Text Char"/>
    <w:link w:val="TableText"/>
    <w:rsid w:val="0098222B"/>
    <w:rPr>
      <w:rFonts w:ascii="Arial Narrow" w:hAnsi="Arial Narrow"/>
      <w:sz w:val="20"/>
    </w:rPr>
  </w:style>
  <w:style w:type="paragraph" w:customStyle="1" w:styleId="MainBodyText">
    <w:name w:val="Main Body Text"/>
    <w:basedOn w:val="Normal"/>
    <w:link w:val="MainBodyTextChar"/>
    <w:rsid w:val="00A81C47"/>
    <w:pPr>
      <w:spacing w:before="0" w:after="240" w:line="276" w:lineRule="auto"/>
      <w:jc w:val="both"/>
    </w:pPr>
    <w:rPr>
      <w:rFonts w:ascii="Arial" w:eastAsia="Times New Roman" w:hAnsi="Arial" w:cs="Times New Roman"/>
      <w:sz w:val="22"/>
      <w:lang w:eastAsia="en-AU"/>
    </w:rPr>
  </w:style>
  <w:style w:type="character" w:customStyle="1" w:styleId="MainBodyTextChar">
    <w:name w:val="Main Body Text Char"/>
    <w:link w:val="MainBodyText"/>
    <w:rsid w:val="00A81C47"/>
    <w:rPr>
      <w:rFonts w:ascii="Arial" w:eastAsia="Times New Roman" w:hAnsi="Arial" w:cs="Times New Roman"/>
      <w:lang w:eastAsia="en-AU"/>
    </w:rPr>
  </w:style>
  <w:style w:type="table" w:customStyle="1" w:styleId="TableGridbeth1">
    <w:name w:val="Table Gridbeth1"/>
    <w:basedOn w:val="TableNormal"/>
    <w:next w:val="TableGrid"/>
    <w:uiPriority w:val="59"/>
    <w:rsid w:val="001373E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lainTable211">
    <w:name w:val="Plain Table 211"/>
    <w:basedOn w:val="TableNormal"/>
    <w:uiPriority w:val="42"/>
    <w:rsid w:val="001373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ummarybox11">
    <w:name w:val="Summary box11"/>
    <w:basedOn w:val="TableNormal"/>
    <w:next w:val="TableGrid"/>
    <w:uiPriority w:val="59"/>
    <w:rsid w:val="001373EB"/>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C953D6"/>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C953D6"/>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C953D6"/>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0756E"/>
  </w:style>
  <w:style w:type="table" w:customStyle="1" w:styleId="TableGridbeth2">
    <w:name w:val="Table Gridbeth2"/>
    <w:basedOn w:val="TableNormal"/>
    <w:next w:val="TableGrid"/>
    <w:uiPriority w:val="59"/>
    <w:rsid w:val="0060756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1">
    <w:name w:val="Table Grid Light11"/>
    <w:basedOn w:val="TableNormal"/>
    <w:uiPriority w:val="40"/>
    <w:rsid w:val="006075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2">
    <w:name w:val="Plain Table 212"/>
    <w:basedOn w:val="TableNormal"/>
    <w:uiPriority w:val="42"/>
    <w:rsid w:val="006075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ummarybox12">
    <w:name w:val="Summary box12"/>
    <w:basedOn w:val="TableNormal"/>
    <w:next w:val="TableGrid"/>
    <w:uiPriority w:val="59"/>
    <w:rsid w:val="0060756E"/>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60756E"/>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1">
    <w:name w:val="Summary box31"/>
    <w:basedOn w:val="TableNormal"/>
    <w:next w:val="TableGrid"/>
    <w:uiPriority w:val="59"/>
    <w:rsid w:val="0060756E"/>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1">
    <w:name w:val="Summary box41"/>
    <w:basedOn w:val="TableNormal"/>
    <w:next w:val="TableGrid"/>
    <w:uiPriority w:val="59"/>
    <w:rsid w:val="0060756E"/>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1">
    <w:name w:val="Summary box51"/>
    <w:basedOn w:val="TableNormal"/>
    <w:next w:val="TableGrid"/>
    <w:uiPriority w:val="59"/>
    <w:rsid w:val="0060756E"/>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1">
    <w:name w:val="Table Gridbeth11"/>
    <w:basedOn w:val="TableNormal"/>
    <w:next w:val="TableGrid"/>
    <w:uiPriority w:val="59"/>
    <w:rsid w:val="0060756E"/>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0756E"/>
    <w:pPr>
      <w:numPr>
        <w:numId w:val="8"/>
      </w:numPr>
      <w:contextualSpacing/>
    </w:pPr>
  </w:style>
  <w:style w:type="paragraph" w:styleId="DocumentMap">
    <w:name w:val="Document Map"/>
    <w:basedOn w:val="Normal"/>
    <w:link w:val="DocumentMapChar"/>
    <w:uiPriority w:val="99"/>
    <w:semiHidden/>
    <w:unhideWhenUsed/>
    <w:rsid w:val="0060756E"/>
    <w:pPr>
      <w:spacing w:before="0"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60756E"/>
    <w:rPr>
      <w:rFonts w:ascii="Lucida Grande" w:hAnsi="Lucida Grande" w:cs="Lucida Grande"/>
      <w:sz w:val="24"/>
      <w:szCs w:val="24"/>
    </w:rPr>
  </w:style>
  <w:style w:type="paragraph" w:customStyle="1" w:styleId="TableNumber">
    <w:name w:val="Table Number"/>
    <w:basedOn w:val="TableText"/>
    <w:rsid w:val="0060756E"/>
    <w:pPr>
      <w:keepNext w:val="0"/>
      <w:numPr>
        <w:numId w:val="9"/>
      </w:numPr>
      <w:tabs>
        <w:tab w:val="center" w:pos="4153"/>
        <w:tab w:val="right" w:pos="9015"/>
      </w:tabs>
      <w:spacing w:before="60" w:after="60"/>
      <w:contextualSpacing/>
    </w:pPr>
    <w:rPr>
      <w:rFonts w:ascii="Arial" w:eastAsia="Times New Roman" w:hAnsi="Arial" w:cs="Times New Roman"/>
      <w:sz w:val="18"/>
      <w:szCs w:val="16"/>
      <w:lang w:eastAsia="en-AU"/>
    </w:rPr>
  </w:style>
  <w:style w:type="numbering" w:customStyle="1" w:styleId="NoList2">
    <w:name w:val="No List2"/>
    <w:next w:val="NoList"/>
    <w:uiPriority w:val="99"/>
    <w:semiHidden/>
    <w:unhideWhenUsed/>
    <w:rsid w:val="00030B99"/>
  </w:style>
  <w:style w:type="table" w:customStyle="1" w:styleId="TableGridbeth3">
    <w:name w:val="Table Gridbeth3"/>
    <w:basedOn w:val="TableNormal"/>
    <w:next w:val="TableGrid"/>
    <w:uiPriority w:val="59"/>
    <w:rsid w:val="00030B9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2">
    <w:name w:val="Table Grid Light12"/>
    <w:basedOn w:val="TableNormal"/>
    <w:uiPriority w:val="40"/>
    <w:rsid w:val="00030B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3">
    <w:name w:val="Plain Table 213"/>
    <w:basedOn w:val="TableNormal"/>
    <w:uiPriority w:val="42"/>
    <w:rsid w:val="00030B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ummarybox13">
    <w:name w:val="Summary box13"/>
    <w:basedOn w:val="TableNormal"/>
    <w:next w:val="TableGrid"/>
    <w:uiPriority w:val="59"/>
    <w:rsid w:val="00030B99"/>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30B99"/>
    <w:pPr>
      <w:spacing w:after="0" w:line="240" w:lineRule="auto"/>
    </w:pPr>
    <w:rPr>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F56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
    <w:name w:val="ES Heading 2"/>
    <w:basedOn w:val="Heading2"/>
    <w:link w:val="ESHeading2Char"/>
    <w:uiPriority w:val="2"/>
    <w:qFormat/>
    <w:rsid w:val="00AF4E4B"/>
    <w:pPr>
      <w:spacing w:before="360"/>
      <w:outlineLvl w:val="0"/>
    </w:pPr>
    <w:rPr>
      <w:rFonts w:asciiTheme="majorHAnsi" w:hAnsiTheme="majorHAnsi"/>
      <w:snapToGrid w:val="0"/>
    </w:rPr>
  </w:style>
  <w:style w:type="character" w:customStyle="1" w:styleId="ESHeading2Char">
    <w:name w:val="ES Heading 2 Char"/>
    <w:basedOn w:val="Heading2Char"/>
    <w:link w:val="ESHeading2"/>
    <w:uiPriority w:val="2"/>
    <w:rsid w:val="00AF4E4B"/>
    <w:rPr>
      <w:rFonts w:asciiTheme="majorHAnsi" w:eastAsiaTheme="majorEastAsia" w:hAnsiTheme="majorHAnsi" w:cstheme="majorBidi"/>
      <w:b/>
      <w:i/>
      <w:snapToGrid w:val="0"/>
      <w:sz w:val="28"/>
      <w:szCs w:val="28"/>
    </w:rPr>
  </w:style>
  <w:style w:type="paragraph" w:customStyle="1" w:styleId="ESHeading1">
    <w:name w:val="ES Heading 1"/>
    <w:basedOn w:val="Heading1"/>
    <w:next w:val="Heading1"/>
    <w:uiPriority w:val="2"/>
    <w:qFormat/>
    <w:rsid w:val="003B3B80"/>
    <w:pPr>
      <w:numPr>
        <w:numId w:val="0"/>
      </w:numPr>
      <w:spacing w:before="240"/>
      <w:ind w:left="720" w:hanging="720"/>
    </w:pPr>
    <w:rPr>
      <w:rFonts w:eastAsia="Times New Roman" w:cs="Arial"/>
      <w:snapToGrid w:val="0"/>
      <w:szCs w:val="32"/>
    </w:rPr>
  </w:style>
  <w:style w:type="paragraph" w:customStyle="1" w:styleId="ESHeadingCAPS">
    <w:name w:val="ES Heading CAPS"/>
    <w:basedOn w:val="ESHeading2"/>
    <w:uiPriority w:val="2"/>
    <w:qFormat/>
    <w:rsid w:val="003B3B80"/>
    <w:pPr>
      <w:ind w:left="720" w:hanging="720"/>
      <w:outlineLvl w:val="1"/>
    </w:pPr>
    <w:rPr>
      <w:i w:val="0"/>
      <w:smallCaps/>
      <w:sz w:val="32"/>
    </w:rPr>
  </w:style>
  <w:style w:type="paragraph" w:customStyle="1" w:styleId="ESHeading3">
    <w:name w:val="ES Heading 3"/>
    <w:basedOn w:val="ESHeading2"/>
    <w:uiPriority w:val="2"/>
    <w:qFormat/>
    <w:rsid w:val="003B3B80"/>
    <w:pPr>
      <w:ind w:left="1080" w:hanging="1080"/>
      <w:outlineLvl w:val="1"/>
    </w:pPr>
    <w:rPr>
      <w:i w:val="0"/>
      <w:sz w:val="24"/>
    </w:rPr>
  </w:style>
  <w:style w:type="paragraph" w:customStyle="1" w:styleId="MSACHeading1">
    <w:name w:val="MSAC Heading 1"/>
    <w:basedOn w:val="Heading1"/>
    <w:next w:val="Normal"/>
    <w:link w:val="MSACHeading1Char"/>
    <w:qFormat/>
    <w:rsid w:val="00492B40"/>
    <w:pPr>
      <w:numPr>
        <w:numId w:val="19"/>
      </w:numPr>
      <w:spacing w:before="160" w:after="240" w:line="259" w:lineRule="auto"/>
      <w:outlineLvl w:val="1"/>
    </w:pPr>
    <w:rPr>
      <w:rFonts w:ascii="Arial" w:hAnsi="Arial"/>
      <w:sz w:val="24"/>
      <w:lang w:bidi="en-US"/>
    </w:rPr>
  </w:style>
  <w:style w:type="paragraph" w:customStyle="1" w:styleId="MSACESHeading2">
    <w:name w:val="MSAC ES Heading 2"/>
    <w:basedOn w:val="Heading2"/>
    <w:next w:val="Normal"/>
    <w:link w:val="MSACESHeading2Char"/>
    <w:qFormat/>
    <w:rsid w:val="003B3B80"/>
    <w:pPr>
      <w:spacing w:before="360"/>
    </w:pPr>
    <w:rPr>
      <w:rFonts w:ascii="Cambria" w:hAnsi="Cambria"/>
      <w:i w:val="0"/>
      <w:snapToGrid w:val="0"/>
      <w:sz w:val="24"/>
    </w:rPr>
  </w:style>
  <w:style w:type="paragraph" w:customStyle="1" w:styleId="MSACSubtitle">
    <w:name w:val="MSAC Subtitle"/>
    <w:basedOn w:val="Normal"/>
    <w:next w:val="Normal"/>
    <w:link w:val="MSACSubtitleChar"/>
    <w:qFormat/>
    <w:rsid w:val="003B3B80"/>
    <w:pPr>
      <w:spacing w:before="0" w:after="240"/>
      <w:jc w:val="center"/>
    </w:pPr>
    <w:rPr>
      <w:rFonts w:ascii="Arial" w:hAnsi="Arial"/>
      <w:b/>
      <w:i/>
      <w:color w:val="000080"/>
      <w:sz w:val="28"/>
    </w:rPr>
  </w:style>
  <w:style w:type="character" w:customStyle="1" w:styleId="MSACSubtitleChar">
    <w:name w:val="MSAC Subtitle Char"/>
    <w:basedOn w:val="DefaultParagraphFont"/>
    <w:link w:val="MSACSubtitle"/>
    <w:rsid w:val="003B3B80"/>
    <w:rPr>
      <w:rFonts w:ascii="Arial" w:hAnsi="Arial"/>
      <w:b/>
      <w:i/>
      <w:color w:val="000080"/>
      <w:sz w:val="28"/>
    </w:rPr>
  </w:style>
  <w:style w:type="character" w:customStyle="1" w:styleId="MSACHeading1Char">
    <w:name w:val="MSAC Heading 1 Char"/>
    <w:basedOn w:val="DefaultParagraphFont"/>
    <w:link w:val="MSACHeading1"/>
    <w:rsid w:val="00492B40"/>
    <w:rPr>
      <w:rFonts w:ascii="Arial" w:eastAsiaTheme="majorEastAsia" w:hAnsi="Arial" w:cstheme="majorBidi"/>
      <w:b/>
      <w:sz w:val="24"/>
      <w:szCs w:val="28"/>
      <w:lang w:bidi="en-US"/>
    </w:rPr>
  </w:style>
  <w:style w:type="character" w:customStyle="1" w:styleId="MSACESHeading2Char">
    <w:name w:val="MSAC ES Heading 2 Char"/>
    <w:basedOn w:val="DefaultParagraphFont"/>
    <w:link w:val="MSACESHeading2"/>
    <w:rsid w:val="003B3B80"/>
    <w:rPr>
      <w:rFonts w:ascii="Cambria" w:eastAsiaTheme="majorEastAsia" w:hAnsi="Cambria" w:cstheme="majorBidi"/>
      <w:b/>
      <w:snapToGrid w:val="0"/>
      <w:sz w:val="24"/>
      <w:szCs w:val="28"/>
    </w:rPr>
  </w:style>
  <w:style w:type="paragraph" w:customStyle="1" w:styleId="MSACESParagraph">
    <w:name w:val="MSAC ES Paragraph"/>
    <w:link w:val="MSACESParagraphChar"/>
    <w:qFormat/>
    <w:rsid w:val="00165E81"/>
    <w:pPr>
      <w:spacing w:after="240" w:line="240" w:lineRule="auto"/>
    </w:pPr>
    <w:rPr>
      <w:rFonts w:ascii="Times New Roman" w:hAnsi="Times New Roman"/>
      <w:sz w:val="24"/>
    </w:rPr>
  </w:style>
  <w:style w:type="character" w:customStyle="1" w:styleId="MSACESParagraphChar">
    <w:name w:val="MSAC ES Paragraph Char"/>
    <w:basedOn w:val="DefaultParagraphFont"/>
    <w:link w:val="MSACESParagraph"/>
    <w:rsid w:val="00165E81"/>
    <w:rPr>
      <w:rFonts w:ascii="Times New Roman" w:hAnsi="Times New Roman"/>
      <w:sz w:val="24"/>
    </w:rPr>
  </w:style>
  <w:style w:type="paragraph" w:customStyle="1" w:styleId="AttachmentHeading">
    <w:name w:val="Attachment Heading"/>
    <w:basedOn w:val="Heading1"/>
    <w:next w:val="Normal"/>
    <w:uiPriority w:val="3"/>
    <w:qFormat/>
    <w:rsid w:val="00C37FB2"/>
    <w:pPr>
      <w:numPr>
        <w:numId w:val="0"/>
      </w:numPr>
      <w:spacing w:line="259" w:lineRule="auto"/>
    </w:pPr>
  </w:style>
  <w:style w:type="paragraph" w:customStyle="1" w:styleId="TableNumbered">
    <w:name w:val="Table Numbered"/>
    <w:basedOn w:val="Normal"/>
    <w:qFormat/>
    <w:rsid w:val="00610B60"/>
    <w:pPr>
      <w:numPr>
        <w:numId w:val="31"/>
      </w:numPr>
      <w:spacing w:before="40" w:after="40"/>
      <w:ind w:left="357" w:hanging="357"/>
    </w:pPr>
    <w:rPr>
      <w:rFonts w:eastAsiaTheme="minorEastAsia" w:cstheme="minorHAnsi"/>
      <w:sz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uiPriority="59"/>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D16"/>
    <w:pPr>
      <w:spacing w:before="120" w:line="240" w:lineRule="auto"/>
    </w:pPr>
    <w:rPr>
      <w:sz w:val="24"/>
    </w:rPr>
  </w:style>
  <w:style w:type="paragraph" w:styleId="Heading1">
    <w:name w:val="heading 1"/>
    <w:basedOn w:val="Normal"/>
    <w:next w:val="Normal"/>
    <w:link w:val="Heading1Char"/>
    <w:uiPriority w:val="1"/>
    <w:qFormat/>
    <w:rsid w:val="00D24DAD"/>
    <w:pPr>
      <w:keepNext/>
      <w:keepLines/>
      <w:numPr>
        <w:numId w:val="6"/>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4DAD"/>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ES Paragraph,PBAC ES Paragraph"/>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1"/>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aliases w:val="Page 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aliases w:val="Page 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ES Paragraph Char,PBAC ES Paragraph Char"/>
    <w:basedOn w:val="DefaultParagraphFont"/>
    <w:link w:val="ListParagraph"/>
    <w:uiPriority w:val="72"/>
    <w:locked/>
    <w:rsid w:val="0095170D"/>
    <w:rPr>
      <w:sz w:val="24"/>
    </w:rPr>
  </w:style>
  <w:style w:type="numbering" w:customStyle="1" w:styleId="Headings">
    <w:name w:val="Headings"/>
    <w:uiPriority w:val="99"/>
    <w:rsid w:val="00C317F3"/>
    <w:pPr>
      <w:numPr>
        <w:numId w:val="3"/>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4"/>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947F6D"/>
    <w:rPr>
      <w:b/>
      <w:bCs/>
    </w:rPr>
  </w:style>
  <w:style w:type="table" w:customStyle="1" w:styleId="Summarybox1">
    <w:name w:val="Summary box1"/>
    <w:basedOn w:val="TableNormal"/>
    <w:next w:val="TableGrid"/>
    <w:uiPriority w:val="59"/>
    <w:rsid w:val="00BA0508"/>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7354"/>
    <w:rPr>
      <w:color w:val="808080"/>
    </w:rPr>
  </w:style>
  <w:style w:type="paragraph" w:customStyle="1" w:styleId="HiddenText">
    <w:name w:val="Hidden Text"/>
    <w:basedOn w:val="Normal"/>
    <w:link w:val="HiddenTextChar"/>
    <w:rsid w:val="00EC09EB"/>
    <w:pPr>
      <w:pBdr>
        <w:top w:val="single" w:sz="4" w:space="1" w:color="0000FF" w:shadow="1"/>
        <w:left w:val="single" w:sz="4" w:space="4" w:color="0000FF" w:shadow="1"/>
        <w:bottom w:val="single" w:sz="4" w:space="1" w:color="0000FF" w:shadow="1"/>
        <w:right w:val="single" w:sz="4" w:space="4" w:color="0000FF" w:shadow="1"/>
      </w:pBdr>
      <w:spacing w:before="0" w:after="80" w:line="276" w:lineRule="auto"/>
    </w:pPr>
    <w:rPr>
      <w:rFonts w:ascii="Arial" w:eastAsia="Times New Roman" w:hAnsi="Arial" w:cs="Times New Roman"/>
      <w:vanish/>
      <w:color w:val="0000FF"/>
      <w:sz w:val="22"/>
      <w:lang w:eastAsia="en-AU"/>
    </w:rPr>
  </w:style>
  <w:style w:type="character" w:customStyle="1" w:styleId="HiddenTextChar">
    <w:name w:val="Hidden Text Char"/>
    <w:link w:val="HiddenText"/>
    <w:rsid w:val="00EC09EB"/>
    <w:rPr>
      <w:rFonts w:ascii="Arial" w:eastAsia="Times New Roman" w:hAnsi="Arial" w:cs="Times New Roman"/>
      <w:vanish/>
      <w:color w:val="0000FF"/>
      <w:lang w:eastAsia="en-AU"/>
    </w:rPr>
  </w:style>
  <w:style w:type="paragraph" w:customStyle="1" w:styleId="BulletedText">
    <w:name w:val="Bulleted Text"/>
    <w:basedOn w:val="Normal"/>
    <w:rsid w:val="00FD40E4"/>
    <w:pPr>
      <w:numPr>
        <w:numId w:val="7"/>
      </w:numPr>
      <w:spacing w:before="0" w:after="120" w:line="276" w:lineRule="auto"/>
      <w:jc w:val="both"/>
    </w:pPr>
    <w:rPr>
      <w:rFonts w:ascii="Arial" w:eastAsia="Times New Roman" w:hAnsi="Arial" w:cs="Times New Roman"/>
      <w:sz w:val="22"/>
      <w:lang w:eastAsia="en-AU"/>
    </w:rPr>
  </w:style>
  <w:style w:type="character" w:customStyle="1" w:styleId="TableTextChar">
    <w:name w:val="Table Text Char"/>
    <w:link w:val="TableText"/>
    <w:rsid w:val="0098222B"/>
    <w:rPr>
      <w:rFonts w:ascii="Arial Narrow" w:hAnsi="Arial Narrow"/>
      <w:sz w:val="20"/>
    </w:rPr>
  </w:style>
  <w:style w:type="paragraph" w:customStyle="1" w:styleId="MainBodyText">
    <w:name w:val="Main Body Text"/>
    <w:basedOn w:val="Normal"/>
    <w:link w:val="MainBodyTextChar"/>
    <w:rsid w:val="00A81C47"/>
    <w:pPr>
      <w:spacing w:before="0" w:after="240" w:line="276" w:lineRule="auto"/>
      <w:jc w:val="both"/>
    </w:pPr>
    <w:rPr>
      <w:rFonts w:ascii="Arial" w:eastAsia="Times New Roman" w:hAnsi="Arial" w:cs="Times New Roman"/>
      <w:sz w:val="22"/>
      <w:lang w:eastAsia="en-AU"/>
    </w:rPr>
  </w:style>
  <w:style w:type="character" w:customStyle="1" w:styleId="MainBodyTextChar">
    <w:name w:val="Main Body Text Char"/>
    <w:link w:val="MainBodyText"/>
    <w:rsid w:val="00A81C47"/>
    <w:rPr>
      <w:rFonts w:ascii="Arial" w:eastAsia="Times New Roman" w:hAnsi="Arial" w:cs="Times New Roman"/>
      <w:lang w:eastAsia="en-AU"/>
    </w:rPr>
  </w:style>
  <w:style w:type="table" w:customStyle="1" w:styleId="TableGridbeth1">
    <w:name w:val="Table Gridbeth1"/>
    <w:basedOn w:val="TableNormal"/>
    <w:next w:val="TableGrid"/>
    <w:uiPriority w:val="59"/>
    <w:rsid w:val="001373E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lainTable211">
    <w:name w:val="Plain Table 211"/>
    <w:basedOn w:val="TableNormal"/>
    <w:uiPriority w:val="42"/>
    <w:rsid w:val="001373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ummarybox11">
    <w:name w:val="Summary box11"/>
    <w:basedOn w:val="TableNormal"/>
    <w:next w:val="TableGrid"/>
    <w:uiPriority w:val="59"/>
    <w:rsid w:val="001373EB"/>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C953D6"/>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C953D6"/>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C953D6"/>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0756E"/>
  </w:style>
  <w:style w:type="table" w:customStyle="1" w:styleId="TableGridbeth2">
    <w:name w:val="Table Gridbeth2"/>
    <w:basedOn w:val="TableNormal"/>
    <w:next w:val="TableGrid"/>
    <w:uiPriority w:val="59"/>
    <w:rsid w:val="0060756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1">
    <w:name w:val="Table Grid Light11"/>
    <w:basedOn w:val="TableNormal"/>
    <w:uiPriority w:val="40"/>
    <w:rsid w:val="006075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2">
    <w:name w:val="Plain Table 212"/>
    <w:basedOn w:val="TableNormal"/>
    <w:uiPriority w:val="42"/>
    <w:rsid w:val="006075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ummarybox12">
    <w:name w:val="Summary box12"/>
    <w:basedOn w:val="TableNormal"/>
    <w:next w:val="TableGrid"/>
    <w:uiPriority w:val="59"/>
    <w:rsid w:val="0060756E"/>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60756E"/>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1">
    <w:name w:val="Summary box31"/>
    <w:basedOn w:val="TableNormal"/>
    <w:next w:val="TableGrid"/>
    <w:uiPriority w:val="59"/>
    <w:rsid w:val="0060756E"/>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1">
    <w:name w:val="Summary box41"/>
    <w:basedOn w:val="TableNormal"/>
    <w:next w:val="TableGrid"/>
    <w:uiPriority w:val="59"/>
    <w:rsid w:val="0060756E"/>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1">
    <w:name w:val="Summary box51"/>
    <w:basedOn w:val="TableNormal"/>
    <w:next w:val="TableGrid"/>
    <w:uiPriority w:val="59"/>
    <w:rsid w:val="0060756E"/>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1">
    <w:name w:val="Table Gridbeth11"/>
    <w:basedOn w:val="TableNormal"/>
    <w:next w:val="TableGrid"/>
    <w:uiPriority w:val="59"/>
    <w:rsid w:val="0060756E"/>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0756E"/>
    <w:pPr>
      <w:numPr>
        <w:numId w:val="8"/>
      </w:numPr>
      <w:contextualSpacing/>
    </w:pPr>
  </w:style>
  <w:style w:type="paragraph" w:styleId="DocumentMap">
    <w:name w:val="Document Map"/>
    <w:basedOn w:val="Normal"/>
    <w:link w:val="DocumentMapChar"/>
    <w:uiPriority w:val="99"/>
    <w:semiHidden/>
    <w:unhideWhenUsed/>
    <w:rsid w:val="0060756E"/>
    <w:pPr>
      <w:spacing w:before="0"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60756E"/>
    <w:rPr>
      <w:rFonts w:ascii="Lucida Grande" w:hAnsi="Lucida Grande" w:cs="Lucida Grande"/>
      <w:sz w:val="24"/>
      <w:szCs w:val="24"/>
    </w:rPr>
  </w:style>
  <w:style w:type="paragraph" w:customStyle="1" w:styleId="TableNumber">
    <w:name w:val="Table Number"/>
    <w:basedOn w:val="TableText"/>
    <w:rsid w:val="0060756E"/>
    <w:pPr>
      <w:keepNext w:val="0"/>
      <w:numPr>
        <w:numId w:val="9"/>
      </w:numPr>
      <w:tabs>
        <w:tab w:val="center" w:pos="4153"/>
        <w:tab w:val="right" w:pos="9015"/>
      </w:tabs>
      <w:spacing w:before="60" w:after="60"/>
      <w:contextualSpacing/>
    </w:pPr>
    <w:rPr>
      <w:rFonts w:ascii="Arial" w:eastAsia="Times New Roman" w:hAnsi="Arial" w:cs="Times New Roman"/>
      <w:sz w:val="18"/>
      <w:szCs w:val="16"/>
      <w:lang w:eastAsia="en-AU"/>
    </w:rPr>
  </w:style>
  <w:style w:type="numbering" w:customStyle="1" w:styleId="NoList2">
    <w:name w:val="No List2"/>
    <w:next w:val="NoList"/>
    <w:uiPriority w:val="99"/>
    <w:semiHidden/>
    <w:unhideWhenUsed/>
    <w:rsid w:val="00030B99"/>
  </w:style>
  <w:style w:type="table" w:customStyle="1" w:styleId="TableGridbeth3">
    <w:name w:val="Table Gridbeth3"/>
    <w:basedOn w:val="TableNormal"/>
    <w:next w:val="TableGrid"/>
    <w:uiPriority w:val="59"/>
    <w:rsid w:val="00030B9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2">
    <w:name w:val="Table Grid Light12"/>
    <w:basedOn w:val="TableNormal"/>
    <w:uiPriority w:val="40"/>
    <w:rsid w:val="00030B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3">
    <w:name w:val="Plain Table 213"/>
    <w:basedOn w:val="TableNormal"/>
    <w:uiPriority w:val="42"/>
    <w:rsid w:val="00030B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ummarybox13">
    <w:name w:val="Summary box13"/>
    <w:basedOn w:val="TableNormal"/>
    <w:next w:val="TableGrid"/>
    <w:uiPriority w:val="59"/>
    <w:rsid w:val="00030B99"/>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30B99"/>
    <w:pPr>
      <w:spacing w:after="0" w:line="240" w:lineRule="auto"/>
    </w:pPr>
    <w:rPr>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F56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
    <w:name w:val="ES Heading 2"/>
    <w:basedOn w:val="Heading2"/>
    <w:link w:val="ESHeading2Char"/>
    <w:uiPriority w:val="2"/>
    <w:qFormat/>
    <w:rsid w:val="00AF4E4B"/>
    <w:pPr>
      <w:spacing w:before="360"/>
      <w:outlineLvl w:val="0"/>
    </w:pPr>
    <w:rPr>
      <w:rFonts w:asciiTheme="majorHAnsi" w:hAnsiTheme="majorHAnsi"/>
      <w:snapToGrid w:val="0"/>
    </w:rPr>
  </w:style>
  <w:style w:type="character" w:customStyle="1" w:styleId="ESHeading2Char">
    <w:name w:val="ES Heading 2 Char"/>
    <w:basedOn w:val="Heading2Char"/>
    <w:link w:val="ESHeading2"/>
    <w:uiPriority w:val="2"/>
    <w:rsid w:val="00AF4E4B"/>
    <w:rPr>
      <w:rFonts w:asciiTheme="majorHAnsi" w:eastAsiaTheme="majorEastAsia" w:hAnsiTheme="majorHAnsi" w:cstheme="majorBidi"/>
      <w:b/>
      <w:i/>
      <w:snapToGrid w:val="0"/>
      <w:sz w:val="28"/>
      <w:szCs w:val="28"/>
    </w:rPr>
  </w:style>
  <w:style w:type="paragraph" w:customStyle="1" w:styleId="ESHeading1">
    <w:name w:val="ES Heading 1"/>
    <w:basedOn w:val="Heading1"/>
    <w:next w:val="Heading1"/>
    <w:uiPriority w:val="2"/>
    <w:qFormat/>
    <w:rsid w:val="003B3B80"/>
    <w:pPr>
      <w:numPr>
        <w:numId w:val="0"/>
      </w:numPr>
      <w:spacing w:before="240"/>
      <w:ind w:left="720" w:hanging="720"/>
    </w:pPr>
    <w:rPr>
      <w:rFonts w:eastAsia="Times New Roman" w:cs="Arial"/>
      <w:snapToGrid w:val="0"/>
      <w:szCs w:val="32"/>
    </w:rPr>
  </w:style>
  <w:style w:type="paragraph" w:customStyle="1" w:styleId="ESHeadingCAPS">
    <w:name w:val="ES Heading CAPS"/>
    <w:basedOn w:val="ESHeading2"/>
    <w:uiPriority w:val="2"/>
    <w:qFormat/>
    <w:rsid w:val="003B3B80"/>
    <w:pPr>
      <w:ind w:left="720" w:hanging="720"/>
      <w:outlineLvl w:val="1"/>
    </w:pPr>
    <w:rPr>
      <w:i w:val="0"/>
      <w:smallCaps/>
      <w:sz w:val="32"/>
    </w:rPr>
  </w:style>
  <w:style w:type="paragraph" w:customStyle="1" w:styleId="ESHeading3">
    <w:name w:val="ES Heading 3"/>
    <w:basedOn w:val="ESHeading2"/>
    <w:uiPriority w:val="2"/>
    <w:qFormat/>
    <w:rsid w:val="003B3B80"/>
    <w:pPr>
      <w:ind w:left="1080" w:hanging="1080"/>
      <w:outlineLvl w:val="1"/>
    </w:pPr>
    <w:rPr>
      <w:i w:val="0"/>
      <w:sz w:val="24"/>
    </w:rPr>
  </w:style>
  <w:style w:type="paragraph" w:customStyle="1" w:styleId="MSACHeading1">
    <w:name w:val="MSAC Heading 1"/>
    <w:basedOn w:val="Heading1"/>
    <w:next w:val="Normal"/>
    <w:link w:val="MSACHeading1Char"/>
    <w:qFormat/>
    <w:rsid w:val="00492B40"/>
    <w:pPr>
      <w:numPr>
        <w:numId w:val="19"/>
      </w:numPr>
      <w:spacing w:before="160" w:after="240" w:line="259" w:lineRule="auto"/>
      <w:outlineLvl w:val="1"/>
    </w:pPr>
    <w:rPr>
      <w:rFonts w:ascii="Arial" w:hAnsi="Arial"/>
      <w:sz w:val="24"/>
      <w:lang w:bidi="en-US"/>
    </w:rPr>
  </w:style>
  <w:style w:type="paragraph" w:customStyle="1" w:styleId="MSACESHeading2">
    <w:name w:val="MSAC ES Heading 2"/>
    <w:basedOn w:val="Heading2"/>
    <w:next w:val="Normal"/>
    <w:link w:val="MSACESHeading2Char"/>
    <w:qFormat/>
    <w:rsid w:val="003B3B80"/>
    <w:pPr>
      <w:spacing w:before="360"/>
    </w:pPr>
    <w:rPr>
      <w:rFonts w:ascii="Cambria" w:hAnsi="Cambria"/>
      <w:i w:val="0"/>
      <w:snapToGrid w:val="0"/>
      <w:sz w:val="24"/>
    </w:rPr>
  </w:style>
  <w:style w:type="paragraph" w:customStyle="1" w:styleId="MSACSubtitle">
    <w:name w:val="MSAC Subtitle"/>
    <w:basedOn w:val="Normal"/>
    <w:next w:val="Normal"/>
    <w:link w:val="MSACSubtitleChar"/>
    <w:qFormat/>
    <w:rsid w:val="003B3B80"/>
    <w:pPr>
      <w:spacing w:before="0" w:after="240"/>
      <w:jc w:val="center"/>
    </w:pPr>
    <w:rPr>
      <w:rFonts w:ascii="Arial" w:hAnsi="Arial"/>
      <w:b/>
      <w:i/>
      <w:color w:val="000080"/>
      <w:sz w:val="28"/>
    </w:rPr>
  </w:style>
  <w:style w:type="character" w:customStyle="1" w:styleId="MSACSubtitleChar">
    <w:name w:val="MSAC Subtitle Char"/>
    <w:basedOn w:val="DefaultParagraphFont"/>
    <w:link w:val="MSACSubtitle"/>
    <w:rsid w:val="003B3B80"/>
    <w:rPr>
      <w:rFonts w:ascii="Arial" w:hAnsi="Arial"/>
      <w:b/>
      <w:i/>
      <w:color w:val="000080"/>
      <w:sz w:val="28"/>
    </w:rPr>
  </w:style>
  <w:style w:type="character" w:customStyle="1" w:styleId="MSACHeading1Char">
    <w:name w:val="MSAC Heading 1 Char"/>
    <w:basedOn w:val="DefaultParagraphFont"/>
    <w:link w:val="MSACHeading1"/>
    <w:rsid w:val="00492B40"/>
    <w:rPr>
      <w:rFonts w:ascii="Arial" w:eastAsiaTheme="majorEastAsia" w:hAnsi="Arial" w:cstheme="majorBidi"/>
      <w:b/>
      <w:sz w:val="24"/>
      <w:szCs w:val="28"/>
      <w:lang w:bidi="en-US"/>
    </w:rPr>
  </w:style>
  <w:style w:type="character" w:customStyle="1" w:styleId="MSACESHeading2Char">
    <w:name w:val="MSAC ES Heading 2 Char"/>
    <w:basedOn w:val="DefaultParagraphFont"/>
    <w:link w:val="MSACESHeading2"/>
    <w:rsid w:val="003B3B80"/>
    <w:rPr>
      <w:rFonts w:ascii="Cambria" w:eastAsiaTheme="majorEastAsia" w:hAnsi="Cambria" w:cstheme="majorBidi"/>
      <w:b/>
      <w:snapToGrid w:val="0"/>
      <w:sz w:val="24"/>
      <w:szCs w:val="28"/>
    </w:rPr>
  </w:style>
  <w:style w:type="paragraph" w:customStyle="1" w:styleId="MSACESParagraph">
    <w:name w:val="MSAC ES Paragraph"/>
    <w:link w:val="MSACESParagraphChar"/>
    <w:qFormat/>
    <w:rsid w:val="00165E81"/>
    <w:pPr>
      <w:spacing w:after="240" w:line="240" w:lineRule="auto"/>
    </w:pPr>
    <w:rPr>
      <w:rFonts w:ascii="Times New Roman" w:hAnsi="Times New Roman"/>
      <w:sz w:val="24"/>
    </w:rPr>
  </w:style>
  <w:style w:type="character" w:customStyle="1" w:styleId="MSACESParagraphChar">
    <w:name w:val="MSAC ES Paragraph Char"/>
    <w:basedOn w:val="DefaultParagraphFont"/>
    <w:link w:val="MSACESParagraph"/>
    <w:rsid w:val="00165E81"/>
    <w:rPr>
      <w:rFonts w:ascii="Times New Roman" w:hAnsi="Times New Roman"/>
      <w:sz w:val="24"/>
    </w:rPr>
  </w:style>
  <w:style w:type="paragraph" w:customStyle="1" w:styleId="AttachmentHeading">
    <w:name w:val="Attachment Heading"/>
    <w:basedOn w:val="Heading1"/>
    <w:next w:val="Normal"/>
    <w:uiPriority w:val="3"/>
    <w:qFormat/>
    <w:rsid w:val="00C37FB2"/>
    <w:pPr>
      <w:numPr>
        <w:numId w:val="0"/>
      </w:numPr>
      <w:spacing w:line="259" w:lineRule="auto"/>
    </w:pPr>
  </w:style>
  <w:style w:type="paragraph" w:customStyle="1" w:styleId="TableNumbered">
    <w:name w:val="Table Numbered"/>
    <w:basedOn w:val="Normal"/>
    <w:qFormat/>
    <w:rsid w:val="00610B60"/>
    <w:pPr>
      <w:numPr>
        <w:numId w:val="31"/>
      </w:numPr>
      <w:spacing w:before="40" w:after="40"/>
      <w:ind w:left="357" w:hanging="357"/>
    </w:pPr>
    <w:rPr>
      <w:rFonts w:eastAsiaTheme="minorEastAsia" w:cstheme="minorHAnsi"/>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65749238">
      <w:bodyDiv w:val="1"/>
      <w:marLeft w:val="0"/>
      <w:marRight w:val="0"/>
      <w:marTop w:val="0"/>
      <w:marBottom w:val="0"/>
      <w:divBdr>
        <w:top w:val="none" w:sz="0" w:space="0" w:color="auto"/>
        <w:left w:val="none" w:sz="0" w:space="0" w:color="auto"/>
        <w:bottom w:val="none" w:sz="0" w:space="0" w:color="auto"/>
        <w:right w:val="none" w:sz="0" w:space="0" w:color="auto"/>
      </w:divBdr>
    </w:div>
    <w:div w:id="172885844">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603005096">
      <w:bodyDiv w:val="1"/>
      <w:marLeft w:val="0"/>
      <w:marRight w:val="0"/>
      <w:marTop w:val="0"/>
      <w:marBottom w:val="0"/>
      <w:divBdr>
        <w:top w:val="none" w:sz="0" w:space="0" w:color="auto"/>
        <w:left w:val="none" w:sz="0" w:space="0" w:color="auto"/>
        <w:bottom w:val="none" w:sz="0" w:space="0" w:color="auto"/>
        <w:right w:val="none" w:sz="0" w:space="0" w:color="auto"/>
      </w:divBdr>
    </w:div>
    <w:div w:id="641813787">
      <w:bodyDiv w:val="1"/>
      <w:marLeft w:val="0"/>
      <w:marRight w:val="0"/>
      <w:marTop w:val="0"/>
      <w:marBottom w:val="0"/>
      <w:divBdr>
        <w:top w:val="none" w:sz="0" w:space="0" w:color="auto"/>
        <w:left w:val="none" w:sz="0" w:space="0" w:color="auto"/>
        <w:bottom w:val="none" w:sz="0" w:space="0" w:color="auto"/>
        <w:right w:val="none" w:sz="0" w:space="0" w:color="auto"/>
      </w:divBdr>
      <w:divsChild>
        <w:div w:id="1573856546">
          <w:marLeft w:val="446"/>
          <w:marRight w:val="0"/>
          <w:marTop w:val="120"/>
          <w:marBottom w:val="0"/>
          <w:divBdr>
            <w:top w:val="none" w:sz="0" w:space="0" w:color="auto"/>
            <w:left w:val="none" w:sz="0" w:space="0" w:color="auto"/>
            <w:bottom w:val="none" w:sz="0" w:space="0" w:color="auto"/>
            <w:right w:val="none" w:sz="0" w:space="0" w:color="auto"/>
          </w:divBdr>
        </w:div>
        <w:div w:id="1129058053">
          <w:marLeft w:val="446"/>
          <w:marRight w:val="0"/>
          <w:marTop w:val="120"/>
          <w:marBottom w:val="0"/>
          <w:divBdr>
            <w:top w:val="none" w:sz="0" w:space="0" w:color="auto"/>
            <w:left w:val="none" w:sz="0" w:space="0" w:color="auto"/>
            <w:bottom w:val="none" w:sz="0" w:space="0" w:color="auto"/>
            <w:right w:val="none" w:sz="0" w:space="0" w:color="auto"/>
          </w:divBdr>
        </w:div>
        <w:div w:id="1931888287">
          <w:marLeft w:val="446"/>
          <w:marRight w:val="0"/>
          <w:marTop w:val="120"/>
          <w:marBottom w:val="0"/>
          <w:divBdr>
            <w:top w:val="none" w:sz="0" w:space="0" w:color="auto"/>
            <w:left w:val="none" w:sz="0" w:space="0" w:color="auto"/>
            <w:bottom w:val="none" w:sz="0" w:space="0" w:color="auto"/>
            <w:right w:val="none" w:sz="0" w:space="0" w:color="auto"/>
          </w:divBdr>
        </w:div>
        <w:div w:id="548227989">
          <w:marLeft w:val="446"/>
          <w:marRight w:val="0"/>
          <w:marTop w:val="120"/>
          <w:marBottom w:val="0"/>
          <w:divBdr>
            <w:top w:val="none" w:sz="0" w:space="0" w:color="auto"/>
            <w:left w:val="none" w:sz="0" w:space="0" w:color="auto"/>
            <w:bottom w:val="none" w:sz="0" w:space="0" w:color="auto"/>
            <w:right w:val="none" w:sz="0" w:space="0" w:color="auto"/>
          </w:divBdr>
        </w:div>
      </w:divsChild>
    </w:div>
    <w:div w:id="793714293">
      <w:bodyDiv w:val="1"/>
      <w:marLeft w:val="0"/>
      <w:marRight w:val="0"/>
      <w:marTop w:val="0"/>
      <w:marBottom w:val="0"/>
      <w:divBdr>
        <w:top w:val="none" w:sz="0" w:space="0" w:color="auto"/>
        <w:left w:val="none" w:sz="0" w:space="0" w:color="auto"/>
        <w:bottom w:val="none" w:sz="0" w:space="0" w:color="auto"/>
        <w:right w:val="none" w:sz="0" w:space="0" w:color="auto"/>
      </w:divBdr>
    </w:div>
    <w:div w:id="922958292">
      <w:bodyDiv w:val="1"/>
      <w:marLeft w:val="0"/>
      <w:marRight w:val="0"/>
      <w:marTop w:val="0"/>
      <w:marBottom w:val="0"/>
      <w:divBdr>
        <w:top w:val="none" w:sz="0" w:space="0" w:color="auto"/>
        <w:left w:val="none" w:sz="0" w:space="0" w:color="auto"/>
        <w:bottom w:val="none" w:sz="0" w:space="0" w:color="auto"/>
        <w:right w:val="none" w:sz="0" w:space="0" w:color="auto"/>
      </w:divBdr>
    </w:div>
    <w:div w:id="1030690637">
      <w:bodyDiv w:val="1"/>
      <w:marLeft w:val="0"/>
      <w:marRight w:val="0"/>
      <w:marTop w:val="0"/>
      <w:marBottom w:val="0"/>
      <w:divBdr>
        <w:top w:val="none" w:sz="0" w:space="0" w:color="auto"/>
        <w:left w:val="none" w:sz="0" w:space="0" w:color="auto"/>
        <w:bottom w:val="none" w:sz="0" w:space="0" w:color="auto"/>
        <w:right w:val="none" w:sz="0" w:space="0" w:color="auto"/>
      </w:divBdr>
      <w:divsChild>
        <w:div w:id="1549339941">
          <w:marLeft w:val="547"/>
          <w:marRight w:val="0"/>
          <w:marTop w:val="96"/>
          <w:marBottom w:val="120"/>
          <w:divBdr>
            <w:top w:val="none" w:sz="0" w:space="0" w:color="auto"/>
            <w:left w:val="none" w:sz="0" w:space="0" w:color="auto"/>
            <w:bottom w:val="none" w:sz="0" w:space="0" w:color="auto"/>
            <w:right w:val="none" w:sz="0" w:space="0" w:color="auto"/>
          </w:divBdr>
        </w:div>
      </w:divsChild>
    </w:div>
    <w:div w:id="1137138678">
      <w:bodyDiv w:val="1"/>
      <w:marLeft w:val="0"/>
      <w:marRight w:val="0"/>
      <w:marTop w:val="0"/>
      <w:marBottom w:val="0"/>
      <w:divBdr>
        <w:top w:val="none" w:sz="0" w:space="0" w:color="auto"/>
        <w:left w:val="none" w:sz="0" w:space="0" w:color="auto"/>
        <w:bottom w:val="none" w:sz="0" w:space="0" w:color="auto"/>
        <w:right w:val="none" w:sz="0" w:space="0" w:color="auto"/>
      </w:divBdr>
    </w:div>
    <w:div w:id="1245458912">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00513880">
      <w:bodyDiv w:val="1"/>
      <w:marLeft w:val="0"/>
      <w:marRight w:val="0"/>
      <w:marTop w:val="0"/>
      <w:marBottom w:val="0"/>
      <w:divBdr>
        <w:top w:val="none" w:sz="0" w:space="0" w:color="auto"/>
        <w:left w:val="none" w:sz="0" w:space="0" w:color="auto"/>
        <w:bottom w:val="none" w:sz="0" w:space="0" w:color="auto"/>
        <w:right w:val="none" w:sz="0" w:space="0" w:color="auto"/>
      </w:divBdr>
    </w:div>
    <w:div w:id="1526213594">
      <w:bodyDiv w:val="1"/>
      <w:marLeft w:val="0"/>
      <w:marRight w:val="0"/>
      <w:marTop w:val="0"/>
      <w:marBottom w:val="0"/>
      <w:divBdr>
        <w:top w:val="none" w:sz="0" w:space="0" w:color="auto"/>
        <w:left w:val="none" w:sz="0" w:space="0" w:color="auto"/>
        <w:bottom w:val="none" w:sz="0" w:space="0" w:color="auto"/>
        <w:right w:val="none" w:sz="0" w:space="0" w:color="auto"/>
      </w:divBdr>
    </w:div>
    <w:div w:id="1595897811">
      <w:bodyDiv w:val="1"/>
      <w:marLeft w:val="0"/>
      <w:marRight w:val="0"/>
      <w:marTop w:val="0"/>
      <w:marBottom w:val="0"/>
      <w:divBdr>
        <w:top w:val="none" w:sz="0" w:space="0" w:color="auto"/>
        <w:left w:val="none" w:sz="0" w:space="0" w:color="auto"/>
        <w:bottom w:val="none" w:sz="0" w:space="0" w:color="auto"/>
        <w:right w:val="none" w:sz="0" w:space="0" w:color="auto"/>
      </w:divBdr>
    </w:div>
    <w:div w:id="1697148337">
      <w:bodyDiv w:val="1"/>
      <w:marLeft w:val="0"/>
      <w:marRight w:val="0"/>
      <w:marTop w:val="0"/>
      <w:marBottom w:val="0"/>
      <w:divBdr>
        <w:top w:val="none" w:sz="0" w:space="0" w:color="auto"/>
        <w:left w:val="none" w:sz="0" w:space="0" w:color="auto"/>
        <w:bottom w:val="none" w:sz="0" w:space="0" w:color="auto"/>
        <w:right w:val="none" w:sz="0" w:space="0" w:color="auto"/>
      </w:divBdr>
    </w:div>
    <w:div w:id="17050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80C7-CF1F-4FC2-950B-5C06FB06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8798</Words>
  <Characters>50153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2018-02-19T22:36:00Z</dcterms:created>
  <dcterms:modified xsi:type="dcterms:W3CDTF">2018-02-21T23:30:00Z</dcterms:modified>
</cp:coreProperties>
</file>