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4A" w:rsidRPr="008D6B70" w:rsidRDefault="00505F17" w:rsidP="009E0031">
      <w:pPr>
        <w:spacing w:before="120" w:after="160" w:line="240" w:lineRule="auto"/>
        <w:ind w:left="992" w:hanging="992"/>
        <w:jc w:val="left"/>
        <w:outlineLvl w:val="0"/>
        <w:rPr>
          <w:rFonts w:asciiTheme="minorHAnsi" w:eastAsiaTheme="minorHAnsi" w:hAnsiTheme="minorHAnsi" w:cstheme="minorBidi"/>
          <w:b/>
          <w:sz w:val="36"/>
          <w:szCs w:val="36"/>
          <w:lang w:val="en-AU"/>
        </w:rPr>
      </w:pPr>
      <w:bookmarkStart w:id="0" w:name="_GoBack"/>
      <w:bookmarkEnd w:id="0"/>
      <w:r w:rsidRPr="008D6B70">
        <w:rPr>
          <w:rFonts w:asciiTheme="minorHAnsi" w:eastAsiaTheme="minorHAnsi" w:hAnsiTheme="minorHAnsi" w:cstheme="minorBidi"/>
          <w:b/>
          <w:sz w:val="36"/>
          <w:szCs w:val="36"/>
          <w:lang w:val="en-AU"/>
        </w:rPr>
        <w:t>5</w:t>
      </w:r>
      <w:r w:rsidR="00074D4A" w:rsidRPr="008D6B70">
        <w:rPr>
          <w:rFonts w:asciiTheme="minorHAnsi" w:eastAsiaTheme="minorHAnsi" w:hAnsiTheme="minorHAnsi" w:cstheme="minorBidi"/>
          <w:b/>
          <w:sz w:val="36"/>
          <w:szCs w:val="36"/>
          <w:lang w:val="en-AU"/>
        </w:rPr>
        <w:t>.</w:t>
      </w:r>
      <w:r w:rsidRPr="008D6B70">
        <w:rPr>
          <w:rFonts w:asciiTheme="minorHAnsi" w:eastAsiaTheme="minorHAnsi" w:hAnsiTheme="minorHAnsi" w:cstheme="minorBidi"/>
          <w:b/>
          <w:sz w:val="36"/>
          <w:szCs w:val="36"/>
          <w:lang w:val="en-AU"/>
        </w:rPr>
        <w:t>05</w:t>
      </w:r>
      <w:r w:rsidR="00074D4A" w:rsidRPr="008D6B70">
        <w:rPr>
          <w:rFonts w:asciiTheme="minorHAnsi" w:eastAsiaTheme="minorHAnsi" w:hAnsiTheme="minorHAnsi" w:cstheme="minorBidi"/>
          <w:b/>
          <w:sz w:val="36"/>
          <w:szCs w:val="36"/>
          <w:lang w:val="en-AU"/>
        </w:rPr>
        <w:tab/>
        <w:t xml:space="preserve">DARATUMUMAB </w:t>
      </w:r>
      <w:r w:rsidR="00074D4A" w:rsidRPr="008D6B70">
        <w:rPr>
          <w:rFonts w:asciiTheme="minorHAnsi" w:eastAsiaTheme="minorHAnsi" w:hAnsiTheme="minorHAnsi" w:cstheme="minorBidi"/>
          <w:b/>
          <w:sz w:val="36"/>
          <w:szCs w:val="36"/>
          <w:lang w:val="en-AU"/>
        </w:rPr>
        <w:br/>
        <w:t xml:space="preserve">100 mg and 400 mg vial, </w:t>
      </w:r>
      <w:r w:rsidR="00074D4A" w:rsidRPr="008D6B70">
        <w:rPr>
          <w:rFonts w:asciiTheme="minorHAnsi" w:eastAsiaTheme="minorHAnsi" w:hAnsiTheme="minorHAnsi" w:cstheme="minorBidi"/>
          <w:b/>
          <w:sz w:val="36"/>
          <w:szCs w:val="36"/>
          <w:lang w:val="en-AU"/>
        </w:rPr>
        <w:br/>
        <w:t>D</w:t>
      </w:r>
      <w:r w:rsidR="00454D17">
        <w:rPr>
          <w:rFonts w:asciiTheme="minorHAnsi" w:eastAsiaTheme="minorHAnsi" w:hAnsiTheme="minorHAnsi" w:cstheme="minorBidi"/>
          <w:b/>
          <w:sz w:val="36"/>
          <w:szCs w:val="36"/>
          <w:lang w:val="en-AU"/>
        </w:rPr>
        <w:t>arzalex</w:t>
      </w:r>
      <w:r w:rsidR="00074D4A" w:rsidRPr="008D6B70">
        <w:rPr>
          <w:rFonts w:asciiTheme="minorHAnsi" w:eastAsiaTheme="minorHAnsi" w:hAnsiTheme="minorHAnsi" w:cstheme="minorBidi"/>
          <w:b/>
          <w:sz w:val="36"/>
          <w:szCs w:val="36"/>
          <w:lang w:val="en-AU"/>
        </w:rPr>
        <w:t>®, Janssen-Cilag Pty Ltd</w:t>
      </w:r>
    </w:p>
    <w:p w:rsidR="00C07F6D" w:rsidRPr="008D6B70" w:rsidRDefault="00074D4A" w:rsidP="00C07F6D">
      <w:pPr>
        <w:pStyle w:val="Heading1"/>
        <w:ind w:left="709" w:hanging="709"/>
      </w:pPr>
      <w:bookmarkStart w:id="1" w:name="_Toc413139271"/>
      <w:bookmarkStart w:id="2" w:name="_Toc492997381"/>
      <w:r w:rsidRPr="008D6B70">
        <w:t>Purpose of application</w:t>
      </w:r>
      <w:bookmarkEnd w:id="1"/>
      <w:bookmarkEnd w:id="2"/>
    </w:p>
    <w:p w:rsidR="00074D4A" w:rsidRPr="008D6B70" w:rsidRDefault="00074D4A" w:rsidP="00C07F6D">
      <w:pPr>
        <w:pStyle w:val="ListParagraph"/>
        <w:numPr>
          <w:ilvl w:val="1"/>
          <w:numId w:val="79"/>
        </w:numPr>
        <w:jc w:val="both"/>
      </w:pPr>
      <w:r w:rsidRPr="008D6B70">
        <w:t xml:space="preserve">Section 100 listing (Efficient Funding for Chemotherapy) for daratumumab for treatment of relapsed or refractory multiple myeloma (RRMM). </w:t>
      </w:r>
      <w:r w:rsidR="00A50016">
        <w:t xml:space="preserve">Daratumumab has not been </w:t>
      </w:r>
      <w:r w:rsidR="00737C23">
        <w:t>consider</w:t>
      </w:r>
      <w:r w:rsidR="00A50016">
        <w:t>ed by the PBAC previously.</w:t>
      </w:r>
      <w:r w:rsidRPr="008D6B70">
        <w:t xml:space="preserve"> </w:t>
      </w:r>
    </w:p>
    <w:p w:rsidR="0005581C" w:rsidRPr="008D6B70" w:rsidRDefault="00074D4A" w:rsidP="00AF6345">
      <w:pPr>
        <w:pStyle w:val="ListParagraph"/>
        <w:numPr>
          <w:ilvl w:val="1"/>
          <w:numId w:val="5"/>
        </w:numPr>
        <w:spacing w:before="0" w:after="120"/>
        <w:jc w:val="both"/>
      </w:pPr>
      <w:r w:rsidRPr="008D6B70">
        <w:t xml:space="preserve">The </w:t>
      </w:r>
      <w:r w:rsidR="0038470D" w:rsidRPr="008D6B70">
        <w:t>submission presented</w:t>
      </w:r>
      <w:r w:rsidRPr="008D6B70">
        <w:t xml:space="preserve"> cost</w:t>
      </w:r>
      <w:r w:rsidR="0067698B" w:rsidRPr="008D6B70">
        <w:t xml:space="preserve"> utility analys</w:t>
      </w:r>
      <w:r w:rsidR="00A50016">
        <w:t>e</w:t>
      </w:r>
      <w:r w:rsidR="0067698B" w:rsidRPr="008D6B70">
        <w:t xml:space="preserve">s comparing </w:t>
      </w:r>
      <w:r w:rsidR="00AF6345">
        <w:t>d</w:t>
      </w:r>
      <w:r w:rsidR="00AF6345" w:rsidRPr="00AF6345">
        <w:t>aratumumab in combination with bortezomib and dexamethasone (DBd)</w:t>
      </w:r>
      <w:r w:rsidR="00AF6345">
        <w:t xml:space="preserve"> </w:t>
      </w:r>
      <w:r w:rsidR="0067698B" w:rsidRPr="008D6B70">
        <w:t xml:space="preserve">and </w:t>
      </w:r>
      <w:r w:rsidR="00AF6345">
        <w:t>d</w:t>
      </w:r>
      <w:r w:rsidR="00AF6345" w:rsidRPr="00AF6345">
        <w:t>aratumumab in combination with lenalidomide and dexamethasone (DLd)</w:t>
      </w:r>
      <w:r w:rsidR="0067698B" w:rsidRPr="008D6B70">
        <w:t xml:space="preserve"> with their re</w:t>
      </w:r>
      <w:r w:rsidR="00223308" w:rsidRPr="008D6B70">
        <w:t>spective</w:t>
      </w:r>
      <w:r w:rsidR="0067698B" w:rsidRPr="008D6B70">
        <w:t xml:space="preserve"> </w:t>
      </w:r>
      <w:r w:rsidRPr="008D6B70">
        <w:t>comparator regimens</w:t>
      </w:r>
      <w:r w:rsidR="0067698B" w:rsidRPr="008D6B70">
        <w:t xml:space="preserve"> (</w:t>
      </w:r>
      <w:r w:rsidRPr="008D6B70">
        <w:t>Bd and Ld</w:t>
      </w:r>
      <w:r w:rsidR="00223308" w:rsidRPr="008D6B70">
        <w:t>)</w:t>
      </w:r>
      <w:r w:rsidRPr="008D6B70">
        <w:t xml:space="preserve">. </w:t>
      </w:r>
    </w:p>
    <w:p w:rsidR="001C719B" w:rsidRDefault="001C719B">
      <w:pPr>
        <w:spacing w:after="160" w:line="259" w:lineRule="auto"/>
        <w:jc w:val="left"/>
        <w:rPr>
          <w:rFonts w:ascii="Arial Narrow" w:hAnsi="Arial Narrow"/>
          <w:b/>
          <w:szCs w:val="20"/>
        </w:rPr>
      </w:pPr>
    </w:p>
    <w:p w:rsidR="00074D4A" w:rsidRPr="008D6B70" w:rsidRDefault="00074D4A" w:rsidP="00371E3E">
      <w:pPr>
        <w:keepNext/>
        <w:spacing w:after="0" w:line="240" w:lineRule="auto"/>
        <w:rPr>
          <w:b/>
        </w:rPr>
      </w:pPr>
      <w:r w:rsidRPr="008D6B70">
        <w:rPr>
          <w:rFonts w:ascii="Arial Narrow" w:hAnsi="Arial Narrow"/>
          <w:b/>
          <w:szCs w:val="20"/>
        </w:rPr>
        <w:t>Table 1: Key components of the clinical issue addressed by the submission</w:t>
      </w:r>
      <w:r w:rsidRPr="008D6B70">
        <w:rPr>
          <w:b/>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739"/>
        <w:gridCol w:w="7503"/>
      </w:tblGrid>
      <w:tr w:rsidR="00074D4A" w:rsidRPr="008D6B70" w:rsidTr="005C6DCA">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rsidR="00074D4A" w:rsidRPr="008D6B70" w:rsidRDefault="00074D4A" w:rsidP="00371E3E">
            <w:pPr>
              <w:pStyle w:val="TableText"/>
              <w:spacing w:before="0" w:after="0"/>
              <w:rPr>
                <w:szCs w:val="20"/>
              </w:rPr>
            </w:pPr>
            <w:r w:rsidRPr="008D6B70">
              <w:t>Component</w:t>
            </w:r>
          </w:p>
        </w:tc>
        <w:tc>
          <w:tcPr>
            <w:tcW w:w="4059" w:type="pct"/>
            <w:shd w:val="clear" w:color="auto" w:fill="auto"/>
          </w:tcPr>
          <w:p w:rsidR="00074D4A" w:rsidRPr="008D6B70" w:rsidRDefault="00074D4A" w:rsidP="00371E3E">
            <w:pPr>
              <w:pStyle w:val="TableText"/>
              <w:spacing w:before="0" w:after="0"/>
            </w:pPr>
            <w:r w:rsidRPr="008D6B70">
              <w:t>Description</w:t>
            </w:r>
          </w:p>
        </w:tc>
      </w:tr>
      <w:tr w:rsidR="00074D4A" w:rsidRPr="008D6B70" w:rsidTr="005C6DCA">
        <w:trPr>
          <w:cantSplit/>
        </w:trPr>
        <w:tc>
          <w:tcPr>
            <w:tcW w:w="941" w:type="pct"/>
            <w:shd w:val="clear" w:color="auto" w:fill="auto"/>
          </w:tcPr>
          <w:p w:rsidR="00074D4A" w:rsidRPr="008D6B70" w:rsidRDefault="00074D4A" w:rsidP="00555AE1">
            <w:pPr>
              <w:pStyle w:val="TableText"/>
            </w:pPr>
            <w:r w:rsidRPr="008D6B70">
              <w:t>Population</w:t>
            </w:r>
          </w:p>
        </w:tc>
        <w:tc>
          <w:tcPr>
            <w:tcW w:w="4059" w:type="pct"/>
            <w:shd w:val="clear" w:color="auto" w:fill="auto"/>
          </w:tcPr>
          <w:p w:rsidR="00074D4A" w:rsidRPr="008D6B70" w:rsidRDefault="00074D4A" w:rsidP="00555AE1">
            <w:pPr>
              <w:pStyle w:val="TableText"/>
            </w:pPr>
            <w:r w:rsidRPr="008D6B70">
              <w:t>Multiple myeloma; patients with relapsed or refractory disease (RRMM) after at least one prior therapy.</w:t>
            </w:r>
          </w:p>
        </w:tc>
      </w:tr>
      <w:tr w:rsidR="00074D4A" w:rsidRPr="008D6B70" w:rsidTr="005C6DCA">
        <w:trPr>
          <w:cantSplit/>
        </w:trPr>
        <w:tc>
          <w:tcPr>
            <w:tcW w:w="941" w:type="pct"/>
            <w:shd w:val="clear" w:color="auto" w:fill="auto"/>
          </w:tcPr>
          <w:p w:rsidR="00074D4A" w:rsidRPr="008D6B70" w:rsidRDefault="00074D4A" w:rsidP="00555AE1">
            <w:pPr>
              <w:pStyle w:val="TableText"/>
            </w:pPr>
            <w:r w:rsidRPr="008D6B70">
              <w:t>Intervention</w:t>
            </w:r>
          </w:p>
        </w:tc>
        <w:tc>
          <w:tcPr>
            <w:tcW w:w="4059" w:type="pct"/>
            <w:shd w:val="clear" w:color="auto" w:fill="auto"/>
          </w:tcPr>
          <w:p w:rsidR="00074D4A" w:rsidRPr="008D6B70" w:rsidRDefault="00074D4A" w:rsidP="00555AE1">
            <w:pPr>
              <w:pStyle w:val="TableText"/>
            </w:pPr>
            <w:r w:rsidRPr="008D6B70">
              <w:t>Daratumumab is administered as an IV infusion at a dose of 16 mg/kg in combination with either bortezomib or lenalidomide-based therapies.</w:t>
            </w:r>
          </w:p>
          <w:p w:rsidR="00074D4A" w:rsidRPr="008D6B70" w:rsidRDefault="00074D4A" w:rsidP="00555AE1">
            <w:pPr>
              <w:pStyle w:val="TableText"/>
            </w:pPr>
            <w:r w:rsidRPr="008D6B70">
              <w:rPr>
                <w:u w:val="single"/>
              </w:rPr>
              <w:t>Daratumumab in combination with bortezomib and dexamethasone (DBd)</w:t>
            </w:r>
            <w:r w:rsidRPr="008D6B70">
              <w:t>: Daratumumab is administered weekly for the first 3 cycles (3 weekly cycle), every three weeks from cycles 4 to 8 (3 weekly cycle) and then once every 4 weeks from cycle 9 onwards (4 weekly cycle)</w:t>
            </w:r>
            <w:r w:rsidR="0038470D" w:rsidRPr="008D6B70">
              <w:t>.</w:t>
            </w:r>
          </w:p>
          <w:p w:rsidR="00074D4A" w:rsidRPr="008D6B70" w:rsidRDefault="00074D4A" w:rsidP="00555AE1">
            <w:pPr>
              <w:pStyle w:val="TableText"/>
            </w:pPr>
            <w:r w:rsidRPr="008D6B70">
              <w:rPr>
                <w:u w:val="single"/>
              </w:rPr>
              <w:t>Daratumumab in combination with lenalidomide and dexamethasone (DLd)</w:t>
            </w:r>
            <w:r w:rsidRPr="008D6B70">
              <w:t>: Daratumumab is administered weekly for the first 2 cycles (4 weekly cycle), every two weeks from cycles 3 to 6 (4 weekly cycle) and then once every 4 weeks from cycle 7 onwards (4 weekly cycle).</w:t>
            </w:r>
          </w:p>
        </w:tc>
      </w:tr>
      <w:tr w:rsidR="00074D4A" w:rsidRPr="008D6B70" w:rsidTr="005C6DCA">
        <w:trPr>
          <w:cantSplit/>
        </w:trPr>
        <w:tc>
          <w:tcPr>
            <w:tcW w:w="941" w:type="pct"/>
            <w:shd w:val="clear" w:color="auto" w:fill="auto"/>
          </w:tcPr>
          <w:p w:rsidR="00074D4A" w:rsidRPr="008D6B70" w:rsidRDefault="00074D4A" w:rsidP="00555AE1">
            <w:pPr>
              <w:pStyle w:val="TableText"/>
            </w:pPr>
            <w:r w:rsidRPr="008D6B70">
              <w:t>Comparator</w:t>
            </w:r>
          </w:p>
        </w:tc>
        <w:tc>
          <w:tcPr>
            <w:tcW w:w="4059" w:type="pct"/>
            <w:shd w:val="clear" w:color="auto" w:fill="auto"/>
          </w:tcPr>
          <w:p w:rsidR="00074D4A" w:rsidRPr="008D6B70" w:rsidRDefault="00074D4A" w:rsidP="00555AE1">
            <w:pPr>
              <w:pStyle w:val="TableText"/>
              <w:rPr>
                <w:u w:val="single"/>
              </w:rPr>
            </w:pPr>
            <w:r w:rsidRPr="008D6B70">
              <w:rPr>
                <w:u w:val="single"/>
              </w:rPr>
              <w:t>Main comparator</w:t>
            </w:r>
          </w:p>
          <w:p w:rsidR="00074D4A" w:rsidRPr="008D6B70" w:rsidRDefault="00074D4A" w:rsidP="00555AE1">
            <w:pPr>
              <w:pStyle w:val="TableText"/>
            </w:pPr>
            <w:r w:rsidRPr="008D6B70">
              <w:t>For DBd: bortezomib</w:t>
            </w:r>
            <w:r w:rsidR="0038470D" w:rsidRPr="008D6B70">
              <w:t>-</w:t>
            </w:r>
            <w:r w:rsidRPr="008D6B70">
              <w:t>dexamethasone</w:t>
            </w:r>
            <w:r w:rsidR="0038470D" w:rsidRPr="008D6B70">
              <w:t xml:space="preserve"> (</w:t>
            </w:r>
            <w:r w:rsidRPr="008D6B70">
              <w:t>Bd)</w:t>
            </w:r>
          </w:p>
          <w:p w:rsidR="00074D4A" w:rsidRPr="008D6B70" w:rsidRDefault="00074D4A" w:rsidP="00555AE1">
            <w:pPr>
              <w:pStyle w:val="TableText"/>
            </w:pPr>
            <w:r w:rsidRPr="008D6B70">
              <w:t>For DLd: lenalidomide-dexamethasone</w:t>
            </w:r>
            <w:r w:rsidR="0038470D" w:rsidRPr="008D6B70">
              <w:t xml:space="preserve"> (</w:t>
            </w:r>
            <w:r w:rsidRPr="008D6B70">
              <w:t>Ld)</w:t>
            </w:r>
          </w:p>
          <w:p w:rsidR="00074D4A" w:rsidRPr="008D6B70" w:rsidRDefault="00074D4A" w:rsidP="00555AE1">
            <w:pPr>
              <w:pStyle w:val="TableText"/>
              <w:rPr>
                <w:u w:val="single"/>
              </w:rPr>
            </w:pPr>
            <w:r w:rsidRPr="008D6B70">
              <w:rPr>
                <w:u w:val="single"/>
              </w:rPr>
              <w:t>Supplementary comparator</w:t>
            </w:r>
          </w:p>
          <w:p w:rsidR="00074D4A" w:rsidRPr="008D6B70" w:rsidRDefault="00074D4A" w:rsidP="00555AE1">
            <w:pPr>
              <w:pStyle w:val="TableText"/>
            </w:pPr>
            <w:r w:rsidRPr="008D6B70">
              <w:t>For DBd: carfilzomib-dexamethasone (Cd)</w:t>
            </w:r>
          </w:p>
          <w:p w:rsidR="00074D4A" w:rsidRPr="008D6B70" w:rsidRDefault="00074D4A" w:rsidP="00555AE1">
            <w:pPr>
              <w:pStyle w:val="TableText"/>
            </w:pPr>
            <w:r w:rsidRPr="008D6B70">
              <w:t>For DLd: carfilzomib-lenalidomide-dexamethasone (CLd)</w:t>
            </w:r>
          </w:p>
        </w:tc>
      </w:tr>
      <w:tr w:rsidR="00074D4A" w:rsidRPr="008D6B70" w:rsidTr="005C6DCA">
        <w:trPr>
          <w:cantSplit/>
        </w:trPr>
        <w:tc>
          <w:tcPr>
            <w:tcW w:w="941" w:type="pct"/>
            <w:shd w:val="clear" w:color="auto" w:fill="auto"/>
          </w:tcPr>
          <w:p w:rsidR="00074D4A" w:rsidRPr="008D6B70" w:rsidRDefault="00074D4A" w:rsidP="00555AE1">
            <w:pPr>
              <w:pStyle w:val="TableText"/>
            </w:pPr>
            <w:r w:rsidRPr="008D6B70">
              <w:t>Outcomes</w:t>
            </w:r>
          </w:p>
        </w:tc>
        <w:tc>
          <w:tcPr>
            <w:tcW w:w="4059" w:type="pct"/>
            <w:shd w:val="clear" w:color="auto" w:fill="auto"/>
          </w:tcPr>
          <w:p w:rsidR="00074D4A" w:rsidRPr="008D6B70" w:rsidRDefault="00074D4A" w:rsidP="00555AE1">
            <w:pPr>
              <w:pStyle w:val="TableText"/>
            </w:pPr>
            <w:r w:rsidRPr="008D6B70">
              <w:t>PFS, OS, ORR, MRD negativity rates</w:t>
            </w:r>
          </w:p>
        </w:tc>
      </w:tr>
      <w:tr w:rsidR="00074D4A" w:rsidRPr="008D6B70" w:rsidTr="005C6DCA">
        <w:trPr>
          <w:cantSplit/>
        </w:trPr>
        <w:tc>
          <w:tcPr>
            <w:tcW w:w="941" w:type="pct"/>
            <w:shd w:val="clear" w:color="auto" w:fill="auto"/>
          </w:tcPr>
          <w:p w:rsidR="00074D4A" w:rsidRPr="008D6B70" w:rsidRDefault="00074D4A" w:rsidP="00555AE1">
            <w:pPr>
              <w:pStyle w:val="TableText"/>
            </w:pPr>
            <w:r w:rsidRPr="008D6B70">
              <w:t>Clinical claim</w:t>
            </w:r>
          </w:p>
        </w:tc>
        <w:tc>
          <w:tcPr>
            <w:tcW w:w="4059" w:type="pct"/>
            <w:shd w:val="clear" w:color="auto" w:fill="auto"/>
          </w:tcPr>
          <w:p w:rsidR="00074D4A" w:rsidRPr="008D6B70" w:rsidRDefault="00074D4A" w:rsidP="00555AE1">
            <w:pPr>
              <w:pStyle w:val="TableText"/>
            </w:pPr>
            <w:r w:rsidRPr="008D6B70">
              <w:rPr>
                <w:u w:val="single"/>
              </w:rPr>
              <w:t>Daratumumab in combination with bortezomib and dexamethasone:</w:t>
            </w:r>
            <w:r w:rsidRPr="008D6B70">
              <w:t xml:space="preserve"> In patients with RRMM, DBd is more effective than Bd as assessed by statistically and clinically significant improvements in PFS, OS and a significantly higher ORR. DBd is associated with additional AEs compared with Bd, and therefore has an inferior safety profile. This </w:t>
            </w:r>
            <w:r w:rsidR="00BE6960" w:rsidRPr="008D6B70">
              <w:t>wa</w:t>
            </w:r>
            <w:r w:rsidRPr="008D6B70">
              <w:t>s supported by the evidence.</w:t>
            </w:r>
          </w:p>
          <w:p w:rsidR="00074D4A" w:rsidRPr="008D6B70" w:rsidRDefault="00074D4A" w:rsidP="00BE6960">
            <w:pPr>
              <w:pStyle w:val="TableText"/>
            </w:pPr>
            <w:r w:rsidRPr="008D6B70">
              <w:rPr>
                <w:u w:val="single"/>
              </w:rPr>
              <w:t>Daratumumab in combination with lenalidomide and dexamethasone:</w:t>
            </w:r>
            <w:r w:rsidRPr="008D6B70">
              <w:t xml:space="preserve"> In patients with RRMM, DLd is more effective than Ld as assessed by statistically and clinically significant improvements in PFS, OS and a significantly higher ORR. DLd is associated with additional AEs compared with Ld, and therefore has an inferior safety profile. This </w:t>
            </w:r>
            <w:r w:rsidR="00BE6960" w:rsidRPr="008D6B70">
              <w:t>wa</w:t>
            </w:r>
            <w:r w:rsidRPr="008D6B70">
              <w:t>s supported by the evidence.</w:t>
            </w:r>
          </w:p>
        </w:tc>
      </w:tr>
    </w:tbl>
    <w:p w:rsidR="00074D4A" w:rsidRPr="008D6B70" w:rsidRDefault="00074D4A" w:rsidP="005F48B6">
      <w:pPr>
        <w:pStyle w:val="TableFooter"/>
      </w:pPr>
      <w:r w:rsidRPr="008D6B70">
        <w:t>Abbreviations:</w:t>
      </w:r>
      <w:r w:rsidR="005F48B6" w:rsidRPr="008D6B70">
        <w:t xml:space="preserve"> </w:t>
      </w:r>
      <w:r w:rsidRPr="008D6B70">
        <w:t>AE, adverse events; Bd, bortezomib- dexamethasone; Cd; carfilzomib- dexamethasone; CLd; carfilzomib- lenalidomide- dexamethasone; DBd; daratumumab-bortezomib-dexamethasone; DLd; daratumumab-lenalidomide-dexamethasone; Ld, lenalidomide-dexamethasone; MRD, minimal residual disease; ORR, overall response rates; OS, overall survival; PFS, progression free survival; RRMM, relapsed and/or refractory multiple myeloma.</w:t>
      </w:r>
    </w:p>
    <w:p w:rsidR="00074D4A" w:rsidRPr="002F0658" w:rsidRDefault="00074D4A" w:rsidP="00645509">
      <w:pPr>
        <w:pStyle w:val="TableFooter"/>
        <w:ind w:left="1134" w:hanging="1134"/>
      </w:pPr>
      <w:r w:rsidRPr="008D6B70">
        <w:t xml:space="preserve">Source: </w:t>
      </w:r>
      <w:r w:rsidRPr="002F0658">
        <w:t xml:space="preserve">Table 1.2, p.15 Section 1 of the Submission. </w:t>
      </w:r>
    </w:p>
    <w:p w:rsidR="008D6B70" w:rsidRPr="002F0658" w:rsidRDefault="008D6B70" w:rsidP="008D6B70">
      <w:pPr>
        <w:pStyle w:val="ListParagraph"/>
        <w:ind w:left="709"/>
        <w:jc w:val="both"/>
        <w:rPr>
          <w:i/>
        </w:rPr>
      </w:pPr>
      <w:bookmarkStart w:id="3" w:name="_Toc413139272"/>
      <w:bookmarkStart w:id="4" w:name="_Toc492997382"/>
      <w:r w:rsidRPr="002F0658">
        <w:rPr>
          <w:i/>
        </w:rPr>
        <w:t>For more detail on PBAC’s view, see section 7 PBAC outcome.</w:t>
      </w:r>
    </w:p>
    <w:p w:rsidR="00074D4A" w:rsidRPr="002F0658" w:rsidRDefault="00074D4A" w:rsidP="00074D4A">
      <w:pPr>
        <w:pStyle w:val="Heading1"/>
        <w:ind w:left="709" w:hanging="709"/>
      </w:pPr>
      <w:r w:rsidRPr="002F0658">
        <w:lastRenderedPageBreak/>
        <w:t>Requested listing</w:t>
      </w:r>
      <w:bookmarkEnd w:id="3"/>
      <w:bookmarkEnd w:id="4"/>
      <w:r w:rsidRPr="002F0658">
        <w:t xml:space="preserve"> </w:t>
      </w:r>
    </w:p>
    <w:p w:rsidR="006A285A" w:rsidRPr="008D6B70" w:rsidRDefault="006A285A" w:rsidP="00C07F6D">
      <w:pPr>
        <w:pStyle w:val="ListParagraph"/>
        <w:numPr>
          <w:ilvl w:val="1"/>
          <w:numId w:val="139"/>
        </w:numPr>
        <w:jc w:val="both"/>
      </w:pPr>
      <w:r w:rsidRPr="008D6B70">
        <w:t>The submission proposed a “Multiple Myeloma Treatment Package” consisting of:</w:t>
      </w:r>
    </w:p>
    <w:p w:rsidR="006A285A" w:rsidRPr="008D6B70" w:rsidRDefault="006A285A" w:rsidP="006A285A">
      <w:pPr>
        <w:pStyle w:val="ListParagraph"/>
        <w:numPr>
          <w:ilvl w:val="1"/>
          <w:numId w:val="80"/>
        </w:numPr>
        <w:jc w:val="both"/>
        <w:rPr>
          <w:szCs w:val="24"/>
        </w:rPr>
      </w:pPr>
      <w:r w:rsidRPr="008D6B70">
        <w:rPr>
          <w:szCs w:val="24"/>
        </w:rPr>
        <w:t>A special pricing arrangement (SPA) for daratumumab</w:t>
      </w:r>
      <w:r w:rsidR="004A60FE" w:rsidRPr="008D6B70">
        <w:rPr>
          <w:szCs w:val="24"/>
        </w:rPr>
        <w:t xml:space="preserve"> </w:t>
      </w:r>
      <w:r w:rsidRPr="008D6B70">
        <w:rPr>
          <w:szCs w:val="24"/>
        </w:rPr>
        <w:t xml:space="preserve">for the </w:t>
      </w:r>
      <w:r w:rsidR="000A7F1F">
        <w:rPr>
          <w:noProof/>
          <w:color w:val="000000"/>
          <w:szCs w:val="24"/>
          <w:highlight w:val="black"/>
        </w:rPr>
        <w:t>''''''''' ''''''''''''''''''' '''''''''''''' ''''''' '''''''' ''' ''''''''''' '''''' '''''''' ''''''' ''' '''''''''''' '''''' ''''''''''</w:t>
      </w:r>
      <w:r w:rsidR="002537FF" w:rsidRPr="008D6B70">
        <w:rPr>
          <w:szCs w:val="24"/>
        </w:rPr>
        <w:t xml:space="preserve"> </w:t>
      </w:r>
      <w:r w:rsidRPr="008D6B70">
        <w:rPr>
          <w:szCs w:val="24"/>
        </w:rPr>
        <w:t xml:space="preserve">resulting in a price </w:t>
      </w:r>
      <w:r w:rsidR="0095078C">
        <w:rPr>
          <w:szCs w:val="24"/>
        </w:rPr>
        <w:t>which is</w:t>
      </w:r>
      <w:r w:rsidRPr="008D6B70">
        <w:rPr>
          <w:szCs w:val="24"/>
        </w:rPr>
        <w:t xml:space="preserve"> </w:t>
      </w:r>
      <w:r w:rsidR="000A7F1F">
        <w:rPr>
          <w:noProof/>
          <w:color w:val="000000"/>
          <w:szCs w:val="24"/>
          <w:highlight w:val="black"/>
        </w:rPr>
        <w:t>'''''''''''</w:t>
      </w:r>
      <w:r w:rsidR="004A60FE" w:rsidRPr="008D6B70">
        <w:rPr>
          <w:szCs w:val="24"/>
        </w:rPr>
        <w:t xml:space="preserve">% of the AEMP of daratumumab when used with bortezomib and </w:t>
      </w:r>
      <w:r w:rsidR="000A7F1F">
        <w:rPr>
          <w:noProof/>
          <w:color w:val="000000"/>
          <w:szCs w:val="24"/>
          <w:highlight w:val="black"/>
        </w:rPr>
        <w:t>''''''</w:t>
      </w:r>
      <w:r w:rsidR="004A60FE" w:rsidRPr="008D6B70">
        <w:rPr>
          <w:szCs w:val="24"/>
        </w:rPr>
        <w:t>% of the AEMP of daratumumab when used with lenalidomide</w:t>
      </w:r>
      <w:r w:rsidRPr="008D6B70">
        <w:rPr>
          <w:szCs w:val="24"/>
        </w:rPr>
        <w:t xml:space="preserve">. </w:t>
      </w:r>
    </w:p>
    <w:p w:rsidR="006A285A" w:rsidRPr="008D6B70" w:rsidRDefault="0095078C" w:rsidP="006A285A">
      <w:pPr>
        <w:pStyle w:val="ListParagraph"/>
        <w:numPr>
          <w:ilvl w:val="1"/>
          <w:numId w:val="80"/>
        </w:numPr>
        <w:jc w:val="both"/>
        <w:rPr>
          <w:szCs w:val="24"/>
        </w:rPr>
      </w:pPr>
      <w:r>
        <w:rPr>
          <w:szCs w:val="24"/>
        </w:rPr>
        <w:t>Simplification of the</w:t>
      </w:r>
      <w:r w:rsidR="006A285A" w:rsidRPr="008D6B70">
        <w:rPr>
          <w:szCs w:val="24"/>
        </w:rPr>
        <w:t xml:space="preserve"> wording for the PBS listing of bortezomib to “treatment of multiple myeloma”, in line with that applied to thalidomide.</w:t>
      </w:r>
    </w:p>
    <w:p w:rsidR="006A285A" w:rsidRPr="000A7F1F" w:rsidRDefault="000A7F1F" w:rsidP="000A7F1F">
      <w:pPr>
        <w:ind w:left="1080" w:hanging="360"/>
        <w:rPr>
          <w:szCs w:val="24"/>
          <w:highlight w:val="black"/>
        </w:rPr>
      </w:pP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p>
    <w:p w:rsidR="006A285A" w:rsidRPr="000A7F1F" w:rsidRDefault="000A7F1F" w:rsidP="000A7F1F">
      <w:pPr>
        <w:spacing w:after="0"/>
        <w:ind w:left="1440" w:hanging="360"/>
        <w:rPr>
          <w:szCs w:val="24"/>
          <w:highlight w:val="black"/>
        </w:rPr>
      </w:pP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p>
    <w:p w:rsidR="006A285A" w:rsidRPr="000A7F1F" w:rsidRDefault="000A7F1F" w:rsidP="000A7F1F">
      <w:pPr>
        <w:spacing w:after="0"/>
        <w:ind w:left="1440" w:hanging="360"/>
        <w:rPr>
          <w:szCs w:val="24"/>
          <w:highlight w:val="black"/>
        </w:rPr>
      </w:pP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r>
        <w:rPr>
          <w:rFonts w:ascii="Symbol" w:eastAsiaTheme="minorHAnsi" w:hAnsi="Symbol" w:cstheme="minorBidi"/>
          <w:noProof/>
          <w:color w:val="000000"/>
          <w:sz w:val="24"/>
          <w:szCs w:val="24"/>
          <w:highlight w:val="black"/>
          <w:lang w:val="en-AU"/>
        </w:rPr>
        <w:t></w:t>
      </w:r>
    </w:p>
    <w:p w:rsidR="007E324A" w:rsidRDefault="000827BF" w:rsidP="00BD2C6B">
      <w:pPr>
        <w:pStyle w:val="ListParagraph"/>
        <w:numPr>
          <w:ilvl w:val="1"/>
          <w:numId w:val="139"/>
        </w:numPr>
        <w:jc w:val="both"/>
      </w:pPr>
      <w:r w:rsidRPr="008D6B70">
        <w:t xml:space="preserve">The PSCR (p4) accepted most </w:t>
      </w:r>
      <w:r w:rsidR="001E187E" w:rsidRPr="008D6B70">
        <w:t xml:space="preserve">restriction </w:t>
      </w:r>
      <w:r w:rsidRPr="008D6B70">
        <w:t>changes suggested by the Secretariat</w:t>
      </w:r>
      <w:r w:rsidR="001E187E" w:rsidRPr="008D6B70">
        <w:t>.</w:t>
      </w:r>
      <w:r w:rsidRPr="008D6B70">
        <w:t xml:space="preserve"> </w:t>
      </w:r>
      <w:r w:rsidR="001E187E" w:rsidRPr="008D6B70">
        <w:t>R</w:t>
      </w:r>
      <w:r w:rsidR="006A285A" w:rsidRPr="008D6B70">
        <w:t>estriction wording that was changed in the PSCR ha</w:t>
      </w:r>
      <w:r w:rsidR="003C7F51">
        <w:t>s</w:t>
      </w:r>
      <w:r w:rsidR="006A285A" w:rsidRPr="008D6B70">
        <w:t xml:space="preserve"> been indicated in italics for additions and strikethrough for deletions. The prescriber instructions and administrative advice have been excluded for brevity as they do not include any changes. The PSCR argued that the continuing restriction for DBd should allow daratumumab monotherapy, as this was consistent with the trial where </w:t>
      </w:r>
      <w:r w:rsidR="00944253" w:rsidRPr="008D6B70">
        <w:t>patients</w:t>
      </w:r>
      <w:r w:rsidR="006A285A" w:rsidRPr="008D6B70">
        <w:t xml:space="preserve"> only received 8 initial cycles </w:t>
      </w:r>
      <w:r w:rsidR="00A50016">
        <w:t xml:space="preserve">of </w:t>
      </w:r>
      <w:r w:rsidR="006A285A" w:rsidRPr="008D6B70">
        <w:t>DBd combination therapy. The PSCR also argued that continuing treatment with Ld should not be required for the DLd continuing restriction to allow patients who experienced treatment toxicities to continue on daratumumab monotherapy.</w:t>
      </w:r>
      <w:r w:rsidR="00BD2C6B">
        <w:t xml:space="preserve"> </w:t>
      </w:r>
    </w:p>
    <w:p w:rsidR="009A0BF0" w:rsidRPr="008D6B70" w:rsidRDefault="009A0BF0" w:rsidP="00BD2C6B">
      <w:pPr>
        <w:pStyle w:val="ListParagraph"/>
        <w:numPr>
          <w:ilvl w:val="1"/>
          <w:numId w:val="139"/>
        </w:numPr>
        <w:jc w:val="both"/>
      </w:pPr>
      <w:r w:rsidRPr="008D6B70">
        <w:t xml:space="preserve">The submission proposed an amendment to the current </w:t>
      </w:r>
      <w:r w:rsidR="003C7F51">
        <w:t xml:space="preserve">PBS </w:t>
      </w:r>
      <w:r w:rsidRPr="008D6B70">
        <w:t>restriction</w:t>
      </w:r>
      <w:r w:rsidR="003C7F51">
        <w:t>s for bortezimib and</w:t>
      </w:r>
      <w:r w:rsidRPr="008D6B70">
        <w:t xml:space="preserve"> lenalidomide to allow for use in combination with daratumumab in RRMM</w:t>
      </w:r>
      <w:r>
        <w:t xml:space="preserve"> (see below)</w:t>
      </w:r>
      <w:r w:rsidRPr="008D6B70">
        <w:t>.</w:t>
      </w:r>
    </w:p>
    <w:p w:rsidR="00074D4A" w:rsidRPr="008D6B70" w:rsidRDefault="00074D4A" w:rsidP="00074D4A">
      <w:pPr>
        <w:pStyle w:val="TableText"/>
        <w:rPr>
          <w:b/>
        </w:rPr>
      </w:pPr>
      <w:r w:rsidRPr="008D6B70">
        <w:rPr>
          <w:b/>
        </w:rPr>
        <w:lastRenderedPageBreak/>
        <w:t xml:space="preserve">Daratumumab with bortezomib and dexamethasone </w:t>
      </w:r>
    </w:p>
    <w:tbl>
      <w:tblPr>
        <w:tblW w:w="5010" w:type="pct"/>
        <w:tblCellMar>
          <w:left w:w="28" w:type="dxa"/>
          <w:right w:w="28" w:type="dxa"/>
        </w:tblCellMar>
        <w:tblLook w:val="0000" w:firstRow="0" w:lastRow="0" w:firstColumn="0" w:lastColumn="0" w:noHBand="0" w:noVBand="0"/>
      </w:tblPr>
      <w:tblGrid>
        <w:gridCol w:w="1908"/>
        <w:gridCol w:w="803"/>
        <w:gridCol w:w="999"/>
        <w:gridCol w:w="1188"/>
        <w:gridCol w:w="1556"/>
        <w:gridCol w:w="1050"/>
        <w:gridCol w:w="1596"/>
      </w:tblGrid>
      <w:tr w:rsidR="00074D4A" w:rsidRPr="008D6B70" w:rsidTr="00555AE1">
        <w:trPr>
          <w:cantSplit/>
          <w:trHeight w:val="463"/>
        </w:trPr>
        <w:tc>
          <w:tcPr>
            <w:tcW w:w="1489" w:type="pct"/>
            <w:gridSpan w:val="2"/>
            <w:tcBorders>
              <w:bottom w:val="single" w:sz="4" w:space="0" w:color="auto"/>
            </w:tcBorders>
            <w:vAlign w:val="center"/>
          </w:tcPr>
          <w:p w:rsidR="00074D4A" w:rsidRPr="008D6B70" w:rsidRDefault="00074D4A" w:rsidP="00555AE1">
            <w:pPr>
              <w:pStyle w:val="TableText"/>
              <w:rPr>
                <w:b/>
              </w:rPr>
            </w:pPr>
            <w:r w:rsidRPr="008D6B70">
              <w:rPr>
                <w:b/>
              </w:rPr>
              <w:t>Name, Restriction,</w:t>
            </w:r>
          </w:p>
          <w:p w:rsidR="00074D4A" w:rsidRPr="008D6B70" w:rsidRDefault="00074D4A" w:rsidP="00555AE1">
            <w:pPr>
              <w:pStyle w:val="TableText"/>
              <w:rPr>
                <w:b/>
              </w:rPr>
            </w:pPr>
            <w:r w:rsidRPr="008D6B70">
              <w:rPr>
                <w:b/>
              </w:rPr>
              <w:t>Manner of administration and form</w:t>
            </w:r>
          </w:p>
        </w:tc>
        <w:tc>
          <w:tcPr>
            <w:tcW w:w="549" w:type="pct"/>
            <w:tcBorders>
              <w:bottom w:val="single" w:sz="4" w:space="0" w:color="auto"/>
            </w:tcBorders>
            <w:vAlign w:val="center"/>
          </w:tcPr>
          <w:p w:rsidR="00074D4A" w:rsidRPr="008D6B70" w:rsidRDefault="00074D4A" w:rsidP="00555AE1">
            <w:pPr>
              <w:pStyle w:val="TableText"/>
              <w:rPr>
                <w:b/>
              </w:rPr>
            </w:pPr>
            <w:r w:rsidRPr="008D6B70">
              <w:rPr>
                <w:b/>
              </w:rPr>
              <w:t>Max. Amt</w:t>
            </w:r>
          </w:p>
        </w:tc>
        <w:tc>
          <w:tcPr>
            <w:tcW w:w="653" w:type="pct"/>
            <w:tcBorders>
              <w:bottom w:val="single" w:sz="4" w:space="0" w:color="auto"/>
            </w:tcBorders>
            <w:vAlign w:val="center"/>
          </w:tcPr>
          <w:p w:rsidR="00074D4A" w:rsidRPr="008D6B70" w:rsidRDefault="00074D4A" w:rsidP="00555AE1">
            <w:pPr>
              <w:pStyle w:val="TableText"/>
              <w:rPr>
                <w:b/>
              </w:rPr>
            </w:pPr>
            <w:r w:rsidRPr="008D6B70">
              <w:rPr>
                <w:b/>
              </w:rPr>
              <w:t>№.of</w:t>
            </w:r>
          </w:p>
          <w:p w:rsidR="00074D4A" w:rsidRPr="008D6B70" w:rsidRDefault="00074D4A" w:rsidP="00555AE1">
            <w:pPr>
              <w:pStyle w:val="TableText"/>
              <w:rPr>
                <w:b/>
              </w:rPr>
            </w:pPr>
            <w:r w:rsidRPr="008D6B70">
              <w:rPr>
                <w:b/>
              </w:rPr>
              <w:t>Rpts</w:t>
            </w:r>
          </w:p>
        </w:tc>
        <w:tc>
          <w:tcPr>
            <w:tcW w:w="855" w:type="pct"/>
            <w:tcBorders>
              <w:bottom w:val="single" w:sz="4" w:space="0" w:color="auto"/>
            </w:tcBorders>
            <w:vAlign w:val="center"/>
          </w:tcPr>
          <w:p w:rsidR="00074D4A" w:rsidRPr="008D6B70" w:rsidRDefault="00074D4A" w:rsidP="00555AE1">
            <w:pPr>
              <w:pStyle w:val="TableText"/>
              <w:rPr>
                <w:b/>
              </w:rPr>
            </w:pPr>
            <w:r w:rsidRPr="008D6B70">
              <w:rPr>
                <w:b/>
              </w:rPr>
              <w:t>Dispensed Price for Max. Amt</w:t>
            </w:r>
          </w:p>
        </w:tc>
        <w:tc>
          <w:tcPr>
            <w:tcW w:w="1454" w:type="pct"/>
            <w:gridSpan w:val="2"/>
            <w:tcBorders>
              <w:bottom w:val="single" w:sz="4" w:space="0" w:color="auto"/>
            </w:tcBorders>
            <w:vAlign w:val="center"/>
          </w:tcPr>
          <w:p w:rsidR="00074D4A" w:rsidRPr="008D6B70" w:rsidRDefault="00074D4A" w:rsidP="00555AE1">
            <w:pPr>
              <w:pStyle w:val="TableText"/>
              <w:rPr>
                <w:b/>
                <w:lang w:val="fr-FR"/>
              </w:rPr>
            </w:pPr>
            <w:r w:rsidRPr="008D6B70">
              <w:rPr>
                <w:b/>
              </w:rPr>
              <w:t>Proprietary Name and Manufacturer</w:t>
            </w:r>
          </w:p>
        </w:tc>
      </w:tr>
      <w:tr w:rsidR="00074D4A" w:rsidRPr="008D6B70" w:rsidTr="00555AE1">
        <w:trPr>
          <w:cantSplit/>
          <w:trHeight w:val="567"/>
        </w:trPr>
        <w:tc>
          <w:tcPr>
            <w:tcW w:w="1489" w:type="pct"/>
            <w:gridSpan w:val="2"/>
            <w:vAlign w:val="center"/>
          </w:tcPr>
          <w:p w:rsidR="00074D4A" w:rsidRPr="008D6B70" w:rsidRDefault="00074D4A" w:rsidP="00555AE1">
            <w:pPr>
              <w:pStyle w:val="TableText"/>
            </w:pPr>
            <w:r w:rsidRPr="008D6B70">
              <w:rPr>
                <w:smallCaps/>
              </w:rPr>
              <w:t>DARATUMUMAB</w:t>
            </w:r>
          </w:p>
          <w:p w:rsidR="00074D4A" w:rsidRPr="008D6B70" w:rsidRDefault="00074D4A" w:rsidP="009D2106">
            <w:pPr>
              <w:pStyle w:val="TableText"/>
            </w:pPr>
            <w:r w:rsidRPr="008D6B70">
              <w:t xml:space="preserve">VIAL, 400 </w:t>
            </w:r>
            <w:r w:rsidR="009D2106" w:rsidRPr="008D6B70">
              <w:t>mg</w:t>
            </w:r>
            <w:r w:rsidRPr="008D6B70">
              <w:t xml:space="preserve"> and 100 </w:t>
            </w:r>
            <w:r w:rsidR="009D2106" w:rsidRPr="008D6B70">
              <w:t>mg</w:t>
            </w:r>
          </w:p>
        </w:tc>
        <w:tc>
          <w:tcPr>
            <w:tcW w:w="549" w:type="pct"/>
            <w:vAlign w:val="center"/>
          </w:tcPr>
          <w:p w:rsidR="00074D4A" w:rsidRPr="008D6B70" w:rsidRDefault="00074D4A" w:rsidP="00555AE1">
            <w:pPr>
              <w:pStyle w:val="TableText"/>
            </w:pPr>
          </w:p>
          <w:p w:rsidR="00074D4A" w:rsidRPr="008D6B70" w:rsidRDefault="00074D4A" w:rsidP="00555AE1">
            <w:pPr>
              <w:pStyle w:val="TableText"/>
            </w:pPr>
            <w:r w:rsidRPr="008D6B70">
              <w:t>1920 </w:t>
            </w:r>
            <w:r w:rsidR="000E19FC" w:rsidRPr="008D6B70">
              <w:t>mg</w:t>
            </w:r>
          </w:p>
        </w:tc>
        <w:tc>
          <w:tcPr>
            <w:tcW w:w="653" w:type="pct"/>
            <w:vAlign w:val="center"/>
          </w:tcPr>
          <w:p w:rsidR="00074D4A" w:rsidRPr="008D6B70" w:rsidRDefault="00074D4A" w:rsidP="00555AE1">
            <w:pPr>
              <w:pStyle w:val="TableText"/>
            </w:pPr>
          </w:p>
          <w:p w:rsidR="00074D4A" w:rsidRPr="008D6B70" w:rsidRDefault="00074D4A" w:rsidP="00555AE1">
            <w:pPr>
              <w:pStyle w:val="TableText"/>
            </w:pPr>
            <w:r w:rsidRPr="008D6B70">
              <w:t>13 (initial)</w:t>
            </w:r>
          </w:p>
          <w:p w:rsidR="00074D4A" w:rsidRPr="008D6B70" w:rsidRDefault="00074D4A" w:rsidP="00555AE1">
            <w:pPr>
              <w:pStyle w:val="TableText"/>
            </w:pPr>
            <w:r w:rsidRPr="008D6B70">
              <w:t xml:space="preserve">5 (continuing) </w:t>
            </w:r>
          </w:p>
        </w:tc>
        <w:tc>
          <w:tcPr>
            <w:tcW w:w="855" w:type="pct"/>
            <w:vAlign w:val="center"/>
          </w:tcPr>
          <w:p w:rsidR="00074D4A" w:rsidRPr="008D6B70" w:rsidRDefault="00074D4A" w:rsidP="00555AE1">
            <w:pPr>
              <w:pStyle w:val="TableText"/>
              <w:keepNext w:val="0"/>
              <w:widowControl w:val="0"/>
            </w:pPr>
            <w:r w:rsidRPr="008D6B70">
              <w:t>Public hospital: $</w:t>
            </w:r>
            <w:r w:rsidR="000A7F1F">
              <w:rPr>
                <w:noProof/>
                <w:color w:val="000000"/>
                <w:highlight w:val="black"/>
              </w:rPr>
              <w:t>'''''''''''''''''''''''''</w:t>
            </w:r>
          </w:p>
          <w:p w:rsidR="00074D4A" w:rsidRPr="008D6B70" w:rsidRDefault="00074D4A" w:rsidP="00555AE1">
            <w:pPr>
              <w:pStyle w:val="TableText"/>
              <w:keepNext w:val="0"/>
              <w:widowControl w:val="0"/>
            </w:pPr>
            <w:r w:rsidRPr="008D6B70">
              <w:t>Private hospital: $</w:t>
            </w:r>
            <w:r w:rsidR="000A7F1F">
              <w:rPr>
                <w:noProof/>
                <w:color w:val="000000"/>
                <w:highlight w:val="black"/>
              </w:rPr>
              <w:t>'''''''''''''''''''''''</w:t>
            </w:r>
          </w:p>
        </w:tc>
        <w:tc>
          <w:tcPr>
            <w:tcW w:w="577" w:type="pct"/>
            <w:vAlign w:val="center"/>
          </w:tcPr>
          <w:p w:rsidR="00074D4A" w:rsidRPr="008D6B70" w:rsidRDefault="00074D4A" w:rsidP="00555AE1">
            <w:pPr>
              <w:pStyle w:val="TableText"/>
            </w:pPr>
            <w:r w:rsidRPr="008D6B70">
              <w:t>DARZALEX®</w:t>
            </w:r>
          </w:p>
        </w:tc>
        <w:tc>
          <w:tcPr>
            <w:tcW w:w="877" w:type="pct"/>
            <w:vAlign w:val="center"/>
          </w:tcPr>
          <w:p w:rsidR="00074D4A" w:rsidRPr="008D6B70" w:rsidRDefault="00074D4A" w:rsidP="00555AE1">
            <w:pPr>
              <w:pStyle w:val="TableText"/>
            </w:pPr>
            <w:r w:rsidRPr="008D6B70">
              <w:t>Janssen Cilag Pty Ltd</w:t>
            </w:r>
          </w:p>
        </w:tc>
      </w:tr>
      <w:tr w:rsidR="00074D4A" w:rsidRPr="008D6B70" w:rsidTr="00555AE1">
        <w:tblPrEx>
          <w:tblCellMar>
            <w:left w:w="108" w:type="dxa"/>
            <w:right w:w="108" w:type="dxa"/>
          </w:tblCellMar>
        </w:tblPrEx>
        <w:trPr>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Category / Program:</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Section 100 – Efficient Funding for Chemotherapy</w:t>
            </w:r>
          </w:p>
        </w:tc>
      </w:tr>
      <w:tr w:rsidR="00074D4A" w:rsidRPr="008D6B70" w:rsidTr="00555AE1">
        <w:tblPrEx>
          <w:tblCellMar>
            <w:left w:w="108" w:type="dxa"/>
            <w:right w:w="108" w:type="dxa"/>
          </w:tblCellMar>
        </w:tblPrEx>
        <w:trPr>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PBS Indication:</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Multiple Myeloma</w:t>
            </w:r>
          </w:p>
        </w:tc>
      </w:tr>
      <w:tr w:rsidR="00074D4A" w:rsidRPr="008D6B70" w:rsidTr="00555AE1">
        <w:tblPrEx>
          <w:tblCellMar>
            <w:left w:w="108" w:type="dxa"/>
            <w:right w:w="108" w:type="dxa"/>
          </w:tblCellMar>
        </w:tblPrEx>
        <w:trPr>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Treatment phase:</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 xml:space="preserve">Initial and Continuing </w:t>
            </w:r>
          </w:p>
        </w:tc>
      </w:tr>
      <w:tr w:rsidR="00074D4A" w:rsidRPr="008D6B70" w:rsidTr="00555AE1">
        <w:tblPrEx>
          <w:tblCellMar>
            <w:left w:w="108" w:type="dxa"/>
            <w:right w:w="108" w:type="dxa"/>
          </w:tblCellMar>
        </w:tblPrEx>
        <w:trPr>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Restriction:</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 xml:space="preserve">Authority required (Telephone) </w:t>
            </w:r>
          </w:p>
        </w:tc>
      </w:tr>
      <w:tr w:rsidR="00074D4A" w:rsidRPr="008D6B70" w:rsidTr="00555AE1">
        <w:tblPrEx>
          <w:tblCellMar>
            <w:left w:w="108" w:type="dxa"/>
            <w:right w:w="108" w:type="dxa"/>
          </w:tblCellMar>
        </w:tblPrEx>
        <w:trPr>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Clinical criteria:</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spacing w:after="0" w:line="240" w:lineRule="auto"/>
              <w:rPr>
                <w:rFonts w:ascii="Arial Narrow" w:eastAsia="Times New Roman" w:hAnsi="Arial Narrow" w:cs="Arial"/>
                <w:szCs w:val="20"/>
                <w:u w:val="single"/>
                <w:lang w:eastAsia="en-AU"/>
              </w:rPr>
            </w:pPr>
            <w:r w:rsidRPr="008D6B70">
              <w:rPr>
                <w:rFonts w:ascii="Arial Narrow" w:eastAsia="Times New Roman" w:hAnsi="Arial Narrow" w:cs="Arial"/>
                <w:szCs w:val="20"/>
                <w:u w:val="single"/>
                <w:lang w:eastAsia="en-AU"/>
              </w:rPr>
              <w:t>Initial:</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The condition must be confirmed by a histological diagnosis</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The treatment must be in combination with bortezomib and dexamethasone.</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 xml:space="preserve">AND </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Patient must have progressive disease after at least one prior therapy</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0827BF" w:rsidRPr="008D6B70" w:rsidRDefault="00074D4A" w:rsidP="000827BF">
            <w:pPr>
              <w:pStyle w:val="TableText"/>
              <w:rPr>
                <w:rFonts w:cs="Arial"/>
                <w:szCs w:val="20"/>
              </w:rPr>
            </w:pPr>
            <w:r w:rsidRPr="008D6B70">
              <w:rPr>
                <w:rFonts w:eastAsia="Times New Roman" w:cs="Arial"/>
                <w:szCs w:val="20"/>
                <w:lang w:eastAsia="en-AU"/>
              </w:rPr>
              <w:t>Patient must not be receiving concomitant PBS-subsidised lenalidomide, thalidomide</w:t>
            </w:r>
            <w:r w:rsidR="000827BF" w:rsidRPr="008D6B70">
              <w:rPr>
                <w:rFonts w:eastAsia="Times New Roman" w:cs="Arial"/>
                <w:szCs w:val="20"/>
                <w:lang w:eastAsia="en-AU"/>
              </w:rPr>
              <w:t>,</w:t>
            </w:r>
            <w:r w:rsidRPr="008D6B70">
              <w:rPr>
                <w:rFonts w:eastAsia="Times New Roman" w:cs="Arial"/>
                <w:szCs w:val="20"/>
                <w:lang w:eastAsia="en-AU"/>
              </w:rPr>
              <w:t xml:space="preserve"> pomalidomide</w:t>
            </w:r>
            <w:r w:rsidR="000827BF" w:rsidRPr="008D6B70">
              <w:rPr>
                <w:rFonts w:eastAsia="Times New Roman" w:cs="Arial"/>
                <w:szCs w:val="20"/>
                <w:lang w:eastAsia="en-AU"/>
              </w:rPr>
              <w:t xml:space="preserve"> or carfilzomib</w:t>
            </w:r>
            <w:r w:rsidRPr="008D6B70">
              <w:rPr>
                <w:rFonts w:eastAsia="Times New Roman" w:cs="Arial"/>
                <w:szCs w:val="20"/>
                <w:lang w:eastAsia="en-AU"/>
              </w:rPr>
              <w:t>.</w:t>
            </w:r>
            <w:r w:rsidR="000827BF" w:rsidRPr="008D6B70">
              <w:rPr>
                <w:rFonts w:cs="Arial"/>
                <w:szCs w:val="20"/>
              </w:rPr>
              <w:t xml:space="preserve"> </w:t>
            </w:r>
          </w:p>
          <w:p w:rsidR="000827BF" w:rsidRPr="008D6B70" w:rsidRDefault="000827BF" w:rsidP="000827BF">
            <w:pPr>
              <w:pStyle w:val="TableText"/>
              <w:rPr>
                <w:rFonts w:eastAsia="Times New Roman" w:cs="Arial"/>
                <w:szCs w:val="20"/>
                <w:lang w:val="en-US" w:eastAsia="en-AU"/>
              </w:rPr>
            </w:pPr>
            <w:r w:rsidRPr="008D6B70">
              <w:rPr>
                <w:rFonts w:eastAsia="Times New Roman" w:cs="Arial"/>
                <w:szCs w:val="20"/>
                <w:lang w:val="en-US" w:eastAsia="en-AU"/>
              </w:rPr>
              <w:t>AND</w:t>
            </w:r>
          </w:p>
          <w:p w:rsidR="000827BF" w:rsidRPr="008D6B70" w:rsidRDefault="000827BF" w:rsidP="000827BF">
            <w:pPr>
              <w:pStyle w:val="TableText"/>
              <w:rPr>
                <w:rFonts w:eastAsia="Times New Roman" w:cs="Arial"/>
                <w:szCs w:val="20"/>
                <w:lang w:val="en-US" w:eastAsia="en-AU"/>
              </w:rPr>
            </w:pPr>
            <w:r w:rsidRPr="008D6B70">
              <w:rPr>
                <w:rFonts w:eastAsia="Times New Roman" w:cs="Arial"/>
                <w:szCs w:val="20"/>
                <w:lang w:val="en-US" w:eastAsia="en-AU"/>
              </w:rPr>
              <w:t>Patient must not receive more than eight cycles of treatment under this restriction</w:t>
            </w:r>
          </w:p>
          <w:p w:rsidR="000827BF" w:rsidRPr="008D6B70" w:rsidRDefault="000827BF" w:rsidP="000827BF">
            <w:pPr>
              <w:pStyle w:val="TableText"/>
              <w:rPr>
                <w:rFonts w:eastAsia="Times New Roman" w:cs="Arial"/>
                <w:szCs w:val="20"/>
                <w:lang w:val="en-US" w:eastAsia="en-AU"/>
              </w:rPr>
            </w:pPr>
            <w:r w:rsidRPr="008D6B70">
              <w:rPr>
                <w:rFonts w:eastAsia="Times New Roman" w:cs="Arial"/>
                <w:szCs w:val="20"/>
                <w:lang w:val="en-US" w:eastAsia="en-AU"/>
              </w:rPr>
              <w:t>AND</w:t>
            </w:r>
          </w:p>
          <w:p w:rsidR="00074D4A" w:rsidRPr="008D6B70" w:rsidRDefault="000827BF" w:rsidP="000827BF">
            <w:pPr>
              <w:pStyle w:val="TableText"/>
              <w:rPr>
                <w:rFonts w:eastAsia="Times New Roman" w:cs="Arial"/>
                <w:szCs w:val="20"/>
                <w:lang w:eastAsia="en-AU"/>
              </w:rPr>
            </w:pPr>
            <w:r w:rsidRPr="008D6B70">
              <w:rPr>
                <w:rFonts w:eastAsia="Times New Roman" w:cs="Arial"/>
                <w:szCs w:val="20"/>
                <w:lang w:val="en-US" w:eastAsia="en-AU"/>
              </w:rPr>
              <w:t>Patient must not have previously received this drug for this condition</w:t>
            </w:r>
          </w:p>
          <w:p w:rsidR="00074D4A" w:rsidRPr="008D6B70" w:rsidRDefault="00074D4A" w:rsidP="00555AE1">
            <w:pPr>
              <w:pStyle w:val="TableText"/>
              <w:rPr>
                <w:rFonts w:eastAsia="Times New Roman" w:cs="Arial"/>
                <w:szCs w:val="20"/>
                <w:u w:val="single"/>
                <w:lang w:eastAsia="en-AU"/>
              </w:rPr>
            </w:pPr>
            <w:r w:rsidRPr="008D6B70">
              <w:rPr>
                <w:rFonts w:eastAsia="Times New Roman" w:cs="Arial"/>
                <w:szCs w:val="20"/>
                <w:u w:val="single"/>
                <w:lang w:eastAsia="en-AU"/>
              </w:rPr>
              <w:t>Continuing:</w:t>
            </w:r>
          </w:p>
          <w:p w:rsidR="00074D4A" w:rsidRPr="008D6B70" w:rsidRDefault="000827BF"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Patient must have previously received PBS-subsidised treatment with an authority prescription for this drug for this condition</w:t>
            </w:r>
            <w:r w:rsidRPr="008D6B70" w:rsidDel="000827BF">
              <w:rPr>
                <w:rFonts w:ascii="Arial Narrow" w:eastAsia="Times New Roman" w:hAnsi="Arial Narrow" w:cs="Arial"/>
                <w:szCs w:val="20"/>
                <w:lang w:eastAsia="en-AU"/>
              </w:rPr>
              <w:t xml:space="preserve"> </w:t>
            </w:r>
            <w:r w:rsidR="00074D4A" w:rsidRPr="008D6B70">
              <w:rPr>
                <w:rFonts w:ascii="Arial Narrow" w:eastAsia="Times New Roman" w:hAnsi="Arial Narrow" w:cs="Arial"/>
                <w:szCs w:val="20"/>
                <w:lang w:eastAsia="en-AU"/>
              </w:rPr>
              <w:t>AND</w:t>
            </w:r>
          </w:p>
          <w:p w:rsidR="000827BF" w:rsidRPr="008D6B70" w:rsidRDefault="006A285A" w:rsidP="000827BF">
            <w:pPr>
              <w:spacing w:after="0" w:line="240" w:lineRule="auto"/>
              <w:rPr>
                <w:rFonts w:ascii="Arial Narrow" w:eastAsia="Times New Roman" w:hAnsi="Arial Narrow" w:cs="Arial"/>
                <w:strike/>
                <w:szCs w:val="20"/>
                <w:lang w:eastAsia="en-AU"/>
              </w:rPr>
            </w:pPr>
            <w:r w:rsidRPr="008D6B70">
              <w:rPr>
                <w:rFonts w:ascii="Arial Narrow" w:eastAsia="Times New Roman" w:hAnsi="Arial Narrow" w:cs="Arial"/>
                <w:szCs w:val="20"/>
                <w:lang w:val="en-AU" w:eastAsia="en-AU"/>
              </w:rPr>
              <w:t>The patient must have previously received PBS-subsidised treatment with this drug in combination with bortezomib and dexamethasone as initial treatment in the current course of treatment</w:t>
            </w:r>
            <w:r w:rsidRPr="008D6B70">
              <w:rPr>
                <w:rFonts w:ascii="Arial Narrow" w:eastAsia="Times New Roman" w:hAnsi="Arial Narrow" w:cs="Arial"/>
                <w:strike/>
                <w:szCs w:val="20"/>
                <w:lang w:eastAsia="en-AU"/>
              </w:rPr>
              <w:t xml:space="preserve"> </w:t>
            </w:r>
            <w:r w:rsidR="000827BF" w:rsidRPr="008D6B70">
              <w:rPr>
                <w:rFonts w:ascii="Arial Narrow" w:eastAsia="Times New Roman" w:hAnsi="Arial Narrow" w:cs="Arial"/>
                <w:strike/>
                <w:szCs w:val="20"/>
                <w:lang w:eastAsia="en-AU"/>
              </w:rPr>
              <w:t>The treatment must be in combination with bortezomib and dexamethasone,</w:t>
            </w:r>
          </w:p>
          <w:p w:rsidR="000827BF" w:rsidRPr="008D6B70" w:rsidRDefault="000827BF" w:rsidP="000827BF">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074D4A" w:rsidRPr="008D6B70" w:rsidRDefault="000827BF" w:rsidP="000827BF">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 xml:space="preserve">Patient must not develop disease progression while receiving treatment with this drug for this condition </w:t>
            </w:r>
            <w:r w:rsidR="00074D4A" w:rsidRPr="008D6B70">
              <w:rPr>
                <w:rFonts w:ascii="Arial Narrow" w:eastAsia="Times New Roman" w:hAnsi="Arial Narrow" w:cs="Arial"/>
                <w:strike/>
                <w:szCs w:val="20"/>
                <w:lang w:eastAsia="en-AU"/>
              </w:rPr>
              <w:t xml:space="preserve">Patient must not have progressive disease </w:t>
            </w:r>
          </w:p>
          <w:p w:rsidR="00074D4A" w:rsidRPr="008D6B70" w:rsidRDefault="00074D4A" w:rsidP="00555AE1">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074D4A" w:rsidRPr="008D6B70" w:rsidRDefault="00074D4A">
            <w:pPr>
              <w:pStyle w:val="TableText"/>
              <w:rPr>
                <w:u w:val="single"/>
              </w:rPr>
            </w:pPr>
            <w:r w:rsidRPr="008D6B70">
              <w:rPr>
                <w:rFonts w:eastAsia="Times New Roman" w:cs="Arial"/>
                <w:szCs w:val="20"/>
                <w:lang w:eastAsia="en-AU"/>
              </w:rPr>
              <w:t>Patient must not be receiving concomitant PBS-subsidised bortezomib, lenalidomide, thalidomide</w:t>
            </w:r>
            <w:r w:rsidR="000827BF" w:rsidRPr="008D6B70">
              <w:rPr>
                <w:rFonts w:eastAsia="Times New Roman" w:cs="Arial"/>
                <w:szCs w:val="20"/>
                <w:lang w:eastAsia="en-AU"/>
              </w:rPr>
              <w:t>,</w:t>
            </w:r>
            <w:r w:rsidRPr="008D6B70">
              <w:rPr>
                <w:rFonts w:eastAsia="Times New Roman" w:cs="Arial"/>
                <w:szCs w:val="20"/>
                <w:lang w:eastAsia="en-AU"/>
              </w:rPr>
              <w:t xml:space="preserve"> pomalidomide</w:t>
            </w:r>
            <w:r w:rsidR="000827BF" w:rsidRPr="008D6B70">
              <w:rPr>
                <w:rFonts w:eastAsia="Times New Roman" w:cs="Arial"/>
                <w:szCs w:val="20"/>
                <w:lang w:eastAsia="en-AU"/>
              </w:rPr>
              <w:t xml:space="preserve"> or carfilzomib</w:t>
            </w:r>
            <w:r w:rsidRPr="008D6B70">
              <w:rPr>
                <w:rFonts w:eastAsia="Times New Roman" w:cs="Arial"/>
                <w:szCs w:val="20"/>
                <w:lang w:eastAsia="en-AU"/>
              </w:rPr>
              <w:t>.</w:t>
            </w:r>
          </w:p>
        </w:tc>
      </w:tr>
    </w:tbl>
    <w:p w:rsidR="00074D4A" w:rsidRPr="008D6B70" w:rsidRDefault="00074D4A" w:rsidP="00074D4A">
      <w:pPr>
        <w:widowControl w:val="0"/>
        <w:spacing w:after="120"/>
        <w:rPr>
          <w:rFonts w:eastAsiaTheme="majorEastAsia" w:cstheme="majorBidi"/>
          <w:szCs w:val="28"/>
        </w:rPr>
      </w:pPr>
    </w:p>
    <w:p w:rsidR="00074D4A" w:rsidRPr="008D6B70" w:rsidRDefault="00074D4A" w:rsidP="00074D4A">
      <w:pPr>
        <w:keepNext/>
        <w:widowControl w:val="0"/>
        <w:spacing w:after="0" w:line="240" w:lineRule="auto"/>
        <w:rPr>
          <w:rFonts w:ascii="Arial Narrow" w:eastAsiaTheme="majorEastAsia" w:hAnsi="Arial Narrow" w:cstheme="majorBidi"/>
          <w:b/>
          <w:szCs w:val="28"/>
        </w:rPr>
      </w:pPr>
      <w:r w:rsidRPr="008D6B70">
        <w:rPr>
          <w:rFonts w:ascii="Arial Narrow" w:eastAsiaTheme="majorEastAsia" w:hAnsi="Arial Narrow" w:cstheme="majorBidi"/>
          <w:b/>
          <w:szCs w:val="28"/>
        </w:rPr>
        <w:lastRenderedPageBreak/>
        <w:t>Daratumumab with lenalidomide and dexamethasone</w:t>
      </w:r>
    </w:p>
    <w:tbl>
      <w:tblPr>
        <w:tblW w:w="5010" w:type="pct"/>
        <w:tblCellMar>
          <w:left w:w="28" w:type="dxa"/>
          <w:right w:w="28" w:type="dxa"/>
        </w:tblCellMar>
        <w:tblLook w:val="0000" w:firstRow="0" w:lastRow="0" w:firstColumn="0" w:lastColumn="0" w:noHBand="0" w:noVBand="0"/>
      </w:tblPr>
      <w:tblGrid>
        <w:gridCol w:w="8"/>
        <w:gridCol w:w="1908"/>
        <w:gridCol w:w="795"/>
        <w:gridCol w:w="999"/>
        <w:gridCol w:w="1188"/>
        <w:gridCol w:w="1556"/>
        <w:gridCol w:w="1050"/>
        <w:gridCol w:w="1596"/>
      </w:tblGrid>
      <w:tr w:rsidR="00074D4A" w:rsidRPr="008D6B70" w:rsidTr="00555AE1">
        <w:trPr>
          <w:cantSplit/>
          <w:trHeight w:val="463"/>
        </w:trPr>
        <w:tc>
          <w:tcPr>
            <w:tcW w:w="1489" w:type="pct"/>
            <w:gridSpan w:val="3"/>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Name, Restriction,</w:t>
            </w:r>
          </w:p>
          <w:p w:rsidR="00074D4A" w:rsidRPr="008D6B70" w:rsidRDefault="00074D4A" w:rsidP="00555AE1">
            <w:pPr>
              <w:pStyle w:val="TableText"/>
              <w:widowControl w:val="0"/>
              <w:spacing w:before="0" w:after="0"/>
              <w:rPr>
                <w:b/>
              </w:rPr>
            </w:pPr>
            <w:r w:rsidRPr="008D6B70">
              <w:rPr>
                <w:b/>
              </w:rPr>
              <w:t>Manner of administration and form</w:t>
            </w:r>
          </w:p>
        </w:tc>
        <w:tc>
          <w:tcPr>
            <w:tcW w:w="549"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Max. Amt</w:t>
            </w:r>
          </w:p>
        </w:tc>
        <w:tc>
          <w:tcPr>
            <w:tcW w:w="653"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№.of</w:t>
            </w:r>
          </w:p>
          <w:p w:rsidR="00074D4A" w:rsidRPr="008D6B70" w:rsidRDefault="00074D4A" w:rsidP="00555AE1">
            <w:pPr>
              <w:pStyle w:val="TableText"/>
              <w:widowControl w:val="0"/>
              <w:spacing w:before="0" w:after="0"/>
              <w:rPr>
                <w:b/>
              </w:rPr>
            </w:pPr>
            <w:r w:rsidRPr="008D6B70">
              <w:rPr>
                <w:b/>
              </w:rPr>
              <w:t>Rpts</w:t>
            </w:r>
          </w:p>
        </w:tc>
        <w:tc>
          <w:tcPr>
            <w:tcW w:w="855"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Dispensed Price for Max. Amt</w:t>
            </w:r>
          </w:p>
        </w:tc>
        <w:tc>
          <w:tcPr>
            <w:tcW w:w="1454" w:type="pct"/>
            <w:gridSpan w:val="2"/>
            <w:tcBorders>
              <w:bottom w:val="single" w:sz="4" w:space="0" w:color="auto"/>
            </w:tcBorders>
            <w:vAlign w:val="center"/>
          </w:tcPr>
          <w:p w:rsidR="00074D4A" w:rsidRPr="008D6B70" w:rsidRDefault="00074D4A" w:rsidP="00555AE1">
            <w:pPr>
              <w:pStyle w:val="TableText"/>
              <w:widowControl w:val="0"/>
              <w:spacing w:before="0" w:after="0"/>
              <w:rPr>
                <w:b/>
                <w:lang w:val="fr-FR"/>
              </w:rPr>
            </w:pPr>
            <w:r w:rsidRPr="008D6B70">
              <w:rPr>
                <w:b/>
              </w:rPr>
              <w:t>Proprietary Name and Manufacturer</w:t>
            </w:r>
          </w:p>
        </w:tc>
      </w:tr>
      <w:tr w:rsidR="00074D4A" w:rsidRPr="008D6B70" w:rsidTr="00555AE1">
        <w:trPr>
          <w:cantSplit/>
          <w:trHeight w:val="567"/>
        </w:trPr>
        <w:tc>
          <w:tcPr>
            <w:tcW w:w="1489" w:type="pct"/>
            <w:gridSpan w:val="3"/>
            <w:vAlign w:val="center"/>
          </w:tcPr>
          <w:p w:rsidR="00074D4A" w:rsidRPr="008D6B70" w:rsidRDefault="00074D4A" w:rsidP="00555AE1">
            <w:pPr>
              <w:pStyle w:val="TableText"/>
            </w:pPr>
            <w:r w:rsidRPr="008D6B70">
              <w:rPr>
                <w:smallCaps/>
              </w:rPr>
              <w:t>DARATUMUMAB</w:t>
            </w:r>
          </w:p>
          <w:p w:rsidR="00074D4A" w:rsidRPr="008D6B70" w:rsidRDefault="00074D4A" w:rsidP="00C432E9">
            <w:pPr>
              <w:pStyle w:val="TableText"/>
            </w:pPr>
            <w:r w:rsidRPr="008D6B70">
              <w:t xml:space="preserve">VIAL, 400 </w:t>
            </w:r>
            <w:r w:rsidR="00C432E9" w:rsidRPr="008D6B70">
              <w:t>mg</w:t>
            </w:r>
            <w:r w:rsidRPr="008D6B70">
              <w:t xml:space="preserve"> and 100</w:t>
            </w:r>
            <w:r w:rsidR="00C432E9" w:rsidRPr="008D6B70">
              <w:t>mg</w:t>
            </w:r>
          </w:p>
        </w:tc>
        <w:tc>
          <w:tcPr>
            <w:tcW w:w="549" w:type="pct"/>
            <w:vAlign w:val="center"/>
          </w:tcPr>
          <w:p w:rsidR="00074D4A" w:rsidRPr="008D6B70" w:rsidRDefault="00074D4A" w:rsidP="00555AE1">
            <w:pPr>
              <w:pStyle w:val="TableText"/>
            </w:pPr>
          </w:p>
          <w:p w:rsidR="00074D4A" w:rsidRPr="008D6B70" w:rsidRDefault="00074D4A" w:rsidP="00C432E9">
            <w:pPr>
              <w:pStyle w:val="TableText"/>
            </w:pPr>
            <w:r w:rsidRPr="008D6B70">
              <w:t>1920 </w:t>
            </w:r>
            <w:r w:rsidR="00C432E9" w:rsidRPr="008D6B70">
              <w:t>mg</w:t>
            </w:r>
          </w:p>
        </w:tc>
        <w:tc>
          <w:tcPr>
            <w:tcW w:w="653" w:type="pct"/>
            <w:vAlign w:val="center"/>
          </w:tcPr>
          <w:p w:rsidR="00074D4A" w:rsidRPr="008D6B70" w:rsidRDefault="00074D4A" w:rsidP="00555AE1">
            <w:pPr>
              <w:pStyle w:val="TableText"/>
            </w:pPr>
          </w:p>
          <w:p w:rsidR="00074D4A" w:rsidRPr="008D6B70" w:rsidRDefault="00074D4A" w:rsidP="00555AE1">
            <w:pPr>
              <w:pStyle w:val="TableText"/>
            </w:pPr>
            <w:r w:rsidRPr="008D6B70">
              <w:t>15 (initial)</w:t>
            </w:r>
          </w:p>
          <w:p w:rsidR="00074D4A" w:rsidRPr="008D6B70" w:rsidRDefault="00074D4A" w:rsidP="00555AE1">
            <w:pPr>
              <w:pStyle w:val="TableText"/>
            </w:pPr>
            <w:r w:rsidRPr="008D6B70">
              <w:t>5 (continuing)</w:t>
            </w:r>
          </w:p>
        </w:tc>
        <w:tc>
          <w:tcPr>
            <w:tcW w:w="855" w:type="pct"/>
            <w:vAlign w:val="center"/>
          </w:tcPr>
          <w:p w:rsidR="00074D4A" w:rsidRPr="008D6B70" w:rsidRDefault="00074D4A" w:rsidP="00555AE1">
            <w:pPr>
              <w:pStyle w:val="TableText"/>
              <w:keepNext w:val="0"/>
              <w:widowControl w:val="0"/>
            </w:pPr>
            <w:r w:rsidRPr="008D6B70">
              <w:t>Public hospital: $</w:t>
            </w:r>
            <w:r w:rsidR="000A7F1F">
              <w:rPr>
                <w:noProof/>
                <w:color w:val="000000"/>
                <w:highlight w:val="black"/>
              </w:rPr>
              <w:t>''''''''''''''''''''''</w:t>
            </w:r>
          </w:p>
          <w:p w:rsidR="00074D4A" w:rsidRPr="008D6B70" w:rsidRDefault="00074D4A" w:rsidP="00555AE1">
            <w:pPr>
              <w:pStyle w:val="TableText"/>
              <w:keepNext w:val="0"/>
              <w:widowControl w:val="0"/>
            </w:pPr>
            <w:r w:rsidRPr="008D6B70">
              <w:t>Private hospital: $</w:t>
            </w:r>
            <w:r w:rsidR="000A7F1F">
              <w:rPr>
                <w:noProof/>
                <w:color w:val="000000"/>
                <w:highlight w:val="black"/>
              </w:rPr>
              <w:t>'''''''''''''''''''''''''</w:t>
            </w:r>
          </w:p>
        </w:tc>
        <w:tc>
          <w:tcPr>
            <w:tcW w:w="577" w:type="pct"/>
            <w:vAlign w:val="center"/>
          </w:tcPr>
          <w:p w:rsidR="00074D4A" w:rsidRPr="008D6B70" w:rsidRDefault="00074D4A" w:rsidP="00555AE1">
            <w:pPr>
              <w:pStyle w:val="TableText"/>
            </w:pPr>
            <w:r w:rsidRPr="008D6B70">
              <w:t>DARZALEX®</w:t>
            </w:r>
          </w:p>
        </w:tc>
        <w:tc>
          <w:tcPr>
            <w:tcW w:w="877" w:type="pct"/>
            <w:vAlign w:val="center"/>
          </w:tcPr>
          <w:p w:rsidR="00074D4A" w:rsidRPr="008D6B70" w:rsidRDefault="00074D4A" w:rsidP="00555AE1">
            <w:pPr>
              <w:pStyle w:val="TableText"/>
            </w:pPr>
            <w:r w:rsidRPr="008D6B70">
              <w:t>Janssen Cilag Pty Ltd</w:t>
            </w:r>
          </w:p>
        </w:tc>
      </w:tr>
      <w:tr w:rsidR="00074D4A" w:rsidRPr="008D6B70" w:rsidTr="00555AE1">
        <w:tblPrEx>
          <w:tblCellMar>
            <w:left w:w="108" w:type="dxa"/>
            <w:right w:w="108" w:type="dxa"/>
          </w:tblCellMar>
        </w:tblPrEx>
        <w:trPr>
          <w:gridBefore w:val="1"/>
          <w:wBefore w:w="4" w:type="pct"/>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Category / Program:</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Section 100 – Efficient Funding for Chemotherapy</w:t>
            </w:r>
          </w:p>
        </w:tc>
      </w:tr>
      <w:tr w:rsidR="00074D4A" w:rsidRPr="008D6B70" w:rsidTr="00555AE1">
        <w:tblPrEx>
          <w:tblCellMar>
            <w:left w:w="108" w:type="dxa"/>
            <w:right w:w="108" w:type="dxa"/>
          </w:tblCellMar>
        </w:tblPrEx>
        <w:trPr>
          <w:gridBefore w:val="1"/>
          <w:wBefore w:w="4" w:type="pct"/>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PBS Indication:</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Multiple Myeloma</w:t>
            </w:r>
          </w:p>
        </w:tc>
      </w:tr>
      <w:tr w:rsidR="00074D4A" w:rsidRPr="008D6B70" w:rsidTr="00555AE1">
        <w:tblPrEx>
          <w:tblCellMar>
            <w:left w:w="108" w:type="dxa"/>
            <w:right w:w="108" w:type="dxa"/>
          </w:tblCellMar>
        </w:tblPrEx>
        <w:trPr>
          <w:gridBefore w:val="1"/>
          <w:wBefore w:w="4" w:type="pct"/>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Treatment phase:</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 xml:space="preserve">Initial and Continuing </w:t>
            </w:r>
          </w:p>
        </w:tc>
      </w:tr>
      <w:tr w:rsidR="00074D4A" w:rsidRPr="008D6B70" w:rsidTr="00555AE1">
        <w:tblPrEx>
          <w:tblCellMar>
            <w:left w:w="108" w:type="dxa"/>
            <w:right w:w="108" w:type="dxa"/>
          </w:tblCellMar>
        </w:tblPrEx>
        <w:trPr>
          <w:gridBefore w:val="1"/>
          <w:wBefore w:w="4" w:type="pct"/>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Restriction:</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Authority required (Telephone)</w:t>
            </w:r>
          </w:p>
        </w:tc>
      </w:tr>
      <w:tr w:rsidR="00074D4A" w:rsidRPr="008D6B70" w:rsidTr="00555AE1">
        <w:tblPrEx>
          <w:tblCellMar>
            <w:left w:w="108" w:type="dxa"/>
            <w:right w:w="108" w:type="dxa"/>
          </w:tblCellMar>
        </w:tblPrEx>
        <w:trPr>
          <w:gridBefore w:val="1"/>
          <w:wBefore w:w="4" w:type="pct"/>
          <w:cantSplit/>
          <w:trHeight w:val="360"/>
        </w:trPr>
        <w:tc>
          <w:tcPr>
            <w:tcW w:w="1048"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Clinical criteria:</w:t>
            </w:r>
          </w:p>
        </w:tc>
        <w:tc>
          <w:tcPr>
            <w:tcW w:w="3948"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spacing w:after="0" w:line="240" w:lineRule="auto"/>
              <w:rPr>
                <w:rFonts w:ascii="Arial Narrow" w:eastAsia="Times New Roman" w:hAnsi="Arial Narrow" w:cs="Arial"/>
                <w:szCs w:val="20"/>
                <w:u w:val="single"/>
                <w:lang w:eastAsia="en-AU"/>
              </w:rPr>
            </w:pPr>
            <w:r w:rsidRPr="008D6B70">
              <w:rPr>
                <w:rFonts w:ascii="Arial Narrow" w:eastAsia="Times New Roman" w:hAnsi="Arial Narrow" w:cs="Arial"/>
                <w:szCs w:val="20"/>
                <w:u w:val="single"/>
                <w:lang w:eastAsia="en-AU"/>
              </w:rPr>
              <w:t>Initial:</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The condition must be confirmed by a histological diagnosis,</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The treatment must be in combination with lenalidomide and dexamethasone,</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Patient must have progressive disease after at least one prior therapy,</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Patient must not be receiving concomitant PBS-subsidised bortezomib, thalidomide, or pomalidomide or carfilzomib</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Patient must not receive more than six cycles of treatment under this restriction</w:t>
            </w:r>
          </w:p>
          <w:p w:rsidR="006A285A" w:rsidRPr="008D6B70" w:rsidRDefault="006A285A" w:rsidP="006A285A">
            <w:pPr>
              <w:spacing w:after="0" w:line="240" w:lineRule="auto"/>
              <w:rPr>
                <w:rFonts w:ascii="Arial Narrow" w:eastAsia="Times New Roman" w:hAnsi="Arial Narrow" w:cs="Arial"/>
                <w:szCs w:val="20"/>
                <w:lang w:eastAsia="en-AU"/>
              </w:rPr>
            </w:pPr>
            <w:r w:rsidRPr="008D6B70">
              <w:rPr>
                <w:rFonts w:ascii="Arial Narrow" w:eastAsia="Times New Roman" w:hAnsi="Arial Narrow" w:cs="Arial"/>
                <w:szCs w:val="20"/>
                <w:lang w:eastAsia="en-AU"/>
              </w:rPr>
              <w:t>AND</w:t>
            </w:r>
          </w:p>
          <w:p w:rsidR="00074D4A" w:rsidRPr="008D6B70" w:rsidRDefault="006A285A" w:rsidP="00555AE1">
            <w:pPr>
              <w:pStyle w:val="TableText"/>
              <w:rPr>
                <w:rFonts w:eastAsia="Times New Roman" w:cs="Arial"/>
                <w:szCs w:val="20"/>
                <w:lang w:eastAsia="en-AU"/>
              </w:rPr>
            </w:pPr>
            <w:r w:rsidRPr="008D6B70">
              <w:rPr>
                <w:rFonts w:eastAsia="Times New Roman" w:cs="Arial"/>
                <w:szCs w:val="20"/>
                <w:lang w:eastAsia="en-AU"/>
              </w:rPr>
              <w:t>Patient must not have previously received this drug for this condition</w:t>
            </w:r>
          </w:p>
          <w:p w:rsidR="00074D4A" w:rsidRPr="008D6B70" w:rsidRDefault="00074D4A" w:rsidP="00555AE1">
            <w:pPr>
              <w:pStyle w:val="TableText"/>
              <w:rPr>
                <w:rFonts w:eastAsia="Times New Roman" w:cs="Arial"/>
                <w:szCs w:val="20"/>
                <w:u w:val="single"/>
                <w:lang w:eastAsia="en-AU"/>
              </w:rPr>
            </w:pPr>
            <w:r w:rsidRPr="008D6B70">
              <w:rPr>
                <w:rFonts w:eastAsia="Times New Roman" w:cs="Arial"/>
                <w:szCs w:val="20"/>
                <w:u w:val="single"/>
                <w:lang w:eastAsia="en-AU"/>
              </w:rPr>
              <w:t xml:space="preserve">Continuing: </w:t>
            </w:r>
          </w:p>
          <w:p w:rsidR="006A285A" w:rsidRPr="008D6B70" w:rsidRDefault="006A285A" w:rsidP="006A285A">
            <w:pPr>
              <w:pStyle w:val="TableText"/>
              <w:rPr>
                <w:lang w:val="en-US"/>
              </w:rPr>
            </w:pPr>
            <w:r w:rsidRPr="008D6B70">
              <w:rPr>
                <w:lang w:val="en-US"/>
              </w:rPr>
              <w:t>Patient must have previously received PBS-subsidised treatment with an authority prescription for this drug for this condition,</w:t>
            </w:r>
          </w:p>
          <w:p w:rsidR="006A285A" w:rsidRPr="008D6B70" w:rsidRDefault="006A285A" w:rsidP="006A285A">
            <w:pPr>
              <w:pStyle w:val="TableText"/>
              <w:rPr>
                <w:lang w:val="en-US"/>
              </w:rPr>
            </w:pPr>
            <w:r w:rsidRPr="008D6B70">
              <w:rPr>
                <w:lang w:val="en-US"/>
              </w:rPr>
              <w:t>AND</w:t>
            </w:r>
          </w:p>
          <w:p w:rsidR="006A285A" w:rsidRPr="008D6B70" w:rsidRDefault="006A285A" w:rsidP="006A285A">
            <w:pPr>
              <w:pStyle w:val="TableText"/>
              <w:rPr>
                <w:lang w:val="en-US"/>
              </w:rPr>
            </w:pPr>
            <w:r w:rsidRPr="008D6B70">
              <w:rPr>
                <w:lang w:val="en-US"/>
              </w:rPr>
              <w:t xml:space="preserve">Patient must not develop disease progression while receiving treatment with this drug for this condition have progressive disease </w:t>
            </w:r>
          </w:p>
          <w:p w:rsidR="006A285A" w:rsidRPr="008D6B70" w:rsidRDefault="006A285A" w:rsidP="006A285A">
            <w:pPr>
              <w:pStyle w:val="TableText"/>
              <w:rPr>
                <w:lang w:val="en-US"/>
              </w:rPr>
            </w:pPr>
            <w:r w:rsidRPr="008D6B70">
              <w:rPr>
                <w:lang w:val="en-US"/>
              </w:rPr>
              <w:t>AND</w:t>
            </w:r>
          </w:p>
          <w:p w:rsidR="006A285A" w:rsidRPr="008D6B70" w:rsidRDefault="006A285A" w:rsidP="006A285A">
            <w:pPr>
              <w:pStyle w:val="TableText"/>
              <w:rPr>
                <w:lang w:val="en-US"/>
              </w:rPr>
            </w:pPr>
            <w:r w:rsidRPr="008D6B70">
              <w:rPr>
                <w:lang w:val="en-US"/>
              </w:rPr>
              <w:t>The treatment must be in combination with lenalidomide and dexamethasone or as monotherapy in patients who have developed treatment-limiting toxicity to lenalidomide</w:t>
            </w:r>
          </w:p>
          <w:p w:rsidR="006A285A" w:rsidRPr="008D6B70" w:rsidRDefault="006A285A" w:rsidP="006A285A">
            <w:pPr>
              <w:pStyle w:val="TableText"/>
              <w:rPr>
                <w:lang w:val="en-US"/>
              </w:rPr>
            </w:pPr>
            <w:r w:rsidRPr="008D6B70">
              <w:rPr>
                <w:lang w:val="en-US"/>
              </w:rPr>
              <w:t>AND</w:t>
            </w:r>
          </w:p>
          <w:p w:rsidR="00074D4A" w:rsidRPr="008D6B70" w:rsidRDefault="006A285A" w:rsidP="00555AE1">
            <w:pPr>
              <w:pStyle w:val="TableText"/>
            </w:pPr>
            <w:r w:rsidRPr="008D6B70">
              <w:t>Patient must not be receiving concomitant PBS-subsidised bortezomib, thalidomide, or pomalidomide or carfilzomib.</w:t>
            </w:r>
          </w:p>
        </w:tc>
      </w:tr>
    </w:tbl>
    <w:p w:rsidR="00074D4A" w:rsidRPr="008D6B70" w:rsidRDefault="00074D4A" w:rsidP="00074D4A">
      <w:pPr>
        <w:widowControl w:val="0"/>
        <w:spacing w:after="120"/>
        <w:rPr>
          <w:rFonts w:eastAsiaTheme="majorEastAsia" w:cstheme="majorBidi"/>
          <w:szCs w:val="28"/>
        </w:rPr>
      </w:pPr>
    </w:p>
    <w:p w:rsidR="00074D4A" w:rsidRPr="008D6B70" w:rsidRDefault="00074D4A" w:rsidP="00074D4A">
      <w:pPr>
        <w:keepNext/>
        <w:widowControl w:val="0"/>
        <w:spacing w:after="0" w:line="240" w:lineRule="auto"/>
        <w:rPr>
          <w:rFonts w:ascii="Arial Narrow" w:eastAsiaTheme="majorEastAsia" w:hAnsi="Arial Narrow" w:cstheme="majorBidi"/>
          <w:b/>
          <w:szCs w:val="28"/>
        </w:rPr>
      </w:pPr>
      <w:r w:rsidRPr="008D6B70">
        <w:rPr>
          <w:rFonts w:ascii="Arial Narrow" w:eastAsiaTheme="majorEastAsia" w:hAnsi="Arial Narrow" w:cstheme="majorBidi"/>
          <w:b/>
          <w:szCs w:val="28"/>
        </w:rPr>
        <w:lastRenderedPageBreak/>
        <w:t xml:space="preserve">Bortezomib </w:t>
      </w:r>
    </w:p>
    <w:tbl>
      <w:tblPr>
        <w:tblW w:w="5010" w:type="pct"/>
        <w:tblCellMar>
          <w:left w:w="28" w:type="dxa"/>
          <w:right w:w="28" w:type="dxa"/>
        </w:tblCellMar>
        <w:tblLook w:val="0000" w:firstRow="0" w:lastRow="0" w:firstColumn="0" w:lastColumn="0" w:noHBand="0" w:noVBand="0"/>
      </w:tblPr>
      <w:tblGrid>
        <w:gridCol w:w="1897"/>
        <w:gridCol w:w="794"/>
        <w:gridCol w:w="990"/>
        <w:gridCol w:w="741"/>
        <w:gridCol w:w="1986"/>
        <w:gridCol w:w="1345"/>
        <w:gridCol w:w="1347"/>
      </w:tblGrid>
      <w:tr w:rsidR="00074D4A" w:rsidRPr="008D6B70" w:rsidTr="00555AE1">
        <w:trPr>
          <w:cantSplit/>
          <w:trHeight w:val="463"/>
        </w:trPr>
        <w:tc>
          <w:tcPr>
            <w:tcW w:w="1479" w:type="pct"/>
            <w:gridSpan w:val="2"/>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Name, Restriction,</w:t>
            </w:r>
          </w:p>
          <w:p w:rsidR="00074D4A" w:rsidRPr="008D6B70" w:rsidRDefault="00074D4A" w:rsidP="00555AE1">
            <w:pPr>
              <w:pStyle w:val="TableText"/>
              <w:widowControl w:val="0"/>
              <w:spacing w:before="0" w:after="0"/>
              <w:rPr>
                <w:b/>
              </w:rPr>
            </w:pPr>
            <w:r w:rsidRPr="008D6B70">
              <w:rPr>
                <w:b/>
              </w:rPr>
              <w:t>Manner of administration and form</w:t>
            </w:r>
          </w:p>
        </w:tc>
        <w:tc>
          <w:tcPr>
            <w:tcW w:w="544"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Max. Amt</w:t>
            </w:r>
          </w:p>
        </w:tc>
        <w:tc>
          <w:tcPr>
            <w:tcW w:w="407"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№.of</w:t>
            </w:r>
          </w:p>
          <w:p w:rsidR="00074D4A" w:rsidRPr="008D6B70" w:rsidRDefault="00074D4A" w:rsidP="00555AE1">
            <w:pPr>
              <w:pStyle w:val="TableText"/>
              <w:widowControl w:val="0"/>
              <w:spacing w:before="0" w:after="0"/>
              <w:rPr>
                <w:b/>
              </w:rPr>
            </w:pPr>
            <w:r w:rsidRPr="008D6B70">
              <w:rPr>
                <w:b/>
              </w:rPr>
              <w:t>Rpts</w:t>
            </w:r>
          </w:p>
        </w:tc>
        <w:tc>
          <w:tcPr>
            <w:tcW w:w="1091"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Dispensed Price for Max. Amt</w:t>
            </w:r>
          </w:p>
        </w:tc>
        <w:tc>
          <w:tcPr>
            <w:tcW w:w="1479" w:type="pct"/>
            <w:gridSpan w:val="2"/>
            <w:tcBorders>
              <w:bottom w:val="single" w:sz="4" w:space="0" w:color="auto"/>
            </w:tcBorders>
            <w:vAlign w:val="center"/>
          </w:tcPr>
          <w:p w:rsidR="00074D4A" w:rsidRPr="008D6B70" w:rsidRDefault="00074D4A" w:rsidP="00555AE1">
            <w:pPr>
              <w:pStyle w:val="TableText"/>
              <w:widowControl w:val="0"/>
              <w:spacing w:before="0" w:after="0"/>
              <w:rPr>
                <w:b/>
                <w:lang w:val="fr-FR"/>
              </w:rPr>
            </w:pPr>
            <w:r w:rsidRPr="008D6B70">
              <w:rPr>
                <w:b/>
              </w:rPr>
              <w:t>Proprietary Name and Manufacturer</w:t>
            </w:r>
          </w:p>
        </w:tc>
      </w:tr>
      <w:tr w:rsidR="00074D4A" w:rsidRPr="008D6B70" w:rsidTr="00555AE1">
        <w:trPr>
          <w:cantSplit/>
          <w:trHeight w:val="567"/>
        </w:trPr>
        <w:tc>
          <w:tcPr>
            <w:tcW w:w="1479" w:type="pct"/>
            <w:gridSpan w:val="2"/>
          </w:tcPr>
          <w:p w:rsidR="0044532D" w:rsidRPr="008D6B70" w:rsidRDefault="00074D4A" w:rsidP="00555AE1">
            <w:pPr>
              <w:pStyle w:val="TableText"/>
            </w:pPr>
            <w:r w:rsidRPr="008D6B70">
              <w:t>BORTEZOMIB, IV, powder in vial; 1 mg, 3 mg and 3.5 mg</w:t>
            </w:r>
          </w:p>
        </w:tc>
        <w:tc>
          <w:tcPr>
            <w:tcW w:w="544" w:type="pct"/>
          </w:tcPr>
          <w:p w:rsidR="00074D4A" w:rsidRPr="008D6B70" w:rsidRDefault="00074D4A" w:rsidP="00555AE1">
            <w:pPr>
              <w:pStyle w:val="TableText"/>
            </w:pPr>
            <w:r w:rsidRPr="008D6B70">
              <w:t>3000 mcg</w:t>
            </w:r>
          </w:p>
        </w:tc>
        <w:tc>
          <w:tcPr>
            <w:tcW w:w="407" w:type="pct"/>
          </w:tcPr>
          <w:p w:rsidR="00074D4A" w:rsidRPr="008D6B70" w:rsidRDefault="00074D4A" w:rsidP="00555AE1">
            <w:pPr>
              <w:pStyle w:val="TableText"/>
            </w:pPr>
            <w:r w:rsidRPr="008D6B70">
              <w:t>15</w:t>
            </w:r>
          </w:p>
        </w:tc>
        <w:tc>
          <w:tcPr>
            <w:tcW w:w="1091" w:type="pct"/>
          </w:tcPr>
          <w:p w:rsidR="00074D4A" w:rsidRPr="008D6B70" w:rsidRDefault="00074D4A" w:rsidP="00555AE1">
            <w:pPr>
              <w:pStyle w:val="TableText"/>
            </w:pPr>
            <w:r w:rsidRPr="008D6B70">
              <w:t>Public hospital: $</w:t>
            </w:r>
            <w:r w:rsidR="000A7F1F">
              <w:rPr>
                <w:noProof/>
                <w:color w:val="000000"/>
                <w:highlight w:val="black"/>
              </w:rPr>
              <w:t>''''''''''''''''</w:t>
            </w:r>
          </w:p>
          <w:p w:rsidR="00074D4A" w:rsidRPr="008D6B70" w:rsidRDefault="00074D4A" w:rsidP="0069504E">
            <w:pPr>
              <w:pStyle w:val="TableText"/>
              <w:keepNext w:val="0"/>
              <w:widowControl w:val="0"/>
            </w:pPr>
            <w:r w:rsidRPr="008D6B70">
              <w:t>Private hospital: $</w:t>
            </w:r>
            <w:r w:rsidR="000A7F1F">
              <w:rPr>
                <w:noProof/>
                <w:color w:val="000000"/>
                <w:highlight w:val="black"/>
              </w:rPr>
              <w:t>''''''''''''''''</w:t>
            </w:r>
          </w:p>
        </w:tc>
        <w:tc>
          <w:tcPr>
            <w:tcW w:w="739" w:type="pct"/>
          </w:tcPr>
          <w:p w:rsidR="00074D4A" w:rsidRPr="008D6B70" w:rsidRDefault="00074D4A" w:rsidP="00555AE1">
            <w:pPr>
              <w:pStyle w:val="TableText"/>
            </w:pPr>
            <w:r w:rsidRPr="008D6B70">
              <w:t xml:space="preserve">VELCADE ®, </w:t>
            </w:r>
          </w:p>
        </w:tc>
        <w:tc>
          <w:tcPr>
            <w:tcW w:w="740" w:type="pct"/>
          </w:tcPr>
          <w:p w:rsidR="0044532D" w:rsidRPr="008D6B70" w:rsidRDefault="00074D4A" w:rsidP="00555AE1">
            <w:pPr>
              <w:pStyle w:val="TableText"/>
            </w:pPr>
            <w:r w:rsidRPr="008D6B70">
              <w:t>Janssen</w:t>
            </w:r>
            <w:r w:rsidRPr="008D6B70">
              <w:noBreakHyphen/>
              <w:t>Cilag Pty Ltd</w:t>
            </w:r>
          </w:p>
        </w:tc>
      </w:tr>
      <w:tr w:rsidR="0044532D" w:rsidRPr="008D6B70" w:rsidTr="0044532D">
        <w:trPr>
          <w:cantSplit/>
          <w:trHeight w:val="567"/>
        </w:trPr>
        <w:tc>
          <w:tcPr>
            <w:tcW w:w="5000" w:type="pct"/>
            <w:gridSpan w:val="7"/>
          </w:tcPr>
          <w:p w:rsidR="0044532D" w:rsidRPr="008D6B70" w:rsidRDefault="0044532D" w:rsidP="00555AE1">
            <w:pPr>
              <w:pStyle w:val="TableText"/>
            </w:pP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Category / Program:</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Section 100 – Efficient Funding for Chemotherapy</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PBS Indication:</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Multiple Myeloma</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Restriction:</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 xml:space="preserve">Streamlined </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Clinical criteria:</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rPr>
                <w:rFonts w:eastAsia="Times New Roman" w:cs="Arial"/>
                <w:szCs w:val="20"/>
                <w:lang w:eastAsia="en-AU"/>
              </w:rPr>
              <w:t>For the treatment of multiple myeloma.</w:t>
            </w:r>
          </w:p>
        </w:tc>
      </w:tr>
    </w:tbl>
    <w:p w:rsidR="002F0658" w:rsidRDefault="002F0658" w:rsidP="00074D4A">
      <w:pPr>
        <w:keepNext/>
        <w:widowControl w:val="0"/>
        <w:spacing w:after="0" w:line="240" w:lineRule="auto"/>
        <w:rPr>
          <w:rFonts w:ascii="Arial Narrow" w:eastAsiaTheme="majorEastAsia" w:hAnsi="Arial Narrow" w:cstheme="majorBidi"/>
          <w:b/>
          <w:szCs w:val="28"/>
        </w:rPr>
      </w:pPr>
    </w:p>
    <w:p w:rsidR="00074D4A" w:rsidRPr="008D6B70" w:rsidRDefault="00074D4A" w:rsidP="00074D4A">
      <w:pPr>
        <w:keepNext/>
        <w:widowControl w:val="0"/>
        <w:spacing w:after="0" w:line="240" w:lineRule="auto"/>
        <w:rPr>
          <w:rFonts w:ascii="Arial Narrow" w:eastAsiaTheme="majorEastAsia" w:hAnsi="Arial Narrow" w:cstheme="majorBidi"/>
          <w:b/>
          <w:szCs w:val="28"/>
        </w:rPr>
      </w:pPr>
      <w:r w:rsidRPr="008D6B70">
        <w:rPr>
          <w:rFonts w:ascii="Arial Narrow" w:eastAsiaTheme="majorEastAsia" w:hAnsi="Arial Narrow" w:cstheme="majorBidi"/>
          <w:b/>
          <w:szCs w:val="28"/>
        </w:rPr>
        <w:t>Lenalidomide</w:t>
      </w:r>
    </w:p>
    <w:tbl>
      <w:tblPr>
        <w:tblW w:w="5010" w:type="pct"/>
        <w:tblCellMar>
          <w:left w:w="28" w:type="dxa"/>
          <w:right w:w="28" w:type="dxa"/>
        </w:tblCellMar>
        <w:tblLook w:val="0000" w:firstRow="0" w:lastRow="0" w:firstColumn="0" w:lastColumn="0" w:noHBand="0" w:noVBand="0"/>
      </w:tblPr>
      <w:tblGrid>
        <w:gridCol w:w="1835"/>
        <w:gridCol w:w="731"/>
        <w:gridCol w:w="927"/>
        <w:gridCol w:w="678"/>
        <w:gridCol w:w="2647"/>
        <w:gridCol w:w="997"/>
        <w:gridCol w:w="1285"/>
      </w:tblGrid>
      <w:tr w:rsidR="00074D4A" w:rsidRPr="008D6B70" w:rsidTr="00555AE1">
        <w:trPr>
          <w:cantSplit/>
          <w:trHeight w:val="463"/>
        </w:trPr>
        <w:tc>
          <w:tcPr>
            <w:tcW w:w="1479" w:type="pct"/>
            <w:gridSpan w:val="2"/>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Name, Restriction,</w:t>
            </w:r>
          </w:p>
          <w:p w:rsidR="00074D4A" w:rsidRPr="008D6B70" w:rsidRDefault="00074D4A" w:rsidP="00555AE1">
            <w:pPr>
              <w:pStyle w:val="TableText"/>
              <w:widowControl w:val="0"/>
              <w:spacing w:before="0" w:after="0"/>
              <w:rPr>
                <w:b/>
              </w:rPr>
            </w:pPr>
            <w:r w:rsidRPr="008D6B70">
              <w:rPr>
                <w:b/>
              </w:rPr>
              <w:t>Manner of administration and form</w:t>
            </w:r>
          </w:p>
        </w:tc>
        <w:tc>
          <w:tcPr>
            <w:tcW w:w="544"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Max. Qty</w:t>
            </w:r>
          </w:p>
        </w:tc>
        <w:tc>
          <w:tcPr>
            <w:tcW w:w="407"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№.of</w:t>
            </w:r>
          </w:p>
          <w:p w:rsidR="00074D4A" w:rsidRPr="008D6B70" w:rsidRDefault="00074D4A" w:rsidP="00555AE1">
            <w:pPr>
              <w:pStyle w:val="TableText"/>
              <w:widowControl w:val="0"/>
              <w:spacing w:before="0" w:after="0"/>
              <w:rPr>
                <w:b/>
              </w:rPr>
            </w:pPr>
            <w:r w:rsidRPr="008D6B70">
              <w:rPr>
                <w:b/>
              </w:rPr>
              <w:t>Rpts</w:t>
            </w:r>
          </w:p>
        </w:tc>
        <w:tc>
          <w:tcPr>
            <w:tcW w:w="1489" w:type="pct"/>
            <w:tcBorders>
              <w:bottom w:val="single" w:sz="4" w:space="0" w:color="auto"/>
            </w:tcBorders>
            <w:vAlign w:val="center"/>
          </w:tcPr>
          <w:p w:rsidR="00074D4A" w:rsidRPr="008D6B70" w:rsidRDefault="00074D4A" w:rsidP="00555AE1">
            <w:pPr>
              <w:pStyle w:val="TableText"/>
              <w:widowControl w:val="0"/>
              <w:spacing w:before="0" w:after="0"/>
              <w:rPr>
                <w:b/>
              </w:rPr>
            </w:pPr>
            <w:r w:rsidRPr="008D6B70">
              <w:rPr>
                <w:b/>
              </w:rPr>
              <w:t>Dispensed Price for Max.Qty</w:t>
            </w:r>
          </w:p>
        </w:tc>
        <w:tc>
          <w:tcPr>
            <w:tcW w:w="1081" w:type="pct"/>
            <w:gridSpan w:val="2"/>
            <w:tcBorders>
              <w:bottom w:val="single" w:sz="4" w:space="0" w:color="auto"/>
            </w:tcBorders>
            <w:vAlign w:val="center"/>
          </w:tcPr>
          <w:p w:rsidR="00074D4A" w:rsidRPr="008D6B70" w:rsidRDefault="00074D4A" w:rsidP="00555AE1">
            <w:pPr>
              <w:pStyle w:val="TableText"/>
              <w:widowControl w:val="0"/>
              <w:spacing w:before="0" w:after="0"/>
              <w:rPr>
                <w:b/>
                <w:lang w:val="fr-FR"/>
              </w:rPr>
            </w:pPr>
            <w:r w:rsidRPr="008D6B70">
              <w:rPr>
                <w:b/>
              </w:rPr>
              <w:t>Proprietary Name and Manufacturer</w:t>
            </w:r>
          </w:p>
        </w:tc>
      </w:tr>
      <w:tr w:rsidR="00074D4A" w:rsidRPr="008D6B70" w:rsidTr="00555AE1">
        <w:trPr>
          <w:cantSplit/>
          <w:trHeight w:val="567"/>
        </w:trPr>
        <w:tc>
          <w:tcPr>
            <w:tcW w:w="1479" w:type="pct"/>
            <w:gridSpan w:val="2"/>
          </w:tcPr>
          <w:p w:rsidR="00074D4A" w:rsidRPr="008D6B70" w:rsidRDefault="00074D4A" w:rsidP="00C432E9">
            <w:pPr>
              <w:keepNext/>
              <w:spacing w:after="0"/>
              <w:rPr>
                <w:rFonts w:ascii="Arial Narrow" w:eastAsia="Times New Roman" w:hAnsi="Arial Narrow"/>
                <w:smallCaps/>
                <w:szCs w:val="20"/>
                <w:lang w:eastAsia="en-AU"/>
              </w:rPr>
            </w:pPr>
            <w:r w:rsidRPr="008D6B70">
              <w:rPr>
                <w:rFonts w:ascii="Arial Narrow" w:eastAsia="Times New Roman" w:hAnsi="Arial Narrow"/>
                <w:smallCaps/>
                <w:szCs w:val="20"/>
                <w:lang w:eastAsia="en-AU"/>
              </w:rPr>
              <w:t>Lenalidomide, oral capsule 5 </w:t>
            </w:r>
            <w:r w:rsidR="00C432E9" w:rsidRPr="008D6B70">
              <w:rPr>
                <w:rFonts w:ascii="Arial Narrow" w:eastAsia="Times New Roman" w:hAnsi="Arial Narrow"/>
                <w:szCs w:val="20"/>
                <w:lang w:eastAsia="en-AU"/>
              </w:rPr>
              <w:t>mg</w:t>
            </w:r>
            <w:r w:rsidRPr="008D6B70">
              <w:rPr>
                <w:rFonts w:ascii="Arial Narrow" w:eastAsia="Times New Roman" w:hAnsi="Arial Narrow"/>
                <w:smallCaps/>
                <w:szCs w:val="20"/>
                <w:lang w:eastAsia="en-AU"/>
              </w:rPr>
              <w:t>, 10 </w:t>
            </w:r>
            <w:r w:rsidRPr="008D6B70">
              <w:rPr>
                <w:rFonts w:ascii="Arial Narrow" w:eastAsia="Times New Roman" w:hAnsi="Arial Narrow"/>
                <w:szCs w:val="20"/>
                <w:lang w:eastAsia="en-AU"/>
              </w:rPr>
              <w:t>mg</w:t>
            </w:r>
            <w:r w:rsidRPr="008D6B70">
              <w:rPr>
                <w:rFonts w:ascii="Arial Narrow" w:eastAsia="Times New Roman" w:hAnsi="Arial Narrow"/>
                <w:smallCaps/>
                <w:szCs w:val="20"/>
                <w:lang w:eastAsia="en-AU"/>
              </w:rPr>
              <w:t>, 15 </w:t>
            </w:r>
            <w:r w:rsidRPr="008D6B70">
              <w:rPr>
                <w:rFonts w:ascii="Arial Narrow" w:eastAsia="Times New Roman" w:hAnsi="Arial Narrow"/>
                <w:szCs w:val="20"/>
                <w:lang w:eastAsia="en-AU"/>
              </w:rPr>
              <w:t>mg</w:t>
            </w:r>
            <w:r w:rsidRPr="008D6B70">
              <w:rPr>
                <w:rFonts w:ascii="Arial Narrow" w:eastAsia="Times New Roman" w:hAnsi="Arial Narrow"/>
                <w:smallCaps/>
                <w:szCs w:val="20"/>
                <w:lang w:eastAsia="en-AU"/>
              </w:rPr>
              <w:t xml:space="preserve"> and 25 </w:t>
            </w:r>
            <w:r w:rsidRPr="008D6B70">
              <w:rPr>
                <w:rFonts w:ascii="Arial Narrow" w:eastAsia="Times New Roman" w:hAnsi="Arial Narrow"/>
                <w:szCs w:val="20"/>
                <w:lang w:eastAsia="en-AU"/>
              </w:rPr>
              <w:t>mg</w:t>
            </w:r>
          </w:p>
        </w:tc>
        <w:tc>
          <w:tcPr>
            <w:tcW w:w="544" w:type="pct"/>
          </w:tcPr>
          <w:p w:rsidR="00074D4A" w:rsidRPr="008D6B70" w:rsidRDefault="00074D4A" w:rsidP="00555AE1">
            <w:pPr>
              <w:pStyle w:val="TableText"/>
              <w:rPr>
                <w:szCs w:val="20"/>
              </w:rPr>
            </w:pPr>
            <w:r w:rsidRPr="008D6B70">
              <w:rPr>
                <w:szCs w:val="20"/>
              </w:rPr>
              <w:t>21</w:t>
            </w:r>
          </w:p>
        </w:tc>
        <w:tc>
          <w:tcPr>
            <w:tcW w:w="407" w:type="pct"/>
          </w:tcPr>
          <w:p w:rsidR="00074D4A" w:rsidRPr="008D6B70" w:rsidRDefault="00074D4A" w:rsidP="00555AE1">
            <w:pPr>
              <w:pStyle w:val="TableText"/>
              <w:rPr>
                <w:szCs w:val="20"/>
              </w:rPr>
            </w:pPr>
            <w:r w:rsidRPr="008D6B70">
              <w:rPr>
                <w:szCs w:val="20"/>
              </w:rPr>
              <w:t>0</w:t>
            </w:r>
          </w:p>
        </w:tc>
        <w:tc>
          <w:tcPr>
            <w:tcW w:w="1489" w:type="pct"/>
          </w:tcPr>
          <w:p w:rsidR="00074D4A" w:rsidRPr="008D6B70" w:rsidRDefault="00074D4A" w:rsidP="00555AE1">
            <w:pPr>
              <w:pStyle w:val="TableText"/>
              <w:rPr>
                <w:szCs w:val="20"/>
              </w:rPr>
            </w:pPr>
            <w:r w:rsidRPr="008D6B70">
              <w:rPr>
                <w:szCs w:val="20"/>
              </w:rPr>
              <w:t>5 mg Public hospital: $</w:t>
            </w:r>
            <w:r w:rsidRPr="00BC5BE1">
              <w:rPr>
                <w:szCs w:val="20"/>
              </w:rPr>
              <w:t>5,122.76</w:t>
            </w:r>
          </w:p>
          <w:p w:rsidR="00074D4A" w:rsidRPr="00BC5BE1" w:rsidRDefault="00074D4A" w:rsidP="00555AE1">
            <w:pPr>
              <w:pStyle w:val="TableText"/>
              <w:keepNext w:val="0"/>
              <w:widowControl w:val="0"/>
              <w:rPr>
                <w:szCs w:val="20"/>
              </w:rPr>
            </w:pPr>
            <w:r w:rsidRPr="008D6B70">
              <w:rPr>
                <w:szCs w:val="20"/>
              </w:rPr>
              <w:t>Private hospital: $</w:t>
            </w:r>
            <w:r w:rsidRPr="00BC5BE1">
              <w:rPr>
                <w:szCs w:val="20"/>
              </w:rPr>
              <w:t>5,169.78</w:t>
            </w:r>
          </w:p>
          <w:p w:rsidR="00074D4A" w:rsidRPr="008D6B70" w:rsidRDefault="00074D4A" w:rsidP="00555AE1">
            <w:pPr>
              <w:pStyle w:val="TableText"/>
              <w:widowControl w:val="0"/>
              <w:rPr>
                <w:szCs w:val="20"/>
              </w:rPr>
            </w:pPr>
            <w:r w:rsidRPr="008D6B70">
              <w:rPr>
                <w:szCs w:val="20"/>
              </w:rPr>
              <w:t>10 mg Public hospital: $</w:t>
            </w:r>
            <w:r w:rsidRPr="00BC5BE1">
              <w:rPr>
                <w:szCs w:val="20"/>
              </w:rPr>
              <w:t>5,361.16</w:t>
            </w:r>
          </w:p>
          <w:p w:rsidR="00074D4A" w:rsidRPr="008D6B70" w:rsidRDefault="00074D4A" w:rsidP="00555AE1">
            <w:pPr>
              <w:pStyle w:val="TableText"/>
              <w:keepNext w:val="0"/>
              <w:widowControl w:val="0"/>
              <w:rPr>
                <w:szCs w:val="20"/>
              </w:rPr>
            </w:pPr>
            <w:r w:rsidRPr="008D6B70">
              <w:rPr>
                <w:szCs w:val="20"/>
              </w:rPr>
              <w:t>Private hospital: $</w:t>
            </w:r>
            <w:r w:rsidRPr="00BC5BE1">
              <w:rPr>
                <w:szCs w:val="20"/>
              </w:rPr>
              <w:t>5,408.18</w:t>
            </w:r>
          </w:p>
          <w:p w:rsidR="00074D4A" w:rsidRPr="008D6B70" w:rsidRDefault="00074D4A" w:rsidP="00555AE1">
            <w:pPr>
              <w:pStyle w:val="TableText"/>
              <w:widowControl w:val="0"/>
              <w:rPr>
                <w:szCs w:val="20"/>
              </w:rPr>
            </w:pPr>
            <w:r w:rsidRPr="008D6B70">
              <w:rPr>
                <w:szCs w:val="20"/>
              </w:rPr>
              <w:t>15 mg Public hospital: $</w:t>
            </w:r>
            <w:r w:rsidRPr="00BC5BE1">
              <w:rPr>
                <w:szCs w:val="20"/>
              </w:rPr>
              <w:t>6,252.53</w:t>
            </w:r>
          </w:p>
          <w:p w:rsidR="00074D4A" w:rsidRPr="008D6B70" w:rsidRDefault="00074D4A" w:rsidP="00555AE1">
            <w:pPr>
              <w:pStyle w:val="TableText"/>
              <w:keepNext w:val="0"/>
              <w:widowControl w:val="0"/>
              <w:rPr>
                <w:szCs w:val="20"/>
              </w:rPr>
            </w:pPr>
            <w:r w:rsidRPr="008D6B70">
              <w:rPr>
                <w:szCs w:val="20"/>
              </w:rPr>
              <w:t>Private hospital: $</w:t>
            </w:r>
            <w:r w:rsidRPr="00BC5BE1">
              <w:rPr>
                <w:szCs w:val="20"/>
              </w:rPr>
              <w:t>6,299.55</w:t>
            </w:r>
          </w:p>
          <w:p w:rsidR="00074D4A" w:rsidRPr="008D6B70" w:rsidRDefault="00074D4A" w:rsidP="00555AE1">
            <w:pPr>
              <w:pStyle w:val="TableText"/>
              <w:widowControl w:val="0"/>
              <w:rPr>
                <w:szCs w:val="20"/>
              </w:rPr>
            </w:pPr>
            <w:r w:rsidRPr="008D6B70">
              <w:rPr>
                <w:szCs w:val="20"/>
              </w:rPr>
              <w:t>25 mg Public hospital: $</w:t>
            </w:r>
            <w:r w:rsidRPr="00BC5BE1">
              <w:rPr>
                <w:szCs w:val="20"/>
              </w:rPr>
              <w:t>6,587.49</w:t>
            </w:r>
          </w:p>
          <w:p w:rsidR="00074D4A" w:rsidRPr="008D6B70" w:rsidRDefault="00074D4A" w:rsidP="00555AE1">
            <w:pPr>
              <w:pStyle w:val="TableText"/>
              <w:keepNext w:val="0"/>
              <w:widowControl w:val="0"/>
              <w:rPr>
                <w:szCs w:val="20"/>
              </w:rPr>
            </w:pPr>
            <w:r w:rsidRPr="008D6B70">
              <w:rPr>
                <w:szCs w:val="20"/>
              </w:rPr>
              <w:t>Private hospital: $</w:t>
            </w:r>
            <w:r w:rsidRPr="00BC5BE1">
              <w:rPr>
                <w:szCs w:val="20"/>
              </w:rPr>
              <w:t>6,634.51</w:t>
            </w:r>
          </w:p>
        </w:tc>
        <w:tc>
          <w:tcPr>
            <w:tcW w:w="341" w:type="pct"/>
          </w:tcPr>
          <w:p w:rsidR="00074D4A" w:rsidRPr="008D6B70" w:rsidRDefault="00074D4A" w:rsidP="00555AE1">
            <w:pPr>
              <w:pStyle w:val="TableText"/>
              <w:rPr>
                <w:szCs w:val="20"/>
              </w:rPr>
            </w:pPr>
            <w:r w:rsidRPr="008D6B70">
              <w:rPr>
                <w:szCs w:val="20"/>
              </w:rPr>
              <w:t xml:space="preserve">REVLIMID®, </w:t>
            </w:r>
          </w:p>
        </w:tc>
        <w:tc>
          <w:tcPr>
            <w:tcW w:w="740" w:type="pct"/>
          </w:tcPr>
          <w:p w:rsidR="00074D4A" w:rsidRPr="008D6B70" w:rsidRDefault="00074D4A" w:rsidP="00555AE1">
            <w:pPr>
              <w:pStyle w:val="TableText"/>
              <w:rPr>
                <w:szCs w:val="20"/>
              </w:rPr>
            </w:pPr>
            <w:r w:rsidRPr="008D6B70">
              <w:rPr>
                <w:szCs w:val="20"/>
              </w:rPr>
              <w:t>Celgene Pty Ltd</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Category / Program:</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Section 100 – Highly Specialised Drugs</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PBS Indication:</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Multiple Myeloma</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Restriction:</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pPr>
            <w:r w:rsidRPr="008D6B70">
              <w:t>Authority Required – In Writing</w:t>
            </w:r>
          </w:p>
        </w:tc>
      </w:tr>
      <w:tr w:rsidR="00074D4A" w:rsidRPr="008D6B70" w:rsidTr="00555AE1">
        <w:tblPrEx>
          <w:tblCellMar>
            <w:left w:w="108" w:type="dxa"/>
            <w:right w:w="108" w:type="dxa"/>
          </w:tblCellMar>
        </w:tblPrEx>
        <w:trPr>
          <w:cantSplit/>
          <w:trHeight w:val="360"/>
        </w:trPr>
        <w:tc>
          <w:tcPr>
            <w:tcW w:w="1043" w:type="pct"/>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ascii="Times" w:eastAsia="Times New Roman" w:hAnsi="Times" w:cs="Times New Roman"/>
                <w:szCs w:val="20"/>
                <w:lang w:val="en-US"/>
              </w:rPr>
            </w:pPr>
            <w:r w:rsidRPr="008D6B70">
              <w:t>Clinical criteria:</w:t>
            </w:r>
          </w:p>
        </w:tc>
        <w:tc>
          <w:tcPr>
            <w:tcW w:w="3957" w:type="pct"/>
            <w:gridSpan w:val="6"/>
            <w:tcBorders>
              <w:top w:val="single" w:sz="4" w:space="0" w:color="auto"/>
              <w:left w:val="single" w:sz="4" w:space="0" w:color="auto"/>
              <w:bottom w:val="single" w:sz="4" w:space="0" w:color="auto"/>
              <w:right w:val="single" w:sz="4" w:space="0" w:color="auto"/>
            </w:tcBorders>
          </w:tcPr>
          <w:p w:rsidR="00074D4A" w:rsidRPr="008D6B70" w:rsidRDefault="00074D4A" w:rsidP="00555AE1">
            <w:pPr>
              <w:pStyle w:val="TableText"/>
              <w:rPr>
                <w:rFonts w:eastAsia="Times New Roman" w:cs="Arial"/>
                <w:szCs w:val="20"/>
                <w:u w:val="single"/>
                <w:lang w:eastAsia="en-AU"/>
              </w:rPr>
            </w:pPr>
            <w:r w:rsidRPr="008D6B70">
              <w:rPr>
                <w:rFonts w:eastAsia="Times New Roman" w:cs="Arial"/>
                <w:szCs w:val="20"/>
                <w:u w:val="single"/>
                <w:lang w:eastAsia="en-AU"/>
              </w:rPr>
              <w:t>Initial:</w:t>
            </w:r>
          </w:p>
          <w:p w:rsidR="00074D4A" w:rsidRPr="008D6B70" w:rsidRDefault="00074D4A" w:rsidP="00555AE1">
            <w:pPr>
              <w:pStyle w:val="TableText"/>
            </w:pPr>
            <w:r w:rsidRPr="008D6B70">
              <w:t>The condition must be confirmed by a histological diagnosis</w:t>
            </w:r>
          </w:p>
          <w:p w:rsidR="00074D4A" w:rsidRPr="008D6B70" w:rsidRDefault="00074D4A" w:rsidP="00555AE1">
            <w:pPr>
              <w:pStyle w:val="TableText"/>
            </w:pPr>
            <w:r w:rsidRPr="008D6B70">
              <w:t>AND</w:t>
            </w:r>
          </w:p>
          <w:p w:rsidR="00074D4A" w:rsidRPr="008D6B70" w:rsidRDefault="00074D4A" w:rsidP="00555AE1">
            <w:pPr>
              <w:pStyle w:val="TableText"/>
            </w:pPr>
            <w:r w:rsidRPr="008D6B70">
              <w:t>The treatment must be in combination with daratumumab and dexamethasone</w:t>
            </w:r>
          </w:p>
          <w:p w:rsidR="00074D4A" w:rsidRPr="008D6B70" w:rsidRDefault="00074D4A" w:rsidP="00555AE1">
            <w:pPr>
              <w:pStyle w:val="TableText"/>
            </w:pPr>
            <w:r w:rsidRPr="008D6B70">
              <w:t>AND</w:t>
            </w:r>
          </w:p>
          <w:p w:rsidR="00074D4A" w:rsidRPr="008D6B70" w:rsidRDefault="00074D4A" w:rsidP="00555AE1">
            <w:pPr>
              <w:pStyle w:val="TableText"/>
            </w:pPr>
            <w:r w:rsidRPr="008D6B70">
              <w:t>Patient must have progressive disease after at least one prior therapy</w:t>
            </w:r>
          </w:p>
          <w:p w:rsidR="00074D4A" w:rsidRPr="008D6B70" w:rsidRDefault="00074D4A" w:rsidP="00555AE1">
            <w:pPr>
              <w:pStyle w:val="TableText"/>
            </w:pPr>
            <w:r w:rsidRPr="008D6B70">
              <w:t>AND</w:t>
            </w:r>
          </w:p>
          <w:p w:rsidR="00074D4A" w:rsidRPr="008D6B70" w:rsidRDefault="00074D4A" w:rsidP="00555AE1">
            <w:pPr>
              <w:pStyle w:val="TableText"/>
            </w:pPr>
            <w:r w:rsidRPr="008D6B70">
              <w:t>Patient must not be receiving concomitant PBS-subsidised bortezomib, thalidomide or pomalidomide.</w:t>
            </w:r>
          </w:p>
          <w:p w:rsidR="00074D4A" w:rsidRPr="008D6B70" w:rsidRDefault="00074D4A" w:rsidP="00555AE1">
            <w:pPr>
              <w:pStyle w:val="TableText"/>
              <w:rPr>
                <w:u w:val="single"/>
              </w:rPr>
            </w:pPr>
            <w:r w:rsidRPr="008D6B70">
              <w:rPr>
                <w:u w:val="single"/>
              </w:rPr>
              <w:t>Continuing:</w:t>
            </w:r>
          </w:p>
          <w:p w:rsidR="00074D4A" w:rsidRPr="008D6B70" w:rsidRDefault="00074D4A" w:rsidP="00555AE1">
            <w:pPr>
              <w:pStyle w:val="TableText"/>
            </w:pPr>
            <w:r w:rsidRPr="008D6B70">
              <w:t>Patient must have previously received an authority prescription for this drug for this condition</w:t>
            </w:r>
          </w:p>
          <w:p w:rsidR="00074D4A" w:rsidRPr="008D6B70" w:rsidRDefault="00074D4A" w:rsidP="00555AE1">
            <w:pPr>
              <w:pStyle w:val="TableText"/>
            </w:pPr>
            <w:r w:rsidRPr="008D6B70">
              <w:t>AND</w:t>
            </w:r>
          </w:p>
          <w:p w:rsidR="00074D4A" w:rsidRPr="008D6B70" w:rsidRDefault="00074D4A" w:rsidP="00555AE1">
            <w:pPr>
              <w:pStyle w:val="TableText"/>
            </w:pPr>
            <w:r w:rsidRPr="008D6B70">
              <w:t xml:space="preserve">Patient must not have progressive disease </w:t>
            </w:r>
          </w:p>
          <w:p w:rsidR="00074D4A" w:rsidRPr="008D6B70" w:rsidRDefault="00074D4A" w:rsidP="00555AE1">
            <w:pPr>
              <w:pStyle w:val="TableText"/>
            </w:pPr>
            <w:r w:rsidRPr="008D6B70">
              <w:t>AND</w:t>
            </w:r>
          </w:p>
          <w:p w:rsidR="00074D4A" w:rsidRPr="008D6B70" w:rsidRDefault="00074D4A" w:rsidP="00555AE1">
            <w:pPr>
              <w:pStyle w:val="TableText"/>
            </w:pPr>
            <w:r w:rsidRPr="008D6B70">
              <w:t>The treatment must be in combination with daratumumab and dexamethasone or with dexamethasone only or as monotherapy in patients who have developed treatment-limiting toxicity to daratumumab</w:t>
            </w:r>
          </w:p>
          <w:p w:rsidR="00074D4A" w:rsidRPr="008D6B70" w:rsidRDefault="00074D4A" w:rsidP="00555AE1">
            <w:pPr>
              <w:pStyle w:val="TableText"/>
            </w:pPr>
            <w:r w:rsidRPr="008D6B70">
              <w:t>AND</w:t>
            </w:r>
          </w:p>
          <w:p w:rsidR="00074D4A" w:rsidRPr="008D6B70" w:rsidRDefault="00074D4A" w:rsidP="00555AE1">
            <w:pPr>
              <w:pStyle w:val="TableText"/>
            </w:pPr>
            <w:r w:rsidRPr="008D6B70">
              <w:t>Patient must not be receiving concomitant PBS-subsidised bortezomib, thalidomide or pomalidomide</w:t>
            </w:r>
          </w:p>
        </w:tc>
      </w:tr>
    </w:tbl>
    <w:p w:rsidR="00F16D73" w:rsidRPr="008D6B70" w:rsidRDefault="00602E2F" w:rsidP="00C07F6D">
      <w:pPr>
        <w:pStyle w:val="ListParagraph"/>
        <w:numPr>
          <w:ilvl w:val="1"/>
          <w:numId w:val="139"/>
        </w:numPr>
        <w:jc w:val="both"/>
      </w:pPr>
      <w:r w:rsidRPr="008D6B70">
        <w:lastRenderedPageBreak/>
        <w:t xml:space="preserve">Daratumumab is registered for use as a monotherapy “DARZALEX monotherapy is indicated for the treatment of patients with multiple myeloma who have received at least three prior lines of therapy including a proteasome inhibitor (PI) and an immunomodulatory agent or who are refractory to both a PI and an immunomodulatory agent”. However, this submission </w:t>
      </w:r>
      <w:r w:rsidR="00B92A13" w:rsidRPr="008D6B70">
        <w:t xml:space="preserve">did </w:t>
      </w:r>
      <w:r w:rsidRPr="008D6B70">
        <w:t>not request PBS listing of daratumumab monotherapy</w:t>
      </w:r>
      <w:r w:rsidR="00B92A13" w:rsidRPr="008D6B70">
        <w:t xml:space="preserve">. </w:t>
      </w:r>
    </w:p>
    <w:p w:rsidR="00602E2F" w:rsidRPr="007E324A" w:rsidRDefault="00CF15CE" w:rsidP="00C07F6D">
      <w:pPr>
        <w:pStyle w:val="ListParagraph"/>
        <w:numPr>
          <w:ilvl w:val="1"/>
          <w:numId w:val="139"/>
        </w:numPr>
        <w:jc w:val="both"/>
        <w:rPr>
          <w:iCs/>
        </w:rPr>
      </w:pPr>
      <w:r w:rsidRPr="008D6B70">
        <w:rPr>
          <w:iCs/>
        </w:rPr>
        <w:t>The ESC considered</w:t>
      </w:r>
      <w:r w:rsidR="004C43D5" w:rsidRPr="008D6B70">
        <w:rPr>
          <w:iCs/>
        </w:rPr>
        <w:t>,</w:t>
      </w:r>
      <w:r w:rsidRPr="008D6B70">
        <w:rPr>
          <w:iCs/>
        </w:rPr>
        <w:t xml:space="preserve"> given the potential benefit of daratumumab monotherapy</w:t>
      </w:r>
      <w:r w:rsidR="00BD2C6B">
        <w:rPr>
          <w:iCs/>
        </w:rPr>
        <w:t xml:space="preserve"> for highly refractory patients</w:t>
      </w:r>
      <w:r w:rsidRPr="008D6B70">
        <w:rPr>
          <w:iCs/>
        </w:rPr>
        <w:t>,</w:t>
      </w:r>
      <w:r w:rsidR="00BD2C6B" w:rsidRPr="008D6B70">
        <w:rPr>
          <w:rStyle w:val="FootnoteReference"/>
        </w:rPr>
        <w:footnoteReference w:id="1"/>
      </w:r>
      <w:r w:rsidRPr="008D6B70">
        <w:rPr>
          <w:iCs/>
        </w:rPr>
        <w:t xml:space="preserve"> </w:t>
      </w:r>
      <w:r w:rsidR="004C43D5" w:rsidRPr="008D6B70">
        <w:rPr>
          <w:iCs/>
        </w:rPr>
        <w:t xml:space="preserve">a listing </w:t>
      </w:r>
      <w:r w:rsidR="00BD2C6B">
        <w:rPr>
          <w:iCs/>
        </w:rPr>
        <w:t>these</w:t>
      </w:r>
      <w:r w:rsidR="004C43D5" w:rsidRPr="008D6B70">
        <w:rPr>
          <w:iCs/>
        </w:rPr>
        <w:t xml:space="preserve"> patients may be clinically appropriate</w:t>
      </w:r>
      <w:r w:rsidRPr="008D6B70">
        <w:rPr>
          <w:iCs/>
        </w:rPr>
        <w:t>, particularly in light of the difficulty in restricting use in this setting.</w:t>
      </w:r>
      <w:r w:rsidR="00A14F5E" w:rsidRPr="008D6B70">
        <w:rPr>
          <w:iCs/>
        </w:rPr>
        <w:t xml:space="preserve"> </w:t>
      </w:r>
      <w:r w:rsidR="00303ECB" w:rsidRPr="008D6B70">
        <w:rPr>
          <w:iCs/>
        </w:rPr>
        <w:t xml:space="preserve">The ESC noted the submission highlighted that </w:t>
      </w:r>
      <w:r w:rsidR="00602E2F" w:rsidRPr="008D6B70">
        <w:t>the data supporting this indication is non-comparative and may not be of suitable quality or level of rigour for the PBAC to determine comparative efficacy, safety and cost</w:t>
      </w:r>
      <w:r w:rsidR="00602E2F" w:rsidRPr="008D6B70">
        <w:noBreakHyphen/>
        <w:t>effectiveness to the treatment daratumumab would replace in practice.</w:t>
      </w:r>
      <w:r w:rsidR="003C7F51">
        <w:t xml:space="preserve"> T</w:t>
      </w:r>
      <w:r w:rsidR="00481EA7">
        <w:t>he PBAC considered that there was a high clinical need</w:t>
      </w:r>
      <w:r w:rsidR="00BD2C6B">
        <w:t>, and clinician preference,</w:t>
      </w:r>
      <w:r w:rsidR="00481EA7">
        <w:t xml:space="preserve"> in the patient population for whom daratumumab monotherapy would be appropriate, and </w:t>
      </w:r>
      <w:r w:rsidR="00481EA7" w:rsidRPr="002F0658">
        <w:t xml:space="preserve">that excluding such </w:t>
      </w:r>
      <w:r w:rsidR="003C7F51">
        <w:t>use</w:t>
      </w:r>
      <w:r w:rsidR="00481EA7" w:rsidRPr="002F0658">
        <w:t xml:space="preserve"> may </w:t>
      </w:r>
      <w:r w:rsidR="002F0658" w:rsidRPr="002F0658">
        <w:t>be inequitable</w:t>
      </w:r>
      <w:r w:rsidR="00481EA7" w:rsidRPr="002F0658">
        <w:t>.</w:t>
      </w:r>
      <w:r w:rsidR="00BD2C6B">
        <w:t xml:space="preserve"> The PBAC also considered that in the case where monotherapy wasn’t </w:t>
      </w:r>
      <w:r w:rsidR="003C7F51">
        <w:t>listed</w:t>
      </w:r>
      <w:r w:rsidR="00BD2C6B">
        <w:t xml:space="preserve">, there would be a </w:t>
      </w:r>
      <w:r w:rsidR="00BD2C6B" w:rsidRPr="008D6B70">
        <w:t>risk of use outside the requested indication into daratumumab monotherapy, particularly given that this would be an attractive option for patients who are refractory to other treatments or have treatment-related toxicities.</w:t>
      </w:r>
    </w:p>
    <w:p w:rsidR="007E324A" w:rsidRPr="00243085" w:rsidRDefault="007E324A" w:rsidP="00243085">
      <w:pPr>
        <w:pStyle w:val="ListParagraph"/>
        <w:numPr>
          <w:ilvl w:val="1"/>
          <w:numId w:val="139"/>
        </w:numPr>
        <w:jc w:val="both"/>
      </w:pPr>
      <w:r>
        <w:t xml:space="preserve">The sponsor requested in its pre-PBAC response that the PBAC consider </w:t>
      </w:r>
      <w:r w:rsidR="003C7F51">
        <w:t>listing of</w:t>
      </w:r>
      <w:r>
        <w:t xml:space="preserve"> the DBd regimen only.</w:t>
      </w:r>
    </w:p>
    <w:p w:rsidR="008D6B70" w:rsidRPr="008D6B70" w:rsidRDefault="008D6B70" w:rsidP="003C480E">
      <w:pPr>
        <w:pStyle w:val="ListParagraph"/>
        <w:ind w:left="567"/>
        <w:jc w:val="both"/>
        <w:rPr>
          <w:i/>
        </w:rPr>
      </w:pPr>
      <w:r w:rsidRPr="002F0658">
        <w:rPr>
          <w:i/>
        </w:rPr>
        <w:t>For more detail on PBAC’s view, see section 7 PBAC outcome.</w:t>
      </w:r>
    </w:p>
    <w:p w:rsidR="00074D4A" w:rsidRPr="008D6B70" w:rsidRDefault="00074D4A" w:rsidP="00074D4A">
      <w:pPr>
        <w:pStyle w:val="Heading1"/>
        <w:ind w:left="709" w:hanging="709"/>
      </w:pPr>
      <w:bookmarkStart w:id="5" w:name="_Toc413139273"/>
      <w:bookmarkStart w:id="6" w:name="_Toc492997383"/>
      <w:r w:rsidRPr="008D6B70">
        <w:t>Background</w:t>
      </w:r>
      <w:bookmarkEnd w:id="5"/>
      <w:bookmarkEnd w:id="6"/>
    </w:p>
    <w:p w:rsidR="00074D4A" w:rsidRPr="008D6B70" w:rsidRDefault="00074D4A" w:rsidP="00371E3E">
      <w:pPr>
        <w:pStyle w:val="Heading2"/>
        <w:rPr>
          <w:rFonts w:ascii="Arial" w:hAnsi="Arial"/>
          <w:i w:val="0"/>
          <w:snapToGrid w:val="0"/>
        </w:rPr>
      </w:pPr>
      <w:bookmarkStart w:id="7" w:name="_Toc492997384"/>
      <w:r w:rsidRPr="008D6B70">
        <w:rPr>
          <w:i w:val="0"/>
        </w:rPr>
        <w:t>Registration status</w:t>
      </w:r>
      <w:bookmarkEnd w:id="7"/>
    </w:p>
    <w:p w:rsidR="00107020" w:rsidRPr="008D6B70" w:rsidRDefault="00966313" w:rsidP="00865EA5">
      <w:pPr>
        <w:pStyle w:val="ListParagraph"/>
        <w:numPr>
          <w:ilvl w:val="1"/>
          <w:numId w:val="108"/>
        </w:numPr>
      </w:pPr>
      <w:r w:rsidRPr="008D6B70">
        <w:t>TGA status:</w:t>
      </w:r>
      <w:r w:rsidR="00723800" w:rsidRPr="008D6B70">
        <w:t xml:space="preserve"> Daratumumab was approved for registration on 17 July 2017. </w:t>
      </w:r>
      <w:r w:rsidR="00107020" w:rsidRPr="008D6B70">
        <w:t>The approved indication is:</w:t>
      </w:r>
    </w:p>
    <w:p w:rsidR="00107020" w:rsidRPr="008D6B70" w:rsidRDefault="00107020" w:rsidP="002411CB">
      <w:pPr>
        <w:pStyle w:val="ListParagraph"/>
        <w:numPr>
          <w:ilvl w:val="1"/>
          <w:numId w:val="22"/>
        </w:numPr>
        <w:jc w:val="both"/>
      </w:pPr>
      <w:r w:rsidRPr="008D6B70">
        <w:t>in combination with lenalidomide and dexamethasone, or bortezomib and dexamethasone, for the treatment of patients with multiple myeloma who have received at least one prior therapy</w:t>
      </w:r>
      <w:r w:rsidR="00742F6F" w:rsidRPr="008D6B70">
        <w:t>; and</w:t>
      </w:r>
    </w:p>
    <w:p w:rsidR="00074D4A" w:rsidRPr="002F0658" w:rsidRDefault="00107020" w:rsidP="002411CB">
      <w:pPr>
        <w:pStyle w:val="ListParagraph"/>
        <w:numPr>
          <w:ilvl w:val="1"/>
          <w:numId w:val="22"/>
        </w:numPr>
        <w:jc w:val="both"/>
      </w:pPr>
      <w:r w:rsidRPr="008D6B70">
        <w:t xml:space="preserve">as monotherapy, for the treatment of patients with multiple myeloma who have received at least three prior lines of therapy including a proteasome </w:t>
      </w:r>
      <w:r w:rsidRPr="002F0658">
        <w:t>inhibitor (PI) and an immunomodulatory agent or who are refractory to both a PI and an immunomodulatory agent.</w:t>
      </w:r>
    </w:p>
    <w:p w:rsidR="008D6B70" w:rsidRPr="002F0658" w:rsidRDefault="008D6B70" w:rsidP="008D6B70">
      <w:pPr>
        <w:pStyle w:val="ListParagraph"/>
        <w:jc w:val="both"/>
        <w:rPr>
          <w:i/>
        </w:rPr>
      </w:pPr>
      <w:r w:rsidRPr="002F0658">
        <w:rPr>
          <w:i/>
        </w:rPr>
        <w:lastRenderedPageBreak/>
        <w:t>For more detail on PBAC’s view, see section 7 PBAC outcome.</w:t>
      </w:r>
    </w:p>
    <w:p w:rsidR="000E19FC" w:rsidRPr="002F0658" w:rsidRDefault="00074D4A" w:rsidP="00D778F8">
      <w:pPr>
        <w:pStyle w:val="Heading1"/>
        <w:ind w:left="709" w:hanging="709"/>
      </w:pPr>
      <w:bookmarkStart w:id="8" w:name="_Toc492997385"/>
      <w:r w:rsidRPr="002F0658">
        <w:t>Population and disease</w:t>
      </w:r>
      <w:bookmarkEnd w:id="8"/>
    </w:p>
    <w:p w:rsidR="00074D4A" w:rsidRPr="008D6B70" w:rsidRDefault="00074D4A" w:rsidP="00865EA5">
      <w:pPr>
        <w:pStyle w:val="ListParagraph"/>
        <w:numPr>
          <w:ilvl w:val="1"/>
          <w:numId w:val="108"/>
        </w:numPr>
      </w:pPr>
      <w:r w:rsidRPr="002F0658">
        <w:t>Multiple myeloma</w:t>
      </w:r>
      <w:r w:rsidRPr="008D6B70">
        <w:t xml:space="preserve"> is a cytogenetically heterogeneous clonal plasma cell proliferative disorder characterised by an abnormal serum and/or urine immunoglobulin. As </w:t>
      </w:r>
      <w:r w:rsidR="00A903EE" w:rsidRPr="008D6B70">
        <w:t>multiple myeloma</w:t>
      </w:r>
      <w:r w:rsidRPr="008D6B70">
        <w:t xml:space="preserve"> progresses and patients relapse following initial treatment, the presence of subclonal populations of malignant plasma cells becomes increasingly prevalent. </w:t>
      </w:r>
      <w:r w:rsidR="009F4E5D" w:rsidRPr="008D6B70">
        <w:t>Typical clinical features include: bone disease (and bone loss) with skeletal pain, impaired renal function, anaemia, fatigue, hypercalcaemia, recurrent and/or persistent bacterial infection, and/or hyperviscosity of the blood.</w:t>
      </w:r>
    </w:p>
    <w:p w:rsidR="00E97201" w:rsidRDefault="00074D4A" w:rsidP="003F08C6">
      <w:pPr>
        <w:pStyle w:val="ListParagraph"/>
        <w:numPr>
          <w:ilvl w:val="1"/>
          <w:numId w:val="108"/>
        </w:numPr>
      </w:pPr>
      <w:r w:rsidRPr="008D6B70">
        <w:t>The submission requested listing of daratumumab</w:t>
      </w:r>
      <w:r w:rsidR="00F7677F">
        <w:t>, in combination with bortezomib or lenalidomide,</w:t>
      </w:r>
      <w:r w:rsidRPr="008D6B70">
        <w:t xml:space="preserve"> </w:t>
      </w:r>
      <w:r w:rsidR="00F7677F">
        <w:t>as a</w:t>
      </w:r>
      <w:r w:rsidRPr="008D6B70">
        <w:t xml:space="preserve"> second and later line treatment </w:t>
      </w:r>
      <w:r w:rsidR="00F7677F">
        <w:t>for</w:t>
      </w:r>
      <w:r w:rsidRPr="008D6B70">
        <w:t xml:space="preserve"> </w:t>
      </w:r>
      <w:r w:rsidR="00A63FAC" w:rsidRPr="008D6B70">
        <w:t xml:space="preserve">progressive </w:t>
      </w:r>
      <w:r w:rsidRPr="008D6B70">
        <w:t xml:space="preserve">multiple myeloma, </w:t>
      </w:r>
      <w:r w:rsidR="00A63FAC" w:rsidRPr="008D6B70">
        <w:t>that is, the patient</w:t>
      </w:r>
      <w:r w:rsidRPr="008D6B70">
        <w:t xml:space="preserve"> must have progressive disease after at least one prior therapy. The two clinical algorithms presented considered that DBd would </w:t>
      </w:r>
      <w:r w:rsidR="009E78F9" w:rsidRPr="008D6B70">
        <w:t>substitute</w:t>
      </w:r>
      <w:r w:rsidRPr="008D6B70">
        <w:t xml:space="preserve"> </w:t>
      </w:r>
      <w:r w:rsidR="00747AA7" w:rsidRPr="008D6B70">
        <w:t xml:space="preserve">for </w:t>
      </w:r>
      <w:r w:rsidRPr="008D6B70">
        <w:t>Bd</w:t>
      </w:r>
      <w:r w:rsidR="00747AA7" w:rsidRPr="008D6B70">
        <w:t>,</w:t>
      </w:r>
      <w:r w:rsidRPr="008D6B70">
        <w:t xml:space="preserve"> and DLd would </w:t>
      </w:r>
      <w:r w:rsidR="009E78F9" w:rsidRPr="008D6B70">
        <w:t>substitute</w:t>
      </w:r>
      <w:r w:rsidRPr="008D6B70">
        <w:t xml:space="preserve"> </w:t>
      </w:r>
      <w:r w:rsidR="00747AA7" w:rsidRPr="008D6B70">
        <w:t xml:space="preserve">for </w:t>
      </w:r>
      <w:r w:rsidRPr="008D6B70">
        <w:t xml:space="preserve">Ld. The clinical algorithms assumed that the majority of patients would switch the backbone class of therapy </w:t>
      </w:r>
      <w:r w:rsidR="00747AA7" w:rsidRPr="008D6B70">
        <w:t xml:space="preserve">(between a proteasome inhibitor, such as bortezomib, and immunomodulatory agent, such as lenalidomide) </w:t>
      </w:r>
      <w:r w:rsidRPr="008D6B70">
        <w:t>in the relapsed/refractory setting. That is, if patients received Bd</w:t>
      </w:r>
      <w:r w:rsidR="004A0AC5" w:rsidRPr="008D6B70">
        <w:t xml:space="preserve"> initially</w:t>
      </w:r>
      <w:r w:rsidRPr="008D6B70">
        <w:t xml:space="preserve">, most would </w:t>
      </w:r>
      <w:r w:rsidR="00505F17" w:rsidRPr="008D6B70">
        <w:t>use</w:t>
      </w:r>
      <w:r w:rsidR="004A0AC5" w:rsidRPr="008D6B70">
        <w:t xml:space="preserve"> </w:t>
      </w:r>
      <w:r w:rsidRPr="008D6B70">
        <w:t>DLd in second line. The major change between the current and proposed algorithm is the addition of a third agent (daratumumab) after progression, also impacting on the subsequent choice of second line treatment.</w:t>
      </w:r>
      <w:r w:rsidR="009D5412" w:rsidRPr="009D5412">
        <w:t xml:space="preserve"> </w:t>
      </w:r>
      <w:r w:rsidR="009D5412" w:rsidRPr="00E11807">
        <w:t xml:space="preserve">The submission stated, based on market research conducted with clinicians, that Bd is more commonly used first line and hence Ld therapy (or DLd) is more likely to be used in second line. </w:t>
      </w:r>
      <w:r w:rsidR="00BD2C6B">
        <w:t xml:space="preserve"> </w:t>
      </w:r>
    </w:p>
    <w:p w:rsidR="00074D4A" w:rsidRPr="008D6B70" w:rsidRDefault="00BD2C6B" w:rsidP="003F08C6">
      <w:pPr>
        <w:pStyle w:val="ListParagraph"/>
        <w:numPr>
          <w:ilvl w:val="1"/>
          <w:numId w:val="108"/>
        </w:numPr>
      </w:pPr>
      <w:r>
        <w:t xml:space="preserve">The PBAC </w:t>
      </w:r>
      <w:r w:rsidR="00446AC8">
        <w:t>considered</w:t>
      </w:r>
      <w:r>
        <w:t xml:space="preserve"> the proposal in the pre-PBAC response to list DBd only may influence the choice of </w:t>
      </w:r>
      <w:r w:rsidR="00446AC8">
        <w:t xml:space="preserve">the </w:t>
      </w:r>
      <w:r>
        <w:t>initial backbone therapy.</w:t>
      </w:r>
      <w:r w:rsidR="00E97201">
        <w:t xml:space="preserve"> </w:t>
      </w:r>
      <w:r w:rsidR="00E97201" w:rsidRPr="00E11807">
        <w:t xml:space="preserve">The PBAC </w:t>
      </w:r>
      <w:r w:rsidR="00E97201">
        <w:t>noted</w:t>
      </w:r>
      <w:r w:rsidR="00E97201" w:rsidRPr="00E11807">
        <w:t xml:space="preserve"> that Ld is currently the most </w:t>
      </w:r>
      <w:r w:rsidR="00E97201">
        <w:t xml:space="preserve">commonly </w:t>
      </w:r>
      <w:r w:rsidR="00E97201" w:rsidRPr="00E11807">
        <w:t xml:space="preserve">used second line therapy, and </w:t>
      </w:r>
      <w:r w:rsidR="00E97201">
        <w:t xml:space="preserve">agreed </w:t>
      </w:r>
      <w:r w:rsidR="00E97201" w:rsidRPr="00E11807">
        <w:t>that clinician preference would be to switch backbone therapy in the second line. The PBAC therefore considered that list</w:t>
      </w:r>
      <w:r w:rsidR="00E97201">
        <w:t>ing</w:t>
      </w:r>
      <w:r w:rsidR="00E97201" w:rsidRPr="00E11807">
        <w:t xml:space="preserve"> DBd only would </w:t>
      </w:r>
      <w:r w:rsidR="00E97201">
        <w:t>result in</w:t>
      </w:r>
      <w:r w:rsidR="00E97201" w:rsidRPr="00E11807">
        <w:t xml:space="preserve"> a higher proportion of patients </w:t>
      </w:r>
      <w:r w:rsidR="00E97201">
        <w:t>using</w:t>
      </w:r>
      <w:r w:rsidR="00E97201" w:rsidRPr="00E11807">
        <w:t xml:space="preserve"> the same backbone therapy in </w:t>
      </w:r>
      <w:r w:rsidR="00E97201">
        <w:t xml:space="preserve">first and </w:t>
      </w:r>
      <w:r w:rsidR="00E97201" w:rsidRPr="00E11807">
        <w:t>second line</w:t>
      </w:r>
      <w:r w:rsidR="00E97201">
        <w:t xml:space="preserve"> (i</w:t>
      </w:r>
      <w:r w:rsidR="001E0272">
        <w:t>.</w:t>
      </w:r>
      <w:r w:rsidR="00E97201">
        <w:t>e</w:t>
      </w:r>
      <w:r w:rsidR="001E0272">
        <w:t>.</w:t>
      </w:r>
      <w:r w:rsidR="00E97201">
        <w:t xml:space="preserve"> Bd followed by DBd)</w:t>
      </w:r>
      <w:r w:rsidR="00E97201" w:rsidRPr="00E11807">
        <w:t>, and would potentially drive an increase in Ld use in first line, as well as increase the risk of use outside the current lenalidomide indication into transplant eligible patients.</w:t>
      </w:r>
    </w:p>
    <w:p w:rsidR="004C2A80" w:rsidRPr="002F0658" w:rsidRDefault="004C2A80" w:rsidP="003F08C6">
      <w:pPr>
        <w:pStyle w:val="ListParagraph"/>
        <w:numPr>
          <w:ilvl w:val="1"/>
          <w:numId w:val="108"/>
        </w:numPr>
      </w:pPr>
      <w:r w:rsidRPr="008D6B70">
        <w:t xml:space="preserve">The </w:t>
      </w:r>
      <w:r w:rsidR="00481EA7">
        <w:t xml:space="preserve">PBAC agreed with the </w:t>
      </w:r>
      <w:r w:rsidRPr="008D6B70">
        <w:t xml:space="preserve">ESC that the choice of therapy for patients with RRMM was based on the consideration of a number of factors, including the therapies used in earlier treatment settings, the time from and response to initial therapy, patient comorbidities and the potential for toxicities, and preference for oral compared with injection/ infusion based therapies. </w:t>
      </w:r>
      <w:r w:rsidR="004F1423" w:rsidRPr="008D6B70">
        <w:t>It was noted that</w:t>
      </w:r>
      <w:r w:rsidRPr="008D6B70">
        <w:t xml:space="preserve"> there are multiple potential treatments available for use in the second line setting. These are well described by the algorithms published by Nooka and Lonial 2016</w:t>
      </w:r>
      <w:r w:rsidRPr="008D6B70">
        <w:rPr>
          <w:rStyle w:val="FootnoteReference"/>
        </w:rPr>
        <w:footnoteReference w:id="2"/>
      </w:r>
      <w:r w:rsidR="00F16D73" w:rsidRPr="008D6B70">
        <w:t>,</w:t>
      </w:r>
      <w:r w:rsidRPr="008D6B70">
        <w:t xml:space="preserve"> </w:t>
      </w:r>
      <w:r w:rsidR="00F16D73" w:rsidRPr="008D6B70">
        <w:t>which</w:t>
      </w:r>
      <w:r w:rsidRPr="008D6B70">
        <w:t xml:space="preserve"> better represent the complexity of treatment in this setting than those presented in the submission. The ESC also noted that contrary to the algorithm presented in the submission, </w:t>
      </w:r>
      <w:r w:rsidRPr="002F0658">
        <w:t>transplant eligible patients in Australia are not able to access lenalidomide on the PBS.</w:t>
      </w:r>
    </w:p>
    <w:p w:rsidR="008D6B70" w:rsidRPr="002F0658" w:rsidRDefault="008D6B70" w:rsidP="008D6B70">
      <w:pPr>
        <w:pStyle w:val="ListParagraph"/>
        <w:ind w:left="360"/>
        <w:jc w:val="both"/>
        <w:rPr>
          <w:i/>
        </w:rPr>
      </w:pPr>
      <w:bookmarkStart w:id="9" w:name="_Toc413139275"/>
      <w:bookmarkStart w:id="10" w:name="_Toc492997386"/>
      <w:r w:rsidRPr="002F0658">
        <w:rPr>
          <w:i/>
        </w:rPr>
        <w:lastRenderedPageBreak/>
        <w:t>For more detail on PBAC’s view, see section 7 PBAC outcome.</w:t>
      </w:r>
    </w:p>
    <w:p w:rsidR="000E19FC" w:rsidRPr="002F0658" w:rsidRDefault="00074D4A" w:rsidP="00D778F8">
      <w:pPr>
        <w:pStyle w:val="Heading1"/>
        <w:ind w:left="709" w:hanging="709"/>
      </w:pPr>
      <w:r w:rsidRPr="002F0658">
        <w:t>Comparator</w:t>
      </w:r>
      <w:bookmarkEnd w:id="9"/>
      <w:bookmarkEnd w:id="10"/>
    </w:p>
    <w:p w:rsidR="00074D4A" w:rsidRPr="002F0658" w:rsidRDefault="00074D4A" w:rsidP="00865EA5">
      <w:pPr>
        <w:pStyle w:val="ListParagraph"/>
        <w:numPr>
          <w:ilvl w:val="1"/>
          <w:numId w:val="108"/>
        </w:numPr>
      </w:pPr>
      <w:r w:rsidRPr="002F0658">
        <w:t>The submission nominated two main comparators depending on the daratumumab</w:t>
      </w:r>
      <w:r w:rsidR="00446AC8">
        <w:t xml:space="preserve"> combination</w:t>
      </w:r>
      <w:r w:rsidRPr="002F0658">
        <w:t>:</w:t>
      </w:r>
    </w:p>
    <w:p w:rsidR="00074D4A" w:rsidRPr="008D6B70" w:rsidRDefault="00747AA7" w:rsidP="00B16D59">
      <w:pPr>
        <w:pStyle w:val="ListParagraph"/>
        <w:numPr>
          <w:ilvl w:val="1"/>
          <w:numId w:val="103"/>
        </w:numPr>
        <w:jc w:val="both"/>
        <w:rPr>
          <w:szCs w:val="24"/>
        </w:rPr>
      </w:pPr>
      <w:r w:rsidRPr="008D6B70">
        <w:rPr>
          <w:szCs w:val="24"/>
        </w:rPr>
        <w:t>For</w:t>
      </w:r>
      <w:r w:rsidR="00074D4A" w:rsidRPr="008D6B70">
        <w:rPr>
          <w:szCs w:val="24"/>
        </w:rPr>
        <w:t xml:space="preserve"> DBd the comparator is Bd</w:t>
      </w:r>
      <w:r w:rsidRPr="008D6B70">
        <w:rPr>
          <w:szCs w:val="24"/>
        </w:rPr>
        <w:t>; and</w:t>
      </w:r>
    </w:p>
    <w:p w:rsidR="00074D4A" w:rsidRPr="008D6B70" w:rsidRDefault="00747AA7" w:rsidP="00B16D59">
      <w:pPr>
        <w:pStyle w:val="ListParagraph"/>
        <w:numPr>
          <w:ilvl w:val="1"/>
          <w:numId w:val="103"/>
        </w:numPr>
        <w:jc w:val="both"/>
        <w:rPr>
          <w:szCs w:val="24"/>
        </w:rPr>
      </w:pPr>
      <w:r w:rsidRPr="008D6B70">
        <w:rPr>
          <w:szCs w:val="24"/>
        </w:rPr>
        <w:t xml:space="preserve">For </w:t>
      </w:r>
      <w:r w:rsidR="00074D4A" w:rsidRPr="008D6B70">
        <w:rPr>
          <w:szCs w:val="24"/>
        </w:rPr>
        <w:t>DLd the comparator is Ld.</w:t>
      </w:r>
    </w:p>
    <w:p w:rsidR="004C2A80" w:rsidRPr="00E11807" w:rsidRDefault="002E0E3F" w:rsidP="003F08C6">
      <w:pPr>
        <w:pStyle w:val="ListParagraph"/>
        <w:numPr>
          <w:ilvl w:val="1"/>
          <w:numId w:val="108"/>
        </w:numPr>
      </w:pPr>
      <w:r>
        <w:t>During the evaluation, t</w:t>
      </w:r>
      <w:r w:rsidR="00074D4A" w:rsidRPr="00E11807">
        <w:t xml:space="preserve">hese comparators </w:t>
      </w:r>
      <w:r>
        <w:t>were considered</w:t>
      </w:r>
      <w:r w:rsidR="00074D4A" w:rsidRPr="00E11807">
        <w:t xml:space="preserve"> appropriate. Both Bd and Ld are likely to be replaced</w:t>
      </w:r>
      <w:r w:rsidR="00FF3883" w:rsidRPr="00E11807">
        <w:t xml:space="preserve"> by daratumumab based regimens.</w:t>
      </w:r>
      <w:r w:rsidR="0067237B" w:rsidRPr="00E11807">
        <w:t xml:space="preserve"> </w:t>
      </w:r>
    </w:p>
    <w:p w:rsidR="0067237B" w:rsidRDefault="004C2A80" w:rsidP="003F08C6">
      <w:pPr>
        <w:pStyle w:val="ListParagraph"/>
        <w:numPr>
          <w:ilvl w:val="1"/>
          <w:numId w:val="108"/>
        </w:numPr>
      </w:pPr>
      <w:r w:rsidRPr="008D6B70">
        <w:t xml:space="preserve">The ESC noted that both the Australian and International treatment guidelines </w:t>
      </w:r>
      <w:r w:rsidR="00303ECB" w:rsidRPr="008D6B70">
        <w:t xml:space="preserve">present </w:t>
      </w:r>
      <w:r w:rsidRPr="008D6B70">
        <w:t>multiple options for treatment of RRMM as second line therapy. Whilst the nominated comparators of Bd and Ld are the two therapies used most commonly, they do not account for all second line therapy in patients with RRMM.</w:t>
      </w:r>
      <w:r w:rsidR="009D5412">
        <w:t xml:space="preserve"> T</w:t>
      </w:r>
      <w:r w:rsidR="0067237B">
        <w:t xml:space="preserve">he PBAC considered that there were other treatment options in the second line that were not addressed in the submission, such as </w:t>
      </w:r>
      <w:r w:rsidR="008702A9">
        <w:t>Bd in combination with cyclophosphamide</w:t>
      </w:r>
      <w:r w:rsidR="0067237B">
        <w:t xml:space="preserve">. </w:t>
      </w:r>
    </w:p>
    <w:p w:rsidR="004C2A80" w:rsidRPr="008D6B70" w:rsidRDefault="0067237B" w:rsidP="003F08C6">
      <w:pPr>
        <w:pStyle w:val="ListParagraph"/>
        <w:numPr>
          <w:ilvl w:val="1"/>
          <w:numId w:val="108"/>
        </w:numPr>
      </w:pPr>
      <w:r>
        <w:t>The PBAC considered</w:t>
      </w:r>
      <w:r w:rsidR="009D5412">
        <w:t>,</w:t>
      </w:r>
      <w:r>
        <w:t xml:space="preserve"> in the context of the proposal in the pre-PBAC response to list DBd</w:t>
      </w:r>
      <w:r w:rsidR="001E429B">
        <w:t xml:space="preserve"> only</w:t>
      </w:r>
      <w:r w:rsidR="009D5412">
        <w:t>,</w:t>
      </w:r>
      <w:r>
        <w:t xml:space="preserve"> that Ld could </w:t>
      </w:r>
      <w:r w:rsidR="009D5412">
        <w:t xml:space="preserve">also </w:t>
      </w:r>
      <w:r>
        <w:t>be considered a reasonable comparator</w:t>
      </w:r>
      <w:r w:rsidR="009D5412">
        <w:t xml:space="preserve"> for DBd</w:t>
      </w:r>
      <w:r>
        <w:t>.</w:t>
      </w:r>
      <w:r w:rsidR="00BD2C6B" w:rsidDel="00BD2C6B">
        <w:rPr>
          <w:rStyle w:val="CommentReference"/>
        </w:rPr>
        <w:t xml:space="preserve"> </w:t>
      </w:r>
    </w:p>
    <w:p w:rsidR="00201839" w:rsidRDefault="00074D4A" w:rsidP="003F08C6">
      <w:pPr>
        <w:pStyle w:val="ListParagraph"/>
        <w:numPr>
          <w:ilvl w:val="1"/>
          <w:numId w:val="108"/>
        </w:numPr>
      </w:pPr>
      <w:r w:rsidRPr="008D6B70">
        <w:t>The submission nominated carfilzomib as a supplementary comparator</w:t>
      </w:r>
      <w:r w:rsidR="00974EB0" w:rsidRPr="008D6B70">
        <w:t>; carfilzomib and dexamethasone (Cd) compared to DBd</w:t>
      </w:r>
      <w:r w:rsidR="002E0E3F">
        <w:t>,</w:t>
      </w:r>
      <w:r w:rsidR="00974EB0" w:rsidRPr="008D6B70">
        <w:t xml:space="preserve"> and carfilzomib with lenalidomide and dexamethasone (CLd) compared to DLd. </w:t>
      </w:r>
      <w:r w:rsidR="002E0E3F">
        <w:t>During the evaluation, t</w:t>
      </w:r>
      <w:r w:rsidR="00974EB0" w:rsidRPr="008D6B70">
        <w:t xml:space="preserve">his </w:t>
      </w:r>
      <w:r w:rsidR="00CB7DE6">
        <w:t>wa</w:t>
      </w:r>
      <w:r w:rsidR="00974EB0" w:rsidRPr="008D6B70">
        <w:t>s</w:t>
      </w:r>
      <w:r w:rsidR="002E0E3F">
        <w:t xml:space="preserve"> considered</w:t>
      </w:r>
      <w:r w:rsidR="00974EB0" w:rsidRPr="008D6B70">
        <w:t xml:space="preserve"> an appropriate supplementary comparator.</w:t>
      </w:r>
      <w:r w:rsidR="00974EB0" w:rsidRPr="008D6B70" w:rsidDel="00974EB0">
        <w:rPr>
          <w:rStyle w:val="CommentReference"/>
        </w:rPr>
        <w:t xml:space="preserve"> </w:t>
      </w:r>
      <w:r w:rsidR="002E0E3F">
        <w:t>CLd and Cd were</w:t>
      </w:r>
      <w:r w:rsidRPr="008D6B70">
        <w:t xml:space="preserve"> rejected at the November 2016 </w:t>
      </w:r>
      <w:r w:rsidR="002E0E3F">
        <w:t xml:space="preserve">PBAC </w:t>
      </w:r>
      <w:r w:rsidRPr="008D6B70">
        <w:t>meeting</w:t>
      </w:r>
      <w:r w:rsidR="002E0E3F">
        <w:t>. Cd was</w:t>
      </w:r>
      <w:r w:rsidRPr="008D6B70">
        <w:t xml:space="preserve"> </w:t>
      </w:r>
      <w:r w:rsidR="00974EB0" w:rsidRPr="008D6B70">
        <w:t xml:space="preserve">subsequently </w:t>
      </w:r>
      <w:r w:rsidR="00A63FAC" w:rsidRPr="008D6B70">
        <w:t xml:space="preserve">recommended </w:t>
      </w:r>
      <w:r w:rsidR="00974EB0" w:rsidRPr="008D6B70">
        <w:t xml:space="preserve">for listing </w:t>
      </w:r>
      <w:r w:rsidRPr="008D6B70">
        <w:t xml:space="preserve">at the July 2017 meeting. </w:t>
      </w:r>
      <w:r w:rsidR="00742F6F" w:rsidRPr="008D6B70">
        <w:t xml:space="preserve">The PBAC did not consider </w:t>
      </w:r>
      <w:r w:rsidR="00F4768E" w:rsidRPr="008D6B70">
        <w:t>CLd</w:t>
      </w:r>
      <w:r w:rsidR="00A63FAC" w:rsidRPr="008D6B70">
        <w:t xml:space="preserve"> </w:t>
      </w:r>
      <w:r w:rsidR="00742F6F" w:rsidRPr="008D6B70">
        <w:t xml:space="preserve">at its July 2017 meeting (as it </w:t>
      </w:r>
      <w:r w:rsidR="00A63FAC" w:rsidRPr="008D6B70">
        <w:t>was not requested in the resubmission</w:t>
      </w:r>
      <w:r w:rsidR="00742F6F" w:rsidRPr="008D6B70">
        <w:t>)</w:t>
      </w:r>
      <w:r w:rsidR="00A63FAC" w:rsidRPr="008D6B70">
        <w:t>.</w:t>
      </w:r>
      <w:r w:rsidR="002A3AD0">
        <w:t xml:space="preserve"> The PBAC </w:t>
      </w:r>
      <w:r w:rsidR="002E0E3F">
        <w:t>considered</w:t>
      </w:r>
      <w:r w:rsidR="002A3AD0">
        <w:t xml:space="preserve"> that Cd may also be a relevant comparator for DLd.</w:t>
      </w:r>
    </w:p>
    <w:p w:rsidR="008D6B70" w:rsidRPr="00F90A91" w:rsidRDefault="008D6B70" w:rsidP="003F08C6">
      <w:pPr>
        <w:pStyle w:val="ListParagraph"/>
        <w:ind w:left="567"/>
        <w:jc w:val="both"/>
        <w:rPr>
          <w:i/>
        </w:rPr>
      </w:pPr>
      <w:r w:rsidRPr="005C0954">
        <w:rPr>
          <w:i/>
        </w:rPr>
        <w:t>For more detail on PBAC’s view, see section 7 PBAC outcome.</w:t>
      </w:r>
    </w:p>
    <w:p w:rsidR="00074D4A" w:rsidRPr="008D6B70" w:rsidRDefault="00074D4A" w:rsidP="00074D4A">
      <w:pPr>
        <w:pStyle w:val="Heading1"/>
        <w:ind w:left="709" w:hanging="709"/>
      </w:pPr>
      <w:bookmarkStart w:id="11" w:name="_Toc413139276"/>
      <w:bookmarkStart w:id="12" w:name="_Toc492997387"/>
      <w:r w:rsidRPr="008D6B70">
        <w:t>Consideration of the evidence</w:t>
      </w:r>
      <w:bookmarkEnd w:id="11"/>
      <w:bookmarkEnd w:id="12"/>
    </w:p>
    <w:p w:rsidR="008D6B70" w:rsidRPr="00981468" w:rsidRDefault="008D6B70" w:rsidP="00981468">
      <w:pPr>
        <w:pStyle w:val="Heading2"/>
      </w:pPr>
      <w:bookmarkStart w:id="13" w:name="_Toc413139277"/>
      <w:bookmarkStart w:id="14" w:name="_Toc492997388"/>
      <w:r w:rsidRPr="00981468">
        <w:t>Sponsor hearing</w:t>
      </w:r>
    </w:p>
    <w:p w:rsidR="008D6B70" w:rsidRPr="00865EA5" w:rsidRDefault="008D6B70" w:rsidP="00865EA5">
      <w:pPr>
        <w:pStyle w:val="ListParagraph"/>
        <w:numPr>
          <w:ilvl w:val="1"/>
          <w:numId w:val="108"/>
        </w:numPr>
        <w:rPr>
          <w:rFonts w:cs="Arial"/>
          <w:bCs/>
          <w:snapToGrid w:val="0"/>
        </w:rPr>
      </w:pPr>
      <w:r w:rsidRPr="00865EA5">
        <w:rPr>
          <w:rFonts w:cs="Arial"/>
          <w:bCs/>
          <w:snapToGrid w:val="0"/>
        </w:rPr>
        <w:t xml:space="preserve">The sponsor requested a hearing for this item.  The </w:t>
      </w:r>
      <w:r w:rsidR="00CB7DE6" w:rsidRPr="00865EA5">
        <w:rPr>
          <w:rFonts w:cs="Arial"/>
          <w:bCs/>
          <w:snapToGrid w:val="0"/>
        </w:rPr>
        <w:t xml:space="preserve">sponsor presented clinical data that supported the consistency in treatment effect between both combination regimens. The sponsor also addressed the proposal in the pre-PBAC response to list DBd only, and reiterated that it was a valid clinical option for all patients, including using DBd after Bd in a prior line of therapy. </w:t>
      </w:r>
      <w:r w:rsidR="001946D7" w:rsidRPr="00865EA5">
        <w:rPr>
          <w:rFonts w:cs="Arial"/>
          <w:bCs/>
          <w:snapToGrid w:val="0"/>
        </w:rPr>
        <w:t>The sponsor did not view listing daratumumab monotherapy as a way forward in isolation, particularly because daratumumab appears to have greatest effect when used in combination and early in treatment. The sponsor agreed that clinician preference was to switch the backbone therapy in the second line, and indicated that there was no currently no head-to-head clinical data available comparing DBd with Ld</w:t>
      </w:r>
      <w:r w:rsidR="00BD2C6B" w:rsidRPr="00865EA5">
        <w:rPr>
          <w:rFonts w:cs="Arial"/>
          <w:bCs/>
          <w:snapToGrid w:val="0"/>
        </w:rPr>
        <w:t>, which may be a relevant comparator in the event that only DBd was considered for PBS listing</w:t>
      </w:r>
      <w:r w:rsidRPr="00865EA5">
        <w:rPr>
          <w:rFonts w:cs="Arial"/>
          <w:bCs/>
          <w:snapToGrid w:val="0"/>
        </w:rPr>
        <w:t>.</w:t>
      </w:r>
    </w:p>
    <w:p w:rsidR="008D6B70" w:rsidRPr="00981468" w:rsidRDefault="008D6B70" w:rsidP="00981468">
      <w:pPr>
        <w:pStyle w:val="Heading2"/>
      </w:pPr>
      <w:r w:rsidRPr="00981468">
        <w:lastRenderedPageBreak/>
        <w:t>Consumer comments</w:t>
      </w:r>
    </w:p>
    <w:p w:rsidR="008D6B70" w:rsidRPr="00D24F5A" w:rsidRDefault="008D6B70" w:rsidP="00865EA5">
      <w:pPr>
        <w:pStyle w:val="ListParagraph"/>
        <w:numPr>
          <w:ilvl w:val="1"/>
          <w:numId w:val="108"/>
        </w:numPr>
        <w:ind w:left="709" w:hanging="709"/>
        <w:jc w:val="both"/>
        <w:rPr>
          <w:rFonts w:cs="Arial"/>
          <w:bCs/>
          <w:snapToGrid w:val="0"/>
        </w:rPr>
      </w:pPr>
      <w:r w:rsidRPr="00D24F5A">
        <w:rPr>
          <w:rFonts w:cs="Arial"/>
          <w:bCs/>
          <w:snapToGrid w:val="0"/>
        </w:rPr>
        <w:t>The PBAC noted and welcomed the input from individuals (</w:t>
      </w:r>
      <w:r w:rsidR="00A00DDC" w:rsidRPr="00D24F5A">
        <w:rPr>
          <w:rFonts w:cs="Arial"/>
          <w:bCs/>
          <w:snapToGrid w:val="0"/>
        </w:rPr>
        <w:t>123</w:t>
      </w:r>
      <w:r w:rsidRPr="00D24F5A">
        <w:rPr>
          <w:rFonts w:cs="Arial"/>
          <w:bCs/>
          <w:snapToGrid w:val="0"/>
        </w:rPr>
        <w:t>), health care professionals (</w:t>
      </w:r>
      <w:r w:rsidR="00A00DDC" w:rsidRPr="00D24F5A">
        <w:rPr>
          <w:rFonts w:cs="Arial"/>
          <w:bCs/>
          <w:snapToGrid w:val="0"/>
        </w:rPr>
        <w:t>4</w:t>
      </w:r>
      <w:r w:rsidRPr="00D24F5A">
        <w:rPr>
          <w:rFonts w:cs="Arial"/>
          <w:bCs/>
          <w:snapToGrid w:val="0"/>
        </w:rPr>
        <w:t xml:space="preserve">) and organisations (1) via the Consumer Comments facility on the PBS website.  The comments described a range of benefits of treatment with </w:t>
      </w:r>
      <w:r w:rsidR="00A00DDC" w:rsidRPr="00D24F5A">
        <w:rPr>
          <w:rFonts w:cs="Arial"/>
          <w:bCs/>
          <w:snapToGrid w:val="0"/>
        </w:rPr>
        <w:t xml:space="preserve">DBd or DLd, </w:t>
      </w:r>
      <w:r w:rsidRPr="00D24F5A">
        <w:rPr>
          <w:rFonts w:cs="Arial"/>
          <w:bCs/>
          <w:snapToGrid w:val="0"/>
        </w:rPr>
        <w:t>including</w:t>
      </w:r>
      <w:r w:rsidR="00DD2FE6">
        <w:rPr>
          <w:rFonts w:cs="Arial"/>
          <w:bCs/>
          <w:snapToGrid w:val="0"/>
        </w:rPr>
        <w:t xml:space="preserve"> </w:t>
      </w:r>
      <w:r w:rsidR="00A00DDC" w:rsidRPr="00D24F5A">
        <w:rPr>
          <w:rFonts w:cs="Arial"/>
          <w:bCs/>
          <w:snapToGrid w:val="0"/>
        </w:rPr>
        <w:t>improved survival</w:t>
      </w:r>
      <w:r w:rsidR="005528EB" w:rsidRPr="00D24F5A">
        <w:rPr>
          <w:rFonts w:cs="Arial"/>
          <w:bCs/>
          <w:snapToGrid w:val="0"/>
        </w:rPr>
        <w:t>, the</w:t>
      </w:r>
      <w:r w:rsidR="00A00DDC" w:rsidRPr="00D24F5A">
        <w:rPr>
          <w:rFonts w:cs="Arial"/>
          <w:bCs/>
          <w:snapToGrid w:val="0"/>
        </w:rPr>
        <w:t xml:space="preserve"> potential to improve quality of life, </w:t>
      </w:r>
      <w:r w:rsidR="005528EB" w:rsidRPr="00D24F5A">
        <w:rPr>
          <w:rFonts w:cs="Arial"/>
          <w:bCs/>
          <w:snapToGrid w:val="0"/>
        </w:rPr>
        <w:t xml:space="preserve">and </w:t>
      </w:r>
      <w:r w:rsidR="00A00DDC" w:rsidRPr="00D24F5A">
        <w:rPr>
          <w:rFonts w:cs="Arial"/>
          <w:bCs/>
          <w:snapToGrid w:val="0"/>
        </w:rPr>
        <w:t>better tolerability</w:t>
      </w:r>
      <w:r w:rsidR="005528EB" w:rsidRPr="00D24F5A">
        <w:rPr>
          <w:rFonts w:cs="Arial"/>
          <w:bCs/>
          <w:snapToGrid w:val="0"/>
        </w:rPr>
        <w:t>.</w:t>
      </w:r>
    </w:p>
    <w:p w:rsidR="008D6B70" w:rsidRPr="00D24F5A" w:rsidRDefault="008D6B70" w:rsidP="00865EA5">
      <w:pPr>
        <w:pStyle w:val="ListParagraph"/>
        <w:numPr>
          <w:ilvl w:val="1"/>
          <w:numId w:val="108"/>
        </w:numPr>
        <w:ind w:left="709" w:hanging="709"/>
        <w:jc w:val="both"/>
        <w:rPr>
          <w:rFonts w:cs="Arial"/>
          <w:bCs/>
          <w:snapToGrid w:val="0"/>
        </w:rPr>
      </w:pPr>
      <w:r w:rsidRPr="00D24F5A">
        <w:rPr>
          <w:rFonts w:cs="Arial"/>
          <w:bCs/>
          <w:snapToGrid w:val="0"/>
        </w:rPr>
        <w:t xml:space="preserve">The PBAC noted the advice received from </w:t>
      </w:r>
      <w:r w:rsidR="005528EB" w:rsidRPr="00D24F5A">
        <w:rPr>
          <w:rFonts w:cs="Arial"/>
          <w:bCs/>
          <w:snapToGrid w:val="0"/>
        </w:rPr>
        <w:t>Myeloma Australia that reiterated the patients’</w:t>
      </w:r>
      <w:r w:rsidR="00344623" w:rsidRPr="00D24F5A">
        <w:rPr>
          <w:rFonts w:cs="Arial"/>
          <w:bCs/>
          <w:snapToGrid w:val="0"/>
        </w:rPr>
        <w:t xml:space="preserve"> views that D</w:t>
      </w:r>
      <w:r w:rsidR="005528EB" w:rsidRPr="00D24F5A">
        <w:rPr>
          <w:rFonts w:cs="Arial"/>
          <w:bCs/>
          <w:snapToGrid w:val="0"/>
        </w:rPr>
        <w:t>Bd and DLd have the potential to improve survival and quality of life</w:t>
      </w:r>
      <w:r w:rsidRPr="00D24F5A">
        <w:rPr>
          <w:rFonts w:cs="Arial"/>
          <w:bCs/>
          <w:snapToGrid w:val="0"/>
        </w:rPr>
        <w:t>.</w:t>
      </w:r>
    </w:p>
    <w:p w:rsidR="00074D4A" w:rsidRPr="00981468" w:rsidRDefault="00074D4A" w:rsidP="00AC2475">
      <w:pPr>
        <w:pStyle w:val="Heading2"/>
        <w:rPr>
          <w:rFonts w:ascii="Arial" w:hAnsi="Arial"/>
          <w:snapToGrid w:val="0"/>
        </w:rPr>
      </w:pPr>
      <w:r w:rsidRPr="00981468">
        <w:t>Clinical trials</w:t>
      </w:r>
      <w:bookmarkEnd w:id="13"/>
      <w:bookmarkEnd w:id="14"/>
    </w:p>
    <w:p w:rsidR="00074D4A" w:rsidRPr="008D6B70" w:rsidRDefault="00074D4A" w:rsidP="00865EA5">
      <w:pPr>
        <w:pStyle w:val="ListParagraph"/>
        <w:numPr>
          <w:ilvl w:val="1"/>
          <w:numId w:val="108"/>
        </w:numPr>
        <w:ind w:left="709" w:hanging="709"/>
        <w:jc w:val="both"/>
      </w:pPr>
      <w:r w:rsidRPr="008D6B70">
        <w:t>The primary analysis presented in the submission was based on two head-to</w:t>
      </w:r>
      <w:r w:rsidR="00AE7EAF">
        <w:noBreakHyphen/>
      </w:r>
      <w:r w:rsidRPr="008D6B70">
        <w:t>head randomised trials, one comparing DBd with Bd (CASTOR, n=</w:t>
      </w:r>
      <w:r w:rsidRPr="005C7A06">
        <w:t>498</w:t>
      </w:r>
      <w:r w:rsidRPr="008D6B70">
        <w:t>) and the other comparing DLd with Ld (POLLUX, n=</w:t>
      </w:r>
      <w:r w:rsidRPr="005C7A06">
        <w:t>569</w:t>
      </w:r>
      <w:r w:rsidRPr="008D6B70">
        <w:t>).</w:t>
      </w:r>
      <w:r w:rsidR="00C33105" w:rsidRPr="008D6B70">
        <w:t xml:space="preserve"> </w:t>
      </w:r>
    </w:p>
    <w:p w:rsidR="00074D4A" w:rsidRPr="008D6B70" w:rsidRDefault="00074D4A" w:rsidP="00865EA5">
      <w:pPr>
        <w:pStyle w:val="ListParagraph"/>
        <w:numPr>
          <w:ilvl w:val="1"/>
          <w:numId w:val="108"/>
        </w:numPr>
        <w:ind w:left="709" w:hanging="709"/>
        <w:jc w:val="both"/>
      </w:pPr>
      <w:r w:rsidRPr="008D6B70">
        <w:t xml:space="preserve">The submission presented two indirect comparisons for the secondary comparator carfilzomib. The comparisons were: </w:t>
      </w:r>
    </w:p>
    <w:p w:rsidR="00074D4A" w:rsidRPr="008D6B70" w:rsidRDefault="00074D4A" w:rsidP="00723800">
      <w:pPr>
        <w:pStyle w:val="ListParagraph"/>
        <w:numPr>
          <w:ilvl w:val="0"/>
          <w:numId w:val="70"/>
        </w:numPr>
        <w:jc w:val="both"/>
      </w:pPr>
      <w:r w:rsidRPr="008D6B70">
        <w:t>DBd (CASTOR, n=</w:t>
      </w:r>
      <w:r w:rsidRPr="005C7A06">
        <w:t>498</w:t>
      </w:r>
      <w:r w:rsidRPr="008D6B70">
        <w:t>) and Cd (ENDEAVOR, n=</w:t>
      </w:r>
      <w:r w:rsidRPr="005C7A06">
        <w:t>929</w:t>
      </w:r>
      <w:r w:rsidRPr="008D6B70">
        <w:t>), with Bd as the common reference arm</w:t>
      </w:r>
      <w:r w:rsidR="00FF3883" w:rsidRPr="008D6B70">
        <w:t>; and</w:t>
      </w:r>
    </w:p>
    <w:p w:rsidR="00074D4A" w:rsidRPr="008D6B70" w:rsidRDefault="00074D4A" w:rsidP="00723800">
      <w:pPr>
        <w:pStyle w:val="ListParagraph"/>
        <w:numPr>
          <w:ilvl w:val="0"/>
          <w:numId w:val="70"/>
        </w:numPr>
        <w:jc w:val="both"/>
      </w:pPr>
      <w:r w:rsidRPr="008D6B70">
        <w:t>DLd (POLLUX, n=</w:t>
      </w:r>
      <w:r w:rsidRPr="005C7A06">
        <w:t>569</w:t>
      </w:r>
      <w:r w:rsidRPr="008D6B70">
        <w:t>) and CLd (ASPIRE, n=</w:t>
      </w:r>
      <w:r w:rsidRPr="005C7A06">
        <w:t>792</w:t>
      </w:r>
      <w:r w:rsidRPr="008D6B70">
        <w:t xml:space="preserve">), with Ld as the common reference arm. </w:t>
      </w:r>
    </w:p>
    <w:p w:rsidR="00074D4A" w:rsidRPr="008D6B70" w:rsidRDefault="00074D4A" w:rsidP="00865EA5">
      <w:pPr>
        <w:pStyle w:val="ListParagraph"/>
        <w:numPr>
          <w:ilvl w:val="1"/>
          <w:numId w:val="108"/>
        </w:numPr>
        <w:ind w:left="709" w:hanging="709"/>
        <w:jc w:val="both"/>
      </w:pPr>
      <w:r w:rsidRPr="008D6B70">
        <w:t xml:space="preserve">Details of the </w:t>
      </w:r>
      <w:r w:rsidR="00DD2FE6">
        <w:t xml:space="preserve">daratumumab randomised </w:t>
      </w:r>
      <w:r w:rsidRPr="008D6B70">
        <w:t>trials presented in the submission a</w:t>
      </w:r>
      <w:r w:rsidR="00E97443" w:rsidRPr="008D6B70">
        <w:t>re provided in the table below.</w:t>
      </w:r>
      <w:r w:rsidRPr="008D6B70">
        <w:t xml:space="preserve"> </w:t>
      </w:r>
    </w:p>
    <w:p w:rsidR="00DD724F" w:rsidRDefault="00DD724F">
      <w:pPr>
        <w:spacing w:after="160" w:line="259" w:lineRule="auto"/>
        <w:jc w:val="left"/>
        <w:rPr>
          <w:rFonts w:ascii="Arial Narrow" w:eastAsiaTheme="minorHAnsi" w:hAnsi="Arial Narrow" w:cstheme="minorBidi"/>
          <w:b/>
          <w:lang w:val="en-AU"/>
        </w:rPr>
      </w:pPr>
      <w:r>
        <w:br w:type="page"/>
      </w:r>
    </w:p>
    <w:p w:rsidR="001D320A" w:rsidRPr="008D6B70" w:rsidRDefault="00074D4A" w:rsidP="001D320A">
      <w:pPr>
        <w:pStyle w:val="TableHeading1"/>
      </w:pPr>
      <w:r w:rsidRPr="008D6B70">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0"/>
        <w:gridCol w:w="6038"/>
        <w:gridCol w:w="1804"/>
      </w:tblGrid>
      <w:tr w:rsidR="001D320A" w:rsidRPr="008D6B70" w:rsidTr="00974EB0">
        <w:trPr>
          <w:tblHeader/>
        </w:trPr>
        <w:tc>
          <w:tcPr>
            <w:tcW w:w="683" w:type="pct"/>
          </w:tcPr>
          <w:p w:rsidR="001D320A" w:rsidRPr="008D6B70" w:rsidRDefault="001D320A" w:rsidP="00974EB0">
            <w:pPr>
              <w:pStyle w:val="TableText"/>
              <w:keepNext w:val="0"/>
              <w:widowControl w:val="0"/>
              <w:rPr>
                <w:b/>
                <w:sz w:val="18"/>
                <w:szCs w:val="18"/>
              </w:rPr>
            </w:pPr>
            <w:r w:rsidRPr="008D6B70">
              <w:rPr>
                <w:b/>
                <w:sz w:val="18"/>
                <w:szCs w:val="18"/>
              </w:rPr>
              <w:t>Trial ID</w:t>
            </w:r>
          </w:p>
        </w:tc>
        <w:tc>
          <w:tcPr>
            <w:tcW w:w="3324" w:type="pct"/>
          </w:tcPr>
          <w:p w:rsidR="001D320A" w:rsidRPr="008D6B70" w:rsidRDefault="001D320A" w:rsidP="00974EB0">
            <w:pPr>
              <w:pStyle w:val="TableText"/>
              <w:keepNext w:val="0"/>
              <w:widowControl w:val="0"/>
              <w:rPr>
                <w:b/>
                <w:sz w:val="18"/>
                <w:szCs w:val="18"/>
              </w:rPr>
            </w:pPr>
            <w:r w:rsidRPr="008D6B70">
              <w:rPr>
                <w:b/>
                <w:sz w:val="18"/>
                <w:szCs w:val="18"/>
              </w:rPr>
              <w:t>Protocol title/ Publication title</w:t>
            </w:r>
          </w:p>
        </w:tc>
        <w:tc>
          <w:tcPr>
            <w:tcW w:w="993" w:type="pct"/>
          </w:tcPr>
          <w:p w:rsidR="001D320A" w:rsidRPr="008D6B70" w:rsidRDefault="001D320A" w:rsidP="00974EB0">
            <w:pPr>
              <w:pStyle w:val="TableText"/>
              <w:keepNext w:val="0"/>
              <w:widowControl w:val="0"/>
              <w:rPr>
                <w:b/>
                <w:sz w:val="18"/>
                <w:szCs w:val="18"/>
              </w:rPr>
            </w:pPr>
            <w:r w:rsidRPr="008D6B70">
              <w:rPr>
                <w:b/>
                <w:sz w:val="18"/>
                <w:szCs w:val="18"/>
              </w:rPr>
              <w:t>Publication citation</w:t>
            </w:r>
          </w:p>
        </w:tc>
      </w:tr>
      <w:tr w:rsidR="001D320A" w:rsidRPr="008D6B70" w:rsidTr="003B5318">
        <w:tc>
          <w:tcPr>
            <w:tcW w:w="5000" w:type="pct"/>
            <w:gridSpan w:val="3"/>
            <w:tcBorders>
              <w:bottom w:val="single" w:sz="4" w:space="0" w:color="auto"/>
            </w:tcBorders>
          </w:tcPr>
          <w:p w:rsidR="001D320A" w:rsidRPr="008D6B70" w:rsidRDefault="001D320A" w:rsidP="00974EB0">
            <w:pPr>
              <w:pStyle w:val="TableText"/>
              <w:keepNext w:val="0"/>
              <w:widowControl w:val="0"/>
              <w:rPr>
                <w:b/>
                <w:sz w:val="18"/>
                <w:szCs w:val="18"/>
              </w:rPr>
            </w:pPr>
            <w:r w:rsidRPr="008D6B70">
              <w:rPr>
                <w:b/>
                <w:sz w:val="18"/>
                <w:szCs w:val="18"/>
              </w:rPr>
              <w:t>Direct randomised trials</w:t>
            </w:r>
          </w:p>
        </w:tc>
      </w:tr>
      <w:tr w:rsidR="001D320A" w:rsidRPr="008D6B70" w:rsidTr="003B5318">
        <w:tc>
          <w:tcPr>
            <w:tcW w:w="683" w:type="pct"/>
            <w:tcBorders>
              <w:bottom w:val="nil"/>
            </w:tcBorders>
          </w:tcPr>
          <w:p w:rsidR="001D320A" w:rsidRPr="008D6B70" w:rsidRDefault="001D320A" w:rsidP="00974EB0">
            <w:pPr>
              <w:pStyle w:val="TableText"/>
              <w:keepNext w:val="0"/>
              <w:widowControl w:val="0"/>
              <w:rPr>
                <w:sz w:val="18"/>
                <w:szCs w:val="18"/>
              </w:rPr>
            </w:pPr>
            <w:r w:rsidRPr="008D6B70">
              <w:rPr>
                <w:sz w:val="18"/>
                <w:szCs w:val="18"/>
              </w:rPr>
              <w:t>CASTOR</w:t>
            </w:r>
          </w:p>
          <w:p w:rsidR="001D320A" w:rsidRPr="008D6B70" w:rsidRDefault="001D320A" w:rsidP="00974EB0">
            <w:pPr>
              <w:pStyle w:val="TableText"/>
              <w:keepNext w:val="0"/>
              <w:widowControl w:val="0"/>
              <w:rPr>
                <w:sz w:val="18"/>
                <w:szCs w:val="18"/>
              </w:rPr>
            </w:pPr>
            <w:r w:rsidRPr="008D6B70">
              <w:rPr>
                <w:sz w:val="18"/>
                <w:szCs w:val="18"/>
              </w:rPr>
              <w:t>(NCT02136134)</w:t>
            </w:r>
          </w:p>
        </w:tc>
        <w:tc>
          <w:tcPr>
            <w:tcW w:w="3324" w:type="pct"/>
            <w:tcBorders>
              <w:bottom w:val="nil"/>
            </w:tcBorders>
          </w:tcPr>
          <w:p w:rsidR="001D320A" w:rsidRPr="008D6B70" w:rsidRDefault="001D320A" w:rsidP="00974EB0">
            <w:pPr>
              <w:pStyle w:val="TableText"/>
              <w:keepNext w:val="0"/>
              <w:widowControl w:val="0"/>
              <w:rPr>
                <w:sz w:val="18"/>
                <w:szCs w:val="18"/>
              </w:rPr>
            </w:pPr>
            <w:r w:rsidRPr="008D6B70">
              <w:rPr>
                <w:sz w:val="18"/>
                <w:szCs w:val="18"/>
              </w:rPr>
              <w:t>MMY3004: Phase 3 Study Comparing Daratumumab, Bortezomib, and Dexamethasone (DVd) vs Bortezomib and Dexamethasone (Vd) in Subjects with Relapsed or Refractory Multiple Myeloma. 120-Day Safety Update (20 October 2016).</w:t>
            </w:r>
          </w:p>
        </w:tc>
        <w:tc>
          <w:tcPr>
            <w:tcW w:w="993" w:type="pct"/>
            <w:tcBorders>
              <w:bottom w:val="nil"/>
            </w:tcBorders>
          </w:tcPr>
          <w:p w:rsidR="001D320A" w:rsidRPr="008D6B70" w:rsidRDefault="001D320A" w:rsidP="00974EB0">
            <w:pPr>
              <w:pStyle w:val="TableText"/>
              <w:keepNext w:val="0"/>
              <w:widowControl w:val="0"/>
              <w:rPr>
                <w:sz w:val="18"/>
                <w:szCs w:val="18"/>
              </w:rPr>
            </w:pPr>
            <w:r w:rsidRPr="008D6B70">
              <w:rPr>
                <w:sz w:val="18"/>
                <w:szCs w:val="18"/>
              </w:rPr>
              <w:t>27 July 2016</w:t>
            </w:r>
          </w:p>
          <w:p w:rsidR="001D320A" w:rsidRPr="008D6B70" w:rsidRDefault="001D320A" w:rsidP="00974EB0">
            <w:pPr>
              <w:pStyle w:val="TableText"/>
              <w:keepNext w:val="0"/>
              <w:widowControl w:val="0"/>
              <w:rPr>
                <w:sz w:val="18"/>
                <w:szCs w:val="18"/>
              </w:rPr>
            </w:pP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lang w:val="de-DE"/>
              </w:rPr>
              <w:t>Palumbo, A., Chanan</w:t>
            </w:r>
            <w:r w:rsidRPr="008D6B70">
              <w:rPr>
                <w:rFonts w:ascii="MS Gothic" w:eastAsia="MS Gothic" w:hAnsi="MS Gothic" w:cs="MS Gothic"/>
                <w:sz w:val="18"/>
                <w:szCs w:val="18"/>
                <w:lang w:val="de-DE"/>
              </w:rPr>
              <w:t>‑</w:t>
            </w:r>
            <w:r w:rsidRPr="008D6B70">
              <w:rPr>
                <w:sz w:val="18"/>
                <w:szCs w:val="18"/>
                <w:lang w:val="de-DE"/>
              </w:rPr>
              <w:t xml:space="preserve">Khan, A., Weisel K., et al. </w:t>
            </w:r>
            <w:r w:rsidRPr="008D6B70">
              <w:rPr>
                <w:sz w:val="18"/>
                <w:szCs w:val="18"/>
              </w:rPr>
              <w:t>Daratumumab, Bortezomib, and Dexamethasone for Multiple Myeloma.</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New England Journal of Medicine 2016; 375(8):754-66</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lang w:val="de-DE"/>
              </w:rPr>
              <w:t>Palumbo, A., Chanan</w:t>
            </w:r>
            <w:r w:rsidRPr="008D6B70">
              <w:rPr>
                <w:rFonts w:ascii="MS Gothic" w:eastAsia="MS Gothic" w:hAnsi="MS Gothic" w:cs="MS Gothic"/>
                <w:sz w:val="18"/>
                <w:szCs w:val="18"/>
                <w:lang w:val="de-DE"/>
              </w:rPr>
              <w:t>‑</w:t>
            </w:r>
            <w:r w:rsidRPr="008D6B70">
              <w:rPr>
                <w:sz w:val="18"/>
                <w:szCs w:val="18"/>
                <w:lang w:val="de-DE"/>
              </w:rPr>
              <w:t xml:space="preserve">Khan, A., Weisel K., et al. </w:t>
            </w:r>
            <w:r w:rsidRPr="008D6B70">
              <w:rPr>
                <w:sz w:val="18"/>
                <w:szCs w:val="18"/>
              </w:rPr>
              <w:t>Phase III randomised controlled study of daratumumab, bortezomib, and dexamethasone (DVd) versus bortezomib and dexamethasone (Vd) in patients (pts) with relapsed or refractory multiple myeloma (RRMM): CASTOR study.</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Journal of Clinical Oncology 2016; 34, (suppl LBA4)</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Weisel, K., Palumbo, A., Chanan-Khan, A., et al. Phase 3 randomised study of daratumumab, bortezomib and dexamethasone (DVd) vs bortezomib and dexamethasone (Vd) in patients (pts) with relapsed or refractory multiple myeloma (RRMM): CASTOR.</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Annals of Oncology 2016; 27 (Supplement 6): vi313–vi327</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Palumbo, A., Dimopoulos, MA., Reece, DE., et al. Twin randomised studies of daratumumab (DARA; D) plus standard of care (lenalidomide/dexamethasone or bortezomib/dexamethasone [DRd or DVd]) versus Rd or Vd alone in relapsed or refractory multiple myeloma (MM): 54767414MMY3003 (Pollux) and 54767414MMY3004 (Castor).</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Journal of Clinical Oncology 2015; 33 (15 Suppl): TPS8609</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Mateos, M., Estell, J., et al. Efficacy of daratumumab, bortezomib, and dexamethasone versus bortezomib and dexamethasone in relapsed or refractory multiple myeloma based on prior lines of therapy: updated analysis of CASTOR</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Blood 2016; 128 (22); 1150</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Avet-Loiseau, H., Casneuf, T., et al. Evaluation of minimal residual disease (MRD) in relapsed/refractory multiple myeloma (RRMM) patients treated with daratumumab in combination with lenalidomide plus dexamethasone or bortezomib plus dexamethasone.</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Blood 2016; 128 (22), 246</w:t>
            </w:r>
          </w:p>
        </w:tc>
      </w:tr>
      <w:tr w:rsidR="001D320A" w:rsidRPr="008D6B70" w:rsidTr="003B5318">
        <w:tc>
          <w:tcPr>
            <w:tcW w:w="683" w:type="pct"/>
            <w:tcBorders>
              <w:top w:val="nil"/>
              <w:bottom w:val="single" w:sz="4" w:space="0" w:color="auto"/>
            </w:tcBorders>
          </w:tcPr>
          <w:p w:rsidR="001D320A" w:rsidRPr="008D6B70" w:rsidRDefault="001D320A" w:rsidP="00974EB0">
            <w:pPr>
              <w:pStyle w:val="TableText"/>
              <w:keepNext w:val="0"/>
              <w:widowControl w:val="0"/>
              <w:rPr>
                <w:sz w:val="18"/>
                <w:szCs w:val="18"/>
              </w:rPr>
            </w:pPr>
          </w:p>
        </w:tc>
        <w:tc>
          <w:tcPr>
            <w:tcW w:w="3324" w:type="pct"/>
            <w:tcBorders>
              <w:top w:val="nil"/>
              <w:bottom w:val="single" w:sz="4" w:space="0" w:color="auto"/>
            </w:tcBorders>
          </w:tcPr>
          <w:p w:rsidR="001D320A" w:rsidRPr="008D6B70" w:rsidRDefault="001D320A" w:rsidP="00974EB0">
            <w:pPr>
              <w:pStyle w:val="TableText"/>
              <w:keepNext w:val="0"/>
              <w:widowControl w:val="0"/>
              <w:rPr>
                <w:sz w:val="18"/>
                <w:szCs w:val="18"/>
              </w:rPr>
            </w:pPr>
            <w:r w:rsidRPr="008D6B70">
              <w:rPr>
                <w:sz w:val="18"/>
                <w:szCs w:val="18"/>
                <w:lang w:val="de-DE"/>
              </w:rPr>
              <w:t xml:space="preserve">Chanan-Khan A., Lentzsch S., Quach H., et al. </w:t>
            </w:r>
            <w:r w:rsidRPr="008D6B70">
              <w:rPr>
                <w:sz w:val="18"/>
                <w:szCs w:val="18"/>
              </w:rPr>
              <w:t>Daratumumab, bortezomib, and dexamethasone versus bortezomib and dexamethasone alone for relapsed or refractory multiple myeloma based on prior treatment exposure: updated efficacy analysis of CASTOR.</w:t>
            </w:r>
          </w:p>
        </w:tc>
        <w:tc>
          <w:tcPr>
            <w:tcW w:w="993" w:type="pct"/>
            <w:tcBorders>
              <w:top w:val="nil"/>
              <w:bottom w:val="single" w:sz="4" w:space="0" w:color="auto"/>
            </w:tcBorders>
          </w:tcPr>
          <w:p w:rsidR="001D320A" w:rsidRPr="008D6B70" w:rsidRDefault="001D320A" w:rsidP="00974EB0">
            <w:pPr>
              <w:pStyle w:val="TableText"/>
              <w:keepNext w:val="0"/>
              <w:widowControl w:val="0"/>
              <w:rPr>
                <w:sz w:val="18"/>
                <w:szCs w:val="18"/>
              </w:rPr>
            </w:pPr>
            <w:r w:rsidRPr="008D6B70">
              <w:rPr>
                <w:sz w:val="18"/>
                <w:szCs w:val="18"/>
              </w:rPr>
              <w:t>Blood 2016; 128 (22), 3313</w:t>
            </w:r>
          </w:p>
        </w:tc>
      </w:tr>
      <w:tr w:rsidR="001D320A" w:rsidRPr="008D6B70" w:rsidTr="003B5318">
        <w:tc>
          <w:tcPr>
            <w:tcW w:w="683" w:type="pct"/>
            <w:tcBorders>
              <w:bottom w:val="nil"/>
            </w:tcBorders>
          </w:tcPr>
          <w:p w:rsidR="001D320A" w:rsidRPr="008D6B70" w:rsidRDefault="001D320A" w:rsidP="00974EB0">
            <w:pPr>
              <w:pStyle w:val="TableText"/>
              <w:keepNext w:val="0"/>
              <w:widowControl w:val="0"/>
              <w:rPr>
                <w:sz w:val="18"/>
                <w:szCs w:val="18"/>
              </w:rPr>
            </w:pPr>
            <w:r w:rsidRPr="008D6B70">
              <w:rPr>
                <w:sz w:val="18"/>
                <w:szCs w:val="18"/>
              </w:rPr>
              <w:t>POLLUX</w:t>
            </w:r>
          </w:p>
          <w:p w:rsidR="001D320A" w:rsidRPr="008D6B70" w:rsidRDefault="001D320A" w:rsidP="00974EB0">
            <w:pPr>
              <w:pStyle w:val="TableText"/>
              <w:keepNext w:val="0"/>
              <w:widowControl w:val="0"/>
              <w:rPr>
                <w:sz w:val="18"/>
                <w:szCs w:val="18"/>
              </w:rPr>
            </w:pPr>
            <w:r w:rsidRPr="008D6B70">
              <w:rPr>
                <w:sz w:val="18"/>
                <w:szCs w:val="18"/>
              </w:rPr>
              <w:t>(NCT02076009)</w:t>
            </w:r>
          </w:p>
        </w:tc>
        <w:tc>
          <w:tcPr>
            <w:tcW w:w="3324" w:type="pct"/>
            <w:tcBorders>
              <w:bottom w:val="nil"/>
            </w:tcBorders>
          </w:tcPr>
          <w:p w:rsidR="001D320A" w:rsidRPr="008D6B70" w:rsidRDefault="001D320A" w:rsidP="00974EB0">
            <w:pPr>
              <w:pStyle w:val="TableText"/>
              <w:keepNext w:val="0"/>
              <w:widowControl w:val="0"/>
              <w:rPr>
                <w:sz w:val="18"/>
                <w:szCs w:val="18"/>
              </w:rPr>
            </w:pPr>
            <w:r w:rsidRPr="008D6B70">
              <w:rPr>
                <w:sz w:val="18"/>
                <w:szCs w:val="18"/>
              </w:rPr>
              <w:t>MMY3003. Phase 3 Study Comparing Daratumumab, Lenalidomide, and Dexamethasone (DLd) vs Lenalidomide and Dexamethasone (Ld) in Subjects With Relapsed or Refractory Multiple Myeloma. 120-Day Safety Update (20 October 2016).</w:t>
            </w:r>
          </w:p>
        </w:tc>
        <w:tc>
          <w:tcPr>
            <w:tcW w:w="993" w:type="pct"/>
            <w:tcBorders>
              <w:bottom w:val="nil"/>
            </w:tcBorders>
          </w:tcPr>
          <w:p w:rsidR="001D320A" w:rsidRPr="008D6B70" w:rsidRDefault="001D320A" w:rsidP="00974EB0">
            <w:pPr>
              <w:pStyle w:val="TableText"/>
              <w:keepNext w:val="0"/>
              <w:widowControl w:val="0"/>
              <w:rPr>
                <w:sz w:val="18"/>
                <w:szCs w:val="18"/>
              </w:rPr>
            </w:pPr>
            <w:r w:rsidRPr="008D6B70">
              <w:rPr>
                <w:sz w:val="18"/>
                <w:szCs w:val="18"/>
              </w:rPr>
              <w:t>27 July 2016</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Dimopoulos M.A, Oriol A et al. Daratumumab, lenalidomide, and dexamethasone for multiple myeloma.</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New England Journal of Medicine 2016; 375(14): 1319-1331</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Shah N.H, Dimopoulos M.A et al. An open-label, randomised, phase 3 study of daratumumab, lenalidomide, and dexamethasone (DRd) versus lenalidomide and dexamethasone (Rd) in relapsed or refractory multiple myeloma (RRMM): POLLUX.</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Indian Journal of Hematology and Blood Transfusion 2016. 32 (pp S429)</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Palumbo A, Dimopoulos M.A et al. Twin randomised studies of daratumumab (DARA; D) plus standard of care (lenalidomide/dexamethasone or bortezomib/dexamethasone [DRd or DVd]) versus Rd or Vd alone in relapsed or refractory multiple myeloma (MM): 54767414MMY3003 (Pollux) and 54767414MMY3004 (Castor).</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 xml:space="preserve">Journal of Clinical Oncology 2015; 33 (15 Suppl): TPS8609 </w:t>
            </w:r>
          </w:p>
        </w:tc>
      </w:tr>
      <w:tr w:rsidR="001D320A" w:rsidRPr="008D6B70" w:rsidTr="003B5318">
        <w:tc>
          <w:tcPr>
            <w:tcW w:w="683" w:type="pct"/>
            <w:tcBorders>
              <w:top w:val="nil"/>
              <w:bottom w:val="nil"/>
            </w:tcBorders>
          </w:tcPr>
          <w:p w:rsidR="001D320A" w:rsidRPr="008D6B70" w:rsidRDefault="001D320A" w:rsidP="00974EB0">
            <w:pPr>
              <w:pStyle w:val="TableText"/>
              <w:keepNext w:val="0"/>
              <w:widowControl w:val="0"/>
              <w:rPr>
                <w:sz w:val="18"/>
                <w:szCs w:val="18"/>
              </w:rPr>
            </w:pPr>
          </w:p>
        </w:tc>
        <w:tc>
          <w:tcPr>
            <w:tcW w:w="3324"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Usmani S.Z, Meletios A et al. Efficacy of Daratumumab, Lenalidomide, and Dexamethasone Versus Lenalidomide and Dexamethasone in Relapsed or Refractory Multiple Myeloma Patients With 1 to 3 Prior Lines of Therapy: Updated Analysis of POLLUX.</w:t>
            </w:r>
          </w:p>
        </w:tc>
        <w:tc>
          <w:tcPr>
            <w:tcW w:w="993" w:type="pct"/>
            <w:tcBorders>
              <w:top w:val="nil"/>
              <w:bottom w:val="nil"/>
            </w:tcBorders>
          </w:tcPr>
          <w:p w:rsidR="001D320A" w:rsidRPr="008D6B70" w:rsidRDefault="001D320A" w:rsidP="00974EB0">
            <w:pPr>
              <w:pStyle w:val="TableText"/>
              <w:keepNext w:val="0"/>
              <w:widowControl w:val="0"/>
              <w:rPr>
                <w:sz w:val="18"/>
                <w:szCs w:val="18"/>
              </w:rPr>
            </w:pPr>
            <w:r w:rsidRPr="008D6B70">
              <w:rPr>
                <w:sz w:val="18"/>
                <w:szCs w:val="18"/>
              </w:rPr>
              <w:t>Blood 2016; 128 (22), 1151</w:t>
            </w:r>
          </w:p>
        </w:tc>
      </w:tr>
      <w:tr w:rsidR="001D320A" w:rsidRPr="008D6B70" w:rsidTr="003B5318">
        <w:tc>
          <w:tcPr>
            <w:tcW w:w="683" w:type="pct"/>
            <w:tcBorders>
              <w:top w:val="nil"/>
            </w:tcBorders>
          </w:tcPr>
          <w:p w:rsidR="001D320A" w:rsidRPr="008D6B70" w:rsidRDefault="001D320A" w:rsidP="00974EB0">
            <w:pPr>
              <w:pStyle w:val="TableText"/>
              <w:keepNext w:val="0"/>
              <w:widowControl w:val="0"/>
              <w:rPr>
                <w:sz w:val="18"/>
                <w:szCs w:val="18"/>
              </w:rPr>
            </w:pPr>
          </w:p>
        </w:tc>
        <w:tc>
          <w:tcPr>
            <w:tcW w:w="3324" w:type="pct"/>
            <w:tcBorders>
              <w:top w:val="nil"/>
            </w:tcBorders>
          </w:tcPr>
          <w:p w:rsidR="001D320A" w:rsidRPr="008D6B70" w:rsidRDefault="001D320A" w:rsidP="00974EB0">
            <w:pPr>
              <w:pStyle w:val="TableText"/>
              <w:keepNext w:val="0"/>
              <w:widowControl w:val="0"/>
              <w:rPr>
                <w:sz w:val="18"/>
                <w:szCs w:val="18"/>
              </w:rPr>
            </w:pPr>
            <w:r w:rsidRPr="008D6B70">
              <w:rPr>
                <w:sz w:val="18"/>
                <w:szCs w:val="18"/>
              </w:rPr>
              <w:t>Avet-Loiseau, H., Casneuf, T., et al. Evaluation of minimal residual disease (MRD) in relapsed/refractory multiple myeloma (RRMM) patients treated with daratumumab in combination with lenalidomide plus dexamethasone or bortezomib plus dexamethasone.</w:t>
            </w:r>
          </w:p>
        </w:tc>
        <w:tc>
          <w:tcPr>
            <w:tcW w:w="993" w:type="pct"/>
            <w:tcBorders>
              <w:top w:val="nil"/>
            </w:tcBorders>
          </w:tcPr>
          <w:p w:rsidR="001D320A" w:rsidRPr="008D6B70" w:rsidRDefault="001D320A" w:rsidP="00974EB0">
            <w:pPr>
              <w:pStyle w:val="TableText"/>
              <w:keepNext w:val="0"/>
              <w:widowControl w:val="0"/>
              <w:rPr>
                <w:sz w:val="18"/>
                <w:szCs w:val="18"/>
              </w:rPr>
            </w:pPr>
            <w:r w:rsidRPr="008D6B70">
              <w:rPr>
                <w:sz w:val="18"/>
                <w:szCs w:val="18"/>
              </w:rPr>
              <w:t>Blood 2016; 128 (22), 246</w:t>
            </w:r>
          </w:p>
        </w:tc>
      </w:tr>
    </w:tbl>
    <w:p w:rsidR="000A515C" w:rsidRDefault="001D320A" w:rsidP="00645509">
      <w:pPr>
        <w:pStyle w:val="TableFooter"/>
        <w:spacing w:after="0"/>
        <w:ind w:left="1134" w:hanging="1134"/>
        <w:jc w:val="left"/>
      </w:pPr>
      <w:r w:rsidRPr="008D6B70">
        <w:t>Source: Table 2.4, p.9 Section 2a of the submission; Table 2.4, p.8 Section 2b of the submission.</w:t>
      </w:r>
    </w:p>
    <w:p w:rsidR="000A515C" w:rsidRDefault="000A515C">
      <w:pPr>
        <w:spacing w:after="160" w:line="259" w:lineRule="auto"/>
        <w:jc w:val="left"/>
        <w:rPr>
          <w:rFonts w:ascii="Arial Narrow" w:eastAsia="Times New Roman" w:hAnsi="Arial Narrow" w:cs="Arial"/>
          <w:snapToGrid w:val="0"/>
          <w:sz w:val="18"/>
          <w:szCs w:val="20"/>
          <w:lang w:val="en-AU"/>
        </w:rPr>
      </w:pPr>
      <w:r>
        <w:br w:type="page"/>
      </w:r>
    </w:p>
    <w:p w:rsidR="00074D4A" w:rsidRPr="008D6B70" w:rsidRDefault="00074D4A" w:rsidP="00645509">
      <w:pPr>
        <w:pStyle w:val="TableFooter"/>
        <w:spacing w:after="0"/>
        <w:ind w:left="1134" w:hanging="1134"/>
        <w:jc w:val="left"/>
      </w:pPr>
    </w:p>
    <w:p w:rsidR="00074D4A" w:rsidRPr="008D6B70" w:rsidRDefault="00074D4A" w:rsidP="00865EA5">
      <w:pPr>
        <w:pStyle w:val="ListParagraph"/>
        <w:numPr>
          <w:ilvl w:val="1"/>
          <w:numId w:val="108"/>
        </w:numPr>
        <w:ind w:left="709" w:hanging="709"/>
        <w:jc w:val="both"/>
      </w:pPr>
      <w:r w:rsidRPr="008D6B70">
        <w:t xml:space="preserve">The key features of the direct randomised trials are summarised in the table below. </w:t>
      </w:r>
    </w:p>
    <w:p w:rsidR="00074D4A" w:rsidRPr="008D6B70" w:rsidRDefault="00074D4A" w:rsidP="00074D4A">
      <w:pPr>
        <w:pStyle w:val="TableHeading1"/>
      </w:pPr>
      <w:r w:rsidRPr="008D6B70">
        <w:t>Table 3: Key features of the included evidence CASTOR and POLLUX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3"/>
        <w:gridCol w:w="997"/>
        <w:gridCol w:w="2570"/>
        <w:gridCol w:w="716"/>
        <w:gridCol w:w="1284"/>
        <w:gridCol w:w="1143"/>
        <w:gridCol w:w="1519"/>
      </w:tblGrid>
      <w:tr w:rsidR="00074D4A" w:rsidRPr="008D6B70" w:rsidTr="00AC2475">
        <w:tc>
          <w:tcPr>
            <w:tcW w:w="470" w:type="pct"/>
            <w:shd w:val="clear" w:color="auto" w:fill="auto"/>
            <w:vAlign w:val="center"/>
          </w:tcPr>
          <w:p w:rsidR="00074D4A" w:rsidRPr="008D6B70" w:rsidRDefault="00074D4A" w:rsidP="00555AE1">
            <w:pPr>
              <w:pStyle w:val="TableText"/>
              <w:rPr>
                <w:b/>
              </w:rPr>
            </w:pPr>
            <w:r w:rsidRPr="008D6B70">
              <w:rPr>
                <w:b/>
              </w:rPr>
              <w:t>Trial</w:t>
            </w:r>
          </w:p>
        </w:tc>
        <w:tc>
          <w:tcPr>
            <w:tcW w:w="549" w:type="pct"/>
            <w:shd w:val="clear" w:color="auto" w:fill="auto"/>
            <w:vAlign w:val="center"/>
          </w:tcPr>
          <w:p w:rsidR="00074D4A" w:rsidRPr="008D6B70" w:rsidRDefault="00074D4A" w:rsidP="00555AE1">
            <w:pPr>
              <w:pStyle w:val="TableText"/>
              <w:rPr>
                <w:b/>
              </w:rPr>
            </w:pPr>
            <w:r w:rsidRPr="008D6B70">
              <w:rPr>
                <w:b/>
              </w:rPr>
              <w:t>N</w:t>
            </w:r>
          </w:p>
        </w:tc>
        <w:tc>
          <w:tcPr>
            <w:tcW w:w="1415" w:type="pct"/>
            <w:shd w:val="clear" w:color="auto" w:fill="auto"/>
            <w:vAlign w:val="center"/>
          </w:tcPr>
          <w:p w:rsidR="00074D4A" w:rsidRPr="008D6B70" w:rsidRDefault="00074D4A" w:rsidP="00555AE1">
            <w:pPr>
              <w:pStyle w:val="TableText"/>
              <w:rPr>
                <w:b/>
              </w:rPr>
            </w:pPr>
            <w:r w:rsidRPr="008D6B70">
              <w:rPr>
                <w:b/>
              </w:rPr>
              <w:t>Design/ duration of follow-up</w:t>
            </w:r>
          </w:p>
        </w:tc>
        <w:tc>
          <w:tcPr>
            <w:tcW w:w="394" w:type="pct"/>
            <w:shd w:val="clear" w:color="auto" w:fill="auto"/>
            <w:vAlign w:val="center"/>
          </w:tcPr>
          <w:p w:rsidR="00074D4A" w:rsidRPr="008D6B70" w:rsidRDefault="00074D4A" w:rsidP="00555AE1">
            <w:pPr>
              <w:pStyle w:val="TableText"/>
              <w:rPr>
                <w:b/>
              </w:rPr>
            </w:pPr>
            <w:r w:rsidRPr="008D6B70">
              <w:rPr>
                <w:b/>
              </w:rPr>
              <w:t>Risk of bias</w:t>
            </w:r>
          </w:p>
        </w:tc>
        <w:tc>
          <w:tcPr>
            <w:tcW w:w="707" w:type="pct"/>
            <w:shd w:val="clear" w:color="auto" w:fill="auto"/>
            <w:vAlign w:val="center"/>
          </w:tcPr>
          <w:p w:rsidR="00074D4A" w:rsidRPr="008D6B70" w:rsidRDefault="00074D4A" w:rsidP="00555AE1">
            <w:pPr>
              <w:pStyle w:val="TableText"/>
              <w:rPr>
                <w:b/>
              </w:rPr>
            </w:pPr>
            <w:r w:rsidRPr="008D6B70">
              <w:rPr>
                <w:b/>
              </w:rPr>
              <w:t>Patient population</w:t>
            </w:r>
          </w:p>
        </w:tc>
        <w:tc>
          <w:tcPr>
            <w:tcW w:w="629" w:type="pct"/>
            <w:shd w:val="clear" w:color="auto" w:fill="auto"/>
            <w:vAlign w:val="center"/>
          </w:tcPr>
          <w:p w:rsidR="00074D4A" w:rsidRPr="008D6B70" w:rsidRDefault="00074D4A" w:rsidP="00555AE1">
            <w:pPr>
              <w:pStyle w:val="TableText"/>
              <w:rPr>
                <w:b/>
              </w:rPr>
            </w:pPr>
            <w:r w:rsidRPr="008D6B70">
              <w:rPr>
                <w:b/>
              </w:rPr>
              <w:t>Outcomes</w:t>
            </w:r>
          </w:p>
        </w:tc>
        <w:tc>
          <w:tcPr>
            <w:tcW w:w="836" w:type="pct"/>
            <w:shd w:val="clear" w:color="auto" w:fill="auto"/>
            <w:vAlign w:val="center"/>
          </w:tcPr>
          <w:p w:rsidR="00074D4A" w:rsidRPr="008D6B70" w:rsidRDefault="00074D4A" w:rsidP="00555AE1">
            <w:pPr>
              <w:pStyle w:val="TableText"/>
              <w:rPr>
                <w:b/>
              </w:rPr>
            </w:pPr>
            <w:r w:rsidRPr="008D6B70">
              <w:rPr>
                <w:b/>
              </w:rPr>
              <w:t>Use in modelled evaluation</w:t>
            </w:r>
          </w:p>
        </w:tc>
      </w:tr>
      <w:tr w:rsidR="00074D4A" w:rsidRPr="008D6B70" w:rsidTr="00AC2475">
        <w:tc>
          <w:tcPr>
            <w:tcW w:w="470" w:type="pct"/>
            <w:shd w:val="clear" w:color="auto" w:fill="auto"/>
            <w:vAlign w:val="center"/>
          </w:tcPr>
          <w:p w:rsidR="00074D4A" w:rsidRPr="008D6B70" w:rsidRDefault="00074D4A" w:rsidP="00555AE1">
            <w:pPr>
              <w:pStyle w:val="TableText"/>
            </w:pPr>
            <w:r w:rsidRPr="008D6B70">
              <w:t>CASTOR</w:t>
            </w:r>
          </w:p>
        </w:tc>
        <w:tc>
          <w:tcPr>
            <w:tcW w:w="549" w:type="pct"/>
            <w:shd w:val="clear" w:color="auto" w:fill="auto"/>
            <w:vAlign w:val="center"/>
          </w:tcPr>
          <w:p w:rsidR="00074D4A" w:rsidRPr="008D6B70" w:rsidRDefault="00074D4A" w:rsidP="00555AE1">
            <w:pPr>
              <w:pStyle w:val="TableText"/>
            </w:pPr>
            <w:r w:rsidRPr="008D6B70">
              <w:t xml:space="preserve">DBd: </w:t>
            </w:r>
            <w:r w:rsidRPr="005C7A06">
              <w:t>251</w:t>
            </w:r>
          </w:p>
          <w:p w:rsidR="00074D4A" w:rsidRPr="008D6B70" w:rsidRDefault="00074D4A" w:rsidP="00555AE1">
            <w:pPr>
              <w:pStyle w:val="TableText"/>
            </w:pPr>
            <w:r w:rsidRPr="008D6B70">
              <w:t xml:space="preserve">Bd: </w:t>
            </w:r>
            <w:r w:rsidRPr="005C7A06">
              <w:t>247</w:t>
            </w:r>
          </w:p>
          <w:p w:rsidR="00074D4A" w:rsidRPr="008D6B70" w:rsidRDefault="00074D4A" w:rsidP="00555AE1">
            <w:pPr>
              <w:pStyle w:val="TableText"/>
              <w:rPr>
                <w:rFonts w:ascii="Times" w:eastAsia="Times New Roman" w:hAnsi="Times" w:cs="Times New Roman"/>
              </w:rPr>
            </w:pPr>
            <w:r w:rsidRPr="008D6B70">
              <w:t xml:space="preserve">N: </w:t>
            </w:r>
            <w:r w:rsidRPr="005C7A06">
              <w:t>498</w:t>
            </w:r>
          </w:p>
        </w:tc>
        <w:tc>
          <w:tcPr>
            <w:tcW w:w="1415" w:type="pct"/>
            <w:shd w:val="clear" w:color="auto" w:fill="auto"/>
            <w:vAlign w:val="center"/>
          </w:tcPr>
          <w:p w:rsidR="00074D4A" w:rsidRPr="008D6B70" w:rsidRDefault="00074D4A" w:rsidP="00555AE1">
            <w:pPr>
              <w:pStyle w:val="TableText"/>
              <w:rPr>
                <w:rFonts w:ascii="Times" w:eastAsia="Times New Roman" w:hAnsi="Times" w:cs="Times New Roman"/>
              </w:rPr>
            </w:pPr>
            <w:r w:rsidRPr="008D6B70">
              <w:t>Phase 3, OL, AC, RCT, MC</w:t>
            </w:r>
          </w:p>
          <w:p w:rsidR="00074D4A" w:rsidRPr="008D6B70" w:rsidRDefault="00074D4A" w:rsidP="00555AE1">
            <w:pPr>
              <w:pStyle w:val="TableText"/>
            </w:pPr>
            <w:r w:rsidRPr="008D6B70">
              <w:t>CSR clinical cut-off: 7.4 mths</w:t>
            </w:r>
          </w:p>
          <w:p w:rsidR="00074D4A" w:rsidRPr="008D6B70" w:rsidRDefault="00074D4A" w:rsidP="00555AE1">
            <w:pPr>
              <w:pStyle w:val="TableText"/>
              <w:rPr>
                <w:rFonts w:ascii="Times" w:eastAsia="Times New Roman" w:hAnsi="Times" w:cs="Times New Roman"/>
              </w:rPr>
            </w:pPr>
            <w:r w:rsidRPr="008D6B70">
              <w:t>120-day safety update: 13.3 mths</w:t>
            </w:r>
          </w:p>
        </w:tc>
        <w:tc>
          <w:tcPr>
            <w:tcW w:w="394" w:type="pct"/>
            <w:shd w:val="clear" w:color="auto" w:fill="auto"/>
            <w:vAlign w:val="center"/>
          </w:tcPr>
          <w:p w:rsidR="00074D4A" w:rsidRPr="008D6B70" w:rsidRDefault="00074D4A" w:rsidP="00555AE1">
            <w:pPr>
              <w:pStyle w:val="TableText"/>
              <w:rPr>
                <w:rFonts w:ascii="Times" w:eastAsia="Times New Roman" w:hAnsi="Times" w:cs="Times New Roman"/>
              </w:rPr>
            </w:pPr>
            <w:r w:rsidRPr="008D6B70">
              <w:t>Low</w:t>
            </w:r>
          </w:p>
        </w:tc>
        <w:tc>
          <w:tcPr>
            <w:tcW w:w="707" w:type="pct"/>
            <w:shd w:val="clear" w:color="auto" w:fill="auto"/>
            <w:vAlign w:val="center"/>
          </w:tcPr>
          <w:p w:rsidR="00074D4A" w:rsidRPr="008D6B70" w:rsidRDefault="00074D4A" w:rsidP="00555AE1">
            <w:pPr>
              <w:pStyle w:val="TableText"/>
            </w:pPr>
            <w:r w:rsidRPr="008D6B70">
              <w:t>Received ≥ 1 previous lines of therapy</w:t>
            </w:r>
            <w:r w:rsidRPr="008D6B70">
              <w:rPr>
                <w:vertAlign w:val="superscript"/>
              </w:rPr>
              <w:t>a</w:t>
            </w:r>
          </w:p>
        </w:tc>
        <w:tc>
          <w:tcPr>
            <w:tcW w:w="629" w:type="pct"/>
            <w:shd w:val="clear" w:color="auto" w:fill="auto"/>
            <w:vAlign w:val="center"/>
          </w:tcPr>
          <w:p w:rsidR="00074D4A" w:rsidRPr="008D6B70" w:rsidRDefault="00074D4A" w:rsidP="00555AE1">
            <w:pPr>
              <w:pStyle w:val="TableText"/>
              <w:rPr>
                <w:rFonts w:ascii="Times" w:eastAsia="Times New Roman" w:hAnsi="Times" w:cs="Times New Roman"/>
                <w:lang w:val="de-DE"/>
              </w:rPr>
            </w:pPr>
            <w:r w:rsidRPr="008D6B70">
              <w:rPr>
                <w:lang w:val="de-DE"/>
              </w:rPr>
              <w:t>PFS, OS, ORR, MRD, PROs, safety</w:t>
            </w:r>
          </w:p>
        </w:tc>
        <w:tc>
          <w:tcPr>
            <w:tcW w:w="836" w:type="pct"/>
            <w:shd w:val="clear" w:color="auto" w:fill="auto"/>
            <w:vAlign w:val="center"/>
          </w:tcPr>
          <w:p w:rsidR="00074D4A" w:rsidRPr="008D6B70" w:rsidRDefault="00FF3883" w:rsidP="004A0AC5">
            <w:pPr>
              <w:pStyle w:val="TableText"/>
              <w:rPr>
                <w:rFonts w:ascii="Times" w:eastAsia="Times New Roman" w:hAnsi="Times" w:cs="Times New Roman"/>
              </w:rPr>
            </w:pPr>
            <w:r w:rsidRPr="008D6B70">
              <w:t xml:space="preserve">All </w:t>
            </w:r>
            <w:r w:rsidR="004A0AC5" w:rsidRPr="008D6B70">
              <w:t>outcome</w:t>
            </w:r>
            <w:r w:rsidR="000E19FC" w:rsidRPr="008D6B70">
              <w:t>s</w:t>
            </w:r>
            <w:r w:rsidR="004A0AC5" w:rsidRPr="008D6B70">
              <w:t xml:space="preserve"> </w:t>
            </w:r>
            <w:r w:rsidRPr="008D6B70">
              <w:t>used (MR</w:t>
            </w:r>
            <w:r w:rsidR="00AC2475" w:rsidRPr="008D6B70">
              <w:t>D used to justify time horizon) except ORR.</w:t>
            </w:r>
          </w:p>
        </w:tc>
      </w:tr>
      <w:tr w:rsidR="00074D4A" w:rsidRPr="008D6B70" w:rsidTr="00AC2475">
        <w:tc>
          <w:tcPr>
            <w:tcW w:w="470" w:type="pct"/>
            <w:shd w:val="clear" w:color="auto" w:fill="auto"/>
            <w:vAlign w:val="center"/>
          </w:tcPr>
          <w:p w:rsidR="00074D4A" w:rsidRPr="008D6B70" w:rsidRDefault="00074D4A" w:rsidP="00555AE1">
            <w:pPr>
              <w:pStyle w:val="TableText"/>
              <w:rPr>
                <w:rFonts w:ascii="Times" w:eastAsia="Times New Roman" w:hAnsi="Times" w:cs="Times New Roman"/>
              </w:rPr>
            </w:pPr>
            <w:r w:rsidRPr="008D6B70">
              <w:t>POLLUX</w:t>
            </w:r>
          </w:p>
        </w:tc>
        <w:tc>
          <w:tcPr>
            <w:tcW w:w="549" w:type="pct"/>
            <w:shd w:val="clear" w:color="auto" w:fill="auto"/>
            <w:vAlign w:val="center"/>
          </w:tcPr>
          <w:p w:rsidR="00074D4A" w:rsidRPr="008D6B70" w:rsidRDefault="00074D4A" w:rsidP="00555AE1">
            <w:pPr>
              <w:pStyle w:val="TableText"/>
            </w:pPr>
            <w:r w:rsidRPr="008D6B70">
              <w:t xml:space="preserve">DLd: </w:t>
            </w:r>
            <w:r w:rsidRPr="005C7A06">
              <w:t>286</w:t>
            </w:r>
          </w:p>
          <w:p w:rsidR="00074D4A" w:rsidRPr="008D6B70" w:rsidRDefault="00074D4A" w:rsidP="00555AE1">
            <w:pPr>
              <w:pStyle w:val="TableText"/>
            </w:pPr>
            <w:r w:rsidRPr="008D6B70">
              <w:t xml:space="preserve">Ld: </w:t>
            </w:r>
            <w:r w:rsidRPr="005C7A06">
              <w:t>283</w:t>
            </w:r>
          </w:p>
          <w:p w:rsidR="00074D4A" w:rsidRPr="008D6B70" w:rsidRDefault="00074D4A" w:rsidP="00555AE1">
            <w:pPr>
              <w:pStyle w:val="TableText"/>
              <w:rPr>
                <w:rFonts w:ascii="Times" w:eastAsia="Times New Roman" w:hAnsi="Times" w:cs="Times New Roman"/>
              </w:rPr>
            </w:pPr>
            <w:r w:rsidRPr="008D6B70">
              <w:t xml:space="preserve">N: </w:t>
            </w:r>
            <w:r w:rsidRPr="005C7A06">
              <w:t>569</w:t>
            </w:r>
          </w:p>
        </w:tc>
        <w:tc>
          <w:tcPr>
            <w:tcW w:w="1415" w:type="pct"/>
            <w:shd w:val="clear" w:color="auto" w:fill="auto"/>
            <w:vAlign w:val="center"/>
          </w:tcPr>
          <w:p w:rsidR="00074D4A" w:rsidRPr="008D6B70" w:rsidRDefault="00074D4A" w:rsidP="00555AE1">
            <w:pPr>
              <w:pStyle w:val="TableText"/>
            </w:pPr>
            <w:r w:rsidRPr="008D6B70">
              <w:t>Phase 3, OL, AC, RCT, MC</w:t>
            </w:r>
          </w:p>
          <w:p w:rsidR="00074D4A" w:rsidRPr="008D6B70" w:rsidRDefault="00074D4A" w:rsidP="00555AE1">
            <w:pPr>
              <w:pStyle w:val="TableText"/>
            </w:pPr>
            <w:r w:rsidRPr="008D6B70">
              <w:t>CSR clinical cut-off: 13.5 mths</w:t>
            </w:r>
          </w:p>
          <w:p w:rsidR="00074D4A" w:rsidRPr="008D6B70" w:rsidRDefault="00074D4A" w:rsidP="00555AE1">
            <w:pPr>
              <w:pStyle w:val="TableText"/>
              <w:rPr>
                <w:rFonts w:ascii="Times" w:eastAsia="Times New Roman" w:hAnsi="Times" w:cs="Times New Roman"/>
              </w:rPr>
            </w:pPr>
            <w:r w:rsidRPr="008D6B70">
              <w:t xml:space="preserve">120-day safety update: 17.3 </w:t>
            </w:r>
            <w:r w:rsidR="00944253" w:rsidRPr="008D6B70">
              <w:t>mths</w:t>
            </w:r>
          </w:p>
        </w:tc>
        <w:tc>
          <w:tcPr>
            <w:tcW w:w="394" w:type="pct"/>
            <w:shd w:val="clear" w:color="auto" w:fill="auto"/>
            <w:vAlign w:val="center"/>
          </w:tcPr>
          <w:p w:rsidR="00074D4A" w:rsidRPr="008D6B70" w:rsidRDefault="00074D4A" w:rsidP="00555AE1">
            <w:pPr>
              <w:pStyle w:val="TableText"/>
              <w:rPr>
                <w:rFonts w:ascii="Times" w:eastAsia="Times New Roman" w:hAnsi="Times" w:cs="Times New Roman"/>
              </w:rPr>
            </w:pPr>
            <w:r w:rsidRPr="008D6B70">
              <w:t>Low</w:t>
            </w:r>
          </w:p>
        </w:tc>
        <w:tc>
          <w:tcPr>
            <w:tcW w:w="707" w:type="pct"/>
            <w:shd w:val="clear" w:color="auto" w:fill="auto"/>
            <w:vAlign w:val="center"/>
          </w:tcPr>
          <w:p w:rsidR="00074D4A" w:rsidRPr="008D6B70" w:rsidRDefault="00074D4A" w:rsidP="00555AE1">
            <w:pPr>
              <w:pStyle w:val="TableText"/>
              <w:rPr>
                <w:rFonts w:ascii="Times" w:eastAsia="Times New Roman" w:hAnsi="Times" w:cs="Times New Roman"/>
              </w:rPr>
            </w:pPr>
            <w:r w:rsidRPr="008D6B70">
              <w:t>Received ≥ 1 previous lines of therapy</w:t>
            </w:r>
            <w:r w:rsidRPr="008D6B70">
              <w:rPr>
                <w:vertAlign w:val="superscript"/>
              </w:rPr>
              <w:t>a</w:t>
            </w:r>
          </w:p>
        </w:tc>
        <w:tc>
          <w:tcPr>
            <w:tcW w:w="629" w:type="pct"/>
            <w:shd w:val="clear" w:color="auto" w:fill="auto"/>
            <w:vAlign w:val="center"/>
          </w:tcPr>
          <w:p w:rsidR="00074D4A" w:rsidRPr="008D6B70" w:rsidRDefault="00074D4A" w:rsidP="00555AE1">
            <w:pPr>
              <w:pStyle w:val="TableText"/>
              <w:rPr>
                <w:rFonts w:ascii="Times" w:eastAsia="Times New Roman" w:hAnsi="Times" w:cs="Times New Roman"/>
                <w:lang w:val="de-DE"/>
              </w:rPr>
            </w:pPr>
            <w:r w:rsidRPr="008D6B70">
              <w:rPr>
                <w:lang w:val="de-DE"/>
              </w:rPr>
              <w:t>PFS, OS, ORR, MRD, PROs, safety</w:t>
            </w:r>
          </w:p>
        </w:tc>
        <w:tc>
          <w:tcPr>
            <w:tcW w:w="836" w:type="pct"/>
            <w:shd w:val="clear" w:color="auto" w:fill="auto"/>
            <w:vAlign w:val="center"/>
          </w:tcPr>
          <w:p w:rsidR="00074D4A" w:rsidRPr="008D6B70" w:rsidRDefault="00FF3883" w:rsidP="004A0AC5">
            <w:pPr>
              <w:pStyle w:val="TableText"/>
              <w:rPr>
                <w:rFonts w:ascii="Times" w:eastAsia="Times New Roman" w:hAnsi="Times" w:cs="Times New Roman"/>
              </w:rPr>
            </w:pPr>
            <w:r w:rsidRPr="008D6B70">
              <w:t xml:space="preserve">All </w:t>
            </w:r>
            <w:r w:rsidR="004A0AC5" w:rsidRPr="008D6B70">
              <w:t xml:space="preserve">outcomes </w:t>
            </w:r>
            <w:r w:rsidRPr="008D6B70">
              <w:t>used (MR</w:t>
            </w:r>
            <w:r w:rsidR="00AC2475" w:rsidRPr="008D6B70">
              <w:t xml:space="preserve">D used to justify time horizon) except ORR. </w:t>
            </w:r>
          </w:p>
        </w:tc>
      </w:tr>
    </w:tbl>
    <w:p w:rsidR="00074D4A" w:rsidRPr="008D6B70" w:rsidRDefault="00074D4A" w:rsidP="005F48B6">
      <w:pPr>
        <w:pStyle w:val="TableFooter"/>
      </w:pPr>
      <w:r w:rsidRPr="008D6B70">
        <w:t>Abbreviations: Bd, bortezomib-dexamethasone; CSR, clinical study report; DBd, daratumumab-bortezomib-dexamethasone; DLd, daratumumab-lenalidomide-dexamethasone; Ld, lenalidomide-dexamethasone; MC, multi-centre; MRD, minimal residual disease; OL, open label; ORR, overall response rate; OS, overall survival; PFS, progression-free survival; RCT,</w:t>
      </w:r>
      <w:r w:rsidR="00870B09" w:rsidRPr="008D6B70">
        <w:t xml:space="preserve"> </w:t>
      </w:r>
      <w:r w:rsidRPr="008D6B70">
        <w:t>randomised controlled trial</w:t>
      </w:r>
      <w:r w:rsidR="00870B09" w:rsidRPr="008D6B70">
        <w:t>.</w:t>
      </w:r>
    </w:p>
    <w:p w:rsidR="00074D4A" w:rsidRPr="008D6B70" w:rsidRDefault="00074D4A" w:rsidP="005F48B6">
      <w:pPr>
        <w:pStyle w:val="TableFooter"/>
      </w:pPr>
      <w:r w:rsidRPr="008D6B70">
        <w:t>Note: a. Documented MM and received ≥ 1 previous lines of therapy. At least a partial response to ≥ 1 previous therapies. Documented PD according to IMWG criteria during or after completion of last regimen.</w:t>
      </w:r>
    </w:p>
    <w:p w:rsidR="00074D4A" w:rsidRPr="008D6B70" w:rsidRDefault="00074D4A" w:rsidP="005F48B6">
      <w:pPr>
        <w:pStyle w:val="TableFooter"/>
      </w:pPr>
      <w:r w:rsidRPr="008D6B70">
        <w:t>Source: compiled during the evaluation</w:t>
      </w:r>
      <w:r w:rsidR="00AC2475" w:rsidRPr="008D6B70">
        <w:t>.</w:t>
      </w:r>
    </w:p>
    <w:p w:rsidR="00074D4A" w:rsidRPr="008D6B70" w:rsidRDefault="00E26CBF" w:rsidP="00865EA5">
      <w:pPr>
        <w:pStyle w:val="ListParagraph"/>
        <w:numPr>
          <w:ilvl w:val="1"/>
          <w:numId w:val="108"/>
        </w:numPr>
        <w:ind w:left="709" w:hanging="709"/>
        <w:jc w:val="both"/>
      </w:pPr>
      <w:r w:rsidRPr="008D6B70">
        <w:t xml:space="preserve">CASTOR </w:t>
      </w:r>
      <w:r w:rsidR="00DD2FE6">
        <w:t xml:space="preserve">and POLLUX </w:t>
      </w:r>
      <w:r w:rsidRPr="008D6B70">
        <w:t>w</w:t>
      </w:r>
      <w:r w:rsidR="00DD2FE6">
        <w:t>ere</w:t>
      </w:r>
      <w:r w:rsidRPr="008D6B70">
        <w:t xml:space="preserve"> open-label trial</w:t>
      </w:r>
      <w:r w:rsidR="00C917FF">
        <w:t>s</w:t>
      </w:r>
      <w:r w:rsidRPr="008D6B70">
        <w:t xml:space="preserve"> </w:t>
      </w:r>
      <w:r w:rsidR="00DD2FE6">
        <w:t>but</w:t>
      </w:r>
      <w:r w:rsidR="00DD2FE6" w:rsidRPr="008D6B70">
        <w:t xml:space="preserve"> </w:t>
      </w:r>
      <w:r w:rsidRPr="008D6B70">
        <w:t>had a low risk of bias</w:t>
      </w:r>
      <w:r w:rsidR="007E5A5D" w:rsidRPr="008D6B70">
        <w:t xml:space="preserve"> as the outcomes were assessed using </w:t>
      </w:r>
      <w:r w:rsidR="00C7338D" w:rsidRPr="008D6B70">
        <w:t xml:space="preserve">a computerised algorithm (PFS) </w:t>
      </w:r>
      <w:r w:rsidR="007E5A5D" w:rsidRPr="008D6B70">
        <w:t>or</w:t>
      </w:r>
      <w:r w:rsidR="00C917FF">
        <w:t xml:space="preserve"> a</w:t>
      </w:r>
      <w:r w:rsidR="007E5A5D" w:rsidRPr="008D6B70">
        <w:t xml:space="preserve"> definitive outcome (e.g. death).</w:t>
      </w:r>
    </w:p>
    <w:p w:rsidR="00A1438F" w:rsidRPr="008D6B70" w:rsidRDefault="00DD2FE6" w:rsidP="00865EA5">
      <w:pPr>
        <w:pStyle w:val="ListParagraph"/>
        <w:numPr>
          <w:ilvl w:val="1"/>
          <w:numId w:val="108"/>
        </w:numPr>
        <w:ind w:left="709" w:hanging="709"/>
        <w:jc w:val="both"/>
      </w:pPr>
      <w:r>
        <w:t>O</w:t>
      </w:r>
      <w:r w:rsidR="00A1438F" w:rsidRPr="008D6B70">
        <w:t xml:space="preserve">n the PBS up to 11 cycles </w:t>
      </w:r>
      <w:r>
        <w:t>of bortezomib is allowed</w:t>
      </w:r>
      <w:r w:rsidR="00A1438F" w:rsidRPr="008D6B70">
        <w:t xml:space="preserve"> subject to continuation rules</w:t>
      </w:r>
      <w:r w:rsidR="00FF1CE9" w:rsidRPr="008D6B70">
        <w:t xml:space="preserve"> (8 cycles to demonstrate response, then another 3 for responders)</w:t>
      </w:r>
      <w:r w:rsidR="00A1438F" w:rsidRPr="008D6B70">
        <w:t>. This differs from the CASTOR trial which allowed a maximum of 8 cycles of bortezomib therapy</w:t>
      </w:r>
      <w:r>
        <w:t>. Thus t</w:t>
      </w:r>
      <w:r w:rsidR="00F4768E" w:rsidRPr="008D6B70">
        <w:t xml:space="preserve">he </w:t>
      </w:r>
      <w:r>
        <w:t>incremental</w:t>
      </w:r>
      <w:r w:rsidRPr="008D6B70">
        <w:t xml:space="preserve"> </w:t>
      </w:r>
      <w:r w:rsidR="00F4768E" w:rsidRPr="008D6B70">
        <w:t xml:space="preserve">efficacy of DBd </w:t>
      </w:r>
      <w:r>
        <w:t xml:space="preserve">over Bd as estimated from the trial may be larger than </w:t>
      </w:r>
      <w:r w:rsidR="00F4768E" w:rsidRPr="008D6B70">
        <w:t xml:space="preserve">expected </w:t>
      </w:r>
      <w:r>
        <w:t>with</w:t>
      </w:r>
      <w:r w:rsidRPr="008D6B70">
        <w:t xml:space="preserve"> </w:t>
      </w:r>
      <w:r>
        <w:t>DBd</w:t>
      </w:r>
      <w:r w:rsidR="00D87B30">
        <w:t xml:space="preserve"> use</w:t>
      </w:r>
      <w:r w:rsidR="00F4768E" w:rsidRPr="008D6B70">
        <w:t xml:space="preserve"> in the Australian setting</w:t>
      </w:r>
      <w:r w:rsidR="00A1438F" w:rsidRPr="008D6B70">
        <w:t>.</w:t>
      </w:r>
      <w:r w:rsidR="009B57EB" w:rsidRPr="008D6B70">
        <w:t xml:space="preserve"> </w:t>
      </w:r>
      <w:r w:rsidR="008B206E" w:rsidRPr="008D6B70">
        <w:t>The PSCR referred to the DUSC multiple myeloma report, which showed that less than 20% of patients receive bortezomib beyond 8 cycles. On balance, t</w:t>
      </w:r>
      <w:r w:rsidR="009B57EB" w:rsidRPr="008D6B70">
        <w:t xml:space="preserve">he ESC considered that this difference was unlikely to </w:t>
      </w:r>
      <w:r w:rsidR="004C2A80" w:rsidRPr="008D6B70">
        <w:t>result in</w:t>
      </w:r>
      <w:r w:rsidR="009B57EB" w:rsidRPr="008D6B70">
        <w:t xml:space="preserve"> clinically meaningful</w:t>
      </w:r>
      <w:r w:rsidR="004C2A80" w:rsidRPr="008D6B70">
        <w:t xml:space="preserve"> treatment differences</w:t>
      </w:r>
      <w:r w:rsidR="003C7456" w:rsidRPr="008D6B70">
        <w:t xml:space="preserve"> between use of Bd in CASTOR and on the PBS</w:t>
      </w:r>
      <w:r w:rsidR="009B57EB" w:rsidRPr="008D6B70">
        <w:t xml:space="preserve">. </w:t>
      </w:r>
    </w:p>
    <w:p w:rsidR="00074D4A" w:rsidRPr="008D6B70" w:rsidRDefault="00074D4A" w:rsidP="00865EA5">
      <w:pPr>
        <w:pStyle w:val="ListParagraph"/>
        <w:numPr>
          <w:ilvl w:val="1"/>
          <w:numId w:val="108"/>
        </w:numPr>
        <w:ind w:left="709" w:hanging="709"/>
        <w:jc w:val="both"/>
      </w:pPr>
      <w:r w:rsidRPr="008D6B70">
        <w:t xml:space="preserve">Across the </w:t>
      </w:r>
      <w:r w:rsidR="004A0AC5" w:rsidRPr="008D6B70">
        <w:t>CASTOR and POLLUX</w:t>
      </w:r>
      <w:r w:rsidR="004A0AC5" w:rsidRPr="008D6B70" w:rsidDel="004A0AC5">
        <w:t xml:space="preserve"> </w:t>
      </w:r>
      <w:r w:rsidRPr="008D6B70">
        <w:t>trials</w:t>
      </w:r>
      <w:r w:rsidR="00FF3883" w:rsidRPr="008D6B70">
        <w:t>,</w:t>
      </w:r>
      <w:r w:rsidRPr="008D6B70">
        <w:t xml:space="preserve"> there were differences in the baseline disease characteristics and prior therapies </w:t>
      </w:r>
      <w:r w:rsidR="00FF3883" w:rsidRPr="008D6B70">
        <w:t>that may bias any comparison of treatment effects across the trials</w:t>
      </w:r>
      <w:r w:rsidRPr="008D6B70">
        <w:t>:</w:t>
      </w:r>
    </w:p>
    <w:p w:rsidR="00074D4A" w:rsidRDefault="00074D4A" w:rsidP="00CE1132">
      <w:pPr>
        <w:pStyle w:val="ListParagraph"/>
        <w:numPr>
          <w:ilvl w:val="0"/>
          <w:numId w:val="71"/>
        </w:numPr>
        <w:spacing w:after="120"/>
        <w:ind w:left="1134"/>
        <w:jc w:val="both"/>
      </w:pPr>
      <w:r w:rsidRPr="008D6B70">
        <w:t xml:space="preserve">The proportion of patients with International Staging System (ISS) low risk disease at baseline was approximately 39% </w:t>
      </w:r>
      <w:r w:rsidR="00D87B30">
        <w:t>in</w:t>
      </w:r>
      <w:r w:rsidR="00D87B30" w:rsidRPr="008D6B70">
        <w:t xml:space="preserve"> </w:t>
      </w:r>
      <w:r w:rsidRPr="008D6B70">
        <w:t>CASTOR and 50% in POLLUX, indicating a higher proportion of patients with better prognosis disease in the POLLUX trial</w:t>
      </w:r>
      <w:r w:rsidR="00FF3883" w:rsidRPr="008D6B70">
        <w:t>.</w:t>
      </w:r>
      <w:r w:rsidRPr="008D6B70">
        <w:t xml:space="preserve"> </w:t>
      </w:r>
    </w:p>
    <w:p w:rsidR="00696504" w:rsidRDefault="00696504" w:rsidP="00CE1132">
      <w:pPr>
        <w:pStyle w:val="ListParagraph"/>
        <w:numPr>
          <w:ilvl w:val="0"/>
          <w:numId w:val="71"/>
        </w:numPr>
        <w:spacing w:after="120"/>
        <w:ind w:left="1134"/>
        <w:jc w:val="both"/>
      </w:pPr>
      <w:r>
        <w:t>P</w:t>
      </w:r>
      <w:r w:rsidRPr="008D6B70">
        <w:t>rior use of therapy:</w:t>
      </w:r>
    </w:p>
    <w:p w:rsidR="00696504" w:rsidRDefault="00696504" w:rsidP="00CE1132">
      <w:pPr>
        <w:pStyle w:val="ListParagraph"/>
        <w:numPr>
          <w:ilvl w:val="1"/>
          <w:numId w:val="71"/>
        </w:numPr>
        <w:spacing w:after="120"/>
        <w:ind w:left="1701"/>
        <w:jc w:val="both"/>
      </w:pPr>
      <w:r>
        <w:t xml:space="preserve">Prior use of the backbone therapy under investigation: </w:t>
      </w:r>
      <w:r w:rsidRPr="008D6B70">
        <w:t xml:space="preserve">A higher proportion of patients in CASTOR (66%) </w:t>
      </w:r>
      <w:r>
        <w:t xml:space="preserve">had </w:t>
      </w:r>
      <w:r w:rsidRPr="008D6B70">
        <w:t>receive</w:t>
      </w:r>
      <w:r>
        <w:t>d</w:t>
      </w:r>
      <w:r w:rsidRPr="008D6B70">
        <w:t xml:space="preserve"> bortezomib</w:t>
      </w:r>
      <w:r>
        <w:t xml:space="preserve"> previously, compared to</w:t>
      </w:r>
      <w:r w:rsidRPr="008D6B70">
        <w:t xml:space="preserve"> POLLUX</w:t>
      </w:r>
      <w:r>
        <w:t xml:space="preserve">, where </w:t>
      </w:r>
      <w:r w:rsidRPr="008D6B70">
        <w:t>18% of patients receive</w:t>
      </w:r>
      <w:r>
        <w:t>d</w:t>
      </w:r>
      <w:r w:rsidRPr="008D6B70">
        <w:t xml:space="preserve"> </w:t>
      </w:r>
      <w:r>
        <w:t xml:space="preserve">prior </w:t>
      </w:r>
      <w:r w:rsidRPr="008D6B70">
        <w:t xml:space="preserve">lenalidomide. </w:t>
      </w:r>
    </w:p>
    <w:p w:rsidR="00696504" w:rsidRDefault="00696504" w:rsidP="00CE1132">
      <w:pPr>
        <w:pStyle w:val="ListParagraph"/>
        <w:numPr>
          <w:ilvl w:val="1"/>
          <w:numId w:val="71"/>
        </w:numPr>
        <w:spacing w:after="120"/>
        <w:ind w:left="1701"/>
        <w:jc w:val="both"/>
      </w:pPr>
      <w:r>
        <w:t xml:space="preserve">Prior use of the other backbone therapy: </w:t>
      </w:r>
      <w:r w:rsidRPr="008D6B70">
        <w:t>86% of patients in POLLUX</w:t>
      </w:r>
      <w:r>
        <w:t xml:space="preserve"> (DLd vs. Ld) had received bortezomib previously, whereas </w:t>
      </w:r>
      <w:r w:rsidRPr="008D6B70">
        <w:t xml:space="preserve">36-49% of patients in CASTOR </w:t>
      </w:r>
      <w:r>
        <w:t>(DBd vs. Bd) had received prior lenalidomide</w:t>
      </w:r>
      <w:r w:rsidRPr="008D6B70">
        <w:t>.</w:t>
      </w:r>
    </w:p>
    <w:p w:rsidR="00696504" w:rsidRDefault="00696504" w:rsidP="00CE1132">
      <w:pPr>
        <w:pStyle w:val="ListParagraph"/>
        <w:numPr>
          <w:ilvl w:val="1"/>
          <w:numId w:val="71"/>
        </w:numPr>
        <w:spacing w:after="120"/>
        <w:ind w:left="1701"/>
        <w:jc w:val="both"/>
      </w:pPr>
      <w:r w:rsidRPr="008D6B70">
        <w:t>The median number of previous lines of therapy in CASTOR was 2 and in POLLUX was 1</w:t>
      </w:r>
      <w:r>
        <w:t xml:space="preserve">, </w:t>
      </w:r>
      <w:r w:rsidRPr="008D6B70">
        <w:t>suggesting that patients in CASTOR were more heavily pre-treated</w:t>
      </w:r>
    </w:p>
    <w:p w:rsidR="00CF15CE" w:rsidRPr="00981468" w:rsidRDefault="00CF15CE" w:rsidP="002411CB">
      <w:pPr>
        <w:pStyle w:val="Heading2"/>
      </w:pPr>
      <w:bookmarkStart w:id="15" w:name="_Hlk490045782"/>
      <w:r w:rsidRPr="00981468">
        <w:t>Comparative efficacy</w:t>
      </w:r>
    </w:p>
    <w:p w:rsidR="00715E3B" w:rsidRPr="008D6B70" w:rsidRDefault="00074D4A" w:rsidP="00865EA5">
      <w:pPr>
        <w:pStyle w:val="ListParagraph"/>
        <w:numPr>
          <w:ilvl w:val="1"/>
          <w:numId w:val="108"/>
        </w:numPr>
        <w:ind w:left="709" w:hanging="709"/>
        <w:jc w:val="both"/>
      </w:pPr>
      <w:r w:rsidRPr="008D6B70">
        <w:t>The results for the primary outcome</w:t>
      </w:r>
      <w:r w:rsidR="00D87B30">
        <w:t>,</w:t>
      </w:r>
      <w:r w:rsidRPr="008D6B70">
        <w:t xml:space="preserve"> PFS</w:t>
      </w:r>
      <w:r w:rsidR="00D87B30">
        <w:t>,</w:t>
      </w:r>
      <w:r w:rsidRPr="008D6B70">
        <w:t xml:space="preserve"> are prese</w:t>
      </w:r>
      <w:r w:rsidR="00DE41C2" w:rsidRPr="008D6B70">
        <w:t>nted in Table 4</w:t>
      </w:r>
      <w:r w:rsidR="00D87B30">
        <w:t xml:space="preserve"> and Figures 1 (CASTOR) and 2 (POLLUX).</w:t>
      </w:r>
      <w:r w:rsidRPr="008D6B70">
        <w:t xml:space="preserve"> The </w:t>
      </w:r>
      <w:r w:rsidR="00F16D73" w:rsidRPr="008D6B70">
        <w:t xml:space="preserve">ESC noted that the </w:t>
      </w:r>
      <w:r w:rsidRPr="008D6B70">
        <w:t>median PFS was not reached in the daratumumab treatment groups</w:t>
      </w:r>
      <w:r w:rsidR="00FF3883" w:rsidRPr="008D6B70">
        <w:t>,</w:t>
      </w:r>
      <w:r w:rsidR="003150F1">
        <w:t xml:space="preserve"> even with </w:t>
      </w:r>
      <w:r w:rsidRPr="008D6B70">
        <w:t>the longer-term follow-up</w:t>
      </w:r>
      <w:r w:rsidR="00F16D73" w:rsidRPr="008D6B70">
        <w:t>, which</w:t>
      </w:r>
      <w:r w:rsidRPr="008D6B70">
        <w:t xml:space="preserve"> </w:t>
      </w:r>
      <w:r w:rsidR="00FF3883" w:rsidRPr="008D6B70">
        <w:t xml:space="preserve">indicates </w:t>
      </w:r>
      <w:r w:rsidRPr="008D6B70">
        <w:t xml:space="preserve">that the data </w:t>
      </w:r>
      <w:r w:rsidR="00FF3883" w:rsidRPr="008D6B70">
        <w:t xml:space="preserve">are </w:t>
      </w:r>
      <w:r w:rsidRPr="008D6B70">
        <w:t>immature</w:t>
      </w:r>
      <w:r w:rsidR="00F16D73" w:rsidRPr="008D6B70">
        <w:t>. The ESC considered that the data ther</w:t>
      </w:r>
      <w:r w:rsidR="004F1423" w:rsidRPr="008D6B70">
        <w:t>e</w:t>
      </w:r>
      <w:r w:rsidR="00F16D73" w:rsidRPr="008D6B70">
        <w:t>fore</w:t>
      </w:r>
      <w:r w:rsidRPr="008D6B70">
        <w:t xml:space="preserve"> may not accurately reflect the longer-term risks of progression associated with daratumumab based therapies.</w:t>
      </w:r>
      <w:r w:rsidR="00715E3B">
        <w:t xml:space="preserve"> </w:t>
      </w:r>
      <w:bookmarkEnd w:id="15"/>
      <w:r w:rsidR="00715E3B">
        <w:t xml:space="preserve">The PBAC considered </w:t>
      </w:r>
      <w:r w:rsidR="003150F1">
        <w:t>the PFS</w:t>
      </w:r>
      <w:r w:rsidR="00715E3B">
        <w:t xml:space="preserve"> may </w:t>
      </w:r>
      <w:r w:rsidR="0096130F">
        <w:t xml:space="preserve">also </w:t>
      </w:r>
      <w:r w:rsidR="00715E3B" w:rsidRPr="00F9555A">
        <w:t>not accurately reflect</w:t>
      </w:r>
      <w:r w:rsidR="00715E3B">
        <w:t xml:space="preserve"> the</w:t>
      </w:r>
      <w:r w:rsidR="0096130F">
        <w:t xml:space="preserve"> </w:t>
      </w:r>
      <w:r w:rsidR="0096130F" w:rsidRPr="003150F1">
        <w:t xml:space="preserve">mean duration of </w:t>
      </w:r>
      <w:r w:rsidR="003150F1">
        <w:t xml:space="preserve">daratumumab </w:t>
      </w:r>
      <w:r w:rsidR="0096130F" w:rsidRPr="003150F1">
        <w:t>use in practice.</w:t>
      </w:r>
    </w:p>
    <w:p w:rsidR="00074D4A" w:rsidRPr="008D6B70" w:rsidRDefault="00074D4A" w:rsidP="00393C26">
      <w:pPr>
        <w:pStyle w:val="TableHeading1"/>
      </w:pPr>
      <w:r w:rsidRPr="008D6B70">
        <w:t>Table 4: Results of progression free survival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113"/>
        <w:gridCol w:w="1113"/>
        <w:gridCol w:w="1109"/>
        <w:gridCol w:w="1135"/>
        <w:gridCol w:w="1096"/>
        <w:gridCol w:w="1113"/>
        <w:gridCol w:w="1113"/>
      </w:tblGrid>
      <w:tr w:rsidR="00380DD1" w:rsidRPr="008D6B70" w:rsidTr="00393C26">
        <w:tc>
          <w:tcPr>
            <w:tcW w:w="784" w:type="pct"/>
            <w:vMerge w:val="restart"/>
          </w:tcPr>
          <w:p w:rsidR="00380DD1" w:rsidRPr="008D6B70" w:rsidRDefault="00380DD1" w:rsidP="00555AE1">
            <w:pPr>
              <w:pStyle w:val="TableText"/>
              <w:keepNext w:val="0"/>
              <w:spacing w:before="0" w:after="0"/>
              <w:rPr>
                <w:b/>
                <w:szCs w:val="20"/>
              </w:rPr>
            </w:pPr>
            <w:r w:rsidRPr="008D6B70">
              <w:rPr>
                <w:b/>
                <w:szCs w:val="20"/>
              </w:rPr>
              <w:t>CASTOR</w:t>
            </w:r>
          </w:p>
        </w:tc>
        <w:tc>
          <w:tcPr>
            <w:tcW w:w="1204" w:type="pct"/>
            <w:gridSpan w:val="2"/>
          </w:tcPr>
          <w:p w:rsidR="00380DD1" w:rsidRPr="008D6B70" w:rsidRDefault="00380DD1" w:rsidP="00393C26">
            <w:pPr>
              <w:pStyle w:val="TableText"/>
              <w:keepNext w:val="0"/>
              <w:spacing w:before="0" w:after="0"/>
              <w:jc w:val="center"/>
              <w:rPr>
                <w:b/>
                <w:szCs w:val="20"/>
              </w:rPr>
            </w:pPr>
            <w:r w:rsidRPr="008D6B70">
              <w:rPr>
                <w:b/>
                <w:szCs w:val="20"/>
              </w:rPr>
              <w:t>DBd, N=</w:t>
            </w:r>
            <w:r w:rsidRPr="005C7A06">
              <w:rPr>
                <w:b/>
                <w:szCs w:val="20"/>
              </w:rPr>
              <w:t>251</w:t>
            </w:r>
          </w:p>
        </w:tc>
        <w:tc>
          <w:tcPr>
            <w:tcW w:w="1214" w:type="pct"/>
            <w:gridSpan w:val="2"/>
          </w:tcPr>
          <w:p w:rsidR="00380DD1" w:rsidRPr="008D6B70" w:rsidRDefault="00380DD1" w:rsidP="00393C26">
            <w:pPr>
              <w:pStyle w:val="TableText"/>
              <w:keepNext w:val="0"/>
              <w:spacing w:before="0" w:after="0"/>
              <w:jc w:val="center"/>
              <w:rPr>
                <w:b/>
                <w:szCs w:val="20"/>
              </w:rPr>
            </w:pPr>
            <w:r w:rsidRPr="008D6B70">
              <w:rPr>
                <w:b/>
                <w:szCs w:val="20"/>
              </w:rPr>
              <w:t>Bd,</w:t>
            </w:r>
            <w:r>
              <w:rPr>
                <w:b/>
                <w:szCs w:val="20"/>
              </w:rPr>
              <w:t xml:space="preserve"> </w:t>
            </w:r>
            <w:r w:rsidRPr="008D6B70">
              <w:rPr>
                <w:b/>
                <w:szCs w:val="20"/>
              </w:rPr>
              <w:t>N=</w:t>
            </w:r>
            <w:r w:rsidRPr="005C7A06">
              <w:rPr>
                <w:b/>
                <w:szCs w:val="20"/>
              </w:rPr>
              <w:t>247</w:t>
            </w:r>
          </w:p>
        </w:tc>
        <w:tc>
          <w:tcPr>
            <w:tcW w:w="593" w:type="pct"/>
            <w:vMerge w:val="restart"/>
          </w:tcPr>
          <w:p w:rsidR="00380DD1" w:rsidRPr="008D6B70" w:rsidRDefault="00380DD1" w:rsidP="00555AE1">
            <w:pPr>
              <w:pStyle w:val="TableText"/>
              <w:spacing w:before="0" w:after="0"/>
              <w:rPr>
                <w:b/>
                <w:szCs w:val="20"/>
              </w:rPr>
            </w:pPr>
            <w:r>
              <w:rPr>
                <w:b/>
                <w:szCs w:val="20"/>
              </w:rPr>
              <w:t>M</w:t>
            </w:r>
            <w:r w:rsidRPr="008D6B70">
              <w:rPr>
                <w:b/>
                <w:szCs w:val="20"/>
              </w:rPr>
              <w:t>edian</w:t>
            </w:r>
            <w:r>
              <w:rPr>
                <w:b/>
                <w:szCs w:val="20"/>
              </w:rPr>
              <w:t xml:space="preserve"> difference</w:t>
            </w:r>
          </w:p>
        </w:tc>
        <w:tc>
          <w:tcPr>
            <w:tcW w:w="602" w:type="pct"/>
            <w:vMerge w:val="restart"/>
          </w:tcPr>
          <w:p w:rsidR="00380DD1" w:rsidRPr="008D6B70" w:rsidRDefault="00380DD1" w:rsidP="00555AE1">
            <w:pPr>
              <w:pStyle w:val="TableText"/>
              <w:spacing w:before="0" w:after="0"/>
              <w:rPr>
                <w:b/>
                <w:szCs w:val="20"/>
              </w:rPr>
            </w:pPr>
            <w:r w:rsidRPr="008D6B70">
              <w:rPr>
                <w:b/>
                <w:szCs w:val="20"/>
              </w:rPr>
              <w:t>P value (log rank test)</w:t>
            </w:r>
          </w:p>
        </w:tc>
        <w:tc>
          <w:tcPr>
            <w:tcW w:w="602" w:type="pct"/>
            <w:vMerge w:val="restart"/>
          </w:tcPr>
          <w:p w:rsidR="00380DD1" w:rsidRPr="008D6B70" w:rsidRDefault="00380DD1" w:rsidP="00555AE1">
            <w:pPr>
              <w:pStyle w:val="TableText"/>
              <w:spacing w:before="0" w:after="0"/>
              <w:rPr>
                <w:b/>
                <w:szCs w:val="20"/>
              </w:rPr>
            </w:pPr>
            <w:r w:rsidRPr="008D6B70">
              <w:rPr>
                <w:b/>
                <w:szCs w:val="20"/>
              </w:rPr>
              <w:t>Hazard ratio (95% CI)</w:t>
            </w:r>
          </w:p>
        </w:tc>
      </w:tr>
      <w:tr w:rsidR="00380DD1" w:rsidRPr="008D6B70" w:rsidTr="00393C26">
        <w:tc>
          <w:tcPr>
            <w:tcW w:w="784" w:type="pct"/>
            <w:vMerge/>
          </w:tcPr>
          <w:p w:rsidR="00380DD1" w:rsidRPr="008D6B70" w:rsidRDefault="00380DD1" w:rsidP="00555AE1">
            <w:pPr>
              <w:pStyle w:val="TableText"/>
              <w:keepNext w:val="0"/>
              <w:spacing w:before="0" w:after="0"/>
              <w:rPr>
                <w:szCs w:val="20"/>
              </w:rPr>
            </w:pPr>
          </w:p>
        </w:tc>
        <w:tc>
          <w:tcPr>
            <w:tcW w:w="602" w:type="pct"/>
          </w:tcPr>
          <w:p w:rsidR="00380DD1" w:rsidRPr="008D6B70" w:rsidRDefault="00380DD1" w:rsidP="00555AE1">
            <w:pPr>
              <w:pStyle w:val="TableText"/>
              <w:keepNext w:val="0"/>
              <w:spacing w:before="0" w:after="0"/>
              <w:rPr>
                <w:szCs w:val="20"/>
              </w:rPr>
            </w:pPr>
            <w:r w:rsidRPr="008D6B70">
              <w:rPr>
                <w:b/>
                <w:szCs w:val="20"/>
              </w:rPr>
              <w:t>n/N with event (%)</w:t>
            </w:r>
          </w:p>
        </w:tc>
        <w:tc>
          <w:tcPr>
            <w:tcW w:w="602" w:type="pct"/>
          </w:tcPr>
          <w:p w:rsidR="00380DD1" w:rsidRPr="008D6B70" w:rsidRDefault="00380DD1" w:rsidP="00555AE1">
            <w:pPr>
              <w:pStyle w:val="TableText"/>
              <w:keepNext w:val="0"/>
              <w:spacing w:before="0" w:after="0"/>
              <w:rPr>
                <w:szCs w:val="20"/>
              </w:rPr>
            </w:pPr>
            <w:r w:rsidRPr="008D6B70">
              <w:rPr>
                <w:b/>
                <w:szCs w:val="20"/>
              </w:rPr>
              <w:t>Median</w:t>
            </w:r>
            <w:r w:rsidR="00050E71">
              <w:rPr>
                <w:b/>
                <w:szCs w:val="20"/>
              </w:rPr>
              <w:t>, months</w:t>
            </w:r>
            <w:r w:rsidRPr="008D6B70">
              <w:rPr>
                <w:b/>
                <w:szCs w:val="20"/>
              </w:rPr>
              <w:t xml:space="preserve"> (95% CI)</w:t>
            </w:r>
          </w:p>
        </w:tc>
        <w:tc>
          <w:tcPr>
            <w:tcW w:w="600" w:type="pct"/>
          </w:tcPr>
          <w:p w:rsidR="00380DD1" w:rsidRPr="008D6B70" w:rsidRDefault="00380DD1" w:rsidP="00555AE1">
            <w:pPr>
              <w:pStyle w:val="TableText"/>
              <w:keepNext w:val="0"/>
              <w:spacing w:before="0" w:after="0"/>
              <w:rPr>
                <w:szCs w:val="20"/>
              </w:rPr>
            </w:pPr>
            <w:r w:rsidRPr="008D6B70">
              <w:rPr>
                <w:b/>
                <w:szCs w:val="20"/>
              </w:rPr>
              <w:t>n/N with event (%)</w:t>
            </w:r>
          </w:p>
        </w:tc>
        <w:tc>
          <w:tcPr>
            <w:tcW w:w="614" w:type="pct"/>
          </w:tcPr>
          <w:p w:rsidR="00380DD1" w:rsidRDefault="00380DD1" w:rsidP="00555AE1">
            <w:pPr>
              <w:pStyle w:val="TableText"/>
              <w:keepNext w:val="0"/>
              <w:spacing w:before="0" w:after="0"/>
              <w:rPr>
                <w:b/>
                <w:szCs w:val="20"/>
              </w:rPr>
            </w:pPr>
            <w:r w:rsidRPr="008D6B70">
              <w:rPr>
                <w:b/>
                <w:szCs w:val="20"/>
              </w:rPr>
              <w:t>Median</w:t>
            </w:r>
            <w:r w:rsidR="00050E71">
              <w:rPr>
                <w:b/>
                <w:szCs w:val="20"/>
              </w:rPr>
              <w:t>, months</w:t>
            </w:r>
          </w:p>
          <w:p w:rsidR="00380DD1" w:rsidRPr="008D6B70" w:rsidRDefault="00380DD1" w:rsidP="00555AE1">
            <w:pPr>
              <w:pStyle w:val="TableText"/>
              <w:keepNext w:val="0"/>
              <w:spacing w:before="0" w:after="0"/>
              <w:rPr>
                <w:szCs w:val="20"/>
              </w:rPr>
            </w:pPr>
            <w:r w:rsidRPr="008D6B70">
              <w:rPr>
                <w:b/>
                <w:szCs w:val="20"/>
              </w:rPr>
              <w:t>(95% CI)</w:t>
            </w:r>
          </w:p>
        </w:tc>
        <w:tc>
          <w:tcPr>
            <w:tcW w:w="593" w:type="pct"/>
            <w:vMerge/>
          </w:tcPr>
          <w:p w:rsidR="00380DD1" w:rsidRPr="008D6B70" w:rsidRDefault="00380DD1" w:rsidP="00555AE1">
            <w:pPr>
              <w:pStyle w:val="TableText"/>
              <w:keepNext w:val="0"/>
              <w:spacing w:before="0" w:after="0"/>
              <w:rPr>
                <w:szCs w:val="20"/>
              </w:rPr>
            </w:pPr>
          </w:p>
        </w:tc>
        <w:tc>
          <w:tcPr>
            <w:tcW w:w="602" w:type="pct"/>
            <w:vMerge/>
          </w:tcPr>
          <w:p w:rsidR="00380DD1" w:rsidRPr="008D6B70" w:rsidRDefault="00380DD1" w:rsidP="00555AE1">
            <w:pPr>
              <w:pStyle w:val="TableText"/>
              <w:keepNext w:val="0"/>
              <w:spacing w:before="0" w:after="0"/>
              <w:rPr>
                <w:szCs w:val="20"/>
              </w:rPr>
            </w:pPr>
          </w:p>
        </w:tc>
        <w:tc>
          <w:tcPr>
            <w:tcW w:w="602" w:type="pct"/>
            <w:vMerge/>
          </w:tcPr>
          <w:p w:rsidR="00380DD1" w:rsidRPr="008D6B70" w:rsidRDefault="00380DD1" w:rsidP="00555AE1">
            <w:pPr>
              <w:pStyle w:val="TableText"/>
              <w:keepNext w:val="0"/>
              <w:spacing w:before="0" w:after="0"/>
              <w:rPr>
                <w:szCs w:val="20"/>
              </w:rPr>
            </w:pPr>
          </w:p>
        </w:tc>
      </w:tr>
      <w:tr w:rsidR="00380DD1" w:rsidRPr="008D6B70" w:rsidTr="00393C26">
        <w:tc>
          <w:tcPr>
            <w:tcW w:w="784" w:type="pct"/>
          </w:tcPr>
          <w:p w:rsidR="00380DD1" w:rsidRPr="008D6B70" w:rsidRDefault="00380DD1" w:rsidP="00555AE1">
            <w:pPr>
              <w:pStyle w:val="TableText"/>
              <w:keepNext w:val="0"/>
              <w:spacing w:before="0" w:after="0"/>
              <w:rPr>
                <w:szCs w:val="20"/>
              </w:rPr>
            </w:pPr>
            <w:r w:rsidRPr="008D6B70">
              <w:rPr>
                <w:szCs w:val="20"/>
              </w:rPr>
              <w:t>Initial follow-up: Computer Algorithm</w:t>
            </w:r>
            <w:r w:rsidRPr="008D6B70">
              <w:rPr>
                <w:szCs w:val="20"/>
                <w:vertAlign w:val="superscript"/>
              </w:rPr>
              <w:t>a,c</w:t>
            </w:r>
          </w:p>
        </w:tc>
        <w:tc>
          <w:tcPr>
            <w:tcW w:w="602" w:type="pct"/>
          </w:tcPr>
          <w:p w:rsidR="00380DD1" w:rsidRPr="008D6B70" w:rsidRDefault="00380DD1" w:rsidP="00555AE1">
            <w:pPr>
              <w:pStyle w:val="TableText"/>
              <w:keepNext w:val="0"/>
              <w:spacing w:before="0" w:after="0"/>
              <w:rPr>
                <w:szCs w:val="20"/>
              </w:rPr>
            </w:pPr>
            <w:r w:rsidRPr="008D6B70">
              <w:rPr>
                <w:szCs w:val="20"/>
              </w:rPr>
              <w:t>67 (26.7)</w:t>
            </w:r>
          </w:p>
        </w:tc>
        <w:tc>
          <w:tcPr>
            <w:tcW w:w="602" w:type="pct"/>
          </w:tcPr>
          <w:p w:rsidR="00380DD1" w:rsidRDefault="00380DD1" w:rsidP="00555AE1">
            <w:pPr>
              <w:pStyle w:val="TableText"/>
              <w:keepNext w:val="0"/>
              <w:spacing w:before="0" w:after="0"/>
              <w:rPr>
                <w:szCs w:val="20"/>
              </w:rPr>
            </w:pPr>
            <w:r w:rsidRPr="008D6B70">
              <w:rPr>
                <w:szCs w:val="20"/>
              </w:rPr>
              <w:t xml:space="preserve">NE </w:t>
            </w:r>
          </w:p>
          <w:p w:rsidR="00380DD1" w:rsidRPr="008D6B70" w:rsidRDefault="00380DD1" w:rsidP="00555AE1">
            <w:pPr>
              <w:pStyle w:val="TableText"/>
              <w:keepNext w:val="0"/>
              <w:spacing w:before="0" w:after="0"/>
              <w:rPr>
                <w:szCs w:val="20"/>
              </w:rPr>
            </w:pPr>
            <w:r w:rsidRPr="008D6B70">
              <w:rPr>
                <w:szCs w:val="20"/>
              </w:rPr>
              <w:t>(12.25. NE)</w:t>
            </w:r>
          </w:p>
        </w:tc>
        <w:tc>
          <w:tcPr>
            <w:tcW w:w="600" w:type="pct"/>
          </w:tcPr>
          <w:p w:rsidR="00380DD1" w:rsidRPr="008D6B70" w:rsidRDefault="00380DD1" w:rsidP="00555AE1">
            <w:pPr>
              <w:pStyle w:val="TableText"/>
              <w:keepNext w:val="0"/>
              <w:spacing w:before="0" w:after="0"/>
              <w:rPr>
                <w:szCs w:val="20"/>
              </w:rPr>
            </w:pPr>
            <w:r w:rsidRPr="008D6B70">
              <w:rPr>
                <w:szCs w:val="20"/>
              </w:rPr>
              <w:t>122 (49.4)</w:t>
            </w:r>
          </w:p>
        </w:tc>
        <w:tc>
          <w:tcPr>
            <w:tcW w:w="614" w:type="pct"/>
          </w:tcPr>
          <w:p w:rsidR="00380DD1" w:rsidRDefault="00380DD1" w:rsidP="00555AE1">
            <w:pPr>
              <w:pStyle w:val="TableText"/>
              <w:keepNext w:val="0"/>
              <w:spacing w:before="0" w:after="0"/>
              <w:rPr>
                <w:szCs w:val="20"/>
              </w:rPr>
            </w:pPr>
            <w:r w:rsidRPr="008D6B70">
              <w:rPr>
                <w:szCs w:val="20"/>
              </w:rPr>
              <w:t xml:space="preserve">7.16 </w:t>
            </w:r>
          </w:p>
          <w:p w:rsidR="00380DD1" w:rsidRPr="008D6B70" w:rsidRDefault="00380DD1" w:rsidP="00555AE1">
            <w:pPr>
              <w:pStyle w:val="TableText"/>
              <w:keepNext w:val="0"/>
              <w:spacing w:before="0" w:after="0"/>
              <w:rPr>
                <w:szCs w:val="20"/>
              </w:rPr>
            </w:pPr>
            <w:r w:rsidRPr="008D6B70">
              <w:rPr>
                <w:szCs w:val="20"/>
              </w:rPr>
              <w:t>(6.21, 7.85)</w:t>
            </w:r>
          </w:p>
        </w:tc>
        <w:tc>
          <w:tcPr>
            <w:tcW w:w="593" w:type="pct"/>
          </w:tcPr>
          <w:p w:rsidR="00380DD1" w:rsidRPr="008D6B70" w:rsidRDefault="00380DD1" w:rsidP="00555AE1">
            <w:pPr>
              <w:pStyle w:val="TableText"/>
              <w:keepNext w:val="0"/>
              <w:spacing w:before="0" w:after="0"/>
              <w:rPr>
                <w:szCs w:val="20"/>
              </w:rPr>
            </w:pPr>
            <w:r w:rsidRPr="008D6B70">
              <w:rPr>
                <w:szCs w:val="20"/>
              </w:rPr>
              <w:t>NE</w:t>
            </w:r>
          </w:p>
        </w:tc>
        <w:tc>
          <w:tcPr>
            <w:tcW w:w="602" w:type="pct"/>
          </w:tcPr>
          <w:p w:rsidR="00380DD1" w:rsidRPr="008D6B70" w:rsidRDefault="00380DD1" w:rsidP="00555AE1">
            <w:pPr>
              <w:pStyle w:val="TableText"/>
              <w:keepNext w:val="0"/>
              <w:spacing w:before="0" w:after="0"/>
              <w:rPr>
                <w:szCs w:val="20"/>
              </w:rPr>
            </w:pPr>
            <w:r w:rsidRPr="008D6B70">
              <w:rPr>
                <w:szCs w:val="20"/>
              </w:rPr>
              <w:t>P&lt;0.0001</w:t>
            </w:r>
          </w:p>
        </w:tc>
        <w:tc>
          <w:tcPr>
            <w:tcW w:w="602" w:type="pct"/>
          </w:tcPr>
          <w:p w:rsidR="00380DD1" w:rsidRDefault="00380DD1" w:rsidP="00555AE1">
            <w:pPr>
              <w:pStyle w:val="TableText"/>
              <w:keepNext w:val="0"/>
              <w:spacing w:before="0" w:after="0"/>
              <w:rPr>
                <w:szCs w:val="20"/>
              </w:rPr>
            </w:pPr>
            <w:r w:rsidRPr="008D6B70">
              <w:rPr>
                <w:szCs w:val="20"/>
              </w:rPr>
              <w:t xml:space="preserve">0.39 </w:t>
            </w:r>
          </w:p>
          <w:p w:rsidR="00380DD1" w:rsidRPr="008D6B70" w:rsidRDefault="00380DD1" w:rsidP="00555AE1">
            <w:pPr>
              <w:pStyle w:val="TableText"/>
              <w:keepNext w:val="0"/>
              <w:spacing w:before="0" w:after="0"/>
              <w:rPr>
                <w:szCs w:val="20"/>
              </w:rPr>
            </w:pPr>
            <w:r w:rsidRPr="008D6B70">
              <w:rPr>
                <w:szCs w:val="20"/>
              </w:rPr>
              <w:t xml:space="preserve">(0.28, 0.53) </w:t>
            </w:r>
          </w:p>
        </w:tc>
      </w:tr>
      <w:tr w:rsidR="00380DD1" w:rsidRPr="008D6B70" w:rsidTr="00393C26">
        <w:tc>
          <w:tcPr>
            <w:tcW w:w="784" w:type="pct"/>
          </w:tcPr>
          <w:p w:rsidR="00380DD1" w:rsidRPr="008D6B70" w:rsidRDefault="00380DD1" w:rsidP="00555AE1">
            <w:pPr>
              <w:pStyle w:val="TableText"/>
              <w:keepNext w:val="0"/>
              <w:spacing w:before="0" w:after="0"/>
              <w:rPr>
                <w:szCs w:val="20"/>
              </w:rPr>
            </w:pPr>
            <w:r w:rsidRPr="008D6B70">
              <w:rPr>
                <w:szCs w:val="20"/>
              </w:rPr>
              <w:t>Initial follow-up: Investigator Assessed</w:t>
            </w:r>
            <w:r w:rsidRPr="008D6B70">
              <w:rPr>
                <w:szCs w:val="20"/>
                <w:vertAlign w:val="superscript"/>
              </w:rPr>
              <w:t xml:space="preserve"> a,d</w:t>
            </w:r>
          </w:p>
        </w:tc>
        <w:tc>
          <w:tcPr>
            <w:tcW w:w="602"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 '''''''''''''''</w:t>
            </w:r>
          </w:p>
        </w:tc>
        <w:tc>
          <w:tcPr>
            <w:tcW w:w="602"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 ''''''''''''''''' ''''''''''</w:t>
            </w:r>
          </w:p>
        </w:tc>
        <w:tc>
          <w:tcPr>
            <w:tcW w:w="600"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 ''''''''''''''</w:t>
            </w:r>
          </w:p>
        </w:tc>
        <w:tc>
          <w:tcPr>
            <w:tcW w:w="614"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 xml:space="preserve">''''''''''' </w:t>
            </w:r>
          </w:p>
          <w:p w:rsidR="00380DD1" w:rsidRPr="000A7F1F" w:rsidRDefault="000A7F1F" w:rsidP="00555AE1">
            <w:pPr>
              <w:pStyle w:val="TableText"/>
              <w:keepNext w:val="0"/>
              <w:spacing w:before="0" w:after="0"/>
              <w:rPr>
                <w:szCs w:val="20"/>
                <w:highlight w:val="black"/>
              </w:rPr>
            </w:pPr>
            <w:r>
              <w:rPr>
                <w:noProof/>
                <w:color w:val="000000"/>
                <w:szCs w:val="20"/>
                <w:highlight w:val="black"/>
              </w:rPr>
              <w:t xml:space="preserve">'''''''''''''' ''''''''''''' </w:t>
            </w:r>
          </w:p>
        </w:tc>
        <w:tc>
          <w:tcPr>
            <w:tcW w:w="593"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 xml:space="preserve">'''''''''' </w:t>
            </w:r>
          </w:p>
        </w:tc>
        <w:tc>
          <w:tcPr>
            <w:tcW w:w="602"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w:t>
            </w:r>
          </w:p>
        </w:tc>
        <w:tc>
          <w:tcPr>
            <w:tcW w:w="602" w:type="pct"/>
          </w:tcPr>
          <w:p w:rsidR="00380DD1" w:rsidRPr="000A7F1F" w:rsidRDefault="000A7F1F" w:rsidP="00555AE1">
            <w:pPr>
              <w:pStyle w:val="TableText"/>
              <w:keepNext w:val="0"/>
              <w:spacing w:before="0" w:after="0"/>
              <w:rPr>
                <w:szCs w:val="20"/>
                <w:highlight w:val="black"/>
              </w:rPr>
            </w:pPr>
            <w:r>
              <w:rPr>
                <w:noProof/>
                <w:color w:val="000000"/>
                <w:szCs w:val="20"/>
                <w:highlight w:val="black"/>
              </w:rPr>
              <w:t xml:space="preserve">''''''''''' </w:t>
            </w:r>
          </w:p>
          <w:p w:rsidR="00380DD1" w:rsidRPr="000A7F1F" w:rsidRDefault="000A7F1F" w:rsidP="00555AE1">
            <w:pPr>
              <w:pStyle w:val="TableText"/>
              <w:keepNext w:val="0"/>
              <w:spacing w:before="0" w:after="0"/>
              <w:rPr>
                <w:szCs w:val="20"/>
                <w:highlight w:val="black"/>
              </w:rPr>
            </w:pPr>
            <w:r>
              <w:rPr>
                <w:noProof/>
                <w:color w:val="000000"/>
                <w:szCs w:val="20"/>
                <w:highlight w:val="black"/>
              </w:rPr>
              <w:t xml:space="preserve">'''''''''''''' ''''''''''''' </w:t>
            </w:r>
          </w:p>
        </w:tc>
      </w:tr>
      <w:tr w:rsidR="00380DD1" w:rsidRPr="008D6B70" w:rsidTr="00393C26">
        <w:tc>
          <w:tcPr>
            <w:tcW w:w="784" w:type="pct"/>
          </w:tcPr>
          <w:p w:rsidR="00380DD1" w:rsidRPr="008D6B70" w:rsidRDefault="00380DD1" w:rsidP="00555AE1">
            <w:pPr>
              <w:pStyle w:val="TableText"/>
              <w:keepNext w:val="0"/>
              <w:spacing w:before="0" w:after="0"/>
              <w:rPr>
                <w:szCs w:val="20"/>
              </w:rPr>
            </w:pPr>
            <w:r w:rsidRPr="008D6B70">
              <w:rPr>
                <w:szCs w:val="20"/>
              </w:rPr>
              <w:t>Subsequent follow-up: Computer Algorithm</w:t>
            </w:r>
            <w:r w:rsidRPr="008D6B70">
              <w:rPr>
                <w:szCs w:val="20"/>
                <w:vertAlign w:val="superscript"/>
              </w:rPr>
              <w:t>b,c</w:t>
            </w:r>
          </w:p>
        </w:tc>
        <w:tc>
          <w:tcPr>
            <w:tcW w:w="602" w:type="pct"/>
          </w:tcPr>
          <w:p w:rsidR="00380DD1" w:rsidRPr="008D6B70" w:rsidRDefault="00380DD1" w:rsidP="00555AE1">
            <w:pPr>
              <w:pStyle w:val="TableText"/>
              <w:keepNext w:val="0"/>
              <w:spacing w:before="0" w:after="0"/>
              <w:rPr>
                <w:szCs w:val="20"/>
              </w:rPr>
            </w:pPr>
            <w:r w:rsidRPr="008D6B70">
              <w:rPr>
                <w:szCs w:val="20"/>
              </w:rPr>
              <w:t>100 (39.8)</w:t>
            </w:r>
          </w:p>
        </w:tc>
        <w:tc>
          <w:tcPr>
            <w:tcW w:w="602" w:type="pct"/>
          </w:tcPr>
          <w:p w:rsidR="00380DD1" w:rsidRDefault="00380DD1" w:rsidP="00555AE1">
            <w:pPr>
              <w:pStyle w:val="TableText"/>
              <w:keepNext w:val="0"/>
              <w:spacing w:before="0" w:after="0"/>
              <w:rPr>
                <w:szCs w:val="20"/>
              </w:rPr>
            </w:pPr>
            <w:r w:rsidRPr="008D6B70">
              <w:rPr>
                <w:szCs w:val="20"/>
              </w:rPr>
              <w:t xml:space="preserve">NE </w:t>
            </w:r>
          </w:p>
          <w:p w:rsidR="00380DD1" w:rsidRPr="008D6B70" w:rsidRDefault="00380DD1" w:rsidP="00555AE1">
            <w:pPr>
              <w:pStyle w:val="TableText"/>
              <w:keepNext w:val="0"/>
              <w:spacing w:before="0" w:after="0"/>
              <w:rPr>
                <w:szCs w:val="20"/>
              </w:rPr>
            </w:pPr>
            <w:r w:rsidRPr="008D6B70">
              <w:rPr>
                <w:szCs w:val="20"/>
              </w:rPr>
              <w:t>(12.6, NE)</w:t>
            </w:r>
          </w:p>
        </w:tc>
        <w:tc>
          <w:tcPr>
            <w:tcW w:w="600" w:type="pct"/>
          </w:tcPr>
          <w:p w:rsidR="00380DD1" w:rsidRPr="008D6B70" w:rsidRDefault="00380DD1" w:rsidP="00555AE1">
            <w:pPr>
              <w:pStyle w:val="TableText"/>
              <w:keepNext w:val="0"/>
              <w:spacing w:before="0" w:after="0"/>
              <w:rPr>
                <w:szCs w:val="20"/>
              </w:rPr>
            </w:pPr>
            <w:r w:rsidRPr="008D6B70">
              <w:rPr>
                <w:szCs w:val="20"/>
              </w:rPr>
              <w:t>177 (71.7)</w:t>
            </w:r>
          </w:p>
        </w:tc>
        <w:tc>
          <w:tcPr>
            <w:tcW w:w="614" w:type="pct"/>
          </w:tcPr>
          <w:p w:rsidR="00380DD1" w:rsidRDefault="00380DD1" w:rsidP="00555AE1">
            <w:pPr>
              <w:pStyle w:val="TableText"/>
              <w:keepNext w:val="0"/>
              <w:spacing w:before="0" w:after="0"/>
              <w:rPr>
                <w:szCs w:val="20"/>
              </w:rPr>
            </w:pPr>
            <w:r w:rsidRPr="008D6B70">
              <w:rPr>
                <w:szCs w:val="20"/>
              </w:rPr>
              <w:t xml:space="preserve">7.1 </w:t>
            </w:r>
          </w:p>
          <w:p w:rsidR="00380DD1" w:rsidRPr="008D6B70" w:rsidRDefault="00380DD1" w:rsidP="00555AE1">
            <w:pPr>
              <w:pStyle w:val="TableText"/>
              <w:keepNext w:val="0"/>
              <w:spacing w:before="0" w:after="0"/>
              <w:rPr>
                <w:szCs w:val="20"/>
              </w:rPr>
            </w:pPr>
            <w:r w:rsidRPr="008D6B70">
              <w:rPr>
                <w:szCs w:val="20"/>
              </w:rPr>
              <w:t>(6.2, 7.7)</w:t>
            </w:r>
          </w:p>
        </w:tc>
        <w:tc>
          <w:tcPr>
            <w:tcW w:w="593" w:type="pct"/>
          </w:tcPr>
          <w:p w:rsidR="00380DD1" w:rsidRPr="008D6B70" w:rsidRDefault="00380DD1" w:rsidP="00555AE1">
            <w:pPr>
              <w:pStyle w:val="TableText"/>
              <w:keepNext w:val="0"/>
              <w:spacing w:before="0" w:after="0"/>
              <w:rPr>
                <w:szCs w:val="20"/>
              </w:rPr>
            </w:pPr>
            <w:r w:rsidRPr="008D6B70">
              <w:rPr>
                <w:szCs w:val="20"/>
              </w:rPr>
              <w:t>NE</w:t>
            </w:r>
          </w:p>
        </w:tc>
        <w:tc>
          <w:tcPr>
            <w:tcW w:w="602" w:type="pct"/>
          </w:tcPr>
          <w:p w:rsidR="00380DD1" w:rsidRPr="008D6B70" w:rsidRDefault="00380DD1" w:rsidP="00555AE1">
            <w:pPr>
              <w:pStyle w:val="TableText"/>
              <w:keepNext w:val="0"/>
              <w:spacing w:before="0" w:after="0"/>
              <w:rPr>
                <w:szCs w:val="20"/>
              </w:rPr>
            </w:pPr>
            <w:r w:rsidRPr="008D6B70">
              <w:rPr>
                <w:szCs w:val="20"/>
              </w:rPr>
              <w:t>P&lt;0.0001</w:t>
            </w:r>
          </w:p>
        </w:tc>
        <w:tc>
          <w:tcPr>
            <w:tcW w:w="602" w:type="pct"/>
          </w:tcPr>
          <w:p w:rsidR="00380DD1" w:rsidRDefault="00380DD1" w:rsidP="00555AE1">
            <w:pPr>
              <w:pStyle w:val="TableText"/>
              <w:keepNext w:val="0"/>
              <w:spacing w:before="0" w:after="0"/>
              <w:rPr>
                <w:szCs w:val="20"/>
              </w:rPr>
            </w:pPr>
            <w:r w:rsidRPr="008D6B70">
              <w:rPr>
                <w:szCs w:val="20"/>
              </w:rPr>
              <w:t xml:space="preserve">0.33 </w:t>
            </w:r>
          </w:p>
          <w:p w:rsidR="00380DD1" w:rsidRPr="008D6B70" w:rsidRDefault="00380DD1" w:rsidP="00555AE1">
            <w:pPr>
              <w:pStyle w:val="TableText"/>
              <w:keepNext w:val="0"/>
              <w:spacing w:before="0" w:after="0"/>
              <w:rPr>
                <w:szCs w:val="20"/>
              </w:rPr>
            </w:pPr>
            <w:r w:rsidRPr="008D6B70">
              <w:rPr>
                <w:szCs w:val="20"/>
              </w:rPr>
              <w:t xml:space="preserve">(0.26, 0.43) </w:t>
            </w:r>
          </w:p>
        </w:tc>
      </w:tr>
      <w:tr w:rsidR="00380DD1" w:rsidRPr="008D6B70" w:rsidTr="000E2502">
        <w:tc>
          <w:tcPr>
            <w:tcW w:w="784" w:type="pct"/>
            <w:vMerge w:val="restart"/>
          </w:tcPr>
          <w:p w:rsidR="00380DD1" w:rsidRPr="008D6B70" w:rsidRDefault="00380DD1" w:rsidP="00555AE1">
            <w:pPr>
              <w:pStyle w:val="TableText"/>
              <w:spacing w:before="0" w:after="0"/>
              <w:rPr>
                <w:b/>
                <w:szCs w:val="20"/>
              </w:rPr>
            </w:pPr>
            <w:r w:rsidRPr="008D6B70">
              <w:rPr>
                <w:b/>
                <w:szCs w:val="20"/>
              </w:rPr>
              <w:t>POLLUX</w:t>
            </w:r>
          </w:p>
        </w:tc>
        <w:tc>
          <w:tcPr>
            <w:tcW w:w="1204" w:type="pct"/>
            <w:gridSpan w:val="2"/>
          </w:tcPr>
          <w:p w:rsidR="00380DD1" w:rsidRPr="008D6B70" w:rsidRDefault="00380DD1" w:rsidP="00393C26">
            <w:pPr>
              <w:pStyle w:val="TableText"/>
              <w:keepNext w:val="0"/>
              <w:spacing w:before="0" w:after="0"/>
              <w:jc w:val="center"/>
              <w:rPr>
                <w:b/>
                <w:szCs w:val="20"/>
              </w:rPr>
            </w:pPr>
            <w:r w:rsidRPr="008D6B70">
              <w:rPr>
                <w:b/>
                <w:szCs w:val="20"/>
              </w:rPr>
              <w:t>DLd, N=</w:t>
            </w:r>
            <w:r w:rsidRPr="005C7A06">
              <w:rPr>
                <w:b/>
                <w:szCs w:val="20"/>
              </w:rPr>
              <w:t>286</w:t>
            </w:r>
          </w:p>
        </w:tc>
        <w:tc>
          <w:tcPr>
            <w:tcW w:w="1214" w:type="pct"/>
            <w:gridSpan w:val="2"/>
          </w:tcPr>
          <w:p w:rsidR="00380DD1" w:rsidRPr="008D6B70" w:rsidRDefault="00380DD1" w:rsidP="00393C26">
            <w:pPr>
              <w:pStyle w:val="TableText"/>
              <w:keepNext w:val="0"/>
              <w:spacing w:before="0" w:after="0"/>
              <w:jc w:val="center"/>
              <w:rPr>
                <w:b/>
                <w:szCs w:val="20"/>
              </w:rPr>
            </w:pPr>
            <w:r w:rsidRPr="008D6B70">
              <w:rPr>
                <w:b/>
                <w:szCs w:val="20"/>
              </w:rPr>
              <w:t>Ld, N=</w:t>
            </w:r>
            <w:r w:rsidRPr="005C7A06">
              <w:rPr>
                <w:b/>
                <w:szCs w:val="20"/>
              </w:rPr>
              <w:t>283</w:t>
            </w:r>
          </w:p>
        </w:tc>
        <w:tc>
          <w:tcPr>
            <w:tcW w:w="593" w:type="pct"/>
            <w:vMerge w:val="restart"/>
          </w:tcPr>
          <w:p w:rsidR="00380DD1" w:rsidRPr="008D6B70" w:rsidRDefault="00380DD1" w:rsidP="00393C26">
            <w:pPr>
              <w:pStyle w:val="TableText"/>
              <w:spacing w:before="0" w:after="0"/>
              <w:rPr>
                <w:b/>
                <w:szCs w:val="20"/>
              </w:rPr>
            </w:pPr>
            <w:r>
              <w:rPr>
                <w:b/>
                <w:szCs w:val="20"/>
              </w:rPr>
              <w:t>M</w:t>
            </w:r>
            <w:r w:rsidRPr="008D6B70">
              <w:rPr>
                <w:b/>
                <w:szCs w:val="20"/>
              </w:rPr>
              <w:t>edian</w:t>
            </w:r>
            <w:r>
              <w:rPr>
                <w:b/>
                <w:szCs w:val="20"/>
              </w:rPr>
              <w:t xml:space="preserve"> difference</w:t>
            </w:r>
            <w:r w:rsidR="00050E71">
              <w:rPr>
                <w:b/>
                <w:szCs w:val="20"/>
              </w:rPr>
              <w:t>, months</w:t>
            </w:r>
          </w:p>
        </w:tc>
        <w:tc>
          <w:tcPr>
            <w:tcW w:w="602" w:type="pct"/>
            <w:vMerge w:val="restart"/>
          </w:tcPr>
          <w:p w:rsidR="00380DD1" w:rsidRPr="008D6B70" w:rsidRDefault="00380DD1" w:rsidP="00393C26">
            <w:pPr>
              <w:pStyle w:val="TableText"/>
              <w:spacing w:before="0" w:after="0"/>
              <w:rPr>
                <w:b/>
                <w:szCs w:val="20"/>
              </w:rPr>
            </w:pPr>
            <w:r w:rsidRPr="008D6B70">
              <w:rPr>
                <w:b/>
                <w:szCs w:val="20"/>
              </w:rPr>
              <w:t>P value (log rank test)</w:t>
            </w:r>
          </w:p>
        </w:tc>
        <w:tc>
          <w:tcPr>
            <w:tcW w:w="602" w:type="pct"/>
            <w:vMerge w:val="restart"/>
          </w:tcPr>
          <w:p w:rsidR="00380DD1" w:rsidRPr="008D6B70" w:rsidRDefault="00380DD1" w:rsidP="00393C26">
            <w:pPr>
              <w:pStyle w:val="TableText"/>
              <w:spacing w:before="0" w:after="0"/>
              <w:rPr>
                <w:b/>
                <w:szCs w:val="20"/>
              </w:rPr>
            </w:pPr>
            <w:r w:rsidRPr="008D6B70">
              <w:rPr>
                <w:b/>
                <w:szCs w:val="20"/>
              </w:rPr>
              <w:t>Hazard ratio (95% CI)</w:t>
            </w:r>
          </w:p>
        </w:tc>
      </w:tr>
      <w:tr w:rsidR="00380DD1" w:rsidRPr="008D6B70" w:rsidTr="000E2502">
        <w:tc>
          <w:tcPr>
            <w:tcW w:w="784" w:type="pct"/>
            <w:vMerge/>
          </w:tcPr>
          <w:p w:rsidR="00380DD1" w:rsidRPr="008D6B70" w:rsidRDefault="00380DD1" w:rsidP="00555AE1">
            <w:pPr>
              <w:pStyle w:val="TableText"/>
              <w:keepNext w:val="0"/>
              <w:spacing w:before="0" w:after="0"/>
              <w:rPr>
                <w:b/>
                <w:szCs w:val="20"/>
                <w:vertAlign w:val="superscript"/>
              </w:rPr>
            </w:pPr>
          </w:p>
        </w:tc>
        <w:tc>
          <w:tcPr>
            <w:tcW w:w="602" w:type="pct"/>
          </w:tcPr>
          <w:p w:rsidR="00380DD1" w:rsidRPr="008D6B70" w:rsidRDefault="00380DD1" w:rsidP="00555AE1">
            <w:pPr>
              <w:pStyle w:val="TableText"/>
              <w:keepNext w:val="0"/>
              <w:spacing w:before="0" w:after="0"/>
              <w:rPr>
                <w:b/>
                <w:szCs w:val="20"/>
              </w:rPr>
            </w:pPr>
            <w:r w:rsidRPr="008D6B70">
              <w:rPr>
                <w:b/>
                <w:szCs w:val="20"/>
              </w:rPr>
              <w:t>n/N with event (%)</w:t>
            </w:r>
          </w:p>
        </w:tc>
        <w:tc>
          <w:tcPr>
            <w:tcW w:w="602" w:type="pct"/>
          </w:tcPr>
          <w:p w:rsidR="00380DD1" w:rsidRPr="008D6B70" w:rsidRDefault="00380DD1" w:rsidP="00555AE1">
            <w:pPr>
              <w:pStyle w:val="TableText"/>
              <w:keepNext w:val="0"/>
              <w:spacing w:before="0" w:after="0"/>
              <w:rPr>
                <w:b/>
                <w:szCs w:val="20"/>
              </w:rPr>
            </w:pPr>
            <w:r w:rsidRPr="008D6B70">
              <w:rPr>
                <w:b/>
                <w:szCs w:val="20"/>
              </w:rPr>
              <w:t>Median</w:t>
            </w:r>
            <w:r w:rsidR="00050E71">
              <w:rPr>
                <w:b/>
                <w:szCs w:val="20"/>
              </w:rPr>
              <w:t>, months</w:t>
            </w:r>
            <w:r w:rsidRPr="008D6B70">
              <w:rPr>
                <w:b/>
                <w:szCs w:val="20"/>
              </w:rPr>
              <w:t xml:space="preserve"> (95% CI)</w:t>
            </w:r>
          </w:p>
        </w:tc>
        <w:tc>
          <w:tcPr>
            <w:tcW w:w="600" w:type="pct"/>
          </w:tcPr>
          <w:p w:rsidR="00380DD1" w:rsidRPr="008D6B70" w:rsidRDefault="00380DD1" w:rsidP="00555AE1">
            <w:pPr>
              <w:pStyle w:val="TableText"/>
              <w:keepNext w:val="0"/>
              <w:spacing w:before="0" w:after="0"/>
              <w:rPr>
                <w:b/>
                <w:szCs w:val="20"/>
              </w:rPr>
            </w:pPr>
            <w:r w:rsidRPr="008D6B70">
              <w:rPr>
                <w:b/>
                <w:szCs w:val="20"/>
              </w:rPr>
              <w:t>n/N with event (%)</w:t>
            </w:r>
          </w:p>
        </w:tc>
        <w:tc>
          <w:tcPr>
            <w:tcW w:w="614" w:type="pct"/>
          </w:tcPr>
          <w:p w:rsidR="00380DD1" w:rsidRDefault="00380DD1" w:rsidP="000E2502">
            <w:pPr>
              <w:pStyle w:val="TableText"/>
              <w:keepNext w:val="0"/>
              <w:spacing w:before="0" w:after="0"/>
              <w:rPr>
                <w:b/>
                <w:szCs w:val="20"/>
              </w:rPr>
            </w:pPr>
            <w:r w:rsidRPr="008D6B70">
              <w:rPr>
                <w:b/>
                <w:szCs w:val="20"/>
              </w:rPr>
              <w:t>Median</w:t>
            </w:r>
            <w:r w:rsidR="00050E71">
              <w:rPr>
                <w:b/>
                <w:szCs w:val="20"/>
              </w:rPr>
              <w:t>, months</w:t>
            </w:r>
          </w:p>
          <w:p w:rsidR="00380DD1" w:rsidRPr="008D6B70" w:rsidRDefault="00380DD1" w:rsidP="00555AE1">
            <w:pPr>
              <w:pStyle w:val="TableText"/>
              <w:keepNext w:val="0"/>
              <w:spacing w:before="0" w:after="0"/>
              <w:rPr>
                <w:b/>
                <w:szCs w:val="20"/>
              </w:rPr>
            </w:pPr>
            <w:r w:rsidRPr="008D6B70">
              <w:rPr>
                <w:b/>
                <w:szCs w:val="20"/>
              </w:rPr>
              <w:t>(95% CI)</w:t>
            </w:r>
          </w:p>
        </w:tc>
        <w:tc>
          <w:tcPr>
            <w:tcW w:w="593" w:type="pct"/>
            <w:vMerge/>
          </w:tcPr>
          <w:p w:rsidR="00380DD1" w:rsidRPr="008D6B70" w:rsidRDefault="00380DD1" w:rsidP="00555AE1">
            <w:pPr>
              <w:pStyle w:val="TableText"/>
              <w:keepNext w:val="0"/>
              <w:keepLines/>
              <w:spacing w:before="0" w:after="0"/>
              <w:ind w:left="578" w:hanging="578"/>
              <w:outlineLvl w:val="1"/>
              <w:rPr>
                <w:b/>
                <w:szCs w:val="20"/>
              </w:rPr>
            </w:pPr>
          </w:p>
        </w:tc>
        <w:tc>
          <w:tcPr>
            <w:tcW w:w="602" w:type="pct"/>
            <w:vMerge/>
          </w:tcPr>
          <w:p w:rsidR="00380DD1" w:rsidRPr="008D6B70" w:rsidRDefault="00380DD1" w:rsidP="00555AE1">
            <w:pPr>
              <w:pStyle w:val="TableText"/>
              <w:keepNext w:val="0"/>
              <w:keepLines/>
              <w:spacing w:before="0" w:after="0"/>
              <w:ind w:left="578" w:hanging="578"/>
              <w:outlineLvl w:val="1"/>
              <w:rPr>
                <w:b/>
                <w:szCs w:val="20"/>
              </w:rPr>
            </w:pPr>
          </w:p>
        </w:tc>
        <w:tc>
          <w:tcPr>
            <w:tcW w:w="602" w:type="pct"/>
            <w:vMerge/>
          </w:tcPr>
          <w:p w:rsidR="00380DD1" w:rsidRPr="008D6B70" w:rsidRDefault="00380DD1" w:rsidP="00555AE1">
            <w:pPr>
              <w:pStyle w:val="TableText"/>
              <w:keepNext w:val="0"/>
              <w:keepLines/>
              <w:spacing w:before="0" w:after="0"/>
              <w:ind w:left="578" w:hanging="578"/>
              <w:outlineLvl w:val="1"/>
              <w:rPr>
                <w:b/>
                <w:szCs w:val="20"/>
              </w:rPr>
            </w:pPr>
          </w:p>
        </w:tc>
      </w:tr>
      <w:tr w:rsidR="00380DD1" w:rsidRPr="008D6B70" w:rsidTr="00393C26">
        <w:tc>
          <w:tcPr>
            <w:tcW w:w="784" w:type="pct"/>
          </w:tcPr>
          <w:p w:rsidR="00380DD1" w:rsidRPr="008D6B70" w:rsidRDefault="00380DD1" w:rsidP="00944253">
            <w:pPr>
              <w:pStyle w:val="TableText"/>
              <w:keepNext w:val="0"/>
              <w:spacing w:before="0" w:after="0"/>
              <w:rPr>
                <w:szCs w:val="20"/>
                <w:vertAlign w:val="superscript"/>
              </w:rPr>
            </w:pPr>
            <w:r w:rsidRPr="008D6B70">
              <w:rPr>
                <w:szCs w:val="20"/>
              </w:rPr>
              <w:t>Initial follow-up: Computer Algorithm</w:t>
            </w:r>
            <w:r w:rsidRPr="008D6B70">
              <w:rPr>
                <w:szCs w:val="20"/>
                <w:vertAlign w:val="superscript"/>
              </w:rPr>
              <w:t>a,c</w:t>
            </w:r>
            <w:r w:rsidRPr="008D6B70">
              <w:rPr>
                <w:szCs w:val="20"/>
              </w:rPr>
              <w:t xml:space="preserve"> </w:t>
            </w:r>
          </w:p>
        </w:tc>
        <w:tc>
          <w:tcPr>
            <w:tcW w:w="602" w:type="pct"/>
          </w:tcPr>
          <w:p w:rsidR="00380DD1" w:rsidRPr="008D6B70" w:rsidRDefault="00380DD1" w:rsidP="00A1438F">
            <w:pPr>
              <w:pStyle w:val="TableText"/>
              <w:keepNext w:val="0"/>
              <w:spacing w:before="0" w:after="0"/>
              <w:rPr>
                <w:rFonts w:eastAsia="Calibri" w:cs="Arial"/>
                <w:szCs w:val="20"/>
              </w:rPr>
            </w:pPr>
            <w:r w:rsidRPr="008D6B70">
              <w:rPr>
                <w:szCs w:val="20"/>
              </w:rPr>
              <w:t>53 (18.5)</w:t>
            </w:r>
          </w:p>
        </w:tc>
        <w:tc>
          <w:tcPr>
            <w:tcW w:w="602" w:type="pct"/>
          </w:tcPr>
          <w:p w:rsidR="00380DD1" w:rsidRDefault="00380DD1" w:rsidP="00A1438F">
            <w:pPr>
              <w:pStyle w:val="TableText"/>
              <w:keepNext w:val="0"/>
              <w:spacing w:before="0" w:after="0"/>
              <w:rPr>
                <w:szCs w:val="20"/>
              </w:rPr>
            </w:pPr>
            <w:r w:rsidRPr="008D6B70">
              <w:rPr>
                <w:szCs w:val="20"/>
              </w:rPr>
              <w:t xml:space="preserve">NE </w:t>
            </w:r>
          </w:p>
          <w:p w:rsidR="00380DD1" w:rsidRPr="008D6B70" w:rsidRDefault="00380DD1" w:rsidP="00A1438F">
            <w:pPr>
              <w:pStyle w:val="TableText"/>
              <w:keepNext w:val="0"/>
              <w:spacing w:before="0" w:after="0"/>
              <w:rPr>
                <w:rFonts w:eastAsia="Calibri" w:cs="Arial"/>
                <w:szCs w:val="20"/>
              </w:rPr>
            </w:pPr>
            <w:r w:rsidRPr="008D6B70">
              <w:rPr>
                <w:szCs w:val="20"/>
              </w:rPr>
              <w:t>(NE, NE)</w:t>
            </w:r>
          </w:p>
        </w:tc>
        <w:tc>
          <w:tcPr>
            <w:tcW w:w="600" w:type="pct"/>
          </w:tcPr>
          <w:p w:rsidR="00380DD1" w:rsidRPr="008D6B70" w:rsidRDefault="00380DD1" w:rsidP="00A1438F">
            <w:pPr>
              <w:pStyle w:val="TableText"/>
              <w:keepNext w:val="0"/>
              <w:spacing w:before="0" w:after="0"/>
              <w:rPr>
                <w:rFonts w:eastAsia="Calibri" w:cs="Arial"/>
                <w:szCs w:val="20"/>
              </w:rPr>
            </w:pPr>
            <w:r w:rsidRPr="008D6B70">
              <w:rPr>
                <w:szCs w:val="20"/>
              </w:rPr>
              <w:t>116 (41.0)</w:t>
            </w:r>
          </w:p>
        </w:tc>
        <w:tc>
          <w:tcPr>
            <w:tcW w:w="614" w:type="pct"/>
          </w:tcPr>
          <w:p w:rsidR="00380DD1" w:rsidRPr="008D6B70" w:rsidRDefault="00380DD1" w:rsidP="00A1438F">
            <w:pPr>
              <w:pStyle w:val="TableText"/>
              <w:keepNext w:val="0"/>
              <w:spacing w:before="0" w:after="0"/>
              <w:rPr>
                <w:szCs w:val="20"/>
              </w:rPr>
            </w:pPr>
            <w:r w:rsidRPr="008D6B70">
              <w:rPr>
                <w:szCs w:val="20"/>
              </w:rPr>
              <w:t>18.43 (13.86, NE)</w:t>
            </w:r>
          </w:p>
        </w:tc>
        <w:tc>
          <w:tcPr>
            <w:tcW w:w="593" w:type="pct"/>
          </w:tcPr>
          <w:p w:rsidR="00380DD1" w:rsidRPr="008D6B70" w:rsidRDefault="00380DD1" w:rsidP="00A1438F">
            <w:pPr>
              <w:pStyle w:val="TableText"/>
              <w:keepNext w:val="0"/>
              <w:spacing w:before="0" w:after="0"/>
              <w:rPr>
                <w:szCs w:val="20"/>
              </w:rPr>
            </w:pPr>
            <w:r w:rsidRPr="008D6B70">
              <w:rPr>
                <w:szCs w:val="20"/>
              </w:rPr>
              <w:t>NE</w:t>
            </w:r>
          </w:p>
        </w:tc>
        <w:tc>
          <w:tcPr>
            <w:tcW w:w="602" w:type="pct"/>
          </w:tcPr>
          <w:p w:rsidR="00380DD1" w:rsidRPr="008D6B70" w:rsidRDefault="00380DD1" w:rsidP="00A1438F">
            <w:pPr>
              <w:pStyle w:val="TableText"/>
              <w:keepNext w:val="0"/>
              <w:spacing w:before="0" w:after="0"/>
              <w:rPr>
                <w:szCs w:val="20"/>
              </w:rPr>
            </w:pPr>
            <w:r w:rsidRPr="008D6B70">
              <w:rPr>
                <w:szCs w:val="20"/>
              </w:rPr>
              <w:t>P&lt;0.0001</w:t>
            </w:r>
          </w:p>
        </w:tc>
        <w:tc>
          <w:tcPr>
            <w:tcW w:w="602" w:type="pct"/>
          </w:tcPr>
          <w:p w:rsidR="00380DD1" w:rsidRDefault="00380DD1" w:rsidP="00A1438F">
            <w:pPr>
              <w:pStyle w:val="TableText"/>
              <w:keepNext w:val="0"/>
              <w:spacing w:before="0" w:after="0"/>
              <w:rPr>
                <w:szCs w:val="20"/>
              </w:rPr>
            </w:pPr>
            <w:r w:rsidRPr="008D6B70">
              <w:rPr>
                <w:szCs w:val="20"/>
              </w:rPr>
              <w:t xml:space="preserve">0.37 </w:t>
            </w:r>
          </w:p>
          <w:p w:rsidR="00380DD1" w:rsidRPr="008D6B70" w:rsidRDefault="00380DD1" w:rsidP="00A1438F">
            <w:pPr>
              <w:pStyle w:val="TableText"/>
              <w:keepNext w:val="0"/>
              <w:spacing w:before="0" w:after="0"/>
              <w:rPr>
                <w:szCs w:val="20"/>
              </w:rPr>
            </w:pPr>
            <w:r w:rsidRPr="008D6B70">
              <w:rPr>
                <w:szCs w:val="20"/>
              </w:rPr>
              <w:t>(0.27, 0.52)</w:t>
            </w:r>
          </w:p>
        </w:tc>
      </w:tr>
      <w:tr w:rsidR="00380DD1" w:rsidRPr="008D6B70" w:rsidTr="00393C26">
        <w:trPr>
          <w:trHeight w:val="60"/>
        </w:trPr>
        <w:tc>
          <w:tcPr>
            <w:tcW w:w="784" w:type="pct"/>
          </w:tcPr>
          <w:p w:rsidR="00380DD1" w:rsidRPr="008D6B70" w:rsidRDefault="00380DD1" w:rsidP="00944253">
            <w:pPr>
              <w:pStyle w:val="TableText"/>
              <w:keepNext w:val="0"/>
              <w:spacing w:before="0" w:after="0"/>
              <w:rPr>
                <w:szCs w:val="20"/>
                <w:vertAlign w:val="superscript"/>
              </w:rPr>
            </w:pPr>
            <w:r w:rsidRPr="008D6B70">
              <w:rPr>
                <w:szCs w:val="20"/>
              </w:rPr>
              <w:t>Initial follow-up: Investigator Assessed</w:t>
            </w:r>
            <w:r w:rsidRPr="008D6B70">
              <w:rPr>
                <w:szCs w:val="20"/>
                <w:vertAlign w:val="superscript"/>
              </w:rPr>
              <w:t xml:space="preserve"> a,d</w:t>
            </w:r>
            <w:r w:rsidRPr="008D6B70">
              <w:rPr>
                <w:szCs w:val="20"/>
              </w:rPr>
              <w:t xml:space="preserve"> </w:t>
            </w:r>
          </w:p>
        </w:tc>
        <w:tc>
          <w:tcPr>
            <w:tcW w:w="602"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 ''''''''''''''</w:t>
            </w:r>
          </w:p>
        </w:tc>
        <w:tc>
          <w:tcPr>
            <w:tcW w:w="602"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 xml:space="preserve">''''''' </w:t>
            </w:r>
          </w:p>
          <w:p w:rsidR="00380DD1" w:rsidRPr="000A7F1F" w:rsidRDefault="000A7F1F" w:rsidP="00A1438F">
            <w:pPr>
              <w:pStyle w:val="TableText"/>
              <w:keepNext w:val="0"/>
              <w:spacing w:before="0" w:after="0"/>
              <w:rPr>
                <w:szCs w:val="20"/>
                <w:highlight w:val="black"/>
              </w:rPr>
            </w:pPr>
            <w:r>
              <w:rPr>
                <w:noProof/>
                <w:color w:val="000000"/>
                <w:szCs w:val="20"/>
                <w:highlight w:val="black"/>
              </w:rPr>
              <w:t>''''''''''' ''''''''''</w:t>
            </w:r>
          </w:p>
        </w:tc>
        <w:tc>
          <w:tcPr>
            <w:tcW w:w="600"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 '''''''''''''''</w:t>
            </w:r>
          </w:p>
        </w:tc>
        <w:tc>
          <w:tcPr>
            <w:tcW w:w="614"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 ''''''''''''''''' ''''''''</w:t>
            </w:r>
          </w:p>
        </w:tc>
        <w:tc>
          <w:tcPr>
            <w:tcW w:w="593"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w:t>
            </w:r>
          </w:p>
        </w:tc>
        <w:tc>
          <w:tcPr>
            <w:tcW w:w="602"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w:t>
            </w:r>
          </w:p>
        </w:tc>
        <w:tc>
          <w:tcPr>
            <w:tcW w:w="602" w:type="pct"/>
          </w:tcPr>
          <w:p w:rsidR="00380DD1" w:rsidRPr="000A7F1F" w:rsidRDefault="000A7F1F" w:rsidP="00A1438F">
            <w:pPr>
              <w:pStyle w:val="TableText"/>
              <w:keepNext w:val="0"/>
              <w:spacing w:before="0" w:after="0"/>
              <w:rPr>
                <w:szCs w:val="20"/>
                <w:highlight w:val="black"/>
              </w:rPr>
            </w:pPr>
            <w:r>
              <w:rPr>
                <w:noProof/>
                <w:color w:val="000000"/>
                <w:szCs w:val="20"/>
                <w:highlight w:val="black"/>
              </w:rPr>
              <w:t xml:space="preserve">''''''''''' </w:t>
            </w:r>
          </w:p>
          <w:p w:rsidR="00380DD1" w:rsidRPr="000A7F1F" w:rsidRDefault="000A7F1F" w:rsidP="00A1438F">
            <w:pPr>
              <w:pStyle w:val="TableText"/>
              <w:keepNext w:val="0"/>
              <w:spacing w:before="0" w:after="0"/>
              <w:rPr>
                <w:szCs w:val="20"/>
                <w:highlight w:val="black"/>
              </w:rPr>
            </w:pPr>
            <w:r>
              <w:rPr>
                <w:noProof/>
                <w:color w:val="000000"/>
                <w:szCs w:val="20"/>
                <w:highlight w:val="black"/>
              </w:rPr>
              <w:t>''''''''''''''' ''''''''''''</w:t>
            </w:r>
          </w:p>
        </w:tc>
      </w:tr>
      <w:tr w:rsidR="00380DD1" w:rsidRPr="008D6B70" w:rsidTr="00393C26">
        <w:trPr>
          <w:trHeight w:val="60"/>
        </w:trPr>
        <w:tc>
          <w:tcPr>
            <w:tcW w:w="784" w:type="pct"/>
          </w:tcPr>
          <w:p w:rsidR="00380DD1" w:rsidRPr="008D6B70" w:rsidRDefault="00380DD1" w:rsidP="00A1438F">
            <w:pPr>
              <w:pStyle w:val="TableText"/>
              <w:keepNext w:val="0"/>
              <w:spacing w:before="0" w:after="0"/>
              <w:rPr>
                <w:szCs w:val="20"/>
              </w:rPr>
            </w:pPr>
            <w:r w:rsidRPr="008D6B70">
              <w:rPr>
                <w:szCs w:val="20"/>
              </w:rPr>
              <w:t>Subsequent follow-up: Computer Algorithm</w:t>
            </w:r>
            <w:r w:rsidRPr="008D6B70">
              <w:rPr>
                <w:szCs w:val="20"/>
                <w:vertAlign w:val="superscript"/>
              </w:rPr>
              <w:t>b,c</w:t>
            </w:r>
          </w:p>
        </w:tc>
        <w:tc>
          <w:tcPr>
            <w:tcW w:w="602" w:type="pct"/>
          </w:tcPr>
          <w:p w:rsidR="00380DD1" w:rsidRPr="008D6B70" w:rsidRDefault="00380DD1" w:rsidP="00A1438F">
            <w:pPr>
              <w:pStyle w:val="TableText"/>
              <w:keepNext w:val="0"/>
              <w:spacing w:before="0" w:after="0"/>
              <w:rPr>
                <w:szCs w:val="20"/>
              </w:rPr>
            </w:pPr>
            <w:r w:rsidRPr="008D6B70">
              <w:rPr>
                <w:rFonts w:eastAsia="Calibri" w:cs="Arial"/>
                <w:szCs w:val="20"/>
              </w:rPr>
              <w:t>66</w:t>
            </w:r>
            <w:r w:rsidRPr="008D6B70">
              <w:rPr>
                <w:szCs w:val="20"/>
              </w:rPr>
              <w:t xml:space="preserve"> (23.1)</w:t>
            </w:r>
          </w:p>
        </w:tc>
        <w:tc>
          <w:tcPr>
            <w:tcW w:w="602" w:type="pct"/>
          </w:tcPr>
          <w:p w:rsidR="00380DD1" w:rsidRDefault="00380DD1" w:rsidP="00A1438F">
            <w:pPr>
              <w:pStyle w:val="TableText"/>
              <w:keepNext w:val="0"/>
              <w:spacing w:before="0" w:after="0"/>
              <w:rPr>
                <w:rFonts w:eastAsia="Calibri" w:cs="Arial"/>
                <w:szCs w:val="20"/>
              </w:rPr>
            </w:pPr>
            <w:r w:rsidRPr="008D6B70">
              <w:rPr>
                <w:rFonts w:eastAsia="Calibri" w:cs="Arial"/>
                <w:szCs w:val="20"/>
              </w:rPr>
              <w:t xml:space="preserve">NE </w:t>
            </w:r>
          </w:p>
          <w:p w:rsidR="00380DD1" w:rsidRPr="008D6B70" w:rsidRDefault="00380DD1" w:rsidP="00A1438F">
            <w:pPr>
              <w:pStyle w:val="TableText"/>
              <w:keepNext w:val="0"/>
              <w:spacing w:before="0" w:after="0"/>
              <w:rPr>
                <w:szCs w:val="20"/>
              </w:rPr>
            </w:pPr>
            <w:r w:rsidRPr="008D6B70">
              <w:rPr>
                <w:rFonts w:eastAsia="Calibri" w:cs="Arial"/>
                <w:szCs w:val="20"/>
              </w:rPr>
              <w:t>(NE, NE)</w:t>
            </w:r>
          </w:p>
        </w:tc>
        <w:tc>
          <w:tcPr>
            <w:tcW w:w="600" w:type="pct"/>
          </w:tcPr>
          <w:p w:rsidR="00380DD1" w:rsidRPr="008D6B70" w:rsidRDefault="00380DD1" w:rsidP="00A1438F">
            <w:pPr>
              <w:pStyle w:val="TableText"/>
              <w:keepNext w:val="0"/>
              <w:spacing w:before="0" w:after="0"/>
              <w:rPr>
                <w:szCs w:val="20"/>
              </w:rPr>
            </w:pPr>
            <w:r w:rsidRPr="008D6B70">
              <w:rPr>
                <w:rFonts w:eastAsia="Calibri" w:cs="Arial"/>
                <w:szCs w:val="20"/>
              </w:rPr>
              <w:t xml:space="preserve">135 </w:t>
            </w:r>
            <w:r w:rsidRPr="008D6B70">
              <w:rPr>
                <w:szCs w:val="20"/>
              </w:rPr>
              <w:t>(47.7)</w:t>
            </w:r>
          </w:p>
        </w:tc>
        <w:tc>
          <w:tcPr>
            <w:tcW w:w="614" w:type="pct"/>
          </w:tcPr>
          <w:p w:rsidR="00380DD1" w:rsidRDefault="00380DD1" w:rsidP="00A1438F">
            <w:pPr>
              <w:pStyle w:val="TableText"/>
              <w:keepNext w:val="0"/>
              <w:spacing w:before="0" w:after="0"/>
              <w:rPr>
                <w:szCs w:val="20"/>
              </w:rPr>
            </w:pPr>
            <w:r w:rsidRPr="008D6B70">
              <w:rPr>
                <w:szCs w:val="20"/>
              </w:rPr>
              <w:t xml:space="preserve">17.5 </w:t>
            </w:r>
          </w:p>
          <w:p w:rsidR="00380DD1" w:rsidRPr="008D6B70" w:rsidRDefault="00380DD1" w:rsidP="00A1438F">
            <w:pPr>
              <w:pStyle w:val="TableText"/>
              <w:keepNext w:val="0"/>
              <w:spacing w:before="0" w:after="0"/>
              <w:rPr>
                <w:szCs w:val="20"/>
              </w:rPr>
            </w:pPr>
            <w:r w:rsidRPr="008D6B70">
              <w:rPr>
                <w:rFonts w:eastAsia="Calibri" w:cs="Arial"/>
                <w:szCs w:val="20"/>
              </w:rPr>
              <w:t>(13.9, NE)</w:t>
            </w:r>
          </w:p>
        </w:tc>
        <w:tc>
          <w:tcPr>
            <w:tcW w:w="593" w:type="pct"/>
          </w:tcPr>
          <w:p w:rsidR="00380DD1" w:rsidRPr="008D6B70" w:rsidRDefault="00380DD1" w:rsidP="00A1438F">
            <w:pPr>
              <w:pStyle w:val="TableText"/>
              <w:keepNext w:val="0"/>
              <w:spacing w:before="0" w:after="0"/>
              <w:rPr>
                <w:szCs w:val="20"/>
              </w:rPr>
            </w:pPr>
            <w:r w:rsidRPr="008D6B70">
              <w:rPr>
                <w:szCs w:val="20"/>
              </w:rPr>
              <w:t>NE</w:t>
            </w:r>
          </w:p>
        </w:tc>
        <w:tc>
          <w:tcPr>
            <w:tcW w:w="602" w:type="pct"/>
          </w:tcPr>
          <w:p w:rsidR="00380DD1" w:rsidRPr="008D6B70" w:rsidRDefault="00380DD1" w:rsidP="00A1438F">
            <w:pPr>
              <w:pStyle w:val="TableText"/>
              <w:keepNext w:val="0"/>
              <w:spacing w:before="0" w:after="0"/>
              <w:rPr>
                <w:szCs w:val="20"/>
              </w:rPr>
            </w:pPr>
            <w:r w:rsidRPr="008D6B70">
              <w:rPr>
                <w:szCs w:val="20"/>
              </w:rPr>
              <w:t>P&lt;0.0001</w:t>
            </w:r>
          </w:p>
        </w:tc>
        <w:tc>
          <w:tcPr>
            <w:tcW w:w="602" w:type="pct"/>
          </w:tcPr>
          <w:p w:rsidR="00380DD1" w:rsidRDefault="00380DD1" w:rsidP="00A1438F">
            <w:pPr>
              <w:pStyle w:val="TableText"/>
              <w:keepNext w:val="0"/>
              <w:spacing w:before="0" w:after="0"/>
              <w:rPr>
                <w:szCs w:val="20"/>
              </w:rPr>
            </w:pPr>
            <w:r w:rsidRPr="008D6B70">
              <w:rPr>
                <w:szCs w:val="20"/>
              </w:rPr>
              <w:t xml:space="preserve">0.37 </w:t>
            </w:r>
          </w:p>
          <w:p w:rsidR="00380DD1" w:rsidRPr="008D6B70" w:rsidRDefault="00380DD1" w:rsidP="00A1438F">
            <w:pPr>
              <w:pStyle w:val="TableText"/>
              <w:keepNext w:val="0"/>
              <w:spacing w:before="0" w:after="0"/>
              <w:rPr>
                <w:szCs w:val="20"/>
              </w:rPr>
            </w:pPr>
            <w:r w:rsidRPr="008D6B70">
              <w:rPr>
                <w:szCs w:val="20"/>
              </w:rPr>
              <w:t>(0.28, 0.50)</w:t>
            </w:r>
          </w:p>
        </w:tc>
      </w:tr>
    </w:tbl>
    <w:p w:rsidR="00074D4A" w:rsidRPr="008D6B70" w:rsidRDefault="00944253" w:rsidP="003E37DD">
      <w:pPr>
        <w:pStyle w:val="TableFooter"/>
        <w:spacing w:after="0"/>
        <w:rPr>
          <w:rFonts w:eastAsia="Calibri"/>
        </w:rPr>
      </w:pPr>
      <w:r w:rsidRPr="008D6B70">
        <w:rPr>
          <w:rFonts w:eastAsia="Calibri"/>
        </w:rPr>
        <w:t>Abbreviations:</w:t>
      </w:r>
      <w:r w:rsidR="003E37DD" w:rsidRPr="008D6B70">
        <w:rPr>
          <w:rFonts w:eastAsia="Calibri"/>
        </w:rPr>
        <w:t xml:space="preserve"> </w:t>
      </w:r>
      <w:r w:rsidRPr="008D6B70">
        <w:rPr>
          <w:rFonts w:eastAsia="Calibri"/>
        </w:rPr>
        <w:t>Bd</w:t>
      </w:r>
      <w:r w:rsidR="00074D4A" w:rsidRPr="008D6B70">
        <w:rPr>
          <w:rFonts w:eastAsia="Calibri"/>
        </w:rPr>
        <w:t>, bortezomib-dexamethasone; CI, confidence interval; DBd, daratumumab-bortezomib-dexamethasone; DLd, daratumumab-lenalidomide-dexamethasone; Ld, lenalidomide-dexamethasone; n, number of participants reporting data; N, total participants in group; NE, not evaluable.</w:t>
      </w:r>
    </w:p>
    <w:p w:rsidR="00074D4A" w:rsidRPr="008D6B70" w:rsidRDefault="00074D4A" w:rsidP="003E37DD">
      <w:pPr>
        <w:pStyle w:val="TableFooter"/>
        <w:rPr>
          <w:rFonts w:eastAsia="Calibri"/>
        </w:rPr>
      </w:pPr>
      <w:r w:rsidRPr="008D6B70">
        <w:rPr>
          <w:rFonts w:eastAsia="Calibri"/>
        </w:rPr>
        <w:t>Note: a median follow-up for CASTOR is 7.4 months and POLLUX is 13.5 months</w:t>
      </w:r>
      <w:r w:rsidR="00361776" w:rsidRPr="008D6B70">
        <w:rPr>
          <w:rFonts w:eastAsia="Calibri"/>
        </w:rPr>
        <w:t>;</w:t>
      </w:r>
      <w:r w:rsidR="00966313" w:rsidRPr="008D6B70">
        <w:rPr>
          <w:rFonts w:eastAsia="Calibri"/>
        </w:rPr>
        <w:t xml:space="preserve"> </w:t>
      </w:r>
      <w:r w:rsidRPr="008D6B70">
        <w:rPr>
          <w:rFonts w:eastAsia="Calibri"/>
        </w:rPr>
        <w:t>b median follow-up for CASTOR is 13.3 months and POLLUX is 17.3 months</w:t>
      </w:r>
      <w:r w:rsidR="00361776" w:rsidRPr="008D6B70">
        <w:rPr>
          <w:rFonts w:eastAsia="Calibri"/>
        </w:rPr>
        <w:t>;</w:t>
      </w:r>
      <w:r w:rsidR="00966313" w:rsidRPr="008D6B70">
        <w:rPr>
          <w:rFonts w:eastAsia="Calibri"/>
        </w:rPr>
        <w:t xml:space="preserve"> </w:t>
      </w:r>
      <w:r w:rsidRPr="008D6B70">
        <w:rPr>
          <w:rFonts w:eastAsia="Calibri"/>
        </w:rPr>
        <w:t>c. PFS measured by computerised algorithm.</w:t>
      </w:r>
      <w:r w:rsidR="00361776" w:rsidRPr="008D6B70">
        <w:rPr>
          <w:rFonts w:eastAsia="Calibri"/>
        </w:rPr>
        <w:t>;</w:t>
      </w:r>
      <w:r w:rsidR="00966313" w:rsidRPr="008D6B70">
        <w:rPr>
          <w:rFonts w:eastAsia="Calibri"/>
        </w:rPr>
        <w:t xml:space="preserve"> </w:t>
      </w:r>
      <w:r w:rsidRPr="008D6B70">
        <w:rPr>
          <w:rFonts w:eastAsia="Calibri"/>
        </w:rPr>
        <w:t xml:space="preserve">d. PFS measured by investigator assessed. </w:t>
      </w:r>
      <w:r w:rsidR="00361776" w:rsidRPr="008D6B70">
        <w:rPr>
          <w:rFonts w:eastAsia="Calibri"/>
        </w:rPr>
        <w:t>;</w:t>
      </w:r>
    </w:p>
    <w:p w:rsidR="00074D4A" w:rsidRPr="008D6B70" w:rsidRDefault="00074D4A" w:rsidP="003E37DD">
      <w:pPr>
        <w:pStyle w:val="TableFooter"/>
        <w:spacing w:after="0"/>
      </w:pPr>
      <w:r w:rsidRPr="008D6B70">
        <w:t xml:space="preserve">Source: Table 2.26 and Table 2.27, p.52 and p.56 Section 2a of the Submission; Table 2.27 and Table 2.28, p.50 and p.54 Section 2b of the Submission; CASTOR CSR Table 15, p.74; POLLUX CSR, Table 16, p.70 and compiled during the evaluation. </w:t>
      </w:r>
    </w:p>
    <w:p w:rsidR="00074D4A" w:rsidRPr="008D6B70" w:rsidRDefault="00074D4A" w:rsidP="00C07F6D">
      <w:pPr>
        <w:pStyle w:val="TableHeading1"/>
        <w:spacing w:before="120"/>
      </w:pPr>
      <w:r w:rsidRPr="008D6B70">
        <w:t>Figure 1: Kaplan-Meier Curve of PFS (ITT population, computerised algorithm), CASTOR</w:t>
      </w:r>
    </w:p>
    <w:p w:rsidR="00074D4A" w:rsidRPr="008D6B70" w:rsidRDefault="00074D4A" w:rsidP="00074D4A">
      <w:pPr>
        <w:pStyle w:val="TableHeading1"/>
      </w:pPr>
      <w:r w:rsidRPr="009D3734">
        <w:rPr>
          <w:noProof/>
          <w:lang w:eastAsia="en-AU"/>
        </w:rPr>
        <w:drawing>
          <wp:inline distT="0" distB="0" distL="0" distR="0" wp14:anchorId="5A3427CD" wp14:editId="5B5C2586">
            <wp:extent cx="4142630" cy="3297274"/>
            <wp:effectExtent l="0" t="0" r="0" b="0"/>
            <wp:docPr id="44" name="Picture 44" title="Figure 1: Kaplan-Meier Curve of PFS (ITT population, computerised algorithm), CA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9432" cy="3302688"/>
                    </a:xfrm>
                    <a:prstGeom prst="rect">
                      <a:avLst/>
                    </a:prstGeom>
                    <a:noFill/>
                  </pic:spPr>
                </pic:pic>
              </a:graphicData>
            </a:graphic>
          </wp:inline>
        </w:drawing>
      </w:r>
    </w:p>
    <w:p w:rsidR="00074D4A" w:rsidRPr="008D6B70" w:rsidRDefault="00074D4A" w:rsidP="003E37DD">
      <w:pPr>
        <w:pStyle w:val="TableHeading1"/>
        <w:keepNext w:val="0"/>
        <w:spacing w:after="0"/>
        <w:rPr>
          <w:b w:val="0"/>
          <w:sz w:val="18"/>
          <w:szCs w:val="18"/>
        </w:rPr>
      </w:pPr>
      <w:r w:rsidRPr="008D6B70">
        <w:rPr>
          <w:b w:val="0"/>
          <w:sz w:val="18"/>
          <w:szCs w:val="18"/>
        </w:rPr>
        <w:t>Abbreviations:</w:t>
      </w:r>
      <w:r w:rsidR="003E37DD" w:rsidRPr="008D6B70">
        <w:rPr>
          <w:b w:val="0"/>
          <w:sz w:val="18"/>
          <w:szCs w:val="18"/>
        </w:rPr>
        <w:t xml:space="preserve"> </w:t>
      </w:r>
      <w:r w:rsidRPr="008D6B70">
        <w:rPr>
          <w:b w:val="0"/>
          <w:sz w:val="18"/>
          <w:szCs w:val="18"/>
        </w:rPr>
        <w:t xml:space="preserve">CI, confidence intervals; DVd, daratumumab-bortezomib-dexamethasone; HR, hazard ratio; PFS, progression free survival. </w:t>
      </w:r>
    </w:p>
    <w:p w:rsidR="00074D4A" w:rsidRPr="008D6B70" w:rsidRDefault="00074D4A" w:rsidP="003E37DD">
      <w:pPr>
        <w:pStyle w:val="TableHeading1"/>
        <w:keepNext w:val="0"/>
        <w:spacing w:after="0"/>
        <w:rPr>
          <w:b w:val="0"/>
          <w:sz w:val="18"/>
          <w:szCs w:val="18"/>
        </w:rPr>
      </w:pPr>
      <w:r w:rsidRPr="008D6B70">
        <w:rPr>
          <w:b w:val="0"/>
          <w:sz w:val="18"/>
          <w:szCs w:val="18"/>
        </w:rPr>
        <w:t xml:space="preserve">Note: </w:t>
      </w:r>
      <w:r w:rsidR="003E37DD" w:rsidRPr="008D6B70">
        <w:rPr>
          <w:b w:val="0"/>
          <w:sz w:val="18"/>
          <w:szCs w:val="18"/>
        </w:rPr>
        <w:t xml:space="preserve"> </w:t>
      </w:r>
      <w:r w:rsidR="00B16D59" w:rsidRPr="008D6B70">
        <w:rPr>
          <w:b w:val="0"/>
          <w:sz w:val="18"/>
          <w:szCs w:val="18"/>
        </w:rPr>
        <w:t>M</w:t>
      </w:r>
      <w:r w:rsidRPr="008D6B70">
        <w:rPr>
          <w:b w:val="0"/>
          <w:sz w:val="18"/>
          <w:szCs w:val="18"/>
        </w:rPr>
        <w:t>edian follow-up for CASTOR is 13.2 months</w:t>
      </w:r>
      <w:r w:rsidR="00B16D59" w:rsidRPr="008D6B70">
        <w:rPr>
          <w:b w:val="0"/>
          <w:sz w:val="18"/>
          <w:szCs w:val="18"/>
        </w:rPr>
        <w:t xml:space="preserve">. </w:t>
      </w:r>
      <w:r w:rsidRPr="008D6B70">
        <w:rPr>
          <w:b w:val="0"/>
          <w:sz w:val="18"/>
          <w:szCs w:val="18"/>
        </w:rPr>
        <w:t>a Kaplan-Meier estimate</w:t>
      </w:r>
    </w:p>
    <w:p w:rsidR="00074D4A" w:rsidRPr="008D6B70" w:rsidRDefault="00074D4A" w:rsidP="003E37DD">
      <w:pPr>
        <w:pStyle w:val="TableHeading1"/>
        <w:keepNext w:val="0"/>
        <w:spacing w:after="0"/>
        <w:rPr>
          <w:b w:val="0"/>
          <w:sz w:val="18"/>
          <w:szCs w:val="18"/>
        </w:rPr>
      </w:pPr>
      <w:r w:rsidRPr="008D6B70">
        <w:rPr>
          <w:b w:val="0"/>
          <w:sz w:val="18"/>
          <w:szCs w:val="18"/>
        </w:rPr>
        <w:t>Source: Figure 2.4, p.53 Section 2a of the submission.</w:t>
      </w:r>
    </w:p>
    <w:p w:rsidR="00F20075" w:rsidRPr="008D6B70" w:rsidRDefault="00423741" w:rsidP="00865EA5">
      <w:pPr>
        <w:pStyle w:val="ListParagraph"/>
        <w:numPr>
          <w:ilvl w:val="1"/>
          <w:numId w:val="108"/>
        </w:numPr>
        <w:ind w:left="709" w:hanging="709"/>
        <w:jc w:val="both"/>
      </w:pPr>
      <w:r>
        <w:t xml:space="preserve">For the CASTOR trial </w:t>
      </w:r>
      <w:r w:rsidR="00F20075" w:rsidRPr="008D6B70">
        <w:t xml:space="preserve">subgroup analyses </w:t>
      </w:r>
      <w:r>
        <w:t>based on prior use of bortezomib were presented</w:t>
      </w:r>
      <w:r w:rsidR="00F20075" w:rsidRPr="008D6B70">
        <w:t xml:space="preserve">. </w:t>
      </w:r>
      <w:r w:rsidR="00FF1CE9" w:rsidRPr="008D6B70">
        <w:t xml:space="preserve">Bortezomib was previously used in 65-66% of patients. </w:t>
      </w:r>
      <w:r w:rsidR="00F20075" w:rsidRPr="008D6B70">
        <w:t xml:space="preserve">The HR for PFS was </w:t>
      </w:r>
      <w:r w:rsidR="000A7F1F">
        <w:rPr>
          <w:noProof/>
          <w:color w:val="000000"/>
          <w:highlight w:val="black"/>
        </w:rPr>
        <w:t>''''''''</w:t>
      </w:r>
      <w:r w:rsidR="00F20075" w:rsidRPr="008D6B70">
        <w:t xml:space="preserve"> (95% CI: </w:t>
      </w:r>
      <w:r w:rsidR="000A7F1F">
        <w:rPr>
          <w:noProof/>
          <w:color w:val="000000"/>
          <w:highlight w:val="black"/>
        </w:rPr>
        <w:t>''''''''' ''''''''</w:t>
      </w:r>
      <w:r w:rsidR="00F20075" w:rsidRPr="008D6B70">
        <w:t xml:space="preserve">) for those who had not received prior bortezomib treatment and was </w:t>
      </w:r>
      <w:r w:rsidR="000A7F1F">
        <w:rPr>
          <w:noProof/>
          <w:color w:val="000000"/>
          <w:highlight w:val="black"/>
        </w:rPr>
        <w:t>'''''''''</w:t>
      </w:r>
      <w:r w:rsidR="00F20075" w:rsidRPr="008D6B70">
        <w:t xml:space="preserve"> (95% CI: </w:t>
      </w:r>
      <w:r w:rsidR="000A7F1F">
        <w:rPr>
          <w:noProof/>
          <w:color w:val="000000"/>
          <w:highlight w:val="black"/>
        </w:rPr>
        <w:t>''''''''' '''''''''</w:t>
      </w:r>
      <w:r w:rsidR="00F20075" w:rsidRPr="008D6B70">
        <w:t>) for those who had received prior bortezomib.</w:t>
      </w:r>
      <w:r w:rsidR="00AE7EAF">
        <w:t xml:space="preserve"> The PBAC noted that while the improvement in PFS for patient who had previous bortezomib was statistically significant, </w:t>
      </w:r>
      <w:r>
        <w:t>based on the point estimates, DBd was less effective in these patients</w:t>
      </w:r>
      <w:r w:rsidR="00AE7EAF">
        <w:t>. The PBAC considered that this may be relevant in the conte</w:t>
      </w:r>
      <w:r w:rsidR="00564AE4">
        <w:t>x</w:t>
      </w:r>
      <w:r w:rsidR="00AE7EAF">
        <w:t xml:space="preserve">t of the proposal to list DBd only, </w:t>
      </w:r>
      <w:r w:rsidR="00564AE4">
        <w:t>as patients previously treated with bortezomib would not have the option to change the backbone therapy</w:t>
      </w:r>
      <w:r w:rsidR="00AE7EAF">
        <w:t>.</w:t>
      </w:r>
    </w:p>
    <w:p w:rsidR="00074D4A" w:rsidRPr="008D6B70" w:rsidRDefault="00074D4A" w:rsidP="00074D4A">
      <w:pPr>
        <w:pStyle w:val="TableHeading1"/>
      </w:pPr>
      <w:r w:rsidRPr="008D6B70">
        <w:t>Figure 2: Kaplan-Meier Curve of PFS (ITT population, computerised algorithm), POLLUX</w:t>
      </w:r>
    </w:p>
    <w:p w:rsidR="00074D4A" w:rsidRPr="008D6B70" w:rsidRDefault="00074D4A" w:rsidP="00074D4A">
      <w:pPr>
        <w:pStyle w:val="TableHeading1"/>
      </w:pPr>
      <w:r w:rsidRPr="008D6B70">
        <w:rPr>
          <w:noProof/>
          <w:lang w:eastAsia="en-AU"/>
        </w:rPr>
        <w:drawing>
          <wp:inline distT="0" distB="0" distL="0" distR="0" wp14:anchorId="5FD1E6A9" wp14:editId="0A1BA038">
            <wp:extent cx="3911665" cy="3674692"/>
            <wp:effectExtent l="0" t="0" r="0" b="2540"/>
            <wp:docPr id="48" name="Picture 48" title="Figure 2: Kaplan-Meier Curve of PFS (ITT population, computerised algorithm), PO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8210" cy="3680841"/>
                    </a:xfrm>
                    <a:prstGeom prst="rect">
                      <a:avLst/>
                    </a:prstGeom>
                    <a:noFill/>
                  </pic:spPr>
                </pic:pic>
              </a:graphicData>
            </a:graphic>
          </wp:inline>
        </w:drawing>
      </w:r>
    </w:p>
    <w:p w:rsidR="00074D4A" w:rsidRPr="008D6B70" w:rsidRDefault="00074D4A" w:rsidP="003E37DD">
      <w:pPr>
        <w:pStyle w:val="TableHeading1"/>
        <w:keepNext w:val="0"/>
        <w:spacing w:after="0"/>
        <w:rPr>
          <w:b w:val="0"/>
          <w:sz w:val="18"/>
          <w:szCs w:val="18"/>
        </w:rPr>
      </w:pPr>
      <w:r w:rsidRPr="008D6B70">
        <w:rPr>
          <w:b w:val="0"/>
          <w:sz w:val="18"/>
          <w:szCs w:val="18"/>
        </w:rPr>
        <w:t xml:space="preserve">Abbreviations: CI, confidence intervals; DRd, daratumumab-lenalidomide-dexamethasone; HR, hazard ratio; PFS, progression free survival; Rd, lenalidomide-dexamethasone; </w:t>
      </w:r>
    </w:p>
    <w:p w:rsidR="00074D4A" w:rsidRPr="008D6B70" w:rsidRDefault="00074D4A" w:rsidP="003E37DD">
      <w:pPr>
        <w:pStyle w:val="TableHeading1"/>
        <w:keepNext w:val="0"/>
        <w:spacing w:after="0"/>
        <w:rPr>
          <w:b w:val="0"/>
          <w:sz w:val="18"/>
          <w:szCs w:val="18"/>
        </w:rPr>
      </w:pPr>
      <w:r w:rsidRPr="008D6B70">
        <w:rPr>
          <w:b w:val="0"/>
          <w:sz w:val="18"/>
          <w:szCs w:val="18"/>
        </w:rPr>
        <w:t xml:space="preserve">Note: </w:t>
      </w:r>
      <w:r w:rsidR="00B16D59" w:rsidRPr="008D6B70">
        <w:rPr>
          <w:b w:val="0"/>
          <w:sz w:val="18"/>
          <w:szCs w:val="18"/>
        </w:rPr>
        <w:t>M</w:t>
      </w:r>
      <w:r w:rsidRPr="008D6B70">
        <w:rPr>
          <w:b w:val="0"/>
          <w:sz w:val="18"/>
          <w:szCs w:val="18"/>
        </w:rPr>
        <w:t>edian follow</w:t>
      </w:r>
      <w:r w:rsidR="00B16D59" w:rsidRPr="008D6B70">
        <w:rPr>
          <w:b w:val="0"/>
          <w:sz w:val="18"/>
          <w:szCs w:val="18"/>
        </w:rPr>
        <w:t xml:space="preserve">-up for POLLUX is 17.3 months. </w:t>
      </w:r>
      <w:r w:rsidRPr="008D6B70">
        <w:rPr>
          <w:b w:val="0"/>
          <w:sz w:val="18"/>
          <w:szCs w:val="18"/>
        </w:rPr>
        <w:t>a Kaplan-Meier estimate</w:t>
      </w:r>
    </w:p>
    <w:p w:rsidR="00074D4A" w:rsidRPr="008D6B70" w:rsidRDefault="00074D4A" w:rsidP="003E37DD">
      <w:pPr>
        <w:pStyle w:val="TableHeading1"/>
        <w:keepNext w:val="0"/>
        <w:spacing w:after="0"/>
        <w:rPr>
          <w:b w:val="0"/>
          <w:sz w:val="18"/>
          <w:szCs w:val="18"/>
        </w:rPr>
      </w:pPr>
      <w:r w:rsidRPr="008D6B70">
        <w:rPr>
          <w:b w:val="0"/>
          <w:sz w:val="18"/>
          <w:szCs w:val="18"/>
        </w:rPr>
        <w:t>Source: Figure 2.3, p.51 Section 2b of the submission.</w:t>
      </w:r>
    </w:p>
    <w:p w:rsidR="0096130F" w:rsidRPr="008D6B70" w:rsidRDefault="00074D4A" w:rsidP="00865EA5">
      <w:pPr>
        <w:pStyle w:val="ListParagraph"/>
        <w:numPr>
          <w:ilvl w:val="1"/>
          <w:numId w:val="108"/>
        </w:numPr>
        <w:ind w:left="709" w:hanging="709"/>
        <w:jc w:val="both"/>
      </w:pPr>
      <w:bookmarkStart w:id="16" w:name="_Hlk490046161"/>
      <w:r w:rsidRPr="008D6B70">
        <w:t xml:space="preserve">The results for OS </w:t>
      </w:r>
      <w:r w:rsidR="00FF3883" w:rsidRPr="008D6B70">
        <w:t xml:space="preserve">at </w:t>
      </w:r>
      <w:r w:rsidRPr="008D6B70">
        <w:t>the 120</w:t>
      </w:r>
      <w:r w:rsidR="004C2A80" w:rsidRPr="008D6B70">
        <w:t>-</w:t>
      </w:r>
      <w:r w:rsidRPr="008D6B70">
        <w:t>Day Safety Update (longer-term follow-up) are presented in Table 5</w:t>
      </w:r>
      <w:bookmarkEnd w:id="16"/>
      <w:r w:rsidR="00564AE4">
        <w:t>,</w:t>
      </w:r>
      <w:r w:rsidRPr="008D6B70">
        <w:t xml:space="preserve"> with the Kaplan-Meier plots for CASTOR </w:t>
      </w:r>
      <w:r w:rsidR="00B70A53" w:rsidRPr="008D6B70">
        <w:t xml:space="preserve">in </w:t>
      </w:r>
      <w:r w:rsidRPr="008D6B70">
        <w:t xml:space="preserve">Figure 3 and POLLUX </w:t>
      </w:r>
      <w:r w:rsidR="00B70A53" w:rsidRPr="008D6B70">
        <w:t xml:space="preserve">in </w:t>
      </w:r>
      <w:r w:rsidRPr="008D6B70">
        <w:t xml:space="preserve">Figure 4. The median OS </w:t>
      </w:r>
      <w:r w:rsidR="00F54020">
        <w:t>had</w:t>
      </w:r>
      <w:r w:rsidRPr="008D6B70">
        <w:t xml:space="preserve"> not </w:t>
      </w:r>
      <w:r w:rsidR="00F54020">
        <w:t xml:space="preserve">been </w:t>
      </w:r>
      <w:r w:rsidRPr="008D6B70">
        <w:t xml:space="preserve">reached </w:t>
      </w:r>
      <w:r w:rsidR="00F54020">
        <w:t>at</w:t>
      </w:r>
      <w:r w:rsidRPr="008D6B70">
        <w:t xml:space="preserve"> the longer-term follow-up</w:t>
      </w:r>
      <w:r w:rsidR="00F54020">
        <w:t xml:space="preserve"> </w:t>
      </w:r>
      <w:r w:rsidR="00FC79C8">
        <w:t>in any arm across the two</w:t>
      </w:r>
      <w:r w:rsidR="00F54020">
        <w:t xml:space="preserve"> trial</w:t>
      </w:r>
      <w:r w:rsidR="00FC79C8">
        <w:t>s</w:t>
      </w:r>
      <w:r w:rsidRPr="008D6B70">
        <w:t xml:space="preserve">. The </w:t>
      </w:r>
      <w:r w:rsidR="00FC79C8">
        <w:t xml:space="preserve">PBAC agreed with the </w:t>
      </w:r>
      <w:r w:rsidR="00857106" w:rsidRPr="008D6B70">
        <w:t xml:space="preserve">ESC that the </w:t>
      </w:r>
      <w:r w:rsidRPr="008D6B70">
        <w:t>data are immature and may not accurately reflect the longer-ter</w:t>
      </w:r>
      <w:r w:rsidR="00857106" w:rsidRPr="008D6B70">
        <w:t xml:space="preserve">m </w:t>
      </w:r>
      <w:r w:rsidR="008B206E" w:rsidRPr="008D6B70">
        <w:t>benefits</w:t>
      </w:r>
      <w:r w:rsidRPr="008D6B70">
        <w:t xml:space="preserve"> associated with daratumumab based therapies.</w:t>
      </w:r>
      <w:r w:rsidR="0096130F">
        <w:t xml:space="preserve">  </w:t>
      </w:r>
    </w:p>
    <w:p w:rsidR="00074D4A" w:rsidRPr="008D6B70" w:rsidRDefault="00074D4A" w:rsidP="00074D4A">
      <w:pPr>
        <w:pStyle w:val="TableHeading1"/>
      </w:pPr>
      <w:r w:rsidRPr="008D6B70">
        <w:t>Table 5: Results of overall survival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225"/>
        <w:gridCol w:w="1394"/>
        <w:gridCol w:w="1307"/>
        <w:gridCol w:w="1270"/>
        <w:gridCol w:w="1055"/>
        <w:gridCol w:w="928"/>
        <w:gridCol w:w="1054"/>
      </w:tblGrid>
      <w:tr w:rsidR="007B51A5" w:rsidRPr="008D6B70" w:rsidTr="007B51A5">
        <w:trPr>
          <w:trHeight w:val="356"/>
          <w:tblHeader/>
        </w:trPr>
        <w:tc>
          <w:tcPr>
            <w:tcW w:w="546" w:type="pct"/>
          </w:tcPr>
          <w:p w:rsidR="007B51A5" w:rsidRPr="008D6B70" w:rsidRDefault="007B51A5" w:rsidP="00555AE1">
            <w:pPr>
              <w:pStyle w:val="TableText"/>
              <w:rPr>
                <w:b/>
              </w:rPr>
            </w:pPr>
          </w:p>
        </w:tc>
        <w:tc>
          <w:tcPr>
            <w:tcW w:w="663" w:type="pct"/>
          </w:tcPr>
          <w:p w:rsidR="007B51A5" w:rsidRPr="008D6B70" w:rsidRDefault="007B51A5" w:rsidP="00555AE1">
            <w:pPr>
              <w:pStyle w:val="TableText"/>
              <w:rPr>
                <w:b/>
              </w:rPr>
            </w:pPr>
            <w:r w:rsidRPr="008D6B70">
              <w:rPr>
                <w:b/>
              </w:rPr>
              <w:t>n/N with event (%)</w:t>
            </w:r>
          </w:p>
        </w:tc>
        <w:tc>
          <w:tcPr>
            <w:tcW w:w="754" w:type="pct"/>
          </w:tcPr>
          <w:p w:rsidR="007B51A5" w:rsidRPr="008D6B70" w:rsidRDefault="007B51A5" w:rsidP="005F1CA5">
            <w:pPr>
              <w:pStyle w:val="TableText"/>
              <w:rPr>
                <w:b/>
              </w:rPr>
            </w:pPr>
            <w:r w:rsidRPr="008D6B70">
              <w:rPr>
                <w:b/>
              </w:rPr>
              <w:t>Median (95% CI)</w:t>
            </w:r>
            <w:r>
              <w:rPr>
                <w:b/>
              </w:rPr>
              <w:t>, months</w:t>
            </w:r>
          </w:p>
        </w:tc>
        <w:tc>
          <w:tcPr>
            <w:tcW w:w="707" w:type="pct"/>
          </w:tcPr>
          <w:p w:rsidR="007B51A5" w:rsidRPr="008D6B70" w:rsidRDefault="007B51A5" w:rsidP="00555AE1">
            <w:pPr>
              <w:pStyle w:val="TableText"/>
              <w:rPr>
                <w:b/>
              </w:rPr>
            </w:pPr>
            <w:r w:rsidRPr="008D6B70">
              <w:rPr>
                <w:b/>
              </w:rPr>
              <w:t>n/N with event (%)</w:t>
            </w:r>
          </w:p>
        </w:tc>
        <w:tc>
          <w:tcPr>
            <w:tcW w:w="687" w:type="pct"/>
          </w:tcPr>
          <w:p w:rsidR="007B51A5" w:rsidRPr="008D6B70" w:rsidRDefault="007B51A5" w:rsidP="005F1CA5">
            <w:pPr>
              <w:pStyle w:val="TableText"/>
              <w:rPr>
                <w:b/>
              </w:rPr>
            </w:pPr>
            <w:r>
              <w:rPr>
                <w:b/>
              </w:rPr>
              <w:t>Median</w:t>
            </w:r>
            <w:r w:rsidRPr="008D6B70">
              <w:rPr>
                <w:b/>
              </w:rPr>
              <w:t xml:space="preserve"> (95% CI), month</w:t>
            </w:r>
          </w:p>
        </w:tc>
        <w:tc>
          <w:tcPr>
            <w:tcW w:w="571" w:type="pct"/>
          </w:tcPr>
          <w:p w:rsidR="007B51A5" w:rsidRPr="008D6B70" w:rsidRDefault="007B51A5" w:rsidP="00555AE1">
            <w:pPr>
              <w:pStyle w:val="TableText"/>
              <w:rPr>
                <w:b/>
              </w:rPr>
            </w:pPr>
            <w:r>
              <w:rPr>
                <w:b/>
              </w:rPr>
              <w:t>Median d</w:t>
            </w:r>
            <w:r w:rsidRPr="008D6B70">
              <w:rPr>
                <w:b/>
              </w:rPr>
              <w:t>ifference</w:t>
            </w:r>
            <w:r>
              <w:rPr>
                <w:b/>
              </w:rPr>
              <w:t>, months</w:t>
            </w:r>
          </w:p>
        </w:tc>
        <w:tc>
          <w:tcPr>
            <w:tcW w:w="502" w:type="pct"/>
          </w:tcPr>
          <w:p w:rsidR="007B51A5" w:rsidRPr="008D6B70" w:rsidRDefault="007B51A5" w:rsidP="00555AE1">
            <w:pPr>
              <w:pStyle w:val="TableText"/>
              <w:rPr>
                <w:b/>
              </w:rPr>
            </w:pPr>
            <w:r w:rsidRPr="008D6B70">
              <w:rPr>
                <w:b/>
              </w:rPr>
              <w:t>P value (log rank test)</w:t>
            </w:r>
          </w:p>
        </w:tc>
        <w:tc>
          <w:tcPr>
            <w:tcW w:w="570" w:type="pct"/>
          </w:tcPr>
          <w:p w:rsidR="007B51A5" w:rsidRPr="008D6B70" w:rsidRDefault="007B51A5" w:rsidP="00555AE1">
            <w:pPr>
              <w:pStyle w:val="TableText"/>
              <w:rPr>
                <w:b/>
              </w:rPr>
            </w:pPr>
            <w:r w:rsidRPr="008D6B70">
              <w:rPr>
                <w:b/>
              </w:rPr>
              <w:t>Hazard ratio (95% CI)</w:t>
            </w:r>
          </w:p>
        </w:tc>
      </w:tr>
      <w:tr w:rsidR="007B51A5" w:rsidRPr="008D6B70" w:rsidTr="007B51A5">
        <w:tc>
          <w:tcPr>
            <w:tcW w:w="546" w:type="pct"/>
          </w:tcPr>
          <w:p w:rsidR="007B51A5" w:rsidRPr="008D6B70" w:rsidRDefault="007B51A5" w:rsidP="00555AE1">
            <w:pPr>
              <w:pStyle w:val="TableText"/>
              <w:keepNext w:val="0"/>
              <w:rPr>
                <w:b/>
              </w:rPr>
            </w:pPr>
            <w:r w:rsidRPr="008D6B70">
              <w:rPr>
                <w:b/>
              </w:rPr>
              <w:t>CASTOR</w:t>
            </w:r>
          </w:p>
        </w:tc>
        <w:tc>
          <w:tcPr>
            <w:tcW w:w="1417" w:type="pct"/>
            <w:gridSpan w:val="2"/>
          </w:tcPr>
          <w:p w:rsidR="007B51A5" w:rsidRPr="008D6B70" w:rsidRDefault="007B51A5" w:rsidP="007B51A5">
            <w:pPr>
              <w:pStyle w:val="TableText"/>
              <w:keepNext w:val="0"/>
              <w:jc w:val="center"/>
            </w:pPr>
            <w:r w:rsidRPr="008D6B70">
              <w:rPr>
                <w:b/>
              </w:rPr>
              <w:t>DBd</w:t>
            </w:r>
          </w:p>
        </w:tc>
        <w:tc>
          <w:tcPr>
            <w:tcW w:w="1394" w:type="pct"/>
            <w:gridSpan w:val="2"/>
          </w:tcPr>
          <w:p w:rsidR="007B51A5" w:rsidRPr="008D6B70" w:rsidRDefault="007B51A5" w:rsidP="007B51A5">
            <w:pPr>
              <w:pStyle w:val="TableText"/>
              <w:keepNext w:val="0"/>
              <w:jc w:val="center"/>
            </w:pPr>
            <w:r w:rsidRPr="008D6B70">
              <w:rPr>
                <w:b/>
              </w:rPr>
              <w:t>Bd</w:t>
            </w:r>
          </w:p>
        </w:tc>
        <w:tc>
          <w:tcPr>
            <w:tcW w:w="571" w:type="pct"/>
          </w:tcPr>
          <w:p w:rsidR="007B51A5" w:rsidRPr="008D6B70" w:rsidRDefault="007B51A5" w:rsidP="00555AE1">
            <w:pPr>
              <w:pStyle w:val="TableText"/>
              <w:keepNext w:val="0"/>
            </w:pPr>
          </w:p>
        </w:tc>
        <w:tc>
          <w:tcPr>
            <w:tcW w:w="502" w:type="pct"/>
          </w:tcPr>
          <w:p w:rsidR="007B51A5" w:rsidRPr="008D6B70" w:rsidRDefault="007B51A5" w:rsidP="00555AE1">
            <w:pPr>
              <w:pStyle w:val="TableText"/>
              <w:keepNext w:val="0"/>
            </w:pPr>
          </w:p>
        </w:tc>
        <w:tc>
          <w:tcPr>
            <w:tcW w:w="570" w:type="pct"/>
          </w:tcPr>
          <w:p w:rsidR="007B51A5" w:rsidRPr="008D6B70" w:rsidRDefault="007B51A5" w:rsidP="00555AE1">
            <w:pPr>
              <w:pStyle w:val="TableText"/>
              <w:keepNext w:val="0"/>
            </w:pPr>
          </w:p>
        </w:tc>
      </w:tr>
      <w:tr w:rsidR="007B51A5" w:rsidRPr="008D6B70" w:rsidTr="007B51A5">
        <w:tc>
          <w:tcPr>
            <w:tcW w:w="546" w:type="pct"/>
          </w:tcPr>
          <w:p w:rsidR="007B51A5" w:rsidRPr="008D6B70" w:rsidRDefault="007B51A5" w:rsidP="00555AE1">
            <w:pPr>
              <w:pStyle w:val="TableText"/>
              <w:keepNext w:val="0"/>
            </w:pPr>
          </w:p>
        </w:tc>
        <w:tc>
          <w:tcPr>
            <w:tcW w:w="663" w:type="pct"/>
          </w:tcPr>
          <w:p w:rsidR="007B51A5" w:rsidRPr="008D6B70" w:rsidRDefault="007B51A5" w:rsidP="00555AE1">
            <w:pPr>
              <w:pStyle w:val="TableText"/>
              <w:keepNext w:val="0"/>
            </w:pPr>
            <w:r w:rsidRPr="005C7A06">
              <w:t>37</w:t>
            </w:r>
            <w:r w:rsidRPr="008D6B70">
              <w:t>/</w:t>
            </w:r>
            <w:r w:rsidRPr="005C7A06">
              <w:t>251</w:t>
            </w:r>
            <w:r w:rsidRPr="008D6B70">
              <w:t xml:space="preserve"> (14.7)</w:t>
            </w:r>
          </w:p>
        </w:tc>
        <w:tc>
          <w:tcPr>
            <w:tcW w:w="754" w:type="pct"/>
          </w:tcPr>
          <w:p w:rsidR="007B51A5" w:rsidRPr="008D6B70" w:rsidRDefault="007B51A5" w:rsidP="00555AE1">
            <w:pPr>
              <w:pStyle w:val="TableText"/>
              <w:keepNext w:val="0"/>
              <w:rPr>
                <w:rFonts w:ascii="Times" w:eastAsia="Times New Roman" w:hAnsi="Times" w:cs="Times New Roman"/>
              </w:rPr>
            </w:pPr>
            <w:r w:rsidRPr="008D6B70">
              <w:t>NE (NE,NE)</w:t>
            </w:r>
          </w:p>
        </w:tc>
        <w:tc>
          <w:tcPr>
            <w:tcW w:w="707" w:type="pct"/>
          </w:tcPr>
          <w:p w:rsidR="007B51A5" w:rsidRPr="008D6B70" w:rsidRDefault="007B51A5" w:rsidP="00555AE1">
            <w:pPr>
              <w:pStyle w:val="TableText"/>
              <w:keepNext w:val="0"/>
            </w:pPr>
            <w:r w:rsidRPr="008D6B70">
              <w:t>58/247 (23.5)</w:t>
            </w:r>
          </w:p>
        </w:tc>
        <w:tc>
          <w:tcPr>
            <w:tcW w:w="687" w:type="pct"/>
          </w:tcPr>
          <w:p w:rsidR="007B51A5" w:rsidRPr="008D6B70" w:rsidRDefault="007B51A5" w:rsidP="00555AE1">
            <w:pPr>
              <w:pStyle w:val="TableText"/>
              <w:keepNext w:val="0"/>
              <w:rPr>
                <w:rFonts w:ascii="Times" w:eastAsia="Times New Roman" w:hAnsi="Times" w:cs="Times New Roman"/>
              </w:rPr>
            </w:pPr>
            <w:r w:rsidRPr="008D6B70">
              <w:t>NE (NE, NE)</w:t>
            </w:r>
          </w:p>
        </w:tc>
        <w:tc>
          <w:tcPr>
            <w:tcW w:w="571" w:type="pct"/>
          </w:tcPr>
          <w:p w:rsidR="007B51A5" w:rsidRPr="008D6B70" w:rsidRDefault="007B51A5" w:rsidP="00555AE1">
            <w:pPr>
              <w:pStyle w:val="TableText"/>
              <w:keepNext w:val="0"/>
              <w:rPr>
                <w:rFonts w:ascii="Times" w:eastAsia="Times New Roman" w:hAnsi="Times" w:cs="Times New Roman"/>
              </w:rPr>
            </w:pPr>
            <w:r w:rsidRPr="008D6B70">
              <w:t>NE</w:t>
            </w:r>
          </w:p>
        </w:tc>
        <w:tc>
          <w:tcPr>
            <w:tcW w:w="502" w:type="pct"/>
          </w:tcPr>
          <w:p w:rsidR="007B51A5" w:rsidRPr="008D6B70" w:rsidRDefault="007B51A5" w:rsidP="00555AE1">
            <w:pPr>
              <w:pStyle w:val="TableText"/>
              <w:keepNext w:val="0"/>
              <w:rPr>
                <w:rFonts w:ascii="Times" w:eastAsia="Times New Roman" w:hAnsi="Times" w:cs="Times New Roman"/>
              </w:rPr>
            </w:pPr>
            <w:r w:rsidRPr="008D6B70">
              <w:t>P=0.029</w:t>
            </w:r>
          </w:p>
        </w:tc>
        <w:tc>
          <w:tcPr>
            <w:tcW w:w="570" w:type="pct"/>
          </w:tcPr>
          <w:p w:rsidR="007B51A5" w:rsidRPr="008D6B70" w:rsidRDefault="007B51A5" w:rsidP="00555AE1">
            <w:pPr>
              <w:pStyle w:val="TableText"/>
              <w:keepNext w:val="0"/>
              <w:rPr>
                <w:rFonts w:ascii="Times" w:eastAsia="Times New Roman" w:hAnsi="Times" w:cs="Times New Roman"/>
              </w:rPr>
            </w:pPr>
            <w:r w:rsidRPr="008D6B70">
              <w:t xml:space="preserve">0.63 (0.42,0.96) </w:t>
            </w:r>
          </w:p>
        </w:tc>
      </w:tr>
      <w:tr w:rsidR="007B51A5" w:rsidRPr="008D6B70" w:rsidTr="007B51A5">
        <w:tc>
          <w:tcPr>
            <w:tcW w:w="546" w:type="pct"/>
          </w:tcPr>
          <w:p w:rsidR="007B51A5" w:rsidRPr="008D6B70" w:rsidRDefault="007B51A5" w:rsidP="007B51A5">
            <w:pPr>
              <w:pStyle w:val="TableText"/>
              <w:keepNext w:val="0"/>
              <w:rPr>
                <w:b/>
              </w:rPr>
            </w:pPr>
            <w:r w:rsidRPr="008D6B70">
              <w:rPr>
                <w:b/>
              </w:rPr>
              <w:t>POLLUX</w:t>
            </w:r>
          </w:p>
        </w:tc>
        <w:tc>
          <w:tcPr>
            <w:tcW w:w="1417" w:type="pct"/>
            <w:gridSpan w:val="2"/>
          </w:tcPr>
          <w:p w:rsidR="007B51A5" w:rsidRPr="008D6B70" w:rsidRDefault="007B51A5" w:rsidP="007B51A5">
            <w:pPr>
              <w:pStyle w:val="TableText"/>
              <w:keepNext w:val="0"/>
              <w:jc w:val="center"/>
              <w:rPr>
                <w:b/>
              </w:rPr>
            </w:pPr>
            <w:r w:rsidRPr="008D6B70">
              <w:rPr>
                <w:b/>
              </w:rPr>
              <w:t>DLd</w:t>
            </w:r>
          </w:p>
        </w:tc>
        <w:tc>
          <w:tcPr>
            <w:tcW w:w="1394" w:type="pct"/>
            <w:gridSpan w:val="2"/>
          </w:tcPr>
          <w:p w:rsidR="007B51A5" w:rsidRPr="008D6B70" w:rsidRDefault="007B51A5" w:rsidP="007B51A5">
            <w:pPr>
              <w:pStyle w:val="TableText"/>
              <w:keepNext w:val="0"/>
              <w:jc w:val="center"/>
              <w:rPr>
                <w:b/>
              </w:rPr>
            </w:pPr>
            <w:r w:rsidRPr="008D6B70">
              <w:rPr>
                <w:b/>
              </w:rPr>
              <w:t>Ld</w:t>
            </w:r>
          </w:p>
        </w:tc>
        <w:tc>
          <w:tcPr>
            <w:tcW w:w="571" w:type="pct"/>
          </w:tcPr>
          <w:p w:rsidR="007B51A5" w:rsidRPr="008D6B70" w:rsidRDefault="007B51A5" w:rsidP="007B51A5">
            <w:pPr>
              <w:pStyle w:val="TableText"/>
              <w:keepNext w:val="0"/>
              <w:keepLines/>
              <w:outlineLvl w:val="1"/>
              <w:rPr>
                <w:b/>
              </w:rPr>
            </w:pPr>
          </w:p>
        </w:tc>
        <w:tc>
          <w:tcPr>
            <w:tcW w:w="502" w:type="pct"/>
          </w:tcPr>
          <w:p w:rsidR="007B51A5" w:rsidRPr="008D6B70" w:rsidRDefault="007B51A5" w:rsidP="007B51A5">
            <w:pPr>
              <w:pStyle w:val="TableText"/>
              <w:keepNext w:val="0"/>
              <w:keepLines/>
              <w:outlineLvl w:val="1"/>
              <w:rPr>
                <w:b/>
              </w:rPr>
            </w:pPr>
          </w:p>
        </w:tc>
        <w:tc>
          <w:tcPr>
            <w:tcW w:w="570" w:type="pct"/>
          </w:tcPr>
          <w:p w:rsidR="007B51A5" w:rsidRPr="008D6B70" w:rsidRDefault="007B51A5" w:rsidP="007B51A5">
            <w:pPr>
              <w:pStyle w:val="TableText"/>
              <w:keepNext w:val="0"/>
              <w:keepLines/>
              <w:outlineLvl w:val="1"/>
              <w:rPr>
                <w:b/>
              </w:rPr>
            </w:pPr>
          </w:p>
        </w:tc>
      </w:tr>
      <w:tr w:rsidR="007B51A5" w:rsidRPr="008D6B70" w:rsidTr="007B51A5">
        <w:tc>
          <w:tcPr>
            <w:tcW w:w="546" w:type="pct"/>
          </w:tcPr>
          <w:p w:rsidR="007B51A5" w:rsidRPr="008D6B70" w:rsidRDefault="007B51A5" w:rsidP="00555AE1">
            <w:pPr>
              <w:pStyle w:val="TableText"/>
              <w:keepNext w:val="0"/>
            </w:pPr>
          </w:p>
        </w:tc>
        <w:tc>
          <w:tcPr>
            <w:tcW w:w="663" w:type="pct"/>
          </w:tcPr>
          <w:p w:rsidR="007B51A5" w:rsidRPr="008D6B70" w:rsidRDefault="007B51A5" w:rsidP="00555AE1">
            <w:pPr>
              <w:pStyle w:val="TableText"/>
              <w:keepNext w:val="0"/>
              <w:rPr>
                <w:rFonts w:ascii="Times" w:eastAsia="Times New Roman" w:hAnsi="Times" w:cs="Times New Roman"/>
              </w:rPr>
            </w:pPr>
            <w:r w:rsidRPr="005C7A06">
              <w:t>40</w:t>
            </w:r>
            <w:r w:rsidRPr="008D6B70">
              <w:t>/</w:t>
            </w:r>
            <w:r w:rsidRPr="005C7A06">
              <w:t>286</w:t>
            </w:r>
            <w:r w:rsidRPr="008D6B70">
              <w:t xml:space="preserve"> (14.0)</w:t>
            </w:r>
          </w:p>
        </w:tc>
        <w:tc>
          <w:tcPr>
            <w:tcW w:w="754" w:type="pct"/>
          </w:tcPr>
          <w:p w:rsidR="007B51A5" w:rsidRPr="008D6B70" w:rsidRDefault="007B51A5" w:rsidP="00555AE1">
            <w:pPr>
              <w:pStyle w:val="TableText"/>
              <w:keepNext w:val="0"/>
              <w:rPr>
                <w:rFonts w:ascii="Times" w:eastAsia="Times New Roman" w:hAnsi="Times" w:cs="Times New Roman"/>
              </w:rPr>
            </w:pPr>
            <w:r w:rsidRPr="008D6B70">
              <w:t>NE (NE,NE)</w:t>
            </w:r>
          </w:p>
        </w:tc>
        <w:tc>
          <w:tcPr>
            <w:tcW w:w="707" w:type="pct"/>
          </w:tcPr>
          <w:p w:rsidR="007B51A5" w:rsidRPr="008D6B70" w:rsidRDefault="007B51A5" w:rsidP="00555AE1">
            <w:pPr>
              <w:pStyle w:val="TableText"/>
              <w:keepNext w:val="0"/>
              <w:rPr>
                <w:rFonts w:ascii="Times" w:eastAsia="Times New Roman" w:hAnsi="Times" w:cs="Times New Roman"/>
              </w:rPr>
            </w:pPr>
            <w:r w:rsidRPr="008D6B70">
              <w:t>56/283 (19.8)</w:t>
            </w:r>
          </w:p>
        </w:tc>
        <w:tc>
          <w:tcPr>
            <w:tcW w:w="687" w:type="pct"/>
          </w:tcPr>
          <w:p w:rsidR="007B51A5" w:rsidRPr="008D6B70" w:rsidRDefault="007B51A5" w:rsidP="00555AE1">
            <w:pPr>
              <w:pStyle w:val="TableText"/>
              <w:keepNext w:val="0"/>
              <w:rPr>
                <w:rFonts w:ascii="Times" w:eastAsia="Times New Roman" w:hAnsi="Times" w:cs="Times New Roman"/>
              </w:rPr>
            </w:pPr>
            <w:r w:rsidRPr="008D6B70">
              <w:t>NE (NE, NE)</w:t>
            </w:r>
          </w:p>
        </w:tc>
        <w:tc>
          <w:tcPr>
            <w:tcW w:w="571" w:type="pct"/>
          </w:tcPr>
          <w:p w:rsidR="007B51A5" w:rsidRPr="008D6B70" w:rsidRDefault="007B51A5" w:rsidP="00555AE1">
            <w:pPr>
              <w:pStyle w:val="TableText"/>
              <w:keepNext w:val="0"/>
              <w:rPr>
                <w:rFonts w:ascii="Times" w:eastAsia="Times New Roman" w:hAnsi="Times" w:cs="Times New Roman"/>
              </w:rPr>
            </w:pPr>
            <w:r w:rsidRPr="008D6B70">
              <w:t>NE</w:t>
            </w:r>
          </w:p>
        </w:tc>
        <w:tc>
          <w:tcPr>
            <w:tcW w:w="502" w:type="pct"/>
          </w:tcPr>
          <w:p w:rsidR="007B51A5" w:rsidRPr="008D6B70" w:rsidRDefault="007B51A5" w:rsidP="00555AE1">
            <w:pPr>
              <w:pStyle w:val="TableText"/>
              <w:keepNext w:val="0"/>
              <w:rPr>
                <w:rFonts w:ascii="Times" w:eastAsia="Times New Roman" w:hAnsi="Times" w:cs="Times New Roman"/>
              </w:rPr>
            </w:pPr>
            <w:r w:rsidRPr="008D6B70">
              <w:t>P=0.027</w:t>
            </w:r>
          </w:p>
        </w:tc>
        <w:tc>
          <w:tcPr>
            <w:tcW w:w="570" w:type="pct"/>
          </w:tcPr>
          <w:p w:rsidR="007B51A5" w:rsidRPr="008D6B70" w:rsidRDefault="007B51A5" w:rsidP="00555AE1">
            <w:pPr>
              <w:pStyle w:val="TableText"/>
              <w:keepNext w:val="0"/>
              <w:rPr>
                <w:rFonts w:ascii="Times" w:eastAsia="Times New Roman" w:hAnsi="Times" w:cs="Times New Roman"/>
              </w:rPr>
            </w:pPr>
            <w:r w:rsidRPr="008D6B70">
              <w:t>0.63 (0.42,0.95)</w:t>
            </w:r>
          </w:p>
        </w:tc>
      </w:tr>
    </w:tbl>
    <w:p w:rsidR="00074D4A" w:rsidRPr="008D6B70" w:rsidRDefault="00074D4A" w:rsidP="00166AE7">
      <w:pPr>
        <w:pStyle w:val="TableFooter"/>
        <w:spacing w:after="0"/>
        <w:ind w:left="1134" w:hanging="1134"/>
        <w:rPr>
          <w:rFonts w:eastAsia="Calibri"/>
        </w:rPr>
      </w:pPr>
      <w:r w:rsidRPr="008D6B70">
        <w:rPr>
          <w:rFonts w:eastAsia="Calibri"/>
        </w:rPr>
        <w:t>Abbreviations:</w:t>
      </w:r>
      <w:r w:rsidR="003E37DD" w:rsidRPr="008D6B70">
        <w:rPr>
          <w:rFonts w:eastAsia="Calibri"/>
        </w:rPr>
        <w:t xml:space="preserve"> </w:t>
      </w:r>
      <w:r w:rsidRPr="008D6B70">
        <w:rPr>
          <w:rFonts w:eastAsia="Calibri"/>
        </w:rPr>
        <w:t xml:space="preserve">CI, confidence interval; </w:t>
      </w:r>
      <w:r w:rsidRPr="008D6B70">
        <w:rPr>
          <w:rFonts w:eastAsia="Calibri"/>
          <w:iCs/>
        </w:rPr>
        <w:t>n</w:t>
      </w:r>
      <w:r w:rsidRPr="008D6B70">
        <w:rPr>
          <w:rFonts w:eastAsia="Calibri"/>
        </w:rPr>
        <w:t xml:space="preserve">, number of participants reporting data; </w:t>
      </w:r>
      <w:r w:rsidRPr="008D6B70">
        <w:rPr>
          <w:rFonts w:eastAsia="Calibri"/>
          <w:iCs/>
        </w:rPr>
        <w:t xml:space="preserve">N, </w:t>
      </w:r>
      <w:r w:rsidRPr="008D6B70">
        <w:rPr>
          <w:rFonts w:eastAsia="Calibri"/>
        </w:rPr>
        <w:t>total participants in group; NE, not evaluable.</w:t>
      </w:r>
    </w:p>
    <w:p w:rsidR="00074D4A" w:rsidRPr="008D6B70" w:rsidRDefault="00074D4A" w:rsidP="00166AE7">
      <w:pPr>
        <w:pStyle w:val="TableFooter"/>
        <w:spacing w:after="0"/>
        <w:ind w:left="1134" w:hanging="1134"/>
        <w:rPr>
          <w:rFonts w:eastAsia="Calibri"/>
        </w:rPr>
      </w:pPr>
      <w:r w:rsidRPr="008D6B70">
        <w:rPr>
          <w:rFonts w:eastAsia="Calibri"/>
        </w:rPr>
        <w:t>Note: Median follow-up in CASTOR is 13.0 months and POLLUX is 17.3 months</w:t>
      </w:r>
    </w:p>
    <w:p w:rsidR="00074D4A" w:rsidRPr="008D6B70" w:rsidRDefault="00074D4A" w:rsidP="00166AE7">
      <w:pPr>
        <w:pStyle w:val="TableFooter"/>
        <w:spacing w:after="0"/>
        <w:ind w:left="1134" w:hanging="1134"/>
      </w:pPr>
      <w:r w:rsidRPr="008D6B70">
        <w:t>Source: Table 2.28, p.58 Section 2a of the submission; Table 2.29, p.56 Section 2b of the submission.</w:t>
      </w:r>
    </w:p>
    <w:p w:rsidR="00074D4A" w:rsidRPr="008D6B70" w:rsidRDefault="00074D4A" w:rsidP="00074D4A">
      <w:pPr>
        <w:pStyle w:val="TableHeading1"/>
      </w:pPr>
      <w:r w:rsidRPr="008D6B70">
        <w:t>Figure 3: Kaplan-Meier curve of overall survival (ITT population), CASTOR</w:t>
      </w:r>
    </w:p>
    <w:p w:rsidR="00074D4A" w:rsidRPr="008D6B70" w:rsidRDefault="00074D4A" w:rsidP="00074D4A">
      <w:pPr>
        <w:pStyle w:val="TableFooter"/>
        <w:rPr>
          <w:rFonts w:ascii="Calibri" w:eastAsia="Calibri" w:hAnsi="Calibri"/>
        </w:rPr>
      </w:pPr>
      <w:r w:rsidRPr="008D6B70">
        <w:rPr>
          <w:rFonts w:ascii="Calibri" w:eastAsia="Calibri" w:hAnsi="Calibri"/>
          <w:noProof/>
          <w:lang w:eastAsia="en-AU"/>
        </w:rPr>
        <w:drawing>
          <wp:inline distT="0" distB="0" distL="0" distR="0" wp14:anchorId="73E3C8ED" wp14:editId="461EFB56">
            <wp:extent cx="4564380" cy="4195929"/>
            <wp:effectExtent l="0" t="0" r="7620" b="0"/>
            <wp:docPr id="51" name="Picture 51" title="Figure 3: Kaplan-Meier curve of overall survival (ITT population), CA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713" cy="4203589"/>
                    </a:xfrm>
                    <a:prstGeom prst="rect">
                      <a:avLst/>
                    </a:prstGeom>
                    <a:noFill/>
                  </pic:spPr>
                </pic:pic>
              </a:graphicData>
            </a:graphic>
          </wp:inline>
        </w:drawing>
      </w:r>
    </w:p>
    <w:p w:rsidR="00074D4A" w:rsidRPr="008D6B70" w:rsidRDefault="00074D4A" w:rsidP="003E37DD">
      <w:pPr>
        <w:pStyle w:val="TableHeading1"/>
        <w:keepNext w:val="0"/>
        <w:spacing w:after="0"/>
        <w:rPr>
          <w:b w:val="0"/>
          <w:sz w:val="18"/>
          <w:szCs w:val="18"/>
        </w:rPr>
      </w:pPr>
      <w:r w:rsidRPr="008D6B70">
        <w:rPr>
          <w:b w:val="0"/>
          <w:sz w:val="18"/>
          <w:szCs w:val="18"/>
        </w:rPr>
        <w:t xml:space="preserve">Abbreviations: DVd, daratumumab-bortezomib-dexamethasone; ITT, intent-to-treat; Vd, bortezomib-dexamethasone. </w:t>
      </w:r>
    </w:p>
    <w:p w:rsidR="00074D4A" w:rsidRPr="008D6B70" w:rsidRDefault="00074D4A" w:rsidP="003E37DD">
      <w:pPr>
        <w:pStyle w:val="TableHeading1"/>
        <w:keepNext w:val="0"/>
        <w:spacing w:after="0"/>
        <w:rPr>
          <w:b w:val="0"/>
          <w:sz w:val="18"/>
          <w:szCs w:val="18"/>
        </w:rPr>
      </w:pPr>
      <w:r w:rsidRPr="008D6B70">
        <w:rPr>
          <w:b w:val="0"/>
          <w:sz w:val="18"/>
          <w:szCs w:val="18"/>
        </w:rPr>
        <w:t>Note: median follow-up for CASTOR is 13.2 months.</w:t>
      </w:r>
    </w:p>
    <w:p w:rsidR="00074D4A" w:rsidRPr="008D6B70" w:rsidRDefault="00074D4A" w:rsidP="003E37DD">
      <w:pPr>
        <w:pStyle w:val="TableHeading1"/>
        <w:keepNext w:val="0"/>
        <w:spacing w:after="0"/>
        <w:rPr>
          <w:b w:val="0"/>
          <w:sz w:val="18"/>
          <w:szCs w:val="18"/>
        </w:rPr>
      </w:pPr>
      <w:r w:rsidRPr="008D6B70">
        <w:rPr>
          <w:b w:val="0"/>
          <w:sz w:val="18"/>
          <w:szCs w:val="18"/>
        </w:rPr>
        <w:t>Source: Figure 2.6, p.58 Section 2a of the submission.</w:t>
      </w:r>
    </w:p>
    <w:p w:rsidR="00074D4A" w:rsidRPr="008D6B70" w:rsidRDefault="00074D4A" w:rsidP="003E37DD">
      <w:pPr>
        <w:pStyle w:val="TableHeading1"/>
        <w:spacing w:before="120"/>
      </w:pPr>
      <w:r w:rsidRPr="008D6B70">
        <w:t>Figure 4: Kaplan-Meier curve of overall survival (ITT population), POLLUX</w:t>
      </w:r>
    </w:p>
    <w:p w:rsidR="00074D4A" w:rsidRPr="008D6B70" w:rsidRDefault="00074D4A" w:rsidP="00074D4A">
      <w:pPr>
        <w:pStyle w:val="TableHeading1"/>
      </w:pPr>
      <w:r w:rsidRPr="008D6B70">
        <w:rPr>
          <w:noProof/>
          <w:lang w:eastAsia="en-AU"/>
        </w:rPr>
        <w:drawing>
          <wp:inline distT="0" distB="0" distL="0" distR="0" wp14:anchorId="0D0777CC" wp14:editId="75A42F9F">
            <wp:extent cx="4655820" cy="3279397"/>
            <wp:effectExtent l="0" t="0" r="0" b="0"/>
            <wp:docPr id="52" name="Picture 52" title="Figure 4: Kaplan-Meier curve of overall survival (ITT population), PO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6282" cy="3286766"/>
                    </a:xfrm>
                    <a:prstGeom prst="rect">
                      <a:avLst/>
                    </a:prstGeom>
                    <a:noFill/>
                  </pic:spPr>
                </pic:pic>
              </a:graphicData>
            </a:graphic>
          </wp:inline>
        </w:drawing>
      </w:r>
    </w:p>
    <w:p w:rsidR="00074D4A" w:rsidRPr="008D6B70" w:rsidRDefault="00074D4A" w:rsidP="003E37DD">
      <w:pPr>
        <w:pStyle w:val="TableHeading1"/>
        <w:keepNext w:val="0"/>
        <w:spacing w:after="0"/>
        <w:rPr>
          <w:b w:val="0"/>
          <w:sz w:val="18"/>
          <w:szCs w:val="18"/>
        </w:rPr>
      </w:pPr>
      <w:r w:rsidRPr="008D6B70">
        <w:rPr>
          <w:b w:val="0"/>
          <w:sz w:val="18"/>
          <w:szCs w:val="18"/>
        </w:rPr>
        <w:t>Abbreviations: D, daratumumab; d, dexamethasone; ITT, intent-to-treat; R, lenalidomide</w:t>
      </w:r>
    </w:p>
    <w:p w:rsidR="00074D4A" w:rsidRPr="008D6B70" w:rsidRDefault="00074D4A" w:rsidP="003E37DD">
      <w:pPr>
        <w:pStyle w:val="TableHeading1"/>
        <w:keepNext w:val="0"/>
        <w:spacing w:after="0"/>
        <w:rPr>
          <w:b w:val="0"/>
          <w:sz w:val="18"/>
          <w:szCs w:val="18"/>
        </w:rPr>
      </w:pPr>
      <w:r w:rsidRPr="008D6B70">
        <w:rPr>
          <w:b w:val="0"/>
          <w:sz w:val="18"/>
          <w:szCs w:val="18"/>
        </w:rPr>
        <w:t xml:space="preserve">Note: median follow-up for POLLUX is 17.3 months. </w:t>
      </w:r>
    </w:p>
    <w:p w:rsidR="00074D4A" w:rsidRPr="008D6B70" w:rsidRDefault="00074D4A" w:rsidP="003E37DD">
      <w:pPr>
        <w:pStyle w:val="TableHeading1"/>
        <w:keepNext w:val="0"/>
        <w:spacing w:after="0"/>
        <w:rPr>
          <w:b w:val="0"/>
          <w:sz w:val="18"/>
          <w:szCs w:val="18"/>
        </w:rPr>
      </w:pPr>
      <w:r w:rsidRPr="008D6B70">
        <w:rPr>
          <w:b w:val="0"/>
          <w:sz w:val="18"/>
          <w:szCs w:val="18"/>
        </w:rPr>
        <w:t>Source: Figure 2.5, p.56 Section 2b of the submission.</w:t>
      </w:r>
    </w:p>
    <w:p w:rsidR="00742F6F" w:rsidRPr="008D6B70" w:rsidRDefault="00074D4A" w:rsidP="00865EA5">
      <w:pPr>
        <w:pStyle w:val="ListParagraph"/>
        <w:numPr>
          <w:ilvl w:val="1"/>
          <w:numId w:val="108"/>
        </w:numPr>
        <w:ind w:left="709" w:hanging="709"/>
        <w:jc w:val="both"/>
      </w:pPr>
      <w:bookmarkStart w:id="17" w:name="_Hlk492020350"/>
      <w:bookmarkStart w:id="18" w:name="_Hlk492626473"/>
      <w:bookmarkStart w:id="19" w:name="_Hlk490046269"/>
      <w:r w:rsidRPr="008D6B70">
        <w:t xml:space="preserve">The results </w:t>
      </w:r>
      <w:r w:rsidR="00B70A53" w:rsidRPr="008D6B70">
        <w:t>for the</w:t>
      </w:r>
      <w:r w:rsidRPr="008D6B70">
        <w:t xml:space="preserve"> overall response rate are presented in Table 6</w:t>
      </w:r>
      <w:r w:rsidR="00B70A53" w:rsidRPr="008D6B70">
        <w:t xml:space="preserve">, and </w:t>
      </w:r>
      <w:r w:rsidR="00FC79C8">
        <w:t>Minim</w:t>
      </w:r>
      <w:r w:rsidR="00F2270E">
        <w:t>al</w:t>
      </w:r>
      <w:r w:rsidR="00FC79C8">
        <w:t xml:space="preserve"> Residual Disease (</w:t>
      </w:r>
      <w:r w:rsidR="00B70A53" w:rsidRPr="008D6B70">
        <w:t>MRD</w:t>
      </w:r>
      <w:r w:rsidR="00FC79C8">
        <w:t>)</w:t>
      </w:r>
      <w:r w:rsidR="00B70A53" w:rsidRPr="008D6B70">
        <w:t xml:space="preserve"> negativity </w:t>
      </w:r>
      <w:bookmarkEnd w:id="17"/>
      <w:r w:rsidR="00B70A53" w:rsidRPr="008D6B70">
        <w:t>in Table 7.</w:t>
      </w:r>
      <w:r w:rsidR="00302518" w:rsidRPr="008D6B70">
        <w:t xml:space="preserve"> </w:t>
      </w:r>
      <w:bookmarkEnd w:id="18"/>
      <w:r w:rsidR="00FC79C8">
        <w:t>D</w:t>
      </w:r>
      <w:r w:rsidR="00302518" w:rsidRPr="008D6B70">
        <w:t xml:space="preserve">aratumumab </w:t>
      </w:r>
      <w:r w:rsidR="00F20075" w:rsidRPr="008D6B70">
        <w:t xml:space="preserve">in combination with either </w:t>
      </w:r>
      <w:r w:rsidR="00FC79C8">
        <w:t>Bd</w:t>
      </w:r>
      <w:r w:rsidR="00FC79C8" w:rsidRPr="008D6B70">
        <w:t xml:space="preserve"> </w:t>
      </w:r>
      <w:r w:rsidR="00F20075" w:rsidRPr="008D6B70">
        <w:t xml:space="preserve">or </w:t>
      </w:r>
      <w:r w:rsidR="00FC79C8">
        <w:t>Ld</w:t>
      </w:r>
      <w:r w:rsidR="00FC79C8" w:rsidRPr="008D6B70">
        <w:t xml:space="preserve"> </w:t>
      </w:r>
      <w:r w:rsidR="00302518" w:rsidRPr="008D6B70">
        <w:t xml:space="preserve">was associated with a statistically significant </w:t>
      </w:r>
      <w:r w:rsidR="00F20075" w:rsidRPr="008D6B70">
        <w:t>improvement</w:t>
      </w:r>
      <w:r w:rsidR="00302518" w:rsidRPr="008D6B70">
        <w:t xml:space="preserve"> in the </w:t>
      </w:r>
      <w:r w:rsidR="00F20075" w:rsidRPr="008D6B70">
        <w:t>overall response rate</w:t>
      </w:r>
      <w:r w:rsidR="00302518" w:rsidRPr="008D6B70">
        <w:t xml:space="preserve">, and was associated with more patients achieving MRD negativity (at all </w:t>
      </w:r>
      <w:r w:rsidR="00FC79C8">
        <w:t xml:space="preserve">sensitivity </w:t>
      </w:r>
      <w:r w:rsidR="00302518" w:rsidRPr="008D6B70">
        <w:t xml:space="preserve">levels). The submission </w:t>
      </w:r>
      <w:r w:rsidR="00FC79C8">
        <w:t>argued that there is some evidence</w:t>
      </w:r>
      <w:r w:rsidR="00302518" w:rsidRPr="008D6B70">
        <w:t xml:space="preserve"> that overall survival is improved in patients who achieve MRD negativity. </w:t>
      </w:r>
      <w:r w:rsidR="00FC79C8">
        <w:t>However, n</w:t>
      </w:r>
      <w:r w:rsidR="00302518" w:rsidRPr="008D6B70">
        <w:t>o claim of a survival gain on the basis of gains in MRD negativity</w:t>
      </w:r>
      <w:r w:rsidR="00434013" w:rsidRPr="008D6B70">
        <w:t xml:space="preserve"> wa</w:t>
      </w:r>
      <w:r w:rsidR="00302518" w:rsidRPr="008D6B70">
        <w:t xml:space="preserve">s made in the submission or </w:t>
      </w:r>
      <w:r w:rsidR="00FC79C8">
        <w:t xml:space="preserve">included in </w:t>
      </w:r>
      <w:r w:rsidR="00302518" w:rsidRPr="008D6B70">
        <w:t>its economic evaluation.</w:t>
      </w:r>
    </w:p>
    <w:bookmarkEnd w:id="19"/>
    <w:p w:rsidR="00074D4A" w:rsidRPr="008D6B70" w:rsidRDefault="00074D4A" w:rsidP="00742F6F">
      <w:pPr>
        <w:pStyle w:val="TableHeading1"/>
      </w:pPr>
      <w:r w:rsidRPr="008D6B70">
        <w:t xml:space="preserve">Table </w:t>
      </w:r>
      <w:r w:rsidR="003118DA" w:rsidRPr="008D6B70">
        <w:t>6</w:t>
      </w:r>
      <w:r w:rsidRPr="008D6B70">
        <w:t xml:space="preserve">: Results of overall responses (computerised algorithm) across the studies (response evaluable population)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02"/>
        <w:gridCol w:w="1695"/>
        <w:gridCol w:w="2553"/>
        <w:gridCol w:w="2189"/>
      </w:tblGrid>
      <w:tr w:rsidR="00074D4A" w:rsidRPr="008D6B70" w:rsidTr="002A241D">
        <w:trPr>
          <w:tblHeader/>
        </w:trPr>
        <w:tc>
          <w:tcPr>
            <w:tcW w:w="597" w:type="pct"/>
            <w:tcBorders>
              <w:bottom w:val="single" w:sz="4" w:space="0" w:color="auto"/>
            </w:tcBorders>
          </w:tcPr>
          <w:p w:rsidR="00074D4A" w:rsidRPr="008D6B70" w:rsidRDefault="00074D4A" w:rsidP="00555AE1">
            <w:pPr>
              <w:pStyle w:val="TableText"/>
              <w:rPr>
                <w:b/>
              </w:rPr>
            </w:pPr>
            <w:r w:rsidRPr="008D6B70">
              <w:rPr>
                <w:b/>
              </w:rPr>
              <w:t>Trial ID</w:t>
            </w:r>
          </w:p>
        </w:tc>
        <w:tc>
          <w:tcPr>
            <w:tcW w:w="921" w:type="pct"/>
            <w:tcBorders>
              <w:bottom w:val="single" w:sz="4" w:space="0" w:color="auto"/>
            </w:tcBorders>
          </w:tcPr>
          <w:p w:rsidR="00074D4A" w:rsidRPr="008D6B70" w:rsidRDefault="00074D4A" w:rsidP="002A241D">
            <w:pPr>
              <w:pStyle w:val="TableText"/>
              <w:jc w:val="center"/>
              <w:rPr>
                <w:b/>
              </w:rPr>
            </w:pPr>
            <w:r w:rsidRPr="008D6B70">
              <w:rPr>
                <w:b/>
              </w:rPr>
              <w:t>n/N with event (%)</w:t>
            </w:r>
          </w:p>
        </w:tc>
        <w:tc>
          <w:tcPr>
            <w:tcW w:w="917" w:type="pct"/>
            <w:tcBorders>
              <w:bottom w:val="single" w:sz="4" w:space="0" w:color="auto"/>
            </w:tcBorders>
          </w:tcPr>
          <w:p w:rsidR="00074D4A" w:rsidRPr="008D6B70" w:rsidRDefault="00074D4A" w:rsidP="002A241D">
            <w:pPr>
              <w:pStyle w:val="TableText"/>
              <w:jc w:val="center"/>
              <w:rPr>
                <w:b/>
              </w:rPr>
            </w:pPr>
            <w:r w:rsidRPr="008D6B70">
              <w:rPr>
                <w:b/>
              </w:rPr>
              <w:t>n/N with event (%)</w:t>
            </w:r>
          </w:p>
        </w:tc>
        <w:tc>
          <w:tcPr>
            <w:tcW w:w="1381" w:type="pct"/>
            <w:tcBorders>
              <w:bottom w:val="single" w:sz="4" w:space="0" w:color="auto"/>
            </w:tcBorders>
          </w:tcPr>
          <w:p w:rsidR="00074D4A" w:rsidRPr="008D6B70" w:rsidRDefault="00074D4A" w:rsidP="002A241D">
            <w:pPr>
              <w:pStyle w:val="TableText"/>
              <w:jc w:val="center"/>
              <w:rPr>
                <w:b/>
              </w:rPr>
            </w:pPr>
            <w:r w:rsidRPr="008D6B70">
              <w:rPr>
                <w:b/>
              </w:rPr>
              <w:t>OR (95% CI), p-value</w:t>
            </w:r>
            <w:r w:rsidRPr="008D6B70">
              <w:rPr>
                <w:b/>
                <w:vertAlign w:val="superscript"/>
              </w:rPr>
              <w:t>a</w:t>
            </w:r>
          </w:p>
        </w:tc>
        <w:tc>
          <w:tcPr>
            <w:tcW w:w="1184" w:type="pct"/>
            <w:tcBorders>
              <w:bottom w:val="single" w:sz="4" w:space="0" w:color="auto"/>
            </w:tcBorders>
          </w:tcPr>
          <w:p w:rsidR="00074D4A" w:rsidRPr="008D6B70" w:rsidRDefault="00074D4A" w:rsidP="002A241D">
            <w:pPr>
              <w:pStyle w:val="TableText"/>
              <w:jc w:val="center"/>
              <w:rPr>
                <w:b/>
              </w:rPr>
            </w:pPr>
            <w:r w:rsidRPr="008D6B70">
              <w:rPr>
                <w:b/>
              </w:rPr>
              <w:t xml:space="preserve">Risk </w:t>
            </w:r>
            <w:r w:rsidR="009E78F9" w:rsidRPr="008D6B70">
              <w:rPr>
                <w:b/>
              </w:rPr>
              <w:t>difference (</w:t>
            </w:r>
            <w:r w:rsidRPr="008D6B70">
              <w:rPr>
                <w:b/>
              </w:rPr>
              <w:t>95% CI)</w:t>
            </w:r>
          </w:p>
        </w:tc>
      </w:tr>
      <w:tr w:rsidR="00074D4A" w:rsidRPr="008D6B70" w:rsidTr="002A241D">
        <w:tc>
          <w:tcPr>
            <w:tcW w:w="597" w:type="pct"/>
            <w:tcBorders>
              <w:right w:val="single" w:sz="4" w:space="0" w:color="auto"/>
            </w:tcBorders>
          </w:tcPr>
          <w:p w:rsidR="00074D4A" w:rsidRPr="002A241D" w:rsidRDefault="00074D4A" w:rsidP="00555AE1">
            <w:pPr>
              <w:pStyle w:val="TableText"/>
              <w:rPr>
                <w:b/>
              </w:rPr>
            </w:pPr>
            <w:r w:rsidRPr="002A241D">
              <w:rPr>
                <w:b/>
              </w:rPr>
              <w:t>CASTOR</w:t>
            </w:r>
          </w:p>
        </w:tc>
        <w:tc>
          <w:tcPr>
            <w:tcW w:w="921" w:type="pct"/>
            <w:tcBorders>
              <w:left w:val="single" w:sz="4" w:space="0" w:color="auto"/>
              <w:right w:val="single" w:sz="4" w:space="0" w:color="auto"/>
            </w:tcBorders>
          </w:tcPr>
          <w:p w:rsidR="00074D4A" w:rsidRPr="002A241D" w:rsidRDefault="00074D4A" w:rsidP="002A241D">
            <w:pPr>
              <w:pStyle w:val="TableText"/>
              <w:jc w:val="center"/>
              <w:rPr>
                <w:b/>
              </w:rPr>
            </w:pPr>
            <w:r w:rsidRPr="002A241D">
              <w:rPr>
                <w:b/>
              </w:rPr>
              <w:t>DBd</w:t>
            </w:r>
          </w:p>
        </w:tc>
        <w:tc>
          <w:tcPr>
            <w:tcW w:w="917" w:type="pct"/>
            <w:tcBorders>
              <w:left w:val="single" w:sz="4" w:space="0" w:color="auto"/>
              <w:right w:val="single" w:sz="4" w:space="0" w:color="auto"/>
            </w:tcBorders>
          </w:tcPr>
          <w:p w:rsidR="00074D4A" w:rsidRPr="002A241D" w:rsidRDefault="00074D4A" w:rsidP="002A241D">
            <w:pPr>
              <w:pStyle w:val="TableText"/>
              <w:jc w:val="center"/>
              <w:rPr>
                <w:b/>
              </w:rPr>
            </w:pPr>
            <w:r w:rsidRPr="002A241D">
              <w:rPr>
                <w:b/>
              </w:rPr>
              <w:t>Bd</w:t>
            </w:r>
          </w:p>
        </w:tc>
        <w:tc>
          <w:tcPr>
            <w:tcW w:w="1381" w:type="pct"/>
            <w:tcBorders>
              <w:left w:val="single" w:sz="4" w:space="0" w:color="auto"/>
              <w:right w:val="single" w:sz="4" w:space="0" w:color="auto"/>
            </w:tcBorders>
          </w:tcPr>
          <w:p w:rsidR="00074D4A" w:rsidRPr="008D6B70" w:rsidRDefault="00074D4A" w:rsidP="002A241D">
            <w:pPr>
              <w:pStyle w:val="TableText"/>
              <w:jc w:val="center"/>
            </w:pPr>
          </w:p>
        </w:tc>
        <w:tc>
          <w:tcPr>
            <w:tcW w:w="1184" w:type="pct"/>
            <w:tcBorders>
              <w:left w:val="single" w:sz="4" w:space="0" w:color="auto"/>
            </w:tcBorders>
          </w:tcPr>
          <w:p w:rsidR="00074D4A" w:rsidRPr="008D6B70" w:rsidRDefault="00074D4A" w:rsidP="002A241D">
            <w:pPr>
              <w:pStyle w:val="TableText"/>
              <w:jc w:val="center"/>
            </w:pPr>
          </w:p>
        </w:tc>
      </w:tr>
      <w:tr w:rsidR="00074D4A" w:rsidRPr="008D6B70" w:rsidTr="002A241D">
        <w:tc>
          <w:tcPr>
            <w:tcW w:w="597" w:type="pct"/>
            <w:tcBorders>
              <w:bottom w:val="single" w:sz="4" w:space="0" w:color="auto"/>
            </w:tcBorders>
          </w:tcPr>
          <w:p w:rsidR="00074D4A" w:rsidRPr="008D6B70" w:rsidRDefault="00074D4A" w:rsidP="00555AE1">
            <w:pPr>
              <w:pStyle w:val="TableText"/>
            </w:pPr>
            <w:r w:rsidRPr="008D6B70">
              <w:t xml:space="preserve">ORR </w:t>
            </w:r>
          </w:p>
        </w:tc>
        <w:tc>
          <w:tcPr>
            <w:tcW w:w="921" w:type="pct"/>
            <w:tcBorders>
              <w:bottom w:val="single" w:sz="4" w:space="0" w:color="auto"/>
            </w:tcBorders>
          </w:tcPr>
          <w:p w:rsidR="00074D4A" w:rsidRPr="008D6B70" w:rsidRDefault="00074D4A" w:rsidP="002A241D">
            <w:pPr>
              <w:pStyle w:val="TableText"/>
              <w:jc w:val="center"/>
              <w:rPr>
                <w:rFonts w:ascii="Times" w:eastAsia="Times New Roman" w:hAnsi="Times" w:cs="Times New Roman"/>
              </w:rPr>
            </w:pPr>
            <w:r w:rsidRPr="005C7A06">
              <w:t>202</w:t>
            </w:r>
            <w:r w:rsidRPr="008D6B70">
              <w:t>/</w:t>
            </w:r>
            <w:r w:rsidRPr="005C7A06">
              <w:t>240</w:t>
            </w:r>
            <w:r w:rsidRPr="008D6B70">
              <w:t xml:space="preserve"> (</w:t>
            </w:r>
            <w:r w:rsidRPr="005C7A06">
              <w:t>84</w:t>
            </w:r>
            <w:r w:rsidRPr="008D6B70">
              <w:t>)</w:t>
            </w:r>
          </w:p>
        </w:tc>
        <w:tc>
          <w:tcPr>
            <w:tcW w:w="917" w:type="pct"/>
            <w:tcBorders>
              <w:bottom w:val="single" w:sz="4" w:space="0" w:color="auto"/>
            </w:tcBorders>
          </w:tcPr>
          <w:p w:rsidR="00074D4A" w:rsidRPr="008D6B70" w:rsidRDefault="00074D4A" w:rsidP="002A241D">
            <w:pPr>
              <w:pStyle w:val="TableText"/>
              <w:jc w:val="center"/>
              <w:rPr>
                <w:rFonts w:ascii="Times" w:eastAsia="Times New Roman" w:hAnsi="Times" w:cs="Times New Roman"/>
              </w:rPr>
            </w:pPr>
            <w:r w:rsidRPr="005C7A06">
              <w:t>147</w:t>
            </w:r>
            <w:r w:rsidRPr="008D6B70">
              <w:t>/</w:t>
            </w:r>
            <w:r w:rsidRPr="005C7A06">
              <w:t>234</w:t>
            </w:r>
            <w:r w:rsidRPr="008D6B70">
              <w:t xml:space="preserve"> (</w:t>
            </w:r>
            <w:r w:rsidRPr="005C7A06">
              <w:t>63</w:t>
            </w:r>
            <w:r w:rsidRPr="008D6B70">
              <w:t>)</w:t>
            </w:r>
          </w:p>
        </w:tc>
        <w:tc>
          <w:tcPr>
            <w:tcW w:w="1381" w:type="pct"/>
            <w:tcBorders>
              <w:bottom w:val="single" w:sz="4" w:space="0" w:color="auto"/>
            </w:tcBorders>
          </w:tcPr>
          <w:p w:rsidR="00074D4A" w:rsidRPr="008D6B70" w:rsidRDefault="000A7F1F" w:rsidP="002A241D">
            <w:pPr>
              <w:pStyle w:val="TableText"/>
              <w:jc w:val="center"/>
              <w:rPr>
                <w:rFonts w:ascii="Times" w:eastAsia="Times New Roman" w:hAnsi="Times" w:cs="Times New Roman"/>
              </w:rPr>
            </w:pPr>
            <w:r>
              <w:rPr>
                <w:noProof/>
                <w:color w:val="000000"/>
                <w:highlight w:val="black"/>
              </w:rPr>
              <w:t>'''''''''' '''''''''''''' ''''''''''''</w:t>
            </w:r>
            <w:r w:rsidR="00074D4A" w:rsidRPr="008D6B70">
              <w:t>, p&lt;0.0001</w:t>
            </w:r>
          </w:p>
        </w:tc>
        <w:tc>
          <w:tcPr>
            <w:tcW w:w="1184" w:type="pct"/>
          </w:tcPr>
          <w:p w:rsidR="00074D4A" w:rsidRPr="000A7F1F" w:rsidRDefault="000A7F1F" w:rsidP="002A241D">
            <w:pPr>
              <w:pStyle w:val="TableText"/>
              <w:jc w:val="center"/>
              <w:rPr>
                <w:rFonts w:ascii="Times" w:eastAsia="Times New Roman" w:hAnsi="Times" w:cs="Times New Roman"/>
                <w:highlight w:val="black"/>
              </w:rPr>
            </w:pPr>
            <w:r>
              <w:rPr>
                <w:noProof/>
                <w:color w:val="000000"/>
                <w:highlight w:val="black"/>
              </w:rPr>
              <w:t>''''''''''''' ''''''''''''''' ''''''''''''''''</w:t>
            </w:r>
          </w:p>
        </w:tc>
      </w:tr>
      <w:tr w:rsidR="00074D4A" w:rsidRPr="008D6B70" w:rsidTr="002A241D">
        <w:tc>
          <w:tcPr>
            <w:tcW w:w="597" w:type="pct"/>
            <w:tcBorders>
              <w:right w:val="single" w:sz="4" w:space="0" w:color="auto"/>
            </w:tcBorders>
          </w:tcPr>
          <w:p w:rsidR="00074D4A" w:rsidRPr="002A241D" w:rsidRDefault="00074D4A" w:rsidP="00555AE1">
            <w:pPr>
              <w:pStyle w:val="TableText"/>
              <w:rPr>
                <w:b/>
              </w:rPr>
            </w:pPr>
            <w:r w:rsidRPr="002A241D">
              <w:rPr>
                <w:b/>
              </w:rPr>
              <w:t>POLLUX</w:t>
            </w:r>
          </w:p>
        </w:tc>
        <w:tc>
          <w:tcPr>
            <w:tcW w:w="921" w:type="pct"/>
            <w:tcBorders>
              <w:left w:val="single" w:sz="4" w:space="0" w:color="auto"/>
              <w:right w:val="single" w:sz="4" w:space="0" w:color="auto"/>
            </w:tcBorders>
          </w:tcPr>
          <w:p w:rsidR="00074D4A" w:rsidRPr="002A241D" w:rsidRDefault="00074D4A" w:rsidP="002A241D">
            <w:pPr>
              <w:pStyle w:val="TableText"/>
              <w:jc w:val="center"/>
              <w:rPr>
                <w:b/>
              </w:rPr>
            </w:pPr>
            <w:r w:rsidRPr="002A241D">
              <w:rPr>
                <w:b/>
              </w:rPr>
              <w:t>DLd</w:t>
            </w:r>
          </w:p>
        </w:tc>
        <w:tc>
          <w:tcPr>
            <w:tcW w:w="917" w:type="pct"/>
            <w:tcBorders>
              <w:left w:val="single" w:sz="4" w:space="0" w:color="auto"/>
              <w:right w:val="single" w:sz="4" w:space="0" w:color="auto"/>
            </w:tcBorders>
          </w:tcPr>
          <w:p w:rsidR="00074D4A" w:rsidRPr="002A241D" w:rsidRDefault="00074D4A" w:rsidP="002A241D">
            <w:pPr>
              <w:pStyle w:val="TableText"/>
              <w:jc w:val="center"/>
              <w:rPr>
                <w:b/>
              </w:rPr>
            </w:pPr>
            <w:r w:rsidRPr="002A241D">
              <w:rPr>
                <w:b/>
              </w:rPr>
              <w:t>Ld</w:t>
            </w:r>
          </w:p>
        </w:tc>
        <w:tc>
          <w:tcPr>
            <w:tcW w:w="1381" w:type="pct"/>
            <w:tcBorders>
              <w:left w:val="single" w:sz="4" w:space="0" w:color="auto"/>
              <w:right w:val="single" w:sz="4" w:space="0" w:color="auto"/>
            </w:tcBorders>
          </w:tcPr>
          <w:p w:rsidR="00074D4A" w:rsidRPr="008D6B70" w:rsidRDefault="00074D4A" w:rsidP="002A241D">
            <w:pPr>
              <w:pStyle w:val="TableText"/>
              <w:jc w:val="center"/>
            </w:pPr>
          </w:p>
        </w:tc>
        <w:tc>
          <w:tcPr>
            <w:tcW w:w="1184" w:type="pct"/>
            <w:tcBorders>
              <w:left w:val="single" w:sz="4" w:space="0" w:color="auto"/>
            </w:tcBorders>
          </w:tcPr>
          <w:p w:rsidR="00074D4A" w:rsidRPr="008D6B70" w:rsidRDefault="00074D4A" w:rsidP="002A241D">
            <w:pPr>
              <w:pStyle w:val="TableText"/>
              <w:jc w:val="center"/>
            </w:pPr>
          </w:p>
        </w:tc>
      </w:tr>
      <w:tr w:rsidR="00074D4A" w:rsidRPr="008D6B70" w:rsidTr="002A241D">
        <w:tc>
          <w:tcPr>
            <w:tcW w:w="597" w:type="pct"/>
          </w:tcPr>
          <w:p w:rsidR="00074D4A" w:rsidRPr="008D6B70" w:rsidRDefault="00074D4A" w:rsidP="00555AE1">
            <w:pPr>
              <w:pStyle w:val="TableText"/>
              <w:rPr>
                <w:rFonts w:ascii="Times" w:eastAsia="Times New Roman" w:hAnsi="Times" w:cs="Times New Roman"/>
              </w:rPr>
            </w:pPr>
            <w:r w:rsidRPr="008D6B70">
              <w:t>ORR</w:t>
            </w:r>
          </w:p>
        </w:tc>
        <w:tc>
          <w:tcPr>
            <w:tcW w:w="921" w:type="pct"/>
          </w:tcPr>
          <w:p w:rsidR="00074D4A" w:rsidRPr="000A7F1F" w:rsidRDefault="000A7F1F" w:rsidP="002A241D">
            <w:pPr>
              <w:pStyle w:val="TableText"/>
              <w:jc w:val="center"/>
              <w:rPr>
                <w:rFonts w:ascii="Times" w:eastAsia="Times New Roman" w:hAnsi="Times" w:cs="Times New Roman"/>
                <w:highlight w:val="black"/>
              </w:rPr>
            </w:pPr>
            <w:r>
              <w:rPr>
                <w:noProof/>
                <w:color w:val="000000"/>
                <w:highlight w:val="black"/>
              </w:rPr>
              <w:t>'''''''''''''''''''''' ''''''''''</w:t>
            </w:r>
          </w:p>
        </w:tc>
        <w:tc>
          <w:tcPr>
            <w:tcW w:w="917" w:type="pct"/>
          </w:tcPr>
          <w:p w:rsidR="00074D4A" w:rsidRPr="000A7F1F" w:rsidRDefault="000A7F1F" w:rsidP="002A241D">
            <w:pPr>
              <w:pStyle w:val="TableText"/>
              <w:jc w:val="center"/>
              <w:rPr>
                <w:rFonts w:ascii="Times" w:eastAsia="Times New Roman" w:hAnsi="Times" w:cs="Times New Roman"/>
                <w:highlight w:val="black"/>
              </w:rPr>
            </w:pPr>
            <w:r>
              <w:rPr>
                <w:noProof/>
                <w:color w:val="000000"/>
                <w:highlight w:val="black"/>
              </w:rPr>
              <w:t>''''''''''''''''''''' '''''''''</w:t>
            </w:r>
          </w:p>
        </w:tc>
        <w:tc>
          <w:tcPr>
            <w:tcW w:w="1381" w:type="pct"/>
          </w:tcPr>
          <w:p w:rsidR="00074D4A" w:rsidRPr="000A7F1F" w:rsidRDefault="000A7F1F" w:rsidP="002A241D">
            <w:pPr>
              <w:pStyle w:val="TableText"/>
              <w:jc w:val="center"/>
              <w:rPr>
                <w:rFonts w:ascii="Times" w:eastAsia="Times New Roman" w:hAnsi="Times" w:cs="Times New Roman"/>
                <w:highlight w:val="black"/>
              </w:rPr>
            </w:pPr>
            <w:r>
              <w:rPr>
                <w:noProof/>
                <w:color w:val="000000"/>
                <w:highlight w:val="black"/>
              </w:rPr>
              <w:t>'''''''''' '''''''''''''' ''''''''''''''' ''''''''''''''''''''</w:t>
            </w:r>
          </w:p>
        </w:tc>
        <w:tc>
          <w:tcPr>
            <w:tcW w:w="1184" w:type="pct"/>
          </w:tcPr>
          <w:p w:rsidR="00074D4A" w:rsidRPr="000A7F1F" w:rsidRDefault="000A7F1F" w:rsidP="002A241D">
            <w:pPr>
              <w:pStyle w:val="TableText"/>
              <w:jc w:val="center"/>
              <w:rPr>
                <w:rFonts w:ascii="Times" w:eastAsia="Times New Roman" w:hAnsi="Times" w:cs="Times New Roman"/>
                <w:highlight w:val="black"/>
              </w:rPr>
            </w:pPr>
            <w:r>
              <w:rPr>
                <w:noProof/>
                <w:color w:val="000000"/>
                <w:highlight w:val="black"/>
              </w:rPr>
              <w:t>'''''''''''''' '''''''''''''''' '''''''''''''''</w:t>
            </w:r>
          </w:p>
        </w:tc>
      </w:tr>
    </w:tbl>
    <w:p w:rsidR="00074D4A" w:rsidRPr="008D6B70" w:rsidRDefault="00074D4A" w:rsidP="003E37DD">
      <w:pPr>
        <w:pStyle w:val="TableHeading1"/>
        <w:keepNext w:val="0"/>
        <w:spacing w:after="0"/>
        <w:rPr>
          <w:b w:val="0"/>
          <w:sz w:val="18"/>
          <w:szCs w:val="18"/>
        </w:rPr>
      </w:pPr>
      <w:r w:rsidRPr="008D6B70">
        <w:rPr>
          <w:b w:val="0"/>
          <w:sz w:val="18"/>
          <w:szCs w:val="18"/>
        </w:rPr>
        <w:t>Abbreviations:</w:t>
      </w:r>
      <w:r w:rsidR="003E37DD" w:rsidRPr="008D6B70">
        <w:rPr>
          <w:b w:val="0"/>
          <w:sz w:val="18"/>
          <w:szCs w:val="18"/>
        </w:rPr>
        <w:t xml:space="preserve"> </w:t>
      </w:r>
      <w:r w:rsidRPr="008D6B70">
        <w:rPr>
          <w:b w:val="0"/>
          <w:sz w:val="18"/>
          <w:szCs w:val="18"/>
        </w:rPr>
        <w:t>Bd, bortezomib and dexamethasone; DBd, daratumumab, bortezomib, and dexamethasone; DLd, daratumumab, lenalidomide and dexamethasone; CI, confidence interval; Ld, lenalidomide and dexamethasone; n, number of participants with event; N, total participants in group; NR, not reported; OR, odds ratio; ORR, overall response rate</w:t>
      </w:r>
    </w:p>
    <w:p w:rsidR="00074D4A" w:rsidRPr="008D6B70" w:rsidRDefault="00074D4A" w:rsidP="003E37DD">
      <w:pPr>
        <w:pStyle w:val="TableHeading1"/>
        <w:keepNext w:val="0"/>
        <w:spacing w:after="0"/>
        <w:rPr>
          <w:b w:val="0"/>
          <w:sz w:val="18"/>
          <w:szCs w:val="18"/>
        </w:rPr>
      </w:pPr>
      <w:r w:rsidRPr="008D6B70">
        <w:rPr>
          <w:b w:val="0"/>
          <w:sz w:val="18"/>
          <w:szCs w:val="18"/>
        </w:rPr>
        <w:t xml:space="preserve">Note: Median follow-up in CASTOR is 13.0 months and POLLUX is 17.3 months. ORR is stringent complete response + complete response + very good partial response + partial response </w:t>
      </w:r>
    </w:p>
    <w:p w:rsidR="00074D4A" w:rsidRPr="008D6B70" w:rsidRDefault="00074D4A" w:rsidP="003E37DD">
      <w:pPr>
        <w:pStyle w:val="TableHeading1"/>
        <w:keepNext w:val="0"/>
        <w:spacing w:after="0"/>
        <w:rPr>
          <w:b w:val="0"/>
          <w:sz w:val="18"/>
          <w:szCs w:val="18"/>
        </w:rPr>
      </w:pPr>
      <w:r w:rsidRPr="008D6B70">
        <w:rPr>
          <w:b w:val="0"/>
          <w:sz w:val="18"/>
          <w:szCs w:val="18"/>
        </w:rPr>
        <w:t xml:space="preserve">a. The OR and p-value for the longer-term follow-up data was calculated by the sponsor and not adjusted by stratification factors as done in the primary analysis of ORR. </w:t>
      </w:r>
    </w:p>
    <w:p w:rsidR="00074D4A" w:rsidRPr="008D6B70" w:rsidRDefault="00074D4A" w:rsidP="003E37DD">
      <w:pPr>
        <w:pStyle w:val="TableHeading1"/>
        <w:keepNext w:val="0"/>
        <w:spacing w:after="0"/>
        <w:rPr>
          <w:b w:val="0"/>
          <w:sz w:val="18"/>
          <w:szCs w:val="18"/>
        </w:rPr>
      </w:pPr>
      <w:r w:rsidRPr="008D6B70">
        <w:rPr>
          <w:b w:val="0"/>
          <w:sz w:val="18"/>
          <w:szCs w:val="18"/>
        </w:rPr>
        <w:t>Source: Table 2.34, p.71 Section 2a of the submission; Table 2.3.5, p.70 Section 2b of the submission</w:t>
      </w:r>
      <w:r w:rsidR="003118DA" w:rsidRPr="008D6B70">
        <w:rPr>
          <w:b w:val="0"/>
          <w:sz w:val="18"/>
          <w:szCs w:val="18"/>
        </w:rPr>
        <w:t>. Risk difference calculated during the evaluation.</w:t>
      </w:r>
    </w:p>
    <w:p w:rsidR="00074D4A" w:rsidRPr="008D6B70" w:rsidRDefault="00074D4A" w:rsidP="00C07F6D">
      <w:pPr>
        <w:pStyle w:val="TableHeading1"/>
        <w:spacing w:before="120"/>
      </w:pPr>
      <w:r w:rsidRPr="008D6B70">
        <w:t>Table 7: Results of MRD negative rate at 10</w:t>
      </w:r>
      <w:r w:rsidRPr="008D6B70">
        <w:rPr>
          <w:vertAlign w:val="superscript"/>
        </w:rPr>
        <w:t>-4</w:t>
      </w:r>
      <w:r w:rsidRPr="008D6B70">
        <w:t>, 10</w:t>
      </w:r>
      <w:r w:rsidRPr="008D6B70">
        <w:rPr>
          <w:vertAlign w:val="superscript"/>
        </w:rPr>
        <w:t>-5</w:t>
      </w:r>
      <w:r w:rsidRPr="008D6B70">
        <w:t>, 10</w:t>
      </w:r>
      <w:r w:rsidRPr="008D6B70">
        <w:rPr>
          <w:vertAlign w:val="superscript"/>
        </w:rPr>
        <w:t>-6</w:t>
      </w:r>
      <w:r w:rsidRPr="008D6B70">
        <w:t xml:space="preserve"> sensitivity levels across the studies (ITT population)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983"/>
        <w:gridCol w:w="1985"/>
        <w:gridCol w:w="2128"/>
        <w:gridCol w:w="2044"/>
      </w:tblGrid>
      <w:tr w:rsidR="00074D4A" w:rsidRPr="008D6B70" w:rsidTr="00F2270E">
        <w:trPr>
          <w:tblHeader/>
        </w:trPr>
        <w:tc>
          <w:tcPr>
            <w:tcW w:w="596" w:type="pct"/>
            <w:tcBorders>
              <w:bottom w:val="single" w:sz="4" w:space="0" w:color="auto"/>
            </w:tcBorders>
          </w:tcPr>
          <w:p w:rsidR="00074D4A" w:rsidRPr="008D6B70" w:rsidRDefault="00074D4A" w:rsidP="00555AE1">
            <w:pPr>
              <w:pStyle w:val="TableText"/>
              <w:rPr>
                <w:b/>
              </w:rPr>
            </w:pPr>
            <w:r w:rsidRPr="008D6B70">
              <w:rPr>
                <w:b/>
              </w:rPr>
              <w:t>Trial ID</w:t>
            </w:r>
          </w:p>
        </w:tc>
        <w:tc>
          <w:tcPr>
            <w:tcW w:w="1073" w:type="pct"/>
            <w:tcBorders>
              <w:bottom w:val="single" w:sz="4" w:space="0" w:color="auto"/>
            </w:tcBorders>
          </w:tcPr>
          <w:p w:rsidR="00074D4A" w:rsidRPr="008D6B70" w:rsidRDefault="00074D4A" w:rsidP="00F2270E">
            <w:pPr>
              <w:pStyle w:val="TableText"/>
              <w:jc w:val="center"/>
              <w:rPr>
                <w:b/>
              </w:rPr>
            </w:pPr>
            <w:r w:rsidRPr="008D6B70">
              <w:rPr>
                <w:b/>
              </w:rPr>
              <w:t>n/N with event (%)</w:t>
            </w:r>
          </w:p>
        </w:tc>
        <w:tc>
          <w:tcPr>
            <w:tcW w:w="1074" w:type="pct"/>
            <w:tcBorders>
              <w:bottom w:val="single" w:sz="4" w:space="0" w:color="auto"/>
            </w:tcBorders>
          </w:tcPr>
          <w:p w:rsidR="00074D4A" w:rsidRPr="008D6B70" w:rsidRDefault="00074D4A" w:rsidP="00F2270E">
            <w:pPr>
              <w:pStyle w:val="TableText"/>
              <w:jc w:val="center"/>
              <w:rPr>
                <w:b/>
              </w:rPr>
            </w:pPr>
            <w:r w:rsidRPr="008D6B70">
              <w:rPr>
                <w:b/>
              </w:rPr>
              <w:t>n/N with event (%)</w:t>
            </w:r>
          </w:p>
        </w:tc>
        <w:tc>
          <w:tcPr>
            <w:tcW w:w="1151" w:type="pct"/>
            <w:tcBorders>
              <w:bottom w:val="single" w:sz="4" w:space="0" w:color="auto"/>
            </w:tcBorders>
          </w:tcPr>
          <w:p w:rsidR="00074D4A" w:rsidRPr="008D6B70" w:rsidRDefault="00074D4A" w:rsidP="00F2270E">
            <w:pPr>
              <w:pStyle w:val="TableText"/>
              <w:jc w:val="center"/>
              <w:rPr>
                <w:b/>
              </w:rPr>
            </w:pPr>
            <w:r w:rsidRPr="008D6B70">
              <w:rPr>
                <w:b/>
              </w:rPr>
              <w:t>OR (95% CI), p-value</w:t>
            </w:r>
          </w:p>
        </w:tc>
        <w:tc>
          <w:tcPr>
            <w:tcW w:w="1106" w:type="pct"/>
            <w:tcBorders>
              <w:bottom w:val="single" w:sz="4" w:space="0" w:color="auto"/>
            </w:tcBorders>
          </w:tcPr>
          <w:p w:rsidR="00074D4A" w:rsidRPr="008D6B70" w:rsidRDefault="00074D4A" w:rsidP="00F2270E">
            <w:pPr>
              <w:pStyle w:val="TableText"/>
              <w:jc w:val="center"/>
              <w:rPr>
                <w:b/>
              </w:rPr>
            </w:pPr>
            <w:r w:rsidRPr="008D6B70">
              <w:rPr>
                <w:b/>
              </w:rPr>
              <w:t>Risk difference (95% CI)</w:t>
            </w:r>
          </w:p>
        </w:tc>
      </w:tr>
      <w:tr w:rsidR="00074D4A" w:rsidRPr="008D6B70" w:rsidTr="00F2270E">
        <w:tc>
          <w:tcPr>
            <w:tcW w:w="596" w:type="pct"/>
            <w:tcBorders>
              <w:right w:val="single" w:sz="4" w:space="0" w:color="auto"/>
            </w:tcBorders>
          </w:tcPr>
          <w:p w:rsidR="00074D4A" w:rsidRPr="00F2270E" w:rsidRDefault="00074D4A" w:rsidP="00555AE1">
            <w:pPr>
              <w:pStyle w:val="TableText"/>
              <w:rPr>
                <w:b/>
              </w:rPr>
            </w:pPr>
            <w:r w:rsidRPr="00F2270E">
              <w:rPr>
                <w:b/>
              </w:rPr>
              <w:t>CASTOR</w:t>
            </w:r>
          </w:p>
        </w:tc>
        <w:tc>
          <w:tcPr>
            <w:tcW w:w="1073" w:type="pct"/>
            <w:tcBorders>
              <w:left w:val="single" w:sz="4" w:space="0" w:color="auto"/>
              <w:right w:val="single" w:sz="4" w:space="0" w:color="auto"/>
            </w:tcBorders>
          </w:tcPr>
          <w:p w:rsidR="00074D4A" w:rsidRPr="00F2270E" w:rsidRDefault="00074D4A" w:rsidP="00F2270E">
            <w:pPr>
              <w:pStyle w:val="TableText"/>
              <w:jc w:val="center"/>
              <w:rPr>
                <w:b/>
              </w:rPr>
            </w:pPr>
            <w:r w:rsidRPr="00F2270E">
              <w:rPr>
                <w:b/>
              </w:rPr>
              <w:t>DBd</w:t>
            </w:r>
          </w:p>
        </w:tc>
        <w:tc>
          <w:tcPr>
            <w:tcW w:w="1074" w:type="pct"/>
            <w:tcBorders>
              <w:left w:val="single" w:sz="4" w:space="0" w:color="auto"/>
              <w:right w:val="single" w:sz="4" w:space="0" w:color="auto"/>
            </w:tcBorders>
          </w:tcPr>
          <w:p w:rsidR="00074D4A" w:rsidRPr="00F2270E" w:rsidRDefault="00074D4A" w:rsidP="00F2270E">
            <w:pPr>
              <w:pStyle w:val="TableText"/>
              <w:jc w:val="center"/>
              <w:rPr>
                <w:b/>
              </w:rPr>
            </w:pPr>
            <w:r w:rsidRPr="00F2270E">
              <w:rPr>
                <w:b/>
              </w:rPr>
              <w:t>Bd</w:t>
            </w:r>
          </w:p>
        </w:tc>
        <w:tc>
          <w:tcPr>
            <w:tcW w:w="1151" w:type="pct"/>
            <w:tcBorders>
              <w:left w:val="single" w:sz="4" w:space="0" w:color="auto"/>
              <w:right w:val="single" w:sz="4" w:space="0" w:color="auto"/>
            </w:tcBorders>
          </w:tcPr>
          <w:p w:rsidR="00074D4A" w:rsidRPr="008D6B70" w:rsidRDefault="00074D4A" w:rsidP="00F2270E">
            <w:pPr>
              <w:pStyle w:val="TableText"/>
              <w:jc w:val="center"/>
            </w:pPr>
          </w:p>
        </w:tc>
        <w:tc>
          <w:tcPr>
            <w:tcW w:w="1106" w:type="pct"/>
            <w:tcBorders>
              <w:left w:val="single" w:sz="4" w:space="0" w:color="auto"/>
            </w:tcBorders>
          </w:tcPr>
          <w:p w:rsidR="00074D4A" w:rsidRPr="008D6B70" w:rsidRDefault="00074D4A" w:rsidP="00F2270E">
            <w:pPr>
              <w:pStyle w:val="TableText"/>
              <w:jc w:val="center"/>
            </w:pPr>
          </w:p>
        </w:tc>
      </w:tr>
      <w:tr w:rsidR="00074D4A" w:rsidRPr="008D6B70" w:rsidTr="00F2270E">
        <w:tc>
          <w:tcPr>
            <w:tcW w:w="596" w:type="pct"/>
          </w:tcPr>
          <w:p w:rsidR="00074D4A" w:rsidRPr="008D6B70" w:rsidRDefault="00074D4A" w:rsidP="00555AE1">
            <w:pPr>
              <w:pStyle w:val="TableText"/>
            </w:pPr>
            <w:r w:rsidRPr="008D6B70">
              <w:t>MRD (10</w:t>
            </w:r>
            <w:r w:rsidRPr="008D6B70">
              <w:rPr>
                <w:vertAlign w:val="superscript"/>
              </w:rPr>
              <w:t>-4</w:t>
            </w:r>
            <w:r w:rsidRPr="008D6B70">
              <w:t>)</w:t>
            </w:r>
          </w:p>
        </w:tc>
        <w:tc>
          <w:tcPr>
            <w:tcW w:w="1073" w:type="pct"/>
          </w:tcPr>
          <w:p w:rsidR="00074D4A" w:rsidRPr="008D6B70" w:rsidRDefault="00074D4A" w:rsidP="00F2270E">
            <w:pPr>
              <w:pStyle w:val="TableText"/>
              <w:jc w:val="center"/>
              <w:rPr>
                <w:rFonts w:ascii="Times" w:eastAsia="Times New Roman" w:hAnsi="Times" w:cs="Times New Roman"/>
              </w:rPr>
            </w:pPr>
            <w:r w:rsidRPr="008D6B70">
              <w:t>46/251 (18.3)</w:t>
            </w:r>
          </w:p>
        </w:tc>
        <w:tc>
          <w:tcPr>
            <w:tcW w:w="1074" w:type="pct"/>
          </w:tcPr>
          <w:p w:rsidR="00074D4A" w:rsidRPr="008D6B70" w:rsidRDefault="00074D4A" w:rsidP="00F2270E">
            <w:pPr>
              <w:pStyle w:val="TableText"/>
              <w:jc w:val="center"/>
              <w:rPr>
                <w:rFonts w:ascii="Times" w:eastAsia="Times New Roman" w:hAnsi="Times" w:cs="Times New Roman"/>
              </w:rPr>
            </w:pPr>
            <w:r w:rsidRPr="008D6B70">
              <w:t>9/247 (3.6)</w:t>
            </w:r>
          </w:p>
        </w:tc>
        <w:tc>
          <w:tcPr>
            <w:tcW w:w="1151" w:type="pct"/>
          </w:tcPr>
          <w:p w:rsidR="00074D4A" w:rsidRPr="008D6B70" w:rsidRDefault="00074D4A" w:rsidP="00F2270E">
            <w:pPr>
              <w:pStyle w:val="TableText"/>
              <w:jc w:val="center"/>
              <w:rPr>
                <w:rFonts w:ascii="Times" w:eastAsia="Times New Roman" w:hAnsi="Times" w:cs="Times New Roman"/>
              </w:rPr>
            </w:pPr>
            <w:r w:rsidRPr="008D6B70">
              <w:t>5.1 (NR, NR), p&lt;0.0001</w:t>
            </w:r>
          </w:p>
        </w:tc>
        <w:tc>
          <w:tcPr>
            <w:tcW w:w="1106" w:type="pct"/>
          </w:tcPr>
          <w:p w:rsidR="00074D4A" w:rsidRPr="000A7F1F" w:rsidRDefault="000A7F1F" w:rsidP="00F2270E">
            <w:pPr>
              <w:pStyle w:val="TableText"/>
              <w:jc w:val="center"/>
              <w:rPr>
                <w:rFonts w:eastAsia="Times New Roman" w:cs="Times New Roman"/>
                <w:highlight w:val="black"/>
              </w:rPr>
            </w:pPr>
            <w:r>
              <w:rPr>
                <w:rFonts w:eastAsia="Times New Roman" w:cs="Times New Roman"/>
                <w:noProof/>
                <w:color w:val="000000"/>
                <w:highlight w:val="black"/>
              </w:rPr>
              <w:t>''''''''''''''' ''''''''''''''' ''''''''''''''</w:t>
            </w:r>
          </w:p>
        </w:tc>
      </w:tr>
      <w:tr w:rsidR="00074D4A" w:rsidRPr="008D6B70" w:rsidTr="00F2270E">
        <w:tc>
          <w:tcPr>
            <w:tcW w:w="596" w:type="pct"/>
          </w:tcPr>
          <w:p w:rsidR="00074D4A" w:rsidRPr="008D6B70" w:rsidRDefault="00074D4A" w:rsidP="00555AE1">
            <w:pPr>
              <w:pStyle w:val="TableText"/>
            </w:pPr>
            <w:r w:rsidRPr="008D6B70">
              <w:t>MRD (10</w:t>
            </w:r>
            <w:r w:rsidRPr="008D6B70">
              <w:rPr>
                <w:vertAlign w:val="superscript"/>
              </w:rPr>
              <w:t>-5</w:t>
            </w:r>
            <w:r w:rsidRPr="008D6B70">
              <w:t>)</w:t>
            </w:r>
          </w:p>
        </w:tc>
        <w:tc>
          <w:tcPr>
            <w:tcW w:w="1073" w:type="pct"/>
          </w:tcPr>
          <w:p w:rsidR="00074D4A" w:rsidRPr="008D6B70" w:rsidRDefault="00074D4A" w:rsidP="00F2270E">
            <w:pPr>
              <w:pStyle w:val="TableText"/>
              <w:jc w:val="center"/>
            </w:pPr>
            <w:r w:rsidRPr="008D6B70">
              <w:t>26/251 (10.4)</w:t>
            </w:r>
          </w:p>
        </w:tc>
        <w:tc>
          <w:tcPr>
            <w:tcW w:w="1074" w:type="pct"/>
          </w:tcPr>
          <w:p w:rsidR="00074D4A" w:rsidRPr="008D6B70" w:rsidRDefault="00074D4A" w:rsidP="00F2270E">
            <w:pPr>
              <w:pStyle w:val="TableText"/>
              <w:jc w:val="center"/>
            </w:pPr>
            <w:r w:rsidRPr="008D6B70">
              <w:t>6/247 (2.4)</w:t>
            </w:r>
          </w:p>
        </w:tc>
        <w:tc>
          <w:tcPr>
            <w:tcW w:w="1151" w:type="pct"/>
          </w:tcPr>
          <w:p w:rsidR="00074D4A" w:rsidRPr="008D6B70" w:rsidRDefault="00074D4A" w:rsidP="00F2270E">
            <w:pPr>
              <w:pStyle w:val="TableText"/>
              <w:jc w:val="center"/>
            </w:pPr>
            <w:r w:rsidRPr="008D6B70">
              <w:t>4.3 (NR, NR), p&lt;0.005</w:t>
            </w:r>
          </w:p>
        </w:tc>
        <w:tc>
          <w:tcPr>
            <w:tcW w:w="1106" w:type="pct"/>
          </w:tcPr>
          <w:p w:rsidR="00074D4A" w:rsidRPr="000A7F1F" w:rsidRDefault="000A7F1F" w:rsidP="00F2270E">
            <w:pPr>
              <w:pStyle w:val="TableText"/>
              <w:jc w:val="center"/>
              <w:rPr>
                <w:highlight w:val="black"/>
              </w:rPr>
            </w:pPr>
            <w:r>
              <w:rPr>
                <w:noProof/>
                <w:color w:val="000000"/>
                <w:highlight w:val="black"/>
              </w:rPr>
              <w:t>''''''''''' ''''''''''''''' '''''''''''''''</w:t>
            </w:r>
          </w:p>
        </w:tc>
      </w:tr>
      <w:tr w:rsidR="00074D4A" w:rsidRPr="008D6B70" w:rsidTr="00F2270E">
        <w:tc>
          <w:tcPr>
            <w:tcW w:w="596" w:type="pct"/>
            <w:tcBorders>
              <w:bottom w:val="single" w:sz="4" w:space="0" w:color="auto"/>
            </w:tcBorders>
          </w:tcPr>
          <w:p w:rsidR="00074D4A" w:rsidRPr="008D6B70" w:rsidRDefault="00074D4A" w:rsidP="00555AE1">
            <w:pPr>
              <w:pStyle w:val="TableText"/>
            </w:pPr>
            <w:r w:rsidRPr="008D6B70">
              <w:t>MRD (10</w:t>
            </w:r>
            <w:r w:rsidRPr="008D6B70">
              <w:rPr>
                <w:vertAlign w:val="superscript"/>
              </w:rPr>
              <w:t>-6</w:t>
            </w:r>
            <w:r w:rsidRPr="008D6B70">
              <w:t>)</w:t>
            </w:r>
          </w:p>
        </w:tc>
        <w:tc>
          <w:tcPr>
            <w:tcW w:w="1073" w:type="pct"/>
            <w:tcBorders>
              <w:bottom w:val="single" w:sz="4" w:space="0" w:color="auto"/>
            </w:tcBorders>
          </w:tcPr>
          <w:p w:rsidR="00074D4A" w:rsidRPr="008D6B70" w:rsidRDefault="00074D4A" w:rsidP="00F2270E">
            <w:pPr>
              <w:pStyle w:val="TableText"/>
              <w:jc w:val="center"/>
            </w:pPr>
            <w:r w:rsidRPr="008D6B70">
              <w:t>11/251 (4.4)</w:t>
            </w:r>
          </w:p>
        </w:tc>
        <w:tc>
          <w:tcPr>
            <w:tcW w:w="1074" w:type="pct"/>
            <w:tcBorders>
              <w:bottom w:val="single" w:sz="4" w:space="0" w:color="auto"/>
            </w:tcBorders>
          </w:tcPr>
          <w:p w:rsidR="00074D4A" w:rsidRPr="008D6B70" w:rsidRDefault="00074D4A" w:rsidP="00F2270E">
            <w:pPr>
              <w:pStyle w:val="TableText"/>
              <w:jc w:val="center"/>
            </w:pPr>
            <w:r w:rsidRPr="008D6B70">
              <w:t>2/247 (0.8)</w:t>
            </w:r>
          </w:p>
        </w:tc>
        <w:tc>
          <w:tcPr>
            <w:tcW w:w="1151" w:type="pct"/>
            <w:tcBorders>
              <w:bottom w:val="single" w:sz="4" w:space="0" w:color="auto"/>
            </w:tcBorders>
          </w:tcPr>
          <w:p w:rsidR="00074D4A" w:rsidRPr="008D6B70" w:rsidRDefault="00074D4A" w:rsidP="00F2270E">
            <w:pPr>
              <w:pStyle w:val="TableText"/>
              <w:jc w:val="center"/>
            </w:pPr>
            <w:r w:rsidRPr="008D6B70">
              <w:t>5.5 (NR, NR), p&lt;0.05</w:t>
            </w:r>
          </w:p>
        </w:tc>
        <w:tc>
          <w:tcPr>
            <w:tcW w:w="1106" w:type="pct"/>
            <w:tcBorders>
              <w:bottom w:val="single" w:sz="4" w:space="0" w:color="auto"/>
            </w:tcBorders>
          </w:tcPr>
          <w:p w:rsidR="00074D4A" w:rsidRPr="000A7F1F" w:rsidRDefault="000A7F1F" w:rsidP="00F2270E">
            <w:pPr>
              <w:pStyle w:val="TableText"/>
              <w:jc w:val="center"/>
              <w:rPr>
                <w:highlight w:val="black"/>
              </w:rPr>
            </w:pPr>
            <w:r>
              <w:rPr>
                <w:noProof/>
                <w:color w:val="000000"/>
                <w:highlight w:val="black"/>
              </w:rPr>
              <w:t>''''''''''' ''''''''''''' ''''''''''''''</w:t>
            </w:r>
          </w:p>
        </w:tc>
      </w:tr>
      <w:tr w:rsidR="00074D4A" w:rsidRPr="008D6B70" w:rsidTr="00F2270E">
        <w:tc>
          <w:tcPr>
            <w:tcW w:w="596" w:type="pct"/>
            <w:tcBorders>
              <w:right w:val="single" w:sz="4" w:space="0" w:color="auto"/>
            </w:tcBorders>
          </w:tcPr>
          <w:p w:rsidR="00074D4A" w:rsidRPr="00F2270E" w:rsidRDefault="00074D4A" w:rsidP="00F2270E">
            <w:pPr>
              <w:pStyle w:val="TableText"/>
              <w:rPr>
                <w:b/>
              </w:rPr>
            </w:pPr>
            <w:r w:rsidRPr="00F2270E">
              <w:rPr>
                <w:b/>
              </w:rPr>
              <w:t>POLLUX</w:t>
            </w:r>
          </w:p>
        </w:tc>
        <w:tc>
          <w:tcPr>
            <w:tcW w:w="1073" w:type="pct"/>
            <w:tcBorders>
              <w:left w:val="single" w:sz="4" w:space="0" w:color="auto"/>
              <w:right w:val="single" w:sz="4" w:space="0" w:color="auto"/>
            </w:tcBorders>
          </w:tcPr>
          <w:p w:rsidR="00074D4A" w:rsidRPr="00F2270E" w:rsidRDefault="00074D4A" w:rsidP="00F2270E">
            <w:pPr>
              <w:pStyle w:val="TableText"/>
              <w:jc w:val="center"/>
              <w:rPr>
                <w:b/>
              </w:rPr>
            </w:pPr>
            <w:r w:rsidRPr="00F2270E">
              <w:rPr>
                <w:b/>
              </w:rPr>
              <w:t>DLd</w:t>
            </w:r>
          </w:p>
        </w:tc>
        <w:tc>
          <w:tcPr>
            <w:tcW w:w="1074" w:type="pct"/>
            <w:tcBorders>
              <w:left w:val="single" w:sz="4" w:space="0" w:color="auto"/>
              <w:right w:val="single" w:sz="4" w:space="0" w:color="auto"/>
            </w:tcBorders>
          </w:tcPr>
          <w:p w:rsidR="00074D4A" w:rsidRPr="00F2270E" w:rsidRDefault="00074D4A" w:rsidP="00F2270E">
            <w:pPr>
              <w:pStyle w:val="TableText"/>
              <w:jc w:val="center"/>
              <w:rPr>
                <w:b/>
              </w:rPr>
            </w:pPr>
            <w:r w:rsidRPr="00F2270E">
              <w:rPr>
                <w:b/>
              </w:rPr>
              <w:t>Ld</w:t>
            </w:r>
          </w:p>
        </w:tc>
        <w:tc>
          <w:tcPr>
            <w:tcW w:w="1151" w:type="pct"/>
            <w:tcBorders>
              <w:left w:val="single" w:sz="4" w:space="0" w:color="auto"/>
              <w:right w:val="single" w:sz="4" w:space="0" w:color="auto"/>
            </w:tcBorders>
          </w:tcPr>
          <w:p w:rsidR="00074D4A" w:rsidRPr="008D6B70" w:rsidRDefault="00074D4A" w:rsidP="00555AE1">
            <w:pPr>
              <w:pStyle w:val="TableText"/>
            </w:pPr>
          </w:p>
        </w:tc>
        <w:tc>
          <w:tcPr>
            <w:tcW w:w="1106" w:type="pct"/>
            <w:tcBorders>
              <w:left w:val="single" w:sz="4" w:space="0" w:color="auto"/>
            </w:tcBorders>
          </w:tcPr>
          <w:p w:rsidR="00074D4A" w:rsidRPr="000A7F1F" w:rsidRDefault="00074D4A" w:rsidP="00555AE1">
            <w:pPr>
              <w:pStyle w:val="TableText"/>
            </w:pPr>
          </w:p>
        </w:tc>
      </w:tr>
      <w:tr w:rsidR="00074D4A" w:rsidRPr="008D6B70" w:rsidTr="00F2270E">
        <w:tc>
          <w:tcPr>
            <w:tcW w:w="596" w:type="pct"/>
          </w:tcPr>
          <w:p w:rsidR="00074D4A" w:rsidRPr="008D6B70" w:rsidRDefault="00074D4A" w:rsidP="00555AE1">
            <w:pPr>
              <w:pStyle w:val="TableText"/>
              <w:rPr>
                <w:rFonts w:ascii="Times" w:eastAsia="Times New Roman" w:hAnsi="Times" w:cs="Times New Roman"/>
              </w:rPr>
            </w:pPr>
            <w:r w:rsidRPr="008D6B70">
              <w:t>MRD (10</w:t>
            </w:r>
            <w:r w:rsidRPr="008D6B70">
              <w:rPr>
                <w:vertAlign w:val="superscript"/>
              </w:rPr>
              <w:t>-4</w:t>
            </w:r>
            <w:r w:rsidRPr="008D6B70">
              <w:t>)</w:t>
            </w:r>
          </w:p>
        </w:tc>
        <w:tc>
          <w:tcPr>
            <w:tcW w:w="1073" w:type="pct"/>
          </w:tcPr>
          <w:p w:rsidR="00074D4A" w:rsidRPr="008D6B70" w:rsidRDefault="00074D4A" w:rsidP="00F2270E">
            <w:pPr>
              <w:pStyle w:val="TableText"/>
              <w:jc w:val="center"/>
              <w:rPr>
                <w:rFonts w:ascii="Times" w:eastAsia="Times New Roman" w:hAnsi="Times" w:cs="Times New Roman"/>
              </w:rPr>
            </w:pPr>
            <w:r w:rsidRPr="008D6B70">
              <w:t>91/286 (31.8)</w:t>
            </w:r>
          </w:p>
        </w:tc>
        <w:tc>
          <w:tcPr>
            <w:tcW w:w="1074" w:type="pct"/>
          </w:tcPr>
          <w:p w:rsidR="00074D4A" w:rsidRPr="008D6B70" w:rsidRDefault="00074D4A" w:rsidP="00F2270E">
            <w:pPr>
              <w:pStyle w:val="TableText"/>
              <w:jc w:val="center"/>
              <w:rPr>
                <w:rFonts w:ascii="Times" w:eastAsia="Times New Roman" w:hAnsi="Times" w:cs="Times New Roman"/>
              </w:rPr>
            </w:pPr>
            <w:r w:rsidRPr="008D6B70">
              <w:t>25/283 (8.8)</w:t>
            </w:r>
          </w:p>
        </w:tc>
        <w:tc>
          <w:tcPr>
            <w:tcW w:w="1151" w:type="pct"/>
          </w:tcPr>
          <w:p w:rsidR="00074D4A" w:rsidRPr="008D6B70" w:rsidRDefault="00074D4A" w:rsidP="00F2270E">
            <w:pPr>
              <w:pStyle w:val="TableText"/>
              <w:jc w:val="center"/>
              <w:rPr>
                <w:rFonts w:ascii="Times" w:eastAsia="Times New Roman" w:hAnsi="Times" w:cs="Times New Roman"/>
              </w:rPr>
            </w:pPr>
            <w:r w:rsidRPr="008D6B70">
              <w:t>3.6 (NR, NR), p&lt;0.0001</w:t>
            </w:r>
          </w:p>
        </w:tc>
        <w:tc>
          <w:tcPr>
            <w:tcW w:w="1106" w:type="pct"/>
          </w:tcPr>
          <w:p w:rsidR="00074D4A" w:rsidRPr="000A7F1F" w:rsidRDefault="000A7F1F" w:rsidP="00F2270E">
            <w:pPr>
              <w:pStyle w:val="TableText"/>
              <w:jc w:val="center"/>
              <w:rPr>
                <w:rFonts w:ascii="Times" w:eastAsia="Times New Roman" w:hAnsi="Times" w:cs="Times New Roman"/>
                <w:highlight w:val="black"/>
              </w:rPr>
            </w:pPr>
            <w:r>
              <w:rPr>
                <w:noProof/>
                <w:color w:val="000000"/>
                <w:highlight w:val="black"/>
              </w:rPr>
              <w:t>'''''''''''' '''''''''''''''''' '''''''''''''''</w:t>
            </w:r>
          </w:p>
        </w:tc>
      </w:tr>
      <w:tr w:rsidR="00074D4A" w:rsidRPr="008D6B70" w:rsidTr="00F2270E">
        <w:tc>
          <w:tcPr>
            <w:tcW w:w="596" w:type="pct"/>
          </w:tcPr>
          <w:p w:rsidR="00074D4A" w:rsidRPr="008D6B70" w:rsidRDefault="00074D4A" w:rsidP="00555AE1">
            <w:pPr>
              <w:pStyle w:val="TableText"/>
            </w:pPr>
            <w:r w:rsidRPr="008D6B70">
              <w:t>MRD (10</w:t>
            </w:r>
            <w:r w:rsidRPr="008D6B70">
              <w:rPr>
                <w:vertAlign w:val="superscript"/>
              </w:rPr>
              <w:t>-5</w:t>
            </w:r>
            <w:r w:rsidRPr="008D6B70">
              <w:t>)</w:t>
            </w:r>
          </w:p>
        </w:tc>
        <w:tc>
          <w:tcPr>
            <w:tcW w:w="1073" w:type="pct"/>
          </w:tcPr>
          <w:p w:rsidR="00074D4A" w:rsidRPr="008D6B70" w:rsidRDefault="00074D4A" w:rsidP="00F2270E">
            <w:pPr>
              <w:pStyle w:val="TableText"/>
              <w:jc w:val="center"/>
            </w:pPr>
            <w:r w:rsidRPr="008D6B70">
              <w:t>71/286 (24.8)</w:t>
            </w:r>
          </w:p>
        </w:tc>
        <w:tc>
          <w:tcPr>
            <w:tcW w:w="1074" w:type="pct"/>
          </w:tcPr>
          <w:p w:rsidR="00074D4A" w:rsidRPr="008D6B70" w:rsidRDefault="00074D4A" w:rsidP="00F2270E">
            <w:pPr>
              <w:pStyle w:val="TableText"/>
              <w:jc w:val="center"/>
            </w:pPr>
            <w:r w:rsidRPr="008D6B70">
              <w:t>16/283 (5.7)</w:t>
            </w:r>
          </w:p>
        </w:tc>
        <w:tc>
          <w:tcPr>
            <w:tcW w:w="1151" w:type="pct"/>
          </w:tcPr>
          <w:p w:rsidR="00074D4A" w:rsidRPr="008D6B70" w:rsidRDefault="00074D4A" w:rsidP="00F2270E">
            <w:pPr>
              <w:pStyle w:val="TableText"/>
              <w:jc w:val="center"/>
            </w:pPr>
            <w:r w:rsidRPr="008D6B70">
              <w:t>4.4 (NR, NR), p&lt;0.0001</w:t>
            </w:r>
          </w:p>
        </w:tc>
        <w:tc>
          <w:tcPr>
            <w:tcW w:w="1106" w:type="pct"/>
          </w:tcPr>
          <w:p w:rsidR="00074D4A" w:rsidRPr="000A7F1F" w:rsidRDefault="000A7F1F" w:rsidP="00F2270E">
            <w:pPr>
              <w:pStyle w:val="TableText"/>
              <w:jc w:val="center"/>
              <w:rPr>
                <w:highlight w:val="black"/>
              </w:rPr>
            </w:pPr>
            <w:r>
              <w:rPr>
                <w:noProof/>
                <w:color w:val="000000"/>
                <w:highlight w:val="black"/>
              </w:rPr>
              <w:t>''''''''''''' '''''''''''''''' ''''''''''''''</w:t>
            </w:r>
          </w:p>
        </w:tc>
      </w:tr>
      <w:tr w:rsidR="00074D4A" w:rsidRPr="008D6B70" w:rsidTr="00F2270E">
        <w:tc>
          <w:tcPr>
            <w:tcW w:w="596" w:type="pct"/>
          </w:tcPr>
          <w:p w:rsidR="00074D4A" w:rsidRPr="008D6B70" w:rsidRDefault="00074D4A" w:rsidP="00555AE1">
            <w:pPr>
              <w:pStyle w:val="TableText"/>
            </w:pPr>
            <w:r w:rsidRPr="008D6B70">
              <w:t>MRD (10</w:t>
            </w:r>
            <w:r w:rsidRPr="008D6B70">
              <w:rPr>
                <w:vertAlign w:val="superscript"/>
              </w:rPr>
              <w:t>-6</w:t>
            </w:r>
            <w:r w:rsidRPr="008D6B70">
              <w:t>)</w:t>
            </w:r>
          </w:p>
        </w:tc>
        <w:tc>
          <w:tcPr>
            <w:tcW w:w="1073" w:type="pct"/>
          </w:tcPr>
          <w:p w:rsidR="00074D4A" w:rsidRPr="008D6B70" w:rsidRDefault="00074D4A" w:rsidP="00F2270E">
            <w:pPr>
              <w:pStyle w:val="TableText"/>
              <w:jc w:val="center"/>
            </w:pPr>
            <w:r w:rsidRPr="008D6B70">
              <w:t>34/286 (11.9)</w:t>
            </w:r>
          </w:p>
        </w:tc>
        <w:tc>
          <w:tcPr>
            <w:tcW w:w="1074" w:type="pct"/>
          </w:tcPr>
          <w:p w:rsidR="00074D4A" w:rsidRPr="008D6B70" w:rsidRDefault="00074D4A" w:rsidP="00F2270E">
            <w:pPr>
              <w:pStyle w:val="TableText"/>
              <w:jc w:val="center"/>
            </w:pPr>
            <w:r w:rsidRPr="008D6B70">
              <w:t>7/283 (2.5)</w:t>
            </w:r>
          </w:p>
        </w:tc>
        <w:tc>
          <w:tcPr>
            <w:tcW w:w="1151" w:type="pct"/>
          </w:tcPr>
          <w:p w:rsidR="00074D4A" w:rsidRPr="008D6B70" w:rsidRDefault="00074D4A" w:rsidP="00F2270E">
            <w:pPr>
              <w:pStyle w:val="TableText"/>
              <w:jc w:val="center"/>
            </w:pPr>
            <w:r w:rsidRPr="008D6B70">
              <w:t>4.8 (NR, NR), p&lt;0.0001</w:t>
            </w:r>
          </w:p>
        </w:tc>
        <w:tc>
          <w:tcPr>
            <w:tcW w:w="1106" w:type="pct"/>
          </w:tcPr>
          <w:p w:rsidR="00074D4A" w:rsidRPr="000A7F1F" w:rsidRDefault="000A7F1F" w:rsidP="00F2270E">
            <w:pPr>
              <w:pStyle w:val="TableText"/>
              <w:jc w:val="center"/>
              <w:rPr>
                <w:highlight w:val="black"/>
              </w:rPr>
            </w:pPr>
            <w:r>
              <w:rPr>
                <w:noProof/>
                <w:color w:val="000000"/>
                <w:highlight w:val="black"/>
              </w:rPr>
              <w:t>'''''''''''' ''''''''''''''' ''''''''''''''''</w:t>
            </w:r>
          </w:p>
        </w:tc>
      </w:tr>
    </w:tbl>
    <w:p w:rsidR="00074D4A" w:rsidRPr="008D6B70" w:rsidRDefault="00074D4A" w:rsidP="003E37DD">
      <w:pPr>
        <w:pStyle w:val="TableHeading1"/>
        <w:keepNext w:val="0"/>
        <w:spacing w:after="0"/>
        <w:rPr>
          <w:b w:val="0"/>
          <w:sz w:val="18"/>
          <w:szCs w:val="18"/>
        </w:rPr>
      </w:pPr>
      <w:r w:rsidRPr="008D6B70">
        <w:rPr>
          <w:b w:val="0"/>
          <w:sz w:val="18"/>
          <w:szCs w:val="18"/>
        </w:rPr>
        <w:t>Abbreviations: Bd, bortezomib and dexamethasone; DBd, daratumumab, bortezomib, and dexamethasone; DLd, daratumumab, lenalidomide and dexamethasone; CI, confidence interval; Ld, lenalidomide and dexamethasone; MRD, minimal residual disease; n, number of participants with event; N, total participants in group; NR, not reported; OR, odds ratio.</w:t>
      </w:r>
    </w:p>
    <w:p w:rsidR="00074D4A" w:rsidRPr="008D6B70" w:rsidRDefault="00074D4A" w:rsidP="003E37DD">
      <w:pPr>
        <w:pStyle w:val="TableHeading1"/>
        <w:keepNext w:val="0"/>
        <w:spacing w:after="0"/>
        <w:rPr>
          <w:b w:val="0"/>
          <w:sz w:val="18"/>
          <w:szCs w:val="18"/>
        </w:rPr>
      </w:pPr>
      <w:r w:rsidRPr="008D6B70">
        <w:rPr>
          <w:b w:val="0"/>
          <w:sz w:val="18"/>
          <w:szCs w:val="18"/>
        </w:rPr>
        <w:t>Note:</w:t>
      </w:r>
      <w:r w:rsidR="003E37DD" w:rsidRPr="008D6B70">
        <w:rPr>
          <w:b w:val="0"/>
          <w:sz w:val="18"/>
          <w:szCs w:val="18"/>
        </w:rPr>
        <w:t xml:space="preserve"> </w:t>
      </w:r>
      <w:r w:rsidRPr="008D6B70">
        <w:rPr>
          <w:b w:val="0"/>
          <w:sz w:val="18"/>
          <w:szCs w:val="18"/>
        </w:rPr>
        <w:t>Median follow-up in CASTOR is 13.0 months and POLLUX is 17.3 months</w:t>
      </w:r>
      <w:r w:rsidR="00743D40" w:rsidRPr="008D6B70">
        <w:rPr>
          <w:b w:val="0"/>
          <w:sz w:val="18"/>
          <w:szCs w:val="18"/>
        </w:rPr>
        <w:t xml:space="preserve">. For patients without MRD result it was assumed they did not achieve a negative result. </w:t>
      </w:r>
    </w:p>
    <w:p w:rsidR="00074D4A" w:rsidRPr="008D6B70" w:rsidRDefault="00074D4A" w:rsidP="003E37DD">
      <w:pPr>
        <w:pStyle w:val="TableHeading1"/>
        <w:keepNext w:val="0"/>
        <w:spacing w:after="0"/>
        <w:rPr>
          <w:b w:val="0"/>
          <w:sz w:val="18"/>
          <w:szCs w:val="18"/>
        </w:rPr>
      </w:pPr>
      <w:r w:rsidRPr="008D6B70">
        <w:rPr>
          <w:b w:val="0"/>
          <w:sz w:val="18"/>
          <w:szCs w:val="18"/>
        </w:rPr>
        <w:t>Source: Table 2.40, p.79 Section 2a of the submission; Table 2.4.1, p.79 Section 2b of the submission</w:t>
      </w:r>
      <w:r w:rsidR="00322F83" w:rsidRPr="008D6B70">
        <w:rPr>
          <w:b w:val="0"/>
          <w:sz w:val="18"/>
          <w:szCs w:val="18"/>
        </w:rPr>
        <w:t xml:space="preserve">. Risk difference calculated during the evaluation. </w:t>
      </w:r>
    </w:p>
    <w:p w:rsidR="00EC1E6D" w:rsidRPr="008D6B70" w:rsidRDefault="00EC1E6D" w:rsidP="00865EA5">
      <w:pPr>
        <w:pStyle w:val="ListParagraph"/>
        <w:numPr>
          <w:ilvl w:val="1"/>
          <w:numId w:val="108"/>
        </w:numPr>
        <w:ind w:left="709" w:hanging="709"/>
        <w:jc w:val="both"/>
      </w:pPr>
      <w:bookmarkStart w:id="20" w:name="_Hlk492022291"/>
      <w:r w:rsidRPr="008D6B70">
        <w:t>The ESC noted that the sponsor requested patients who experience toxicity to Bd or Ld after commencement of daratumumab combination therapy be allowed to continue on daratumumab monotherapy. However,</w:t>
      </w:r>
      <w:r w:rsidR="009300C2" w:rsidRPr="008D6B70">
        <w:t xml:space="preserve"> it is unclear </w:t>
      </w:r>
      <w:r w:rsidR="00770871" w:rsidRPr="008D6B70">
        <w:t xml:space="preserve">what affect this would have on the </w:t>
      </w:r>
      <w:r w:rsidR="009300C2" w:rsidRPr="008D6B70">
        <w:t>effectiveness of the</w:t>
      </w:r>
      <w:r w:rsidR="00770871" w:rsidRPr="008D6B70">
        <w:t xml:space="preserve"> proposed</w:t>
      </w:r>
      <w:r w:rsidR="009300C2" w:rsidRPr="008D6B70">
        <w:t xml:space="preserve"> treatment. </w:t>
      </w:r>
      <w:r w:rsidR="00FC79C8">
        <w:t>T</w:t>
      </w:r>
      <w:r w:rsidR="009300C2" w:rsidRPr="008D6B70">
        <w:t xml:space="preserve">he submission stated that </w:t>
      </w:r>
      <w:r w:rsidR="000A7F1F">
        <w:rPr>
          <w:noProof/>
          <w:color w:val="000000"/>
          <w:highlight w:val="black"/>
        </w:rPr>
        <w:t>'''''''</w:t>
      </w:r>
      <w:r w:rsidR="009300C2" w:rsidRPr="008D6B70">
        <w:t>% of patients in the DLd arm received daratumumab monotherapy after the 120 day safety update</w:t>
      </w:r>
      <w:r w:rsidR="00FC79C8">
        <w:t>.</w:t>
      </w:r>
      <w:r w:rsidR="00FC79C8" w:rsidRPr="00FC79C8">
        <w:t xml:space="preserve"> </w:t>
      </w:r>
      <w:r w:rsidR="00FC79C8" w:rsidRPr="008D6B70">
        <w:t xml:space="preserve">Information on the number of patients in the DBd arm of </w:t>
      </w:r>
      <w:r w:rsidR="00FC79C8">
        <w:t>CASTOR</w:t>
      </w:r>
      <w:r w:rsidR="00FC79C8" w:rsidRPr="008D6B70">
        <w:t xml:space="preserve"> that moved to daratumumab monotherapy before completing 8 cycles of DBd was not provided.</w:t>
      </w:r>
      <w:r w:rsidR="00770871" w:rsidRPr="008D6B70">
        <w:t xml:space="preserve"> </w:t>
      </w:r>
    </w:p>
    <w:p w:rsidR="000F3570" w:rsidRDefault="0085488A" w:rsidP="00865EA5">
      <w:pPr>
        <w:pStyle w:val="ListParagraph"/>
        <w:numPr>
          <w:ilvl w:val="1"/>
          <w:numId w:val="108"/>
        </w:numPr>
        <w:ind w:left="709" w:hanging="709"/>
        <w:jc w:val="both"/>
      </w:pPr>
      <w:r>
        <w:t>T</w:t>
      </w:r>
      <w:r w:rsidR="004E4668" w:rsidRPr="008D6B70">
        <w:t xml:space="preserve">he supplementary indirect comparison </w:t>
      </w:r>
      <w:r w:rsidR="003E6E42">
        <w:t>of</w:t>
      </w:r>
      <w:r w:rsidR="004E4668" w:rsidRPr="008D6B70">
        <w:t xml:space="preserve"> DBd vs. Cd using Bd as the common </w:t>
      </w:r>
      <w:r w:rsidR="001E0272" w:rsidRPr="008D6B70">
        <w:t>comparator</w:t>
      </w:r>
      <w:r w:rsidR="001E0272">
        <w:t xml:space="preserve"> included</w:t>
      </w:r>
      <w:r>
        <w:t xml:space="preserve"> the</w:t>
      </w:r>
      <w:r w:rsidR="004E4668" w:rsidRPr="008D6B70">
        <w:t xml:space="preserve"> CASTOR </w:t>
      </w:r>
      <w:r w:rsidR="00F20075" w:rsidRPr="008D6B70">
        <w:t xml:space="preserve">(DBd vs. Bd) </w:t>
      </w:r>
      <w:r w:rsidR="004E4668" w:rsidRPr="008D6B70">
        <w:t>and ENDEAVOR</w:t>
      </w:r>
      <w:r w:rsidR="00F20075" w:rsidRPr="008D6B70">
        <w:t xml:space="preserve"> (Cd vs. Bd)</w:t>
      </w:r>
      <w:r>
        <w:t xml:space="preserve"> </w:t>
      </w:r>
      <w:r w:rsidR="003E6E42">
        <w:t>trials</w:t>
      </w:r>
      <w:r w:rsidR="004E4668" w:rsidRPr="008D6B70">
        <w:t>. In the ENDEAVOR trial</w:t>
      </w:r>
      <w:bookmarkEnd w:id="20"/>
      <w:r w:rsidR="004E4668" w:rsidRPr="008D6B70">
        <w:t xml:space="preserve"> median PFS was 18.7 months in the Cd group and 9.4 months in the Bd group (</w:t>
      </w:r>
      <w:r w:rsidR="00F20075" w:rsidRPr="008D6B70">
        <w:t xml:space="preserve">HR </w:t>
      </w:r>
      <w:r w:rsidR="004E4668" w:rsidRPr="008D6B70">
        <w:t>0.53, 95% CI: 0.44-0.65)</w:t>
      </w:r>
      <w:r w:rsidR="00F20075" w:rsidRPr="008D6B70">
        <w:t>,</w:t>
      </w:r>
      <w:r w:rsidR="004E4668" w:rsidRPr="008D6B70">
        <w:t xml:space="preserve"> with </w:t>
      </w:r>
      <w:r w:rsidR="0018664A" w:rsidRPr="008D6B70">
        <w:t xml:space="preserve">a </w:t>
      </w:r>
      <w:r w:rsidR="004E4668" w:rsidRPr="008D6B70">
        <w:t xml:space="preserve">median duration of follow-up </w:t>
      </w:r>
      <w:r w:rsidR="0018664A" w:rsidRPr="008D6B70">
        <w:t xml:space="preserve">of </w:t>
      </w:r>
      <w:r w:rsidR="004E4668" w:rsidRPr="008D6B70">
        <w:t xml:space="preserve">11.9 months and 11.1 months, respectively. </w:t>
      </w:r>
      <w:r w:rsidR="000F3570" w:rsidRPr="008D6B70">
        <w:t>The</w:t>
      </w:r>
      <w:r w:rsidR="002A241D">
        <w:t xml:space="preserve"> HR for the</w:t>
      </w:r>
      <w:r w:rsidR="000F3570" w:rsidRPr="008D6B70">
        <w:t xml:space="preserve"> indirect treatment comparison of DBd and Cd for PFS </w:t>
      </w:r>
      <w:r w:rsidR="002A241D">
        <w:t>was</w:t>
      </w:r>
      <w:r w:rsidR="000F3570" w:rsidRPr="008D6B70">
        <w:t xml:space="preserve"> </w:t>
      </w:r>
      <w:r w:rsidR="000A7F1F">
        <w:rPr>
          <w:noProof/>
          <w:color w:val="000000"/>
          <w:highlight w:val="black"/>
        </w:rPr>
        <w:t>''''''''</w:t>
      </w:r>
      <w:r w:rsidR="000F3570" w:rsidRPr="008D6B70">
        <w:t xml:space="preserve"> (95% CI: </w:t>
      </w:r>
      <w:r w:rsidR="000A7F1F">
        <w:rPr>
          <w:noProof/>
          <w:color w:val="000000"/>
          <w:highlight w:val="black"/>
        </w:rPr>
        <w:t>'''''''' ''''' '''''''''</w:t>
      </w:r>
      <w:r w:rsidR="000F3570" w:rsidRPr="008D6B70">
        <w:t>), with median follow-up in CASTOR of 13.0 months. In ENDEAVOR</w:t>
      </w:r>
      <w:r w:rsidR="009913AA" w:rsidRPr="008D6B70">
        <w:t>,</w:t>
      </w:r>
      <w:r w:rsidR="000F3570" w:rsidRPr="008D6B70">
        <w:t xml:space="preserve"> m</w:t>
      </w:r>
      <w:r w:rsidR="004C1739" w:rsidRPr="008D6B70">
        <w:t xml:space="preserve">edian </w:t>
      </w:r>
      <w:r w:rsidR="004E4668" w:rsidRPr="008D6B70">
        <w:t xml:space="preserve">OS survival was </w:t>
      </w:r>
      <w:r w:rsidR="004C1739" w:rsidRPr="008D6B70">
        <w:t xml:space="preserve">not reached </w:t>
      </w:r>
      <w:r w:rsidR="0018664A" w:rsidRPr="008D6B70">
        <w:t>for</w:t>
      </w:r>
      <w:r w:rsidR="004C1739" w:rsidRPr="008D6B70">
        <w:t xml:space="preserve"> Cd and was 24.3 months </w:t>
      </w:r>
      <w:r w:rsidR="0018664A" w:rsidRPr="008D6B70">
        <w:t>for</w:t>
      </w:r>
      <w:r w:rsidR="004C1739" w:rsidRPr="008D6B70">
        <w:t xml:space="preserve"> Bd</w:t>
      </w:r>
      <w:r w:rsidR="002A241D">
        <w:t xml:space="preserve"> and t</w:t>
      </w:r>
      <w:r w:rsidR="0018664A" w:rsidRPr="008D6B70">
        <w:t xml:space="preserve">he </w:t>
      </w:r>
      <w:r w:rsidR="004C1739" w:rsidRPr="008D6B70">
        <w:t xml:space="preserve">HR </w:t>
      </w:r>
      <w:r w:rsidR="0079033D" w:rsidRPr="008D6B70">
        <w:t xml:space="preserve">was </w:t>
      </w:r>
      <w:r w:rsidR="004C1739" w:rsidRPr="008D6B70">
        <w:t>0.79</w:t>
      </w:r>
      <w:r w:rsidR="002A241D">
        <w:t xml:space="preserve"> (</w:t>
      </w:r>
      <w:r w:rsidR="004C1739" w:rsidRPr="008D6B70">
        <w:t xml:space="preserve">95% CI: 0.58-1.08). </w:t>
      </w:r>
      <w:r w:rsidR="000F3570" w:rsidRPr="008D6B70">
        <w:t>The</w:t>
      </w:r>
      <w:r w:rsidR="002A241D">
        <w:t xml:space="preserve"> HR for the</w:t>
      </w:r>
      <w:r w:rsidR="000F3570" w:rsidRPr="008D6B70">
        <w:t xml:space="preserve"> indirect treatment comparison of DBd and Cd for OS resulted in a HR </w:t>
      </w:r>
      <w:r w:rsidR="002A241D">
        <w:t>was</w:t>
      </w:r>
      <w:r w:rsidR="000F3570" w:rsidRPr="008D6B70">
        <w:t xml:space="preserve"> </w:t>
      </w:r>
      <w:r w:rsidR="000A7F1F">
        <w:rPr>
          <w:noProof/>
          <w:color w:val="000000"/>
          <w:highlight w:val="black"/>
        </w:rPr>
        <w:t>'''''''''</w:t>
      </w:r>
      <w:r w:rsidR="000F3570" w:rsidRPr="008D6B70">
        <w:t xml:space="preserve"> (95% CI: </w:t>
      </w:r>
      <w:r w:rsidR="000A7F1F">
        <w:rPr>
          <w:noProof/>
          <w:color w:val="000000"/>
          <w:highlight w:val="black"/>
        </w:rPr>
        <w:t>''''''''' ''''' '''''''''</w:t>
      </w:r>
      <w:r w:rsidR="000F3570" w:rsidRPr="008D6B70">
        <w:t>), with median follow-up in CASTOR of 13.3 months.</w:t>
      </w:r>
    </w:p>
    <w:p w:rsidR="00AE7EAF" w:rsidRPr="008D6B70" w:rsidRDefault="0085488A" w:rsidP="00865EA5">
      <w:pPr>
        <w:pStyle w:val="ListParagraph"/>
        <w:numPr>
          <w:ilvl w:val="1"/>
          <w:numId w:val="108"/>
        </w:numPr>
        <w:ind w:left="709" w:hanging="709"/>
        <w:jc w:val="both"/>
      </w:pPr>
      <w:r>
        <w:t>T</w:t>
      </w:r>
      <w:r w:rsidR="00AE7EAF" w:rsidRPr="008D6B70">
        <w:t>he</w:t>
      </w:r>
      <w:r w:rsidR="002A241D">
        <w:t xml:space="preserve"> indirect comparisons </w:t>
      </w:r>
      <w:r w:rsidR="00AE7EAF" w:rsidRPr="008D6B70">
        <w:t>were</w:t>
      </w:r>
      <w:r w:rsidR="002A241D">
        <w:t xml:space="preserve"> potentially</w:t>
      </w:r>
      <w:r w:rsidR="00AE7EAF" w:rsidRPr="008D6B70">
        <w:t xml:space="preserve"> confounded by a number of </w:t>
      </w:r>
      <w:r>
        <w:t>factors</w:t>
      </w:r>
      <w:r w:rsidR="00AE7EAF" w:rsidRPr="008D6B70">
        <w:t>:</w:t>
      </w:r>
    </w:p>
    <w:p w:rsidR="00AE7EAF" w:rsidRPr="008D6B70" w:rsidRDefault="00AE7EAF" w:rsidP="004B69BF">
      <w:pPr>
        <w:pStyle w:val="ListParagraph"/>
        <w:numPr>
          <w:ilvl w:val="1"/>
          <w:numId w:val="109"/>
        </w:numPr>
        <w:ind w:left="993" w:hanging="284"/>
        <w:jc w:val="both"/>
      </w:pPr>
      <w:r w:rsidRPr="008D6B70">
        <w:t>more patients in CASTOR were ISS stage II (moderate risk) compared to ENDEAVOR</w:t>
      </w:r>
      <w:r w:rsidR="00C75718">
        <w:t>, which may favour Cd</w:t>
      </w:r>
      <w:r w:rsidRPr="008D6B70">
        <w:t>;</w:t>
      </w:r>
    </w:p>
    <w:p w:rsidR="00866E18" w:rsidRDefault="00AE7EAF" w:rsidP="004B69BF">
      <w:pPr>
        <w:pStyle w:val="ListParagraph"/>
        <w:numPr>
          <w:ilvl w:val="1"/>
          <w:numId w:val="109"/>
        </w:numPr>
        <w:ind w:left="993" w:hanging="284"/>
        <w:jc w:val="both"/>
      </w:pPr>
      <w:r w:rsidRPr="008D6B70">
        <w:t>More patients in CASTOR had been previously treated with Bd compared with those in ENDEAVOR</w:t>
      </w:r>
      <w:r w:rsidR="00C75718">
        <w:t>. This may favour DBd because patients who have previously responded to bortezomib may be more likely to respond</w:t>
      </w:r>
      <w:r w:rsidR="00866E18">
        <w:t xml:space="preserve"> to repeat bortezomib if an additional agent is added</w:t>
      </w:r>
      <w:r w:rsidRPr="008D6B70">
        <w:t xml:space="preserve">; </w:t>
      </w:r>
    </w:p>
    <w:p w:rsidR="00866E18" w:rsidRDefault="00866E18" w:rsidP="004B69BF">
      <w:pPr>
        <w:pStyle w:val="ListParagraph"/>
        <w:numPr>
          <w:ilvl w:val="1"/>
          <w:numId w:val="109"/>
        </w:numPr>
        <w:ind w:left="993" w:hanging="284"/>
        <w:jc w:val="both"/>
      </w:pPr>
      <w:r>
        <w:t xml:space="preserve">The higher rate of progression in CASTOR vs ENDEAVOR; </w:t>
      </w:r>
      <w:r w:rsidR="00AE7EAF" w:rsidRPr="008D6B70">
        <w:t xml:space="preserve">and </w:t>
      </w:r>
    </w:p>
    <w:p w:rsidR="002A3AD0" w:rsidRDefault="00AE7EAF" w:rsidP="004B69BF">
      <w:pPr>
        <w:pStyle w:val="ListParagraph"/>
        <w:numPr>
          <w:ilvl w:val="1"/>
          <w:numId w:val="109"/>
        </w:numPr>
        <w:ind w:left="993" w:hanging="284"/>
        <w:jc w:val="both"/>
      </w:pPr>
      <w:r w:rsidRPr="008D6B70">
        <w:t>CASTOR only permitted 8 cycles of Bd, whereas ENDEAVOR permitted treatment until disease progression</w:t>
      </w:r>
      <w:r w:rsidR="00866E18">
        <w:t>, which may favour Cd</w:t>
      </w:r>
      <w:r w:rsidRPr="008D6B70">
        <w:t xml:space="preserve">. </w:t>
      </w:r>
    </w:p>
    <w:p w:rsidR="00AE7EAF" w:rsidRPr="008D6B70" w:rsidRDefault="00AE7EAF" w:rsidP="002A3AD0">
      <w:pPr>
        <w:pStyle w:val="ListParagraph"/>
        <w:jc w:val="both"/>
      </w:pPr>
      <w:r w:rsidRPr="008D6B70">
        <w:t>The ESC noted that due to confounding factors, this comparison should be interpreted with caution.</w:t>
      </w:r>
      <w:r w:rsidR="00A367E6">
        <w:t xml:space="preserve"> The PBAC</w:t>
      </w:r>
      <w:r w:rsidR="002A3AD0">
        <w:t xml:space="preserve"> considered that it may be more informative for an indirect </w:t>
      </w:r>
      <w:r w:rsidR="001E0272">
        <w:t>comparison</w:t>
      </w:r>
      <w:r w:rsidR="002A3AD0">
        <w:t xml:space="preserve"> to be performed on the Bd naïve subgroup of patients of each trial.</w:t>
      </w:r>
    </w:p>
    <w:p w:rsidR="00074D4A" w:rsidRPr="00981468" w:rsidRDefault="00074D4A" w:rsidP="00074D4A">
      <w:pPr>
        <w:pStyle w:val="Heading2"/>
      </w:pPr>
      <w:bookmarkStart w:id="21" w:name="_Toc413139279"/>
      <w:bookmarkStart w:id="22" w:name="_Toc492997389"/>
      <w:r w:rsidRPr="00981468">
        <w:t>Comparative harms</w:t>
      </w:r>
      <w:bookmarkEnd w:id="21"/>
      <w:bookmarkEnd w:id="22"/>
    </w:p>
    <w:p w:rsidR="00074D4A" w:rsidRPr="008D6B70" w:rsidRDefault="00074D4A" w:rsidP="00865EA5">
      <w:pPr>
        <w:pStyle w:val="ListParagraph"/>
        <w:numPr>
          <w:ilvl w:val="1"/>
          <w:numId w:val="108"/>
        </w:numPr>
        <w:ind w:left="709" w:hanging="709"/>
        <w:jc w:val="both"/>
      </w:pPr>
      <w:r w:rsidRPr="00FE236E">
        <w:t>A summary</w:t>
      </w:r>
      <w:r w:rsidRPr="008D6B70">
        <w:t xml:space="preserve"> of </w:t>
      </w:r>
      <w:r w:rsidR="00B029CB" w:rsidRPr="008D6B70">
        <w:t xml:space="preserve">the </w:t>
      </w:r>
      <w:r w:rsidRPr="008D6B70">
        <w:t>key safety outcomes from the 120-Day Safety Update</w:t>
      </w:r>
      <w:r w:rsidR="006C59FE" w:rsidRPr="008D6B70">
        <w:t>s</w:t>
      </w:r>
      <w:r w:rsidRPr="008D6B70">
        <w:t xml:space="preserve"> for CASTOR and POLLUX is presented in Table 8. </w:t>
      </w:r>
    </w:p>
    <w:p w:rsidR="00074D4A" w:rsidRPr="008D6B70" w:rsidRDefault="00074D4A" w:rsidP="00074D4A">
      <w:pPr>
        <w:pStyle w:val="TableHeading1"/>
      </w:pPr>
      <w:r w:rsidRPr="008D6B70">
        <w:t>Table 8: Summary of key adverse events in the direct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56"/>
        <w:gridCol w:w="1566"/>
        <w:gridCol w:w="1571"/>
        <w:gridCol w:w="2089"/>
      </w:tblGrid>
      <w:tr w:rsidR="00074D4A" w:rsidRPr="008D6B70" w:rsidTr="00866E18">
        <w:tc>
          <w:tcPr>
            <w:tcW w:w="2123" w:type="pct"/>
            <w:tcBorders>
              <w:bottom w:val="single" w:sz="4" w:space="0" w:color="auto"/>
            </w:tcBorders>
            <w:vAlign w:val="center"/>
          </w:tcPr>
          <w:p w:rsidR="00074D4A" w:rsidRPr="00D307D7" w:rsidRDefault="00074D4A" w:rsidP="00555AE1">
            <w:pPr>
              <w:pStyle w:val="TableText"/>
              <w:rPr>
                <w:b/>
                <w:szCs w:val="20"/>
              </w:rPr>
            </w:pPr>
            <w:r w:rsidRPr="00D307D7">
              <w:rPr>
                <w:b/>
                <w:szCs w:val="20"/>
              </w:rPr>
              <w:t>Trial ID</w:t>
            </w:r>
          </w:p>
        </w:tc>
        <w:tc>
          <w:tcPr>
            <w:tcW w:w="862" w:type="pct"/>
            <w:tcBorders>
              <w:bottom w:val="single" w:sz="4" w:space="0" w:color="auto"/>
            </w:tcBorders>
            <w:vAlign w:val="center"/>
          </w:tcPr>
          <w:p w:rsidR="00074D4A" w:rsidRPr="00D307D7" w:rsidRDefault="00074D4A" w:rsidP="00866E18">
            <w:pPr>
              <w:pStyle w:val="TableText"/>
              <w:jc w:val="center"/>
              <w:rPr>
                <w:b/>
                <w:szCs w:val="20"/>
              </w:rPr>
            </w:pPr>
            <w:r w:rsidRPr="00D307D7">
              <w:rPr>
                <w:b/>
                <w:szCs w:val="20"/>
              </w:rPr>
              <w:t>n with event/N (%)</w:t>
            </w:r>
          </w:p>
        </w:tc>
        <w:tc>
          <w:tcPr>
            <w:tcW w:w="865" w:type="pct"/>
            <w:tcBorders>
              <w:bottom w:val="single" w:sz="4" w:space="0" w:color="auto"/>
            </w:tcBorders>
            <w:vAlign w:val="center"/>
          </w:tcPr>
          <w:p w:rsidR="00074D4A" w:rsidRPr="00D307D7" w:rsidRDefault="00074D4A" w:rsidP="00866E18">
            <w:pPr>
              <w:pStyle w:val="TableText"/>
              <w:jc w:val="center"/>
              <w:rPr>
                <w:b/>
                <w:szCs w:val="20"/>
              </w:rPr>
            </w:pPr>
            <w:r w:rsidRPr="00D307D7">
              <w:rPr>
                <w:b/>
                <w:szCs w:val="20"/>
              </w:rPr>
              <w:t>n with event/N (%)</w:t>
            </w:r>
          </w:p>
        </w:tc>
        <w:tc>
          <w:tcPr>
            <w:tcW w:w="1151" w:type="pct"/>
            <w:tcBorders>
              <w:bottom w:val="single" w:sz="4" w:space="0" w:color="auto"/>
            </w:tcBorders>
            <w:vAlign w:val="center"/>
          </w:tcPr>
          <w:p w:rsidR="00074D4A" w:rsidRPr="00D307D7" w:rsidRDefault="00074D4A" w:rsidP="00866E18">
            <w:pPr>
              <w:pStyle w:val="TableText"/>
              <w:jc w:val="center"/>
              <w:rPr>
                <w:b/>
                <w:szCs w:val="20"/>
              </w:rPr>
            </w:pPr>
            <w:r w:rsidRPr="00D307D7">
              <w:rPr>
                <w:b/>
                <w:szCs w:val="20"/>
              </w:rPr>
              <w:t>RD (95% CI)</w:t>
            </w:r>
          </w:p>
        </w:tc>
      </w:tr>
      <w:tr w:rsidR="00074D4A" w:rsidRPr="008D6B70" w:rsidTr="00866E18">
        <w:tc>
          <w:tcPr>
            <w:tcW w:w="2123" w:type="pct"/>
            <w:tcBorders>
              <w:bottom w:val="single" w:sz="4" w:space="0" w:color="auto"/>
            </w:tcBorders>
            <w:vAlign w:val="center"/>
          </w:tcPr>
          <w:p w:rsidR="00074D4A" w:rsidRPr="00D307D7" w:rsidRDefault="00074D4A" w:rsidP="00555AE1">
            <w:pPr>
              <w:pStyle w:val="TableText"/>
              <w:rPr>
                <w:b/>
                <w:szCs w:val="20"/>
              </w:rPr>
            </w:pPr>
            <w:r w:rsidRPr="00D307D7">
              <w:rPr>
                <w:b/>
                <w:szCs w:val="20"/>
              </w:rPr>
              <w:t>CASTOR (120-Day safety update)</w:t>
            </w:r>
          </w:p>
        </w:tc>
        <w:tc>
          <w:tcPr>
            <w:tcW w:w="862" w:type="pct"/>
            <w:tcBorders>
              <w:bottom w:val="single" w:sz="4" w:space="0" w:color="auto"/>
            </w:tcBorders>
            <w:vAlign w:val="center"/>
          </w:tcPr>
          <w:p w:rsidR="00074D4A" w:rsidRPr="00D307D7" w:rsidRDefault="00074D4A" w:rsidP="00866E18">
            <w:pPr>
              <w:pStyle w:val="TableText"/>
              <w:jc w:val="center"/>
              <w:rPr>
                <w:b/>
                <w:szCs w:val="20"/>
              </w:rPr>
            </w:pPr>
            <w:r w:rsidRPr="00D307D7">
              <w:rPr>
                <w:b/>
                <w:szCs w:val="20"/>
              </w:rPr>
              <w:t>DBd, N=243</w:t>
            </w:r>
          </w:p>
        </w:tc>
        <w:tc>
          <w:tcPr>
            <w:tcW w:w="865" w:type="pct"/>
            <w:tcBorders>
              <w:bottom w:val="single" w:sz="4" w:space="0" w:color="auto"/>
            </w:tcBorders>
            <w:vAlign w:val="center"/>
          </w:tcPr>
          <w:p w:rsidR="00074D4A" w:rsidRPr="00D307D7" w:rsidRDefault="00074D4A" w:rsidP="00866E18">
            <w:pPr>
              <w:pStyle w:val="TableText"/>
              <w:jc w:val="center"/>
              <w:rPr>
                <w:b/>
                <w:szCs w:val="20"/>
              </w:rPr>
            </w:pPr>
            <w:r w:rsidRPr="00D307D7">
              <w:rPr>
                <w:b/>
                <w:szCs w:val="20"/>
              </w:rPr>
              <w:t>Bd, N=237</w:t>
            </w:r>
          </w:p>
        </w:tc>
        <w:tc>
          <w:tcPr>
            <w:tcW w:w="1151" w:type="pct"/>
            <w:tcBorders>
              <w:bottom w:val="single" w:sz="4" w:space="0" w:color="auto"/>
            </w:tcBorders>
            <w:vAlign w:val="center"/>
          </w:tcPr>
          <w:p w:rsidR="00074D4A" w:rsidRPr="00D307D7" w:rsidRDefault="00074D4A" w:rsidP="00866E18">
            <w:pPr>
              <w:pStyle w:val="TableText"/>
              <w:keepLines/>
              <w:ind w:left="578" w:hanging="578"/>
              <w:jc w:val="center"/>
              <w:outlineLvl w:val="1"/>
              <w:rPr>
                <w:b/>
                <w:szCs w:val="20"/>
              </w:rPr>
            </w:pPr>
          </w:p>
        </w:tc>
      </w:tr>
      <w:tr w:rsidR="00074D4A" w:rsidRPr="008D6B70" w:rsidTr="00866E18">
        <w:tc>
          <w:tcPr>
            <w:tcW w:w="2123" w:type="pct"/>
            <w:tcBorders>
              <w:top w:val="single" w:sz="4" w:space="0" w:color="auto"/>
              <w:bottom w:val="nil"/>
            </w:tcBorders>
            <w:vAlign w:val="center"/>
          </w:tcPr>
          <w:p w:rsidR="00074D4A" w:rsidRPr="000A7F1F" w:rsidRDefault="00074D4A" w:rsidP="008D5B6A">
            <w:pPr>
              <w:pStyle w:val="TableText"/>
              <w:rPr>
                <w:szCs w:val="20"/>
              </w:rPr>
            </w:pPr>
            <w:r w:rsidRPr="00D307D7">
              <w:rPr>
                <w:szCs w:val="20"/>
              </w:rPr>
              <w:t>Any AE, n (%)</w:t>
            </w:r>
          </w:p>
        </w:tc>
        <w:tc>
          <w:tcPr>
            <w:tcW w:w="862" w:type="pct"/>
            <w:tcBorders>
              <w:top w:val="single" w:sz="4" w:space="0" w:color="auto"/>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865" w:type="pct"/>
            <w:tcBorders>
              <w:top w:val="single" w:sz="4" w:space="0" w:color="auto"/>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1151" w:type="pct"/>
            <w:tcBorders>
              <w:top w:val="single" w:sz="4" w:space="0" w:color="auto"/>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b/>
                <w:noProof/>
                <w:color w:val="000000"/>
                <w:szCs w:val="20"/>
                <w:highlight w:val="black"/>
              </w:rPr>
              <w:t>''''''''''''' '''''''''''''' '''''''''''''''</w:t>
            </w:r>
          </w:p>
        </w:tc>
      </w:tr>
      <w:tr w:rsidR="00074D4A" w:rsidRPr="008D6B70" w:rsidTr="00866E18">
        <w:tc>
          <w:tcPr>
            <w:tcW w:w="2123" w:type="pct"/>
            <w:tcBorders>
              <w:top w:val="nil"/>
              <w:bottom w:val="nil"/>
            </w:tcBorders>
            <w:vAlign w:val="center"/>
          </w:tcPr>
          <w:p w:rsidR="00074D4A" w:rsidRPr="000A7F1F" w:rsidRDefault="00074D4A" w:rsidP="008D5B6A">
            <w:pPr>
              <w:pStyle w:val="TableText"/>
              <w:rPr>
                <w:szCs w:val="20"/>
              </w:rPr>
            </w:pPr>
            <w:r w:rsidRPr="00D307D7">
              <w:rPr>
                <w:szCs w:val="20"/>
              </w:rPr>
              <w:t>Grade 3 and 4 AEs</w:t>
            </w:r>
          </w:p>
        </w:tc>
        <w:tc>
          <w:tcPr>
            <w:tcW w:w="862"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865"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1151"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b/>
                <w:noProof/>
                <w:color w:val="000000"/>
                <w:szCs w:val="20"/>
                <w:highlight w:val="black"/>
              </w:rPr>
              <w:t>''''''''''''''' ''''''''''''' ''''''''''''''''</w:t>
            </w:r>
          </w:p>
        </w:tc>
      </w:tr>
      <w:tr w:rsidR="00074D4A" w:rsidRPr="008D6B70" w:rsidTr="00866E18">
        <w:tc>
          <w:tcPr>
            <w:tcW w:w="2123" w:type="pct"/>
            <w:tcBorders>
              <w:top w:val="nil"/>
              <w:bottom w:val="nil"/>
            </w:tcBorders>
            <w:vAlign w:val="center"/>
          </w:tcPr>
          <w:p w:rsidR="00074D4A" w:rsidRPr="000A7F1F" w:rsidRDefault="00074D4A" w:rsidP="008D5B6A">
            <w:pPr>
              <w:pStyle w:val="TableText"/>
              <w:rPr>
                <w:szCs w:val="20"/>
              </w:rPr>
            </w:pPr>
            <w:r w:rsidRPr="00D307D7">
              <w:rPr>
                <w:szCs w:val="20"/>
              </w:rPr>
              <w:t>Any serious AE, n (%)</w:t>
            </w:r>
          </w:p>
        </w:tc>
        <w:tc>
          <w:tcPr>
            <w:tcW w:w="862"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eastAsia="TimesNewRoman" w:cs="Arial"/>
                <w:noProof/>
                <w:color w:val="000000"/>
                <w:szCs w:val="20"/>
                <w:highlight w:val="black"/>
                <w:lang w:val="en-US"/>
              </w:rPr>
              <w:t>''''''''' ''''''''''''''''</w:t>
            </w:r>
          </w:p>
        </w:tc>
        <w:tc>
          <w:tcPr>
            <w:tcW w:w="865"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1151"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b/>
                <w:noProof/>
                <w:color w:val="000000"/>
                <w:szCs w:val="20"/>
                <w:highlight w:val="black"/>
              </w:rPr>
              <w:t>'''''''''''''''' '''''''''''''' '''''''''''''''</w:t>
            </w:r>
          </w:p>
        </w:tc>
      </w:tr>
      <w:tr w:rsidR="00074D4A" w:rsidRPr="008D6B70" w:rsidTr="00866E18">
        <w:tc>
          <w:tcPr>
            <w:tcW w:w="2123" w:type="pct"/>
            <w:tcBorders>
              <w:top w:val="nil"/>
              <w:bottom w:val="nil"/>
            </w:tcBorders>
            <w:vAlign w:val="center"/>
          </w:tcPr>
          <w:p w:rsidR="00074D4A" w:rsidRPr="000A7F1F" w:rsidRDefault="00074D4A" w:rsidP="008D5B6A">
            <w:pPr>
              <w:pStyle w:val="TableText"/>
              <w:rPr>
                <w:szCs w:val="20"/>
              </w:rPr>
            </w:pPr>
            <w:r w:rsidRPr="00D307D7">
              <w:rPr>
                <w:szCs w:val="20"/>
              </w:rPr>
              <w:t>≥1 AE related to discontinuation of all study treatment, n (%)</w:t>
            </w:r>
          </w:p>
        </w:tc>
        <w:tc>
          <w:tcPr>
            <w:tcW w:w="862"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865"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w:t>
            </w:r>
          </w:p>
        </w:tc>
        <w:tc>
          <w:tcPr>
            <w:tcW w:w="1151"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 '''''''''''''''''</w:t>
            </w:r>
          </w:p>
        </w:tc>
      </w:tr>
      <w:tr w:rsidR="00074D4A" w:rsidRPr="008D6B70" w:rsidTr="00866E18">
        <w:tc>
          <w:tcPr>
            <w:tcW w:w="2123" w:type="pct"/>
            <w:tcBorders>
              <w:top w:val="nil"/>
              <w:bottom w:val="single" w:sz="4" w:space="0" w:color="auto"/>
            </w:tcBorders>
            <w:vAlign w:val="center"/>
          </w:tcPr>
          <w:p w:rsidR="00074D4A" w:rsidRPr="000A7F1F" w:rsidRDefault="00074D4A" w:rsidP="008D5B6A">
            <w:pPr>
              <w:pStyle w:val="TableText"/>
              <w:rPr>
                <w:szCs w:val="20"/>
              </w:rPr>
            </w:pPr>
            <w:r w:rsidRPr="00D307D7">
              <w:rPr>
                <w:szCs w:val="20"/>
              </w:rPr>
              <w:t>Total no. deaths within 30 days of last dose, n (%)</w:t>
            </w:r>
          </w:p>
        </w:tc>
        <w:tc>
          <w:tcPr>
            <w:tcW w:w="862" w:type="pct"/>
            <w:tcBorders>
              <w:top w:val="nil"/>
              <w:left w:val="single" w:sz="4" w:space="0" w:color="000000"/>
              <w:bottom w:val="single" w:sz="4" w:space="0" w:color="000000"/>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lang w:val="en-US"/>
              </w:rPr>
              <w:t>'''''' '''''''''''</w:t>
            </w:r>
          </w:p>
        </w:tc>
        <w:tc>
          <w:tcPr>
            <w:tcW w:w="865" w:type="pct"/>
            <w:tcBorders>
              <w:top w:val="nil"/>
              <w:left w:val="single" w:sz="4" w:space="0" w:color="000000"/>
              <w:bottom w:val="single" w:sz="4" w:space="0" w:color="000000"/>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lang w:val="en-US"/>
              </w:rPr>
              <w:t>'''''' '''''''''''</w:t>
            </w:r>
          </w:p>
        </w:tc>
        <w:tc>
          <w:tcPr>
            <w:tcW w:w="1151" w:type="pct"/>
            <w:tcBorders>
              <w:top w:val="nil"/>
              <w:left w:val="single" w:sz="4" w:space="0" w:color="000000"/>
              <w:bottom w:val="single" w:sz="4" w:space="0" w:color="000000"/>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 ''''''''''''''''</w:t>
            </w:r>
          </w:p>
        </w:tc>
      </w:tr>
      <w:tr w:rsidR="00074D4A" w:rsidRPr="008D6B70" w:rsidTr="00866E18">
        <w:tc>
          <w:tcPr>
            <w:tcW w:w="2123" w:type="pct"/>
            <w:tcBorders>
              <w:top w:val="single" w:sz="4" w:space="0" w:color="auto"/>
              <w:bottom w:val="single" w:sz="4" w:space="0" w:color="auto"/>
            </w:tcBorders>
            <w:vAlign w:val="center"/>
          </w:tcPr>
          <w:p w:rsidR="00074D4A" w:rsidRPr="00D307D7" w:rsidRDefault="00074D4A" w:rsidP="00555AE1">
            <w:pPr>
              <w:pStyle w:val="TableText"/>
              <w:rPr>
                <w:b/>
                <w:szCs w:val="20"/>
              </w:rPr>
            </w:pPr>
            <w:r w:rsidRPr="00D307D7">
              <w:rPr>
                <w:b/>
                <w:szCs w:val="20"/>
              </w:rPr>
              <w:t>POLLUX (120-Day safety update)</w:t>
            </w:r>
          </w:p>
        </w:tc>
        <w:tc>
          <w:tcPr>
            <w:tcW w:w="862" w:type="pct"/>
            <w:tcBorders>
              <w:top w:val="single" w:sz="4" w:space="0" w:color="auto"/>
              <w:bottom w:val="single" w:sz="4" w:space="0" w:color="auto"/>
            </w:tcBorders>
            <w:vAlign w:val="center"/>
          </w:tcPr>
          <w:p w:rsidR="00074D4A" w:rsidRPr="00D307D7" w:rsidRDefault="00074D4A" w:rsidP="00866E18">
            <w:pPr>
              <w:pStyle w:val="TableText"/>
              <w:jc w:val="center"/>
              <w:rPr>
                <w:b/>
                <w:szCs w:val="20"/>
              </w:rPr>
            </w:pPr>
            <w:r w:rsidRPr="00D307D7">
              <w:rPr>
                <w:b/>
                <w:szCs w:val="20"/>
              </w:rPr>
              <w:t>DLd, N=318</w:t>
            </w:r>
          </w:p>
        </w:tc>
        <w:tc>
          <w:tcPr>
            <w:tcW w:w="865" w:type="pct"/>
            <w:tcBorders>
              <w:top w:val="single" w:sz="4" w:space="0" w:color="auto"/>
              <w:bottom w:val="single" w:sz="4" w:space="0" w:color="auto"/>
            </w:tcBorders>
            <w:vAlign w:val="center"/>
          </w:tcPr>
          <w:p w:rsidR="00074D4A" w:rsidRPr="00D307D7" w:rsidRDefault="00074D4A" w:rsidP="00866E18">
            <w:pPr>
              <w:pStyle w:val="TableText"/>
              <w:jc w:val="center"/>
              <w:rPr>
                <w:b/>
                <w:szCs w:val="20"/>
              </w:rPr>
            </w:pPr>
            <w:r w:rsidRPr="00D307D7">
              <w:rPr>
                <w:b/>
                <w:szCs w:val="20"/>
              </w:rPr>
              <w:t>Ld, N=281</w:t>
            </w:r>
          </w:p>
        </w:tc>
        <w:tc>
          <w:tcPr>
            <w:tcW w:w="1151" w:type="pct"/>
            <w:tcBorders>
              <w:top w:val="single" w:sz="4" w:space="0" w:color="auto"/>
              <w:bottom w:val="single" w:sz="4" w:space="0" w:color="auto"/>
            </w:tcBorders>
            <w:vAlign w:val="center"/>
          </w:tcPr>
          <w:p w:rsidR="00074D4A" w:rsidRPr="00D307D7" w:rsidRDefault="00074D4A" w:rsidP="00866E18">
            <w:pPr>
              <w:pStyle w:val="TableText"/>
              <w:keepLines/>
              <w:ind w:left="578" w:hanging="578"/>
              <w:jc w:val="center"/>
              <w:outlineLvl w:val="1"/>
              <w:rPr>
                <w:b/>
                <w:szCs w:val="20"/>
              </w:rPr>
            </w:pPr>
          </w:p>
        </w:tc>
      </w:tr>
      <w:tr w:rsidR="00074D4A" w:rsidRPr="008D6B70" w:rsidTr="00866E18">
        <w:tc>
          <w:tcPr>
            <w:tcW w:w="2123" w:type="pct"/>
            <w:tcBorders>
              <w:top w:val="single" w:sz="4" w:space="0" w:color="auto"/>
              <w:left w:val="single" w:sz="4" w:space="0" w:color="000000"/>
              <w:bottom w:val="nil"/>
              <w:right w:val="single" w:sz="4" w:space="0" w:color="000000"/>
            </w:tcBorders>
            <w:vAlign w:val="center"/>
          </w:tcPr>
          <w:p w:rsidR="00074D4A" w:rsidRPr="000A7F1F" w:rsidRDefault="00074D4A" w:rsidP="008D5B6A">
            <w:pPr>
              <w:pStyle w:val="TableText"/>
              <w:rPr>
                <w:szCs w:val="20"/>
              </w:rPr>
            </w:pPr>
            <w:r w:rsidRPr="00D307D7">
              <w:rPr>
                <w:szCs w:val="20"/>
              </w:rPr>
              <w:t>Any AE, n (%)</w:t>
            </w:r>
          </w:p>
        </w:tc>
        <w:tc>
          <w:tcPr>
            <w:tcW w:w="862" w:type="pct"/>
            <w:tcBorders>
              <w:top w:val="single" w:sz="4" w:space="0" w:color="auto"/>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865" w:type="pct"/>
            <w:tcBorders>
              <w:top w:val="single" w:sz="4" w:space="0" w:color="auto"/>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1151" w:type="pct"/>
            <w:tcBorders>
              <w:top w:val="single" w:sz="4" w:space="0" w:color="auto"/>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 ''''''''''''''''</w:t>
            </w:r>
          </w:p>
        </w:tc>
      </w:tr>
      <w:tr w:rsidR="00074D4A" w:rsidRPr="008D6B70" w:rsidTr="00866E18">
        <w:tc>
          <w:tcPr>
            <w:tcW w:w="2123" w:type="pct"/>
            <w:tcBorders>
              <w:top w:val="nil"/>
              <w:left w:val="single" w:sz="4" w:space="0" w:color="000000"/>
              <w:bottom w:val="nil"/>
              <w:right w:val="single" w:sz="4" w:space="0" w:color="000000"/>
            </w:tcBorders>
            <w:vAlign w:val="center"/>
          </w:tcPr>
          <w:p w:rsidR="00074D4A" w:rsidRPr="000A7F1F" w:rsidRDefault="00074D4A" w:rsidP="008D5B6A">
            <w:pPr>
              <w:pStyle w:val="TableText"/>
              <w:rPr>
                <w:szCs w:val="20"/>
              </w:rPr>
            </w:pPr>
            <w:r w:rsidRPr="00D307D7">
              <w:rPr>
                <w:szCs w:val="20"/>
              </w:rPr>
              <w:t>Grade 3 or 4 AEs</w:t>
            </w:r>
          </w:p>
        </w:tc>
        <w:tc>
          <w:tcPr>
            <w:tcW w:w="862"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865"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1151"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b/>
                <w:noProof/>
                <w:color w:val="000000"/>
                <w:szCs w:val="20"/>
                <w:highlight w:val="black"/>
              </w:rPr>
              <w:t>'''''''''''''' '''''''''''''''' '''''''''''''''''</w:t>
            </w:r>
          </w:p>
        </w:tc>
      </w:tr>
      <w:tr w:rsidR="00074D4A" w:rsidRPr="008D6B70" w:rsidTr="00866E18">
        <w:tc>
          <w:tcPr>
            <w:tcW w:w="2123" w:type="pct"/>
            <w:tcBorders>
              <w:top w:val="nil"/>
              <w:left w:val="single" w:sz="4" w:space="0" w:color="000000"/>
              <w:bottom w:val="nil"/>
              <w:right w:val="single" w:sz="4" w:space="0" w:color="000000"/>
            </w:tcBorders>
            <w:vAlign w:val="center"/>
          </w:tcPr>
          <w:p w:rsidR="00074D4A" w:rsidRPr="000A7F1F" w:rsidRDefault="00074D4A" w:rsidP="008D5B6A">
            <w:pPr>
              <w:pStyle w:val="TableText"/>
              <w:rPr>
                <w:szCs w:val="20"/>
              </w:rPr>
            </w:pPr>
            <w:r w:rsidRPr="00D307D7">
              <w:rPr>
                <w:szCs w:val="20"/>
              </w:rPr>
              <w:t>Any serious AE, n (%)</w:t>
            </w:r>
          </w:p>
        </w:tc>
        <w:tc>
          <w:tcPr>
            <w:tcW w:w="862"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865"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1151"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b/>
                <w:noProof/>
                <w:color w:val="000000"/>
                <w:szCs w:val="20"/>
                <w:highlight w:val="black"/>
              </w:rPr>
              <w:t>''''''''''''' ''''''''''''''' ''''''''''''''''</w:t>
            </w:r>
          </w:p>
        </w:tc>
      </w:tr>
      <w:tr w:rsidR="00074D4A" w:rsidRPr="008D6B70" w:rsidTr="00866E18">
        <w:tc>
          <w:tcPr>
            <w:tcW w:w="2123" w:type="pct"/>
            <w:tcBorders>
              <w:top w:val="nil"/>
              <w:left w:val="single" w:sz="4" w:space="0" w:color="000000"/>
              <w:bottom w:val="nil"/>
              <w:right w:val="single" w:sz="4" w:space="0" w:color="000000"/>
            </w:tcBorders>
            <w:vAlign w:val="center"/>
          </w:tcPr>
          <w:p w:rsidR="00074D4A" w:rsidRPr="000A7F1F" w:rsidRDefault="00074D4A" w:rsidP="008D5B6A">
            <w:pPr>
              <w:pStyle w:val="TableText"/>
              <w:rPr>
                <w:szCs w:val="20"/>
              </w:rPr>
            </w:pPr>
            <w:r w:rsidRPr="00D307D7">
              <w:rPr>
                <w:szCs w:val="20"/>
              </w:rPr>
              <w:t>≥1 AE related to discontinuation of all study treatment, n (%)</w:t>
            </w:r>
          </w:p>
        </w:tc>
        <w:tc>
          <w:tcPr>
            <w:tcW w:w="862"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865"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1151" w:type="pct"/>
            <w:tcBorders>
              <w:top w:val="nil"/>
              <w:left w:val="single" w:sz="4" w:space="0" w:color="000000"/>
              <w:bottom w:val="nil"/>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 ''''''''''''''''</w:t>
            </w:r>
          </w:p>
        </w:tc>
      </w:tr>
      <w:tr w:rsidR="00074D4A" w:rsidRPr="008D6B70" w:rsidTr="00866E18">
        <w:tc>
          <w:tcPr>
            <w:tcW w:w="2123" w:type="pct"/>
            <w:tcBorders>
              <w:top w:val="nil"/>
              <w:left w:val="single" w:sz="4" w:space="0" w:color="000000"/>
              <w:bottom w:val="single" w:sz="4" w:space="0" w:color="000000"/>
              <w:right w:val="single" w:sz="4" w:space="0" w:color="000000"/>
            </w:tcBorders>
            <w:vAlign w:val="center"/>
          </w:tcPr>
          <w:p w:rsidR="00074D4A" w:rsidRPr="000A7F1F" w:rsidRDefault="00074D4A" w:rsidP="008D5B6A">
            <w:pPr>
              <w:pStyle w:val="TableText"/>
              <w:rPr>
                <w:szCs w:val="20"/>
              </w:rPr>
            </w:pPr>
            <w:r w:rsidRPr="00D307D7">
              <w:rPr>
                <w:szCs w:val="20"/>
              </w:rPr>
              <w:t>Total no. deaths within 30 days of last dose, n (%)</w:t>
            </w:r>
          </w:p>
        </w:tc>
        <w:tc>
          <w:tcPr>
            <w:tcW w:w="862" w:type="pct"/>
            <w:tcBorders>
              <w:top w:val="nil"/>
              <w:left w:val="single" w:sz="4" w:space="0" w:color="000000"/>
              <w:bottom w:val="single" w:sz="4" w:space="0" w:color="000000"/>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865" w:type="pct"/>
            <w:tcBorders>
              <w:top w:val="nil"/>
              <w:left w:val="single" w:sz="4" w:space="0" w:color="000000"/>
              <w:bottom w:val="single" w:sz="4" w:space="0" w:color="000000"/>
              <w:right w:val="single" w:sz="4" w:space="0" w:color="000000"/>
            </w:tcBorders>
            <w:vAlign w:val="center"/>
          </w:tcPr>
          <w:p w:rsidR="00074D4A" w:rsidRPr="000A7F1F" w:rsidRDefault="000A7F1F" w:rsidP="00866E18">
            <w:pPr>
              <w:pStyle w:val="TableText"/>
              <w:jc w:val="center"/>
              <w:rPr>
                <w:szCs w:val="20"/>
                <w:highlight w:val="black"/>
              </w:rPr>
            </w:pPr>
            <w:r>
              <w:rPr>
                <w:noProof/>
                <w:color w:val="000000"/>
                <w:szCs w:val="20"/>
                <w:highlight w:val="black"/>
              </w:rPr>
              <w:t>'''''' '''''''''''</w:t>
            </w:r>
          </w:p>
        </w:tc>
        <w:tc>
          <w:tcPr>
            <w:tcW w:w="1151" w:type="pct"/>
            <w:tcBorders>
              <w:top w:val="nil"/>
              <w:left w:val="single" w:sz="4" w:space="0" w:color="000000"/>
              <w:bottom w:val="single" w:sz="4" w:space="0" w:color="000000"/>
              <w:right w:val="single" w:sz="4" w:space="0" w:color="000000"/>
            </w:tcBorders>
            <w:vAlign w:val="center"/>
          </w:tcPr>
          <w:p w:rsidR="00074D4A" w:rsidRPr="000A7F1F" w:rsidRDefault="000A7F1F" w:rsidP="00866E18">
            <w:pPr>
              <w:pStyle w:val="TableText"/>
              <w:jc w:val="center"/>
              <w:rPr>
                <w:szCs w:val="20"/>
                <w:highlight w:val="black"/>
              </w:rPr>
            </w:pPr>
            <w:r>
              <w:rPr>
                <w:rFonts w:cs="Arial"/>
                <w:noProof/>
                <w:color w:val="000000"/>
                <w:szCs w:val="20"/>
                <w:highlight w:val="black"/>
              </w:rPr>
              <w:t>'''''''''''''''' '''''''''''''''''''''' '''''''''''''''''''</w:t>
            </w:r>
          </w:p>
        </w:tc>
      </w:tr>
    </w:tbl>
    <w:p w:rsidR="00074D4A" w:rsidRPr="008D6B70" w:rsidRDefault="00074D4A" w:rsidP="003E37DD">
      <w:pPr>
        <w:pStyle w:val="TableHeading1"/>
        <w:keepNext w:val="0"/>
        <w:spacing w:after="0"/>
        <w:rPr>
          <w:b w:val="0"/>
          <w:sz w:val="18"/>
          <w:szCs w:val="18"/>
        </w:rPr>
      </w:pPr>
      <w:r w:rsidRPr="008D6B70">
        <w:rPr>
          <w:b w:val="0"/>
          <w:sz w:val="18"/>
          <w:szCs w:val="18"/>
        </w:rPr>
        <w:t>Abbreviations: AE, adverse event; Bd, bortezomib-dexamethasone; CI, confidence intervals; DBd, daratumumab-bortezomib-dexamethasone; DLd, daratumumab- lenalidomide-dexamethasone; RD, risk difference</w:t>
      </w:r>
    </w:p>
    <w:p w:rsidR="00074D4A" w:rsidRPr="008D6B70" w:rsidRDefault="00074D4A" w:rsidP="003E37DD">
      <w:pPr>
        <w:pStyle w:val="TableHeading1"/>
        <w:keepNext w:val="0"/>
        <w:spacing w:after="0"/>
        <w:rPr>
          <w:b w:val="0"/>
          <w:sz w:val="18"/>
          <w:szCs w:val="18"/>
        </w:rPr>
      </w:pPr>
      <w:r w:rsidRPr="008D6B70">
        <w:rPr>
          <w:b w:val="0"/>
          <w:sz w:val="18"/>
          <w:szCs w:val="18"/>
        </w:rPr>
        <w:t xml:space="preserve">Note: </w:t>
      </w:r>
      <w:r w:rsidR="000A7F1F">
        <w:rPr>
          <w:b w:val="0"/>
          <w:noProof/>
          <w:color w:val="000000"/>
          <w:sz w:val="18"/>
          <w:szCs w:val="18"/>
          <w:highlight w:val="black"/>
        </w:rPr>
        <w:t>''' ''''''''' '''''''''''''''''''''' ''' '''' '''''''''''''''''' '''''''' ''''' '''''' ''''''''''' '''''''''' ''''' '''''''''</w:t>
      </w:r>
      <w:r w:rsidRPr="008D6B70">
        <w:rPr>
          <w:b w:val="0"/>
          <w:sz w:val="18"/>
          <w:szCs w:val="18"/>
        </w:rPr>
        <w:t>. Median follow-up in CASTOR is 13.0 months and POLLUX is 17.3 months.</w:t>
      </w:r>
    </w:p>
    <w:p w:rsidR="00074D4A" w:rsidRPr="008D6B70" w:rsidRDefault="003E37DD" w:rsidP="003E37DD">
      <w:pPr>
        <w:pStyle w:val="TableHeading1"/>
        <w:keepNext w:val="0"/>
        <w:spacing w:after="0"/>
        <w:rPr>
          <w:b w:val="0"/>
          <w:sz w:val="18"/>
          <w:szCs w:val="18"/>
        </w:rPr>
      </w:pPr>
      <w:r w:rsidRPr="008D6B70">
        <w:rPr>
          <w:b w:val="0"/>
          <w:sz w:val="18"/>
          <w:szCs w:val="18"/>
        </w:rPr>
        <w:t xml:space="preserve">Source: </w:t>
      </w:r>
      <w:r w:rsidR="00074D4A" w:rsidRPr="008D6B70">
        <w:rPr>
          <w:b w:val="0"/>
          <w:sz w:val="18"/>
          <w:szCs w:val="18"/>
        </w:rPr>
        <w:t xml:space="preserve">Table 2.44, p. 92 Section 2a of the submission and Table 2.45, p.92 Section 2b of the submission. </w:t>
      </w:r>
    </w:p>
    <w:p w:rsidR="00857106" w:rsidRPr="008D6B70" w:rsidRDefault="00127593" w:rsidP="00865EA5">
      <w:pPr>
        <w:pStyle w:val="ListParagraph"/>
        <w:numPr>
          <w:ilvl w:val="1"/>
          <w:numId w:val="108"/>
        </w:numPr>
        <w:ind w:left="709" w:hanging="709"/>
        <w:jc w:val="both"/>
      </w:pPr>
      <w:r>
        <w:t>Both DBd and DLd</w:t>
      </w:r>
      <w:r w:rsidR="00074D4A" w:rsidRPr="008D6B70">
        <w:t xml:space="preserve"> resulted in a higher proportion of </w:t>
      </w:r>
      <w:r>
        <w:t>g</w:t>
      </w:r>
      <w:r w:rsidR="00074D4A" w:rsidRPr="008D6B70">
        <w:t>rade 3 and 4 adverse events</w:t>
      </w:r>
      <w:r>
        <w:t xml:space="preserve"> compared to Bd and Ld, respectively</w:t>
      </w:r>
      <w:r w:rsidR="00074D4A" w:rsidRPr="008D6B70">
        <w:t xml:space="preserve">. </w:t>
      </w:r>
    </w:p>
    <w:p w:rsidR="00127593" w:rsidRDefault="00CE70BD" w:rsidP="00865EA5">
      <w:pPr>
        <w:pStyle w:val="ListParagraph"/>
        <w:numPr>
          <w:ilvl w:val="1"/>
          <w:numId w:val="108"/>
        </w:numPr>
        <w:ind w:left="709" w:hanging="709"/>
        <w:jc w:val="both"/>
      </w:pPr>
      <w:r w:rsidRPr="008D6B70">
        <w:t xml:space="preserve">In CASTOR, </w:t>
      </w:r>
      <w:r w:rsidR="00127593">
        <w:t>the g</w:t>
      </w:r>
      <w:r w:rsidRPr="008D6B70">
        <w:t xml:space="preserve">rade 3 or 4 adverse events </w:t>
      </w:r>
      <w:r w:rsidR="00127593">
        <w:t>that</w:t>
      </w:r>
      <w:r w:rsidR="00127593" w:rsidRPr="008D6B70">
        <w:t xml:space="preserve"> </w:t>
      </w:r>
      <w:r w:rsidR="0079033D" w:rsidRPr="008D6B70">
        <w:t xml:space="preserve">occurred more often in </w:t>
      </w:r>
      <w:r w:rsidR="00127593">
        <w:t>DBd</w:t>
      </w:r>
      <w:r w:rsidR="00127593" w:rsidRPr="008D6B70">
        <w:t xml:space="preserve"> </w:t>
      </w:r>
      <w:r w:rsidR="0079033D" w:rsidRPr="008D6B70">
        <w:t xml:space="preserve">treated patients </w:t>
      </w:r>
      <w:r w:rsidRPr="008D6B70">
        <w:t xml:space="preserve">included lymphopenia, neutropenia, thrombocytopenia, hypertension and infusion site reactions. </w:t>
      </w:r>
    </w:p>
    <w:p w:rsidR="00127593" w:rsidRDefault="00CE70BD" w:rsidP="00865EA5">
      <w:pPr>
        <w:pStyle w:val="ListParagraph"/>
        <w:numPr>
          <w:ilvl w:val="1"/>
          <w:numId w:val="108"/>
        </w:numPr>
        <w:ind w:left="709" w:hanging="709"/>
        <w:jc w:val="both"/>
      </w:pPr>
      <w:r w:rsidRPr="008D6B70">
        <w:t xml:space="preserve">In POLLUX, </w:t>
      </w:r>
      <w:r w:rsidR="00127593">
        <w:t>the g</w:t>
      </w:r>
      <w:r w:rsidR="00127593" w:rsidRPr="008D6B70">
        <w:t xml:space="preserve">rade 3 or 4 adverse events </w:t>
      </w:r>
      <w:r w:rsidR="00127593">
        <w:t>that</w:t>
      </w:r>
      <w:r w:rsidR="00127593" w:rsidRPr="008D6B70">
        <w:t xml:space="preserve"> occurred more often in </w:t>
      </w:r>
      <w:r w:rsidR="00127593">
        <w:t>DLd</w:t>
      </w:r>
      <w:r w:rsidR="00127593" w:rsidRPr="008D6B70">
        <w:t xml:space="preserve"> treated patients included</w:t>
      </w:r>
      <w:r w:rsidRPr="008D6B70">
        <w:t xml:space="preserve"> neutropenia, infections and infestations</w:t>
      </w:r>
      <w:r w:rsidR="00F20075" w:rsidRPr="008D6B70">
        <w:t>,</w:t>
      </w:r>
      <w:r w:rsidRPr="008D6B70">
        <w:t xml:space="preserve"> and infusion site reactions. </w:t>
      </w:r>
    </w:p>
    <w:p w:rsidR="00127593" w:rsidRDefault="00F451DD" w:rsidP="00865EA5">
      <w:pPr>
        <w:pStyle w:val="ListParagraph"/>
        <w:numPr>
          <w:ilvl w:val="1"/>
          <w:numId w:val="108"/>
        </w:numPr>
        <w:ind w:left="709" w:hanging="709"/>
        <w:jc w:val="both"/>
      </w:pPr>
      <w:r>
        <w:t>In the ENDEAVOR trial</w:t>
      </w:r>
      <w:r w:rsidR="0079033D" w:rsidRPr="008D6B70">
        <w:t>, Cd</w:t>
      </w:r>
      <w:r w:rsidR="00EC744A" w:rsidRPr="008D6B70">
        <w:t xml:space="preserve"> resulted in more </w:t>
      </w:r>
      <w:r w:rsidR="00127593">
        <w:t>g</w:t>
      </w:r>
      <w:r w:rsidR="00EC744A" w:rsidRPr="008D6B70">
        <w:t>rade 3 or 4 adverse events compared to Bd (RR 1.09, 95% CI: 1.01 to 1.19)</w:t>
      </w:r>
      <w:r w:rsidR="00127593">
        <w:t xml:space="preserve">. </w:t>
      </w:r>
      <w:r w:rsidR="00F20075" w:rsidRPr="008D6B70">
        <w:t xml:space="preserve">DBd </w:t>
      </w:r>
      <w:r w:rsidR="00127593">
        <w:t xml:space="preserve">also </w:t>
      </w:r>
      <w:r w:rsidR="00F20075" w:rsidRPr="008D6B70">
        <w:t xml:space="preserve">resulted in more </w:t>
      </w:r>
      <w:r w:rsidR="007E5A5D" w:rsidRPr="008D6B70">
        <w:t xml:space="preserve">(RR 1.26, 95% CI: 1.12 to 1.42) </w:t>
      </w:r>
      <w:r w:rsidR="00127593">
        <w:t>g</w:t>
      </w:r>
      <w:r w:rsidR="00F20075" w:rsidRPr="008D6B70">
        <w:t>rade 3 or 4 adverse events compared to Bd</w:t>
      </w:r>
      <w:r w:rsidR="00127593">
        <w:t xml:space="preserve"> in the CASTOR trial</w:t>
      </w:r>
      <w:r w:rsidR="009913AA" w:rsidRPr="008D6B70">
        <w:t xml:space="preserve">. </w:t>
      </w:r>
      <w:r w:rsidR="009913AA" w:rsidRPr="008D6B70">
        <w:rPr>
          <w:lang w:val="en-US"/>
        </w:rPr>
        <w:t xml:space="preserve">The indirect treatment comparison of DBd and Cd </w:t>
      </w:r>
      <w:r w:rsidR="009913AA" w:rsidRPr="008D6B70">
        <w:t xml:space="preserve">for grade 3 or 4 adverse events resulted in a RR of </w:t>
      </w:r>
      <w:r w:rsidR="000A7F1F">
        <w:rPr>
          <w:noProof/>
          <w:color w:val="000000"/>
          <w:highlight w:val="black"/>
          <w:lang w:val="en-US"/>
        </w:rPr>
        <w:t>'''''''''</w:t>
      </w:r>
      <w:r w:rsidR="009913AA" w:rsidRPr="008D6B70">
        <w:rPr>
          <w:lang w:val="en-US"/>
        </w:rPr>
        <w:t xml:space="preserve"> (95% CI: </w:t>
      </w:r>
      <w:r w:rsidR="000A7F1F">
        <w:rPr>
          <w:noProof/>
          <w:color w:val="000000"/>
          <w:highlight w:val="black"/>
          <w:lang w:val="en-US"/>
        </w:rPr>
        <w:t>'''''''''' '''''''''</w:t>
      </w:r>
      <w:r w:rsidR="009913AA" w:rsidRPr="008D6B70">
        <w:rPr>
          <w:lang w:val="en-US"/>
        </w:rPr>
        <w:t>).</w:t>
      </w:r>
      <w:r w:rsidR="00127593" w:rsidRPr="00127593">
        <w:t xml:space="preserve"> </w:t>
      </w:r>
    </w:p>
    <w:p w:rsidR="00EC744A" w:rsidRPr="008D6B70" w:rsidRDefault="00127593" w:rsidP="00865EA5">
      <w:pPr>
        <w:pStyle w:val="ListParagraph"/>
        <w:numPr>
          <w:ilvl w:val="1"/>
          <w:numId w:val="108"/>
        </w:numPr>
        <w:ind w:left="709" w:hanging="709"/>
        <w:jc w:val="both"/>
      </w:pPr>
      <w:r w:rsidRPr="008D6B70">
        <w:t xml:space="preserve">The </w:t>
      </w:r>
      <w:r w:rsidR="0017026C">
        <w:t>PBAC considered</w:t>
      </w:r>
      <w:r w:rsidRPr="008D6B70">
        <w:t xml:space="preserve"> that the occurrence of toxicities in these trials was consistent with that commonly seen by haematologists in the treatment of patients with RRMM, and that they could be appropriately managed in the clinical setting.</w:t>
      </w:r>
    </w:p>
    <w:p w:rsidR="00074D4A" w:rsidRPr="00981468" w:rsidRDefault="00074D4A" w:rsidP="00CD087B">
      <w:pPr>
        <w:pStyle w:val="Heading2"/>
      </w:pPr>
      <w:bookmarkStart w:id="23" w:name="_Toc492997390"/>
      <w:bookmarkStart w:id="24" w:name="_Toc413139281"/>
      <w:r w:rsidRPr="00981468">
        <w:t>Benefits and harms</w:t>
      </w:r>
      <w:bookmarkEnd w:id="23"/>
    </w:p>
    <w:p w:rsidR="00074D4A" w:rsidRPr="008D6B70" w:rsidRDefault="00074D4A" w:rsidP="00865EA5">
      <w:pPr>
        <w:pStyle w:val="ListParagraph"/>
        <w:numPr>
          <w:ilvl w:val="1"/>
          <w:numId w:val="108"/>
        </w:numPr>
        <w:ind w:left="709" w:hanging="709"/>
        <w:jc w:val="both"/>
      </w:pPr>
      <w:r w:rsidRPr="008D6B70">
        <w:t xml:space="preserve">A summary of the comparative benefits and harms for DBd versus Bd and DLd versus Ld is presented in the table below. </w:t>
      </w:r>
    </w:p>
    <w:p w:rsidR="00074D4A" w:rsidRPr="008D6B70" w:rsidRDefault="00074D4A" w:rsidP="00074D4A">
      <w:pPr>
        <w:pStyle w:val="TableHeading1"/>
      </w:pPr>
      <w:r w:rsidRPr="008D6B70">
        <w:t xml:space="preserve">Table 9: Summary of comparative benefits and harms for </w:t>
      </w:r>
      <w:r w:rsidR="00322F83" w:rsidRPr="008D6B70">
        <w:t>DBd vs. Bd</w:t>
      </w:r>
      <w:r w:rsidR="00723800" w:rsidRPr="008D6B70">
        <w:t xml:space="preserve"> and DLd vs. Ld</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Summary of comparative benefits and harms for DBd vs. Bd and DLd vs. Ld"/>
      </w:tblPr>
      <w:tblGrid>
        <w:gridCol w:w="1780"/>
        <w:gridCol w:w="7"/>
        <w:gridCol w:w="675"/>
        <w:gridCol w:w="218"/>
        <w:gridCol w:w="1000"/>
        <w:gridCol w:w="225"/>
        <w:gridCol w:w="1345"/>
        <w:gridCol w:w="256"/>
        <w:gridCol w:w="602"/>
        <w:gridCol w:w="998"/>
        <w:gridCol w:w="1967"/>
      </w:tblGrid>
      <w:tr w:rsidR="00074D4A" w:rsidRPr="008D6B70" w:rsidTr="009E0031">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11"/>
            <w:shd w:val="clear" w:color="auto" w:fill="auto"/>
            <w:vAlign w:val="center"/>
          </w:tcPr>
          <w:p w:rsidR="00074D4A" w:rsidRPr="008D6B70" w:rsidRDefault="00074D4A" w:rsidP="00555AE1">
            <w:pPr>
              <w:pStyle w:val="TableText"/>
              <w:rPr>
                <w:u w:val="single"/>
              </w:rPr>
            </w:pPr>
            <w:r w:rsidRPr="008D6B70">
              <w:rPr>
                <w:u w:val="single"/>
              </w:rPr>
              <w:t>Benefits</w:t>
            </w:r>
          </w:p>
        </w:tc>
      </w:tr>
      <w:tr w:rsidR="00EE1C03" w:rsidRPr="008D6B70" w:rsidTr="00F451DD">
        <w:tc>
          <w:tcPr>
            <w:tcW w:w="1357" w:type="pct"/>
            <w:gridSpan w:val="3"/>
            <w:tcBorders>
              <w:bottom w:val="single" w:sz="4" w:space="0" w:color="auto"/>
            </w:tcBorders>
            <w:shd w:val="clear" w:color="auto" w:fill="auto"/>
            <w:vAlign w:val="center"/>
          </w:tcPr>
          <w:p w:rsidR="00EE1C03" w:rsidRPr="008D6B70" w:rsidRDefault="00EE1C03" w:rsidP="00EE1C03">
            <w:pPr>
              <w:pStyle w:val="TableText"/>
              <w:rPr>
                <w:b/>
              </w:rPr>
            </w:pPr>
            <w:r w:rsidRPr="008D6B70">
              <w:rPr>
                <w:b/>
              </w:rPr>
              <w:t>Event</w:t>
            </w:r>
          </w:p>
        </w:tc>
        <w:tc>
          <w:tcPr>
            <w:tcW w:w="795" w:type="pct"/>
            <w:gridSpan w:val="3"/>
            <w:tcBorders>
              <w:bottom w:val="single" w:sz="4" w:space="0" w:color="auto"/>
            </w:tcBorders>
            <w:shd w:val="clear" w:color="auto" w:fill="auto"/>
            <w:vAlign w:val="center"/>
          </w:tcPr>
          <w:p w:rsidR="00EE1C03" w:rsidRPr="008D6B70" w:rsidRDefault="00EE1C03" w:rsidP="00F451DD">
            <w:pPr>
              <w:pStyle w:val="TableText"/>
              <w:jc w:val="center"/>
              <w:rPr>
                <w:b/>
              </w:rPr>
            </w:pPr>
            <w:r w:rsidRPr="008D6B70">
              <w:rPr>
                <w:b/>
              </w:rPr>
              <w:t>Proposed drug</w:t>
            </w:r>
          </w:p>
        </w:tc>
        <w:tc>
          <w:tcPr>
            <w:tcW w:w="882" w:type="pct"/>
            <w:gridSpan w:val="2"/>
            <w:tcBorders>
              <w:bottom w:val="single" w:sz="4" w:space="0" w:color="auto"/>
            </w:tcBorders>
            <w:shd w:val="clear" w:color="auto" w:fill="auto"/>
            <w:vAlign w:val="center"/>
          </w:tcPr>
          <w:p w:rsidR="00EE1C03" w:rsidRPr="008D6B70" w:rsidRDefault="00EE1C03" w:rsidP="00F451DD">
            <w:pPr>
              <w:pStyle w:val="TableText"/>
              <w:jc w:val="center"/>
              <w:rPr>
                <w:b/>
              </w:rPr>
            </w:pPr>
            <w:r w:rsidRPr="008D6B70">
              <w:rPr>
                <w:b/>
              </w:rPr>
              <w:t>Main comparator</w:t>
            </w:r>
          </w:p>
        </w:tc>
        <w:tc>
          <w:tcPr>
            <w:tcW w:w="882" w:type="pct"/>
            <w:gridSpan w:val="2"/>
            <w:tcBorders>
              <w:bottom w:val="single" w:sz="4" w:space="0" w:color="auto"/>
            </w:tcBorders>
            <w:shd w:val="clear" w:color="auto" w:fill="auto"/>
            <w:vAlign w:val="center"/>
          </w:tcPr>
          <w:p w:rsidR="00EE1C03" w:rsidRPr="008D6B70" w:rsidRDefault="00EE1C03" w:rsidP="00F451DD">
            <w:pPr>
              <w:pStyle w:val="TableText"/>
              <w:jc w:val="center"/>
              <w:rPr>
                <w:rFonts w:asciiTheme="minorHAnsi" w:hAnsiTheme="minorHAnsi"/>
                <w:b/>
              </w:rPr>
            </w:pPr>
            <w:r w:rsidRPr="008D6B70">
              <w:rPr>
                <w:b/>
              </w:rPr>
              <w:t>Absolute Difference</w:t>
            </w:r>
            <w:r w:rsidR="00723800" w:rsidRPr="008D6B70">
              <w:rPr>
                <w:b/>
              </w:rPr>
              <w:t xml:space="preserve"> (%)</w:t>
            </w:r>
          </w:p>
        </w:tc>
        <w:tc>
          <w:tcPr>
            <w:tcW w:w="1084" w:type="pct"/>
            <w:tcBorders>
              <w:bottom w:val="single" w:sz="4" w:space="0" w:color="auto"/>
            </w:tcBorders>
            <w:shd w:val="clear" w:color="auto" w:fill="auto"/>
            <w:vAlign w:val="center"/>
          </w:tcPr>
          <w:p w:rsidR="00EE1C03" w:rsidRPr="008D6B70" w:rsidRDefault="00EE1C03" w:rsidP="00F451DD">
            <w:pPr>
              <w:pStyle w:val="TableText"/>
              <w:jc w:val="center"/>
              <w:rPr>
                <w:b/>
              </w:rPr>
            </w:pPr>
            <w:r w:rsidRPr="008D6B70">
              <w:rPr>
                <w:b/>
              </w:rPr>
              <w:t>HR (95% CI)</w:t>
            </w:r>
          </w:p>
        </w:tc>
      </w:tr>
      <w:tr w:rsidR="00EE1C03" w:rsidRPr="00B77516" w:rsidTr="00B77516">
        <w:tc>
          <w:tcPr>
            <w:tcW w:w="1357" w:type="pct"/>
            <w:gridSpan w:val="3"/>
            <w:tcBorders>
              <w:bottom w:val="single" w:sz="4" w:space="0" w:color="auto"/>
              <w:right w:val="nil"/>
            </w:tcBorders>
            <w:shd w:val="clear" w:color="auto" w:fill="auto"/>
            <w:vAlign w:val="center"/>
          </w:tcPr>
          <w:p w:rsidR="00EE1C03" w:rsidRPr="00B77516" w:rsidRDefault="00EE1C03" w:rsidP="00555AE1">
            <w:pPr>
              <w:pStyle w:val="TableText"/>
              <w:rPr>
                <w:b/>
              </w:rPr>
            </w:pPr>
            <w:r w:rsidRPr="00B77516">
              <w:rPr>
                <w:b/>
              </w:rPr>
              <w:t>CASTOR (DBd vs. Bd)</w:t>
            </w:r>
            <w:r w:rsidR="00B77516" w:rsidRPr="00B77516">
              <w:rPr>
                <w:b/>
              </w:rPr>
              <w:t>*</w:t>
            </w:r>
          </w:p>
        </w:tc>
        <w:tc>
          <w:tcPr>
            <w:tcW w:w="795" w:type="pct"/>
            <w:gridSpan w:val="3"/>
            <w:tcBorders>
              <w:left w:val="nil"/>
              <w:bottom w:val="single" w:sz="4" w:space="0" w:color="auto"/>
              <w:right w:val="nil"/>
            </w:tcBorders>
            <w:shd w:val="clear" w:color="auto" w:fill="auto"/>
            <w:vAlign w:val="center"/>
          </w:tcPr>
          <w:p w:rsidR="00EE1C03" w:rsidRPr="00B77516" w:rsidRDefault="00EE1C03" w:rsidP="00F451DD">
            <w:pPr>
              <w:pStyle w:val="TableText"/>
              <w:jc w:val="center"/>
              <w:rPr>
                <w:b/>
              </w:rPr>
            </w:pPr>
          </w:p>
        </w:tc>
        <w:tc>
          <w:tcPr>
            <w:tcW w:w="882" w:type="pct"/>
            <w:gridSpan w:val="2"/>
            <w:tcBorders>
              <w:left w:val="nil"/>
              <w:bottom w:val="single" w:sz="4" w:space="0" w:color="auto"/>
              <w:right w:val="nil"/>
            </w:tcBorders>
            <w:shd w:val="clear" w:color="auto" w:fill="auto"/>
            <w:vAlign w:val="center"/>
          </w:tcPr>
          <w:p w:rsidR="00EE1C03" w:rsidRPr="00B77516" w:rsidRDefault="00EE1C03" w:rsidP="00F451DD">
            <w:pPr>
              <w:pStyle w:val="TableText"/>
              <w:jc w:val="center"/>
              <w:rPr>
                <w:b/>
              </w:rPr>
            </w:pPr>
          </w:p>
        </w:tc>
        <w:tc>
          <w:tcPr>
            <w:tcW w:w="882" w:type="pct"/>
            <w:gridSpan w:val="2"/>
            <w:tcBorders>
              <w:left w:val="nil"/>
              <w:bottom w:val="single" w:sz="4" w:space="0" w:color="auto"/>
              <w:right w:val="nil"/>
            </w:tcBorders>
            <w:shd w:val="clear" w:color="auto" w:fill="auto"/>
            <w:vAlign w:val="center"/>
          </w:tcPr>
          <w:p w:rsidR="00EE1C03" w:rsidRPr="00B77516" w:rsidRDefault="00EE1C03" w:rsidP="00F451DD">
            <w:pPr>
              <w:pStyle w:val="TableText"/>
              <w:jc w:val="center"/>
              <w:rPr>
                <w:b/>
              </w:rPr>
            </w:pPr>
          </w:p>
        </w:tc>
        <w:tc>
          <w:tcPr>
            <w:tcW w:w="1084" w:type="pct"/>
            <w:tcBorders>
              <w:left w:val="nil"/>
              <w:bottom w:val="single" w:sz="4" w:space="0" w:color="auto"/>
            </w:tcBorders>
            <w:shd w:val="clear" w:color="auto" w:fill="auto"/>
            <w:vAlign w:val="center"/>
          </w:tcPr>
          <w:p w:rsidR="00EE1C03" w:rsidRPr="00B77516" w:rsidRDefault="00EE1C03" w:rsidP="00F451DD">
            <w:pPr>
              <w:pStyle w:val="TableText"/>
              <w:jc w:val="center"/>
              <w:rPr>
                <w:b/>
              </w:rPr>
            </w:pPr>
          </w:p>
        </w:tc>
      </w:tr>
      <w:tr w:rsidR="00074D4A" w:rsidRPr="008D6B70" w:rsidTr="00B77516">
        <w:tc>
          <w:tcPr>
            <w:tcW w:w="1357" w:type="pct"/>
            <w:gridSpan w:val="3"/>
            <w:tcBorders>
              <w:bottom w:val="single" w:sz="4" w:space="0" w:color="auto"/>
            </w:tcBorders>
            <w:shd w:val="clear" w:color="auto" w:fill="auto"/>
            <w:vAlign w:val="center"/>
          </w:tcPr>
          <w:p w:rsidR="00074D4A" w:rsidRPr="008D6B70" w:rsidRDefault="00074D4A" w:rsidP="00555AE1">
            <w:pPr>
              <w:pStyle w:val="TableText"/>
            </w:pPr>
            <w:r w:rsidRPr="008D6B70">
              <w:t>Progressed, n (%)</w:t>
            </w:r>
          </w:p>
        </w:tc>
        <w:tc>
          <w:tcPr>
            <w:tcW w:w="795" w:type="pct"/>
            <w:gridSpan w:val="3"/>
            <w:tcBorders>
              <w:bottom w:val="single" w:sz="4" w:space="0" w:color="auto"/>
            </w:tcBorders>
            <w:shd w:val="clear" w:color="auto" w:fill="auto"/>
            <w:vAlign w:val="center"/>
          </w:tcPr>
          <w:p w:rsidR="00074D4A" w:rsidRPr="008D6B70" w:rsidRDefault="00EE1C03" w:rsidP="00F451DD">
            <w:pPr>
              <w:pStyle w:val="TableText"/>
              <w:jc w:val="center"/>
            </w:pPr>
            <w:r w:rsidRPr="008D6B70">
              <w:t>100/251 (39.8)</w:t>
            </w:r>
          </w:p>
        </w:tc>
        <w:tc>
          <w:tcPr>
            <w:tcW w:w="882" w:type="pct"/>
            <w:gridSpan w:val="2"/>
            <w:tcBorders>
              <w:bottom w:val="single" w:sz="4" w:space="0" w:color="auto"/>
            </w:tcBorders>
            <w:shd w:val="clear" w:color="auto" w:fill="auto"/>
            <w:vAlign w:val="center"/>
          </w:tcPr>
          <w:p w:rsidR="00074D4A" w:rsidRPr="008D6B70" w:rsidRDefault="00EE1C03" w:rsidP="00F451DD">
            <w:pPr>
              <w:pStyle w:val="TableText"/>
              <w:jc w:val="center"/>
            </w:pPr>
            <w:r w:rsidRPr="008D6B70">
              <w:t>177/247 (71.7)</w:t>
            </w:r>
          </w:p>
        </w:tc>
        <w:tc>
          <w:tcPr>
            <w:tcW w:w="882" w:type="pct"/>
            <w:gridSpan w:val="2"/>
            <w:tcBorders>
              <w:bottom w:val="single" w:sz="4" w:space="0" w:color="auto"/>
            </w:tcBorders>
            <w:shd w:val="clear" w:color="auto" w:fill="auto"/>
            <w:vAlign w:val="center"/>
          </w:tcPr>
          <w:p w:rsidR="00074D4A" w:rsidRPr="008D6B70" w:rsidRDefault="00723800" w:rsidP="00F451DD">
            <w:pPr>
              <w:pStyle w:val="TableText"/>
              <w:jc w:val="center"/>
              <w:rPr>
                <w:szCs w:val="20"/>
              </w:rPr>
            </w:pPr>
            <w:r w:rsidRPr="008D6B70">
              <w:rPr>
                <w:szCs w:val="20"/>
              </w:rPr>
              <w:t>32.4</w:t>
            </w:r>
          </w:p>
        </w:tc>
        <w:tc>
          <w:tcPr>
            <w:tcW w:w="1084" w:type="pct"/>
            <w:tcBorders>
              <w:bottom w:val="single" w:sz="4" w:space="0" w:color="auto"/>
            </w:tcBorders>
            <w:shd w:val="clear" w:color="auto" w:fill="auto"/>
            <w:vAlign w:val="center"/>
          </w:tcPr>
          <w:p w:rsidR="00074D4A" w:rsidRPr="008D6B70" w:rsidRDefault="00EE1C03" w:rsidP="00F451DD">
            <w:pPr>
              <w:pStyle w:val="TableText"/>
              <w:jc w:val="center"/>
            </w:pPr>
            <w:r w:rsidRPr="008D6B70">
              <w:t>0.33 (0.26, 0.43</w:t>
            </w:r>
            <w:r w:rsidR="00074D4A" w:rsidRPr="008D6B70">
              <w:t>)</w:t>
            </w:r>
          </w:p>
        </w:tc>
      </w:tr>
      <w:tr w:rsidR="00074D4A" w:rsidRPr="008D6B70" w:rsidTr="00F451DD">
        <w:tc>
          <w:tcPr>
            <w:tcW w:w="1357" w:type="pct"/>
            <w:gridSpan w:val="3"/>
            <w:tcBorders>
              <w:bottom w:val="single" w:sz="4" w:space="0" w:color="auto"/>
            </w:tcBorders>
            <w:shd w:val="clear" w:color="auto" w:fill="auto"/>
            <w:vAlign w:val="center"/>
          </w:tcPr>
          <w:p w:rsidR="00074D4A" w:rsidRPr="008D6B70" w:rsidRDefault="00FB506A" w:rsidP="00555AE1">
            <w:pPr>
              <w:pStyle w:val="TableText"/>
            </w:pPr>
            <w:r w:rsidRPr="008D6B70">
              <w:t>Dead</w:t>
            </w:r>
            <w:r w:rsidR="00074D4A" w:rsidRPr="008D6B70">
              <w:t>, n (%)</w:t>
            </w:r>
          </w:p>
        </w:tc>
        <w:tc>
          <w:tcPr>
            <w:tcW w:w="795" w:type="pct"/>
            <w:gridSpan w:val="3"/>
            <w:tcBorders>
              <w:bottom w:val="single" w:sz="4" w:space="0" w:color="auto"/>
            </w:tcBorders>
            <w:shd w:val="clear" w:color="auto" w:fill="auto"/>
            <w:vAlign w:val="center"/>
          </w:tcPr>
          <w:p w:rsidR="00074D4A" w:rsidRPr="008D6B70" w:rsidRDefault="00383177" w:rsidP="00F451DD">
            <w:pPr>
              <w:pStyle w:val="TableText"/>
              <w:jc w:val="center"/>
            </w:pPr>
            <w:r w:rsidRPr="008D6B70">
              <w:t>37/251 (14.7)</w:t>
            </w:r>
          </w:p>
        </w:tc>
        <w:tc>
          <w:tcPr>
            <w:tcW w:w="882" w:type="pct"/>
            <w:gridSpan w:val="2"/>
            <w:tcBorders>
              <w:bottom w:val="single" w:sz="4" w:space="0" w:color="auto"/>
            </w:tcBorders>
            <w:shd w:val="clear" w:color="auto" w:fill="auto"/>
            <w:vAlign w:val="center"/>
          </w:tcPr>
          <w:p w:rsidR="00074D4A" w:rsidRPr="008D6B70" w:rsidRDefault="00383177" w:rsidP="00F451DD">
            <w:pPr>
              <w:pStyle w:val="TableText"/>
              <w:jc w:val="center"/>
            </w:pPr>
            <w:r w:rsidRPr="008D6B70">
              <w:t>58/247 (23.5)</w:t>
            </w:r>
          </w:p>
        </w:tc>
        <w:tc>
          <w:tcPr>
            <w:tcW w:w="882" w:type="pct"/>
            <w:gridSpan w:val="2"/>
            <w:tcBorders>
              <w:bottom w:val="single" w:sz="4" w:space="0" w:color="auto"/>
            </w:tcBorders>
            <w:shd w:val="clear" w:color="auto" w:fill="auto"/>
            <w:vAlign w:val="center"/>
          </w:tcPr>
          <w:p w:rsidR="00074D4A" w:rsidRPr="008D6B70" w:rsidRDefault="00723800" w:rsidP="00F451DD">
            <w:pPr>
              <w:pStyle w:val="TableText"/>
              <w:jc w:val="center"/>
              <w:rPr>
                <w:szCs w:val="20"/>
              </w:rPr>
            </w:pPr>
            <w:r w:rsidRPr="008D6B70">
              <w:rPr>
                <w:szCs w:val="20"/>
              </w:rPr>
              <w:t>8.8</w:t>
            </w:r>
          </w:p>
        </w:tc>
        <w:tc>
          <w:tcPr>
            <w:tcW w:w="1084" w:type="pct"/>
            <w:tcBorders>
              <w:bottom w:val="single" w:sz="4" w:space="0" w:color="auto"/>
            </w:tcBorders>
            <w:shd w:val="clear" w:color="auto" w:fill="auto"/>
            <w:vAlign w:val="center"/>
          </w:tcPr>
          <w:p w:rsidR="00074D4A" w:rsidRPr="008D6B70" w:rsidRDefault="00383177" w:rsidP="00F451DD">
            <w:pPr>
              <w:pStyle w:val="TableText"/>
              <w:jc w:val="center"/>
            </w:pPr>
            <w:r w:rsidRPr="008D6B70">
              <w:t>0.63 (0.42, 0.96)</w:t>
            </w:r>
          </w:p>
        </w:tc>
      </w:tr>
      <w:tr w:rsidR="00383177" w:rsidRPr="00B77516" w:rsidTr="00F451DD">
        <w:tc>
          <w:tcPr>
            <w:tcW w:w="1357" w:type="pct"/>
            <w:gridSpan w:val="3"/>
            <w:tcBorders>
              <w:right w:val="nil"/>
            </w:tcBorders>
            <w:shd w:val="clear" w:color="auto" w:fill="auto"/>
            <w:vAlign w:val="center"/>
          </w:tcPr>
          <w:p w:rsidR="00383177" w:rsidRPr="00B77516" w:rsidRDefault="00383177" w:rsidP="00555AE1">
            <w:pPr>
              <w:pStyle w:val="TableText"/>
              <w:rPr>
                <w:b/>
              </w:rPr>
            </w:pPr>
            <w:r w:rsidRPr="00B77516">
              <w:rPr>
                <w:b/>
              </w:rPr>
              <w:t>POLLUX (DLd vs. Ld)</w:t>
            </w:r>
            <w:r w:rsidR="00B77516" w:rsidRPr="00B77516">
              <w:rPr>
                <w:b/>
              </w:rPr>
              <w:t>*</w:t>
            </w:r>
          </w:p>
        </w:tc>
        <w:tc>
          <w:tcPr>
            <w:tcW w:w="795" w:type="pct"/>
            <w:gridSpan w:val="3"/>
            <w:tcBorders>
              <w:left w:val="nil"/>
              <w:right w:val="nil"/>
            </w:tcBorders>
            <w:shd w:val="clear" w:color="auto" w:fill="auto"/>
            <w:vAlign w:val="center"/>
          </w:tcPr>
          <w:p w:rsidR="00383177" w:rsidRPr="00B77516" w:rsidRDefault="00383177" w:rsidP="00F451DD">
            <w:pPr>
              <w:pStyle w:val="TableText"/>
              <w:jc w:val="center"/>
              <w:rPr>
                <w:b/>
              </w:rPr>
            </w:pPr>
          </w:p>
        </w:tc>
        <w:tc>
          <w:tcPr>
            <w:tcW w:w="882" w:type="pct"/>
            <w:gridSpan w:val="2"/>
            <w:tcBorders>
              <w:left w:val="nil"/>
              <w:right w:val="nil"/>
            </w:tcBorders>
            <w:shd w:val="clear" w:color="auto" w:fill="auto"/>
            <w:vAlign w:val="center"/>
          </w:tcPr>
          <w:p w:rsidR="00383177" w:rsidRPr="00B77516" w:rsidRDefault="00383177" w:rsidP="00F451DD">
            <w:pPr>
              <w:pStyle w:val="TableText"/>
              <w:jc w:val="center"/>
              <w:rPr>
                <w:b/>
              </w:rPr>
            </w:pPr>
          </w:p>
        </w:tc>
        <w:tc>
          <w:tcPr>
            <w:tcW w:w="882" w:type="pct"/>
            <w:gridSpan w:val="2"/>
            <w:tcBorders>
              <w:left w:val="nil"/>
              <w:right w:val="nil"/>
            </w:tcBorders>
            <w:shd w:val="clear" w:color="auto" w:fill="auto"/>
            <w:vAlign w:val="center"/>
          </w:tcPr>
          <w:p w:rsidR="00383177" w:rsidRPr="00B77516" w:rsidRDefault="00383177" w:rsidP="00F451DD">
            <w:pPr>
              <w:pStyle w:val="TableText"/>
              <w:jc w:val="center"/>
              <w:rPr>
                <w:b/>
                <w:szCs w:val="20"/>
              </w:rPr>
            </w:pPr>
          </w:p>
        </w:tc>
        <w:tc>
          <w:tcPr>
            <w:tcW w:w="1084" w:type="pct"/>
            <w:tcBorders>
              <w:left w:val="nil"/>
            </w:tcBorders>
            <w:shd w:val="clear" w:color="auto" w:fill="auto"/>
            <w:vAlign w:val="center"/>
          </w:tcPr>
          <w:p w:rsidR="00383177" w:rsidRPr="00B77516" w:rsidRDefault="00383177" w:rsidP="00F451DD">
            <w:pPr>
              <w:pStyle w:val="TableText"/>
              <w:jc w:val="center"/>
              <w:rPr>
                <w:b/>
              </w:rPr>
            </w:pPr>
          </w:p>
        </w:tc>
      </w:tr>
      <w:tr w:rsidR="00383177" w:rsidRPr="008D6B70" w:rsidTr="00B77516">
        <w:tc>
          <w:tcPr>
            <w:tcW w:w="1357" w:type="pct"/>
            <w:gridSpan w:val="3"/>
            <w:tcBorders>
              <w:bottom w:val="single" w:sz="4" w:space="0" w:color="auto"/>
            </w:tcBorders>
            <w:shd w:val="clear" w:color="auto" w:fill="auto"/>
            <w:vAlign w:val="center"/>
          </w:tcPr>
          <w:p w:rsidR="00383177" w:rsidRPr="008D6B70" w:rsidRDefault="00383177" w:rsidP="00383177">
            <w:pPr>
              <w:pStyle w:val="TableText"/>
            </w:pPr>
            <w:r w:rsidRPr="008D6B70">
              <w:t>Progressed, n (%)</w:t>
            </w:r>
          </w:p>
        </w:tc>
        <w:tc>
          <w:tcPr>
            <w:tcW w:w="795" w:type="pct"/>
            <w:gridSpan w:val="3"/>
            <w:tcBorders>
              <w:bottom w:val="single" w:sz="4" w:space="0" w:color="auto"/>
            </w:tcBorders>
            <w:shd w:val="clear" w:color="auto" w:fill="auto"/>
            <w:vAlign w:val="center"/>
          </w:tcPr>
          <w:p w:rsidR="00383177" w:rsidRPr="008D6B70" w:rsidRDefault="00383177" w:rsidP="00F451DD">
            <w:pPr>
              <w:pStyle w:val="TableText"/>
              <w:jc w:val="center"/>
            </w:pPr>
            <w:r w:rsidRPr="008D6B70">
              <w:t>66/251 (23.1)</w:t>
            </w:r>
          </w:p>
        </w:tc>
        <w:tc>
          <w:tcPr>
            <w:tcW w:w="882" w:type="pct"/>
            <w:gridSpan w:val="2"/>
            <w:tcBorders>
              <w:bottom w:val="single" w:sz="4" w:space="0" w:color="auto"/>
            </w:tcBorders>
            <w:shd w:val="clear" w:color="auto" w:fill="auto"/>
            <w:vAlign w:val="center"/>
          </w:tcPr>
          <w:p w:rsidR="00383177" w:rsidRPr="008D6B70" w:rsidRDefault="00383177" w:rsidP="00F451DD">
            <w:pPr>
              <w:pStyle w:val="TableText"/>
              <w:jc w:val="center"/>
            </w:pPr>
            <w:r w:rsidRPr="008D6B70">
              <w:t>135/283 (47.7)</w:t>
            </w:r>
          </w:p>
        </w:tc>
        <w:tc>
          <w:tcPr>
            <w:tcW w:w="882" w:type="pct"/>
            <w:gridSpan w:val="2"/>
            <w:tcBorders>
              <w:bottom w:val="single" w:sz="4" w:space="0" w:color="auto"/>
            </w:tcBorders>
            <w:shd w:val="clear" w:color="auto" w:fill="auto"/>
            <w:vAlign w:val="center"/>
          </w:tcPr>
          <w:p w:rsidR="00383177" w:rsidRPr="008D6B70" w:rsidRDefault="00723800" w:rsidP="00F451DD">
            <w:pPr>
              <w:pStyle w:val="TableText"/>
              <w:jc w:val="center"/>
              <w:rPr>
                <w:szCs w:val="20"/>
              </w:rPr>
            </w:pPr>
            <w:r w:rsidRPr="008D6B70">
              <w:rPr>
                <w:szCs w:val="20"/>
              </w:rPr>
              <w:t>24.6</w:t>
            </w:r>
          </w:p>
        </w:tc>
        <w:tc>
          <w:tcPr>
            <w:tcW w:w="1084" w:type="pct"/>
            <w:tcBorders>
              <w:bottom w:val="single" w:sz="4" w:space="0" w:color="auto"/>
            </w:tcBorders>
            <w:shd w:val="clear" w:color="auto" w:fill="auto"/>
            <w:vAlign w:val="center"/>
          </w:tcPr>
          <w:p w:rsidR="00383177" w:rsidRPr="008D6B70" w:rsidRDefault="00383177" w:rsidP="00F451DD">
            <w:pPr>
              <w:pStyle w:val="TableText"/>
              <w:jc w:val="center"/>
            </w:pPr>
            <w:r w:rsidRPr="008D6B70">
              <w:t>0.37 (0.28, 0.50)</w:t>
            </w:r>
          </w:p>
        </w:tc>
      </w:tr>
      <w:tr w:rsidR="00383177" w:rsidRPr="008D6B70" w:rsidTr="00F451DD">
        <w:tc>
          <w:tcPr>
            <w:tcW w:w="1357" w:type="pct"/>
            <w:gridSpan w:val="3"/>
            <w:shd w:val="clear" w:color="auto" w:fill="auto"/>
            <w:vAlign w:val="center"/>
          </w:tcPr>
          <w:p w:rsidR="00383177" w:rsidRPr="008D6B70" w:rsidRDefault="00FB506A" w:rsidP="00383177">
            <w:pPr>
              <w:pStyle w:val="TableText"/>
            </w:pPr>
            <w:r w:rsidRPr="008D6B70">
              <w:t>Dead</w:t>
            </w:r>
            <w:r w:rsidR="00383177" w:rsidRPr="008D6B70">
              <w:t>, n (%)</w:t>
            </w:r>
          </w:p>
        </w:tc>
        <w:tc>
          <w:tcPr>
            <w:tcW w:w="795" w:type="pct"/>
            <w:gridSpan w:val="3"/>
            <w:shd w:val="clear" w:color="auto" w:fill="auto"/>
            <w:vAlign w:val="center"/>
          </w:tcPr>
          <w:p w:rsidR="00383177" w:rsidRPr="008D6B70" w:rsidRDefault="00383177" w:rsidP="00F451DD">
            <w:pPr>
              <w:pStyle w:val="TableText"/>
              <w:jc w:val="center"/>
            </w:pPr>
            <w:r w:rsidRPr="008D6B70">
              <w:t>40/286 (14.0)</w:t>
            </w:r>
          </w:p>
        </w:tc>
        <w:tc>
          <w:tcPr>
            <w:tcW w:w="882" w:type="pct"/>
            <w:gridSpan w:val="2"/>
            <w:shd w:val="clear" w:color="auto" w:fill="auto"/>
            <w:vAlign w:val="center"/>
          </w:tcPr>
          <w:p w:rsidR="00383177" w:rsidRPr="008D6B70" w:rsidRDefault="00383177" w:rsidP="00F451DD">
            <w:pPr>
              <w:pStyle w:val="TableText"/>
              <w:jc w:val="center"/>
            </w:pPr>
            <w:r w:rsidRPr="008D6B70">
              <w:t>56/283 (19.8)</w:t>
            </w:r>
          </w:p>
        </w:tc>
        <w:tc>
          <w:tcPr>
            <w:tcW w:w="882" w:type="pct"/>
            <w:gridSpan w:val="2"/>
            <w:shd w:val="clear" w:color="auto" w:fill="auto"/>
            <w:vAlign w:val="center"/>
          </w:tcPr>
          <w:p w:rsidR="00383177" w:rsidRPr="008D6B70" w:rsidRDefault="00723800" w:rsidP="00F451DD">
            <w:pPr>
              <w:pStyle w:val="TableText"/>
              <w:jc w:val="center"/>
              <w:rPr>
                <w:szCs w:val="20"/>
              </w:rPr>
            </w:pPr>
            <w:r w:rsidRPr="008D6B70">
              <w:rPr>
                <w:szCs w:val="20"/>
              </w:rPr>
              <w:t>5.8</w:t>
            </w:r>
          </w:p>
        </w:tc>
        <w:tc>
          <w:tcPr>
            <w:tcW w:w="1084" w:type="pct"/>
            <w:shd w:val="clear" w:color="auto" w:fill="auto"/>
            <w:vAlign w:val="center"/>
          </w:tcPr>
          <w:p w:rsidR="00383177" w:rsidRPr="008D6B70" w:rsidRDefault="00383177" w:rsidP="00F451DD">
            <w:pPr>
              <w:pStyle w:val="TableText"/>
              <w:jc w:val="center"/>
            </w:pPr>
            <w:r w:rsidRPr="008D6B70">
              <w:t>0.63 (0.42, 0.95)</w:t>
            </w:r>
          </w:p>
        </w:tc>
      </w:tr>
      <w:tr w:rsidR="00074D4A" w:rsidRPr="008D6B70" w:rsidTr="00555AE1">
        <w:tc>
          <w:tcPr>
            <w:tcW w:w="5000" w:type="pct"/>
            <w:gridSpan w:val="11"/>
            <w:tcBorders>
              <w:top w:val="double" w:sz="4" w:space="0" w:color="auto"/>
            </w:tcBorders>
            <w:shd w:val="clear" w:color="auto" w:fill="auto"/>
            <w:vAlign w:val="center"/>
          </w:tcPr>
          <w:p w:rsidR="00074D4A" w:rsidRPr="008D6B70" w:rsidRDefault="00074D4A" w:rsidP="00555AE1">
            <w:pPr>
              <w:pStyle w:val="TableText"/>
              <w:rPr>
                <w:b/>
                <w:u w:val="single"/>
              </w:rPr>
            </w:pPr>
            <w:r w:rsidRPr="008D6B70">
              <w:rPr>
                <w:b/>
                <w:u w:val="single"/>
              </w:rPr>
              <w:t>Harms</w:t>
            </w:r>
          </w:p>
        </w:tc>
      </w:tr>
      <w:tr w:rsidR="00074D4A" w:rsidRPr="008D6B70" w:rsidTr="00890268">
        <w:trPr>
          <w:trHeight w:val="70"/>
        </w:trPr>
        <w:tc>
          <w:tcPr>
            <w:tcW w:w="981" w:type="pct"/>
            <w:vMerge w:val="restart"/>
            <w:shd w:val="clear" w:color="auto" w:fill="auto"/>
            <w:vAlign w:val="center"/>
          </w:tcPr>
          <w:p w:rsidR="00074D4A" w:rsidRPr="008D6B70" w:rsidRDefault="00074D4A" w:rsidP="00555AE1">
            <w:pPr>
              <w:pStyle w:val="TableText"/>
            </w:pPr>
          </w:p>
        </w:tc>
        <w:tc>
          <w:tcPr>
            <w:tcW w:w="496" w:type="pct"/>
            <w:gridSpan w:val="3"/>
            <w:vMerge w:val="restart"/>
            <w:shd w:val="clear" w:color="auto" w:fill="auto"/>
            <w:vAlign w:val="center"/>
          </w:tcPr>
          <w:p w:rsidR="00074D4A" w:rsidRPr="008D6B70" w:rsidRDefault="00322F83" w:rsidP="00890268">
            <w:pPr>
              <w:pStyle w:val="TableText"/>
              <w:jc w:val="center"/>
              <w:rPr>
                <w:b/>
              </w:rPr>
            </w:pPr>
            <w:r w:rsidRPr="008D6B70">
              <w:rPr>
                <w:b/>
              </w:rPr>
              <w:t>Proposed drug</w:t>
            </w:r>
          </w:p>
        </w:tc>
        <w:tc>
          <w:tcPr>
            <w:tcW w:w="551" w:type="pct"/>
            <w:vMerge w:val="restart"/>
            <w:shd w:val="clear" w:color="auto" w:fill="auto"/>
            <w:vAlign w:val="center"/>
          </w:tcPr>
          <w:p w:rsidR="00074D4A" w:rsidRPr="008D6B70" w:rsidRDefault="00322F83" w:rsidP="00890268">
            <w:pPr>
              <w:pStyle w:val="TableText"/>
              <w:jc w:val="center"/>
              <w:rPr>
                <w:b/>
              </w:rPr>
            </w:pPr>
            <w:r w:rsidRPr="008D6B70">
              <w:rPr>
                <w:b/>
              </w:rPr>
              <w:t>Main comparator</w:t>
            </w:r>
          </w:p>
        </w:tc>
        <w:tc>
          <w:tcPr>
            <w:tcW w:w="865" w:type="pct"/>
            <w:gridSpan w:val="2"/>
            <w:vMerge w:val="restart"/>
            <w:shd w:val="clear" w:color="auto" w:fill="auto"/>
            <w:vAlign w:val="center"/>
          </w:tcPr>
          <w:p w:rsidR="00074D4A" w:rsidRPr="008D6B70" w:rsidRDefault="00074D4A" w:rsidP="00890268">
            <w:pPr>
              <w:pStyle w:val="TableText"/>
              <w:jc w:val="center"/>
              <w:rPr>
                <w:b/>
              </w:rPr>
            </w:pPr>
            <w:r w:rsidRPr="008D6B70">
              <w:rPr>
                <w:b/>
              </w:rPr>
              <w:t>RR</w:t>
            </w:r>
          </w:p>
          <w:p w:rsidR="00074D4A" w:rsidRPr="008D6B70" w:rsidRDefault="00074D4A" w:rsidP="00890268">
            <w:pPr>
              <w:pStyle w:val="TableText"/>
              <w:jc w:val="center"/>
              <w:rPr>
                <w:b/>
              </w:rPr>
            </w:pPr>
            <w:r w:rsidRPr="008D6B70">
              <w:rPr>
                <w:b/>
              </w:rPr>
              <w:t>(95% CI)</w:t>
            </w:r>
          </w:p>
        </w:tc>
        <w:tc>
          <w:tcPr>
            <w:tcW w:w="1023" w:type="pct"/>
            <w:gridSpan w:val="3"/>
            <w:shd w:val="clear" w:color="auto" w:fill="auto"/>
            <w:vAlign w:val="center"/>
          </w:tcPr>
          <w:p w:rsidR="00074D4A" w:rsidRPr="008D6B70" w:rsidRDefault="00074D4A" w:rsidP="00890268">
            <w:pPr>
              <w:pStyle w:val="TableText"/>
              <w:jc w:val="center"/>
              <w:rPr>
                <w:b/>
              </w:rPr>
            </w:pPr>
            <w:r w:rsidRPr="008D6B70">
              <w:rPr>
                <w:b/>
              </w:rPr>
              <w:t>Events/100 patients*</w:t>
            </w:r>
          </w:p>
        </w:tc>
        <w:tc>
          <w:tcPr>
            <w:tcW w:w="1084" w:type="pct"/>
            <w:vMerge w:val="restart"/>
            <w:shd w:val="clear" w:color="auto" w:fill="auto"/>
            <w:vAlign w:val="center"/>
          </w:tcPr>
          <w:p w:rsidR="00074D4A" w:rsidRPr="008D6B70" w:rsidRDefault="00074D4A" w:rsidP="00890268">
            <w:pPr>
              <w:pStyle w:val="TableText"/>
              <w:jc w:val="center"/>
              <w:rPr>
                <w:b/>
              </w:rPr>
            </w:pPr>
            <w:r w:rsidRPr="008D6B70">
              <w:rPr>
                <w:b/>
              </w:rPr>
              <w:t>RD</w:t>
            </w:r>
          </w:p>
          <w:p w:rsidR="00074D4A" w:rsidRPr="008D6B70" w:rsidRDefault="00074D4A" w:rsidP="00890268">
            <w:pPr>
              <w:pStyle w:val="TableText"/>
              <w:jc w:val="center"/>
              <w:rPr>
                <w:b/>
              </w:rPr>
            </w:pPr>
            <w:r w:rsidRPr="008D6B70">
              <w:rPr>
                <w:b/>
              </w:rPr>
              <w:t>(95% CI)</w:t>
            </w:r>
          </w:p>
        </w:tc>
      </w:tr>
      <w:tr w:rsidR="00EE1C03" w:rsidRPr="008D6B70" w:rsidTr="00890268">
        <w:trPr>
          <w:trHeight w:val="390"/>
        </w:trPr>
        <w:tc>
          <w:tcPr>
            <w:tcW w:w="981" w:type="pct"/>
            <w:vMerge/>
            <w:shd w:val="clear" w:color="auto" w:fill="auto"/>
            <w:vAlign w:val="center"/>
          </w:tcPr>
          <w:p w:rsidR="00EE1C03" w:rsidRPr="008D6B70" w:rsidRDefault="00EE1C03" w:rsidP="00EE1C03">
            <w:pPr>
              <w:pStyle w:val="TableText"/>
            </w:pPr>
          </w:p>
        </w:tc>
        <w:tc>
          <w:tcPr>
            <w:tcW w:w="496" w:type="pct"/>
            <w:gridSpan w:val="3"/>
            <w:vMerge/>
            <w:shd w:val="clear" w:color="auto" w:fill="auto"/>
            <w:vAlign w:val="center"/>
          </w:tcPr>
          <w:p w:rsidR="00EE1C03" w:rsidRPr="008D6B70" w:rsidRDefault="00EE1C03" w:rsidP="00EE1C03">
            <w:pPr>
              <w:pStyle w:val="TableText"/>
            </w:pPr>
          </w:p>
        </w:tc>
        <w:tc>
          <w:tcPr>
            <w:tcW w:w="551" w:type="pct"/>
            <w:vMerge/>
            <w:shd w:val="clear" w:color="auto" w:fill="auto"/>
            <w:vAlign w:val="center"/>
          </w:tcPr>
          <w:p w:rsidR="00EE1C03" w:rsidRPr="008D6B70" w:rsidRDefault="00EE1C03" w:rsidP="00EE1C03">
            <w:pPr>
              <w:pStyle w:val="TableText"/>
            </w:pPr>
          </w:p>
        </w:tc>
        <w:tc>
          <w:tcPr>
            <w:tcW w:w="865" w:type="pct"/>
            <w:gridSpan w:val="2"/>
            <w:vMerge/>
            <w:shd w:val="clear" w:color="auto" w:fill="auto"/>
            <w:vAlign w:val="center"/>
          </w:tcPr>
          <w:p w:rsidR="00EE1C03" w:rsidRPr="008D6B70" w:rsidRDefault="00EE1C03" w:rsidP="00EE1C03">
            <w:pPr>
              <w:pStyle w:val="TableText"/>
            </w:pPr>
          </w:p>
        </w:tc>
        <w:tc>
          <w:tcPr>
            <w:tcW w:w="473" w:type="pct"/>
            <w:gridSpan w:val="2"/>
            <w:shd w:val="clear" w:color="auto" w:fill="auto"/>
            <w:vAlign w:val="center"/>
          </w:tcPr>
          <w:p w:rsidR="00EE1C03" w:rsidRPr="008D6B70" w:rsidRDefault="00EE1C03" w:rsidP="00890268">
            <w:pPr>
              <w:pStyle w:val="TableText"/>
              <w:jc w:val="center"/>
              <w:rPr>
                <w:b/>
              </w:rPr>
            </w:pPr>
            <w:r w:rsidRPr="008D6B70">
              <w:rPr>
                <w:b/>
              </w:rPr>
              <w:t>Proposed drug</w:t>
            </w:r>
          </w:p>
        </w:tc>
        <w:tc>
          <w:tcPr>
            <w:tcW w:w="550" w:type="pct"/>
            <w:shd w:val="clear" w:color="auto" w:fill="auto"/>
            <w:vAlign w:val="center"/>
          </w:tcPr>
          <w:p w:rsidR="00EE1C03" w:rsidRPr="008D6B70" w:rsidRDefault="00EE1C03" w:rsidP="00890268">
            <w:pPr>
              <w:pStyle w:val="TableText"/>
              <w:jc w:val="center"/>
              <w:rPr>
                <w:b/>
              </w:rPr>
            </w:pPr>
            <w:r w:rsidRPr="008D6B70">
              <w:rPr>
                <w:b/>
              </w:rPr>
              <w:t>Main comparator</w:t>
            </w:r>
          </w:p>
        </w:tc>
        <w:tc>
          <w:tcPr>
            <w:tcW w:w="1084" w:type="pct"/>
            <w:vMerge/>
            <w:shd w:val="clear" w:color="auto" w:fill="auto"/>
            <w:vAlign w:val="center"/>
          </w:tcPr>
          <w:p w:rsidR="00EE1C03" w:rsidRPr="008D6B70" w:rsidRDefault="00EE1C03" w:rsidP="00EE1C03">
            <w:pPr>
              <w:pStyle w:val="TableText"/>
            </w:pPr>
          </w:p>
        </w:tc>
      </w:tr>
      <w:tr w:rsidR="00074D4A" w:rsidRPr="008D6B70" w:rsidTr="00555AE1">
        <w:tc>
          <w:tcPr>
            <w:tcW w:w="5000" w:type="pct"/>
            <w:gridSpan w:val="11"/>
            <w:shd w:val="clear" w:color="auto" w:fill="auto"/>
            <w:vAlign w:val="center"/>
          </w:tcPr>
          <w:p w:rsidR="00074D4A" w:rsidRPr="008D6B70" w:rsidRDefault="00322F83" w:rsidP="00555AE1">
            <w:pPr>
              <w:pStyle w:val="TableText"/>
              <w:rPr>
                <w:b/>
              </w:rPr>
            </w:pPr>
            <w:r w:rsidRPr="008D6B70">
              <w:rPr>
                <w:b/>
              </w:rPr>
              <w:t>Any AE</w:t>
            </w:r>
          </w:p>
        </w:tc>
      </w:tr>
      <w:tr w:rsidR="00A903EE" w:rsidRPr="008D6B70" w:rsidTr="00890268">
        <w:tc>
          <w:tcPr>
            <w:tcW w:w="985" w:type="pct"/>
            <w:gridSpan w:val="2"/>
            <w:shd w:val="clear" w:color="auto" w:fill="auto"/>
            <w:vAlign w:val="center"/>
          </w:tcPr>
          <w:p w:rsidR="00A903EE" w:rsidRPr="000A7F1F" w:rsidRDefault="00A903EE" w:rsidP="00A903EE">
            <w:pPr>
              <w:pStyle w:val="TableText"/>
            </w:pPr>
            <w:r w:rsidRPr="00D307D7">
              <w:t>CASTOR (DBd vs. Bd)</w:t>
            </w:r>
          </w:p>
        </w:tc>
        <w:tc>
          <w:tcPr>
            <w:tcW w:w="492"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1"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865"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c>
          <w:tcPr>
            <w:tcW w:w="473"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0"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1084"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r>
      <w:tr w:rsidR="00A903EE" w:rsidRPr="008D6B70" w:rsidTr="00890268">
        <w:tc>
          <w:tcPr>
            <w:tcW w:w="985" w:type="pct"/>
            <w:gridSpan w:val="2"/>
            <w:shd w:val="clear" w:color="auto" w:fill="auto"/>
            <w:vAlign w:val="center"/>
          </w:tcPr>
          <w:p w:rsidR="00A903EE" w:rsidRPr="000A7F1F" w:rsidRDefault="00A903EE" w:rsidP="00A903EE">
            <w:pPr>
              <w:pStyle w:val="TableText"/>
            </w:pPr>
            <w:r w:rsidRPr="00D307D7">
              <w:t>POLLUX (DLd vs. Ld)</w:t>
            </w:r>
          </w:p>
        </w:tc>
        <w:tc>
          <w:tcPr>
            <w:tcW w:w="492"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1"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865"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 ''''''''''''''''''''''''</w:t>
            </w:r>
          </w:p>
        </w:tc>
        <w:tc>
          <w:tcPr>
            <w:tcW w:w="473"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0"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1084"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r>
      <w:tr w:rsidR="00074D4A" w:rsidRPr="008D6B70" w:rsidTr="00555AE1">
        <w:tc>
          <w:tcPr>
            <w:tcW w:w="5000" w:type="pct"/>
            <w:gridSpan w:val="11"/>
            <w:shd w:val="clear" w:color="auto" w:fill="auto"/>
            <w:vAlign w:val="center"/>
          </w:tcPr>
          <w:p w:rsidR="00074D4A" w:rsidRPr="008D6B70" w:rsidRDefault="00322F83" w:rsidP="003E37DD">
            <w:pPr>
              <w:pStyle w:val="TableText"/>
              <w:rPr>
                <w:b/>
              </w:rPr>
            </w:pPr>
            <w:r w:rsidRPr="008D6B70">
              <w:rPr>
                <w:b/>
              </w:rPr>
              <w:t>Grade 3 and 4 AE</w:t>
            </w:r>
          </w:p>
        </w:tc>
      </w:tr>
      <w:tr w:rsidR="00A903EE" w:rsidRPr="008D6B70" w:rsidTr="00890268">
        <w:tc>
          <w:tcPr>
            <w:tcW w:w="985" w:type="pct"/>
            <w:gridSpan w:val="2"/>
            <w:shd w:val="clear" w:color="auto" w:fill="auto"/>
            <w:vAlign w:val="center"/>
          </w:tcPr>
          <w:p w:rsidR="00A903EE" w:rsidRPr="000A7F1F" w:rsidRDefault="00A903EE" w:rsidP="00A903EE">
            <w:pPr>
              <w:pStyle w:val="TableText"/>
            </w:pPr>
            <w:r w:rsidRPr="00D307D7">
              <w:t>CASTOR (DBd vs. Bd)</w:t>
            </w:r>
          </w:p>
        </w:tc>
        <w:tc>
          <w:tcPr>
            <w:tcW w:w="492"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1"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865"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c>
          <w:tcPr>
            <w:tcW w:w="473"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0"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1084"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r>
      <w:tr w:rsidR="00A903EE" w:rsidRPr="008D6B70" w:rsidTr="00890268">
        <w:tc>
          <w:tcPr>
            <w:tcW w:w="985" w:type="pct"/>
            <w:gridSpan w:val="2"/>
            <w:shd w:val="clear" w:color="auto" w:fill="auto"/>
            <w:vAlign w:val="center"/>
          </w:tcPr>
          <w:p w:rsidR="00A903EE" w:rsidRPr="000A7F1F" w:rsidRDefault="00A903EE" w:rsidP="00A903EE">
            <w:pPr>
              <w:pStyle w:val="TableText"/>
            </w:pPr>
            <w:r w:rsidRPr="00D307D7">
              <w:t>POLLUX (DLd vs. Ld)</w:t>
            </w:r>
          </w:p>
        </w:tc>
        <w:tc>
          <w:tcPr>
            <w:tcW w:w="492"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1"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865"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c>
          <w:tcPr>
            <w:tcW w:w="473"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0"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1084"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r>
      <w:tr w:rsidR="00074D4A" w:rsidRPr="008D6B70" w:rsidTr="00555AE1">
        <w:tc>
          <w:tcPr>
            <w:tcW w:w="5000" w:type="pct"/>
            <w:gridSpan w:val="11"/>
            <w:shd w:val="clear" w:color="auto" w:fill="auto"/>
            <w:vAlign w:val="center"/>
          </w:tcPr>
          <w:p w:rsidR="00074D4A" w:rsidRPr="008D6B70" w:rsidRDefault="00322F83" w:rsidP="003E37DD">
            <w:pPr>
              <w:pStyle w:val="TableText"/>
              <w:rPr>
                <w:b/>
              </w:rPr>
            </w:pPr>
            <w:r w:rsidRPr="008D6B70">
              <w:rPr>
                <w:b/>
              </w:rPr>
              <w:t>Any Serious AE</w:t>
            </w:r>
          </w:p>
        </w:tc>
      </w:tr>
      <w:tr w:rsidR="00A903EE" w:rsidRPr="008D6B70" w:rsidTr="00890268">
        <w:tc>
          <w:tcPr>
            <w:tcW w:w="981" w:type="pct"/>
            <w:shd w:val="clear" w:color="auto" w:fill="auto"/>
            <w:vAlign w:val="center"/>
          </w:tcPr>
          <w:p w:rsidR="00A903EE" w:rsidRPr="000A7F1F" w:rsidRDefault="00A903EE" w:rsidP="00A903EE">
            <w:pPr>
              <w:pStyle w:val="TableText"/>
            </w:pPr>
            <w:r w:rsidRPr="00D307D7">
              <w:t>CASTOR (DBd vs. Bd)</w:t>
            </w:r>
          </w:p>
        </w:tc>
        <w:tc>
          <w:tcPr>
            <w:tcW w:w="496" w:type="pct"/>
            <w:gridSpan w:val="3"/>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1"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865"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 '''''''''''''''''''''''</w:t>
            </w:r>
          </w:p>
        </w:tc>
        <w:tc>
          <w:tcPr>
            <w:tcW w:w="473"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0"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1084"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r>
      <w:tr w:rsidR="00A903EE" w:rsidRPr="008D6B70" w:rsidTr="00890268">
        <w:tc>
          <w:tcPr>
            <w:tcW w:w="981" w:type="pct"/>
            <w:shd w:val="clear" w:color="auto" w:fill="auto"/>
            <w:vAlign w:val="center"/>
          </w:tcPr>
          <w:p w:rsidR="00A903EE" w:rsidRPr="000A7F1F" w:rsidRDefault="00A903EE" w:rsidP="00A903EE">
            <w:pPr>
              <w:pStyle w:val="TableText"/>
            </w:pPr>
            <w:r w:rsidRPr="00D307D7">
              <w:t>POLLUX (DLd vs. Ld)</w:t>
            </w:r>
          </w:p>
        </w:tc>
        <w:tc>
          <w:tcPr>
            <w:tcW w:w="496" w:type="pct"/>
            <w:gridSpan w:val="3"/>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1"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865"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c>
          <w:tcPr>
            <w:tcW w:w="473" w:type="pct"/>
            <w:gridSpan w:val="2"/>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550"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w:t>
            </w:r>
          </w:p>
        </w:tc>
        <w:tc>
          <w:tcPr>
            <w:tcW w:w="1084" w:type="pct"/>
            <w:shd w:val="clear" w:color="auto" w:fill="auto"/>
            <w:vAlign w:val="center"/>
          </w:tcPr>
          <w:p w:rsidR="00A903EE" w:rsidRPr="000A7F1F" w:rsidRDefault="000A7F1F" w:rsidP="00890268">
            <w:pPr>
              <w:pStyle w:val="TableText"/>
              <w:jc w:val="center"/>
              <w:rPr>
                <w:highlight w:val="black"/>
              </w:rPr>
            </w:pPr>
            <w:r>
              <w:rPr>
                <w:noProof/>
                <w:color w:val="000000"/>
                <w:highlight w:val="black"/>
              </w:rPr>
              <w:t>'''''''''''''' ''''''''''''''''''' ''''''''''''''''''''''</w:t>
            </w:r>
          </w:p>
        </w:tc>
      </w:tr>
    </w:tbl>
    <w:p w:rsidR="00074D4A" w:rsidRPr="008D6B70" w:rsidRDefault="00383177" w:rsidP="003E37DD">
      <w:pPr>
        <w:pStyle w:val="TableHeading1"/>
        <w:keepNext w:val="0"/>
        <w:spacing w:after="0"/>
        <w:rPr>
          <w:b w:val="0"/>
          <w:sz w:val="18"/>
          <w:szCs w:val="18"/>
        </w:rPr>
      </w:pPr>
      <w:r w:rsidRPr="008D6B70">
        <w:rPr>
          <w:b w:val="0"/>
          <w:sz w:val="18"/>
          <w:szCs w:val="18"/>
        </w:rPr>
        <w:t>* Median follow-up for CASTOR is 13.3 months and POLLUX is 17.3 months</w:t>
      </w:r>
      <w:r w:rsidR="00966313" w:rsidRPr="008D6B70">
        <w:rPr>
          <w:b w:val="0"/>
          <w:sz w:val="18"/>
          <w:szCs w:val="18"/>
        </w:rPr>
        <w:t xml:space="preserve"> </w:t>
      </w:r>
      <w:r w:rsidR="00074D4A" w:rsidRPr="008D6B70">
        <w:rPr>
          <w:b w:val="0"/>
          <w:sz w:val="18"/>
          <w:szCs w:val="18"/>
        </w:rPr>
        <w:t>Abbreviations: PBO</w:t>
      </w:r>
      <w:r w:rsidR="00723800" w:rsidRPr="008D6B70">
        <w:rPr>
          <w:b w:val="0"/>
          <w:sz w:val="18"/>
          <w:szCs w:val="18"/>
        </w:rPr>
        <w:t>,</w:t>
      </w:r>
      <w:r w:rsidR="00074D4A" w:rsidRPr="008D6B70">
        <w:rPr>
          <w:b w:val="0"/>
          <w:sz w:val="18"/>
          <w:szCs w:val="18"/>
        </w:rPr>
        <w:t xml:space="preserve"> placebo; RD</w:t>
      </w:r>
      <w:r w:rsidR="00723800" w:rsidRPr="008D6B70">
        <w:rPr>
          <w:b w:val="0"/>
          <w:sz w:val="18"/>
          <w:szCs w:val="18"/>
        </w:rPr>
        <w:t>,</w:t>
      </w:r>
      <w:r w:rsidR="00074D4A" w:rsidRPr="008D6B70">
        <w:rPr>
          <w:b w:val="0"/>
          <w:sz w:val="18"/>
          <w:szCs w:val="18"/>
        </w:rPr>
        <w:t xml:space="preserve"> risk difference; RR</w:t>
      </w:r>
      <w:r w:rsidR="00723800" w:rsidRPr="008D6B70">
        <w:rPr>
          <w:b w:val="0"/>
          <w:sz w:val="18"/>
          <w:szCs w:val="18"/>
        </w:rPr>
        <w:t>,</w:t>
      </w:r>
      <w:r w:rsidR="00074D4A" w:rsidRPr="008D6B70">
        <w:rPr>
          <w:b w:val="0"/>
          <w:sz w:val="18"/>
          <w:szCs w:val="18"/>
        </w:rPr>
        <w:t xml:space="preserve"> risk ratio</w:t>
      </w:r>
      <w:r w:rsidR="00A903EE" w:rsidRPr="008D6B70">
        <w:rPr>
          <w:b w:val="0"/>
          <w:sz w:val="18"/>
          <w:szCs w:val="18"/>
        </w:rPr>
        <w:t>. There were 35 DLd patients added from single arm daratumumab study (GEN503)</w:t>
      </w:r>
    </w:p>
    <w:p w:rsidR="00CE70BD" w:rsidRPr="008D6B70" w:rsidRDefault="00074D4A" w:rsidP="003E37DD">
      <w:pPr>
        <w:pStyle w:val="TableHeading1"/>
        <w:keepNext w:val="0"/>
        <w:spacing w:after="0"/>
        <w:rPr>
          <w:b w:val="0"/>
          <w:sz w:val="18"/>
          <w:szCs w:val="18"/>
        </w:rPr>
      </w:pPr>
      <w:r w:rsidRPr="008D6B70">
        <w:rPr>
          <w:b w:val="0"/>
          <w:sz w:val="18"/>
          <w:szCs w:val="18"/>
        </w:rPr>
        <w:t>Source:</w:t>
      </w:r>
      <w:r w:rsidR="003E37DD" w:rsidRPr="008D6B70">
        <w:rPr>
          <w:b w:val="0"/>
          <w:sz w:val="18"/>
          <w:szCs w:val="18"/>
        </w:rPr>
        <w:t xml:space="preserve"> </w:t>
      </w:r>
      <w:r w:rsidR="00383177" w:rsidRPr="008D6B70">
        <w:rPr>
          <w:b w:val="0"/>
          <w:sz w:val="18"/>
          <w:szCs w:val="18"/>
        </w:rPr>
        <w:t>Table 2.27, p.56 Section 2a of the Submission; Table 2.28, p.54 Section 2b of the Submission; Table 3.2, p.8 Section 3 of the submission. Table 2.28, p.58 Section 2a of the submission; Table 2.29, p.56 Section 2b of the submission</w:t>
      </w:r>
      <w:r w:rsidR="00A903EE" w:rsidRPr="008D6B70">
        <w:rPr>
          <w:b w:val="0"/>
          <w:sz w:val="18"/>
          <w:szCs w:val="18"/>
        </w:rPr>
        <w:t xml:space="preserve">. The </w:t>
      </w:r>
      <w:r w:rsidR="00890268">
        <w:rPr>
          <w:b w:val="0"/>
          <w:sz w:val="18"/>
          <w:szCs w:val="18"/>
        </w:rPr>
        <w:t>risk</w:t>
      </w:r>
      <w:r w:rsidR="00723800" w:rsidRPr="008D6B70">
        <w:rPr>
          <w:b w:val="0"/>
          <w:sz w:val="18"/>
          <w:szCs w:val="18"/>
        </w:rPr>
        <w:t xml:space="preserve"> difference and </w:t>
      </w:r>
      <w:r w:rsidR="00890268">
        <w:rPr>
          <w:b w:val="0"/>
          <w:sz w:val="18"/>
          <w:szCs w:val="18"/>
        </w:rPr>
        <w:t>relative risk</w:t>
      </w:r>
      <w:r w:rsidR="00A903EE" w:rsidRPr="008D6B70">
        <w:rPr>
          <w:b w:val="0"/>
          <w:sz w:val="18"/>
          <w:szCs w:val="18"/>
        </w:rPr>
        <w:t xml:space="preserve"> were calculated during the evaluation. </w:t>
      </w:r>
    </w:p>
    <w:p w:rsidR="00417E34" w:rsidRPr="008D6B70" w:rsidRDefault="00CE70BD" w:rsidP="00865EA5">
      <w:pPr>
        <w:pStyle w:val="ListParagraph"/>
        <w:numPr>
          <w:ilvl w:val="1"/>
          <w:numId w:val="108"/>
        </w:numPr>
        <w:ind w:left="709" w:hanging="709"/>
        <w:jc w:val="both"/>
      </w:pPr>
      <w:r w:rsidRPr="008D6B70">
        <w:t xml:space="preserve">On the basis of the </w:t>
      </w:r>
      <w:r w:rsidR="004E4668" w:rsidRPr="008D6B70">
        <w:t xml:space="preserve">direct </w:t>
      </w:r>
      <w:r w:rsidRPr="008D6B70">
        <w:t>evidence presented in the CASTOR trial, for every 100 patients treat</w:t>
      </w:r>
      <w:r w:rsidR="0079033D" w:rsidRPr="008D6B70">
        <w:t xml:space="preserve">ed </w:t>
      </w:r>
      <w:r w:rsidRPr="008D6B70">
        <w:t xml:space="preserve">with </w:t>
      </w:r>
      <w:r w:rsidR="0079033D" w:rsidRPr="008D6B70">
        <w:t>D</w:t>
      </w:r>
      <w:r w:rsidRPr="008D6B70">
        <w:t>Bd over</w:t>
      </w:r>
      <w:r w:rsidR="004C35AE" w:rsidRPr="008D6B70">
        <w:t xml:space="preserve"> a median follow-up of </w:t>
      </w:r>
      <w:r w:rsidRPr="008D6B70">
        <w:t>13.3 months</w:t>
      </w:r>
      <w:r w:rsidR="00417E34" w:rsidRPr="008D6B70">
        <w:t>:</w:t>
      </w:r>
    </w:p>
    <w:p w:rsidR="00CE70BD" w:rsidRPr="008D6B70" w:rsidRDefault="00CE70BD" w:rsidP="00DD724F">
      <w:pPr>
        <w:pStyle w:val="ListParagraph"/>
        <w:numPr>
          <w:ilvl w:val="1"/>
          <w:numId w:val="109"/>
        </w:numPr>
        <w:ind w:left="993" w:hanging="284"/>
        <w:jc w:val="both"/>
      </w:pPr>
      <w:r w:rsidRPr="008D6B70">
        <w:t>3</w:t>
      </w:r>
      <w:r w:rsidR="006951AA" w:rsidRPr="008D6B70">
        <w:t>2 fewer</w:t>
      </w:r>
      <w:r w:rsidRPr="008D6B70">
        <w:t xml:space="preserve"> would have progressed </w:t>
      </w:r>
      <w:r w:rsidR="006951AA" w:rsidRPr="008D6B70">
        <w:t>than if treated with Bd</w:t>
      </w:r>
      <w:r w:rsidRPr="008D6B70">
        <w:t xml:space="preserve">. </w:t>
      </w:r>
    </w:p>
    <w:p w:rsidR="00434013" w:rsidRPr="008D6B70" w:rsidRDefault="006951AA" w:rsidP="00DD724F">
      <w:pPr>
        <w:pStyle w:val="ListParagraph"/>
        <w:numPr>
          <w:ilvl w:val="1"/>
          <w:numId w:val="109"/>
        </w:numPr>
        <w:ind w:left="993" w:hanging="284"/>
        <w:jc w:val="both"/>
      </w:pPr>
      <w:r w:rsidRPr="008D6B70">
        <w:t xml:space="preserve">9 fewer </w:t>
      </w:r>
      <w:r w:rsidR="00CE70BD" w:rsidRPr="008D6B70">
        <w:t xml:space="preserve">would have died </w:t>
      </w:r>
      <w:r w:rsidRPr="008D6B70">
        <w:t xml:space="preserve">than if </w:t>
      </w:r>
      <w:r w:rsidR="00CE70BD" w:rsidRPr="008D6B70">
        <w:t>treated with Bd.</w:t>
      </w:r>
    </w:p>
    <w:p w:rsidR="00DE41C2" w:rsidRPr="008D6B70" w:rsidRDefault="000A7F1F" w:rsidP="00DD724F">
      <w:pPr>
        <w:pStyle w:val="ListParagraph"/>
        <w:numPr>
          <w:ilvl w:val="1"/>
          <w:numId w:val="109"/>
        </w:numPr>
        <w:ind w:left="993" w:hanging="284"/>
        <w:jc w:val="both"/>
      </w:pPr>
      <w:r>
        <w:rPr>
          <w:noProof/>
          <w:color w:val="000000"/>
          <w:highlight w:val="black"/>
        </w:rPr>
        <w:t>''''''</w:t>
      </w:r>
      <w:r w:rsidR="004C35AE" w:rsidRPr="008D6B70">
        <w:t xml:space="preserve"> </w:t>
      </w:r>
      <w:r w:rsidR="00D21761" w:rsidRPr="008D6B70">
        <w:t xml:space="preserve">additional patients would have a Grade 3 or 4 adverse event than if treated with Bd. </w:t>
      </w:r>
    </w:p>
    <w:p w:rsidR="00417E34" w:rsidRPr="008D6B70" w:rsidRDefault="00CE70BD" w:rsidP="00865EA5">
      <w:pPr>
        <w:pStyle w:val="ListParagraph"/>
        <w:numPr>
          <w:ilvl w:val="1"/>
          <w:numId w:val="108"/>
        </w:numPr>
        <w:ind w:left="709" w:hanging="709"/>
        <w:jc w:val="both"/>
      </w:pPr>
      <w:r w:rsidRPr="008D6B70">
        <w:t xml:space="preserve">On the basis of the </w:t>
      </w:r>
      <w:r w:rsidR="004E4668" w:rsidRPr="008D6B70">
        <w:t xml:space="preserve">direct </w:t>
      </w:r>
      <w:r w:rsidRPr="008D6B70">
        <w:t>evidence presented in the POLLUX trial, for every 100 patients treat</w:t>
      </w:r>
      <w:r w:rsidR="00FB506A" w:rsidRPr="008D6B70">
        <w:t>ed</w:t>
      </w:r>
      <w:r w:rsidRPr="008D6B70">
        <w:t xml:space="preserve"> with </w:t>
      </w:r>
      <w:r w:rsidR="00434013" w:rsidRPr="008D6B70">
        <w:t>D</w:t>
      </w:r>
      <w:r w:rsidRPr="008D6B70">
        <w:t xml:space="preserve">Ld over </w:t>
      </w:r>
      <w:r w:rsidR="00417E34" w:rsidRPr="008D6B70">
        <w:t xml:space="preserve">a median follow-up of </w:t>
      </w:r>
      <w:r w:rsidRPr="008D6B70">
        <w:t>17.3 months</w:t>
      </w:r>
      <w:r w:rsidR="00417E34" w:rsidRPr="008D6B70">
        <w:t>:</w:t>
      </w:r>
      <w:r w:rsidRPr="008D6B70">
        <w:t xml:space="preserve"> </w:t>
      </w:r>
    </w:p>
    <w:p w:rsidR="00CE70BD" w:rsidRPr="008D6B70" w:rsidRDefault="00890268" w:rsidP="00DD724F">
      <w:pPr>
        <w:pStyle w:val="ListParagraph"/>
        <w:numPr>
          <w:ilvl w:val="1"/>
          <w:numId w:val="110"/>
        </w:numPr>
        <w:ind w:left="993" w:hanging="284"/>
        <w:jc w:val="both"/>
      </w:pPr>
      <w:r>
        <w:t>25</w:t>
      </w:r>
      <w:r w:rsidR="00CE70BD" w:rsidRPr="008D6B70">
        <w:t xml:space="preserve"> </w:t>
      </w:r>
      <w:r w:rsidR="00FB506A" w:rsidRPr="008D6B70">
        <w:t xml:space="preserve">fewer </w:t>
      </w:r>
      <w:r w:rsidR="00CE70BD" w:rsidRPr="008D6B70">
        <w:t>would have progressed</w:t>
      </w:r>
      <w:r w:rsidR="00FB506A" w:rsidRPr="008D6B70">
        <w:t xml:space="preserve"> than</w:t>
      </w:r>
      <w:r w:rsidR="00CE70BD" w:rsidRPr="008D6B70">
        <w:t xml:space="preserve"> if treated with Ld. </w:t>
      </w:r>
    </w:p>
    <w:p w:rsidR="00417E34" w:rsidRPr="008D6B70" w:rsidRDefault="00CE70BD" w:rsidP="00DD724F">
      <w:pPr>
        <w:pStyle w:val="ListParagraph"/>
        <w:numPr>
          <w:ilvl w:val="1"/>
          <w:numId w:val="110"/>
        </w:numPr>
        <w:ind w:left="993" w:hanging="284"/>
        <w:jc w:val="both"/>
      </w:pPr>
      <w:r w:rsidRPr="008D6B70">
        <w:t xml:space="preserve">6 </w:t>
      </w:r>
      <w:r w:rsidR="00FB506A" w:rsidRPr="008D6B70">
        <w:t xml:space="preserve">fewer </w:t>
      </w:r>
      <w:r w:rsidRPr="008D6B70">
        <w:t>would have died</w:t>
      </w:r>
      <w:r w:rsidR="00FB506A" w:rsidRPr="008D6B70">
        <w:t xml:space="preserve"> than</w:t>
      </w:r>
      <w:r w:rsidRPr="008D6B70">
        <w:t xml:space="preserve"> if treated with Ld. </w:t>
      </w:r>
    </w:p>
    <w:p w:rsidR="00D21761" w:rsidRPr="008D6B70" w:rsidRDefault="000A7F1F" w:rsidP="00DD724F">
      <w:pPr>
        <w:pStyle w:val="ListParagraph"/>
        <w:numPr>
          <w:ilvl w:val="1"/>
          <w:numId w:val="110"/>
        </w:numPr>
        <w:ind w:left="993" w:hanging="284"/>
        <w:jc w:val="both"/>
      </w:pPr>
      <w:r>
        <w:rPr>
          <w:noProof/>
          <w:color w:val="000000"/>
          <w:highlight w:val="black"/>
        </w:rPr>
        <w:t>'''</w:t>
      </w:r>
      <w:r w:rsidR="00D21761" w:rsidRPr="008D6B70">
        <w:t xml:space="preserve"> additional patients would have a Grade 3 or 4 adverse event than if treated with </w:t>
      </w:r>
      <w:r w:rsidR="00434013" w:rsidRPr="008D6B70">
        <w:t>L</w:t>
      </w:r>
      <w:r w:rsidR="00D21761" w:rsidRPr="008D6B70">
        <w:t>d.</w:t>
      </w:r>
    </w:p>
    <w:bookmarkEnd w:id="24"/>
    <w:p w:rsidR="00E33012" w:rsidRPr="00981468" w:rsidRDefault="00AE2806" w:rsidP="001A6F2B">
      <w:pPr>
        <w:pStyle w:val="Heading2"/>
      </w:pPr>
      <w:r w:rsidRPr="00981468">
        <w:t>Interpretation of clinical evidence</w:t>
      </w:r>
    </w:p>
    <w:p w:rsidR="00622FBC" w:rsidRPr="001A6F2B" w:rsidRDefault="00857106" w:rsidP="00865EA5">
      <w:pPr>
        <w:pStyle w:val="ListParagraph"/>
        <w:numPr>
          <w:ilvl w:val="1"/>
          <w:numId w:val="108"/>
        </w:numPr>
        <w:ind w:left="709" w:hanging="709"/>
        <w:jc w:val="both"/>
      </w:pPr>
      <w:r w:rsidRPr="008D6B70">
        <w:t xml:space="preserve">The </w:t>
      </w:r>
      <w:r w:rsidR="00AE7EAF">
        <w:t>PBAC</w:t>
      </w:r>
      <w:r w:rsidR="00AE7EAF" w:rsidRPr="008D6B70">
        <w:t xml:space="preserve"> </w:t>
      </w:r>
      <w:r w:rsidRPr="008D6B70">
        <w:t xml:space="preserve">considered that the </w:t>
      </w:r>
      <w:r w:rsidR="001E0272">
        <w:t>submission’s</w:t>
      </w:r>
      <w:r w:rsidR="00BB77F2">
        <w:t xml:space="preserve"> </w:t>
      </w:r>
      <w:r w:rsidRPr="008D6B70">
        <w:t>claim of superior efficacy of DBd over Bd was supported by the data statistically</w:t>
      </w:r>
      <w:r w:rsidR="00527521" w:rsidRPr="008D6B70">
        <w:t xml:space="preserve">, although the data are immature and may not reflect the differences between </w:t>
      </w:r>
      <w:r w:rsidR="00BB77F2">
        <w:t xml:space="preserve">the </w:t>
      </w:r>
      <w:r w:rsidR="00527521" w:rsidRPr="008D6B70">
        <w:t>treatment arms in the longer term</w:t>
      </w:r>
      <w:r w:rsidRPr="008D6B70">
        <w:t>.</w:t>
      </w:r>
      <w:r w:rsidR="00622FBC">
        <w:t xml:space="preserve"> The PBAC noted </w:t>
      </w:r>
      <w:r w:rsidR="00622FBC" w:rsidRPr="001A6F2B">
        <w:t xml:space="preserve">there is no plateau on the PFS curve, and thus risk of progression and death from myeloma will likely remain continuous. </w:t>
      </w:r>
    </w:p>
    <w:p w:rsidR="00074D4A" w:rsidRPr="008D6B70" w:rsidRDefault="00857106" w:rsidP="00865EA5">
      <w:pPr>
        <w:pStyle w:val="ListParagraph"/>
        <w:numPr>
          <w:ilvl w:val="1"/>
          <w:numId w:val="108"/>
        </w:numPr>
        <w:ind w:left="709" w:hanging="709"/>
        <w:jc w:val="both"/>
      </w:pPr>
      <w:r w:rsidRPr="008D6B70">
        <w:t xml:space="preserve">The </w:t>
      </w:r>
      <w:r w:rsidR="00AE7EAF">
        <w:t>PBAC</w:t>
      </w:r>
      <w:r w:rsidR="00AE7EAF" w:rsidRPr="008D6B70">
        <w:t xml:space="preserve"> </w:t>
      </w:r>
      <w:r w:rsidRPr="008D6B70">
        <w:t xml:space="preserve">considered that the </w:t>
      </w:r>
      <w:r w:rsidR="001A6F2B">
        <w:t xml:space="preserve">submission’s </w:t>
      </w:r>
      <w:r w:rsidRPr="008D6B70">
        <w:t>claim of inferior safety of DBd over Bd was supported by the data.</w:t>
      </w:r>
      <w:r w:rsidR="00165AAE">
        <w:t xml:space="preserve"> </w:t>
      </w:r>
      <w:r w:rsidR="008A574E">
        <w:t>However the PBAC noted that the similar and relatively low discontinuation rates in both arms of the trial suggested that the toxicity was manageable.</w:t>
      </w:r>
    </w:p>
    <w:p w:rsidR="009B7463" w:rsidRPr="001A6F2B" w:rsidRDefault="00AE7EAF" w:rsidP="00865EA5">
      <w:pPr>
        <w:pStyle w:val="ListParagraph"/>
        <w:numPr>
          <w:ilvl w:val="1"/>
          <w:numId w:val="108"/>
        </w:numPr>
        <w:ind w:left="709" w:hanging="709"/>
        <w:jc w:val="both"/>
      </w:pPr>
      <w:bookmarkStart w:id="25" w:name="_Hlk492627275"/>
      <w:r>
        <w:t>The PBAC considered that the</w:t>
      </w:r>
      <w:r w:rsidR="001A6F2B">
        <w:t xml:space="preserve"> submission’s</w:t>
      </w:r>
      <w:r>
        <w:t xml:space="preserve"> claim </w:t>
      </w:r>
      <w:r w:rsidR="00E33012" w:rsidRPr="008D6B70">
        <w:t xml:space="preserve">that DBd </w:t>
      </w:r>
      <w:bookmarkEnd w:id="25"/>
      <w:r w:rsidR="00E33012" w:rsidRPr="008D6B70">
        <w:t>was superior compared to Cd in terms of effectiveness and non</w:t>
      </w:r>
      <w:r w:rsidR="00905949" w:rsidRPr="008D6B70">
        <w:noBreakHyphen/>
      </w:r>
      <w:r w:rsidR="00E33012" w:rsidRPr="008D6B70">
        <w:t>inferior in terms of safety</w:t>
      </w:r>
      <w:r>
        <w:t xml:space="preserve"> was uncertain due to the potential biases and confounding factors between the trials</w:t>
      </w:r>
      <w:r w:rsidR="001A6F2B">
        <w:t xml:space="preserve"> used in the </w:t>
      </w:r>
      <w:r w:rsidR="001E0272">
        <w:t>indirect</w:t>
      </w:r>
      <w:r w:rsidR="001A6F2B">
        <w:t xml:space="preserve"> comparison</w:t>
      </w:r>
      <w:r w:rsidR="00E33012" w:rsidRPr="008D6B70">
        <w:t>.</w:t>
      </w:r>
    </w:p>
    <w:p w:rsidR="004C1411" w:rsidRPr="001A6F2B" w:rsidRDefault="00857106" w:rsidP="00865EA5">
      <w:pPr>
        <w:pStyle w:val="ListParagraph"/>
        <w:numPr>
          <w:ilvl w:val="1"/>
          <w:numId w:val="108"/>
        </w:numPr>
        <w:ind w:left="709" w:hanging="709"/>
        <w:jc w:val="both"/>
      </w:pPr>
      <w:r w:rsidRPr="008D6B70">
        <w:t xml:space="preserve">The </w:t>
      </w:r>
      <w:r w:rsidR="00C75718">
        <w:t>PBA</w:t>
      </w:r>
      <w:r w:rsidR="00C75718" w:rsidRPr="008D6B70">
        <w:t xml:space="preserve">C </w:t>
      </w:r>
      <w:r w:rsidRPr="008D6B70">
        <w:t xml:space="preserve">considered that the </w:t>
      </w:r>
      <w:r w:rsidR="001A6F2B">
        <w:t xml:space="preserve">submission’s </w:t>
      </w:r>
      <w:r w:rsidRPr="008D6B70">
        <w:t xml:space="preserve">claim of superior efficacy of </w:t>
      </w:r>
      <w:r w:rsidR="004C1411" w:rsidRPr="008D6B70">
        <w:t>D</w:t>
      </w:r>
      <w:r w:rsidR="004C1411">
        <w:t>L</w:t>
      </w:r>
      <w:r w:rsidR="004C1411" w:rsidRPr="008D6B70">
        <w:t xml:space="preserve">d </w:t>
      </w:r>
      <w:r w:rsidRPr="008D6B70">
        <w:t xml:space="preserve">over </w:t>
      </w:r>
      <w:r w:rsidR="004C1411">
        <w:t>L</w:t>
      </w:r>
      <w:r w:rsidRPr="008D6B70">
        <w:t>d was supported by the data statistically</w:t>
      </w:r>
      <w:r w:rsidR="00527521" w:rsidRPr="008D6B70">
        <w:t>, although the data are immature and may not reflect the differences between t</w:t>
      </w:r>
      <w:r w:rsidR="00626E9C" w:rsidRPr="008D6B70">
        <w:t>reatment arms in the longer term</w:t>
      </w:r>
      <w:r w:rsidRPr="008D6B70">
        <w:t>.</w:t>
      </w:r>
      <w:r w:rsidR="004C1411">
        <w:t xml:space="preserve"> The PBAC noted </w:t>
      </w:r>
      <w:r w:rsidR="004C1411" w:rsidRPr="001A6F2B">
        <w:t xml:space="preserve">there is no plateau on the PFS curve, and thus risk of progression and death from myeloma will likely remain continuous. </w:t>
      </w:r>
    </w:p>
    <w:p w:rsidR="00074D4A" w:rsidRDefault="00C57143" w:rsidP="00865EA5">
      <w:pPr>
        <w:pStyle w:val="ListParagraph"/>
        <w:numPr>
          <w:ilvl w:val="1"/>
          <w:numId w:val="108"/>
        </w:numPr>
        <w:ind w:left="709" w:hanging="709"/>
        <w:jc w:val="both"/>
      </w:pPr>
      <w:r w:rsidRPr="008D6B70">
        <w:t xml:space="preserve">The </w:t>
      </w:r>
      <w:r w:rsidR="00C75718">
        <w:t>PBA</w:t>
      </w:r>
      <w:r w:rsidRPr="008D6B70">
        <w:t xml:space="preserve">C considered that the </w:t>
      </w:r>
      <w:r w:rsidR="001A6F2B">
        <w:t xml:space="preserve">submission’s </w:t>
      </w:r>
      <w:r w:rsidRPr="008D6B70">
        <w:t>claim of inferior safety of D</w:t>
      </w:r>
      <w:r w:rsidR="00C75718">
        <w:t>L</w:t>
      </w:r>
      <w:r w:rsidRPr="008D6B70">
        <w:t xml:space="preserve">d over </w:t>
      </w:r>
      <w:r w:rsidR="00C75718">
        <w:t>L</w:t>
      </w:r>
      <w:r w:rsidRPr="008D6B70">
        <w:t>d was supported by the data.</w:t>
      </w:r>
      <w:r w:rsidR="008A574E">
        <w:t xml:space="preserve"> However the PBAC noted that the similar and relatively low discontinuation rates in both arms of the trial suggested that the toxicity was manageable. </w:t>
      </w:r>
    </w:p>
    <w:p w:rsidR="002A3AD0" w:rsidRDefault="002A3AD0" w:rsidP="00865EA5">
      <w:pPr>
        <w:pStyle w:val="ListParagraph"/>
        <w:numPr>
          <w:ilvl w:val="1"/>
          <w:numId w:val="108"/>
        </w:numPr>
        <w:ind w:left="709" w:hanging="709"/>
        <w:jc w:val="both"/>
      </w:pPr>
      <w:r w:rsidRPr="008D6B70">
        <w:t xml:space="preserve">In order to recommend DBd </w:t>
      </w:r>
      <w:r>
        <w:t xml:space="preserve">or DLd </w:t>
      </w:r>
      <w:r w:rsidRPr="008D6B70">
        <w:t xml:space="preserve">at a higher price than Cd, the PBAC would need to be satisfied that DBd </w:t>
      </w:r>
      <w:r w:rsidR="00FC1AF3">
        <w:t xml:space="preserve">or DLd </w:t>
      </w:r>
      <w:r w:rsidRPr="008D6B70">
        <w:t>provide, for some patients, a significant improvement in efficacy or reduction in toxicity over Cd.</w:t>
      </w:r>
      <w:r>
        <w:t xml:space="preserve"> The PBAC did not consider that this had been adequately established by the data presented in the submission.</w:t>
      </w:r>
    </w:p>
    <w:p w:rsidR="00C57143" w:rsidRPr="008D6B70" w:rsidRDefault="003E341C" w:rsidP="00865EA5">
      <w:pPr>
        <w:pStyle w:val="ListParagraph"/>
        <w:numPr>
          <w:ilvl w:val="1"/>
          <w:numId w:val="108"/>
        </w:numPr>
        <w:ind w:left="709" w:hanging="709"/>
        <w:jc w:val="both"/>
      </w:pPr>
      <w:r w:rsidRPr="008D6B70">
        <w:t xml:space="preserve">The ESC was </w:t>
      </w:r>
      <w:r w:rsidR="00857106" w:rsidRPr="008D6B70">
        <w:t>of the view</w:t>
      </w:r>
      <w:r w:rsidRPr="008D6B70">
        <w:t xml:space="preserve"> that </w:t>
      </w:r>
      <w:r w:rsidR="00C57143" w:rsidRPr="008D6B70">
        <w:t xml:space="preserve">although </w:t>
      </w:r>
      <w:r w:rsidRPr="008D6B70">
        <w:t>the results from both CASTOR and POLLUX supported the claim of superiority over the nominated comparators, both studies were based on immature data</w:t>
      </w:r>
      <w:r w:rsidR="00C57143" w:rsidRPr="008D6B70">
        <w:t>, which may not accurately reflect the longer-term comparative risks of progression or death associated with daratumumab based therapies.</w:t>
      </w:r>
      <w:r w:rsidRPr="008D6B70">
        <w:t xml:space="preserve"> </w:t>
      </w:r>
      <w:r w:rsidR="002A3AD0">
        <w:t xml:space="preserve">The PBAC considered that although the data supported the claim of superiority of DBd and DLd over Bd and Ld respectively, the </w:t>
      </w:r>
      <w:r w:rsidR="008702A9">
        <w:t xml:space="preserve">immaturity of the data and lack of demonstrated survival benefit compared to other relevant therapies meant that the </w:t>
      </w:r>
      <w:r w:rsidR="002A3AD0">
        <w:t>magnitude of the incremental benefit was highly uncertain.</w:t>
      </w:r>
    </w:p>
    <w:p w:rsidR="003E341C" w:rsidRDefault="00C57143" w:rsidP="00865EA5">
      <w:pPr>
        <w:pStyle w:val="ListParagraph"/>
        <w:numPr>
          <w:ilvl w:val="1"/>
          <w:numId w:val="108"/>
        </w:numPr>
        <w:ind w:left="709" w:hanging="709"/>
        <w:jc w:val="both"/>
      </w:pPr>
      <w:r w:rsidRPr="008D6B70">
        <w:t xml:space="preserve">The ESC also noted that </w:t>
      </w:r>
      <w:r w:rsidR="003E341C" w:rsidRPr="008D6B70">
        <w:t>there are no data on the efficacy of existing doublet or monotherapies for RRMM after DBd</w:t>
      </w:r>
      <w:r w:rsidRPr="008D6B70">
        <w:t xml:space="preserve"> or DLd</w:t>
      </w:r>
      <w:r w:rsidR="003E341C" w:rsidRPr="008D6B70">
        <w:t>. The impact on overall outcomes of the introduction of a triplet therapy (DBd) earlier in the sequence of treatments for RRMM is therefore unknown.</w:t>
      </w:r>
      <w:r w:rsidR="006B73FF">
        <w:t xml:space="preserve"> The PBAC considered there was additional uncertainty regarding the incremental benefit of adding to daratumumab to Bd with no comparison provided with </w:t>
      </w:r>
      <w:r w:rsidR="0061202A" w:rsidRPr="00173C7E">
        <w:rPr>
          <w:szCs w:val="24"/>
        </w:rPr>
        <w:t>cyclophosphamide</w:t>
      </w:r>
      <w:r w:rsidR="006B73FF">
        <w:t xml:space="preserve"> and Bd, which is another commonly used regimen.</w:t>
      </w:r>
    </w:p>
    <w:p w:rsidR="00074D4A" w:rsidRPr="00981468" w:rsidRDefault="00074D4A" w:rsidP="00074D4A">
      <w:pPr>
        <w:pStyle w:val="Heading2"/>
      </w:pPr>
      <w:bookmarkStart w:id="26" w:name="_Toc413139282"/>
      <w:bookmarkStart w:id="27" w:name="_Toc492997392"/>
      <w:r w:rsidRPr="00981468">
        <w:t>Economic analysis</w:t>
      </w:r>
      <w:bookmarkEnd w:id="26"/>
      <w:bookmarkEnd w:id="27"/>
    </w:p>
    <w:p w:rsidR="007D23A7" w:rsidRPr="008D6B70" w:rsidRDefault="00074D4A" w:rsidP="00865EA5">
      <w:pPr>
        <w:pStyle w:val="ListParagraph"/>
        <w:numPr>
          <w:ilvl w:val="1"/>
          <w:numId w:val="108"/>
        </w:numPr>
        <w:ind w:left="709" w:hanging="709"/>
        <w:jc w:val="both"/>
      </w:pPr>
      <w:r w:rsidRPr="008D6B70">
        <w:t>The submission presented two cost-utility analyses</w:t>
      </w:r>
      <w:r w:rsidR="00CA797A" w:rsidRPr="008D6B70">
        <w:t xml:space="preserve">: </w:t>
      </w:r>
      <w:r w:rsidRPr="008D6B70">
        <w:t>DBd vs Bd (based on the CASTOR trial); and</w:t>
      </w:r>
      <w:r w:rsidR="00CA797A" w:rsidRPr="008D6B70">
        <w:t xml:space="preserve"> </w:t>
      </w:r>
      <w:r w:rsidRPr="008D6B70">
        <w:t xml:space="preserve">DLd vs Ld (based on the POLLUX trial). The two economic models were structurally identical with different inputs. A summary of the model structure and rationale </w:t>
      </w:r>
      <w:r w:rsidR="00CA797A" w:rsidRPr="008D6B70">
        <w:t xml:space="preserve">is </w:t>
      </w:r>
      <w:r w:rsidRPr="008D6B70">
        <w:t xml:space="preserve">presented in Table </w:t>
      </w:r>
      <w:r w:rsidR="00143B30" w:rsidRPr="008D6B70">
        <w:t>10</w:t>
      </w:r>
      <w:r w:rsidR="008D5B6A" w:rsidRPr="008D6B70">
        <w:t>.</w:t>
      </w:r>
    </w:p>
    <w:p w:rsidR="00074D4A" w:rsidRPr="008D6B70" w:rsidRDefault="00074D4A" w:rsidP="008D5B6A">
      <w:pPr>
        <w:pStyle w:val="TableHeading1"/>
        <w:widowControl w:val="0"/>
      </w:pPr>
      <w:r w:rsidRPr="008D6B70">
        <w:t>Table 10: Summary of model structure and rationale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0"/>
        <w:gridCol w:w="7711"/>
      </w:tblGrid>
      <w:tr w:rsidR="00074D4A" w:rsidRPr="008D6B70" w:rsidTr="008D5B6A">
        <w:trPr>
          <w:tblHeader/>
        </w:trPr>
        <w:tc>
          <w:tcPr>
            <w:tcW w:w="712" w:type="pct"/>
            <w:shd w:val="clear" w:color="auto" w:fill="auto"/>
            <w:vAlign w:val="center"/>
          </w:tcPr>
          <w:p w:rsidR="00074D4A" w:rsidRPr="008D6B70" w:rsidRDefault="00074D4A" w:rsidP="00D778F8">
            <w:pPr>
              <w:pStyle w:val="TableText"/>
              <w:keepNext w:val="0"/>
              <w:widowControl w:val="0"/>
              <w:rPr>
                <w:b/>
              </w:rPr>
            </w:pPr>
            <w:r w:rsidRPr="008D6B70">
              <w:rPr>
                <w:b/>
              </w:rPr>
              <w:t>Component</w:t>
            </w:r>
          </w:p>
        </w:tc>
        <w:tc>
          <w:tcPr>
            <w:tcW w:w="4288" w:type="pct"/>
            <w:shd w:val="clear" w:color="auto" w:fill="auto"/>
            <w:vAlign w:val="center"/>
          </w:tcPr>
          <w:p w:rsidR="00074D4A" w:rsidRPr="008D6B70" w:rsidRDefault="00074D4A" w:rsidP="00D778F8">
            <w:pPr>
              <w:pStyle w:val="TableText"/>
              <w:keepNext w:val="0"/>
              <w:widowControl w:val="0"/>
              <w:rPr>
                <w:b/>
              </w:rPr>
            </w:pPr>
            <w:r w:rsidRPr="008D6B70">
              <w:rPr>
                <w:b/>
              </w:rPr>
              <w:t>Summary</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pPr>
            <w:r w:rsidRPr="008D6B70">
              <w:t>Time horizon</w:t>
            </w:r>
          </w:p>
        </w:tc>
        <w:tc>
          <w:tcPr>
            <w:tcW w:w="4288"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 xml:space="preserve">Lifetime horizon (20 years) in the model base case versus 20 months in CASTOR and 24 months in POLLUX. </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Outcomes</w:t>
            </w:r>
          </w:p>
        </w:tc>
        <w:tc>
          <w:tcPr>
            <w:tcW w:w="4288"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LYG and QALYs.</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Methods used to generate results</w:t>
            </w:r>
          </w:p>
        </w:tc>
        <w:tc>
          <w:tcPr>
            <w:tcW w:w="4288" w:type="pct"/>
            <w:shd w:val="clear" w:color="auto" w:fill="auto"/>
            <w:vAlign w:val="center"/>
          </w:tcPr>
          <w:p w:rsidR="00074D4A" w:rsidRPr="008D6B70" w:rsidRDefault="00487A4B">
            <w:pPr>
              <w:pStyle w:val="TableText"/>
              <w:keepNext w:val="0"/>
              <w:widowControl w:val="0"/>
              <w:rPr>
                <w:rFonts w:ascii="Times" w:eastAsia="Times New Roman" w:hAnsi="Times" w:cs="Times New Roman"/>
              </w:rPr>
            </w:pPr>
            <w:r w:rsidRPr="008D6B70">
              <w:t>P</w:t>
            </w:r>
            <w:r w:rsidR="00074D4A" w:rsidRPr="008D6B70">
              <w:t>artitioned survival model, incorporating a cohort expected value analysis.</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Health states</w:t>
            </w:r>
          </w:p>
        </w:tc>
        <w:tc>
          <w:tcPr>
            <w:tcW w:w="4288"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Three: progression free, progressive disease and death.</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Utilities</w:t>
            </w:r>
          </w:p>
        </w:tc>
        <w:tc>
          <w:tcPr>
            <w:tcW w:w="4288"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CASTOR and POLLUX for baseline, on-treatment and progression free health states. For progressed disease</w:t>
            </w:r>
            <w:r w:rsidR="006F520E" w:rsidRPr="008D6B70">
              <w:t xml:space="preserve">, a utility value </w:t>
            </w:r>
            <w:r w:rsidRPr="008D6B70">
              <w:t xml:space="preserve">(0.61) </w:t>
            </w:r>
            <w:r w:rsidR="006F520E" w:rsidRPr="008D6B70">
              <w:t xml:space="preserve">was used </w:t>
            </w:r>
            <w:r w:rsidRPr="008D6B70">
              <w:t>from</w:t>
            </w:r>
            <w:r w:rsidR="00E42095" w:rsidRPr="008D6B70">
              <w:t xml:space="preserve"> the</w:t>
            </w:r>
            <w:r w:rsidRPr="008D6B70">
              <w:t xml:space="preserve"> pomalidomide trial MM-003, PSD November 2014. The submission </w:t>
            </w:r>
            <w:r w:rsidR="00E42095" w:rsidRPr="008D6B70">
              <w:t xml:space="preserve">did not use the within trial values for PD as these were based on a small </w:t>
            </w:r>
            <w:r w:rsidR="00352AFD" w:rsidRPr="008D6B70">
              <w:t>sample size. Wi</w:t>
            </w:r>
            <w:r w:rsidR="00E33012" w:rsidRPr="008D6B70">
              <w:t>th</w:t>
            </w:r>
            <w:r w:rsidR="00352AFD" w:rsidRPr="008D6B70">
              <w:t xml:space="preserve">in trial values for PD were used in </w:t>
            </w:r>
            <w:r w:rsidRPr="008D6B70">
              <w:t>sensitivity analys</w:t>
            </w:r>
            <w:r w:rsidR="00352AFD" w:rsidRPr="008D6B70">
              <w:t>e</w:t>
            </w:r>
            <w:r w:rsidRPr="008D6B70">
              <w:t xml:space="preserve">s. </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Cycle length</w:t>
            </w:r>
          </w:p>
        </w:tc>
        <w:tc>
          <w:tcPr>
            <w:tcW w:w="4288"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1 month.</w:t>
            </w:r>
          </w:p>
        </w:tc>
      </w:tr>
      <w:tr w:rsidR="00074D4A" w:rsidRPr="008D6B70" w:rsidTr="008D5B6A">
        <w:trPr>
          <w:tblHeader/>
        </w:trPr>
        <w:tc>
          <w:tcPr>
            <w:tcW w:w="712" w:type="pct"/>
            <w:shd w:val="clear" w:color="auto" w:fill="auto"/>
            <w:vAlign w:val="center"/>
          </w:tcPr>
          <w:p w:rsidR="00074D4A" w:rsidRPr="008D6B70" w:rsidRDefault="00074D4A">
            <w:pPr>
              <w:pStyle w:val="TableText"/>
              <w:keepNext w:val="0"/>
              <w:widowControl w:val="0"/>
              <w:rPr>
                <w:rFonts w:ascii="Times" w:eastAsia="Times New Roman" w:hAnsi="Times" w:cs="Times New Roman"/>
              </w:rPr>
            </w:pPr>
            <w:r w:rsidRPr="008D6B70">
              <w:t>Transition probabilities</w:t>
            </w:r>
          </w:p>
        </w:tc>
        <w:tc>
          <w:tcPr>
            <w:tcW w:w="4288" w:type="pct"/>
            <w:shd w:val="clear" w:color="auto" w:fill="auto"/>
            <w:vAlign w:val="center"/>
          </w:tcPr>
          <w:p w:rsidR="00C210DB" w:rsidRPr="008D6B70" w:rsidRDefault="00944253">
            <w:pPr>
              <w:pStyle w:val="TableText"/>
              <w:keepNext w:val="0"/>
              <w:widowControl w:val="0"/>
            </w:pPr>
            <w:r w:rsidRPr="008D6B70">
              <w:t>Partitioned</w:t>
            </w:r>
            <w:r w:rsidR="00AA4085" w:rsidRPr="008D6B70">
              <w:t xml:space="preserve"> survival model with patients in the progressed (alive) health state </w:t>
            </w:r>
            <w:r w:rsidR="00CA797A" w:rsidRPr="008D6B70">
              <w:t xml:space="preserve">estimated as </w:t>
            </w:r>
            <w:r w:rsidR="00AA4085" w:rsidRPr="008D6B70">
              <w:t xml:space="preserve">the residual of PFS and OS. </w:t>
            </w:r>
          </w:p>
          <w:p w:rsidR="00074D4A" w:rsidRPr="008D6B70" w:rsidRDefault="00074D4A">
            <w:pPr>
              <w:pStyle w:val="TableText"/>
              <w:keepNext w:val="0"/>
              <w:widowControl w:val="0"/>
            </w:pPr>
            <w:r w:rsidRPr="008D6B70">
              <w:t xml:space="preserve">During the trial time horizon: Based on Kaplan-Meier (KM) time to event estimates of time to progression and time to death as measured in the CASTOR and POLLUX trials. </w:t>
            </w:r>
            <w:r w:rsidR="00CA797A" w:rsidRPr="008D6B70">
              <w:t xml:space="preserve">Because </w:t>
            </w:r>
            <w:r w:rsidRPr="008D6B70">
              <w:t>the KM estimates become unstable as the number of patients at risk reduces, these estimates were used only up to the time point at which there were at least 20% of the patients remaining in the risk set.</w:t>
            </w:r>
            <w:r w:rsidR="008702A9">
              <w:t xml:space="preserve"> The PBAC noted that this may favour daratumumab, and that it may</w:t>
            </w:r>
            <w:r w:rsidR="008B4EAC">
              <w:t xml:space="preserve"> </w:t>
            </w:r>
            <w:r w:rsidR="008702A9">
              <w:t>be more appropriate to use the KM estimates to median follow-up.</w:t>
            </w:r>
          </w:p>
          <w:p w:rsidR="00074D4A" w:rsidRPr="008D6B70" w:rsidRDefault="00074D4A" w:rsidP="009138E0">
            <w:pPr>
              <w:pStyle w:val="TableText"/>
              <w:keepNext w:val="0"/>
              <w:widowControl w:val="0"/>
              <w:rPr>
                <w:rFonts w:eastAsia="Times New Roman" w:cs="Times New Roman"/>
              </w:rPr>
            </w:pPr>
            <w:r w:rsidRPr="008D6B70">
              <w:t>Beyond the trial time horizon: Transition probabilities beyond the trial time horizon were based on a parametric extrapolation of the trial time to event data. The choice of parametric function was based on statistical goodness of fit tests (Akaike information criterion [AIC] and Bayesian information criterion [BIC]) and the clinical plausibility</w:t>
            </w:r>
            <w:r w:rsidR="00CA797A" w:rsidRPr="008D6B70">
              <w:t xml:space="preserve"> (which relied on visual inspection</w:t>
            </w:r>
            <w:r w:rsidR="00352AFD" w:rsidRPr="008D6B70">
              <w:t xml:space="preserve"> to choose the extrapolated curve with </w:t>
            </w:r>
            <w:r w:rsidR="00CA797A" w:rsidRPr="008D6B70">
              <w:t>the “</w:t>
            </w:r>
            <w:r w:rsidR="00361776" w:rsidRPr="008D6B70">
              <w:t>leanest</w:t>
            </w:r>
            <w:r w:rsidR="00CA797A" w:rsidRPr="008D6B70">
              <w:t>” tail</w:t>
            </w:r>
            <w:r w:rsidR="00352AFD" w:rsidRPr="008D6B70">
              <w:t>; implying the curve that results in the lowest prolonged surviving cohort</w:t>
            </w:r>
            <w:r w:rsidR="00CA797A" w:rsidRPr="008D6B70">
              <w:t>)</w:t>
            </w:r>
            <w:r w:rsidRPr="008D6B70">
              <w:t>.</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The time point</w:t>
            </w:r>
            <w:r w:rsidR="00CA797A" w:rsidRPr="008D6B70">
              <w:rPr>
                <w:rFonts w:eastAsia="Times New Roman" w:cs="Times New Roman"/>
              </w:rPr>
              <w:t>s</w:t>
            </w:r>
            <w:r w:rsidRPr="008D6B70">
              <w:rPr>
                <w:rFonts w:eastAsia="Times New Roman" w:cs="Times New Roman"/>
              </w:rPr>
              <w:t xml:space="preserve"> (months) from which extrapolations began were as follows: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 xml:space="preserve">For </w:t>
            </w:r>
            <w:r w:rsidR="00CA797A" w:rsidRPr="008D6B70">
              <w:rPr>
                <w:rFonts w:eastAsia="Times New Roman" w:cs="Times New Roman"/>
              </w:rPr>
              <w:t>DBd vs Bd</w:t>
            </w:r>
            <w:r w:rsidRPr="008D6B70">
              <w:rPr>
                <w:rFonts w:eastAsia="Times New Roman" w:cs="Times New Roman"/>
              </w:rPr>
              <w:t xml:space="preserve">: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 xml:space="preserve">DBd = PFS 13.9, OS 13.8, TTD 13.8 months.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Bd = PFS 10.7, OS 15.2, TTD 5.3 months.</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 xml:space="preserve">For </w:t>
            </w:r>
            <w:r w:rsidR="00CA797A" w:rsidRPr="008D6B70">
              <w:rPr>
                <w:rFonts w:eastAsia="Times New Roman" w:cs="Times New Roman"/>
              </w:rPr>
              <w:t>DLd vs Ld</w:t>
            </w:r>
            <w:r w:rsidRPr="008D6B70">
              <w:rPr>
                <w:rFonts w:eastAsia="Times New Roman" w:cs="Times New Roman"/>
              </w:rPr>
              <w:t xml:space="preserve">: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DLd = PFS 18.7, OS 17.5; TTD 19.1 months.</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Ld = PFS 18.0, OS 18.5, TTD 17.9 months.</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 xml:space="preserve">A range of </w:t>
            </w:r>
            <w:r w:rsidR="00CA797A" w:rsidRPr="008D6B70">
              <w:rPr>
                <w:rFonts w:eastAsia="Times New Roman" w:cs="Times New Roman"/>
              </w:rPr>
              <w:t xml:space="preserve">different </w:t>
            </w:r>
            <w:r w:rsidRPr="008D6B70">
              <w:rPr>
                <w:rFonts w:eastAsia="Times New Roman" w:cs="Times New Roman"/>
              </w:rPr>
              <w:t xml:space="preserve">functional forms was used </w:t>
            </w:r>
            <w:r w:rsidR="00CA797A" w:rsidRPr="008D6B70">
              <w:rPr>
                <w:rFonts w:eastAsia="Times New Roman" w:cs="Times New Roman"/>
              </w:rPr>
              <w:t xml:space="preserve">to extrapolate </w:t>
            </w:r>
            <w:r w:rsidRPr="008D6B70">
              <w:rPr>
                <w:rFonts w:eastAsia="Times New Roman" w:cs="Times New Roman"/>
              </w:rPr>
              <w:t xml:space="preserve">the same outcomes </w:t>
            </w:r>
            <w:r w:rsidR="00CA797A" w:rsidRPr="008D6B70">
              <w:rPr>
                <w:rFonts w:eastAsia="Times New Roman" w:cs="Times New Roman"/>
              </w:rPr>
              <w:t xml:space="preserve">(e.g. PFS) across the different treatment regimens as follows: </w:t>
            </w:r>
          </w:p>
          <w:p w:rsidR="00074D4A" w:rsidRPr="008D6B70" w:rsidRDefault="00CA797A">
            <w:pPr>
              <w:pStyle w:val="TableText"/>
              <w:keepNext w:val="0"/>
              <w:widowControl w:val="0"/>
              <w:spacing w:before="0" w:after="0"/>
              <w:rPr>
                <w:rFonts w:eastAsia="Times New Roman" w:cs="Times New Roman"/>
              </w:rPr>
            </w:pPr>
            <w:r w:rsidRPr="008D6B70">
              <w:rPr>
                <w:rFonts w:eastAsia="Times New Roman" w:cs="Times New Roman"/>
              </w:rPr>
              <w:t>DBd vs Bd</w:t>
            </w:r>
            <w:r w:rsidR="00074D4A" w:rsidRPr="008D6B70">
              <w:rPr>
                <w:rFonts w:eastAsia="Times New Roman" w:cs="Times New Roman"/>
              </w:rPr>
              <w:t>:</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 xml:space="preserve">PFS to PD = Weibull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 xml:space="preserve">Survival to death = Exponential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 xml:space="preserve">TTD = DBd Exponential; Bd Weibull  </w:t>
            </w:r>
          </w:p>
          <w:p w:rsidR="00074D4A" w:rsidRPr="008D6B70" w:rsidRDefault="00CA797A">
            <w:pPr>
              <w:pStyle w:val="TableText"/>
              <w:keepNext w:val="0"/>
              <w:widowControl w:val="0"/>
              <w:spacing w:before="0" w:after="0"/>
              <w:rPr>
                <w:rFonts w:eastAsia="Times New Roman" w:cs="Times New Roman"/>
              </w:rPr>
            </w:pPr>
            <w:r w:rsidRPr="008D6B70">
              <w:rPr>
                <w:rFonts w:eastAsia="Times New Roman" w:cs="Times New Roman"/>
              </w:rPr>
              <w:t>DLd vs Ld</w:t>
            </w:r>
            <w:r w:rsidR="00074D4A" w:rsidRPr="008D6B70">
              <w:rPr>
                <w:rFonts w:eastAsia="Times New Roman" w:cs="Times New Roman"/>
              </w:rPr>
              <w:t>:</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 xml:space="preserve">PFS to PD = Exponential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 xml:space="preserve">Survival to death = Weibull </w:t>
            </w:r>
          </w:p>
          <w:p w:rsidR="00074D4A" w:rsidRPr="008D6B70" w:rsidRDefault="00074D4A">
            <w:pPr>
              <w:pStyle w:val="TableText"/>
              <w:keepNext w:val="0"/>
              <w:widowControl w:val="0"/>
              <w:spacing w:before="0" w:after="0"/>
              <w:rPr>
                <w:rFonts w:eastAsia="Times New Roman" w:cs="Times New Roman"/>
              </w:rPr>
            </w:pPr>
            <w:r w:rsidRPr="008D6B70">
              <w:rPr>
                <w:rFonts w:eastAsia="Times New Roman" w:cs="Times New Roman"/>
              </w:rPr>
              <w:t>•</w:t>
            </w:r>
            <w:r w:rsidRPr="008D6B70">
              <w:rPr>
                <w:rFonts w:eastAsia="Times New Roman" w:cs="Times New Roman"/>
              </w:rPr>
              <w:tab/>
              <w:t>TTD = DLd Exponential, Ld Exponential</w:t>
            </w:r>
          </w:p>
          <w:p w:rsidR="00CA797A" w:rsidRPr="008D6B70" w:rsidRDefault="00CA797A">
            <w:pPr>
              <w:pStyle w:val="TableText"/>
              <w:keepNext w:val="0"/>
              <w:widowControl w:val="0"/>
              <w:spacing w:before="0" w:after="0"/>
              <w:rPr>
                <w:rFonts w:ascii="Times" w:eastAsia="Times New Roman" w:hAnsi="Times" w:cs="Times New Roman"/>
              </w:rPr>
            </w:pPr>
            <w:r w:rsidRPr="008D6B70">
              <w:rPr>
                <w:rFonts w:eastAsia="Times New Roman" w:cs="Times New Roman"/>
              </w:rPr>
              <w:t xml:space="preserve">The </w:t>
            </w:r>
            <w:r w:rsidR="007C1A79" w:rsidRPr="008D6B70">
              <w:rPr>
                <w:rFonts w:eastAsia="Times New Roman" w:cs="Times New Roman"/>
              </w:rPr>
              <w:t xml:space="preserve">ESC considered that the </w:t>
            </w:r>
            <w:r w:rsidRPr="008D6B70">
              <w:rPr>
                <w:rFonts w:eastAsia="Times New Roman" w:cs="Times New Roman"/>
              </w:rPr>
              <w:t>use of these different functional forms was not justified in the submission.</w:t>
            </w:r>
          </w:p>
        </w:tc>
      </w:tr>
    </w:tbl>
    <w:p w:rsidR="00074D4A" w:rsidRPr="008D6B70" w:rsidRDefault="00074D4A" w:rsidP="003E37DD">
      <w:pPr>
        <w:pStyle w:val="TableFooter"/>
        <w:spacing w:after="0"/>
        <w:jc w:val="left"/>
        <w:rPr>
          <w:szCs w:val="18"/>
        </w:rPr>
      </w:pPr>
      <w:r w:rsidRPr="008D6B70">
        <w:rPr>
          <w:szCs w:val="18"/>
        </w:rPr>
        <w:t xml:space="preserve">Abbreviations: Bd, bortezomib-dexamethasone; DBd, daratumumab-bortezomib-dexamethasone; DLd, daratumumab-lenalidomide-dexamethasone; Ld, lenalidomide-dexamethasone; KM, Kaplan-Meier; OS, overall survival; PD, progressive disease; PFS, progression free survival; QALYs, Quality Adjusted Life Year, TTD, time to treatment discontinuation;  </w:t>
      </w:r>
    </w:p>
    <w:p w:rsidR="00074D4A" w:rsidRPr="008D6B70" w:rsidRDefault="00074D4A" w:rsidP="003E37DD">
      <w:pPr>
        <w:widowControl w:val="0"/>
        <w:spacing w:after="0" w:line="240" w:lineRule="auto"/>
        <w:contextualSpacing/>
        <w:jc w:val="left"/>
        <w:rPr>
          <w:rFonts w:ascii="Arial Narrow" w:hAnsi="Arial Narrow"/>
          <w:sz w:val="18"/>
          <w:szCs w:val="18"/>
        </w:rPr>
      </w:pPr>
      <w:r w:rsidRPr="008D6B70">
        <w:rPr>
          <w:rFonts w:ascii="Arial Narrow" w:hAnsi="Arial Narrow"/>
          <w:sz w:val="18"/>
          <w:szCs w:val="18"/>
        </w:rPr>
        <w:t xml:space="preserve">Source: Table 3.1, p.6 Section 3 of the submission. </w:t>
      </w:r>
    </w:p>
    <w:p w:rsidR="00074D4A" w:rsidRPr="008D6B70" w:rsidRDefault="00074D4A" w:rsidP="00074D4A">
      <w:pPr>
        <w:widowControl w:val="0"/>
        <w:spacing w:after="0" w:line="240" w:lineRule="auto"/>
        <w:ind w:left="1134" w:hanging="1134"/>
        <w:contextualSpacing/>
        <w:jc w:val="left"/>
        <w:rPr>
          <w:rFonts w:ascii="Arial Narrow" w:eastAsia="Times New Roman" w:hAnsi="Arial Narrow" w:cs="Arial"/>
          <w:snapToGrid w:val="0"/>
          <w:sz w:val="18"/>
          <w:szCs w:val="20"/>
          <w:lang w:val="en-AU"/>
        </w:rPr>
      </w:pPr>
    </w:p>
    <w:p w:rsidR="00C50F88" w:rsidRDefault="00C50F88" w:rsidP="00865EA5">
      <w:pPr>
        <w:pStyle w:val="ListParagraph"/>
        <w:numPr>
          <w:ilvl w:val="1"/>
          <w:numId w:val="108"/>
        </w:numPr>
        <w:ind w:left="709" w:hanging="709"/>
        <w:jc w:val="both"/>
      </w:pPr>
      <w:bookmarkStart w:id="28" w:name="_Hlk492627484"/>
      <w:r>
        <w:t>The ESC noted that the model applied a 20 year time horizon, which was considerably longer than the 10 year time horizon applied for carfilzomib. The PBAC previously considered</w:t>
      </w:r>
      <w:r w:rsidRPr="008D6B70">
        <w:t xml:space="preserve"> that </w:t>
      </w:r>
      <w:r>
        <w:t xml:space="preserve">applying a </w:t>
      </w:r>
      <w:r w:rsidRPr="008D6B70">
        <w:t xml:space="preserve">15 year time horizon </w:t>
      </w:r>
      <w:r>
        <w:t>to the carfilzomib</w:t>
      </w:r>
      <w:r w:rsidRPr="008D6B70">
        <w:t xml:space="preserve"> </w:t>
      </w:r>
      <w:r>
        <w:t xml:space="preserve">economic analysis </w:t>
      </w:r>
      <w:r w:rsidRPr="008D6B70">
        <w:t>“was not reasonable, given the patients’ age… applying a 10 year time horizon would be more appropriate” (p.19, carfilzomib PSD November 2016). The ESC considered that the same rationale would apply in the context of modelling the cost-effectiveness of the daratumumab based regimens, and that the use of a 10 year time horizon, as compared with the 20 year horizon presented in the submission, would better reflect the natural history of the disease and be consistent with the consideration of the evidence for carfilzomib.</w:t>
      </w:r>
      <w:r>
        <w:t xml:space="preserve"> The pre</w:t>
      </w:r>
      <w:r>
        <w:noBreakHyphen/>
        <w:t xml:space="preserve">PBAC response (p2) claimed that consistency with the carfilzomib model was not a valid rationale for a 10 year time horizon given that </w:t>
      </w:r>
      <w:r w:rsidRPr="00254C79">
        <w:t>DBd and DLd demonstrate superior efficacy to carfilzomib</w:t>
      </w:r>
      <w:r>
        <w:t xml:space="preserve">. However, the PBAC </w:t>
      </w:r>
      <w:r w:rsidR="00486505">
        <w:t xml:space="preserve">considered </w:t>
      </w:r>
      <w:r>
        <w:t xml:space="preserve">that as a survival benefit for DBd or DLd over Cd had not been demonstrated, </w:t>
      </w:r>
      <w:r w:rsidR="00486505">
        <w:t>this</w:t>
      </w:r>
      <w:r>
        <w:t xml:space="preserve"> was </w:t>
      </w:r>
      <w:r w:rsidR="00AE2AD5">
        <w:t xml:space="preserve">an </w:t>
      </w:r>
      <w:r>
        <w:t xml:space="preserve">insufficient justification for a longer time horizon. </w:t>
      </w:r>
      <w:r w:rsidR="00486505">
        <w:t>The PBAC further considered that w</w:t>
      </w:r>
      <w:r w:rsidR="00254C79" w:rsidRPr="00254C79">
        <w:t xml:space="preserve">hile some patients may be alive beyond 10 years and </w:t>
      </w:r>
      <w:r w:rsidR="00486505">
        <w:t xml:space="preserve">possibly </w:t>
      </w:r>
      <w:r w:rsidR="00254C79" w:rsidRPr="00254C79">
        <w:t xml:space="preserve">15 years, extrapolation of immature trial data to 20 years </w:t>
      </w:r>
      <w:r w:rsidR="00486505">
        <w:t xml:space="preserve">substantially </w:t>
      </w:r>
      <w:r w:rsidR="00254C79" w:rsidRPr="00254C79">
        <w:t xml:space="preserve">increases </w:t>
      </w:r>
      <w:r w:rsidR="00486505">
        <w:t xml:space="preserve">the uncertainty with the </w:t>
      </w:r>
      <w:r w:rsidR="00254C79" w:rsidRPr="00254C79">
        <w:t>cost effectiveness</w:t>
      </w:r>
      <w:r w:rsidR="00486505">
        <w:t xml:space="preserve"> estimates</w:t>
      </w:r>
      <w:r w:rsidR="00AE2AD5">
        <w:t xml:space="preserve"> (refer to Table </w:t>
      </w:r>
      <w:r w:rsidR="003F38E7">
        <w:t>15 below)</w:t>
      </w:r>
      <w:r w:rsidR="00254C79" w:rsidRPr="00254C79">
        <w:t xml:space="preserve">. </w:t>
      </w:r>
      <w:r w:rsidR="00486505">
        <w:t xml:space="preserve">It was considered </w:t>
      </w:r>
      <w:r w:rsidR="00737C23">
        <w:t xml:space="preserve">that </w:t>
      </w:r>
      <w:r w:rsidR="00486505">
        <w:t>t</w:t>
      </w:r>
      <w:r w:rsidR="00254C79" w:rsidRPr="00254C79">
        <w:t>he greatest confidence in establishing cost effectiveness will be derived by lim</w:t>
      </w:r>
      <w:r w:rsidR="00737C23">
        <w:t>iting the time horizon to 10 </w:t>
      </w:r>
      <w:r w:rsidR="00254C79" w:rsidRPr="00254C79">
        <w:t>years.</w:t>
      </w:r>
      <w:r w:rsidR="00486505">
        <w:t xml:space="preserve"> </w:t>
      </w:r>
    </w:p>
    <w:p w:rsidR="00DD18EA" w:rsidRPr="008D6B70" w:rsidRDefault="00643333" w:rsidP="00865EA5">
      <w:pPr>
        <w:pStyle w:val="ListParagraph"/>
        <w:numPr>
          <w:ilvl w:val="1"/>
          <w:numId w:val="108"/>
        </w:numPr>
        <w:ind w:left="709" w:hanging="709"/>
        <w:jc w:val="both"/>
      </w:pPr>
      <w:r w:rsidRPr="008D6B70">
        <w:t>The economic evaluation</w:t>
      </w:r>
      <w:r w:rsidR="00FC03B6" w:rsidRPr="008D6B70">
        <w:t xml:space="preserve"> </w:t>
      </w:r>
      <w:r w:rsidR="002260E9" w:rsidRPr="008D6B70">
        <w:t xml:space="preserve">for DBd vs Bd </w:t>
      </w:r>
      <w:r w:rsidR="001501B6" w:rsidRPr="008D6B70">
        <w:t xml:space="preserve">included a maximum of 8 cycles </w:t>
      </w:r>
      <w:r w:rsidR="00E33012" w:rsidRPr="008D6B70">
        <w:t xml:space="preserve">of treatment with Bd </w:t>
      </w:r>
      <w:r w:rsidR="001501B6" w:rsidRPr="008D6B70">
        <w:t xml:space="preserve">only and may not reflect </w:t>
      </w:r>
      <w:r w:rsidR="00E33012" w:rsidRPr="008D6B70">
        <w:t>utilisation</w:t>
      </w:r>
      <w:r w:rsidR="001501B6" w:rsidRPr="008D6B70">
        <w:t xml:space="preserve"> on the PBS.</w:t>
      </w:r>
      <w:r w:rsidR="00AE53E5" w:rsidRPr="008D6B70">
        <w:t xml:space="preserve"> The ESC noted the </w:t>
      </w:r>
      <w:r w:rsidR="00600F12" w:rsidRPr="008D6B70">
        <w:t xml:space="preserve">PSCR </w:t>
      </w:r>
      <w:r w:rsidR="00600F12">
        <w:t xml:space="preserve">argued that there would be </w:t>
      </w:r>
      <w:r w:rsidR="00AE53E5" w:rsidRPr="008D6B70">
        <w:t xml:space="preserve">no difference in clinical outcomes between the use of Bd in CASTOR and on the PBS </w:t>
      </w:r>
      <w:r w:rsidR="00600F12">
        <w:t>because</w:t>
      </w:r>
      <w:r w:rsidR="00AE53E5" w:rsidRPr="008D6B70">
        <w:t xml:space="preserve"> &lt;20% of </w:t>
      </w:r>
      <w:r w:rsidR="00600F12">
        <w:t xml:space="preserve">PBS </w:t>
      </w:r>
      <w:r w:rsidR="00AE53E5" w:rsidRPr="008D6B70">
        <w:t xml:space="preserve">patients received 11 cycles of Bd. The </w:t>
      </w:r>
      <w:r w:rsidR="00BD3040">
        <w:t xml:space="preserve">PBAC agreed with the </w:t>
      </w:r>
      <w:r w:rsidR="00AE53E5" w:rsidRPr="008D6B70">
        <w:t xml:space="preserve">ESC that the difference in the number of cycles was unlikely to result in a </w:t>
      </w:r>
      <w:r w:rsidR="00563D9B">
        <w:t xml:space="preserve">substantial </w:t>
      </w:r>
      <w:r w:rsidR="00AE53E5" w:rsidRPr="008D6B70">
        <w:t>difference in clinical outcomes</w:t>
      </w:r>
      <w:r w:rsidR="00A316DB">
        <w:t xml:space="preserve">, but would </w:t>
      </w:r>
      <w:r w:rsidR="00600F12">
        <w:t xml:space="preserve">also </w:t>
      </w:r>
      <w:r w:rsidR="00A316DB">
        <w:t xml:space="preserve">potentially </w:t>
      </w:r>
      <w:r w:rsidR="00AE53E5" w:rsidRPr="008D6B70">
        <w:t>reduce the costs associated with Bd in the economic model</w:t>
      </w:r>
      <w:r w:rsidR="00A316DB">
        <w:t xml:space="preserve">. The PBAC considered </w:t>
      </w:r>
      <w:r w:rsidR="00BD3040">
        <w:t xml:space="preserve">that the overall impact of </w:t>
      </w:r>
      <w:r w:rsidR="00A316DB">
        <w:t xml:space="preserve">assuming a maximum of 8 </w:t>
      </w:r>
      <w:r w:rsidR="001E0272">
        <w:t>cycles</w:t>
      </w:r>
      <w:r w:rsidR="00A316DB">
        <w:t xml:space="preserve"> of Bd</w:t>
      </w:r>
      <w:r w:rsidR="00BD3040">
        <w:t xml:space="preserve"> was unclear</w:t>
      </w:r>
      <w:r w:rsidR="00AE53E5" w:rsidRPr="008D6B70">
        <w:t>.</w:t>
      </w:r>
    </w:p>
    <w:bookmarkEnd w:id="28"/>
    <w:p w:rsidR="00074D4A" w:rsidRPr="008D6B70" w:rsidRDefault="00DF1C2D" w:rsidP="00865EA5">
      <w:pPr>
        <w:pStyle w:val="ListParagraph"/>
        <w:numPr>
          <w:ilvl w:val="1"/>
          <w:numId w:val="108"/>
        </w:numPr>
        <w:ind w:left="709" w:hanging="709"/>
        <w:jc w:val="both"/>
      </w:pPr>
      <w:r w:rsidRPr="008D6B70">
        <w:t xml:space="preserve">The key drivers of the model </w:t>
      </w:r>
      <w:r w:rsidR="00564CEF" w:rsidRPr="008D6B70">
        <w:t xml:space="preserve">for </w:t>
      </w:r>
      <w:r w:rsidRPr="008D6B70">
        <w:t>DBd vs. B</w:t>
      </w:r>
      <w:r w:rsidR="00143B30" w:rsidRPr="008D6B70">
        <w:t>d are presented in Table 11</w:t>
      </w:r>
      <w:r w:rsidRPr="008D6B70">
        <w:t>.</w:t>
      </w:r>
    </w:p>
    <w:p w:rsidR="00074D4A" w:rsidRPr="008D6B70" w:rsidRDefault="00074D4A" w:rsidP="00074D4A">
      <w:pPr>
        <w:pStyle w:val="TableHeading1"/>
      </w:pPr>
      <w:bookmarkStart w:id="29" w:name="_Hlk490053454"/>
      <w:r w:rsidRPr="008D6B70">
        <w:t>T</w:t>
      </w:r>
      <w:r w:rsidR="00143B30" w:rsidRPr="008D6B70">
        <w:t>able 11</w:t>
      </w:r>
      <w:r w:rsidRPr="008D6B70">
        <w:t xml:space="preserve">: Key drivers of the model in DBd vs Bd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5068"/>
        <w:gridCol w:w="2449"/>
      </w:tblGrid>
      <w:tr w:rsidR="00074D4A" w:rsidRPr="008D6B70" w:rsidTr="005C6DCA">
        <w:trPr>
          <w:tblHeader/>
        </w:trPr>
        <w:tc>
          <w:tcPr>
            <w:tcW w:w="862" w:type="pct"/>
            <w:shd w:val="clear" w:color="auto" w:fill="auto"/>
            <w:vAlign w:val="center"/>
          </w:tcPr>
          <w:p w:rsidR="00074D4A" w:rsidRPr="008D6B70" w:rsidRDefault="00074D4A" w:rsidP="00555AE1">
            <w:pPr>
              <w:pStyle w:val="TableText"/>
              <w:rPr>
                <w:b/>
              </w:rPr>
            </w:pPr>
            <w:r w:rsidRPr="008D6B70">
              <w:rPr>
                <w:b/>
              </w:rPr>
              <w:t>Description</w:t>
            </w:r>
          </w:p>
        </w:tc>
        <w:tc>
          <w:tcPr>
            <w:tcW w:w="2790" w:type="pct"/>
            <w:shd w:val="clear" w:color="auto" w:fill="auto"/>
            <w:vAlign w:val="center"/>
          </w:tcPr>
          <w:p w:rsidR="00074D4A" w:rsidRPr="008D6B70" w:rsidRDefault="00074D4A" w:rsidP="00555AE1">
            <w:pPr>
              <w:pStyle w:val="TableText"/>
              <w:rPr>
                <w:b/>
              </w:rPr>
            </w:pPr>
            <w:r w:rsidRPr="008D6B70">
              <w:rPr>
                <w:b/>
              </w:rPr>
              <w:t>Method/Value</w:t>
            </w:r>
          </w:p>
        </w:tc>
        <w:tc>
          <w:tcPr>
            <w:tcW w:w="1348" w:type="pct"/>
            <w:shd w:val="clear" w:color="auto" w:fill="auto"/>
            <w:vAlign w:val="center"/>
          </w:tcPr>
          <w:p w:rsidR="00074D4A" w:rsidRPr="008D6B70" w:rsidRDefault="00074D4A" w:rsidP="00555AE1">
            <w:pPr>
              <w:pStyle w:val="TableText"/>
              <w:rPr>
                <w:b/>
              </w:rPr>
            </w:pPr>
            <w:r w:rsidRPr="008D6B70">
              <w:rPr>
                <w:b/>
              </w:rPr>
              <w:t>Impact</w:t>
            </w:r>
          </w:p>
        </w:tc>
      </w:tr>
      <w:tr w:rsidR="00074D4A" w:rsidRPr="008D6B70" w:rsidTr="005C6DCA">
        <w:tc>
          <w:tcPr>
            <w:tcW w:w="862" w:type="pct"/>
            <w:shd w:val="clear" w:color="auto" w:fill="auto"/>
            <w:vAlign w:val="center"/>
          </w:tcPr>
          <w:p w:rsidR="00074D4A" w:rsidRPr="008D6B70" w:rsidRDefault="00074D4A" w:rsidP="00555AE1">
            <w:pPr>
              <w:pStyle w:val="TableText"/>
            </w:pPr>
            <w:r w:rsidRPr="008D6B70">
              <w:t>E</w:t>
            </w:r>
            <w:r w:rsidR="00723800" w:rsidRPr="008D6B70">
              <w:t>xtent of e</w:t>
            </w:r>
            <w:r w:rsidRPr="008D6B70">
              <w:t>xtrapolation</w:t>
            </w:r>
            <w:r w:rsidR="00C210DB" w:rsidRPr="008D6B70">
              <w:t xml:space="preserve"> of PFS</w:t>
            </w:r>
            <w:r w:rsidR="00723800" w:rsidRPr="008D6B70">
              <w:t>/OS</w:t>
            </w:r>
          </w:p>
        </w:tc>
        <w:tc>
          <w:tcPr>
            <w:tcW w:w="2790" w:type="pct"/>
            <w:shd w:val="clear" w:color="auto" w:fill="auto"/>
            <w:vAlign w:val="center"/>
          </w:tcPr>
          <w:p w:rsidR="00074D4A" w:rsidRPr="008D6B70" w:rsidRDefault="00074D4A" w:rsidP="00555AE1">
            <w:pPr>
              <w:pStyle w:val="TableText"/>
            </w:pPr>
            <w:r w:rsidRPr="008D6B70">
              <w:t xml:space="preserve">Treatment effect continued beyond </w:t>
            </w:r>
            <w:r w:rsidR="00C210DB" w:rsidRPr="008D6B70">
              <w:t>median follow-up of 13.3 months for up to 20</w:t>
            </w:r>
            <w:r w:rsidR="00DF1C2D" w:rsidRPr="008D6B70">
              <w:t xml:space="preserve"> years.</w:t>
            </w:r>
          </w:p>
        </w:tc>
        <w:tc>
          <w:tcPr>
            <w:tcW w:w="1348" w:type="pct"/>
            <w:shd w:val="clear" w:color="auto" w:fill="auto"/>
            <w:vAlign w:val="center"/>
          </w:tcPr>
          <w:p w:rsidR="00074D4A" w:rsidRPr="008D6B70" w:rsidRDefault="00074D4A" w:rsidP="00555AE1">
            <w:pPr>
              <w:pStyle w:val="TableText"/>
            </w:pPr>
            <w:r w:rsidRPr="008D6B70">
              <w:t xml:space="preserve">High, favours </w:t>
            </w:r>
            <w:r w:rsidR="009354DF" w:rsidRPr="008D6B70">
              <w:t>DBd</w:t>
            </w:r>
          </w:p>
        </w:tc>
      </w:tr>
      <w:tr w:rsidR="00B62C89" w:rsidRPr="008D6B70" w:rsidTr="005C6DCA">
        <w:tc>
          <w:tcPr>
            <w:tcW w:w="862" w:type="pct"/>
            <w:shd w:val="clear" w:color="auto" w:fill="auto"/>
            <w:vAlign w:val="center"/>
          </w:tcPr>
          <w:p w:rsidR="00B62C89" w:rsidRPr="000A7F1F" w:rsidRDefault="000A7F1F" w:rsidP="00555AE1">
            <w:pPr>
              <w:pStyle w:val="TableText"/>
              <w:rPr>
                <w:highlight w:val="black"/>
              </w:rPr>
            </w:pPr>
            <w:r>
              <w:rPr>
                <w:noProof/>
                <w:color w:val="000000"/>
                <w:highlight w:val="black"/>
              </w:rPr>
              <w:t xml:space="preserve">'''''''''''''''''''''' ''''''''''''''''''''''' ''''''' ''''''''''''''''''''''''''''''''''' </w:t>
            </w:r>
          </w:p>
        </w:tc>
        <w:tc>
          <w:tcPr>
            <w:tcW w:w="2790" w:type="pct"/>
            <w:shd w:val="clear" w:color="auto" w:fill="auto"/>
            <w:vAlign w:val="center"/>
          </w:tcPr>
          <w:p w:rsidR="00B62C89" w:rsidRPr="000A7F1F" w:rsidRDefault="000A7F1F" w:rsidP="00A316DB">
            <w:pPr>
              <w:pStyle w:val="TableText"/>
              <w:rPr>
                <w:highlight w:val="black"/>
              </w:rPr>
            </w:pPr>
            <w:r>
              <w:rPr>
                <w:noProof/>
                <w:color w:val="000000"/>
                <w:highlight w:val="black"/>
              </w:rPr>
              <w:t>'''''''''''''''''''''' '''' '''''''''''''''' '''''' ''''''''' ''''''''''''' '''' '''''''''''''''''''''''''''''''''' '''''''''''''''''''' '''''' '''''''''' ''''''''' '''''''' '''''' ''''''' '''''''''''''''''''' ''''' ''' ''''''''''' ''''''''''''''''''''''' ''''''''''''''''''''''' '''' ''''''' '''''''''' '''''''' '''''''''''''' ''''''''''''''''' ''''''''''' '''''''''''''''''''''' ''''' ''''''''''''''''''''' '''''''''''' '''''''</w:t>
            </w:r>
          </w:p>
        </w:tc>
        <w:tc>
          <w:tcPr>
            <w:tcW w:w="1348" w:type="pct"/>
            <w:shd w:val="clear" w:color="auto" w:fill="auto"/>
            <w:vAlign w:val="center"/>
          </w:tcPr>
          <w:p w:rsidR="00B62C89" w:rsidRPr="008D6B70" w:rsidRDefault="009354DF" w:rsidP="00A316DB">
            <w:pPr>
              <w:pStyle w:val="TableText"/>
            </w:pPr>
            <w:r w:rsidRPr="008D6B70">
              <w:t>High</w:t>
            </w:r>
          </w:p>
        </w:tc>
      </w:tr>
      <w:tr w:rsidR="00723800" w:rsidRPr="008D6B70" w:rsidTr="005C6DCA">
        <w:tc>
          <w:tcPr>
            <w:tcW w:w="862" w:type="pct"/>
            <w:shd w:val="clear" w:color="auto" w:fill="auto"/>
            <w:vAlign w:val="center"/>
          </w:tcPr>
          <w:p w:rsidR="00723800" w:rsidRPr="008D6B70" w:rsidRDefault="00723800" w:rsidP="00555AE1">
            <w:pPr>
              <w:pStyle w:val="TableText"/>
            </w:pPr>
            <w:r w:rsidRPr="008D6B70">
              <w:t>Discounting</w:t>
            </w:r>
          </w:p>
        </w:tc>
        <w:tc>
          <w:tcPr>
            <w:tcW w:w="2790" w:type="pct"/>
            <w:shd w:val="clear" w:color="auto" w:fill="auto"/>
            <w:vAlign w:val="center"/>
          </w:tcPr>
          <w:p w:rsidR="00723800" w:rsidRPr="008D6B70" w:rsidRDefault="009138E0" w:rsidP="00555AE1">
            <w:pPr>
              <w:pStyle w:val="TableText"/>
            </w:pPr>
            <w:r w:rsidRPr="008D6B70">
              <w:t>Annual rate of</w:t>
            </w:r>
            <w:r w:rsidR="00723800" w:rsidRPr="008D6B70">
              <w:t xml:space="preserve"> 5%</w:t>
            </w:r>
          </w:p>
        </w:tc>
        <w:tc>
          <w:tcPr>
            <w:tcW w:w="1348" w:type="pct"/>
            <w:shd w:val="clear" w:color="auto" w:fill="auto"/>
            <w:vAlign w:val="center"/>
          </w:tcPr>
          <w:p w:rsidR="00723800" w:rsidRPr="008D6B70" w:rsidRDefault="00723800" w:rsidP="009138E0">
            <w:pPr>
              <w:pStyle w:val="TableText"/>
            </w:pPr>
            <w:r w:rsidRPr="008D6B70">
              <w:t>High</w:t>
            </w:r>
          </w:p>
        </w:tc>
      </w:tr>
      <w:tr w:rsidR="00264CCF" w:rsidRPr="008D6B70" w:rsidTr="005C6DCA">
        <w:tc>
          <w:tcPr>
            <w:tcW w:w="862" w:type="pct"/>
            <w:shd w:val="clear" w:color="auto" w:fill="auto"/>
            <w:vAlign w:val="center"/>
          </w:tcPr>
          <w:p w:rsidR="00264CCF" w:rsidRPr="008D6B70" w:rsidRDefault="00264CCF" w:rsidP="00555AE1">
            <w:pPr>
              <w:pStyle w:val="TableText"/>
            </w:pPr>
            <w:r w:rsidRPr="008D6B70">
              <w:t>Time horizon</w:t>
            </w:r>
          </w:p>
        </w:tc>
        <w:tc>
          <w:tcPr>
            <w:tcW w:w="2790" w:type="pct"/>
            <w:shd w:val="clear" w:color="auto" w:fill="auto"/>
            <w:vAlign w:val="center"/>
          </w:tcPr>
          <w:p w:rsidR="00264CCF" w:rsidRPr="008D6B70" w:rsidRDefault="00264CCF" w:rsidP="00555AE1">
            <w:pPr>
              <w:pStyle w:val="TableText"/>
            </w:pPr>
            <w:r w:rsidRPr="008D6B70">
              <w:t xml:space="preserve">Model adopts a </w:t>
            </w:r>
            <w:r w:rsidR="008D5B6A" w:rsidRPr="008D6B70">
              <w:t>20-year</w:t>
            </w:r>
            <w:r w:rsidRPr="008D6B70">
              <w:t xml:space="preserve"> time horizon, which it supports with data from the PBS/</w:t>
            </w:r>
            <w:r w:rsidR="002E21E7" w:rsidRPr="008D6B70">
              <w:t xml:space="preserve">Australia Cancer Database </w:t>
            </w:r>
            <w:r w:rsidRPr="008D6B70">
              <w:t>to support patient longevity in this indication.</w:t>
            </w:r>
          </w:p>
        </w:tc>
        <w:tc>
          <w:tcPr>
            <w:tcW w:w="1348" w:type="pct"/>
            <w:shd w:val="clear" w:color="auto" w:fill="auto"/>
            <w:vAlign w:val="center"/>
          </w:tcPr>
          <w:p w:rsidR="00264CCF" w:rsidRPr="008D6B70" w:rsidRDefault="00264CCF" w:rsidP="00555AE1">
            <w:pPr>
              <w:pStyle w:val="TableText"/>
            </w:pPr>
            <w:r w:rsidRPr="008D6B70">
              <w:t>High, favours DBd</w:t>
            </w:r>
          </w:p>
        </w:tc>
      </w:tr>
    </w:tbl>
    <w:p w:rsidR="00074D4A" w:rsidRPr="008D6B70" w:rsidRDefault="00074D4A" w:rsidP="00D778F8">
      <w:pPr>
        <w:pStyle w:val="TableFooter"/>
      </w:pPr>
      <w:r w:rsidRPr="008D6B70">
        <w:t>Source:</w:t>
      </w:r>
      <w:r w:rsidR="003E37DD" w:rsidRPr="008D6B70">
        <w:t xml:space="preserve"> </w:t>
      </w:r>
      <w:r w:rsidRPr="008D6B70">
        <w:t xml:space="preserve"> compiled during the evaluation </w:t>
      </w:r>
      <w:bookmarkEnd w:id="29"/>
      <w:r w:rsidR="009354DF" w:rsidRPr="008D6B70">
        <w:t>Excel spreadshe</w:t>
      </w:r>
      <w:r w:rsidR="00A903EE" w:rsidRPr="008D6B70">
        <w:t>et</w:t>
      </w:r>
      <w:r w:rsidR="009354DF" w:rsidRPr="008D6B70">
        <w:t xml:space="preserve"> ‘RR MM – Model DBd vs Bd’</w:t>
      </w:r>
    </w:p>
    <w:p w:rsidR="00074D4A" w:rsidRPr="008D6B70" w:rsidRDefault="00895684" w:rsidP="00865EA5">
      <w:pPr>
        <w:pStyle w:val="ListParagraph"/>
        <w:numPr>
          <w:ilvl w:val="1"/>
          <w:numId w:val="108"/>
        </w:numPr>
        <w:ind w:left="709" w:hanging="709"/>
        <w:jc w:val="both"/>
      </w:pPr>
      <w:r w:rsidRPr="008D6B70">
        <w:t xml:space="preserve">The key drivers of the model </w:t>
      </w:r>
      <w:r w:rsidR="00564CEF" w:rsidRPr="008D6B70">
        <w:t xml:space="preserve">for </w:t>
      </w:r>
      <w:r w:rsidRPr="008D6B70">
        <w:t>DLd vs. Ld are presented</w:t>
      </w:r>
      <w:r w:rsidR="00143B30" w:rsidRPr="008D6B70">
        <w:t xml:space="preserve"> in Table 12</w:t>
      </w:r>
      <w:r w:rsidRPr="008D6B70">
        <w:t>.</w:t>
      </w:r>
    </w:p>
    <w:p w:rsidR="00074D4A" w:rsidRPr="008D6B70" w:rsidRDefault="00143B30" w:rsidP="00074D4A">
      <w:pPr>
        <w:pStyle w:val="TableHeading1"/>
      </w:pPr>
      <w:r w:rsidRPr="008D6B70">
        <w:t>Table 12</w:t>
      </w:r>
      <w:r w:rsidR="00074D4A" w:rsidRPr="008D6B70">
        <w:t>: Key drivers of the model in DLd vs. 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5"/>
        <w:gridCol w:w="5068"/>
        <w:gridCol w:w="2449"/>
      </w:tblGrid>
      <w:tr w:rsidR="00074D4A" w:rsidRPr="008D6B70" w:rsidTr="009354DF">
        <w:trPr>
          <w:tblHeader/>
        </w:trPr>
        <w:tc>
          <w:tcPr>
            <w:tcW w:w="862" w:type="pct"/>
            <w:shd w:val="clear" w:color="auto" w:fill="auto"/>
            <w:vAlign w:val="center"/>
          </w:tcPr>
          <w:p w:rsidR="00074D4A" w:rsidRPr="008D6B70" w:rsidRDefault="00074D4A" w:rsidP="00555AE1">
            <w:pPr>
              <w:pStyle w:val="TableText"/>
              <w:rPr>
                <w:b/>
              </w:rPr>
            </w:pPr>
            <w:r w:rsidRPr="008D6B70">
              <w:rPr>
                <w:b/>
              </w:rPr>
              <w:t>Description</w:t>
            </w:r>
          </w:p>
        </w:tc>
        <w:tc>
          <w:tcPr>
            <w:tcW w:w="2790" w:type="pct"/>
            <w:shd w:val="clear" w:color="auto" w:fill="auto"/>
            <w:vAlign w:val="center"/>
          </w:tcPr>
          <w:p w:rsidR="00074D4A" w:rsidRPr="008D6B70" w:rsidRDefault="00074D4A" w:rsidP="00555AE1">
            <w:pPr>
              <w:pStyle w:val="TableText"/>
              <w:rPr>
                <w:b/>
              </w:rPr>
            </w:pPr>
            <w:r w:rsidRPr="008D6B70">
              <w:rPr>
                <w:b/>
              </w:rPr>
              <w:t>Method/Value</w:t>
            </w:r>
          </w:p>
        </w:tc>
        <w:tc>
          <w:tcPr>
            <w:tcW w:w="1348" w:type="pct"/>
            <w:shd w:val="clear" w:color="auto" w:fill="auto"/>
            <w:vAlign w:val="center"/>
          </w:tcPr>
          <w:p w:rsidR="00074D4A" w:rsidRPr="008D6B70" w:rsidRDefault="00074D4A" w:rsidP="00555AE1">
            <w:pPr>
              <w:pStyle w:val="TableText"/>
              <w:rPr>
                <w:b/>
              </w:rPr>
            </w:pPr>
            <w:r w:rsidRPr="008D6B70">
              <w:rPr>
                <w:b/>
              </w:rPr>
              <w:t>Impact</w:t>
            </w:r>
          </w:p>
        </w:tc>
      </w:tr>
      <w:tr w:rsidR="00074D4A" w:rsidRPr="008D6B70" w:rsidTr="009354DF">
        <w:tc>
          <w:tcPr>
            <w:tcW w:w="862" w:type="pct"/>
            <w:shd w:val="clear" w:color="auto" w:fill="auto"/>
            <w:vAlign w:val="center"/>
          </w:tcPr>
          <w:p w:rsidR="00074D4A" w:rsidRPr="008D6B70" w:rsidRDefault="00723800" w:rsidP="00555AE1">
            <w:pPr>
              <w:pStyle w:val="TableText"/>
            </w:pPr>
            <w:r w:rsidRPr="008D6B70">
              <w:t>Extent of extrapolation of PFS/OS</w:t>
            </w:r>
          </w:p>
        </w:tc>
        <w:tc>
          <w:tcPr>
            <w:tcW w:w="2790" w:type="pct"/>
            <w:shd w:val="clear" w:color="auto" w:fill="auto"/>
            <w:vAlign w:val="center"/>
          </w:tcPr>
          <w:p w:rsidR="00074D4A" w:rsidRPr="008D6B70" w:rsidRDefault="00C210DB" w:rsidP="00555AE1">
            <w:pPr>
              <w:pStyle w:val="TableText"/>
            </w:pPr>
            <w:r w:rsidRPr="008D6B70">
              <w:t>Treatment effect continued beyond median follow-up of 17.3 months for up to 20 years</w:t>
            </w:r>
            <w:r w:rsidR="00074D4A" w:rsidRPr="008D6B70">
              <w:t xml:space="preserve">; </w:t>
            </w:r>
          </w:p>
        </w:tc>
        <w:tc>
          <w:tcPr>
            <w:tcW w:w="1348" w:type="pct"/>
            <w:shd w:val="clear" w:color="auto" w:fill="auto"/>
            <w:vAlign w:val="center"/>
          </w:tcPr>
          <w:p w:rsidR="00074D4A" w:rsidRPr="008D6B70" w:rsidRDefault="009354DF" w:rsidP="00555AE1">
            <w:pPr>
              <w:pStyle w:val="TableText"/>
            </w:pPr>
            <w:r w:rsidRPr="008D6B70">
              <w:t>High, favours DLd</w:t>
            </w:r>
          </w:p>
        </w:tc>
      </w:tr>
      <w:tr w:rsidR="00074D4A" w:rsidRPr="008D6B70" w:rsidTr="009354DF">
        <w:tc>
          <w:tcPr>
            <w:tcW w:w="862" w:type="pct"/>
            <w:shd w:val="clear" w:color="auto" w:fill="auto"/>
            <w:vAlign w:val="center"/>
          </w:tcPr>
          <w:p w:rsidR="00074D4A" w:rsidRPr="000A7F1F" w:rsidRDefault="000A7F1F" w:rsidP="00555AE1">
            <w:pPr>
              <w:pStyle w:val="TableText"/>
              <w:rPr>
                <w:highlight w:val="black"/>
              </w:rPr>
            </w:pPr>
            <w:r>
              <w:rPr>
                <w:noProof/>
                <w:color w:val="000000"/>
                <w:highlight w:val="black"/>
              </w:rPr>
              <w:t>'''''''''''''''''''''' ''''''''''''''''''''''' '''''' ''''''''''''''''''''''''''''''''''</w:t>
            </w:r>
          </w:p>
        </w:tc>
        <w:tc>
          <w:tcPr>
            <w:tcW w:w="2790" w:type="pct"/>
            <w:shd w:val="clear" w:color="auto" w:fill="auto"/>
            <w:vAlign w:val="center"/>
          </w:tcPr>
          <w:p w:rsidR="00074D4A" w:rsidRPr="000A7F1F" w:rsidRDefault="000A7F1F" w:rsidP="00A316DB">
            <w:pPr>
              <w:pStyle w:val="TableText"/>
              <w:rPr>
                <w:highlight w:val="black"/>
              </w:rPr>
            </w:pPr>
            <w:r>
              <w:rPr>
                <w:noProof/>
                <w:color w:val="000000"/>
                <w:highlight w:val="black"/>
              </w:rPr>
              <w:t>'''''''''''''''''''''' '''' '''''''''''''''' '''''' '''''''' ''''''''''''' ''' '''''''''''''''' ''''''''''''''''''''''''''''''''''' ''''''''''''''''''' ''''''' '''''''''' '''''''' '''''' ''''''''''''''''' ''''' ''' ''''''''''''''' '''''''''''''''''''''''' '''''''''''''''''''''' '''' '''''''' '''''''''' '''''''' '''''''''''''''' ''''''''''''''' '''''''''''' ''''''''''''''''''''' '''' '''''''''''''''''''' ''''''''''' '''''''</w:t>
            </w:r>
          </w:p>
        </w:tc>
        <w:tc>
          <w:tcPr>
            <w:tcW w:w="1348" w:type="pct"/>
            <w:shd w:val="clear" w:color="auto" w:fill="auto"/>
            <w:vAlign w:val="center"/>
          </w:tcPr>
          <w:p w:rsidR="00074D4A" w:rsidRPr="008D6B70" w:rsidRDefault="00A316DB" w:rsidP="00555AE1">
            <w:pPr>
              <w:pStyle w:val="TableText"/>
            </w:pPr>
            <w:r>
              <w:t>High</w:t>
            </w:r>
          </w:p>
        </w:tc>
      </w:tr>
      <w:tr w:rsidR="00723800" w:rsidRPr="008D6B70" w:rsidTr="009354DF">
        <w:tc>
          <w:tcPr>
            <w:tcW w:w="862" w:type="pct"/>
            <w:shd w:val="clear" w:color="auto" w:fill="auto"/>
            <w:vAlign w:val="center"/>
          </w:tcPr>
          <w:p w:rsidR="00723800" w:rsidRPr="008D6B70" w:rsidRDefault="00723800" w:rsidP="00723800">
            <w:pPr>
              <w:pStyle w:val="TableText"/>
            </w:pPr>
            <w:r w:rsidRPr="008D6B70">
              <w:t>Discounting</w:t>
            </w:r>
          </w:p>
        </w:tc>
        <w:tc>
          <w:tcPr>
            <w:tcW w:w="2790" w:type="pct"/>
            <w:shd w:val="clear" w:color="auto" w:fill="auto"/>
            <w:vAlign w:val="center"/>
          </w:tcPr>
          <w:p w:rsidR="00723800" w:rsidRPr="008D6B70" w:rsidRDefault="009138E0" w:rsidP="00723800">
            <w:pPr>
              <w:pStyle w:val="TableText"/>
            </w:pPr>
            <w:r w:rsidRPr="008D6B70">
              <w:t>Annual rate of</w:t>
            </w:r>
            <w:r w:rsidR="007E3076" w:rsidRPr="008D6B70">
              <w:t xml:space="preserve"> 5%.</w:t>
            </w:r>
          </w:p>
        </w:tc>
        <w:tc>
          <w:tcPr>
            <w:tcW w:w="1348" w:type="pct"/>
            <w:shd w:val="clear" w:color="auto" w:fill="auto"/>
            <w:vAlign w:val="center"/>
          </w:tcPr>
          <w:p w:rsidR="00723800" w:rsidRPr="008D6B70" w:rsidRDefault="007E3076" w:rsidP="009138E0">
            <w:pPr>
              <w:pStyle w:val="TableText"/>
            </w:pPr>
            <w:r w:rsidRPr="008D6B70">
              <w:t>High</w:t>
            </w:r>
          </w:p>
        </w:tc>
      </w:tr>
      <w:tr w:rsidR="00723800" w:rsidRPr="008D6B70" w:rsidTr="009354DF">
        <w:tc>
          <w:tcPr>
            <w:tcW w:w="862" w:type="pct"/>
            <w:shd w:val="clear" w:color="auto" w:fill="auto"/>
            <w:vAlign w:val="center"/>
          </w:tcPr>
          <w:p w:rsidR="00723800" w:rsidRPr="000A7F1F" w:rsidRDefault="000A7F1F" w:rsidP="00555AE1">
            <w:pPr>
              <w:pStyle w:val="TableText"/>
              <w:rPr>
                <w:highlight w:val="black"/>
              </w:rPr>
            </w:pPr>
            <w:r>
              <w:rPr>
                <w:noProof/>
                <w:color w:val="000000"/>
                <w:highlight w:val="black"/>
              </w:rPr>
              <w:t xml:space="preserve">''''''''''''''''''''''''''''' '''''''''' ''''''''''''''''''''''' </w:t>
            </w:r>
          </w:p>
        </w:tc>
        <w:tc>
          <w:tcPr>
            <w:tcW w:w="2790" w:type="pct"/>
            <w:shd w:val="clear" w:color="auto" w:fill="auto"/>
            <w:vAlign w:val="center"/>
          </w:tcPr>
          <w:p w:rsidR="00723800" w:rsidRPr="000A7F1F" w:rsidRDefault="000A7F1F" w:rsidP="00555AE1">
            <w:pPr>
              <w:pStyle w:val="TableText"/>
              <w:rPr>
                <w:highlight w:val="black"/>
              </w:rPr>
            </w:pPr>
            <w:r>
              <w:rPr>
                <w:noProof/>
                <w:color w:val="000000"/>
                <w:highlight w:val="black"/>
              </w:rPr>
              <w:t>'''''''''' ''''''''''''''''''''''''' '''''''''''''''' ''''''''''' ''''''''''''''''''''' '''''''''' ''''''' ''''''''''''''''''''' ''''''''''''''''''''''''' ''''''''''' '''''' '''''''''' '''''''' ''''''''''''''''''''''''''''''''''''''''</w:t>
            </w:r>
          </w:p>
        </w:tc>
        <w:tc>
          <w:tcPr>
            <w:tcW w:w="1348" w:type="pct"/>
            <w:shd w:val="clear" w:color="auto" w:fill="auto"/>
            <w:vAlign w:val="center"/>
          </w:tcPr>
          <w:p w:rsidR="00723800" w:rsidRPr="008D6B70" w:rsidRDefault="00723800" w:rsidP="00555AE1">
            <w:pPr>
              <w:pStyle w:val="TableText"/>
            </w:pPr>
            <w:r w:rsidRPr="008D6B70">
              <w:t>High, favours DLd</w:t>
            </w:r>
          </w:p>
        </w:tc>
      </w:tr>
      <w:tr w:rsidR="00870B09" w:rsidRPr="008D6B70" w:rsidTr="009354DF">
        <w:tc>
          <w:tcPr>
            <w:tcW w:w="862" w:type="pct"/>
            <w:shd w:val="clear" w:color="auto" w:fill="auto"/>
            <w:vAlign w:val="center"/>
          </w:tcPr>
          <w:p w:rsidR="00870B09" w:rsidRPr="008D6B70" w:rsidRDefault="00870B09" w:rsidP="00870B09">
            <w:pPr>
              <w:pStyle w:val="TableText"/>
            </w:pPr>
            <w:r w:rsidRPr="008D6B70">
              <w:t>Time horizon</w:t>
            </w:r>
          </w:p>
        </w:tc>
        <w:tc>
          <w:tcPr>
            <w:tcW w:w="2790" w:type="pct"/>
            <w:shd w:val="clear" w:color="auto" w:fill="auto"/>
            <w:vAlign w:val="center"/>
          </w:tcPr>
          <w:p w:rsidR="00870B09" w:rsidRPr="008D6B70" w:rsidRDefault="00870B09" w:rsidP="00870B09">
            <w:pPr>
              <w:pStyle w:val="TableText"/>
            </w:pPr>
            <w:r w:rsidRPr="008D6B70">
              <w:t>Model adopts a 20 year time horizon, which it supports with data from the PBS/ACD to support patient longevity in this indication.</w:t>
            </w:r>
          </w:p>
        </w:tc>
        <w:tc>
          <w:tcPr>
            <w:tcW w:w="1348" w:type="pct"/>
            <w:shd w:val="clear" w:color="auto" w:fill="auto"/>
            <w:vAlign w:val="center"/>
          </w:tcPr>
          <w:p w:rsidR="00870B09" w:rsidRPr="008D6B70" w:rsidRDefault="00870B09" w:rsidP="00870B09">
            <w:pPr>
              <w:pStyle w:val="TableText"/>
            </w:pPr>
            <w:r w:rsidRPr="008D6B70">
              <w:t>High, favours DLd</w:t>
            </w:r>
          </w:p>
        </w:tc>
      </w:tr>
    </w:tbl>
    <w:p w:rsidR="00074D4A" w:rsidRPr="008D6B70" w:rsidRDefault="00074D4A" w:rsidP="00D778F8">
      <w:pPr>
        <w:pStyle w:val="TableFooter"/>
        <w:rPr>
          <w:color w:val="4472C4" w:themeColor="accent5"/>
        </w:rPr>
      </w:pPr>
      <w:r w:rsidRPr="008D6B70">
        <w:t xml:space="preserve">Source: compiled during the evaluation </w:t>
      </w:r>
      <w:r w:rsidR="009354DF" w:rsidRPr="008D6B70">
        <w:t>Excel spreadsheet ‘RR MM – Model DLd vs Ld’</w:t>
      </w:r>
    </w:p>
    <w:p w:rsidR="001C0963" w:rsidRPr="008D6B70" w:rsidRDefault="00186903" w:rsidP="00865EA5">
      <w:pPr>
        <w:pStyle w:val="ListParagraph"/>
        <w:numPr>
          <w:ilvl w:val="1"/>
          <w:numId w:val="108"/>
        </w:numPr>
        <w:ind w:left="709" w:hanging="709"/>
        <w:jc w:val="both"/>
      </w:pPr>
      <w:r w:rsidRPr="008D6B70">
        <w:t xml:space="preserve">Two </w:t>
      </w:r>
      <w:r w:rsidR="00074D4A" w:rsidRPr="008D6B70">
        <w:t>stepped economic evaluation</w:t>
      </w:r>
      <w:r w:rsidRPr="008D6B70">
        <w:t>s</w:t>
      </w:r>
      <w:r w:rsidR="00074D4A" w:rsidRPr="008D6B70">
        <w:t xml:space="preserve"> </w:t>
      </w:r>
      <w:r w:rsidRPr="008D6B70">
        <w:t xml:space="preserve">were </w:t>
      </w:r>
      <w:r w:rsidR="00074D4A" w:rsidRPr="008D6B70">
        <w:t xml:space="preserve">presented. </w:t>
      </w:r>
    </w:p>
    <w:p w:rsidR="001C0963" w:rsidRPr="008D6B70" w:rsidRDefault="00074D4A" w:rsidP="00626E9C">
      <w:pPr>
        <w:pStyle w:val="ListParagraph"/>
        <w:numPr>
          <w:ilvl w:val="1"/>
          <w:numId w:val="137"/>
        </w:numPr>
        <w:ind w:left="1134" w:hanging="425"/>
        <w:jc w:val="both"/>
      </w:pPr>
      <w:r w:rsidRPr="008D6B70">
        <w:t xml:space="preserve">Step 1 </w:t>
      </w:r>
      <w:r w:rsidR="00264CCF" w:rsidRPr="008D6B70">
        <w:t>wa</w:t>
      </w:r>
      <w:r w:rsidRPr="008D6B70">
        <w:t>s a trial-based economic evaluation</w:t>
      </w:r>
      <w:r w:rsidR="001C0963" w:rsidRPr="008D6B70">
        <w:t>;</w:t>
      </w:r>
      <w:r w:rsidRPr="008D6B70">
        <w:t xml:space="preserve"> </w:t>
      </w:r>
    </w:p>
    <w:p w:rsidR="001C0963" w:rsidRPr="008D6B70" w:rsidRDefault="00074D4A" w:rsidP="00626E9C">
      <w:pPr>
        <w:pStyle w:val="ListParagraph"/>
        <w:numPr>
          <w:ilvl w:val="1"/>
          <w:numId w:val="137"/>
        </w:numPr>
        <w:ind w:left="1134" w:hanging="425"/>
        <w:jc w:val="both"/>
      </w:pPr>
      <w:r w:rsidRPr="008D6B70">
        <w:t>Step 2 extrapolated to a lifetime horizon</w:t>
      </w:r>
      <w:r w:rsidR="001C0963" w:rsidRPr="008D6B70">
        <w:t xml:space="preserve"> and</w:t>
      </w:r>
      <w:r w:rsidR="00DC2620" w:rsidRPr="008D6B70">
        <w:t xml:space="preserve"> included </w:t>
      </w:r>
      <w:r w:rsidR="000A7F1F">
        <w:rPr>
          <w:noProof/>
          <w:color w:val="000000"/>
          <w:highlight w:val="black"/>
        </w:rPr>
        <w:t>''''''''''''' '''''' '''''''''''''''''' ''''' '''''''''''''''''''''''''''''</w:t>
      </w:r>
      <w:r w:rsidR="001C0963" w:rsidRPr="008D6B70">
        <w:t>,</w:t>
      </w:r>
      <w:r w:rsidR="009B7C98" w:rsidRPr="008D6B70">
        <w:t xml:space="preserve"> </w:t>
      </w:r>
      <w:r w:rsidR="000A7F1F">
        <w:rPr>
          <w:noProof/>
          <w:color w:val="000000"/>
          <w:highlight w:val="black"/>
        </w:rPr>
        <w:t>''' ''''''''' '''''''''''''''''' '''''' ''''''''''''''''''''</w:t>
      </w:r>
      <w:r w:rsidR="00944253" w:rsidRPr="008D6B70">
        <w:t>, and</w:t>
      </w:r>
      <w:r w:rsidR="009B7C98" w:rsidRPr="008D6B70">
        <w:t xml:space="preserve"> </w:t>
      </w:r>
      <w:r w:rsidR="001C0963" w:rsidRPr="008D6B70">
        <w:t xml:space="preserve">a </w:t>
      </w:r>
      <w:r w:rsidR="000A7F1F">
        <w:rPr>
          <w:noProof/>
          <w:color w:val="000000"/>
          <w:highlight w:val="black"/>
        </w:rPr>
        <w:t>''''''''''''''''''''''''' '''''''''''''''' '''' ''''''' ''''''''' '''' ''''''''''''''''''''''</w:t>
      </w:r>
      <w:r w:rsidR="001C0963" w:rsidRPr="008D6B70">
        <w:t>;</w:t>
      </w:r>
      <w:r w:rsidR="00DC2620" w:rsidRPr="008D6B70">
        <w:t xml:space="preserve">  </w:t>
      </w:r>
    </w:p>
    <w:p w:rsidR="00D54DB1" w:rsidRPr="008D6B70" w:rsidRDefault="00074D4A" w:rsidP="00626E9C">
      <w:pPr>
        <w:pStyle w:val="ListParagraph"/>
        <w:numPr>
          <w:ilvl w:val="1"/>
          <w:numId w:val="137"/>
        </w:numPr>
        <w:ind w:left="1134" w:hanging="425"/>
        <w:jc w:val="both"/>
      </w:pPr>
      <w:r w:rsidRPr="008D6B70">
        <w:t>Step 3 represents the proportional use of daratumumab combination therapy in a world where it is reimbursed compared to when it is not (based on commissioned market research)</w:t>
      </w:r>
      <w:r w:rsidR="001C0963" w:rsidRPr="008D6B70">
        <w:t xml:space="preserve">, which </w:t>
      </w:r>
      <w:r w:rsidR="00E24E32" w:rsidRPr="008D6B70">
        <w:t>the PSCR argued was</w:t>
      </w:r>
      <w:r w:rsidRPr="008D6B70">
        <w:t xml:space="preserve"> </w:t>
      </w:r>
      <w:r w:rsidR="00E24E32" w:rsidRPr="008D6B70">
        <w:t>intend</w:t>
      </w:r>
      <w:r w:rsidR="001C0963" w:rsidRPr="008D6B70">
        <w:t>ed to</w:t>
      </w:r>
      <w:r w:rsidRPr="008D6B70">
        <w:t xml:space="preserve"> illustrate the impact of the “Multiple Myeloma Treatment Package” offered in </w:t>
      </w:r>
      <w:r w:rsidRPr="004A6619">
        <w:t>the submission</w:t>
      </w:r>
      <w:r w:rsidR="00E24E32" w:rsidRPr="004A6619">
        <w:t xml:space="preserve"> </w:t>
      </w:r>
      <w:r w:rsidR="000A7F1F">
        <w:rPr>
          <w:noProof/>
          <w:color w:val="000000"/>
          <w:highlight w:val="black"/>
        </w:rPr>
        <w:t>'''''' '''''' ''''''''' '''' '''''''''''''''''''''''</w:t>
      </w:r>
      <w:r w:rsidR="00E24E32" w:rsidRPr="004A6619">
        <w:t xml:space="preserve"> both</w:t>
      </w:r>
      <w:r w:rsidR="00E24E32" w:rsidRPr="008D6B70">
        <w:t xml:space="preserve"> in combination with daratumumab and alone</w:t>
      </w:r>
      <w:r w:rsidR="00235317" w:rsidRPr="008D6B70">
        <w:t>.</w:t>
      </w:r>
    </w:p>
    <w:p w:rsidR="006B5987" w:rsidRPr="004A6619" w:rsidRDefault="00D54DB1" w:rsidP="00865EA5">
      <w:pPr>
        <w:pStyle w:val="ListParagraph"/>
        <w:numPr>
          <w:ilvl w:val="1"/>
          <w:numId w:val="108"/>
        </w:numPr>
        <w:ind w:left="709" w:hanging="709"/>
        <w:jc w:val="both"/>
      </w:pPr>
      <w:r w:rsidRPr="008D6B70">
        <w:t xml:space="preserve">The ESC considered that the presentation of a proportional uptake analysis (Step 3) in the submission </w:t>
      </w:r>
      <w:r w:rsidR="00D57C2E" w:rsidRPr="008D6B70">
        <w:t>was</w:t>
      </w:r>
      <w:r w:rsidRPr="008D6B70">
        <w:t xml:space="preserve"> not </w:t>
      </w:r>
      <w:r w:rsidR="009B7C98" w:rsidRPr="008D6B70">
        <w:t>an appropriate</w:t>
      </w:r>
      <w:r w:rsidRPr="008D6B70">
        <w:t xml:space="preserve"> app</w:t>
      </w:r>
      <w:r w:rsidR="00E97443" w:rsidRPr="008D6B70">
        <w:t>roach to the assessment of cost</w:t>
      </w:r>
      <w:r w:rsidR="00E97443" w:rsidRPr="008D6B70">
        <w:noBreakHyphen/>
      </w:r>
      <w:r w:rsidRPr="008D6B70">
        <w:t>effectiveness</w:t>
      </w:r>
      <w:r w:rsidR="001C0963" w:rsidRPr="008D6B70">
        <w:t>,</w:t>
      </w:r>
      <w:r w:rsidRPr="008D6B70">
        <w:t xml:space="preserve"> which is the comparison of an intervention (DBd or DLd) and its appropriate comparator (Bd or Ld</w:t>
      </w:r>
      <w:r w:rsidR="006B5987">
        <w:t>, respectively</w:t>
      </w:r>
      <w:r w:rsidRPr="008D6B70">
        <w:t xml:space="preserve">) for a given cohort. </w:t>
      </w:r>
      <w:r w:rsidR="00BD3040">
        <w:t>The PBAC agreed with the ESC that a</w:t>
      </w:r>
      <w:r w:rsidR="00074D4A" w:rsidRPr="008D6B70">
        <w:t xml:space="preserve"> more appropriate comparison </w:t>
      </w:r>
      <w:r w:rsidR="00264CCF" w:rsidRPr="008D6B70">
        <w:t xml:space="preserve">would </w:t>
      </w:r>
      <w:r w:rsidR="00074D4A" w:rsidRPr="008D6B70">
        <w:t xml:space="preserve">be </w:t>
      </w:r>
      <w:r w:rsidR="00D57C2E" w:rsidRPr="008D6B70">
        <w:t xml:space="preserve">the </w:t>
      </w:r>
      <w:r w:rsidRPr="008D6B70">
        <w:t xml:space="preserve">assessment of </w:t>
      </w:r>
      <w:r w:rsidRPr="004A6619">
        <w:t>cost</w:t>
      </w:r>
      <w:r w:rsidR="00461C1B" w:rsidRPr="004A6619">
        <w:noBreakHyphen/>
      </w:r>
      <w:r w:rsidRPr="004A6619">
        <w:t xml:space="preserve">effectiveness based on </w:t>
      </w:r>
      <w:r w:rsidR="00074D4A" w:rsidRPr="004A6619">
        <w:t xml:space="preserve">100% use of the alternatives </w:t>
      </w:r>
      <w:r w:rsidRPr="004A6619">
        <w:t>(</w:t>
      </w:r>
      <w:r w:rsidR="00074D4A" w:rsidRPr="004A6619">
        <w:t>DBd vs Bd and DLd vs Ld</w:t>
      </w:r>
      <w:r w:rsidRPr="004A6619">
        <w:t>)</w:t>
      </w:r>
      <w:r w:rsidR="001C0963" w:rsidRPr="004A6619">
        <w:t>.</w:t>
      </w:r>
      <w:r w:rsidR="006B5987" w:rsidRPr="004A6619">
        <w:t xml:space="preserve"> </w:t>
      </w:r>
    </w:p>
    <w:p w:rsidR="00074D4A" w:rsidRPr="004A6619" w:rsidRDefault="00DC2620" w:rsidP="00865EA5">
      <w:pPr>
        <w:pStyle w:val="ListParagraph"/>
        <w:numPr>
          <w:ilvl w:val="1"/>
          <w:numId w:val="108"/>
        </w:numPr>
        <w:ind w:left="709" w:hanging="709"/>
        <w:jc w:val="both"/>
      </w:pPr>
      <w:r w:rsidRPr="004A6619">
        <w:t xml:space="preserve">The ESC noted that </w:t>
      </w:r>
      <w:r w:rsidR="00186903" w:rsidRPr="004A6619">
        <w:t xml:space="preserve">both </w:t>
      </w:r>
      <w:r w:rsidRPr="004A6619">
        <w:t>Step 2</w:t>
      </w:r>
      <w:r w:rsidR="00186903" w:rsidRPr="004A6619">
        <w:t xml:space="preserve"> and Step 3 (base case)</w:t>
      </w:r>
      <w:r w:rsidRPr="004A6619">
        <w:t xml:space="preserve"> also included</w:t>
      </w:r>
      <w:r w:rsidR="009B7C98" w:rsidRPr="004A6619">
        <w:t xml:space="preserve"> the</w:t>
      </w:r>
      <w:r w:rsidRPr="004A6619">
        <w:t xml:space="preserve"> </w:t>
      </w:r>
      <w:r w:rsidR="009B7C98" w:rsidRPr="004A6619">
        <w:t xml:space="preserve">impact of proposed </w:t>
      </w:r>
      <w:r w:rsidR="000A7F1F">
        <w:rPr>
          <w:noProof/>
          <w:color w:val="000000"/>
          <w:highlight w:val="black"/>
        </w:rPr>
        <w:t>''''''''''''''</w:t>
      </w:r>
      <w:r w:rsidR="009B7C98" w:rsidRPr="004A6619">
        <w:t xml:space="preserve"> for daratumumab, the proposed </w:t>
      </w:r>
      <w:r w:rsidR="000A7F1F">
        <w:rPr>
          <w:noProof/>
          <w:color w:val="000000"/>
          <w:highlight w:val="black"/>
        </w:rPr>
        <w:t>''''''''' '''''''''''''''''''' '''''' '''''''''''''''''''''</w:t>
      </w:r>
      <w:r w:rsidR="009B7C98" w:rsidRPr="004A6619">
        <w:t xml:space="preserve">, and the </w:t>
      </w:r>
      <w:r w:rsidR="000A7F1F">
        <w:rPr>
          <w:noProof/>
          <w:color w:val="000000"/>
          <w:highlight w:val="black"/>
        </w:rPr>
        <w:t>'''''''''''''''' '''''''''''''' ''''''''' ''''''''''''''''' ''''' ''''''''''''''''''''''</w:t>
      </w:r>
      <w:r w:rsidR="009B7C98" w:rsidRPr="004A6619">
        <w:t xml:space="preserve">.  </w:t>
      </w:r>
      <w:r w:rsidR="00BD3040" w:rsidRPr="004A6619">
        <w:t>The PBAC noted that the pre-PBAC response indic</w:t>
      </w:r>
      <w:r w:rsidR="007848B9" w:rsidRPr="004A6619">
        <w:t>a</w:t>
      </w:r>
      <w:r w:rsidR="00BD3040" w:rsidRPr="004A6619">
        <w:t xml:space="preserve">ted that the </w:t>
      </w:r>
      <w:r w:rsidR="000A7F1F">
        <w:rPr>
          <w:noProof/>
          <w:color w:val="000000"/>
          <w:highlight w:val="black"/>
        </w:rPr>
        <w:t>''''''''' '''''''''''''''''' ''''''''''''''' '''''' '''''''''''''''''''''''</w:t>
      </w:r>
      <w:r w:rsidR="00BD3040" w:rsidRPr="004A6619">
        <w:t xml:space="preserve"> would remain if only DBd were to be listed</w:t>
      </w:r>
      <w:r w:rsidR="006B5987" w:rsidRPr="004A6619">
        <w:t xml:space="preserve">, and therefore considered inclusion of the </w:t>
      </w:r>
      <w:r w:rsidR="000A7F1F">
        <w:rPr>
          <w:noProof/>
          <w:color w:val="000000"/>
          <w:highlight w:val="black"/>
        </w:rPr>
        <w:t>''''''''''''' '''''''' '''''''''' '''''''''''''''''</w:t>
      </w:r>
      <w:r w:rsidR="006B5987" w:rsidRPr="004A6619">
        <w:t xml:space="preserve"> for daratumumab and bortezomib, respectively, may be reasonable as both of these are supplied by the sponsor.</w:t>
      </w:r>
      <w:r w:rsidR="00BD3040" w:rsidRPr="004A6619">
        <w:t xml:space="preserve"> </w:t>
      </w:r>
      <w:r w:rsidR="006B5987" w:rsidRPr="004A6619">
        <w:t xml:space="preserve">However, the PBAC noted that the </w:t>
      </w:r>
      <w:r w:rsidR="000A7F1F">
        <w:rPr>
          <w:noProof/>
          <w:color w:val="000000"/>
          <w:highlight w:val="black"/>
        </w:rPr>
        <w:t xml:space="preserve">''''''''' ''''''''''''''''''' ''''' ''''''''''''''''''''''''' '''''''' '''''' ''''''''''''''''''' ''''''' '''''''''' ''''''' ''''' '''''''''''''''''''''' '''''''' </w:t>
      </w:r>
      <w:r w:rsidR="006B5987" w:rsidRPr="004A6619">
        <w:t xml:space="preserve">therefore </w:t>
      </w:r>
      <w:r w:rsidR="00BD3040" w:rsidRPr="004A6619">
        <w:t xml:space="preserve">agreed with the </w:t>
      </w:r>
      <w:r w:rsidR="00186903" w:rsidRPr="004A6619">
        <w:t xml:space="preserve">ESC that </w:t>
      </w:r>
      <w:r w:rsidR="000A7F1F">
        <w:rPr>
          <w:noProof/>
          <w:color w:val="000000"/>
          <w:highlight w:val="black"/>
        </w:rPr>
        <w:t>''''''' ''''''''' ''''''''''''''''''' '''''' '''''''''''''''''''''''''</w:t>
      </w:r>
      <w:r w:rsidR="00186903" w:rsidRPr="004A6619">
        <w:t xml:space="preserve"> should not be included in the </w:t>
      </w:r>
      <w:r w:rsidR="006B5987" w:rsidRPr="004A6619">
        <w:t xml:space="preserve">economic </w:t>
      </w:r>
      <w:r w:rsidR="00186903" w:rsidRPr="004A6619">
        <w:t>analysis.</w:t>
      </w:r>
    </w:p>
    <w:p w:rsidR="00AC61C2" w:rsidRPr="008D6B70" w:rsidRDefault="00AC61C2" w:rsidP="00865EA5">
      <w:pPr>
        <w:pStyle w:val="ListParagraph"/>
        <w:numPr>
          <w:ilvl w:val="1"/>
          <w:numId w:val="108"/>
        </w:numPr>
        <w:ind w:left="709" w:hanging="709"/>
        <w:jc w:val="both"/>
      </w:pPr>
      <w:r w:rsidRPr="008D6B70">
        <w:t xml:space="preserve">The </w:t>
      </w:r>
      <w:r>
        <w:t>PBAC</w:t>
      </w:r>
      <w:r w:rsidRPr="008D6B70">
        <w:t xml:space="preserve"> therefore considered that the most appropriate approach for the base case </w:t>
      </w:r>
      <w:r>
        <w:t xml:space="preserve">analysis </w:t>
      </w:r>
      <w:r w:rsidRPr="008D6B70">
        <w:t xml:space="preserve">would be to use Step 2 </w:t>
      </w:r>
      <w:r w:rsidRPr="00552997">
        <w:t xml:space="preserve">without the </w:t>
      </w:r>
      <w:r w:rsidR="000A7F1F">
        <w:rPr>
          <w:noProof/>
          <w:color w:val="000000"/>
          <w:highlight w:val="black"/>
        </w:rPr>
        <w:t>''''''''' ''''''''''''''''''' '''''' ''''''''''''''''''''''</w:t>
      </w:r>
      <w:r w:rsidRPr="008D6B70">
        <w:t xml:space="preserve">. The ESC also advised that the </w:t>
      </w:r>
      <w:r>
        <w:t xml:space="preserve">modelled </w:t>
      </w:r>
      <w:r w:rsidRPr="008D6B70">
        <w:t>changes</w:t>
      </w:r>
      <w:r>
        <w:t xml:space="preserve"> should be provided</w:t>
      </w:r>
      <w:r w:rsidRPr="008D6B70">
        <w:t xml:space="preserve"> as individual steps, rather than bundled together in Step 2.</w:t>
      </w:r>
    </w:p>
    <w:p w:rsidR="00074D4A" w:rsidRPr="008D6B70" w:rsidRDefault="00074D4A" w:rsidP="00865EA5">
      <w:pPr>
        <w:pStyle w:val="ListParagraph"/>
        <w:numPr>
          <w:ilvl w:val="1"/>
          <w:numId w:val="108"/>
        </w:numPr>
        <w:ind w:left="709" w:hanging="709"/>
        <w:jc w:val="both"/>
      </w:pPr>
      <w:r w:rsidRPr="008D6B70">
        <w:t>The results of the stepped economic eval</w:t>
      </w:r>
      <w:r w:rsidR="00143B30" w:rsidRPr="008D6B70">
        <w:t>uation are presented in Table</w:t>
      </w:r>
      <w:r w:rsidR="00D35337" w:rsidRPr="008D6B70">
        <w:t>s</w:t>
      </w:r>
      <w:r w:rsidR="006B5987">
        <w:t> </w:t>
      </w:r>
      <w:r w:rsidR="00143B30" w:rsidRPr="008D6B70">
        <w:t>13</w:t>
      </w:r>
      <w:r w:rsidR="001C0963" w:rsidRPr="008D6B70">
        <w:noBreakHyphen/>
      </w:r>
      <w:r w:rsidR="001A117E" w:rsidRPr="008D6B70">
        <w:t>14</w:t>
      </w:r>
      <w:r w:rsidRPr="008D6B70">
        <w:t xml:space="preserve">. </w:t>
      </w:r>
      <w:r w:rsidR="00145376" w:rsidRPr="008D6B70">
        <w:t>These estimat</w:t>
      </w:r>
      <w:r w:rsidR="004C7574" w:rsidRPr="008D6B70">
        <w:t>es include</w:t>
      </w:r>
      <w:r w:rsidR="00145376" w:rsidRPr="008D6B70">
        <w:t xml:space="preserve"> </w:t>
      </w:r>
      <w:r w:rsidR="006B5987">
        <w:t>corrections</w:t>
      </w:r>
      <w:r w:rsidR="006B5987" w:rsidRPr="008D6B70">
        <w:t xml:space="preserve"> </w:t>
      </w:r>
      <w:r w:rsidR="00145376" w:rsidRPr="008D6B70">
        <w:t>provided in the PSCR t</w:t>
      </w:r>
      <w:r w:rsidR="006B5987">
        <w:t>hat</w:t>
      </w:r>
      <w:r w:rsidR="00145376" w:rsidRPr="008D6B70">
        <w:t xml:space="preserve"> </w:t>
      </w:r>
      <w:r w:rsidR="004C7574" w:rsidRPr="008D6B70">
        <w:t>ensure</w:t>
      </w:r>
      <w:r w:rsidR="006B5987">
        <w:t>d</w:t>
      </w:r>
      <w:r w:rsidR="004C7574" w:rsidRPr="008D6B70">
        <w:t xml:space="preserve"> that treatment exposure </w:t>
      </w:r>
      <w:r w:rsidR="00671622">
        <w:t xml:space="preserve">did not exceed </w:t>
      </w:r>
      <w:r w:rsidR="004C7574" w:rsidRPr="008D6B70">
        <w:t xml:space="preserve">PFS, and </w:t>
      </w:r>
      <w:r w:rsidR="00AC61C2">
        <w:t>that the correct dose intensity was used for Ld in the</w:t>
      </w:r>
      <w:r w:rsidR="004C7574" w:rsidRPr="008D6B70">
        <w:t xml:space="preserve"> DLd model. While the</w:t>
      </w:r>
      <w:r w:rsidR="00D57C2E" w:rsidRPr="008D6B70">
        <w:t xml:space="preserve"> impact of the</w:t>
      </w:r>
      <w:r w:rsidR="004C7574" w:rsidRPr="008D6B70">
        <w:t>se changes w</w:t>
      </w:r>
      <w:r w:rsidR="00D57C2E" w:rsidRPr="008D6B70">
        <w:t>as</w:t>
      </w:r>
      <w:r w:rsidR="004C7574" w:rsidRPr="008D6B70">
        <w:t xml:space="preserve"> verified, they </w:t>
      </w:r>
      <w:r w:rsidR="00397714" w:rsidRPr="008D6B70">
        <w:t>did</w:t>
      </w:r>
      <w:r w:rsidR="00D57C2E" w:rsidRPr="008D6B70">
        <w:t xml:space="preserve"> </w:t>
      </w:r>
      <w:r w:rsidR="00397714" w:rsidRPr="008D6B70">
        <w:t xml:space="preserve">not address </w:t>
      </w:r>
      <w:r w:rsidR="004C7574" w:rsidRPr="008D6B70">
        <w:t xml:space="preserve">the structural and parameter </w:t>
      </w:r>
      <w:r w:rsidR="00D57C2E" w:rsidRPr="008D6B70">
        <w:t>uncertainties in the cost-effectiveness analysis as</w:t>
      </w:r>
      <w:r w:rsidR="004C7574" w:rsidRPr="008D6B70">
        <w:t xml:space="preserve"> identified by the ESC. Accordingly, the robustness of the model estimates w</w:t>
      </w:r>
      <w:r w:rsidR="00D57C2E" w:rsidRPr="008D6B70">
        <w:t>as</w:t>
      </w:r>
      <w:r w:rsidR="004C7574" w:rsidRPr="008D6B70">
        <w:t xml:space="preserve"> </w:t>
      </w:r>
      <w:r w:rsidR="00D57C2E" w:rsidRPr="008D6B70">
        <w:t xml:space="preserve">assessed </w:t>
      </w:r>
      <w:r w:rsidR="004C7574" w:rsidRPr="008D6B70">
        <w:t xml:space="preserve">based on changes from Step 2 as </w:t>
      </w:r>
      <w:r w:rsidR="00397714" w:rsidRPr="008D6B70">
        <w:t>contained in the submission</w:t>
      </w:r>
      <w:r w:rsidR="004C7574" w:rsidRPr="008D6B70">
        <w:t>.</w:t>
      </w:r>
    </w:p>
    <w:p w:rsidR="00074D4A" w:rsidRPr="008D6B70" w:rsidRDefault="00143B30" w:rsidP="00074D4A">
      <w:pPr>
        <w:pStyle w:val="TableHeading1"/>
      </w:pPr>
      <w:r w:rsidRPr="008D6B70">
        <w:t>Table 13</w:t>
      </w:r>
      <w:r w:rsidR="00074D4A" w:rsidRPr="008D6B70">
        <w:t>: Results of the stepped economic evaluation</w:t>
      </w:r>
      <w:r w:rsidR="002C49CC" w:rsidRPr="008D6B70">
        <w:t>, DBd vs. Bd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92"/>
        <w:gridCol w:w="1089"/>
        <w:gridCol w:w="1089"/>
        <w:gridCol w:w="1089"/>
        <w:gridCol w:w="848"/>
        <w:gridCol w:w="850"/>
        <w:gridCol w:w="850"/>
        <w:gridCol w:w="1335"/>
      </w:tblGrid>
      <w:tr w:rsidR="00AC61C2" w:rsidRPr="008D6B70" w:rsidTr="00EC0787">
        <w:trPr>
          <w:cantSplit/>
          <w:tblHeader/>
        </w:trPr>
        <w:tc>
          <w:tcPr>
            <w:tcW w:w="1132" w:type="pct"/>
            <w:vMerge w:val="restart"/>
            <w:shd w:val="clear" w:color="auto" w:fill="FFFFFF" w:themeFill="background1"/>
          </w:tcPr>
          <w:p w:rsidR="00AC61C2" w:rsidRPr="008D6B70" w:rsidRDefault="00AC61C2" w:rsidP="00555AE1">
            <w:pPr>
              <w:pStyle w:val="TableText"/>
              <w:widowControl w:val="0"/>
              <w:spacing w:before="0" w:after="0"/>
              <w:rPr>
                <w:b/>
                <w:szCs w:val="20"/>
              </w:rPr>
            </w:pPr>
            <w:r>
              <w:rPr>
                <w:b/>
                <w:szCs w:val="20"/>
              </w:rPr>
              <w:t>Step</w:t>
            </w:r>
          </w:p>
        </w:tc>
        <w:tc>
          <w:tcPr>
            <w:tcW w:w="1766" w:type="pct"/>
            <w:gridSpan w:val="3"/>
            <w:shd w:val="clear" w:color="auto" w:fill="FFFFFF" w:themeFill="background1"/>
          </w:tcPr>
          <w:p w:rsidR="00AC61C2" w:rsidRPr="008D6B70" w:rsidRDefault="00AC61C2" w:rsidP="00AC61C2">
            <w:pPr>
              <w:pStyle w:val="TableText"/>
              <w:widowControl w:val="0"/>
              <w:spacing w:before="0" w:after="0"/>
              <w:jc w:val="center"/>
              <w:rPr>
                <w:b/>
                <w:szCs w:val="20"/>
              </w:rPr>
            </w:pPr>
            <w:r w:rsidRPr="008D6B70">
              <w:rPr>
                <w:b/>
                <w:szCs w:val="20"/>
              </w:rPr>
              <w:t>Costs</w:t>
            </w:r>
          </w:p>
        </w:tc>
        <w:tc>
          <w:tcPr>
            <w:tcW w:w="1378" w:type="pct"/>
            <w:gridSpan w:val="3"/>
            <w:shd w:val="clear" w:color="auto" w:fill="FFFFFF" w:themeFill="background1"/>
          </w:tcPr>
          <w:p w:rsidR="00AC61C2" w:rsidRPr="008D6B70" w:rsidRDefault="00AC61C2" w:rsidP="00AC61C2">
            <w:pPr>
              <w:pStyle w:val="TableText"/>
              <w:widowControl w:val="0"/>
              <w:spacing w:before="0" w:after="0"/>
              <w:jc w:val="center"/>
              <w:rPr>
                <w:b/>
                <w:szCs w:val="20"/>
              </w:rPr>
            </w:pPr>
            <w:r w:rsidRPr="008D6B70">
              <w:rPr>
                <w:b/>
                <w:szCs w:val="20"/>
              </w:rPr>
              <w:t>QALY</w:t>
            </w:r>
            <w:r>
              <w:rPr>
                <w:b/>
                <w:szCs w:val="20"/>
              </w:rPr>
              <w:t>s</w:t>
            </w:r>
          </w:p>
        </w:tc>
        <w:tc>
          <w:tcPr>
            <w:tcW w:w="723" w:type="pct"/>
            <w:vMerge w:val="restart"/>
            <w:shd w:val="clear" w:color="auto" w:fill="FFFFFF" w:themeFill="background1"/>
          </w:tcPr>
          <w:p w:rsidR="00AC61C2" w:rsidRPr="008D6B70" w:rsidRDefault="00EC0787" w:rsidP="00EC0787">
            <w:pPr>
              <w:pStyle w:val="TableText"/>
              <w:widowControl w:val="0"/>
              <w:spacing w:before="0" w:after="0"/>
              <w:jc w:val="center"/>
              <w:rPr>
                <w:b/>
                <w:szCs w:val="20"/>
              </w:rPr>
            </w:pPr>
            <w:r>
              <w:rPr>
                <w:b/>
                <w:szCs w:val="20"/>
              </w:rPr>
              <w:t>Cost</w:t>
            </w:r>
            <w:r w:rsidR="00AC61C2" w:rsidRPr="008D6B70">
              <w:rPr>
                <w:b/>
                <w:szCs w:val="20"/>
              </w:rPr>
              <w:t xml:space="preserve"> per QALY gained</w:t>
            </w:r>
          </w:p>
        </w:tc>
      </w:tr>
      <w:tr w:rsidR="00AC61C2" w:rsidRPr="008D6B70" w:rsidTr="00EC0787">
        <w:trPr>
          <w:cantSplit/>
        </w:trPr>
        <w:tc>
          <w:tcPr>
            <w:tcW w:w="1132" w:type="pct"/>
            <w:vMerge/>
            <w:shd w:val="clear" w:color="auto" w:fill="FFFFFF" w:themeFill="background1"/>
          </w:tcPr>
          <w:p w:rsidR="00AC61C2" w:rsidRPr="008D6B70" w:rsidRDefault="00AC61C2" w:rsidP="00555AE1">
            <w:pPr>
              <w:pStyle w:val="TableText"/>
              <w:keepNext w:val="0"/>
              <w:widowControl w:val="0"/>
              <w:spacing w:before="0" w:after="0"/>
              <w:rPr>
                <w:szCs w:val="20"/>
              </w:rPr>
            </w:pPr>
          </w:p>
        </w:tc>
        <w:tc>
          <w:tcPr>
            <w:tcW w:w="589" w:type="pct"/>
            <w:shd w:val="clear" w:color="auto" w:fill="FFFFFF" w:themeFill="background1"/>
          </w:tcPr>
          <w:p w:rsidR="00AC61C2" w:rsidRPr="00AC61C2" w:rsidRDefault="00AC61C2" w:rsidP="00AC61C2">
            <w:pPr>
              <w:pStyle w:val="TableText"/>
              <w:keepNext w:val="0"/>
              <w:widowControl w:val="0"/>
              <w:spacing w:before="0" w:after="0"/>
              <w:jc w:val="center"/>
              <w:rPr>
                <w:b/>
                <w:szCs w:val="20"/>
              </w:rPr>
            </w:pPr>
            <w:r w:rsidRPr="00AC61C2">
              <w:rPr>
                <w:b/>
                <w:szCs w:val="20"/>
              </w:rPr>
              <w:t>DBd</w:t>
            </w:r>
          </w:p>
        </w:tc>
        <w:tc>
          <w:tcPr>
            <w:tcW w:w="589" w:type="pct"/>
            <w:shd w:val="clear" w:color="auto" w:fill="FFFFFF" w:themeFill="background1"/>
          </w:tcPr>
          <w:p w:rsidR="00AC61C2" w:rsidRPr="00AC61C2" w:rsidRDefault="00AC61C2" w:rsidP="00AC61C2">
            <w:pPr>
              <w:pStyle w:val="TableText"/>
              <w:keepNext w:val="0"/>
              <w:widowControl w:val="0"/>
              <w:spacing w:before="0" w:after="0"/>
              <w:jc w:val="center"/>
              <w:rPr>
                <w:b/>
                <w:szCs w:val="20"/>
              </w:rPr>
            </w:pPr>
            <w:r w:rsidRPr="00AC61C2">
              <w:rPr>
                <w:b/>
                <w:szCs w:val="20"/>
              </w:rPr>
              <w:t>Bd</w:t>
            </w:r>
          </w:p>
        </w:tc>
        <w:tc>
          <w:tcPr>
            <w:tcW w:w="589" w:type="pct"/>
            <w:shd w:val="clear" w:color="auto" w:fill="FFFFFF" w:themeFill="background1"/>
          </w:tcPr>
          <w:p w:rsidR="00AC61C2" w:rsidRPr="00AC61C2" w:rsidRDefault="00AC61C2" w:rsidP="00AC61C2">
            <w:pPr>
              <w:pStyle w:val="TableText"/>
              <w:keepNext w:val="0"/>
              <w:widowControl w:val="0"/>
              <w:spacing w:before="0" w:after="0"/>
              <w:jc w:val="center"/>
              <w:rPr>
                <w:b/>
                <w:szCs w:val="20"/>
              </w:rPr>
            </w:pPr>
            <w:r w:rsidRPr="00AC61C2">
              <w:rPr>
                <w:b/>
                <w:szCs w:val="20"/>
              </w:rPr>
              <w:t>Incr</w:t>
            </w:r>
          </w:p>
        </w:tc>
        <w:tc>
          <w:tcPr>
            <w:tcW w:w="459" w:type="pct"/>
            <w:shd w:val="clear" w:color="auto" w:fill="FFFFFF" w:themeFill="background1"/>
          </w:tcPr>
          <w:p w:rsidR="00AC61C2" w:rsidRPr="00AC61C2" w:rsidRDefault="00AC61C2" w:rsidP="00AC61C2">
            <w:pPr>
              <w:pStyle w:val="TableText"/>
              <w:keepNext w:val="0"/>
              <w:widowControl w:val="0"/>
              <w:spacing w:before="0" w:after="0"/>
              <w:jc w:val="center"/>
              <w:rPr>
                <w:b/>
                <w:szCs w:val="20"/>
              </w:rPr>
            </w:pPr>
            <w:r w:rsidRPr="00AC61C2">
              <w:rPr>
                <w:b/>
                <w:szCs w:val="20"/>
              </w:rPr>
              <w:t>DBd</w:t>
            </w:r>
          </w:p>
        </w:tc>
        <w:tc>
          <w:tcPr>
            <w:tcW w:w="460" w:type="pct"/>
            <w:shd w:val="clear" w:color="auto" w:fill="FFFFFF" w:themeFill="background1"/>
          </w:tcPr>
          <w:p w:rsidR="00AC61C2" w:rsidRPr="00AC61C2" w:rsidRDefault="00AC61C2" w:rsidP="00AC61C2">
            <w:pPr>
              <w:pStyle w:val="TableText"/>
              <w:keepNext w:val="0"/>
              <w:widowControl w:val="0"/>
              <w:spacing w:before="0" w:after="0"/>
              <w:jc w:val="center"/>
              <w:rPr>
                <w:b/>
                <w:szCs w:val="20"/>
              </w:rPr>
            </w:pPr>
            <w:r w:rsidRPr="00AC61C2">
              <w:rPr>
                <w:b/>
                <w:szCs w:val="20"/>
              </w:rPr>
              <w:t>Bd</w:t>
            </w:r>
          </w:p>
        </w:tc>
        <w:tc>
          <w:tcPr>
            <w:tcW w:w="460" w:type="pct"/>
            <w:shd w:val="clear" w:color="auto" w:fill="FFFFFF" w:themeFill="background1"/>
          </w:tcPr>
          <w:p w:rsidR="00AC61C2" w:rsidRPr="00AC61C2" w:rsidRDefault="00AC61C2" w:rsidP="00AC61C2">
            <w:pPr>
              <w:pStyle w:val="TableText"/>
              <w:keepNext w:val="0"/>
              <w:widowControl w:val="0"/>
              <w:spacing w:before="0" w:after="0"/>
              <w:jc w:val="center"/>
              <w:rPr>
                <w:b/>
                <w:szCs w:val="20"/>
              </w:rPr>
            </w:pPr>
            <w:r w:rsidRPr="00AC61C2">
              <w:rPr>
                <w:b/>
                <w:szCs w:val="20"/>
              </w:rPr>
              <w:t>Incr</w:t>
            </w:r>
          </w:p>
        </w:tc>
        <w:tc>
          <w:tcPr>
            <w:tcW w:w="723" w:type="pct"/>
            <w:vMerge/>
            <w:shd w:val="clear" w:color="auto" w:fill="FFFFFF" w:themeFill="background1"/>
          </w:tcPr>
          <w:p w:rsidR="00AC61C2" w:rsidRPr="008D6B70" w:rsidRDefault="00AC61C2" w:rsidP="00555AE1">
            <w:pPr>
              <w:pStyle w:val="TableText"/>
              <w:keepNext w:val="0"/>
              <w:widowControl w:val="0"/>
              <w:spacing w:before="0" w:after="0"/>
              <w:rPr>
                <w:szCs w:val="20"/>
              </w:rPr>
            </w:pPr>
          </w:p>
        </w:tc>
      </w:tr>
      <w:tr w:rsidR="00074D4A" w:rsidRPr="008D6B70" w:rsidTr="00EC0787">
        <w:trPr>
          <w:cantSplit/>
        </w:trPr>
        <w:tc>
          <w:tcPr>
            <w:tcW w:w="1132" w:type="pct"/>
            <w:shd w:val="clear" w:color="auto" w:fill="FFFFFF" w:themeFill="background1"/>
          </w:tcPr>
          <w:p w:rsidR="00074D4A" w:rsidRPr="008D6B70" w:rsidRDefault="00074D4A" w:rsidP="00555AE1">
            <w:pPr>
              <w:pStyle w:val="TableText"/>
              <w:keepNext w:val="0"/>
              <w:widowControl w:val="0"/>
              <w:spacing w:before="0" w:after="0"/>
              <w:rPr>
                <w:szCs w:val="20"/>
                <w:vertAlign w:val="superscript"/>
              </w:rPr>
            </w:pPr>
            <w:r w:rsidRPr="008D6B70">
              <w:rPr>
                <w:szCs w:val="20"/>
              </w:rPr>
              <w:t>Step 1: CASTOR transformed to QALY (20-month follow-up)</w:t>
            </w:r>
          </w:p>
        </w:tc>
        <w:tc>
          <w:tcPr>
            <w:tcW w:w="58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58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58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45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460"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460"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723"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r>
      <w:tr w:rsidR="00074D4A" w:rsidRPr="008D6B70" w:rsidTr="00EC0787">
        <w:trPr>
          <w:cantSplit/>
        </w:trPr>
        <w:tc>
          <w:tcPr>
            <w:tcW w:w="1132" w:type="pct"/>
            <w:shd w:val="clear" w:color="auto" w:fill="FFFFFF" w:themeFill="background1"/>
          </w:tcPr>
          <w:p w:rsidR="00074D4A" w:rsidRPr="008D6B70" w:rsidRDefault="00074D4A" w:rsidP="00555AE1">
            <w:pPr>
              <w:pStyle w:val="TableText"/>
              <w:keepNext w:val="0"/>
              <w:widowControl w:val="0"/>
              <w:spacing w:before="0" w:after="0"/>
              <w:rPr>
                <w:szCs w:val="20"/>
              </w:rPr>
            </w:pPr>
            <w:r w:rsidRPr="008D6B70">
              <w:rPr>
                <w:szCs w:val="20"/>
              </w:rPr>
              <w:t xml:space="preserve">Step 2: Step 1 extrapolated to lifetime horizon </w:t>
            </w:r>
          </w:p>
        </w:tc>
        <w:tc>
          <w:tcPr>
            <w:tcW w:w="58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58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58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459"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460"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460"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c>
          <w:tcPr>
            <w:tcW w:w="723" w:type="pct"/>
            <w:shd w:val="clear" w:color="auto" w:fill="FFFFFF" w:themeFill="background1"/>
          </w:tcPr>
          <w:p w:rsidR="00074D4A" w:rsidRPr="000A7F1F" w:rsidRDefault="000A7F1F" w:rsidP="00AC61C2">
            <w:pPr>
              <w:pStyle w:val="TableText"/>
              <w:keepNext w:val="0"/>
              <w:widowControl w:val="0"/>
              <w:spacing w:before="0" w:after="0"/>
              <w:jc w:val="center"/>
              <w:rPr>
                <w:rFonts w:eastAsia="Times New Roman" w:cs="Times New Roman"/>
                <w:szCs w:val="20"/>
                <w:highlight w:val="black"/>
              </w:rPr>
            </w:pPr>
            <w:r>
              <w:rPr>
                <w:noProof/>
                <w:color w:val="000000"/>
                <w:szCs w:val="20"/>
                <w:highlight w:val="black"/>
              </w:rPr>
              <w:t>'''''''''''''''''''''</w:t>
            </w:r>
          </w:p>
        </w:tc>
      </w:tr>
      <w:tr w:rsidR="004C7574" w:rsidRPr="008D6B70" w:rsidTr="00EC0787">
        <w:trPr>
          <w:cantSplit/>
        </w:trPr>
        <w:tc>
          <w:tcPr>
            <w:tcW w:w="1132" w:type="pct"/>
            <w:shd w:val="clear" w:color="auto" w:fill="FFFFFF" w:themeFill="background1"/>
          </w:tcPr>
          <w:p w:rsidR="004C7574" w:rsidRPr="008D6B70" w:rsidRDefault="004C7574" w:rsidP="004C7574">
            <w:pPr>
              <w:pStyle w:val="TableText"/>
              <w:keepNext w:val="0"/>
              <w:widowControl w:val="0"/>
              <w:spacing w:before="0" w:after="0"/>
              <w:rPr>
                <w:szCs w:val="20"/>
              </w:rPr>
            </w:pPr>
            <w:r w:rsidRPr="008D6B70">
              <w:rPr>
                <w:szCs w:val="20"/>
              </w:rPr>
              <w:t>Step 2: PSCR revised to reflect minimum of time on treatment and PFS</w:t>
            </w:r>
          </w:p>
        </w:tc>
        <w:tc>
          <w:tcPr>
            <w:tcW w:w="589"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szCs w:val="20"/>
                <w:highlight w:val="black"/>
              </w:rPr>
              <w:t>'''''''</w:t>
            </w:r>
          </w:p>
        </w:tc>
        <w:tc>
          <w:tcPr>
            <w:tcW w:w="589"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szCs w:val="20"/>
                <w:highlight w:val="black"/>
              </w:rPr>
              <w:t>''''''''</w:t>
            </w:r>
          </w:p>
        </w:tc>
        <w:tc>
          <w:tcPr>
            <w:tcW w:w="589"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highlight w:val="black"/>
              </w:rPr>
              <w:t>'''''''''''''''''''''</w:t>
            </w:r>
          </w:p>
        </w:tc>
        <w:tc>
          <w:tcPr>
            <w:tcW w:w="459"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szCs w:val="20"/>
                <w:highlight w:val="black"/>
              </w:rPr>
              <w:t>''''''''</w:t>
            </w:r>
          </w:p>
        </w:tc>
        <w:tc>
          <w:tcPr>
            <w:tcW w:w="460"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szCs w:val="20"/>
                <w:highlight w:val="black"/>
              </w:rPr>
              <w:t>''''''''</w:t>
            </w:r>
          </w:p>
        </w:tc>
        <w:tc>
          <w:tcPr>
            <w:tcW w:w="460"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highlight w:val="black"/>
              </w:rPr>
              <w:t>''''''''''</w:t>
            </w:r>
          </w:p>
        </w:tc>
        <w:tc>
          <w:tcPr>
            <w:tcW w:w="723" w:type="pct"/>
            <w:shd w:val="clear" w:color="auto" w:fill="FFFFFF" w:themeFill="background1"/>
          </w:tcPr>
          <w:p w:rsidR="004C7574" w:rsidRPr="000A7F1F" w:rsidRDefault="000A7F1F" w:rsidP="00AC61C2">
            <w:pPr>
              <w:pStyle w:val="TableText"/>
              <w:keepNext w:val="0"/>
              <w:widowControl w:val="0"/>
              <w:spacing w:before="0" w:after="0"/>
              <w:jc w:val="center"/>
              <w:rPr>
                <w:szCs w:val="20"/>
                <w:highlight w:val="black"/>
              </w:rPr>
            </w:pPr>
            <w:r>
              <w:rPr>
                <w:noProof/>
                <w:color w:val="000000"/>
                <w:highlight w:val="black"/>
              </w:rPr>
              <w:t>''''''''''''''''''</w:t>
            </w:r>
          </w:p>
        </w:tc>
      </w:tr>
    </w:tbl>
    <w:p w:rsidR="00074D4A" w:rsidRPr="008D6B70" w:rsidRDefault="00074D4A" w:rsidP="003E37DD">
      <w:pPr>
        <w:pStyle w:val="TableFooter"/>
        <w:spacing w:after="0"/>
        <w:jc w:val="left"/>
      </w:pPr>
      <w:r w:rsidRPr="008D6B70">
        <w:t xml:space="preserve">Abbreviations: Bd, bortezomib-dexamethasone; DBd; daratumumab-bortezomib-dexamethasone; ICER, incremental cost-effectiveness ratio; Incr, incremental; </w:t>
      </w:r>
      <w:r w:rsidR="004E6DD9" w:rsidRPr="008D6B70">
        <w:t xml:space="preserve">NR, not reported; </w:t>
      </w:r>
      <w:r w:rsidRPr="008D6B70">
        <w:t xml:space="preserve">QALY, quality adjusted life year; </w:t>
      </w:r>
    </w:p>
    <w:p w:rsidR="00074D4A" w:rsidRPr="008D6B70" w:rsidRDefault="00074D4A" w:rsidP="003E37DD">
      <w:pPr>
        <w:pStyle w:val="TableFooter"/>
        <w:spacing w:after="0"/>
        <w:jc w:val="left"/>
      </w:pPr>
      <w:r w:rsidRPr="008D6B70">
        <w:t xml:space="preserve">Source: Table 3.21-4, p.67, 69, 75 and 76 Section 3 of the submission. </w:t>
      </w:r>
    </w:p>
    <w:p w:rsidR="002C49CC" w:rsidRPr="008D6B70" w:rsidRDefault="002C49CC" w:rsidP="003E37DD">
      <w:pPr>
        <w:pStyle w:val="TableHeading1"/>
        <w:spacing w:before="120"/>
      </w:pPr>
      <w:r w:rsidRPr="008D6B70">
        <w:t>Table 1</w:t>
      </w:r>
      <w:r w:rsidR="001A117E" w:rsidRPr="008D6B70">
        <w:t>4</w:t>
      </w:r>
      <w:r w:rsidRPr="008D6B70">
        <w:t>: Results of the stepped economic evaluation, DLd vs. 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92"/>
        <w:gridCol w:w="1091"/>
        <w:gridCol w:w="1091"/>
        <w:gridCol w:w="1091"/>
        <w:gridCol w:w="848"/>
        <w:gridCol w:w="848"/>
        <w:gridCol w:w="850"/>
        <w:gridCol w:w="1331"/>
      </w:tblGrid>
      <w:tr w:rsidR="00EC0787" w:rsidRPr="008D6B70" w:rsidTr="00EC0787">
        <w:trPr>
          <w:cantSplit/>
          <w:tblHeader/>
        </w:trPr>
        <w:tc>
          <w:tcPr>
            <w:tcW w:w="1132" w:type="pct"/>
            <w:vMerge w:val="restart"/>
            <w:shd w:val="clear" w:color="auto" w:fill="FFFFFF" w:themeFill="background1"/>
          </w:tcPr>
          <w:p w:rsidR="00EC0787" w:rsidRPr="008D6B70" w:rsidRDefault="00EC0787" w:rsidP="00974EB0">
            <w:pPr>
              <w:pStyle w:val="TableText"/>
              <w:widowControl w:val="0"/>
              <w:spacing w:before="0" w:after="0"/>
              <w:rPr>
                <w:b/>
                <w:szCs w:val="20"/>
              </w:rPr>
            </w:pPr>
            <w:r>
              <w:rPr>
                <w:b/>
                <w:szCs w:val="20"/>
              </w:rPr>
              <w:t>Step</w:t>
            </w:r>
          </w:p>
        </w:tc>
        <w:tc>
          <w:tcPr>
            <w:tcW w:w="1769" w:type="pct"/>
            <w:gridSpan w:val="3"/>
            <w:shd w:val="clear" w:color="auto" w:fill="FFFFFF" w:themeFill="background1"/>
          </w:tcPr>
          <w:p w:rsidR="00EC0787" w:rsidRPr="008D6B70" w:rsidRDefault="00EC0787" w:rsidP="00EC0787">
            <w:pPr>
              <w:pStyle w:val="TableText"/>
              <w:widowControl w:val="0"/>
              <w:spacing w:before="0" w:after="0"/>
              <w:jc w:val="center"/>
              <w:rPr>
                <w:b/>
                <w:szCs w:val="20"/>
              </w:rPr>
            </w:pPr>
            <w:r w:rsidRPr="008D6B70">
              <w:rPr>
                <w:b/>
                <w:szCs w:val="20"/>
              </w:rPr>
              <w:t>Costs</w:t>
            </w:r>
          </w:p>
        </w:tc>
        <w:tc>
          <w:tcPr>
            <w:tcW w:w="1377" w:type="pct"/>
            <w:gridSpan w:val="3"/>
            <w:shd w:val="clear" w:color="auto" w:fill="FFFFFF" w:themeFill="background1"/>
          </w:tcPr>
          <w:p w:rsidR="00EC0787" w:rsidRPr="008D6B70" w:rsidRDefault="00EC0787" w:rsidP="00EC0787">
            <w:pPr>
              <w:pStyle w:val="TableText"/>
              <w:widowControl w:val="0"/>
              <w:spacing w:before="0" w:after="0"/>
              <w:jc w:val="center"/>
              <w:rPr>
                <w:b/>
                <w:szCs w:val="20"/>
              </w:rPr>
            </w:pPr>
            <w:r w:rsidRPr="008D6B70">
              <w:rPr>
                <w:b/>
                <w:szCs w:val="20"/>
              </w:rPr>
              <w:t>QALY</w:t>
            </w:r>
            <w:r>
              <w:rPr>
                <w:b/>
                <w:szCs w:val="20"/>
              </w:rPr>
              <w:t>s</w:t>
            </w:r>
          </w:p>
        </w:tc>
        <w:tc>
          <w:tcPr>
            <w:tcW w:w="721" w:type="pct"/>
            <w:vMerge w:val="restart"/>
            <w:shd w:val="clear" w:color="auto" w:fill="FFFFFF" w:themeFill="background1"/>
          </w:tcPr>
          <w:p w:rsidR="00EC0787" w:rsidRPr="008D6B70" w:rsidRDefault="00EC0787" w:rsidP="00EC0787">
            <w:pPr>
              <w:pStyle w:val="TableText"/>
              <w:widowControl w:val="0"/>
              <w:spacing w:before="0" w:after="0"/>
              <w:jc w:val="center"/>
              <w:rPr>
                <w:b/>
                <w:szCs w:val="20"/>
              </w:rPr>
            </w:pPr>
            <w:r>
              <w:rPr>
                <w:b/>
                <w:szCs w:val="20"/>
              </w:rPr>
              <w:t>Cost</w:t>
            </w:r>
            <w:r w:rsidRPr="008D6B70">
              <w:rPr>
                <w:b/>
                <w:szCs w:val="20"/>
              </w:rPr>
              <w:t xml:space="preserve"> per QALY gained</w:t>
            </w:r>
          </w:p>
        </w:tc>
      </w:tr>
      <w:tr w:rsidR="00EC0787" w:rsidRPr="008D6B70" w:rsidTr="00EC0787">
        <w:trPr>
          <w:cantSplit/>
        </w:trPr>
        <w:tc>
          <w:tcPr>
            <w:tcW w:w="1132" w:type="pct"/>
            <w:vMerge/>
            <w:shd w:val="clear" w:color="auto" w:fill="FFFFFF" w:themeFill="background1"/>
          </w:tcPr>
          <w:p w:rsidR="00EC0787" w:rsidRPr="008D6B70" w:rsidRDefault="00EC0787" w:rsidP="00974EB0">
            <w:pPr>
              <w:pStyle w:val="TableText"/>
              <w:keepNext w:val="0"/>
              <w:widowControl w:val="0"/>
              <w:spacing w:before="0" w:after="0"/>
              <w:rPr>
                <w:szCs w:val="20"/>
              </w:rPr>
            </w:pPr>
          </w:p>
        </w:tc>
        <w:tc>
          <w:tcPr>
            <w:tcW w:w="590" w:type="pct"/>
            <w:shd w:val="clear" w:color="auto" w:fill="FFFFFF" w:themeFill="background1"/>
          </w:tcPr>
          <w:p w:rsidR="00EC0787" w:rsidRPr="00EC0787" w:rsidRDefault="00EC0787" w:rsidP="00EC0787">
            <w:pPr>
              <w:pStyle w:val="TableText"/>
              <w:keepNext w:val="0"/>
              <w:widowControl w:val="0"/>
              <w:spacing w:before="0" w:after="0"/>
              <w:jc w:val="center"/>
              <w:rPr>
                <w:b/>
                <w:szCs w:val="20"/>
              </w:rPr>
            </w:pPr>
            <w:r w:rsidRPr="00EC0787">
              <w:rPr>
                <w:b/>
                <w:szCs w:val="20"/>
              </w:rPr>
              <w:t>DLd</w:t>
            </w:r>
          </w:p>
        </w:tc>
        <w:tc>
          <w:tcPr>
            <w:tcW w:w="590" w:type="pct"/>
            <w:shd w:val="clear" w:color="auto" w:fill="FFFFFF" w:themeFill="background1"/>
          </w:tcPr>
          <w:p w:rsidR="00EC0787" w:rsidRPr="00EC0787" w:rsidRDefault="00EC0787" w:rsidP="00EC0787">
            <w:pPr>
              <w:pStyle w:val="TableText"/>
              <w:keepNext w:val="0"/>
              <w:widowControl w:val="0"/>
              <w:spacing w:before="0" w:after="0"/>
              <w:jc w:val="center"/>
              <w:rPr>
                <w:b/>
                <w:szCs w:val="20"/>
              </w:rPr>
            </w:pPr>
            <w:r w:rsidRPr="00EC0787">
              <w:rPr>
                <w:b/>
                <w:szCs w:val="20"/>
              </w:rPr>
              <w:t>Ld</w:t>
            </w:r>
          </w:p>
        </w:tc>
        <w:tc>
          <w:tcPr>
            <w:tcW w:w="590" w:type="pct"/>
            <w:shd w:val="clear" w:color="auto" w:fill="FFFFFF" w:themeFill="background1"/>
          </w:tcPr>
          <w:p w:rsidR="00EC0787" w:rsidRPr="00EC0787" w:rsidRDefault="00EC0787" w:rsidP="00EC0787">
            <w:pPr>
              <w:pStyle w:val="TableText"/>
              <w:keepNext w:val="0"/>
              <w:widowControl w:val="0"/>
              <w:spacing w:before="0" w:after="0"/>
              <w:jc w:val="center"/>
              <w:rPr>
                <w:b/>
                <w:szCs w:val="20"/>
              </w:rPr>
            </w:pPr>
            <w:r>
              <w:rPr>
                <w:b/>
                <w:szCs w:val="20"/>
              </w:rPr>
              <w:t>Incr</w:t>
            </w:r>
          </w:p>
        </w:tc>
        <w:tc>
          <w:tcPr>
            <w:tcW w:w="459" w:type="pct"/>
            <w:shd w:val="clear" w:color="auto" w:fill="FFFFFF" w:themeFill="background1"/>
          </w:tcPr>
          <w:p w:rsidR="00EC0787" w:rsidRPr="00EC0787" w:rsidRDefault="00EC0787" w:rsidP="00EC0787">
            <w:pPr>
              <w:pStyle w:val="TableText"/>
              <w:keepNext w:val="0"/>
              <w:widowControl w:val="0"/>
              <w:spacing w:before="0" w:after="0"/>
              <w:jc w:val="center"/>
              <w:rPr>
                <w:b/>
                <w:szCs w:val="20"/>
              </w:rPr>
            </w:pPr>
            <w:r w:rsidRPr="00EC0787">
              <w:rPr>
                <w:b/>
                <w:szCs w:val="20"/>
              </w:rPr>
              <w:t>DLd</w:t>
            </w:r>
          </w:p>
        </w:tc>
        <w:tc>
          <w:tcPr>
            <w:tcW w:w="459" w:type="pct"/>
            <w:shd w:val="clear" w:color="auto" w:fill="FFFFFF" w:themeFill="background1"/>
          </w:tcPr>
          <w:p w:rsidR="00EC0787" w:rsidRPr="00EC0787" w:rsidRDefault="00EC0787" w:rsidP="00EC0787">
            <w:pPr>
              <w:pStyle w:val="TableText"/>
              <w:keepNext w:val="0"/>
              <w:widowControl w:val="0"/>
              <w:spacing w:before="0" w:after="0"/>
              <w:jc w:val="center"/>
              <w:rPr>
                <w:b/>
                <w:szCs w:val="20"/>
              </w:rPr>
            </w:pPr>
            <w:r w:rsidRPr="00EC0787">
              <w:rPr>
                <w:b/>
                <w:szCs w:val="20"/>
              </w:rPr>
              <w:t>Ld</w:t>
            </w:r>
          </w:p>
        </w:tc>
        <w:tc>
          <w:tcPr>
            <w:tcW w:w="460" w:type="pct"/>
            <w:shd w:val="clear" w:color="auto" w:fill="FFFFFF" w:themeFill="background1"/>
          </w:tcPr>
          <w:p w:rsidR="00EC0787" w:rsidRPr="00EC0787" w:rsidRDefault="00EC0787" w:rsidP="00EC0787">
            <w:pPr>
              <w:pStyle w:val="TableText"/>
              <w:keepNext w:val="0"/>
              <w:widowControl w:val="0"/>
              <w:spacing w:before="0" w:after="0"/>
              <w:jc w:val="center"/>
              <w:rPr>
                <w:b/>
                <w:szCs w:val="20"/>
              </w:rPr>
            </w:pPr>
            <w:r>
              <w:rPr>
                <w:b/>
                <w:szCs w:val="20"/>
              </w:rPr>
              <w:t>Incr</w:t>
            </w:r>
          </w:p>
        </w:tc>
        <w:tc>
          <w:tcPr>
            <w:tcW w:w="721" w:type="pct"/>
            <w:vMerge/>
            <w:shd w:val="clear" w:color="auto" w:fill="FFFFFF" w:themeFill="background1"/>
          </w:tcPr>
          <w:p w:rsidR="00EC0787" w:rsidRPr="008D6B70" w:rsidRDefault="00EC0787" w:rsidP="00EC0787">
            <w:pPr>
              <w:pStyle w:val="TableText"/>
              <w:keepNext w:val="0"/>
              <w:widowControl w:val="0"/>
              <w:spacing w:before="0" w:after="0"/>
              <w:jc w:val="center"/>
              <w:rPr>
                <w:szCs w:val="20"/>
              </w:rPr>
            </w:pPr>
          </w:p>
        </w:tc>
      </w:tr>
      <w:tr w:rsidR="002C49CC" w:rsidRPr="008D6B70" w:rsidTr="00EC0787">
        <w:trPr>
          <w:cantSplit/>
        </w:trPr>
        <w:tc>
          <w:tcPr>
            <w:tcW w:w="1132" w:type="pct"/>
            <w:shd w:val="clear" w:color="auto" w:fill="FFFFFF" w:themeFill="background1"/>
          </w:tcPr>
          <w:p w:rsidR="002C49CC" w:rsidRPr="008D6B70" w:rsidRDefault="002C49CC" w:rsidP="00974EB0">
            <w:pPr>
              <w:pStyle w:val="TableText"/>
              <w:keepNext w:val="0"/>
              <w:widowControl w:val="0"/>
              <w:spacing w:before="0" w:after="0"/>
              <w:rPr>
                <w:szCs w:val="20"/>
              </w:rPr>
            </w:pPr>
            <w:r w:rsidRPr="008D6B70">
              <w:rPr>
                <w:szCs w:val="20"/>
              </w:rPr>
              <w:t>Step 1: POLLUX transformed to QALY (24-month follow-up)</w:t>
            </w:r>
          </w:p>
        </w:tc>
        <w:tc>
          <w:tcPr>
            <w:tcW w:w="59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59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59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59"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59"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6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721"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r>
      <w:tr w:rsidR="002C49CC" w:rsidRPr="008D6B70" w:rsidTr="00EC0787">
        <w:trPr>
          <w:cantSplit/>
        </w:trPr>
        <w:tc>
          <w:tcPr>
            <w:tcW w:w="1132" w:type="pct"/>
            <w:shd w:val="clear" w:color="auto" w:fill="FFFFFF" w:themeFill="background1"/>
          </w:tcPr>
          <w:p w:rsidR="002C49CC" w:rsidRPr="008D6B70" w:rsidRDefault="002C49CC" w:rsidP="00974EB0">
            <w:pPr>
              <w:pStyle w:val="TableText"/>
              <w:keepNext w:val="0"/>
              <w:widowControl w:val="0"/>
              <w:spacing w:before="0" w:after="0"/>
              <w:rPr>
                <w:szCs w:val="20"/>
              </w:rPr>
            </w:pPr>
            <w:r w:rsidRPr="008D6B70">
              <w:rPr>
                <w:szCs w:val="20"/>
              </w:rPr>
              <w:t>Step 2: Step 1 extrapolated to lifetime horizon</w:t>
            </w:r>
          </w:p>
        </w:tc>
        <w:tc>
          <w:tcPr>
            <w:tcW w:w="59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59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59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59"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59"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60"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721" w:type="pct"/>
            <w:shd w:val="clear" w:color="auto" w:fill="FFFFFF" w:themeFill="background1"/>
          </w:tcPr>
          <w:p w:rsidR="002C49CC"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r>
      <w:tr w:rsidR="004E6DD9" w:rsidRPr="008D6B70" w:rsidTr="00EC0787">
        <w:trPr>
          <w:cantSplit/>
        </w:trPr>
        <w:tc>
          <w:tcPr>
            <w:tcW w:w="1132" w:type="pct"/>
            <w:shd w:val="clear" w:color="auto" w:fill="FFFFFF" w:themeFill="background1"/>
          </w:tcPr>
          <w:p w:rsidR="004E6DD9" w:rsidRPr="008D6B70" w:rsidRDefault="004E6DD9" w:rsidP="00974EB0">
            <w:pPr>
              <w:pStyle w:val="TableText"/>
              <w:keepNext w:val="0"/>
              <w:widowControl w:val="0"/>
              <w:spacing w:before="0" w:after="0"/>
              <w:rPr>
                <w:szCs w:val="20"/>
              </w:rPr>
            </w:pPr>
            <w:r w:rsidRPr="008D6B70">
              <w:rPr>
                <w:szCs w:val="20"/>
              </w:rPr>
              <w:t>Step 2: PSCR revised to reflect minimum of time on treatment and PFS and correct lenalidomide dose intensity</w:t>
            </w:r>
          </w:p>
        </w:tc>
        <w:tc>
          <w:tcPr>
            <w:tcW w:w="590"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590"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590"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highlight w:val="black"/>
              </w:rPr>
              <w:t>'''''''''''''''''''''</w:t>
            </w:r>
          </w:p>
        </w:tc>
        <w:tc>
          <w:tcPr>
            <w:tcW w:w="459"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59"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szCs w:val="20"/>
                <w:highlight w:val="black"/>
              </w:rPr>
              <w:t>''''''''</w:t>
            </w:r>
          </w:p>
        </w:tc>
        <w:tc>
          <w:tcPr>
            <w:tcW w:w="460"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highlight w:val="black"/>
              </w:rPr>
              <w:t>''''''''''</w:t>
            </w:r>
          </w:p>
        </w:tc>
        <w:tc>
          <w:tcPr>
            <w:tcW w:w="721" w:type="pct"/>
            <w:shd w:val="clear" w:color="auto" w:fill="FFFFFF" w:themeFill="background1"/>
          </w:tcPr>
          <w:p w:rsidR="004E6DD9" w:rsidRPr="000A7F1F" w:rsidRDefault="000A7F1F" w:rsidP="00EC0787">
            <w:pPr>
              <w:pStyle w:val="TableText"/>
              <w:keepNext w:val="0"/>
              <w:widowControl w:val="0"/>
              <w:spacing w:before="0" w:after="0"/>
              <w:jc w:val="center"/>
              <w:rPr>
                <w:szCs w:val="20"/>
                <w:highlight w:val="black"/>
              </w:rPr>
            </w:pPr>
            <w:r>
              <w:rPr>
                <w:noProof/>
                <w:color w:val="000000"/>
                <w:highlight w:val="black"/>
              </w:rPr>
              <w:t>'''''''''''''''''''''''</w:t>
            </w:r>
          </w:p>
        </w:tc>
      </w:tr>
    </w:tbl>
    <w:p w:rsidR="002C49CC" w:rsidRPr="008D6B70" w:rsidRDefault="002C49CC" w:rsidP="003E37DD">
      <w:pPr>
        <w:pStyle w:val="TableFooter"/>
      </w:pPr>
      <w:r w:rsidRPr="008D6B70">
        <w:t xml:space="preserve">Abbreviations: DLd; daratumumab-lenalidomide- dexamethasone; ICER, incremental cost-effectiveness ratio; Incr, incremental; Ld, lenalidomide-dexamethasone; </w:t>
      </w:r>
      <w:r w:rsidR="004E6DD9" w:rsidRPr="008D6B70">
        <w:t xml:space="preserve">NR, not reported; </w:t>
      </w:r>
      <w:r w:rsidRPr="008D6B70">
        <w:t xml:space="preserve">QALY, quality adjusted life year; </w:t>
      </w:r>
    </w:p>
    <w:p w:rsidR="002C49CC" w:rsidRPr="008D6B70" w:rsidRDefault="002C49CC" w:rsidP="003E37DD">
      <w:pPr>
        <w:pStyle w:val="TableFooter"/>
      </w:pPr>
      <w:r w:rsidRPr="008D6B70">
        <w:t xml:space="preserve">Source: Table 3.21-4, p.67, 69, 75 and 76 Section 3 of the submission. </w:t>
      </w:r>
    </w:p>
    <w:p w:rsidR="006737A3" w:rsidRPr="008D6B70" w:rsidRDefault="006737A3" w:rsidP="00865EA5">
      <w:pPr>
        <w:pStyle w:val="ListParagraph"/>
        <w:numPr>
          <w:ilvl w:val="1"/>
          <w:numId w:val="108"/>
        </w:numPr>
        <w:ind w:left="709" w:hanging="709"/>
        <w:jc w:val="both"/>
      </w:pPr>
      <w:r w:rsidRPr="008D6B70">
        <w:t xml:space="preserve">The total QALY gains for both regimens were similar (DBd and Bd vs. Bd = </w:t>
      </w:r>
      <w:r w:rsidR="005E01ED" w:rsidRPr="000A515C">
        <w:t>1.14</w:t>
      </w:r>
      <w:r w:rsidRPr="008D6B70">
        <w:t>; DLd and Ld vs. Ld =</w:t>
      </w:r>
      <w:r w:rsidR="00E30C8F">
        <w:t xml:space="preserve"> </w:t>
      </w:r>
      <w:r w:rsidRPr="000A515C">
        <w:t>1.0</w:t>
      </w:r>
      <w:r w:rsidR="005E01ED" w:rsidRPr="000A515C">
        <w:t>6</w:t>
      </w:r>
      <w:r w:rsidRPr="008D6B70">
        <w:t>. However, the health states contributing to the total incremental QALY gains were different:</w:t>
      </w:r>
    </w:p>
    <w:p w:rsidR="006737A3" w:rsidRPr="008D6B70" w:rsidRDefault="006737A3" w:rsidP="006737A3">
      <w:pPr>
        <w:pStyle w:val="ListParagraph"/>
        <w:numPr>
          <w:ilvl w:val="1"/>
          <w:numId w:val="111"/>
        </w:numPr>
        <w:ind w:left="1134"/>
        <w:jc w:val="both"/>
      </w:pPr>
      <w:r w:rsidRPr="008D6B70">
        <w:t xml:space="preserve">The proportion of QALYs gained from the PFS state </w:t>
      </w:r>
      <w:r w:rsidR="00E30C8F">
        <w:t>for</w:t>
      </w:r>
      <w:r w:rsidRPr="008D6B70">
        <w:t xml:space="preserve"> DBd </w:t>
      </w:r>
      <w:r w:rsidR="00E30C8F">
        <w:t>and</w:t>
      </w:r>
      <w:r w:rsidRPr="008D6B70">
        <w:t xml:space="preserve"> Bd was </w:t>
      </w:r>
      <w:r w:rsidR="000A7F1F">
        <w:rPr>
          <w:noProof/>
          <w:color w:val="000000"/>
          <w:highlight w:val="black"/>
        </w:rPr>
        <w:t>'''''</w:t>
      </w:r>
      <w:r w:rsidRPr="008D6B70">
        <w:t xml:space="preserve">% and </w:t>
      </w:r>
      <w:r w:rsidR="000A7F1F">
        <w:rPr>
          <w:noProof/>
          <w:color w:val="000000"/>
          <w:highlight w:val="black"/>
        </w:rPr>
        <w:t>'''''</w:t>
      </w:r>
      <w:r w:rsidRPr="008D6B70">
        <w:t xml:space="preserve">%, respectively, indicating that </w:t>
      </w:r>
      <w:r w:rsidR="00E30C8F">
        <w:t xml:space="preserve">for the DBd vs Bd model </w:t>
      </w:r>
      <w:r w:rsidRPr="008D6B70">
        <w:t xml:space="preserve">the majority of QALYs are gained from the progressed disease (alive) state. </w:t>
      </w:r>
    </w:p>
    <w:p w:rsidR="006737A3" w:rsidRDefault="006737A3" w:rsidP="006737A3">
      <w:pPr>
        <w:pStyle w:val="ListParagraph"/>
        <w:numPr>
          <w:ilvl w:val="1"/>
          <w:numId w:val="111"/>
        </w:numPr>
        <w:ind w:left="1134"/>
        <w:jc w:val="both"/>
      </w:pPr>
      <w:r w:rsidRPr="008D6B70">
        <w:t>Conversely, in the DLd vs. Ld model QALY gains were mainly from the PFS health state (</w:t>
      </w:r>
      <w:r w:rsidR="000A7F1F">
        <w:rPr>
          <w:noProof/>
          <w:color w:val="000000"/>
          <w:highlight w:val="black"/>
        </w:rPr>
        <w:t>''''''</w:t>
      </w:r>
      <w:r w:rsidRPr="008D6B70">
        <w:t xml:space="preserve">% for DLd and </w:t>
      </w:r>
      <w:r w:rsidR="000A7F1F">
        <w:rPr>
          <w:noProof/>
          <w:color w:val="000000"/>
          <w:highlight w:val="black"/>
        </w:rPr>
        <w:t>'''''</w:t>
      </w:r>
      <w:r w:rsidRPr="008D6B70">
        <w:t xml:space="preserve">% for Ld). However, the economic model for DLd vs. Ld resulted in a total incremental QALY loss </w:t>
      </w:r>
      <w:r w:rsidR="000A7F1F">
        <w:rPr>
          <w:noProof/>
          <w:color w:val="000000"/>
          <w:highlight w:val="black"/>
        </w:rPr>
        <w:t>''''''''''''</w:t>
      </w:r>
      <w:r w:rsidRPr="008D6B70">
        <w:t>) for patients in progressive disease. This is an artefact of progressive disease being estimated as the residual of PFS and death</w:t>
      </w:r>
      <w:r>
        <w:t>.</w:t>
      </w:r>
    </w:p>
    <w:p w:rsidR="00962AB1" w:rsidRPr="008D6B70" w:rsidRDefault="00962AB1" w:rsidP="00865EA5">
      <w:pPr>
        <w:pStyle w:val="ListParagraph"/>
        <w:numPr>
          <w:ilvl w:val="1"/>
          <w:numId w:val="108"/>
        </w:numPr>
        <w:ind w:left="709" w:hanging="709"/>
        <w:jc w:val="both"/>
      </w:pPr>
      <w:r w:rsidRPr="008D6B70">
        <w:t>The ESC considered that it lacked biological plausibility that such a large difference</w:t>
      </w:r>
      <w:r w:rsidR="003823D6">
        <w:t xml:space="preserve"> by health state</w:t>
      </w:r>
      <w:r w:rsidRPr="008D6B70">
        <w:t xml:space="preserve"> between two daratumumab</w:t>
      </w:r>
      <w:r>
        <w:t>-based</w:t>
      </w:r>
      <w:r w:rsidRPr="008D6B70">
        <w:t xml:space="preserve"> regimens might exist, </w:t>
      </w:r>
      <w:r w:rsidR="00737C23">
        <w:t xml:space="preserve">even though some </w:t>
      </w:r>
      <w:r w:rsidRPr="008D6B70">
        <w:t xml:space="preserve">differences </w:t>
      </w:r>
      <w:r w:rsidR="00737C23">
        <w:t xml:space="preserve">existed </w:t>
      </w:r>
      <w:r w:rsidRPr="008D6B70">
        <w:t xml:space="preserve">in the characteristics of patients included in CASTOR and POLLUX. The </w:t>
      </w:r>
      <w:r>
        <w:t xml:space="preserve">ESC considered that the </w:t>
      </w:r>
      <w:r w:rsidRPr="008D6B70">
        <w:t xml:space="preserve">apparent differences may be </w:t>
      </w:r>
      <w:r>
        <w:t xml:space="preserve">an artefact of the different </w:t>
      </w:r>
      <w:r w:rsidRPr="008D6B70">
        <w:t>extrapolat</w:t>
      </w:r>
      <w:r>
        <w:t>ion forms applied</w:t>
      </w:r>
      <w:r w:rsidRPr="008D6B70">
        <w:t xml:space="preserve">, rather than reflecting a </w:t>
      </w:r>
      <w:r>
        <w:t xml:space="preserve">true </w:t>
      </w:r>
      <w:r w:rsidRPr="008D6B70">
        <w:t xml:space="preserve">difference </w:t>
      </w:r>
      <w:r>
        <w:t>between the different backbone therapies</w:t>
      </w:r>
      <w:r w:rsidRPr="008D6B70">
        <w:t xml:space="preserve">. </w:t>
      </w:r>
    </w:p>
    <w:p w:rsidR="00230426" w:rsidRDefault="00230426" w:rsidP="00865EA5">
      <w:pPr>
        <w:pStyle w:val="ListParagraph"/>
        <w:numPr>
          <w:ilvl w:val="1"/>
          <w:numId w:val="108"/>
        </w:numPr>
        <w:ind w:left="709" w:hanging="709"/>
        <w:jc w:val="both"/>
      </w:pPr>
      <w:r>
        <w:t>Although t</w:t>
      </w:r>
      <w:r w:rsidRPr="008D6B70">
        <w:t>he overall QALY gains were similar across the regimens</w:t>
      </w:r>
      <w:r w:rsidRPr="008D6B70" w:rsidDel="00671622">
        <w:t xml:space="preserve"> </w:t>
      </w:r>
      <w:r>
        <w:t>t</w:t>
      </w:r>
      <w:r w:rsidRPr="008D6B70">
        <w:t>he</w:t>
      </w:r>
      <w:r>
        <w:t>re was considerable difference in the magnitude of the</w:t>
      </w:r>
      <w:r w:rsidRPr="008D6B70">
        <w:t xml:space="preserve"> cost per QALY gained</w:t>
      </w:r>
      <w:r>
        <w:t xml:space="preserve"> between </w:t>
      </w:r>
      <w:r w:rsidRPr="008D6B70">
        <w:t>the two daratumumab regimens</w:t>
      </w:r>
      <w:r>
        <w:t xml:space="preserve"> because </w:t>
      </w:r>
      <w:r w:rsidRPr="008D6B70">
        <w:t xml:space="preserve">the incremental cost of daratumumab treatment was much higher in the DLd economic </w:t>
      </w:r>
      <w:r>
        <w:t>model. This is</w:t>
      </w:r>
      <w:r w:rsidRPr="008D6B70">
        <w:t xml:space="preserve"> </w:t>
      </w:r>
      <w:r>
        <w:t>was due to:</w:t>
      </w:r>
      <w:r w:rsidRPr="008D6B70">
        <w:t xml:space="preserve"> </w:t>
      </w:r>
    </w:p>
    <w:p w:rsidR="00230426" w:rsidRDefault="00230426" w:rsidP="00230426">
      <w:pPr>
        <w:pStyle w:val="ListParagraph"/>
        <w:numPr>
          <w:ilvl w:val="1"/>
          <w:numId w:val="145"/>
        </w:numPr>
        <w:ind w:left="1134" w:hanging="425"/>
        <w:jc w:val="both"/>
      </w:pPr>
      <w:r w:rsidRPr="008D6B70">
        <w:t xml:space="preserve">more patients </w:t>
      </w:r>
      <w:r w:rsidR="00FC1AF3">
        <w:t xml:space="preserve">being </w:t>
      </w:r>
      <w:r>
        <w:t xml:space="preserve">treated with DLd </w:t>
      </w:r>
      <w:r w:rsidRPr="008D6B70">
        <w:t>remain</w:t>
      </w:r>
      <w:r>
        <w:t>ed</w:t>
      </w:r>
      <w:r w:rsidRPr="008D6B70">
        <w:t xml:space="preserve"> in </w:t>
      </w:r>
      <w:r>
        <w:t>the</w:t>
      </w:r>
      <w:r w:rsidRPr="008D6B70">
        <w:t xml:space="preserve"> progression free health state, and </w:t>
      </w:r>
      <w:r>
        <w:t>thus</w:t>
      </w:r>
      <w:r w:rsidRPr="008D6B70">
        <w:t xml:space="preserve"> on treatment, compared to DBd</w:t>
      </w:r>
      <w:r>
        <w:t xml:space="preserve">; </w:t>
      </w:r>
    </w:p>
    <w:p w:rsidR="00230426" w:rsidRDefault="00230426" w:rsidP="00230426">
      <w:pPr>
        <w:pStyle w:val="ListParagraph"/>
        <w:numPr>
          <w:ilvl w:val="1"/>
          <w:numId w:val="145"/>
        </w:numPr>
        <w:ind w:left="1134" w:hanging="425"/>
        <w:jc w:val="both"/>
      </w:pPr>
      <w:r w:rsidRPr="008D6B70">
        <w:t xml:space="preserve">lenalidomide </w:t>
      </w:r>
      <w:r w:rsidR="00FC1AF3">
        <w:t>being</w:t>
      </w:r>
      <w:r w:rsidR="00FC1AF3" w:rsidRPr="008D6B70">
        <w:t xml:space="preserve"> </w:t>
      </w:r>
      <w:r w:rsidRPr="008D6B70">
        <w:t xml:space="preserve">used in combination with daratumumab throughout treatment, whereas bortezomib </w:t>
      </w:r>
      <w:r>
        <w:t>i</w:t>
      </w:r>
      <w:r w:rsidRPr="008D6B70">
        <w:t>s only used in combination with daratumumab for 8 cycles</w:t>
      </w:r>
      <w:r>
        <w:t xml:space="preserve">; </w:t>
      </w:r>
    </w:p>
    <w:p w:rsidR="00230426" w:rsidRDefault="00230426" w:rsidP="00230426">
      <w:pPr>
        <w:pStyle w:val="ListParagraph"/>
        <w:numPr>
          <w:ilvl w:val="1"/>
          <w:numId w:val="145"/>
        </w:numPr>
        <w:ind w:left="1134" w:hanging="425"/>
        <w:jc w:val="both"/>
      </w:pPr>
      <w:r>
        <w:t>the cost of bortezomib with the proposed price reduction was lower than lenalidomide; and,</w:t>
      </w:r>
      <w:r w:rsidRPr="008D6B70">
        <w:t xml:space="preserve"> </w:t>
      </w:r>
    </w:p>
    <w:p w:rsidR="00230426" w:rsidRPr="008D6B70" w:rsidRDefault="00230426" w:rsidP="00230426">
      <w:pPr>
        <w:pStyle w:val="ListParagraph"/>
        <w:numPr>
          <w:ilvl w:val="1"/>
          <w:numId w:val="145"/>
        </w:numPr>
        <w:ind w:left="1134" w:hanging="425"/>
        <w:jc w:val="both"/>
      </w:pPr>
      <w:r>
        <w:rPr>
          <w:szCs w:val="24"/>
        </w:rPr>
        <w:t>t</w:t>
      </w:r>
      <w:r w:rsidRPr="008D6B70" w:rsidDel="00CE7EFB">
        <w:rPr>
          <w:szCs w:val="24"/>
        </w:rPr>
        <w:t xml:space="preserve">he </w:t>
      </w:r>
      <w:r>
        <w:rPr>
          <w:szCs w:val="24"/>
        </w:rPr>
        <w:t>rate</w:t>
      </w:r>
      <w:r w:rsidRPr="008D6B70" w:rsidDel="00CE7EFB">
        <w:rPr>
          <w:szCs w:val="24"/>
        </w:rPr>
        <w:t xml:space="preserve"> of </w:t>
      </w:r>
      <w:r>
        <w:rPr>
          <w:szCs w:val="24"/>
        </w:rPr>
        <w:t xml:space="preserve">monthly </w:t>
      </w:r>
      <w:r w:rsidRPr="008D6B70" w:rsidDel="00CE7EFB">
        <w:rPr>
          <w:szCs w:val="24"/>
        </w:rPr>
        <w:t xml:space="preserve">treatment discontinuations was </w:t>
      </w:r>
      <w:r>
        <w:rPr>
          <w:szCs w:val="24"/>
        </w:rPr>
        <w:t>higher for</w:t>
      </w:r>
      <w:r w:rsidRPr="008D6B70" w:rsidDel="00CE7EFB">
        <w:rPr>
          <w:szCs w:val="24"/>
        </w:rPr>
        <w:t xml:space="preserve"> DBd </w:t>
      </w:r>
      <w:r>
        <w:rPr>
          <w:szCs w:val="24"/>
        </w:rPr>
        <w:t>(</w:t>
      </w:r>
      <w:r w:rsidRPr="008D6B70" w:rsidDel="00CE7EFB">
        <w:rPr>
          <w:szCs w:val="24"/>
        </w:rPr>
        <w:t>4.6%</w:t>
      </w:r>
      <w:r>
        <w:rPr>
          <w:szCs w:val="24"/>
        </w:rPr>
        <w:t xml:space="preserve">), </w:t>
      </w:r>
      <w:r w:rsidRPr="008D6B70" w:rsidDel="00CE7EFB">
        <w:rPr>
          <w:szCs w:val="24"/>
        </w:rPr>
        <w:t>compared to DLd</w:t>
      </w:r>
      <w:r>
        <w:rPr>
          <w:szCs w:val="24"/>
        </w:rPr>
        <w:t xml:space="preserve"> (</w:t>
      </w:r>
      <w:r w:rsidRPr="008D6B70" w:rsidDel="00CE7EFB">
        <w:rPr>
          <w:szCs w:val="24"/>
        </w:rPr>
        <w:t>1.9%</w:t>
      </w:r>
      <w:r>
        <w:rPr>
          <w:szCs w:val="24"/>
        </w:rPr>
        <w:t>).</w:t>
      </w:r>
      <w:r w:rsidRPr="008D6B70" w:rsidDel="00CE7EFB">
        <w:rPr>
          <w:szCs w:val="24"/>
        </w:rPr>
        <w:t xml:space="preserve"> </w:t>
      </w:r>
    </w:p>
    <w:p w:rsidR="008332BD" w:rsidRPr="008D6B70" w:rsidRDefault="008332BD" w:rsidP="00865EA5">
      <w:pPr>
        <w:pStyle w:val="ListParagraph"/>
        <w:numPr>
          <w:ilvl w:val="1"/>
          <w:numId w:val="108"/>
        </w:numPr>
        <w:ind w:left="709" w:hanging="709"/>
        <w:jc w:val="both"/>
      </w:pPr>
      <w:r w:rsidRPr="008D6B70">
        <w:t xml:space="preserve">The economic models applied different functional forms for the extrapolation of events across the trials and treatment groups for the same outcome (PFS and OS). </w:t>
      </w:r>
      <w:r>
        <w:t>Applying the same functional forms for the extrapolations across arms had a</w:t>
      </w:r>
      <w:r w:rsidRPr="008D6B70">
        <w:t xml:space="preserve"> moderate impact on the ICER. The ESC considered that the PSCR did not adequately justify the application of different extrapolation methods.</w:t>
      </w:r>
    </w:p>
    <w:p w:rsidR="00562C25" w:rsidRDefault="008332BD" w:rsidP="00865EA5">
      <w:pPr>
        <w:pStyle w:val="ListParagraph"/>
        <w:numPr>
          <w:ilvl w:val="1"/>
          <w:numId w:val="108"/>
        </w:numPr>
        <w:ind w:left="709" w:hanging="709"/>
        <w:jc w:val="both"/>
      </w:pPr>
      <w:r w:rsidRPr="008D6B70">
        <w:t>Traces for the modelled results for OS and PFS, and the source Kaplan</w:t>
      </w:r>
      <w:r w:rsidRPr="008D6B70">
        <w:noBreakHyphen/>
        <w:t xml:space="preserve">Meier estimates are presented in Figure 5. The comparison of the KM component of each curve to the extrapolated period shows that the majority of the benefit estimated for daratumumab based regimens was obtained from the extrapolated data. For OS, </w:t>
      </w:r>
      <w:r w:rsidR="00562C25">
        <w:t>approximately 24 months of data were trial based and this</w:t>
      </w:r>
      <w:r w:rsidRPr="008D6B70">
        <w:t xml:space="preserve"> represented approximately 10% of the overall modelled time-horizon (240 months).</w:t>
      </w:r>
    </w:p>
    <w:p w:rsidR="008332BD" w:rsidRPr="000A7F1F" w:rsidRDefault="008332BD" w:rsidP="008332BD">
      <w:pPr>
        <w:pStyle w:val="TableHeading1"/>
        <w:spacing w:after="0"/>
      </w:pPr>
      <w:r w:rsidRPr="008D6B70">
        <w:t>Figure 5: Modelled OS and PFS and Kaplan-Meier estimates (DBd vs. Bd above and DLd vs. Ld below)</w:t>
      </w:r>
    </w:p>
    <w:p w:rsidR="008332BD" w:rsidRPr="000A7F1F" w:rsidRDefault="000A7F1F" w:rsidP="008332BD">
      <w:pPr>
        <w:keepNext/>
        <w:spacing w:after="0"/>
      </w:pPr>
      <w:r>
        <w:rPr>
          <w:noProof/>
          <w:lang w:val="en-AU" w:eastAsia="en-AU"/>
        </w:rPr>
        <w:drawing>
          <wp:inline distT="0" distB="0" distL="0" distR="0">
            <wp:extent cx="4624070" cy="324358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24070" cy="3243580"/>
                    </a:xfrm>
                    <a:prstGeom prst="rect">
                      <a:avLst/>
                    </a:prstGeom>
                  </pic:spPr>
                </pic:pic>
              </a:graphicData>
            </a:graphic>
          </wp:inline>
        </w:drawing>
      </w:r>
    </w:p>
    <w:p w:rsidR="008332BD" w:rsidRPr="000A7F1F" w:rsidRDefault="000A7F1F" w:rsidP="008332BD">
      <w:pPr>
        <w:keepNext/>
        <w:spacing w:after="0"/>
      </w:pPr>
      <w:r>
        <w:rPr>
          <w:noProof/>
          <w:lang w:val="en-AU" w:eastAsia="en-AU"/>
        </w:rPr>
        <w:drawing>
          <wp:inline distT="0" distB="0" distL="0" distR="0">
            <wp:extent cx="4667250" cy="27476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67250" cy="2747645"/>
                    </a:xfrm>
                    <a:prstGeom prst="rect">
                      <a:avLst/>
                    </a:prstGeom>
                  </pic:spPr>
                </pic:pic>
              </a:graphicData>
            </a:graphic>
          </wp:inline>
        </w:drawing>
      </w:r>
    </w:p>
    <w:p w:rsidR="008332BD" w:rsidRPr="008D6B70" w:rsidRDefault="008332BD" w:rsidP="008332BD">
      <w:pPr>
        <w:spacing w:after="0" w:line="240" w:lineRule="auto"/>
        <w:rPr>
          <w:rFonts w:ascii="Arial Narrow" w:hAnsi="Arial Narrow"/>
          <w:sz w:val="18"/>
          <w:szCs w:val="18"/>
        </w:rPr>
      </w:pPr>
      <w:r w:rsidRPr="008D6B70">
        <w:rPr>
          <w:rFonts w:ascii="Arial Narrow" w:hAnsi="Arial Narrow"/>
          <w:sz w:val="18"/>
          <w:szCs w:val="18"/>
        </w:rPr>
        <w:t>Abbreviations: Bd, bortezomib-dexamethasone; DBd; daratumumab-bortezomib-dexamethasone; DLd; daratumumab-lenalidomide-dexamethasone; KM, Kaplan-Meier; Ld, lenalidomide-dexamethasone.</w:t>
      </w:r>
    </w:p>
    <w:p w:rsidR="008332BD" w:rsidRPr="008D6B70" w:rsidRDefault="008332BD" w:rsidP="008332BD">
      <w:pPr>
        <w:keepNext/>
        <w:spacing w:after="0" w:line="240" w:lineRule="auto"/>
        <w:rPr>
          <w:rFonts w:ascii="Arial Narrow" w:hAnsi="Arial Narrow"/>
          <w:sz w:val="18"/>
          <w:szCs w:val="18"/>
        </w:rPr>
      </w:pPr>
      <w:r w:rsidRPr="008D6B70">
        <w:rPr>
          <w:rFonts w:ascii="Arial Narrow" w:hAnsi="Arial Narrow"/>
          <w:sz w:val="18"/>
          <w:szCs w:val="18"/>
        </w:rPr>
        <w:t>Source: Figure 18, p.61 Section 3 of the submission.</w:t>
      </w:r>
    </w:p>
    <w:p w:rsidR="00562C25" w:rsidRPr="008D6B70" w:rsidRDefault="00562C25" w:rsidP="00865EA5">
      <w:pPr>
        <w:pStyle w:val="ListParagraph"/>
        <w:numPr>
          <w:ilvl w:val="1"/>
          <w:numId w:val="108"/>
        </w:numPr>
        <w:ind w:left="709" w:hanging="709"/>
        <w:jc w:val="both"/>
      </w:pPr>
      <w:r>
        <w:t>T</w:t>
      </w:r>
      <w:r w:rsidRPr="008D6B70">
        <w:t>he majority of QALY gains were from the extrapolat</w:t>
      </w:r>
      <w:r>
        <w:t>ion</w:t>
      </w:r>
      <w:r w:rsidRPr="008D6B70">
        <w:t xml:space="preserve"> period (see Table 1</w:t>
      </w:r>
      <w:r>
        <w:t>5</w:t>
      </w:r>
      <w:r w:rsidRPr="008D6B70">
        <w:t>)</w:t>
      </w:r>
      <w:r>
        <w:t>. Approximately</w:t>
      </w:r>
      <w:r w:rsidRPr="00737C23">
        <w:t xml:space="preserve"> </w:t>
      </w:r>
      <w:r w:rsidR="00737C23" w:rsidRPr="00737C23">
        <w:rPr>
          <w:rFonts w:cs="Arial"/>
          <w:bCs/>
          <w:snapToGrid w:val="0"/>
          <w:szCs w:val="24"/>
          <w:lang w:val="en-GB"/>
        </w:rPr>
        <w:t>(</w:t>
      </w:r>
      <w:r w:rsidR="000A7F1F">
        <w:rPr>
          <w:rFonts w:cs="Arial"/>
          <w:bCs/>
          <w:noProof/>
          <w:snapToGrid w:val="0"/>
          <w:color w:val="000000"/>
          <w:szCs w:val="24"/>
          <w:highlight w:val="black"/>
          <w:lang w:val="en-GB"/>
        </w:rPr>
        <w:t>'''''</w:t>
      </w:r>
      <w:r w:rsidR="00737C23" w:rsidRPr="00737C23">
        <w:rPr>
          <w:rFonts w:cs="Arial"/>
          <w:bCs/>
          <w:snapToGrid w:val="0"/>
          <w:szCs w:val="24"/>
          <w:lang w:val="en-GB"/>
        </w:rPr>
        <w:t xml:space="preserve">% for DBd and </w:t>
      </w:r>
      <w:r w:rsidR="000A7F1F">
        <w:rPr>
          <w:rFonts w:cs="Arial"/>
          <w:bCs/>
          <w:noProof/>
          <w:snapToGrid w:val="0"/>
          <w:color w:val="000000"/>
          <w:szCs w:val="24"/>
          <w:highlight w:val="black"/>
          <w:lang w:val="en-GB"/>
        </w:rPr>
        <w:t>'''''</w:t>
      </w:r>
      <w:r w:rsidR="00737C23" w:rsidRPr="00737C23">
        <w:rPr>
          <w:rFonts w:cs="Arial"/>
          <w:bCs/>
          <w:snapToGrid w:val="0"/>
          <w:szCs w:val="24"/>
          <w:lang w:val="en-GB"/>
        </w:rPr>
        <w:t xml:space="preserve">% for </w:t>
      </w:r>
      <w:r w:rsidR="00737C23" w:rsidRPr="00466547">
        <w:rPr>
          <w:rFonts w:cs="Arial"/>
          <w:bCs/>
          <w:snapToGrid w:val="0"/>
          <w:szCs w:val="24"/>
          <w:lang w:val="en-GB"/>
        </w:rPr>
        <w:t>DLd)</w:t>
      </w:r>
      <w:r w:rsidR="00737C23">
        <w:rPr>
          <w:rFonts w:cs="Arial"/>
          <w:bCs/>
          <w:snapToGrid w:val="0"/>
          <w:szCs w:val="24"/>
          <w:lang w:val="en-GB"/>
        </w:rPr>
        <w:t xml:space="preserve"> </w:t>
      </w:r>
      <w:r>
        <w:t>were accrued in the extrapolation period</w:t>
      </w:r>
      <w:r w:rsidRPr="008D6B70">
        <w:t>.</w:t>
      </w:r>
      <w:r>
        <w:t xml:space="preserve"> The PBAC considered that this gave rise to considerable uncertainty in the model. </w:t>
      </w:r>
    </w:p>
    <w:p w:rsidR="009903F3" w:rsidRDefault="009903F3">
      <w:pPr>
        <w:spacing w:after="160" w:line="259" w:lineRule="auto"/>
        <w:jc w:val="left"/>
        <w:rPr>
          <w:rFonts w:ascii="Arial Narrow" w:eastAsiaTheme="minorHAnsi" w:hAnsi="Arial Narrow" w:cstheme="minorBidi"/>
          <w:b/>
          <w:lang w:val="en-AU"/>
        </w:rPr>
      </w:pPr>
      <w:r>
        <w:br w:type="page"/>
      </w:r>
    </w:p>
    <w:p w:rsidR="00562C25" w:rsidRPr="006737A3" w:rsidRDefault="00562C25" w:rsidP="008C10F1">
      <w:pPr>
        <w:pStyle w:val="TableHeading1"/>
        <w:spacing w:before="120"/>
      </w:pPr>
      <w:r w:rsidRPr="006737A3">
        <w:t>Table 1</w:t>
      </w:r>
      <w:r>
        <w:t>5</w:t>
      </w:r>
      <w:r w:rsidRPr="006737A3">
        <w:t>: QALY gains from health state split between Kaplan-Meier period and extrapolation</w:t>
      </w:r>
    </w:p>
    <w:tbl>
      <w:tblPr>
        <w:tblStyle w:val="TableGrid4"/>
        <w:tblW w:w="0" w:type="auto"/>
        <w:tblInd w:w="108" w:type="dxa"/>
        <w:tblLayout w:type="fixed"/>
        <w:tblLook w:val="04A0" w:firstRow="1" w:lastRow="0" w:firstColumn="1" w:lastColumn="0" w:noHBand="0" w:noVBand="1"/>
        <w:tblCaption w:val="Table 15: QALY gains from health state split between Kaplan-Meier period and extrapolation"/>
      </w:tblPr>
      <w:tblGrid>
        <w:gridCol w:w="1418"/>
        <w:gridCol w:w="1286"/>
        <w:gridCol w:w="1286"/>
        <w:gridCol w:w="1286"/>
        <w:gridCol w:w="1286"/>
        <w:gridCol w:w="1286"/>
        <w:gridCol w:w="1286"/>
      </w:tblGrid>
      <w:tr w:rsidR="00562C25" w:rsidRPr="008D6B70" w:rsidTr="009E0031">
        <w:trPr>
          <w:trHeight w:val="255"/>
          <w:tblHeader/>
        </w:trPr>
        <w:tc>
          <w:tcPr>
            <w:tcW w:w="1418" w:type="dxa"/>
            <w:tcBorders>
              <w:bottom w:val="nil"/>
              <w:right w:val="single" w:sz="4" w:space="0" w:color="auto"/>
            </w:tcBorders>
            <w:noWrap/>
            <w:hideMark/>
          </w:tcPr>
          <w:p w:rsidR="00562C25" w:rsidRPr="00E30C8F" w:rsidRDefault="00562C25" w:rsidP="00461C1B">
            <w:pPr>
              <w:spacing w:after="0" w:line="240" w:lineRule="auto"/>
              <w:jc w:val="left"/>
              <w:rPr>
                <w:rFonts w:ascii="Arial Narrow" w:hAnsi="Arial Narrow"/>
                <w:b/>
                <w:szCs w:val="20"/>
                <w:lang w:val="en-AU"/>
              </w:rPr>
            </w:pPr>
            <w:r w:rsidRPr="00E30C8F">
              <w:rPr>
                <w:rFonts w:ascii="Arial Narrow" w:hAnsi="Arial Narrow"/>
                <w:b/>
                <w:szCs w:val="20"/>
                <w:lang w:val="en-AU"/>
              </w:rPr>
              <w:t> </w:t>
            </w:r>
            <w:r>
              <w:rPr>
                <w:rFonts w:ascii="Arial Narrow" w:hAnsi="Arial Narrow"/>
                <w:b/>
                <w:szCs w:val="20"/>
                <w:lang w:val="en-AU"/>
              </w:rPr>
              <w:t>Comparison</w:t>
            </w:r>
          </w:p>
        </w:tc>
        <w:tc>
          <w:tcPr>
            <w:tcW w:w="1286" w:type="dxa"/>
            <w:vMerge w:val="restart"/>
            <w:tcBorders>
              <w:left w:val="single" w:sz="4" w:space="0" w:color="auto"/>
            </w:tcBorders>
            <w:noWrap/>
            <w:hideMark/>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KM period (months)</w:t>
            </w:r>
          </w:p>
        </w:tc>
        <w:tc>
          <w:tcPr>
            <w:tcW w:w="2572" w:type="dxa"/>
            <w:gridSpan w:val="2"/>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KM gains</w:t>
            </w:r>
          </w:p>
        </w:tc>
        <w:tc>
          <w:tcPr>
            <w:tcW w:w="2572" w:type="dxa"/>
            <w:gridSpan w:val="2"/>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Extrapolation</w:t>
            </w:r>
            <w:r>
              <w:rPr>
                <w:rFonts w:ascii="Arial Narrow" w:hAnsi="Arial Narrow"/>
                <w:b/>
                <w:szCs w:val="20"/>
                <w:lang w:val="en-AU"/>
              </w:rPr>
              <w:t xml:space="preserve"> </w:t>
            </w:r>
            <w:r w:rsidRPr="00E30C8F">
              <w:rPr>
                <w:rFonts w:ascii="Arial Narrow" w:hAnsi="Arial Narrow"/>
                <w:b/>
                <w:szCs w:val="20"/>
                <w:lang w:val="en-AU"/>
              </w:rPr>
              <w:t>gains</w:t>
            </w:r>
          </w:p>
        </w:tc>
        <w:tc>
          <w:tcPr>
            <w:tcW w:w="1286" w:type="dxa"/>
            <w:tcBorders>
              <w:left w:val="nil"/>
              <w:bottom w:val="nil"/>
            </w:tcBorders>
            <w:noWrap/>
            <w:hideMark/>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Total</w:t>
            </w:r>
          </w:p>
        </w:tc>
      </w:tr>
      <w:tr w:rsidR="00562C25" w:rsidRPr="008D6B70" w:rsidTr="009E0031">
        <w:trPr>
          <w:trHeight w:val="255"/>
          <w:tblHeader/>
        </w:trPr>
        <w:tc>
          <w:tcPr>
            <w:tcW w:w="1418" w:type="dxa"/>
            <w:tcBorders>
              <w:top w:val="nil"/>
              <w:bottom w:val="single" w:sz="4" w:space="0" w:color="auto"/>
              <w:right w:val="single" w:sz="4" w:space="0" w:color="auto"/>
            </w:tcBorders>
            <w:noWrap/>
            <w:hideMark/>
          </w:tcPr>
          <w:p w:rsidR="00562C25" w:rsidRPr="00E30C8F" w:rsidRDefault="00562C25" w:rsidP="00461C1B">
            <w:pPr>
              <w:spacing w:after="0" w:line="240" w:lineRule="auto"/>
              <w:jc w:val="left"/>
              <w:rPr>
                <w:rFonts w:ascii="Arial Narrow" w:hAnsi="Arial Narrow"/>
                <w:b/>
                <w:szCs w:val="20"/>
                <w:lang w:val="en-AU"/>
              </w:rPr>
            </w:pPr>
            <w:r w:rsidRPr="00E30C8F">
              <w:rPr>
                <w:rFonts w:ascii="Arial Narrow" w:hAnsi="Arial Narrow"/>
                <w:b/>
                <w:szCs w:val="20"/>
                <w:lang w:val="en-AU"/>
              </w:rPr>
              <w:t> </w:t>
            </w:r>
          </w:p>
        </w:tc>
        <w:tc>
          <w:tcPr>
            <w:tcW w:w="1286" w:type="dxa"/>
            <w:vMerge/>
            <w:tcBorders>
              <w:left w:val="single" w:sz="4" w:space="0" w:color="auto"/>
              <w:bottom w:val="single" w:sz="4" w:space="0" w:color="auto"/>
            </w:tcBorders>
            <w:noWrap/>
          </w:tcPr>
          <w:p w:rsidR="00562C25" w:rsidRPr="00E30C8F" w:rsidRDefault="00562C25" w:rsidP="00461C1B">
            <w:pPr>
              <w:spacing w:after="0" w:line="240" w:lineRule="auto"/>
              <w:jc w:val="center"/>
              <w:rPr>
                <w:rFonts w:ascii="Arial Narrow" w:hAnsi="Arial Narrow"/>
                <w:b/>
                <w:szCs w:val="20"/>
                <w:lang w:val="en-AU"/>
              </w:rPr>
            </w:pPr>
          </w:p>
        </w:tc>
        <w:tc>
          <w:tcPr>
            <w:tcW w:w="1286" w:type="dxa"/>
            <w:tcBorders>
              <w:bottom w:val="single" w:sz="4" w:space="0" w:color="auto"/>
            </w:tcBorders>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QALY</w:t>
            </w:r>
          </w:p>
        </w:tc>
        <w:tc>
          <w:tcPr>
            <w:tcW w:w="1286" w:type="dxa"/>
            <w:tcBorders>
              <w:bottom w:val="single" w:sz="4" w:space="0" w:color="auto"/>
            </w:tcBorders>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 of total QALYs</w:t>
            </w:r>
          </w:p>
        </w:tc>
        <w:tc>
          <w:tcPr>
            <w:tcW w:w="1286" w:type="dxa"/>
            <w:tcBorders>
              <w:bottom w:val="single" w:sz="4" w:space="0" w:color="auto"/>
            </w:tcBorders>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QALY</w:t>
            </w:r>
          </w:p>
        </w:tc>
        <w:tc>
          <w:tcPr>
            <w:tcW w:w="1286" w:type="dxa"/>
            <w:tcBorders>
              <w:bottom w:val="single" w:sz="4" w:space="0" w:color="auto"/>
            </w:tcBorders>
          </w:tcPr>
          <w:p w:rsidR="00562C25" w:rsidRPr="00E30C8F" w:rsidRDefault="00562C25" w:rsidP="00461C1B">
            <w:pPr>
              <w:spacing w:after="0" w:line="240" w:lineRule="auto"/>
              <w:jc w:val="center"/>
              <w:rPr>
                <w:rFonts w:ascii="Arial Narrow" w:hAnsi="Arial Narrow"/>
                <w:b/>
                <w:szCs w:val="20"/>
                <w:lang w:val="en-AU"/>
              </w:rPr>
            </w:pPr>
            <w:r w:rsidRPr="00E30C8F">
              <w:rPr>
                <w:rFonts w:ascii="Arial Narrow" w:hAnsi="Arial Narrow"/>
                <w:b/>
                <w:szCs w:val="20"/>
                <w:lang w:val="en-AU"/>
              </w:rPr>
              <w:t>% of total QALYs</w:t>
            </w:r>
          </w:p>
        </w:tc>
        <w:tc>
          <w:tcPr>
            <w:tcW w:w="1286" w:type="dxa"/>
            <w:tcBorders>
              <w:top w:val="nil"/>
              <w:bottom w:val="single" w:sz="4" w:space="0" w:color="auto"/>
            </w:tcBorders>
            <w:noWrap/>
            <w:hideMark/>
          </w:tcPr>
          <w:p w:rsidR="00562C25" w:rsidRPr="00E30C8F" w:rsidRDefault="00562C25" w:rsidP="00461C1B">
            <w:pPr>
              <w:spacing w:after="0" w:line="240" w:lineRule="auto"/>
              <w:jc w:val="center"/>
              <w:rPr>
                <w:rFonts w:ascii="Arial Narrow" w:hAnsi="Arial Narrow"/>
                <w:b/>
                <w:szCs w:val="20"/>
                <w:lang w:val="en-AU"/>
              </w:rPr>
            </w:pPr>
          </w:p>
        </w:tc>
      </w:tr>
      <w:tr w:rsidR="00562C25" w:rsidRPr="00E30C8F" w:rsidTr="00461C1B">
        <w:trPr>
          <w:trHeight w:val="255"/>
        </w:trPr>
        <w:tc>
          <w:tcPr>
            <w:tcW w:w="1418" w:type="dxa"/>
            <w:tcBorders>
              <w:right w:val="nil"/>
            </w:tcBorders>
            <w:noWrap/>
          </w:tcPr>
          <w:p w:rsidR="00562C25" w:rsidRPr="00E30C8F" w:rsidRDefault="00562C25" w:rsidP="00461C1B">
            <w:pPr>
              <w:spacing w:after="0" w:line="240" w:lineRule="auto"/>
              <w:jc w:val="left"/>
              <w:rPr>
                <w:rFonts w:ascii="Arial Narrow" w:hAnsi="Arial Narrow"/>
                <w:b/>
                <w:szCs w:val="20"/>
                <w:lang w:val="en-AU"/>
              </w:rPr>
            </w:pPr>
            <w:r w:rsidRPr="00E30C8F">
              <w:rPr>
                <w:rFonts w:ascii="Arial Narrow" w:hAnsi="Arial Narrow"/>
                <w:b/>
                <w:szCs w:val="20"/>
                <w:lang w:val="en-AU"/>
              </w:rPr>
              <w:t>DBd vs. Bd</w:t>
            </w:r>
          </w:p>
        </w:tc>
        <w:tc>
          <w:tcPr>
            <w:tcW w:w="1286" w:type="dxa"/>
            <w:tcBorders>
              <w:left w:val="nil"/>
              <w:right w:val="nil"/>
            </w:tcBorders>
            <w:noWrap/>
          </w:tcPr>
          <w:p w:rsidR="00562C25" w:rsidRPr="00E30C8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E30C8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E30C8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E30C8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E30C8F" w:rsidRDefault="00562C25" w:rsidP="00461C1B">
            <w:pPr>
              <w:spacing w:after="0" w:line="240" w:lineRule="auto"/>
              <w:jc w:val="left"/>
              <w:rPr>
                <w:rFonts w:ascii="Arial Narrow" w:hAnsi="Arial Narrow"/>
                <w:b/>
                <w:szCs w:val="20"/>
                <w:lang w:val="en-AU"/>
              </w:rPr>
            </w:pPr>
          </w:p>
        </w:tc>
        <w:tc>
          <w:tcPr>
            <w:tcW w:w="1286" w:type="dxa"/>
            <w:tcBorders>
              <w:left w:val="nil"/>
            </w:tcBorders>
            <w:noWrap/>
          </w:tcPr>
          <w:p w:rsidR="00562C25" w:rsidRPr="00E30C8F" w:rsidRDefault="00562C25" w:rsidP="00461C1B">
            <w:pPr>
              <w:spacing w:after="0" w:line="240" w:lineRule="auto"/>
              <w:jc w:val="left"/>
              <w:rPr>
                <w:rFonts w:ascii="Arial Narrow" w:hAnsi="Arial Narrow"/>
                <w:b/>
                <w:szCs w:val="20"/>
                <w:lang w:val="en-AU"/>
              </w:rPr>
            </w:pPr>
          </w:p>
        </w:tc>
      </w:tr>
      <w:tr w:rsidR="00562C25" w:rsidRPr="008D6B70" w:rsidTr="00461C1B">
        <w:trPr>
          <w:trHeight w:val="255"/>
        </w:trPr>
        <w:tc>
          <w:tcPr>
            <w:tcW w:w="1418" w:type="dxa"/>
            <w:noWrap/>
            <w:hideMark/>
          </w:tcPr>
          <w:p w:rsidR="00562C25" w:rsidRPr="008D6B70" w:rsidRDefault="00562C25" w:rsidP="00461C1B">
            <w:pPr>
              <w:spacing w:after="0" w:line="240" w:lineRule="auto"/>
              <w:jc w:val="left"/>
              <w:rPr>
                <w:rFonts w:ascii="Arial Narrow" w:hAnsi="Arial Narrow"/>
                <w:szCs w:val="20"/>
                <w:lang w:val="en-AU"/>
              </w:rPr>
            </w:pPr>
            <w:r w:rsidRPr="008D6B70">
              <w:rPr>
                <w:rFonts w:ascii="Arial Narrow" w:hAnsi="Arial Narrow"/>
                <w:szCs w:val="20"/>
                <w:lang w:val="en-AU"/>
              </w:rPr>
              <w:t xml:space="preserve">DBd </w:t>
            </w:r>
          </w:p>
        </w:tc>
        <w:tc>
          <w:tcPr>
            <w:tcW w:w="1286" w:type="dxa"/>
            <w:noWrap/>
            <w:hideMark/>
          </w:tcPr>
          <w:p w:rsidR="00562C25" w:rsidRPr="008D6B70" w:rsidRDefault="00562C25" w:rsidP="00461C1B">
            <w:pPr>
              <w:spacing w:after="0" w:line="240" w:lineRule="auto"/>
              <w:jc w:val="center"/>
              <w:rPr>
                <w:rFonts w:ascii="Arial Narrow" w:hAnsi="Arial Narrow"/>
                <w:szCs w:val="20"/>
                <w:lang w:val="en-AU"/>
              </w:rPr>
            </w:pPr>
            <w:r w:rsidRPr="008D6B70">
              <w:rPr>
                <w:rFonts w:ascii="Arial Narrow" w:hAnsi="Arial Narrow"/>
                <w:szCs w:val="20"/>
                <w:lang w:val="en-AU"/>
              </w:rPr>
              <w:t>13.9</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noWrap/>
            <w:hideMark/>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r>
      <w:tr w:rsidR="00562C25" w:rsidRPr="008D6B70" w:rsidTr="00461C1B">
        <w:trPr>
          <w:trHeight w:val="255"/>
        </w:trPr>
        <w:tc>
          <w:tcPr>
            <w:tcW w:w="1418" w:type="dxa"/>
            <w:noWrap/>
            <w:hideMark/>
          </w:tcPr>
          <w:p w:rsidR="00562C25" w:rsidRPr="008D6B70" w:rsidRDefault="00562C25" w:rsidP="00461C1B">
            <w:pPr>
              <w:spacing w:after="0" w:line="240" w:lineRule="auto"/>
              <w:jc w:val="left"/>
              <w:rPr>
                <w:rFonts w:ascii="Arial Narrow" w:hAnsi="Arial Narrow"/>
                <w:szCs w:val="20"/>
                <w:lang w:val="en-AU"/>
              </w:rPr>
            </w:pPr>
            <w:r w:rsidRPr="008D6B70">
              <w:rPr>
                <w:rFonts w:ascii="Arial Narrow" w:hAnsi="Arial Narrow"/>
                <w:szCs w:val="20"/>
                <w:lang w:val="en-AU"/>
              </w:rPr>
              <w:t xml:space="preserve">Bd </w:t>
            </w:r>
          </w:p>
        </w:tc>
        <w:tc>
          <w:tcPr>
            <w:tcW w:w="1286" w:type="dxa"/>
            <w:noWrap/>
            <w:hideMark/>
          </w:tcPr>
          <w:p w:rsidR="00562C25" w:rsidRPr="008D6B70" w:rsidRDefault="00562C25" w:rsidP="00461C1B">
            <w:pPr>
              <w:spacing w:after="0" w:line="240" w:lineRule="auto"/>
              <w:jc w:val="center"/>
              <w:rPr>
                <w:rFonts w:ascii="Arial Narrow" w:hAnsi="Arial Narrow"/>
                <w:szCs w:val="20"/>
                <w:lang w:val="en-AU"/>
              </w:rPr>
            </w:pPr>
            <w:r w:rsidRPr="008D6B70">
              <w:rPr>
                <w:rFonts w:ascii="Arial Narrow" w:hAnsi="Arial Narrow"/>
                <w:szCs w:val="20"/>
                <w:lang w:val="en-AU"/>
              </w:rPr>
              <w:t>10.7</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noWrap/>
            <w:hideMark/>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r>
      <w:tr w:rsidR="00562C25" w:rsidRPr="008D6B70" w:rsidTr="00461C1B">
        <w:trPr>
          <w:trHeight w:val="255"/>
        </w:trPr>
        <w:tc>
          <w:tcPr>
            <w:tcW w:w="1418" w:type="dxa"/>
            <w:tcBorders>
              <w:bottom w:val="single" w:sz="4" w:space="0" w:color="auto"/>
            </w:tcBorders>
            <w:noWrap/>
            <w:hideMark/>
          </w:tcPr>
          <w:p w:rsidR="00562C25" w:rsidRPr="008D6B70" w:rsidRDefault="00562C25" w:rsidP="00461C1B">
            <w:pPr>
              <w:spacing w:after="0" w:line="240" w:lineRule="auto"/>
              <w:jc w:val="left"/>
              <w:rPr>
                <w:rFonts w:ascii="Arial Narrow" w:hAnsi="Arial Narrow"/>
                <w:szCs w:val="20"/>
                <w:lang w:val="en-AU"/>
              </w:rPr>
            </w:pPr>
            <w:r w:rsidRPr="008D6B70">
              <w:rPr>
                <w:rFonts w:ascii="Arial Narrow" w:hAnsi="Arial Narrow"/>
                <w:szCs w:val="20"/>
                <w:lang w:val="en-AU"/>
              </w:rPr>
              <w:t>Increment</w:t>
            </w:r>
          </w:p>
        </w:tc>
        <w:tc>
          <w:tcPr>
            <w:tcW w:w="1286" w:type="dxa"/>
            <w:tcBorders>
              <w:bottom w:val="single" w:sz="4" w:space="0" w:color="auto"/>
            </w:tcBorders>
            <w:noWrap/>
            <w:hideMark/>
          </w:tcPr>
          <w:p w:rsidR="00562C25" w:rsidRPr="008D6B70" w:rsidRDefault="00562C25" w:rsidP="00461C1B">
            <w:pPr>
              <w:spacing w:after="0" w:line="240" w:lineRule="auto"/>
              <w:jc w:val="center"/>
              <w:rPr>
                <w:rFonts w:ascii="Arial Narrow" w:hAnsi="Arial Narrow"/>
                <w:szCs w:val="20"/>
                <w:lang w:val="en-AU"/>
              </w:rPr>
            </w:pPr>
          </w:p>
        </w:tc>
        <w:tc>
          <w:tcPr>
            <w:tcW w:w="1286" w:type="dxa"/>
            <w:tcBorders>
              <w:bottom w:val="single" w:sz="4" w:space="0" w:color="auto"/>
            </w:tcBorders>
          </w:tcPr>
          <w:p w:rsidR="00562C25" w:rsidRPr="000A7F1F" w:rsidRDefault="00562C25" w:rsidP="00461C1B">
            <w:pPr>
              <w:spacing w:after="0" w:line="240" w:lineRule="auto"/>
              <w:jc w:val="center"/>
              <w:rPr>
                <w:rFonts w:ascii="Arial Narrow" w:hAnsi="Arial Narrow"/>
                <w:szCs w:val="20"/>
                <w:lang w:val="en-AU"/>
              </w:rPr>
            </w:pPr>
          </w:p>
        </w:tc>
        <w:tc>
          <w:tcPr>
            <w:tcW w:w="1286" w:type="dxa"/>
            <w:tcBorders>
              <w:bottom w:val="single" w:sz="4" w:space="0" w:color="auto"/>
            </w:tcBorders>
          </w:tcPr>
          <w:p w:rsidR="00562C25" w:rsidRPr="000A7F1F" w:rsidRDefault="00562C25" w:rsidP="00461C1B">
            <w:pPr>
              <w:spacing w:after="0" w:line="240" w:lineRule="auto"/>
              <w:jc w:val="center"/>
              <w:rPr>
                <w:rFonts w:ascii="Arial Narrow" w:hAnsi="Arial Narrow"/>
                <w:szCs w:val="20"/>
                <w:lang w:val="en-AU"/>
              </w:rPr>
            </w:pPr>
          </w:p>
        </w:tc>
        <w:tc>
          <w:tcPr>
            <w:tcW w:w="1286" w:type="dxa"/>
            <w:tcBorders>
              <w:bottom w:val="single" w:sz="4" w:space="0" w:color="auto"/>
            </w:tcBorders>
          </w:tcPr>
          <w:p w:rsidR="00562C25" w:rsidRPr="000A7F1F" w:rsidRDefault="00562C25" w:rsidP="00461C1B">
            <w:pPr>
              <w:spacing w:after="0" w:line="240" w:lineRule="auto"/>
              <w:jc w:val="center"/>
              <w:rPr>
                <w:rFonts w:ascii="Arial Narrow" w:hAnsi="Arial Narrow"/>
                <w:szCs w:val="20"/>
                <w:lang w:val="en-AU"/>
              </w:rPr>
            </w:pPr>
          </w:p>
        </w:tc>
        <w:tc>
          <w:tcPr>
            <w:tcW w:w="1286" w:type="dxa"/>
            <w:tcBorders>
              <w:bottom w:val="single" w:sz="4" w:space="0" w:color="auto"/>
            </w:tcBorders>
          </w:tcPr>
          <w:p w:rsidR="00562C25" w:rsidRPr="000A7F1F" w:rsidRDefault="00562C25" w:rsidP="00461C1B">
            <w:pPr>
              <w:spacing w:after="0" w:line="240" w:lineRule="auto"/>
              <w:jc w:val="center"/>
              <w:rPr>
                <w:rFonts w:ascii="Arial Narrow" w:hAnsi="Arial Narrow"/>
                <w:szCs w:val="20"/>
                <w:lang w:val="en-AU"/>
              </w:rPr>
            </w:pPr>
          </w:p>
        </w:tc>
        <w:tc>
          <w:tcPr>
            <w:tcW w:w="1286" w:type="dxa"/>
            <w:tcBorders>
              <w:bottom w:val="single" w:sz="4" w:space="0" w:color="auto"/>
            </w:tcBorders>
            <w:noWrap/>
            <w:hideMark/>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r>
      <w:tr w:rsidR="00562C25" w:rsidRPr="00E30C8F" w:rsidTr="00461C1B">
        <w:trPr>
          <w:trHeight w:val="255"/>
        </w:trPr>
        <w:tc>
          <w:tcPr>
            <w:tcW w:w="1418" w:type="dxa"/>
            <w:tcBorders>
              <w:right w:val="nil"/>
            </w:tcBorders>
            <w:noWrap/>
          </w:tcPr>
          <w:p w:rsidR="00562C25" w:rsidRPr="00E30C8F" w:rsidRDefault="00562C25" w:rsidP="00461C1B">
            <w:pPr>
              <w:spacing w:after="0" w:line="240" w:lineRule="auto"/>
              <w:jc w:val="left"/>
              <w:rPr>
                <w:rFonts w:ascii="Arial Narrow" w:hAnsi="Arial Narrow"/>
                <w:b/>
                <w:szCs w:val="20"/>
                <w:lang w:val="en-AU"/>
              </w:rPr>
            </w:pPr>
            <w:r w:rsidRPr="00E30C8F">
              <w:rPr>
                <w:rFonts w:ascii="Arial Narrow" w:hAnsi="Arial Narrow"/>
                <w:b/>
                <w:szCs w:val="20"/>
                <w:lang w:val="en-AU"/>
              </w:rPr>
              <w:t>DLd vs. Ld</w:t>
            </w:r>
          </w:p>
        </w:tc>
        <w:tc>
          <w:tcPr>
            <w:tcW w:w="1286" w:type="dxa"/>
            <w:tcBorders>
              <w:left w:val="nil"/>
              <w:right w:val="nil"/>
            </w:tcBorders>
            <w:noWrap/>
          </w:tcPr>
          <w:p w:rsidR="00562C25" w:rsidRPr="00E30C8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0A7F1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0A7F1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0A7F1F" w:rsidRDefault="00562C25" w:rsidP="00461C1B">
            <w:pPr>
              <w:spacing w:after="0" w:line="240" w:lineRule="auto"/>
              <w:jc w:val="left"/>
              <w:rPr>
                <w:rFonts w:ascii="Arial Narrow" w:hAnsi="Arial Narrow"/>
                <w:b/>
                <w:szCs w:val="20"/>
                <w:lang w:val="en-AU"/>
              </w:rPr>
            </w:pPr>
          </w:p>
        </w:tc>
        <w:tc>
          <w:tcPr>
            <w:tcW w:w="1286" w:type="dxa"/>
            <w:tcBorders>
              <w:left w:val="nil"/>
              <w:right w:val="nil"/>
            </w:tcBorders>
          </w:tcPr>
          <w:p w:rsidR="00562C25" w:rsidRPr="000A7F1F" w:rsidRDefault="00562C25" w:rsidP="00461C1B">
            <w:pPr>
              <w:spacing w:after="0" w:line="240" w:lineRule="auto"/>
              <w:jc w:val="left"/>
              <w:rPr>
                <w:rFonts w:ascii="Arial Narrow" w:hAnsi="Arial Narrow"/>
                <w:b/>
                <w:szCs w:val="20"/>
                <w:lang w:val="en-AU"/>
              </w:rPr>
            </w:pPr>
          </w:p>
        </w:tc>
        <w:tc>
          <w:tcPr>
            <w:tcW w:w="1286" w:type="dxa"/>
            <w:tcBorders>
              <w:left w:val="nil"/>
            </w:tcBorders>
            <w:noWrap/>
          </w:tcPr>
          <w:p w:rsidR="00562C25" w:rsidRPr="000A7F1F" w:rsidRDefault="00562C25" w:rsidP="00461C1B">
            <w:pPr>
              <w:spacing w:after="0" w:line="240" w:lineRule="auto"/>
              <w:jc w:val="left"/>
              <w:rPr>
                <w:rFonts w:ascii="Arial Narrow" w:hAnsi="Arial Narrow"/>
                <w:b/>
                <w:szCs w:val="20"/>
                <w:lang w:val="en-AU"/>
              </w:rPr>
            </w:pPr>
          </w:p>
        </w:tc>
      </w:tr>
      <w:tr w:rsidR="00562C25" w:rsidRPr="008D6B70" w:rsidTr="00461C1B">
        <w:trPr>
          <w:trHeight w:val="255"/>
        </w:trPr>
        <w:tc>
          <w:tcPr>
            <w:tcW w:w="1418" w:type="dxa"/>
            <w:noWrap/>
            <w:hideMark/>
          </w:tcPr>
          <w:p w:rsidR="00562C25" w:rsidRPr="008D6B70" w:rsidRDefault="00562C25" w:rsidP="00461C1B">
            <w:pPr>
              <w:spacing w:after="0" w:line="240" w:lineRule="auto"/>
              <w:jc w:val="left"/>
              <w:rPr>
                <w:rFonts w:ascii="Arial Narrow" w:hAnsi="Arial Narrow"/>
                <w:szCs w:val="20"/>
                <w:lang w:val="en-AU"/>
              </w:rPr>
            </w:pPr>
            <w:r w:rsidRPr="008D6B70">
              <w:rPr>
                <w:rFonts w:ascii="Arial Narrow" w:hAnsi="Arial Narrow"/>
                <w:szCs w:val="20"/>
                <w:lang w:val="en-AU"/>
              </w:rPr>
              <w:t xml:space="preserve">DLd </w:t>
            </w:r>
          </w:p>
        </w:tc>
        <w:tc>
          <w:tcPr>
            <w:tcW w:w="1286" w:type="dxa"/>
            <w:noWrap/>
            <w:hideMark/>
          </w:tcPr>
          <w:p w:rsidR="00562C25" w:rsidRPr="008D6B70" w:rsidRDefault="00562C25" w:rsidP="00461C1B">
            <w:pPr>
              <w:spacing w:after="0" w:line="240" w:lineRule="auto"/>
              <w:jc w:val="center"/>
              <w:rPr>
                <w:rFonts w:ascii="Arial Narrow" w:hAnsi="Arial Narrow"/>
                <w:szCs w:val="20"/>
                <w:lang w:val="en-AU"/>
              </w:rPr>
            </w:pPr>
            <w:r w:rsidRPr="008D6B70">
              <w:rPr>
                <w:rFonts w:ascii="Arial Narrow" w:hAnsi="Arial Narrow"/>
                <w:szCs w:val="20"/>
                <w:lang w:val="en-AU"/>
              </w:rPr>
              <w:t>18.66</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noWrap/>
            <w:hideMark/>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r>
      <w:tr w:rsidR="00562C25" w:rsidRPr="008D6B70" w:rsidTr="00461C1B">
        <w:trPr>
          <w:trHeight w:val="255"/>
        </w:trPr>
        <w:tc>
          <w:tcPr>
            <w:tcW w:w="1418" w:type="dxa"/>
            <w:noWrap/>
            <w:hideMark/>
          </w:tcPr>
          <w:p w:rsidR="00562C25" w:rsidRPr="008D6B70" w:rsidRDefault="00562C25" w:rsidP="00461C1B">
            <w:pPr>
              <w:spacing w:after="0" w:line="240" w:lineRule="auto"/>
              <w:jc w:val="left"/>
              <w:rPr>
                <w:rFonts w:ascii="Arial Narrow" w:hAnsi="Arial Narrow"/>
                <w:szCs w:val="20"/>
                <w:lang w:val="en-AU"/>
              </w:rPr>
            </w:pPr>
            <w:r w:rsidRPr="008D6B70">
              <w:rPr>
                <w:rFonts w:ascii="Arial Narrow" w:hAnsi="Arial Narrow"/>
                <w:szCs w:val="20"/>
                <w:lang w:val="en-AU"/>
              </w:rPr>
              <w:t xml:space="preserve">Ld </w:t>
            </w:r>
          </w:p>
        </w:tc>
        <w:tc>
          <w:tcPr>
            <w:tcW w:w="1286" w:type="dxa"/>
            <w:noWrap/>
            <w:hideMark/>
          </w:tcPr>
          <w:p w:rsidR="00562C25" w:rsidRPr="008D6B70" w:rsidRDefault="00562C25" w:rsidP="00461C1B">
            <w:pPr>
              <w:spacing w:after="0" w:line="240" w:lineRule="auto"/>
              <w:jc w:val="center"/>
              <w:rPr>
                <w:rFonts w:ascii="Arial Narrow" w:hAnsi="Arial Narrow"/>
                <w:szCs w:val="20"/>
                <w:lang w:val="en-AU"/>
              </w:rPr>
            </w:pPr>
            <w:r w:rsidRPr="008D6B70">
              <w:rPr>
                <w:rFonts w:ascii="Arial Narrow" w:hAnsi="Arial Narrow"/>
                <w:szCs w:val="20"/>
                <w:lang w:val="en-AU"/>
              </w:rPr>
              <w:t>17.47</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c>
          <w:tcPr>
            <w:tcW w:w="1286" w:type="dxa"/>
            <w:noWrap/>
            <w:hideMark/>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r>
      <w:tr w:rsidR="00562C25" w:rsidRPr="008D6B70" w:rsidTr="00461C1B">
        <w:trPr>
          <w:trHeight w:val="255"/>
        </w:trPr>
        <w:tc>
          <w:tcPr>
            <w:tcW w:w="1418" w:type="dxa"/>
            <w:noWrap/>
            <w:hideMark/>
          </w:tcPr>
          <w:p w:rsidR="00562C25" w:rsidRPr="008D6B70" w:rsidRDefault="00562C25" w:rsidP="00461C1B">
            <w:pPr>
              <w:spacing w:after="0" w:line="240" w:lineRule="auto"/>
              <w:jc w:val="left"/>
              <w:rPr>
                <w:rFonts w:ascii="Arial Narrow" w:hAnsi="Arial Narrow"/>
                <w:szCs w:val="20"/>
                <w:lang w:val="en-AU"/>
              </w:rPr>
            </w:pPr>
            <w:r w:rsidRPr="008D6B70">
              <w:rPr>
                <w:rFonts w:ascii="Arial Narrow" w:hAnsi="Arial Narrow"/>
                <w:szCs w:val="20"/>
                <w:lang w:val="en-AU"/>
              </w:rPr>
              <w:t>Increment</w:t>
            </w:r>
          </w:p>
        </w:tc>
        <w:tc>
          <w:tcPr>
            <w:tcW w:w="1286" w:type="dxa"/>
            <w:noWrap/>
            <w:hideMark/>
          </w:tcPr>
          <w:p w:rsidR="00562C25" w:rsidRPr="008D6B70" w:rsidRDefault="00562C25" w:rsidP="00461C1B">
            <w:pPr>
              <w:spacing w:after="0" w:line="240" w:lineRule="auto"/>
              <w:jc w:val="center"/>
              <w:rPr>
                <w:rFonts w:ascii="Arial Narrow" w:hAnsi="Arial Narrow"/>
                <w:szCs w:val="20"/>
                <w:lang w:val="en-AU"/>
              </w:rPr>
            </w:pPr>
          </w:p>
        </w:tc>
        <w:tc>
          <w:tcPr>
            <w:tcW w:w="1286" w:type="dxa"/>
          </w:tcPr>
          <w:p w:rsidR="00562C25" w:rsidRPr="000A7F1F" w:rsidRDefault="00562C25" w:rsidP="00461C1B">
            <w:pPr>
              <w:spacing w:after="0" w:line="240" w:lineRule="auto"/>
              <w:jc w:val="center"/>
              <w:rPr>
                <w:rFonts w:ascii="Arial Narrow" w:hAnsi="Arial Narrow"/>
                <w:szCs w:val="20"/>
                <w:lang w:val="en-AU"/>
              </w:rPr>
            </w:pPr>
          </w:p>
        </w:tc>
        <w:tc>
          <w:tcPr>
            <w:tcW w:w="1286" w:type="dxa"/>
          </w:tcPr>
          <w:p w:rsidR="00562C25" w:rsidRPr="000A7F1F" w:rsidRDefault="00562C25" w:rsidP="00461C1B">
            <w:pPr>
              <w:spacing w:after="0" w:line="240" w:lineRule="auto"/>
              <w:jc w:val="center"/>
              <w:rPr>
                <w:rFonts w:ascii="Arial Narrow" w:hAnsi="Arial Narrow"/>
                <w:szCs w:val="20"/>
                <w:lang w:val="en-AU"/>
              </w:rPr>
            </w:pPr>
          </w:p>
        </w:tc>
        <w:tc>
          <w:tcPr>
            <w:tcW w:w="1286" w:type="dxa"/>
          </w:tcPr>
          <w:p w:rsidR="00562C25" w:rsidRPr="000A7F1F" w:rsidRDefault="00562C25" w:rsidP="00461C1B">
            <w:pPr>
              <w:spacing w:after="0" w:line="240" w:lineRule="auto"/>
              <w:jc w:val="center"/>
              <w:rPr>
                <w:rFonts w:ascii="Arial Narrow" w:hAnsi="Arial Narrow"/>
                <w:szCs w:val="20"/>
                <w:lang w:val="en-AU"/>
              </w:rPr>
            </w:pPr>
          </w:p>
        </w:tc>
        <w:tc>
          <w:tcPr>
            <w:tcW w:w="1286" w:type="dxa"/>
          </w:tcPr>
          <w:p w:rsidR="00562C25" w:rsidRPr="000A7F1F" w:rsidRDefault="00562C25" w:rsidP="00461C1B">
            <w:pPr>
              <w:spacing w:after="0" w:line="240" w:lineRule="auto"/>
              <w:jc w:val="center"/>
              <w:rPr>
                <w:rFonts w:ascii="Arial Narrow" w:hAnsi="Arial Narrow"/>
                <w:szCs w:val="20"/>
                <w:lang w:val="en-AU"/>
              </w:rPr>
            </w:pPr>
          </w:p>
        </w:tc>
        <w:tc>
          <w:tcPr>
            <w:tcW w:w="1286" w:type="dxa"/>
            <w:noWrap/>
            <w:hideMark/>
          </w:tcPr>
          <w:p w:rsidR="00562C25" w:rsidRPr="000A7F1F" w:rsidRDefault="000A7F1F" w:rsidP="00461C1B">
            <w:pPr>
              <w:spacing w:after="0" w:line="240" w:lineRule="auto"/>
              <w:jc w:val="center"/>
              <w:rPr>
                <w:rFonts w:ascii="Arial Narrow" w:hAnsi="Arial Narrow"/>
                <w:szCs w:val="20"/>
                <w:highlight w:val="black"/>
                <w:lang w:val="en-AU"/>
              </w:rPr>
            </w:pPr>
            <w:r>
              <w:rPr>
                <w:rFonts w:ascii="Arial Narrow" w:hAnsi="Arial Narrow"/>
                <w:noProof/>
                <w:color w:val="000000"/>
                <w:szCs w:val="20"/>
                <w:highlight w:val="black"/>
                <w:lang w:val="en-AU"/>
              </w:rPr>
              <w:t>'''''''''''</w:t>
            </w:r>
          </w:p>
        </w:tc>
      </w:tr>
    </w:tbl>
    <w:p w:rsidR="00562C25" w:rsidRPr="008C10F1" w:rsidRDefault="00562C25" w:rsidP="008C10F1">
      <w:pPr>
        <w:keepNext/>
        <w:spacing w:after="0" w:line="240" w:lineRule="auto"/>
        <w:rPr>
          <w:rFonts w:ascii="Arial Narrow" w:hAnsi="Arial Narrow"/>
          <w:sz w:val="18"/>
          <w:szCs w:val="18"/>
        </w:rPr>
      </w:pPr>
      <w:r w:rsidRPr="008C10F1">
        <w:rPr>
          <w:rFonts w:ascii="Arial Narrow" w:hAnsi="Arial Narrow"/>
          <w:sz w:val="18"/>
          <w:szCs w:val="18"/>
        </w:rPr>
        <w:t>Abbreviations: Bd, bortezomib-dexamethasone; DBd, daratumumab-bortezomib-dexamethasone; DLd, daratumumab-lenalidomide-dexamethasone; Ld, lenalidomide-dexamethasone; KM, Kaplan-Meier; PFS, progression-free survival; QALY, quality adjusted life year</w:t>
      </w:r>
    </w:p>
    <w:p w:rsidR="00562C25" w:rsidRPr="008C10F1" w:rsidRDefault="00562C25" w:rsidP="008C10F1">
      <w:pPr>
        <w:keepNext/>
        <w:spacing w:after="0" w:line="240" w:lineRule="auto"/>
        <w:rPr>
          <w:rFonts w:ascii="Arial Narrow" w:hAnsi="Arial Narrow"/>
          <w:sz w:val="18"/>
          <w:szCs w:val="18"/>
        </w:rPr>
      </w:pPr>
      <w:r w:rsidRPr="008C10F1">
        <w:rPr>
          <w:rFonts w:ascii="Arial Narrow" w:hAnsi="Arial Narrow"/>
          <w:sz w:val="18"/>
          <w:szCs w:val="18"/>
        </w:rPr>
        <w:t xml:space="preserve">Note: Analysis performed setting daratumumab uptake to 100% in both economic models (Step 2). Extrapolations were implemented from the time point at which there are less than 20% of the patients remaining in the risk set until 244 months (20 years). </w:t>
      </w:r>
    </w:p>
    <w:p w:rsidR="00562C25" w:rsidRPr="008C10F1" w:rsidRDefault="00562C25" w:rsidP="008C10F1">
      <w:pPr>
        <w:keepNext/>
        <w:spacing w:after="0" w:line="240" w:lineRule="auto"/>
        <w:rPr>
          <w:rFonts w:ascii="Arial Narrow" w:hAnsi="Arial Narrow"/>
          <w:sz w:val="18"/>
          <w:szCs w:val="18"/>
        </w:rPr>
      </w:pPr>
      <w:r w:rsidRPr="008C10F1">
        <w:rPr>
          <w:rFonts w:ascii="Arial Narrow" w:hAnsi="Arial Narrow"/>
          <w:sz w:val="18"/>
          <w:szCs w:val="18"/>
        </w:rPr>
        <w:t>Source: Excel spreadsheet "RR MM - Model DBd vs Bd" using sheets 'DBd LY calc' and 'Bd LY calc D not available' and "RR MM - Model DLd vs Ld" using sheets 'DLd LY calc' and 'Ld LY calc D not available'.</w:t>
      </w:r>
    </w:p>
    <w:p w:rsidR="00B51749" w:rsidRDefault="00B51749" w:rsidP="00865EA5">
      <w:pPr>
        <w:pStyle w:val="ListParagraph"/>
        <w:numPr>
          <w:ilvl w:val="1"/>
          <w:numId w:val="108"/>
        </w:numPr>
        <w:ind w:left="709" w:hanging="709"/>
        <w:jc w:val="both"/>
      </w:pPr>
      <w:r w:rsidRPr="008D6B70">
        <w:t>Selected univariate sensitivity analyses specified by the submission and additional analyses specified during the evaluation are presented in Table</w:t>
      </w:r>
      <w:r w:rsidR="00EC0787">
        <w:t>s</w:t>
      </w:r>
      <w:r w:rsidRPr="008D6B70">
        <w:t xml:space="preserve"> </w:t>
      </w:r>
      <w:r w:rsidR="00BD7F46" w:rsidRPr="008D6B70">
        <w:t>1</w:t>
      </w:r>
      <w:r w:rsidR="005E6F4B">
        <w:t>6</w:t>
      </w:r>
      <w:r w:rsidRPr="008D6B70">
        <w:t>-</w:t>
      </w:r>
      <w:r w:rsidR="00BD7F46" w:rsidRPr="008D6B70">
        <w:t>1</w:t>
      </w:r>
      <w:r w:rsidR="005E6F4B">
        <w:t>7</w:t>
      </w:r>
      <w:r w:rsidRPr="008D6B70">
        <w:t>. These have been conducted using Step 2 (100% daratumumab uptake) as the most appropriate base case analysis.</w:t>
      </w:r>
    </w:p>
    <w:p w:rsidR="00B51749" w:rsidRPr="008D6B70" w:rsidRDefault="00B51749" w:rsidP="00B51749">
      <w:pPr>
        <w:pStyle w:val="TableHeading1"/>
      </w:pPr>
      <w:r w:rsidRPr="008D6B70">
        <w:t>Table 1</w:t>
      </w:r>
      <w:r w:rsidR="005E6F4B">
        <w:t>6</w:t>
      </w:r>
      <w:r w:rsidRPr="008D6B70">
        <w:t>: Results of univariate sensitivity analyses, DBd vs. Bd</w:t>
      </w:r>
    </w:p>
    <w:tbl>
      <w:tblPr>
        <w:tblStyle w:val="TableGrid"/>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 Results of univariate sensitivity analyses, DBd vs. Bd"/>
      </w:tblPr>
      <w:tblGrid>
        <w:gridCol w:w="1530"/>
        <w:gridCol w:w="1531"/>
        <w:gridCol w:w="1529"/>
        <w:gridCol w:w="1531"/>
        <w:gridCol w:w="1529"/>
        <w:gridCol w:w="1529"/>
      </w:tblGrid>
      <w:tr w:rsidR="00B51749" w:rsidRPr="008D6B70" w:rsidTr="009E0031">
        <w:trPr>
          <w:cnfStyle w:val="100000000000" w:firstRow="1" w:lastRow="0" w:firstColumn="0" w:lastColumn="0" w:oddVBand="0" w:evenVBand="0" w:oddHBand="0" w:evenHBand="0" w:firstRowFirstColumn="0" w:firstRowLastColumn="0" w:lastRowFirstColumn="0" w:lastRowLastColumn="0"/>
          <w:tblHeader/>
        </w:trPr>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Parameter</w:t>
            </w:r>
          </w:p>
        </w:tc>
        <w:tc>
          <w:tcPr>
            <w:tcW w:w="834" w:type="pct"/>
            <w:shd w:val="clear" w:color="auto" w:fill="auto"/>
          </w:tcPr>
          <w:p w:rsidR="00B51749" w:rsidRPr="008D6B70" w:rsidRDefault="00B51749" w:rsidP="001C0963">
            <w:pPr>
              <w:keepNext/>
              <w:spacing w:before="40" w:after="40" w:line="240" w:lineRule="auto"/>
              <w:jc w:val="center"/>
              <w:rPr>
                <w:rFonts w:ascii="Arial Narrow" w:hAnsi="Arial Narrow"/>
                <w:szCs w:val="20"/>
              </w:rPr>
            </w:pPr>
            <w:r w:rsidRPr="008D6B70">
              <w:rPr>
                <w:rFonts w:ascii="Arial Narrow" w:hAnsi="Arial Narrow"/>
                <w:szCs w:val="20"/>
              </w:rPr>
              <w:t>Base</w:t>
            </w:r>
            <w:r w:rsidR="005F4B3A">
              <w:rPr>
                <w:rFonts w:ascii="Arial Narrow" w:hAnsi="Arial Narrow"/>
                <w:szCs w:val="20"/>
              </w:rPr>
              <w:t xml:space="preserve"> case</w:t>
            </w:r>
          </w:p>
        </w:tc>
        <w:tc>
          <w:tcPr>
            <w:tcW w:w="833" w:type="pct"/>
            <w:shd w:val="clear" w:color="auto" w:fill="auto"/>
          </w:tcPr>
          <w:p w:rsidR="00B51749" w:rsidRPr="008D6B70" w:rsidRDefault="00B51749" w:rsidP="001C0963">
            <w:pPr>
              <w:keepNext/>
              <w:spacing w:before="40" w:after="40" w:line="240" w:lineRule="auto"/>
              <w:jc w:val="center"/>
              <w:rPr>
                <w:rFonts w:ascii="Arial Narrow" w:hAnsi="Arial Narrow"/>
                <w:szCs w:val="20"/>
              </w:rPr>
            </w:pPr>
            <w:r w:rsidRPr="008D6B70">
              <w:rPr>
                <w:rFonts w:ascii="Arial Narrow" w:hAnsi="Arial Narrow"/>
                <w:szCs w:val="20"/>
              </w:rPr>
              <w:t>Value</w:t>
            </w:r>
          </w:p>
        </w:tc>
        <w:tc>
          <w:tcPr>
            <w:tcW w:w="834" w:type="pct"/>
            <w:shd w:val="clear" w:color="auto" w:fill="auto"/>
          </w:tcPr>
          <w:p w:rsidR="00B51749" w:rsidRPr="008D6B70" w:rsidRDefault="00B51749" w:rsidP="001C0963">
            <w:pPr>
              <w:keepNext/>
              <w:spacing w:before="40" w:after="40" w:line="240" w:lineRule="auto"/>
              <w:jc w:val="center"/>
              <w:rPr>
                <w:rFonts w:ascii="Arial Narrow" w:hAnsi="Arial Narrow"/>
                <w:szCs w:val="20"/>
              </w:rPr>
            </w:pPr>
            <w:r w:rsidRPr="008D6B70">
              <w:rPr>
                <w:rFonts w:ascii="Arial Narrow" w:hAnsi="Arial Narrow" w:cs="Arial"/>
                <w:szCs w:val="20"/>
              </w:rPr>
              <w:t>Incr</w:t>
            </w:r>
            <w:r w:rsidRPr="008D6B70">
              <w:rPr>
                <w:rFonts w:ascii="Arial Narrow" w:hAnsi="Arial Narrow"/>
                <w:szCs w:val="20"/>
              </w:rPr>
              <w:t xml:space="preserve"> cost</w:t>
            </w:r>
          </w:p>
        </w:tc>
        <w:tc>
          <w:tcPr>
            <w:tcW w:w="833" w:type="pct"/>
            <w:shd w:val="clear" w:color="auto" w:fill="auto"/>
          </w:tcPr>
          <w:p w:rsidR="00B51749" w:rsidRPr="008D6B70" w:rsidRDefault="00B51749" w:rsidP="001C0963">
            <w:pPr>
              <w:keepNext/>
              <w:spacing w:before="40" w:after="40" w:line="240" w:lineRule="auto"/>
              <w:jc w:val="center"/>
              <w:rPr>
                <w:rFonts w:ascii="Arial Narrow" w:hAnsi="Arial Narrow"/>
                <w:szCs w:val="20"/>
              </w:rPr>
            </w:pPr>
            <w:r w:rsidRPr="008D6B70">
              <w:rPr>
                <w:rFonts w:ascii="Arial Narrow" w:hAnsi="Arial Narrow" w:cs="Arial"/>
                <w:szCs w:val="20"/>
              </w:rPr>
              <w:t>Incr</w:t>
            </w:r>
            <w:r w:rsidRPr="008D6B70">
              <w:rPr>
                <w:rFonts w:ascii="Arial Narrow" w:hAnsi="Arial Narrow"/>
                <w:szCs w:val="20"/>
              </w:rPr>
              <w:t xml:space="preserve"> QALY</w:t>
            </w:r>
          </w:p>
        </w:tc>
        <w:tc>
          <w:tcPr>
            <w:tcW w:w="833" w:type="pct"/>
            <w:shd w:val="clear" w:color="auto" w:fill="auto"/>
          </w:tcPr>
          <w:p w:rsidR="00B51749" w:rsidRPr="008D6B70" w:rsidRDefault="00B51749" w:rsidP="001C0963">
            <w:pPr>
              <w:keepNext/>
              <w:spacing w:before="40" w:after="40" w:line="240" w:lineRule="auto"/>
              <w:jc w:val="center"/>
              <w:rPr>
                <w:rFonts w:ascii="Arial Narrow" w:hAnsi="Arial Narrow"/>
                <w:szCs w:val="20"/>
              </w:rPr>
            </w:pPr>
            <w:r w:rsidRPr="008D6B70">
              <w:rPr>
                <w:rFonts w:ascii="Arial Narrow" w:hAnsi="Arial Narrow"/>
                <w:szCs w:val="20"/>
              </w:rPr>
              <w:t>ICER</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Base case, Step 2</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horizon</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20 years</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15 years</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horizon</w:t>
            </w:r>
          </w:p>
        </w:tc>
        <w:tc>
          <w:tcPr>
            <w:tcW w:w="834" w:type="pct"/>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20 years</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10 years</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horizon</w:t>
            </w:r>
          </w:p>
        </w:tc>
        <w:tc>
          <w:tcPr>
            <w:tcW w:w="834" w:type="pct"/>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20 years</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5 years</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Discounting</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5%</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3.5%</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Discounting</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5%</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0%</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Progressive-disease health state utility</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0.61</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0.642 (CASTOR)</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point from which to start extrapolation</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20% remaining at risk</w:t>
            </w:r>
            <w:r w:rsidRPr="008D6B70">
              <w:rPr>
                <w:rFonts w:ascii="Arial Narrow" w:hAnsi="Arial Narrow" w:cs="Arial"/>
                <w:szCs w:val="20"/>
                <w:vertAlign w:val="superscript"/>
              </w:rPr>
              <w:t>a</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vertAlign w:val="superscript"/>
              </w:rPr>
            </w:pPr>
            <w:r w:rsidRPr="008D6B70">
              <w:rPr>
                <w:rFonts w:ascii="Arial Narrow" w:hAnsi="Arial Narrow" w:cs="Arial"/>
                <w:szCs w:val="20"/>
              </w:rPr>
              <w:t>Median follow-up</w:t>
            </w:r>
            <w:r w:rsidRPr="008D6B70">
              <w:rPr>
                <w:rFonts w:ascii="Arial Narrow" w:hAnsi="Arial Narrow" w:cs="Arial"/>
                <w:szCs w:val="20"/>
                <w:vertAlign w:val="superscript"/>
              </w:rPr>
              <w:t>a</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End of life hospitalisation cost</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$9,138</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$0</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PFS extrapolation</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Weibull</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Exponential</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OS extrapolation</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Exponential</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Weibull</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Effective price bortezomib (without discount)</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Price per 3 mg vial $691.62</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Effective price per 3 mg vial $1,123.18</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tcBorders>
              <w:bottom w:val="single" w:sz="4" w:space="0" w:color="auto"/>
            </w:tcBorders>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Cycles of bortezomib</w:t>
            </w:r>
          </w:p>
        </w:tc>
        <w:tc>
          <w:tcPr>
            <w:tcW w:w="834" w:type="pct"/>
            <w:tcBorders>
              <w:bottom w:val="single" w:sz="4" w:space="0" w:color="auto"/>
            </w:tcBorders>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8</w:t>
            </w:r>
          </w:p>
        </w:tc>
        <w:tc>
          <w:tcPr>
            <w:tcW w:w="833" w:type="pct"/>
            <w:tcBorders>
              <w:bottom w:val="single" w:sz="4" w:space="0" w:color="auto"/>
            </w:tcBorders>
            <w:shd w:val="clear" w:color="auto" w:fill="auto"/>
          </w:tcPr>
          <w:p w:rsidR="00B51749" w:rsidRPr="008D6B70" w:rsidRDefault="00B51749" w:rsidP="005E6F4B">
            <w:pPr>
              <w:keepNext/>
              <w:spacing w:before="40" w:after="40" w:line="240" w:lineRule="auto"/>
              <w:jc w:val="center"/>
              <w:rPr>
                <w:rFonts w:ascii="Arial Narrow" w:hAnsi="Arial Narrow"/>
                <w:szCs w:val="20"/>
              </w:rPr>
            </w:pPr>
            <w:r w:rsidRPr="008D6B70">
              <w:rPr>
                <w:rFonts w:ascii="Arial Narrow" w:hAnsi="Arial Narrow"/>
                <w:szCs w:val="20"/>
              </w:rPr>
              <w:t>11</w:t>
            </w:r>
          </w:p>
        </w:tc>
        <w:tc>
          <w:tcPr>
            <w:tcW w:w="834"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3"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E6F4B">
        <w:tc>
          <w:tcPr>
            <w:tcW w:w="833" w:type="pct"/>
            <w:tcBorders>
              <w:bottom w:val="single" w:sz="4" w:space="0" w:color="auto"/>
            </w:tcBorders>
            <w:shd w:val="clear" w:color="auto" w:fill="auto"/>
          </w:tcPr>
          <w:p w:rsidR="00B51749" w:rsidRPr="000A7F1F" w:rsidRDefault="000A7F1F" w:rsidP="001C0963">
            <w:pPr>
              <w:keepNext/>
              <w:spacing w:before="40" w:after="40" w:line="240" w:lineRule="auto"/>
              <w:jc w:val="left"/>
              <w:rPr>
                <w:rFonts w:ascii="Arial Narrow" w:hAnsi="Arial Narrow"/>
                <w:szCs w:val="20"/>
                <w:highlight w:val="black"/>
              </w:rPr>
            </w:pPr>
            <w:r>
              <w:rPr>
                <w:rFonts w:ascii="Arial Narrow" w:hAnsi="Arial Narrow"/>
                <w:noProof/>
                <w:color w:val="000000"/>
                <w:szCs w:val="20"/>
                <w:highlight w:val="black"/>
              </w:rPr>
              <w:t>''''''''''''''''''''''' ''''''''''''''''''''' '''''' ''''''''''''''''''''''''''''''''''</w:t>
            </w:r>
          </w:p>
        </w:tc>
        <w:tc>
          <w:tcPr>
            <w:tcW w:w="834"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 ''''</w:t>
            </w:r>
          </w:p>
        </w:tc>
        <w:tc>
          <w:tcPr>
            <w:tcW w:w="833"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w:t>
            </w:r>
          </w:p>
        </w:tc>
        <w:tc>
          <w:tcPr>
            <w:tcW w:w="834"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w:t>
            </w:r>
          </w:p>
        </w:tc>
        <w:tc>
          <w:tcPr>
            <w:tcW w:w="833"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w:t>
            </w:r>
          </w:p>
        </w:tc>
        <w:tc>
          <w:tcPr>
            <w:tcW w:w="833" w:type="pct"/>
            <w:tcBorders>
              <w:bottom w:val="single" w:sz="4" w:space="0" w:color="auto"/>
            </w:tcBorders>
            <w:shd w:val="clear" w:color="auto" w:fill="auto"/>
          </w:tcPr>
          <w:p w:rsidR="00B51749" w:rsidRPr="000A7F1F" w:rsidRDefault="000A7F1F" w:rsidP="005E6F4B">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w:t>
            </w:r>
          </w:p>
        </w:tc>
      </w:tr>
      <w:tr w:rsidR="00B51749" w:rsidRPr="008D6B70" w:rsidTr="005E6F4B">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cs="Arial"/>
                <w:szCs w:val="20"/>
              </w:rPr>
              <w:t>In a scenario where carfilzomib is reimbursed</w:t>
            </w:r>
          </w:p>
          <w:p w:rsidR="00B51749"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Uptake in Year 2 and subsequent years</w:t>
            </w:r>
          </w:p>
          <w:p w:rsidR="00137F9B" w:rsidRPr="008D6B70" w:rsidRDefault="00137F9B" w:rsidP="001C0963">
            <w:pPr>
              <w:keepNext/>
              <w:spacing w:before="40" w:after="40" w:line="240" w:lineRule="auto"/>
              <w:jc w:val="left"/>
              <w:rPr>
                <w:rFonts w:ascii="Arial Narrow" w:hAnsi="Arial Narrow"/>
                <w:szCs w:val="20"/>
              </w:rPr>
            </w:pPr>
            <w:r>
              <w:rPr>
                <w:rFonts w:ascii="Arial Narrow" w:hAnsi="Arial Narrow"/>
                <w:szCs w:val="20"/>
              </w:rPr>
              <w:t>(Uptake in step 2)</w:t>
            </w:r>
          </w:p>
        </w:tc>
        <w:tc>
          <w:tcPr>
            <w:tcW w:w="834"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 xml:space="preserve">CASTOR: p = </w:t>
            </w:r>
            <w:r w:rsidR="00137F9B">
              <w:rPr>
                <w:rFonts w:ascii="Arial Narrow" w:hAnsi="Arial Narrow" w:cs="Arial"/>
                <w:szCs w:val="20"/>
              </w:rPr>
              <w:t>100</w:t>
            </w:r>
            <w:r w:rsidRPr="008D6B70">
              <w:rPr>
                <w:rFonts w:ascii="Arial Narrow" w:hAnsi="Arial Narrow" w:cs="Arial"/>
                <w:szCs w:val="20"/>
              </w:rPr>
              <w:t>%</w:t>
            </w:r>
          </w:p>
        </w:tc>
        <w:tc>
          <w:tcPr>
            <w:tcW w:w="833" w:type="pct"/>
            <w:shd w:val="clear" w:color="auto" w:fill="auto"/>
          </w:tcPr>
          <w:p w:rsidR="00B51749" w:rsidRPr="008D6B70" w:rsidRDefault="00B51749" w:rsidP="005E6F4B">
            <w:pPr>
              <w:keepNext/>
              <w:spacing w:before="40" w:after="40" w:line="240" w:lineRule="auto"/>
              <w:jc w:val="center"/>
              <w:rPr>
                <w:rFonts w:ascii="Arial Narrow" w:hAnsi="Arial Narrow" w:cs="Arial"/>
                <w:szCs w:val="20"/>
              </w:rPr>
            </w:pPr>
            <w:r w:rsidRPr="008D6B70">
              <w:rPr>
                <w:rFonts w:ascii="Arial Narrow" w:hAnsi="Arial Narrow" w:cs="Arial"/>
                <w:szCs w:val="20"/>
              </w:rPr>
              <w:t>CASTOR: p = 69.48%</w:t>
            </w:r>
          </w:p>
        </w:tc>
        <w:tc>
          <w:tcPr>
            <w:tcW w:w="834"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3" w:type="pct"/>
            <w:shd w:val="clear" w:color="auto" w:fill="auto"/>
          </w:tcPr>
          <w:p w:rsidR="00B51749" w:rsidRPr="000A7F1F" w:rsidRDefault="000A7F1F" w:rsidP="005E6F4B">
            <w:pPr>
              <w:keepNext/>
              <w:spacing w:before="40" w:after="40" w:line="240" w:lineRule="auto"/>
              <w:jc w:val="center"/>
              <w:rPr>
                <w:rFonts w:ascii="Arial Narrow" w:hAnsi="Arial Narrow" w:cs="Arial"/>
                <w:szCs w:val="20"/>
                <w:highlight w:val="black"/>
              </w:rPr>
            </w:pPr>
            <w:r>
              <w:rPr>
                <w:rFonts w:ascii="Arial Narrow" w:hAnsi="Arial Narrow" w:cs="Arial"/>
                <w:noProof/>
                <w:color w:val="000000"/>
                <w:szCs w:val="20"/>
                <w:highlight w:val="black"/>
              </w:rPr>
              <w:t>'''''''''''''''''''</w:t>
            </w:r>
          </w:p>
        </w:tc>
      </w:tr>
    </w:tbl>
    <w:p w:rsidR="00B51749" w:rsidRPr="008D6B70" w:rsidRDefault="00B51749" w:rsidP="00B51749">
      <w:pPr>
        <w:pStyle w:val="TableFooter"/>
        <w:spacing w:after="0"/>
        <w:ind w:left="1134" w:hanging="1134"/>
      </w:pPr>
      <w:r w:rsidRPr="008D6B70">
        <w:t xml:space="preserve">Note: a. 20% remaining at risk: CASTOR: DBd 5.67 and Bd 15.28 months. Median follow-up: CASTOR: 13.3 months, </w:t>
      </w:r>
    </w:p>
    <w:p w:rsidR="00B51749" w:rsidRDefault="00B51749" w:rsidP="00B51749">
      <w:pPr>
        <w:pStyle w:val="TableFooter"/>
        <w:spacing w:after="0"/>
        <w:ind w:left="1134" w:hanging="1134"/>
      </w:pPr>
      <w:r w:rsidRPr="008D6B70">
        <w:t>Source:</w:t>
      </w:r>
      <w:r w:rsidR="00D42410" w:rsidRPr="008D6B70">
        <w:t xml:space="preserve"> </w:t>
      </w:r>
      <w:r w:rsidRPr="008D6B70">
        <w:t>Table 3.24, p.76 and Table 3.25, p.79 Section 3 of the submission</w:t>
      </w:r>
    </w:p>
    <w:p w:rsidR="00BC5BE1" w:rsidRDefault="00BC5BE1" w:rsidP="00B51749">
      <w:pPr>
        <w:pStyle w:val="TableFooter"/>
        <w:spacing w:after="0"/>
        <w:ind w:left="1134" w:hanging="1134"/>
      </w:pPr>
    </w:p>
    <w:p w:rsidR="00BC5BE1" w:rsidRPr="00F94B41" w:rsidRDefault="00BC5BE1" w:rsidP="00BC5BE1">
      <w:pPr>
        <w:rPr>
          <w:rFonts w:asciiTheme="minorHAnsi" w:hAnsiTheme="minorHAnsi"/>
          <w:sz w:val="24"/>
          <w:szCs w:val="24"/>
        </w:rPr>
      </w:pPr>
      <w:r w:rsidRPr="00F94B41">
        <w:rPr>
          <w:rFonts w:asciiTheme="minorHAnsi" w:hAnsiTheme="minorHAnsi"/>
          <w:sz w:val="24"/>
          <w:szCs w:val="24"/>
        </w:rPr>
        <w:t>The redacted table shows ICERs in the range of $75,000/QALY to more than $200,000/QALY.</w:t>
      </w:r>
    </w:p>
    <w:p w:rsidR="00B51749" w:rsidRPr="008D6B70" w:rsidRDefault="00B51749" w:rsidP="00B51749">
      <w:pPr>
        <w:pStyle w:val="TableHeading1"/>
      </w:pPr>
      <w:r w:rsidRPr="008D6B70">
        <w:t>Table 1</w:t>
      </w:r>
      <w:r w:rsidR="005E6F4B">
        <w:t>7</w:t>
      </w:r>
      <w:r w:rsidRPr="008D6B70">
        <w:t>: Results of univariate sensitivity analyses, DLd vs. Ld</w:t>
      </w:r>
    </w:p>
    <w:tbl>
      <w:tblPr>
        <w:tblStyle w:val="TableGrid"/>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7: Results of univariate sensitivity analyses, DLd vs. Ld"/>
      </w:tblPr>
      <w:tblGrid>
        <w:gridCol w:w="1505"/>
        <w:gridCol w:w="1508"/>
        <w:gridCol w:w="1508"/>
        <w:gridCol w:w="1506"/>
        <w:gridCol w:w="1508"/>
        <w:gridCol w:w="1504"/>
      </w:tblGrid>
      <w:tr w:rsidR="00B51749" w:rsidRPr="005F4B3A" w:rsidTr="009E0031">
        <w:trPr>
          <w:cnfStyle w:val="100000000000" w:firstRow="1" w:lastRow="0" w:firstColumn="0" w:lastColumn="0" w:oddVBand="0" w:evenVBand="0" w:oddHBand="0" w:evenHBand="0" w:firstRowFirstColumn="0" w:firstRowLastColumn="0" w:lastRowFirstColumn="0" w:lastRowLastColumn="0"/>
          <w:tblHeader/>
        </w:trPr>
        <w:tc>
          <w:tcPr>
            <w:tcW w:w="833" w:type="pct"/>
            <w:shd w:val="clear" w:color="auto" w:fill="auto"/>
          </w:tcPr>
          <w:p w:rsidR="00B51749" w:rsidRPr="005F4B3A" w:rsidRDefault="00B51749" w:rsidP="001C0963">
            <w:pPr>
              <w:keepNext/>
              <w:spacing w:before="40" w:after="40" w:line="240" w:lineRule="auto"/>
              <w:jc w:val="left"/>
              <w:rPr>
                <w:rFonts w:ascii="Arial Narrow" w:hAnsi="Arial Narrow"/>
                <w:szCs w:val="20"/>
              </w:rPr>
            </w:pPr>
            <w:r w:rsidRPr="005F4B3A">
              <w:rPr>
                <w:rFonts w:ascii="Arial Narrow" w:hAnsi="Arial Narrow"/>
                <w:szCs w:val="20"/>
              </w:rPr>
              <w:t>Parameter</w:t>
            </w:r>
          </w:p>
        </w:tc>
        <w:tc>
          <w:tcPr>
            <w:tcW w:w="834" w:type="pct"/>
            <w:shd w:val="clear" w:color="auto" w:fill="auto"/>
          </w:tcPr>
          <w:p w:rsidR="00B51749" w:rsidRPr="005F4B3A" w:rsidRDefault="00B51749" w:rsidP="001C0963">
            <w:pPr>
              <w:keepNext/>
              <w:spacing w:before="40" w:after="40" w:line="240" w:lineRule="auto"/>
              <w:jc w:val="center"/>
              <w:rPr>
                <w:rFonts w:ascii="Arial Narrow" w:hAnsi="Arial Narrow"/>
                <w:szCs w:val="20"/>
              </w:rPr>
            </w:pPr>
            <w:r w:rsidRPr="005F4B3A">
              <w:rPr>
                <w:rFonts w:ascii="Arial Narrow" w:hAnsi="Arial Narrow"/>
                <w:szCs w:val="20"/>
              </w:rPr>
              <w:t>Base</w:t>
            </w:r>
            <w:r w:rsidR="005F4B3A">
              <w:rPr>
                <w:rFonts w:ascii="Arial Narrow" w:hAnsi="Arial Narrow"/>
                <w:szCs w:val="20"/>
              </w:rPr>
              <w:t xml:space="preserve"> case</w:t>
            </w:r>
          </w:p>
        </w:tc>
        <w:tc>
          <w:tcPr>
            <w:tcW w:w="834" w:type="pct"/>
            <w:shd w:val="clear" w:color="auto" w:fill="auto"/>
          </w:tcPr>
          <w:p w:rsidR="00B51749" w:rsidRPr="005F4B3A" w:rsidRDefault="00B51749" w:rsidP="001C0963">
            <w:pPr>
              <w:keepNext/>
              <w:spacing w:before="40" w:after="40" w:line="240" w:lineRule="auto"/>
              <w:jc w:val="center"/>
              <w:rPr>
                <w:rFonts w:ascii="Arial Narrow" w:hAnsi="Arial Narrow"/>
                <w:szCs w:val="20"/>
              </w:rPr>
            </w:pPr>
            <w:r w:rsidRPr="005F4B3A">
              <w:rPr>
                <w:rFonts w:ascii="Arial Narrow" w:hAnsi="Arial Narrow"/>
                <w:szCs w:val="20"/>
              </w:rPr>
              <w:t>Value</w:t>
            </w:r>
          </w:p>
        </w:tc>
        <w:tc>
          <w:tcPr>
            <w:tcW w:w="833" w:type="pct"/>
            <w:shd w:val="clear" w:color="auto" w:fill="auto"/>
          </w:tcPr>
          <w:p w:rsidR="00B51749" w:rsidRPr="005F4B3A" w:rsidRDefault="00B51749" w:rsidP="001C0963">
            <w:pPr>
              <w:keepNext/>
              <w:spacing w:before="40" w:after="40" w:line="240" w:lineRule="auto"/>
              <w:jc w:val="center"/>
              <w:rPr>
                <w:rFonts w:ascii="Arial Narrow" w:hAnsi="Arial Narrow"/>
                <w:szCs w:val="20"/>
              </w:rPr>
            </w:pPr>
            <w:r w:rsidRPr="005F4B3A">
              <w:rPr>
                <w:rFonts w:ascii="Arial Narrow" w:hAnsi="Arial Narrow" w:cs="Arial"/>
                <w:szCs w:val="20"/>
              </w:rPr>
              <w:t>Incr</w:t>
            </w:r>
            <w:r w:rsidRPr="005F4B3A">
              <w:rPr>
                <w:rFonts w:ascii="Arial Narrow" w:hAnsi="Arial Narrow"/>
                <w:szCs w:val="20"/>
              </w:rPr>
              <w:t xml:space="preserve"> cost</w:t>
            </w:r>
          </w:p>
        </w:tc>
        <w:tc>
          <w:tcPr>
            <w:tcW w:w="834" w:type="pct"/>
            <w:shd w:val="clear" w:color="auto" w:fill="auto"/>
          </w:tcPr>
          <w:p w:rsidR="00B51749" w:rsidRPr="005F4B3A" w:rsidRDefault="00B51749" w:rsidP="001C0963">
            <w:pPr>
              <w:keepNext/>
              <w:spacing w:before="40" w:after="40" w:line="240" w:lineRule="auto"/>
              <w:jc w:val="center"/>
              <w:rPr>
                <w:rFonts w:ascii="Arial Narrow" w:hAnsi="Arial Narrow"/>
                <w:szCs w:val="20"/>
              </w:rPr>
            </w:pPr>
            <w:r w:rsidRPr="005F4B3A">
              <w:rPr>
                <w:rFonts w:ascii="Arial Narrow" w:hAnsi="Arial Narrow" w:cs="Arial"/>
                <w:szCs w:val="20"/>
              </w:rPr>
              <w:t>Incr</w:t>
            </w:r>
            <w:r w:rsidRPr="005F4B3A">
              <w:rPr>
                <w:rFonts w:ascii="Arial Narrow" w:hAnsi="Arial Narrow"/>
                <w:szCs w:val="20"/>
              </w:rPr>
              <w:t xml:space="preserve"> QALY</w:t>
            </w:r>
          </w:p>
        </w:tc>
        <w:tc>
          <w:tcPr>
            <w:tcW w:w="834" w:type="pct"/>
            <w:shd w:val="clear" w:color="auto" w:fill="auto"/>
          </w:tcPr>
          <w:p w:rsidR="00B51749" w:rsidRPr="005F4B3A" w:rsidRDefault="00B51749" w:rsidP="001C0963">
            <w:pPr>
              <w:keepNext/>
              <w:spacing w:before="40" w:after="40" w:line="240" w:lineRule="auto"/>
              <w:jc w:val="center"/>
              <w:rPr>
                <w:rFonts w:ascii="Arial Narrow" w:hAnsi="Arial Narrow"/>
                <w:szCs w:val="20"/>
              </w:rPr>
            </w:pPr>
            <w:r w:rsidRPr="005F4B3A">
              <w:rPr>
                <w:rFonts w:ascii="Arial Narrow" w:hAnsi="Arial Narrow"/>
                <w:szCs w:val="20"/>
              </w:rPr>
              <w:t xml:space="preserve">ICER </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Base case, Step 2</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horizon</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20 years</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15 years</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horizon</w:t>
            </w:r>
          </w:p>
        </w:tc>
        <w:tc>
          <w:tcPr>
            <w:tcW w:w="834" w:type="pct"/>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20 years</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10 years</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horizon</w:t>
            </w:r>
          </w:p>
        </w:tc>
        <w:tc>
          <w:tcPr>
            <w:tcW w:w="834" w:type="pct"/>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20 years</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5 years</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Discounting</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5%</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3.5%</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Discounting</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5%</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0%</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Progressive-disease health state utility</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0.61</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0.591 (POLLUX)</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Time point from which to start extrapolation</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20% remaining at risk</w:t>
            </w:r>
            <w:r w:rsidRPr="008D6B70">
              <w:rPr>
                <w:rFonts w:ascii="Arial Narrow" w:hAnsi="Arial Narrow" w:cs="Arial"/>
                <w:szCs w:val="20"/>
                <w:vertAlign w:val="superscript"/>
              </w:rPr>
              <w:t>a</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vertAlign w:val="superscript"/>
              </w:rPr>
            </w:pPr>
            <w:r w:rsidRPr="008D6B70">
              <w:rPr>
                <w:rFonts w:ascii="Arial Narrow" w:hAnsi="Arial Narrow" w:cs="Arial"/>
                <w:szCs w:val="20"/>
              </w:rPr>
              <w:t>Median follow-up</w:t>
            </w:r>
            <w:r w:rsidRPr="008D6B70">
              <w:rPr>
                <w:rFonts w:ascii="Arial Narrow" w:hAnsi="Arial Narrow" w:cs="Arial"/>
                <w:szCs w:val="20"/>
                <w:vertAlign w:val="superscript"/>
              </w:rPr>
              <w:t>a</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End of life hospitalisation cost</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$9,138</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$0</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PFS extrapolation</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szCs w:val="20"/>
              </w:rPr>
            </w:pPr>
            <w:r w:rsidRPr="008D6B70">
              <w:rPr>
                <w:rFonts w:ascii="Arial Narrow" w:hAnsi="Arial Narrow"/>
                <w:szCs w:val="20"/>
              </w:rPr>
              <w:t>Exponential</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szCs w:val="20"/>
              </w:rPr>
            </w:pPr>
            <w:r w:rsidRPr="008D6B70">
              <w:rPr>
                <w:rFonts w:ascii="Arial Narrow" w:hAnsi="Arial Narrow"/>
                <w:szCs w:val="20"/>
              </w:rPr>
              <w:t>Weibull</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OS extrapolation</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szCs w:val="20"/>
              </w:rPr>
            </w:pPr>
            <w:r w:rsidRPr="008D6B70">
              <w:rPr>
                <w:rFonts w:ascii="Arial Narrow" w:hAnsi="Arial Narrow"/>
                <w:szCs w:val="20"/>
              </w:rPr>
              <w:t>Weibull</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szCs w:val="20"/>
              </w:rPr>
              <w:t>Exponential</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Flow-on discount for lenalidomide from bortezomib</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szCs w:val="20"/>
              </w:rPr>
            </w:pPr>
            <w:r w:rsidRPr="008D6B70">
              <w:rPr>
                <w:rFonts w:ascii="Arial Narrow" w:hAnsi="Arial Narrow"/>
                <w:szCs w:val="20"/>
              </w:rPr>
              <w:t>Public: $</w:t>
            </w:r>
            <w:r w:rsidRPr="000A515C">
              <w:rPr>
                <w:rFonts w:ascii="Arial Narrow" w:hAnsi="Arial Narrow"/>
                <w:szCs w:val="20"/>
              </w:rPr>
              <w:t>1,626.04</w:t>
            </w:r>
            <w:r w:rsidRPr="008D6B70">
              <w:rPr>
                <w:rFonts w:ascii="Arial Narrow" w:hAnsi="Arial Narrow"/>
                <w:szCs w:val="20"/>
              </w:rPr>
              <w:t xml:space="preserve"> and Private: $</w:t>
            </w:r>
            <w:r w:rsidRPr="000A515C">
              <w:rPr>
                <w:rFonts w:ascii="Arial Narrow" w:hAnsi="Arial Narrow"/>
                <w:szCs w:val="20"/>
              </w:rPr>
              <w:t>1,648.05</w:t>
            </w:r>
            <w:r w:rsidRPr="008D6B70">
              <w:rPr>
                <w:rFonts w:ascii="Arial Narrow" w:hAnsi="Arial Narrow"/>
                <w:szCs w:val="20"/>
              </w:rPr>
              <w:t>.</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szCs w:val="20"/>
              </w:rPr>
            </w:pPr>
            <w:r w:rsidRPr="008D6B70">
              <w:rPr>
                <w:rFonts w:ascii="Arial Narrow" w:hAnsi="Arial Narrow"/>
                <w:szCs w:val="20"/>
              </w:rPr>
              <w:t>Public: $</w:t>
            </w:r>
            <w:r w:rsidRPr="000A515C">
              <w:rPr>
                <w:rFonts w:ascii="Arial Narrow" w:hAnsi="Arial Narrow"/>
                <w:szCs w:val="20"/>
              </w:rPr>
              <w:t>3,280.99</w:t>
            </w:r>
            <w:r w:rsidRPr="008D6B70">
              <w:rPr>
                <w:rFonts w:ascii="Arial Narrow" w:hAnsi="Arial Narrow"/>
                <w:szCs w:val="20"/>
              </w:rPr>
              <w:t xml:space="preserve"> and Private: $</w:t>
            </w:r>
            <w:r w:rsidRPr="000A515C">
              <w:rPr>
                <w:rFonts w:ascii="Arial Narrow" w:hAnsi="Arial Narrow"/>
                <w:szCs w:val="20"/>
              </w:rPr>
              <w:t>3,303.00</w:t>
            </w:r>
            <w:r w:rsidRPr="008D6B70">
              <w:rPr>
                <w:rFonts w:ascii="Arial Narrow" w:hAnsi="Arial Narrow"/>
                <w:szCs w:val="20"/>
              </w:rPr>
              <w:t>.</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noProof/>
                <w:color w:val="000000"/>
                <w:szCs w:val="20"/>
                <w:highlight w:val="black"/>
              </w:rPr>
              <w:t>'''''''''''''''''''''''</w:t>
            </w:r>
          </w:p>
        </w:tc>
      </w:tr>
      <w:tr w:rsidR="00B51749" w:rsidRPr="008D6B70" w:rsidTr="005F4B3A">
        <w:tc>
          <w:tcPr>
            <w:tcW w:w="833" w:type="pct"/>
            <w:tcBorders>
              <w:bottom w:val="single" w:sz="4" w:space="0" w:color="auto"/>
            </w:tcBorders>
            <w:shd w:val="clear" w:color="auto" w:fill="auto"/>
          </w:tcPr>
          <w:p w:rsidR="00B51749" w:rsidRPr="000A7F1F" w:rsidRDefault="000A7F1F" w:rsidP="001C0963">
            <w:pPr>
              <w:keepNext/>
              <w:spacing w:before="40" w:after="40" w:line="240" w:lineRule="auto"/>
              <w:jc w:val="left"/>
              <w:rPr>
                <w:rFonts w:ascii="Arial Narrow" w:hAnsi="Arial Narrow"/>
                <w:szCs w:val="20"/>
                <w:highlight w:val="black"/>
              </w:rPr>
            </w:pPr>
            <w:r>
              <w:rPr>
                <w:rFonts w:ascii="Arial Narrow" w:hAnsi="Arial Narrow"/>
                <w:noProof/>
                <w:color w:val="000000"/>
                <w:szCs w:val="20"/>
                <w:highlight w:val="black"/>
              </w:rPr>
              <w:t>'''''''''''''''''''' ''''''''''''''''''''''' '''''' ''''''''''''''''''''''''''''''''''</w:t>
            </w:r>
          </w:p>
        </w:tc>
        <w:tc>
          <w:tcPr>
            <w:tcW w:w="834" w:type="pct"/>
            <w:tcBorders>
              <w:bottom w:val="single" w:sz="4" w:space="0" w:color="auto"/>
            </w:tcBorders>
            <w:shd w:val="clear" w:color="auto" w:fill="auto"/>
          </w:tcPr>
          <w:p w:rsidR="00B51749" w:rsidRPr="000A7F1F" w:rsidRDefault="000A7F1F" w:rsidP="005F4B3A">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 ''''</w:t>
            </w:r>
          </w:p>
        </w:tc>
        <w:tc>
          <w:tcPr>
            <w:tcW w:w="834" w:type="pct"/>
            <w:tcBorders>
              <w:bottom w:val="single" w:sz="4" w:space="0" w:color="auto"/>
            </w:tcBorders>
            <w:shd w:val="clear" w:color="auto" w:fill="auto"/>
          </w:tcPr>
          <w:p w:rsidR="00B51749" w:rsidRPr="000A7F1F" w:rsidRDefault="000A7F1F" w:rsidP="005F4B3A">
            <w:pPr>
              <w:keepNext/>
              <w:spacing w:before="40" w:after="40" w:line="240" w:lineRule="auto"/>
              <w:jc w:val="center"/>
              <w:rPr>
                <w:rFonts w:ascii="Arial Narrow" w:hAnsi="Arial Narrow"/>
                <w:szCs w:val="20"/>
                <w:highlight w:val="black"/>
              </w:rPr>
            </w:pPr>
            <w:r>
              <w:rPr>
                <w:rFonts w:ascii="Arial Narrow" w:hAnsi="Arial Narrow"/>
                <w:noProof/>
                <w:color w:val="000000"/>
                <w:szCs w:val="20"/>
                <w:highlight w:val="black"/>
              </w:rPr>
              <w:t>''''</w:t>
            </w:r>
          </w:p>
        </w:tc>
        <w:tc>
          <w:tcPr>
            <w:tcW w:w="833" w:type="pct"/>
            <w:tcBorders>
              <w:bottom w:val="single" w:sz="4" w:space="0" w:color="auto"/>
            </w:tcBorders>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4" w:type="pct"/>
            <w:tcBorders>
              <w:bottom w:val="single" w:sz="4" w:space="0" w:color="auto"/>
            </w:tcBorders>
            <w:shd w:val="clear" w:color="auto" w:fill="auto"/>
          </w:tcPr>
          <w:p w:rsidR="00B51749" w:rsidRPr="000A7F1F" w:rsidRDefault="000A7F1F" w:rsidP="005E01ED">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4" w:type="pct"/>
            <w:tcBorders>
              <w:bottom w:val="single" w:sz="4" w:space="0" w:color="auto"/>
            </w:tcBorders>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r>
      <w:tr w:rsidR="00B51749" w:rsidRPr="008D6B70" w:rsidTr="005F4B3A">
        <w:tc>
          <w:tcPr>
            <w:tcW w:w="833" w:type="pct"/>
            <w:shd w:val="clear" w:color="auto" w:fill="auto"/>
          </w:tcPr>
          <w:p w:rsidR="00B51749" w:rsidRPr="008D6B70"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In a scenario where carfilzomib is reimbursed</w:t>
            </w:r>
          </w:p>
          <w:p w:rsidR="00B51749" w:rsidRDefault="00B51749" w:rsidP="001C0963">
            <w:pPr>
              <w:keepNext/>
              <w:spacing w:before="40" w:after="40" w:line="240" w:lineRule="auto"/>
              <w:jc w:val="left"/>
              <w:rPr>
                <w:rFonts w:ascii="Arial Narrow" w:hAnsi="Arial Narrow"/>
                <w:szCs w:val="20"/>
              </w:rPr>
            </w:pPr>
            <w:r w:rsidRPr="008D6B70">
              <w:rPr>
                <w:rFonts w:ascii="Arial Narrow" w:hAnsi="Arial Narrow"/>
                <w:szCs w:val="20"/>
              </w:rPr>
              <w:t>Uptake in Year 2 and subsequent years</w:t>
            </w:r>
          </w:p>
          <w:p w:rsidR="00137F9B" w:rsidRPr="008D6B70" w:rsidRDefault="00137F9B" w:rsidP="001C0963">
            <w:pPr>
              <w:keepNext/>
              <w:spacing w:before="40" w:after="40" w:line="240" w:lineRule="auto"/>
              <w:jc w:val="left"/>
              <w:rPr>
                <w:rFonts w:ascii="Arial Narrow" w:hAnsi="Arial Narrow"/>
                <w:szCs w:val="20"/>
              </w:rPr>
            </w:pPr>
            <w:r>
              <w:rPr>
                <w:rFonts w:ascii="Arial Narrow" w:hAnsi="Arial Narrow"/>
                <w:szCs w:val="20"/>
              </w:rPr>
              <w:t>(Uptake in step 2)</w:t>
            </w:r>
          </w:p>
        </w:tc>
        <w:tc>
          <w:tcPr>
            <w:tcW w:w="834" w:type="pct"/>
            <w:shd w:val="clear" w:color="auto" w:fill="auto"/>
          </w:tcPr>
          <w:p w:rsidR="00B51749" w:rsidRPr="008D6B70" w:rsidRDefault="00B51749" w:rsidP="00137F9B">
            <w:pPr>
              <w:keepNext/>
              <w:spacing w:before="40" w:after="40" w:line="240" w:lineRule="auto"/>
              <w:jc w:val="center"/>
              <w:rPr>
                <w:rFonts w:ascii="Arial Narrow" w:hAnsi="Arial Narrow" w:cs="Arial"/>
                <w:szCs w:val="20"/>
              </w:rPr>
            </w:pPr>
            <w:r w:rsidRPr="008D6B70">
              <w:rPr>
                <w:rFonts w:ascii="Arial Narrow" w:hAnsi="Arial Narrow" w:cs="Arial"/>
                <w:szCs w:val="20"/>
              </w:rPr>
              <w:t>POLLUX: p =</w:t>
            </w:r>
            <w:r w:rsidR="00137F9B">
              <w:rPr>
                <w:rFonts w:ascii="Arial Narrow" w:hAnsi="Arial Narrow" w:cs="Arial"/>
                <w:szCs w:val="20"/>
              </w:rPr>
              <w:t>100</w:t>
            </w:r>
            <w:r w:rsidRPr="008D6B70">
              <w:rPr>
                <w:rFonts w:ascii="Arial Narrow" w:hAnsi="Arial Narrow" w:cs="Arial"/>
                <w:szCs w:val="20"/>
              </w:rPr>
              <w:t>%</w:t>
            </w:r>
          </w:p>
        </w:tc>
        <w:tc>
          <w:tcPr>
            <w:tcW w:w="834" w:type="pct"/>
            <w:shd w:val="clear" w:color="auto" w:fill="auto"/>
          </w:tcPr>
          <w:p w:rsidR="00B51749" w:rsidRPr="008D6B70" w:rsidRDefault="00B51749"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POLLUX: p =82.88%</w:t>
            </w:r>
          </w:p>
        </w:tc>
        <w:tc>
          <w:tcPr>
            <w:tcW w:w="833"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4" w:type="pct"/>
            <w:shd w:val="clear" w:color="auto" w:fill="auto"/>
          </w:tcPr>
          <w:p w:rsidR="00B51749"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cs="Arial"/>
                <w:noProof/>
                <w:color w:val="000000"/>
                <w:szCs w:val="20"/>
                <w:highlight w:val="black"/>
              </w:rPr>
              <w:t>'''''''''''''''''''''''</w:t>
            </w:r>
          </w:p>
        </w:tc>
      </w:tr>
      <w:tr w:rsidR="00BD7F46" w:rsidRPr="008D6B70" w:rsidTr="005F4B3A">
        <w:tc>
          <w:tcPr>
            <w:tcW w:w="833" w:type="pct"/>
            <w:shd w:val="clear" w:color="auto" w:fill="auto"/>
          </w:tcPr>
          <w:p w:rsidR="00BD7F46" w:rsidRPr="008D6B70" w:rsidRDefault="00BD7F46" w:rsidP="001C0963">
            <w:pPr>
              <w:keepNext/>
              <w:spacing w:before="40" w:after="40" w:line="240" w:lineRule="auto"/>
              <w:jc w:val="left"/>
              <w:rPr>
                <w:rFonts w:ascii="Arial Narrow" w:hAnsi="Arial Narrow"/>
                <w:szCs w:val="20"/>
              </w:rPr>
            </w:pPr>
            <w:r w:rsidRPr="008D6B70">
              <w:rPr>
                <w:rFonts w:ascii="Arial Narrow" w:hAnsi="Arial Narrow"/>
                <w:szCs w:val="20"/>
              </w:rPr>
              <w:t>10 year time horizon and removal of LEN price reduction</w:t>
            </w:r>
            <w:r w:rsidR="00E24E32" w:rsidRPr="008D6B70">
              <w:rPr>
                <w:rFonts w:ascii="Arial Narrow" w:hAnsi="Arial Narrow"/>
                <w:szCs w:val="20"/>
              </w:rPr>
              <w:t xml:space="preserve"> (published price)</w:t>
            </w:r>
          </w:p>
        </w:tc>
        <w:tc>
          <w:tcPr>
            <w:tcW w:w="834" w:type="pct"/>
            <w:shd w:val="clear" w:color="auto" w:fill="auto"/>
          </w:tcPr>
          <w:p w:rsidR="00BD7F46" w:rsidRPr="008D6B70" w:rsidRDefault="00E24E32"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20 years, lenalidomide price reduction</w:t>
            </w:r>
          </w:p>
        </w:tc>
        <w:tc>
          <w:tcPr>
            <w:tcW w:w="834" w:type="pct"/>
            <w:shd w:val="clear" w:color="auto" w:fill="auto"/>
          </w:tcPr>
          <w:p w:rsidR="00BD7F46" w:rsidRPr="008D6B70" w:rsidRDefault="00E24E32" w:rsidP="005F4B3A">
            <w:pPr>
              <w:keepNext/>
              <w:spacing w:before="40" w:after="40" w:line="240" w:lineRule="auto"/>
              <w:jc w:val="center"/>
              <w:rPr>
                <w:rFonts w:ascii="Arial Narrow" w:hAnsi="Arial Narrow" w:cs="Arial"/>
                <w:szCs w:val="20"/>
              </w:rPr>
            </w:pPr>
            <w:r w:rsidRPr="008D6B70">
              <w:rPr>
                <w:rFonts w:ascii="Arial Narrow" w:hAnsi="Arial Narrow" w:cs="Arial"/>
                <w:szCs w:val="20"/>
              </w:rPr>
              <w:t>10 years, lenalidomide published price</w:t>
            </w:r>
          </w:p>
        </w:tc>
        <w:tc>
          <w:tcPr>
            <w:tcW w:w="833" w:type="pct"/>
            <w:shd w:val="clear" w:color="auto" w:fill="auto"/>
          </w:tcPr>
          <w:p w:rsidR="00BD7F46"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4" w:type="pct"/>
            <w:shd w:val="clear" w:color="auto" w:fill="auto"/>
          </w:tcPr>
          <w:p w:rsidR="00BD7F46" w:rsidRPr="000A7F1F" w:rsidRDefault="000A7F1F" w:rsidP="005F4B3A">
            <w:pPr>
              <w:keepNext/>
              <w:spacing w:before="40" w:after="40" w:line="240" w:lineRule="auto"/>
              <w:jc w:val="center"/>
              <w:rPr>
                <w:rFonts w:ascii="Arial Narrow" w:hAnsi="Arial Narrow" w:cs="Arial"/>
                <w:color w:val="000000"/>
                <w:szCs w:val="20"/>
                <w:highlight w:val="black"/>
              </w:rPr>
            </w:pPr>
            <w:r>
              <w:rPr>
                <w:rFonts w:ascii="Arial Narrow" w:hAnsi="Arial Narrow" w:cs="Arial"/>
                <w:noProof/>
                <w:color w:val="000000"/>
                <w:szCs w:val="20"/>
                <w:highlight w:val="black"/>
              </w:rPr>
              <w:t>''''''''''</w:t>
            </w:r>
          </w:p>
        </w:tc>
        <w:tc>
          <w:tcPr>
            <w:tcW w:w="834" w:type="pct"/>
            <w:shd w:val="clear" w:color="auto" w:fill="auto"/>
          </w:tcPr>
          <w:p w:rsidR="00BD7F46" w:rsidRPr="000A7F1F" w:rsidRDefault="000A7F1F" w:rsidP="005F4B3A">
            <w:pPr>
              <w:keepNext/>
              <w:spacing w:before="40" w:after="40" w:line="240" w:lineRule="auto"/>
              <w:jc w:val="center"/>
              <w:rPr>
                <w:rFonts w:ascii="Arial Narrow" w:hAnsi="Arial Narrow" w:cs="Arial"/>
                <w:szCs w:val="20"/>
                <w:highlight w:val="black"/>
              </w:rPr>
            </w:pPr>
            <w:r>
              <w:rPr>
                <w:rFonts w:ascii="Arial Narrow" w:hAnsi="Arial Narrow" w:cs="Arial"/>
                <w:noProof/>
                <w:color w:val="000000"/>
                <w:szCs w:val="20"/>
                <w:highlight w:val="black"/>
              </w:rPr>
              <w:t>'''''''''''''''''''''''</w:t>
            </w:r>
          </w:p>
        </w:tc>
      </w:tr>
    </w:tbl>
    <w:p w:rsidR="00B51749" w:rsidRPr="008D6B70" w:rsidRDefault="00B51749" w:rsidP="00B51749">
      <w:pPr>
        <w:pStyle w:val="TableFooter"/>
        <w:spacing w:after="0"/>
        <w:ind w:left="1134" w:hanging="1134"/>
      </w:pPr>
      <w:r w:rsidRPr="008D6B70">
        <w:t>Note: a. 20% remaining at risk: POLLUX: DLd 19.4 and Ld 19.2 months. Median follow-up: POLLUX: 17.3 months.</w:t>
      </w:r>
    </w:p>
    <w:p w:rsidR="00B51749" w:rsidRDefault="00B51749" w:rsidP="00B51749">
      <w:pPr>
        <w:pStyle w:val="TableFooter"/>
        <w:spacing w:after="0"/>
        <w:ind w:left="1134" w:hanging="1134"/>
      </w:pPr>
      <w:r w:rsidRPr="008D6B70">
        <w:t>Source:</w:t>
      </w:r>
      <w:r w:rsidR="00D42410" w:rsidRPr="008D6B70">
        <w:t xml:space="preserve"> </w:t>
      </w:r>
      <w:r w:rsidRPr="008D6B70">
        <w:t>Table 3.24, p.76 and Table 3.25, p.79 Section 3 of the submission</w:t>
      </w:r>
    </w:p>
    <w:p w:rsidR="00F94B41" w:rsidRDefault="00F94B41" w:rsidP="00B51749">
      <w:pPr>
        <w:pStyle w:val="TableFooter"/>
        <w:spacing w:after="0"/>
        <w:ind w:left="1134" w:hanging="1134"/>
      </w:pPr>
    </w:p>
    <w:p w:rsidR="00F94B41" w:rsidRPr="00F94B41" w:rsidRDefault="00F94B41" w:rsidP="00F94B41">
      <w:pPr>
        <w:rPr>
          <w:rFonts w:asciiTheme="minorHAnsi" w:hAnsiTheme="minorHAnsi"/>
          <w:sz w:val="24"/>
          <w:szCs w:val="24"/>
        </w:rPr>
      </w:pPr>
      <w:r w:rsidRPr="00F94B41">
        <w:rPr>
          <w:rFonts w:asciiTheme="minorHAnsi" w:hAnsiTheme="minorHAnsi"/>
          <w:sz w:val="24"/>
          <w:szCs w:val="24"/>
        </w:rPr>
        <w:t>The redacted table shows ICERs in the range of more than $200,000/QALY.</w:t>
      </w:r>
    </w:p>
    <w:p w:rsidR="003F38E7" w:rsidRPr="00552997" w:rsidRDefault="003F38E7" w:rsidP="00865EA5">
      <w:pPr>
        <w:pStyle w:val="ListParagraph"/>
        <w:numPr>
          <w:ilvl w:val="1"/>
          <w:numId w:val="108"/>
        </w:numPr>
        <w:ind w:left="709" w:hanging="709"/>
        <w:jc w:val="both"/>
      </w:pPr>
      <w:r w:rsidRPr="00552997">
        <w:t xml:space="preserve">The inclusion of a </w:t>
      </w:r>
      <w:r w:rsidR="000A7F1F">
        <w:rPr>
          <w:noProof/>
          <w:color w:val="000000"/>
          <w:highlight w:val="black"/>
        </w:rPr>
        <w:t xml:space="preserve">'''''''''''' '''''' ''''''' ''''''''''' ''''''''''''''''''''''''''' '''''''''''''''' </w:t>
      </w:r>
      <w:r w:rsidRPr="00552997">
        <w:t xml:space="preserve">for both models reduced the ICER. Without the </w:t>
      </w:r>
      <w:r w:rsidR="000A7F1F">
        <w:rPr>
          <w:noProof/>
          <w:color w:val="000000"/>
          <w:highlight w:val="black"/>
        </w:rPr>
        <w:t>'''''''''''''''' ''''''''''''''''</w:t>
      </w:r>
      <w:r w:rsidRPr="00552997">
        <w:t xml:space="preserve"> the ICER for DBd vs Bd would be </w:t>
      </w:r>
      <w:r w:rsidR="00164FEE" w:rsidRPr="00552997">
        <w:t xml:space="preserve">$105,000/QALY - $200,000/QALY </w:t>
      </w:r>
      <w:r w:rsidRPr="00552997">
        <w:t xml:space="preserve">gained and for DLd vs. Ld would be </w:t>
      </w:r>
      <w:r w:rsidR="001B2B8B" w:rsidRPr="00552997">
        <w:t xml:space="preserve">more than $200,000/QALY </w:t>
      </w:r>
      <w:r w:rsidRPr="00552997">
        <w:t xml:space="preserve">gained over the modelled 20 year time-horizon. The PBAC noted </w:t>
      </w:r>
      <w:r w:rsidR="000A7F1F">
        <w:rPr>
          <w:noProof/>
          <w:color w:val="000000"/>
          <w:highlight w:val="black"/>
        </w:rPr>
        <w:t>''''''''''''''' '''''' '''''''''' ''''''''''''''''</w:t>
      </w:r>
      <w:r w:rsidRPr="00552997">
        <w:t xml:space="preserve"> does not address the major uncertainty associated with daratumuab use which is the mean duration of use</w:t>
      </w:r>
      <w:r w:rsidRPr="00552997">
        <w:rPr>
          <w:color w:val="0070C0"/>
        </w:rPr>
        <w:t>.</w:t>
      </w:r>
    </w:p>
    <w:p w:rsidR="005E6F4B" w:rsidRPr="008D6B70" w:rsidRDefault="005E6F4B" w:rsidP="00865EA5">
      <w:pPr>
        <w:pStyle w:val="ListParagraph"/>
        <w:numPr>
          <w:ilvl w:val="1"/>
          <w:numId w:val="108"/>
        </w:numPr>
        <w:ind w:left="709" w:hanging="709"/>
        <w:jc w:val="both"/>
      </w:pPr>
      <w:r w:rsidRPr="008D6B70">
        <w:t xml:space="preserve">Overall, the </w:t>
      </w:r>
      <w:r>
        <w:t xml:space="preserve">PBAC agreed with the </w:t>
      </w:r>
      <w:r w:rsidRPr="008D6B70">
        <w:t xml:space="preserve">ESC that the ICERs estimated for daratumumab </w:t>
      </w:r>
      <w:r w:rsidR="003F38E7">
        <w:t>for both combinations</w:t>
      </w:r>
      <w:r w:rsidRPr="008D6B70">
        <w:t xml:space="preserve"> were very high and highly uncertain, reflecting the immaturity of the clinical data, the approaches to the data extrapolation and the model time horizon. Adopting the preferred time horizon (10 years), and restricting the analysis to Step 2 (which assumes bortezomib priced reductions are fully realised), the resulting ICER was </w:t>
      </w:r>
      <w:r w:rsidR="001B2B8B">
        <w:rPr>
          <w:lang w:val="en-US"/>
        </w:rPr>
        <w:t xml:space="preserve">$105,000/QALY - $200,000/QALY </w:t>
      </w:r>
      <w:r w:rsidRPr="008D6B70">
        <w:rPr>
          <w:lang w:val="en-US"/>
        </w:rPr>
        <w:t xml:space="preserve">gained for DBd vs. Bd.  </w:t>
      </w:r>
      <w:r w:rsidRPr="008D6B70">
        <w:t xml:space="preserve">Adopting the preferred time horizon (10 years), restricting the analysis to Step 2, </w:t>
      </w:r>
      <w:r w:rsidRPr="008D6B70">
        <w:rPr>
          <w:lang w:val="en-US"/>
        </w:rPr>
        <w:t xml:space="preserve">and using the lenalidomide published price resulted in an ICER of </w:t>
      </w:r>
      <w:r w:rsidR="001B2B8B">
        <w:rPr>
          <w:lang w:val="en-US"/>
        </w:rPr>
        <w:t xml:space="preserve">more than $200,000/QALY </w:t>
      </w:r>
      <w:r w:rsidRPr="008D6B70">
        <w:rPr>
          <w:lang w:val="en-US"/>
        </w:rPr>
        <w:t>gained for DLd vs. Ld.</w:t>
      </w:r>
    </w:p>
    <w:p w:rsidR="007D6B9B" w:rsidRPr="008D6B70" w:rsidRDefault="007D6B9B" w:rsidP="00865EA5">
      <w:pPr>
        <w:pStyle w:val="ListParagraph"/>
        <w:numPr>
          <w:ilvl w:val="1"/>
          <w:numId w:val="108"/>
        </w:numPr>
        <w:ind w:left="709" w:hanging="709"/>
        <w:jc w:val="both"/>
      </w:pPr>
      <w:bookmarkStart w:id="30" w:name="_Toc413139283"/>
      <w:bookmarkStart w:id="31" w:name="_Toc492997393"/>
      <w:r>
        <w:t>The PBAC recalled that it recently recommended Cd on the basis of superior efficacy compared to Bd</w:t>
      </w:r>
      <w:r w:rsidR="00173C7E">
        <w:t>,</w:t>
      </w:r>
      <w:r w:rsidR="00712E7F" w:rsidRPr="00712E7F">
        <w:t xml:space="preserve"> </w:t>
      </w:r>
      <w:r w:rsidR="00712E7F">
        <w:t xml:space="preserve">and </w:t>
      </w:r>
      <w:r w:rsidR="00173C7E">
        <w:t xml:space="preserve">that </w:t>
      </w:r>
      <w:r w:rsidR="00712E7F">
        <w:t>Cd may be a relevant comparator for both DBd and DLd (in the absence of CLd being listed)</w:t>
      </w:r>
      <w:r>
        <w:t xml:space="preserve">. Although this submission did not adequately demonstrate a </w:t>
      </w:r>
      <w:r w:rsidR="007954BD">
        <w:t>survival</w:t>
      </w:r>
      <w:r>
        <w:t xml:space="preserve"> benefit for DBd over Cd</w:t>
      </w:r>
      <w:r w:rsidR="00712E7F">
        <w:t xml:space="preserve">, </w:t>
      </w:r>
      <w:r w:rsidR="00362BB9">
        <w:t xml:space="preserve">and did not present data for DLd vs Cd, </w:t>
      </w:r>
      <w:r w:rsidR="00796E65">
        <w:t xml:space="preserve">the PBAC considered </w:t>
      </w:r>
      <w:r w:rsidR="00712E7F">
        <w:t>an economic analysis including Cd may be informative.</w:t>
      </w:r>
      <w:r>
        <w:t xml:space="preserve"> </w:t>
      </w:r>
    </w:p>
    <w:p w:rsidR="00074D4A" w:rsidRPr="00981468" w:rsidRDefault="001C231A" w:rsidP="00074D4A">
      <w:pPr>
        <w:pStyle w:val="Heading2"/>
      </w:pPr>
      <w:r w:rsidRPr="00981468">
        <w:t>Drug cost/patient/</w:t>
      </w:r>
      <w:bookmarkEnd w:id="30"/>
      <w:r w:rsidR="00171830" w:rsidRPr="00981468">
        <w:t>year</w:t>
      </w:r>
      <w:bookmarkEnd w:id="31"/>
    </w:p>
    <w:p w:rsidR="00171830" w:rsidRPr="008D6B70" w:rsidRDefault="00171830" w:rsidP="00865EA5">
      <w:pPr>
        <w:pStyle w:val="ListParagraph"/>
        <w:numPr>
          <w:ilvl w:val="1"/>
          <w:numId w:val="108"/>
        </w:numPr>
        <w:ind w:left="709" w:hanging="709"/>
        <w:jc w:val="both"/>
      </w:pPr>
      <w:r w:rsidRPr="008D6B70">
        <w:t>The average cost of daratumumab in the DBd regimen (</w:t>
      </w:r>
      <w:r w:rsidR="000A7F1F">
        <w:rPr>
          <w:noProof/>
          <w:color w:val="000000"/>
          <w:highlight w:val="black"/>
        </w:rPr>
        <w:t>'''''''''''''''''''' '''''''''''''''</w:t>
      </w:r>
      <w:r w:rsidRPr="008D6B70">
        <w:t>) for the first year is $</w:t>
      </w:r>
      <w:r w:rsidR="000A7F1F">
        <w:rPr>
          <w:noProof/>
          <w:color w:val="000000"/>
          <w:highlight w:val="black"/>
        </w:rPr>
        <w:t>''''''''''''''</w:t>
      </w:r>
      <w:r w:rsidRPr="008D6B70">
        <w:t>. This is based on the effective price of $</w:t>
      </w:r>
      <w:r w:rsidR="000A7F1F">
        <w:rPr>
          <w:noProof/>
          <w:color w:val="000000"/>
          <w:highlight w:val="black"/>
        </w:rPr>
        <w:t>'''''''''''''''''</w:t>
      </w:r>
      <w:r w:rsidRPr="008D6B70">
        <w:t xml:space="preserve"> (for 3 vials per infusion, weighted across public + private hospitals) and 18 infusions over 12</w:t>
      </w:r>
      <w:r w:rsidR="00712E7F">
        <w:t> </w:t>
      </w:r>
      <w:r w:rsidRPr="008D6B70">
        <w:t xml:space="preserve">months. </w:t>
      </w:r>
    </w:p>
    <w:p w:rsidR="00074D4A" w:rsidRPr="008D6B70" w:rsidRDefault="00171830" w:rsidP="00865EA5">
      <w:pPr>
        <w:pStyle w:val="ListParagraph"/>
        <w:numPr>
          <w:ilvl w:val="1"/>
          <w:numId w:val="108"/>
        </w:numPr>
        <w:ind w:left="709" w:hanging="709"/>
        <w:jc w:val="both"/>
      </w:pPr>
      <w:r w:rsidRPr="008D6B70">
        <w:t>The average cost of daratumumab in the DLd regimen (</w:t>
      </w:r>
      <w:r w:rsidR="000A7F1F">
        <w:rPr>
          <w:noProof/>
          <w:color w:val="000000"/>
          <w:highlight w:val="black"/>
        </w:rPr>
        <w:t>''''''''''''''''''' '''''''''''''</w:t>
      </w:r>
      <w:r w:rsidRPr="008D6B70">
        <w:t>) for the first year is $</w:t>
      </w:r>
      <w:r w:rsidR="000A7F1F">
        <w:rPr>
          <w:noProof/>
          <w:color w:val="000000"/>
          <w:highlight w:val="black"/>
        </w:rPr>
        <w:t>''''''''''''''''</w:t>
      </w:r>
      <w:r w:rsidRPr="008D6B70">
        <w:t>. This is based on the effective price of $</w:t>
      </w:r>
      <w:r w:rsidR="000A7F1F">
        <w:rPr>
          <w:noProof/>
          <w:color w:val="000000"/>
          <w:highlight w:val="black"/>
        </w:rPr>
        <w:t>''''''''''''''''</w:t>
      </w:r>
      <w:r w:rsidRPr="008D6B70">
        <w:t xml:space="preserve"> (for 3 vials per infusion, weighted across public + private hospitals) and 22 infusions over 12</w:t>
      </w:r>
      <w:r w:rsidR="00712E7F">
        <w:t> </w:t>
      </w:r>
      <w:r w:rsidRPr="008D6B70">
        <w:t>months.</w:t>
      </w:r>
    </w:p>
    <w:p w:rsidR="00074D4A" w:rsidRPr="00981468" w:rsidRDefault="00074D4A" w:rsidP="00074D4A">
      <w:pPr>
        <w:pStyle w:val="Heading2"/>
      </w:pPr>
      <w:bookmarkStart w:id="32" w:name="_Toc413139284"/>
      <w:bookmarkStart w:id="33" w:name="_Toc492997394"/>
      <w:r w:rsidRPr="00981468">
        <w:t>Estimated PBS usage &amp; financial implications</w:t>
      </w:r>
      <w:bookmarkEnd w:id="32"/>
      <w:bookmarkEnd w:id="33"/>
    </w:p>
    <w:p w:rsidR="001A57A4" w:rsidRPr="008D6B70" w:rsidRDefault="000224A5" w:rsidP="00865EA5">
      <w:pPr>
        <w:pStyle w:val="ListParagraph"/>
        <w:numPr>
          <w:ilvl w:val="1"/>
          <w:numId w:val="108"/>
        </w:numPr>
        <w:ind w:left="709" w:hanging="709"/>
        <w:jc w:val="both"/>
      </w:pPr>
      <w:r w:rsidRPr="008D6B70">
        <w:t>This submission w</w:t>
      </w:r>
      <w:r w:rsidR="00A410DE" w:rsidRPr="008D6B70">
        <w:t>as</w:t>
      </w:r>
      <w:r w:rsidRPr="008D6B70">
        <w:t xml:space="preserve"> not </w:t>
      </w:r>
      <w:r w:rsidR="00074D4A" w:rsidRPr="008D6B70">
        <w:t>considered by DUSC</w:t>
      </w:r>
      <w:r w:rsidRPr="008D6B70">
        <w:t>. The submission used a mixed epidemiological and market share approach to estimate the utilisation and financial impact of listing daratumumab.</w:t>
      </w:r>
    </w:p>
    <w:p w:rsidR="005A53D6" w:rsidRPr="008D6B70" w:rsidRDefault="005A53D6" w:rsidP="00865EA5">
      <w:pPr>
        <w:pStyle w:val="ListParagraph"/>
        <w:numPr>
          <w:ilvl w:val="1"/>
          <w:numId w:val="108"/>
        </w:numPr>
        <w:ind w:left="709" w:hanging="709"/>
        <w:jc w:val="both"/>
      </w:pPr>
      <w:r w:rsidRPr="008D6B70">
        <w:t>The submission estimated prevalent and incident MM populations f</w:t>
      </w:r>
      <w:r w:rsidR="00E97443" w:rsidRPr="008D6B70">
        <w:t>rom AIHW data (ACIM and Cancer i</w:t>
      </w:r>
      <w:r w:rsidRPr="008D6B70">
        <w:t xml:space="preserve">n Australia, respectively). The submission then applied the estimated proportion </w:t>
      </w:r>
      <w:r w:rsidR="001D2E9F">
        <w:t>of</w:t>
      </w:r>
      <w:r w:rsidRPr="008D6B70">
        <w:t xml:space="preserve"> RRMM incident and RRMM prevalent</w:t>
      </w:r>
      <w:r w:rsidR="001D2E9F">
        <w:t xml:space="preserve"> patients</w:t>
      </w:r>
      <w:r w:rsidRPr="008D6B70">
        <w:t xml:space="preserve"> </w:t>
      </w:r>
      <w:r w:rsidR="001D2E9F">
        <w:t>using</w:t>
      </w:r>
      <w:r w:rsidR="001D2E9F" w:rsidRPr="008D6B70">
        <w:t xml:space="preserve"> </w:t>
      </w:r>
      <w:r w:rsidRPr="008D6B70">
        <w:t xml:space="preserve">the 10% PBS sample. </w:t>
      </w:r>
      <w:r w:rsidR="00AD064C" w:rsidRPr="008D6B70">
        <w:t>T</w:t>
      </w:r>
      <w:r w:rsidR="00106BE2" w:rsidRPr="008D6B70">
        <w:t xml:space="preserve">he PSCR </w:t>
      </w:r>
      <w:r w:rsidR="00AD064C" w:rsidRPr="008D6B70">
        <w:t xml:space="preserve">provided further information that </w:t>
      </w:r>
      <w:r w:rsidR="00106BE2" w:rsidRPr="008D6B70">
        <w:t xml:space="preserve">clarified that treatments used as the basis of this 10% sample were likely to be representative of the range of therapies used in MM and </w:t>
      </w:r>
      <w:r w:rsidR="001D2E9F">
        <w:t>argued that this was therefore</w:t>
      </w:r>
      <w:r w:rsidR="001D2E9F" w:rsidRPr="008D6B70">
        <w:t xml:space="preserve"> </w:t>
      </w:r>
      <w:r w:rsidR="00106BE2" w:rsidRPr="008D6B70">
        <w:t xml:space="preserve">a reasonable basis upon which to estimate </w:t>
      </w:r>
      <w:r w:rsidR="003F2991" w:rsidRPr="008D6B70">
        <w:t xml:space="preserve">the number of </w:t>
      </w:r>
      <w:r w:rsidRPr="008D6B70">
        <w:t>RRMM</w:t>
      </w:r>
      <w:r w:rsidR="00B506CF" w:rsidRPr="008D6B70">
        <w:t xml:space="preserve"> patients eligible for daratumumab based therapies. </w:t>
      </w:r>
    </w:p>
    <w:p w:rsidR="00FD5C52" w:rsidRPr="008D6B70" w:rsidRDefault="00FD5C52" w:rsidP="00865EA5">
      <w:pPr>
        <w:pStyle w:val="ListParagraph"/>
        <w:numPr>
          <w:ilvl w:val="1"/>
          <w:numId w:val="108"/>
        </w:numPr>
        <w:ind w:left="709" w:hanging="709"/>
        <w:jc w:val="both"/>
      </w:pPr>
      <w:r w:rsidRPr="008D6B70">
        <w:rPr>
          <w:szCs w:val="24"/>
        </w:rPr>
        <w:t>The submission noted that the market research conducted among clinicians indicated that as Bd is more commonly used in first line, Ld therapy (or DLd) is more likely to be used in second line. This difference in uptake has been incorporated into the financial estimates.</w:t>
      </w:r>
      <w:r w:rsidR="00712E7F">
        <w:rPr>
          <w:szCs w:val="24"/>
        </w:rPr>
        <w:t xml:space="preserve"> The PBAC noted that if DBd only were </w:t>
      </w:r>
      <w:r w:rsidR="006905E7">
        <w:rPr>
          <w:szCs w:val="24"/>
        </w:rPr>
        <w:t>listed</w:t>
      </w:r>
      <w:r w:rsidR="00712E7F">
        <w:rPr>
          <w:szCs w:val="24"/>
        </w:rPr>
        <w:t xml:space="preserve">, this would likely also influence the utilisation of Ld and Bd in the first line setting. </w:t>
      </w:r>
      <w:r w:rsidR="001D2E9F">
        <w:rPr>
          <w:szCs w:val="24"/>
        </w:rPr>
        <w:t>The PBAC also considered that this indicated there was likely to be strong clinician preference for both daratumumab combination regimens to be available, to enable switching of backbone therapies.</w:t>
      </w:r>
    </w:p>
    <w:p w:rsidR="001D2E9F" w:rsidRDefault="00B11AD7" w:rsidP="00865EA5">
      <w:pPr>
        <w:pStyle w:val="ListParagraph"/>
        <w:numPr>
          <w:ilvl w:val="1"/>
          <w:numId w:val="108"/>
        </w:numPr>
        <w:ind w:left="709" w:hanging="709"/>
        <w:jc w:val="both"/>
      </w:pPr>
      <w:r w:rsidRPr="008D6B70" w:rsidDel="001D2E9F">
        <w:t xml:space="preserve">The estimated use and financial implications </w:t>
      </w:r>
      <w:r w:rsidR="00992810" w:rsidRPr="008D6B70" w:rsidDel="001D2E9F">
        <w:t xml:space="preserve">of listing daratumumab </w:t>
      </w:r>
      <w:r w:rsidRPr="008D6B70" w:rsidDel="001D2E9F">
        <w:t xml:space="preserve">are presented in Table </w:t>
      </w:r>
      <w:r w:rsidR="001A117E" w:rsidRPr="008D6B70" w:rsidDel="001D2E9F">
        <w:t>18</w:t>
      </w:r>
      <w:r w:rsidRPr="008D6B70" w:rsidDel="001D2E9F">
        <w:t xml:space="preserve">. </w:t>
      </w:r>
    </w:p>
    <w:p w:rsidR="00DB2535" w:rsidRPr="008D6B70" w:rsidRDefault="00DB2535" w:rsidP="00865EA5">
      <w:pPr>
        <w:pStyle w:val="ListParagraph"/>
        <w:numPr>
          <w:ilvl w:val="1"/>
          <w:numId w:val="108"/>
        </w:numPr>
        <w:ind w:left="709" w:hanging="709"/>
        <w:jc w:val="both"/>
      </w:pPr>
      <w:r w:rsidRPr="008D6B70">
        <w:t>The use of bortezomib, lenalidomide, dexamethasone and AE treatment</w:t>
      </w:r>
      <w:r w:rsidR="00992810" w:rsidRPr="008D6B70">
        <w:t>s</w:t>
      </w:r>
      <w:r w:rsidRPr="008D6B70">
        <w:t xml:space="preserve"> as estimated in the submission </w:t>
      </w:r>
      <w:r w:rsidR="003F2991" w:rsidRPr="008D6B70">
        <w:t xml:space="preserve">included </w:t>
      </w:r>
      <w:r w:rsidRPr="008D6B70">
        <w:t xml:space="preserve">use as part of the daratumumab regimen (the world with daratumumab) and use substituted for by the daratumumab regimen (the world without daratumumab). Only the net difference in the use of those therapies </w:t>
      </w:r>
      <w:r w:rsidR="003F2991" w:rsidRPr="008D6B70">
        <w:t xml:space="preserve">contributed </w:t>
      </w:r>
      <w:r w:rsidRPr="008D6B70">
        <w:t>to the financial impact of listing daratumumab.</w:t>
      </w:r>
      <w:r w:rsidR="001D2E9F" w:rsidRPr="001D2E9F">
        <w:t xml:space="preserve"> </w:t>
      </w:r>
    </w:p>
    <w:p w:rsidR="00074D4A" w:rsidRPr="008D6B70" w:rsidRDefault="00074D4A" w:rsidP="00074D4A">
      <w:pPr>
        <w:pStyle w:val="TableHeading1"/>
      </w:pPr>
      <w:r w:rsidRPr="008D6B70">
        <w:t xml:space="preserve">Table </w:t>
      </w:r>
      <w:r w:rsidR="001A117E" w:rsidRPr="008D6B70">
        <w:t>18</w:t>
      </w:r>
      <w:r w:rsidR="00D73540" w:rsidRPr="008D6B70">
        <w:t>: Estimated</w:t>
      </w:r>
      <w:r w:rsidRPr="008D6B70">
        <w:t xml:space="preserve">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58"/>
        <w:gridCol w:w="1114"/>
        <w:gridCol w:w="1075"/>
        <w:gridCol w:w="1047"/>
        <w:gridCol w:w="1075"/>
        <w:gridCol w:w="1038"/>
        <w:gridCol w:w="1075"/>
      </w:tblGrid>
      <w:tr w:rsidR="00AE7BDF" w:rsidRPr="008D6B70" w:rsidTr="00D778F8">
        <w:trPr>
          <w:tblHeader/>
        </w:trPr>
        <w:tc>
          <w:tcPr>
            <w:tcW w:w="1536" w:type="pct"/>
            <w:tcBorders>
              <w:bottom w:val="single" w:sz="4" w:space="0" w:color="auto"/>
            </w:tcBorders>
            <w:shd w:val="clear" w:color="auto" w:fill="auto"/>
            <w:vAlign w:val="center"/>
          </w:tcPr>
          <w:p w:rsidR="00AE7BDF" w:rsidRPr="008D6B70" w:rsidRDefault="00AE7BDF" w:rsidP="00BA45B9">
            <w:pPr>
              <w:pStyle w:val="TableText"/>
            </w:pPr>
          </w:p>
        </w:tc>
        <w:tc>
          <w:tcPr>
            <w:tcW w:w="686" w:type="pct"/>
            <w:tcBorders>
              <w:bottom w:val="single" w:sz="4" w:space="0" w:color="auto"/>
            </w:tcBorders>
            <w:shd w:val="clear" w:color="auto" w:fill="auto"/>
            <w:vAlign w:val="center"/>
          </w:tcPr>
          <w:p w:rsidR="00AE7BDF" w:rsidRPr="008D6B70" w:rsidRDefault="00AE7BDF" w:rsidP="00BA45B9">
            <w:pPr>
              <w:pStyle w:val="TableText"/>
              <w:rPr>
                <w:b/>
              </w:rPr>
            </w:pPr>
            <w:r w:rsidRPr="008D6B70">
              <w:rPr>
                <w:b/>
              </w:rPr>
              <w:t>Year 1</w:t>
            </w:r>
          </w:p>
        </w:tc>
        <w:tc>
          <w:tcPr>
            <w:tcW w:w="618" w:type="pct"/>
            <w:tcBorders>
              <w:bottom w:val="single" w:sz="4" w:space="0" w:color="auto"/>
            </w:tcBorders>
            <w:shd w:val="clear" w:color="auto" w:fill="auto"/>
            <w:vAlign w:val="center"/>
          </w:tcPr>
          <w:p w:rsidR="00AE7BDF" w:rsidRPr="008D6B70" w:rsidRDefault="00AE7BDF" w:rsidP="00BA45B9">
            <w:pPr>
              <w:pStyle w:val="TableText"/>
              <w:rPr>
                <w:b/>
              </w:rPr>
            </w:pPr>
            <w:r w:rsidRPr="008D6B70">
              <w:rPr>
                <w:b/>
              </w:rPr>
              <w:t>Year 2</w:t>
            </w:r>
          </w:p>
        </w:tc>
        <w:tc>
          <w:tcPr>
            <w:tcW w:w="532" w:type="pct"/>
            <w:tcBorders>
              <w:bottom w:val="single" w:sz="4" w:space="0" w:color="auto"/>
            </w:tcBorders>
            <w:shd w:val="clear" w:color="auto" w:fill="auto"/>
            <w:vAlign w:val="center"/>
          </w:tcPr>
          <w:p w:rsidR="00AE7BDF" w:rsidRPr="008D6B70" w:rsidRDefault="00AE7BDF" w:rsidP="00BA45B9">
            <w:pPr>
              <w:pStyle w:val="TableText"/>
              <w:rPr>
                <w:b/>
              </w:rPr>
            </w:pPr>
            <w:r w:rsidRPr="008D6B70">
              <w:rPr>
                <w:b/>
              </w:rPr>
              <w:t>Year 3</w:t>
            </w:r>
          </w:p>
        </w:tc>
        <w:tc>
          <w:tcPr>
            <w:tcW w:w="551" w:type="pct"/>
            <w:tcBorders>
              <w:bottom w:val="single" w:sz="4" w:space="0" w:color="auto"/>
            </w:tcBorders>
            <w:shd w:val="clear" w:color="auto" w:fill="auto"/>
            <w:vAlign w:val="center"/>
          </w:tcPr>
          <w:p w:rsidR="00AE7BDF" w:rsidRPr="008D6B70" w:rsidRDefault="00AE7BDF" w:rsidP="00BA45B9">
            <w:pPr>
              <w:pStyle w:val="TableText"/>
              <w:rPr>
                <w:b/>
              </w:rPr>
            </w:pPr>
            <w:r w:rsidRPr="008D6B70">
              <w:rPr>
                <w:b/>
              </w:rPr>
              <w:t>Year 4</w:t>
            </w:r>
          </w:p>
        </w:tc>
        <w:tc>
          <w:tcPr>
            <w:tcW w:w="540" w:type="pct"/>
            <w:tcBorders>
              <w:bottom w:val="single" w:sz="4" w:space="0" w:color="auto"/>
            </w:tcBorders>
            <w:shd w:val="clear" w:color="auto" w:fill="auto"/>
            <w:vAlign w:val="center"/>
          </w:tcPr>
          <w:p w:rsidR="00AE7BDF" w:rsidRPr="008D6B70" w:rsidRDefault="00AE7BDF" w:rsidP="00BA45B9">
            <w:pPr>
              <w:pStyle w:val="TableText"/>
              <w:rPr>
                <w:b/>
              </w:rPr>
            </w:pPr>
            <w:r w:rsidRPr="008D6B70">
              <w:rPr>
                <w:b/>
              </w:rPr>
              <w:t>Year 5</w:t>
            </w:r>
          </w:p>
        </w:tc>
        <w:tc>
          <w:tcPr>
            <w:tcW w:w="537" w:type="pct"/>
            <w:tcBorders>
              <w:bottom w:val="single" w:sz="4" w:space="0" w:color="auto"/>
            </w:tcBorders>
          </w:tcPr>
          <w:p w:rsidR="00AE7BDF" w:rsidRPr="008D6B70" w:rsidRDefault="00AE7BDF" w:rsidP="00BA45B9">
            <w:pPr>
              <w:pStyle w:val="TableText"/>
              <w:rPr>
                <w:b/>
              </w:rPr>
            </w:pPr>
            <w:r w:rsidRPr="008D6B70">
              <w:rPr>
                <w:b/>
              </w:rPr>
              <w:t>Year 6</w:t>
            </w:r>
          </w:p>
        </w:tc>
      </w:tr>
      <w:tr w:rsidR="00AE7BDF" w:rsidRPr="008D6B70" w:rsidTr="00D778F8">
        <w:tc>
          <w:tcPr>
            <w:tcW w:w="4463" w:type="pct"/>
            <w:gridSpan w:val="6"/>
            <w:tcBorders>
              <w:right w:val="nil"/>
            </w:tcBorders>
            <w:shd w:val="clear" w:color="auto" w:fill="auto"/>
            <w:vAlign w:val="center"/>
          </w:tcPr>
          <w:p w:rsidR="00AE7BDF" w:rsidRPr="008D6B70" w:rsidRDefault="00AE7BDF" w:rsidP="00BA45B9">
            <w:pPr>
              <w:pStyle w:val="TableText"/>
              <w:rPr>
                <w:b/>
                <w:bCs/>
                <w:color w:val="000000"/>
              </w:rPr>
            </w:pPr>
            <w:r w:rsidRPr="008D6B70">
              <w:rPr>
                <w:b/>
                <w:bCs/>
                <w:color w:val="000000"/>
              </w:rPr>
              <w:t>Estimated extent of use</w:t>
            </w:r>
          </w:p>
        </w:tc>
        <w:tc>
          <w:tcPr>
            <w:tcW w:w="537" w:type="pct"/>
            <w:tcBorders>
              <w:left w:val="nil"/>
            </w:tcBorders>
          </w:tcPr>
          <w:p w:rsidR="00AE7BDF" w:rsidRPr="008D6B70" w:rsidRDefault="00AE7BDF" w:rsidP="00BA45B9">
            <w:pPr>
              <w:pStyle w:val="TableText"/>
              <w:rPr>
                <w:b/>
                <w:bCs/>
                <w:color w:val="000000"/>
              </w:rPr>
            </w:pPr>
          </w:p>
        </w:tc>
      </w:tr>
      <w:tr w:rsidR="00AE7BDF" w:rsidRPr="008D6B70" w:rsidTr="00D778F8">
        <w:tc>
          <w:tcPr>
            <w:tcW w:w="1536" w:type="pct"/>
            <w:tcBorders>
              <w:top w:val="nil"/>
              <w:left w:val="single" w:sz="4" w:space="0" w:color="auto"/>
              <w:bottom w:val="single" w:sz="4" w:space="0" w:color="auto"/>
              <w:right w:val="single" w:sz="4" w:space="0" w:color="auto"/>
            </w:tcBorders>
            <w:shd w:val="clear" w:color="auto" w:fill="auto"/>
            <w:vAlign w:val="center"/>
          </w:tcPr>
          <w:p w:rsidR="00AE7BDF" w:rsidRPr="008D6B70" w:rsidRDefault="00AE7BDF" w:rsidP="00AE7BDF">
            <w:pPr>
              <w:pStyle w:val="TableText"/>
            </w:pPr>
            <w:r w:rsidRPr="008D6B70">
              <w:rPr>
                <w:rFonts w:cs="Arial"/>
                <w:szCs w:val="20"/>
                <w:lang w:eastAsia="zh-TW"/>
              </w:rPr>
              <w:t>Patients receiving DBd</w:t>
            </w:r>
          </w:p>
        </w:tc>
        <w:tc>
          <w:tcPr>
            <w:tcW w:w="686"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szCs w:val="20"/>
                <w:highlight w:val="black"/>
                <w:lang w:eastAsia="zh-TW"/>
              </w:rPr>
            </w:pPr>
            <w:r>
              <w:rPr>
                <w:rFonts w:cs="Arial"/>
                <w:noProof/>
                <w:color w:val="000000"/>
                <w:szCs w:val="20"/>
                <w:highlight w:val="black"/>
                <w:lang w:eastAsia="zh-TW"/>
              </w:rPr>
              <w:t>''''''''''</w:t>
            </w:r>
          </w:p>
        </w:tc>
      </w:tr>
      <w:tr w:rsidR="00AE7BDF" w:rsidRPr="008D6B70" w:rsidTr="00D778F8">
        <w:tc>
          <w:tcPr>
            <w:tcW w:w="1536" w:type="pct"/>
            <w:tcBorders>
              <w:top w:val="nil"/>
              <w:left w:val="single" w:sz="4" w:space="0" w:color="auto"/>
              <w:bottom w:val="single" w:sz="4" w:space="0" w:color="auto"/>
              <w:right w:val="single" w:sz="4" w:space="0" w:color="auto"/>
            </w:tcBorders>
            <w:shd w:val="clear" w:color="auto" w:fill="auto"/>
            <w:vAlign w:val="center"/>
          </w:tcPr>
          <w:p w:rsidR="00AE7BDF" w:rsidRPr="008D6B70" w:rsidRDefault="00AE7BDF" w:rsidP="00AE7BDF">
            <w:pPr>
              <w:pStyle w:val="TableText"/>
              <w:rPr>
                <w:rFonts w:ascii="Times" w:eastAsia="Times New Roman" w:hAnsi="Times" w:cs="Times New Roman"/>
              </w:rPr>
            </w:pPr>
            <w:r w:rsidRPr="008D6B70">
              <w:rPr>
                <w:rFonts w:cs="Arial"/>
                <w:szCs w:val="20"/>
                <w:lang w:eastAsia="zh-TW"/>
              </w:rPr>
              <w:t>Patients receiving DLd</w:t>
            </w:r>
          </w:p>
        </w:tc>
        <w:tc>
          <w:tcPr>
            <w:tcW w:w="686"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eastAsia="zh-TW"/>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szCs w:val="20"/>
                <w:highlight w:val="black"/>
                <w:lang w:eastAsia="zh-TW"/>
              </w:rPr>
            </w:pPr>
            <w:r>
              <w:rPr>
                <w:rFonts w:cs="Arial"/>
                <w:noProof/>
                <w:color w:val="000000"/>
                <w:szCs w:val="20"/>
                <w:highlight w:val="black"/>
                <w:lang w:eastAsia="zh-TW"/>
              </w:rPr>
              <w:t>'''''''''</w:t>
            </w:r>
          </w:p>
        </w:tc>
      </w:tr>
      <w:tr w:rsidR="00AE7BDF" w:rsidRPr="008D6B70" w:rsidTr="00D778F8">
        <w:tc>
          <w:tcPr>
            <w:tcW w:w="1536" w:type="pct"/>
            <w:shd w:val="clear" w:color="auto" w:fill="auto"/>
            <w:vAlign w:val="center"/>
          </w:tcPr>
          <w:p w:rsidR="00AE7BDF" w:rsidRPr="008D6B70" w:rsidRDefault="00AE7BDF" w:rsidP="00A83BB5">
            <w:pPr>
              <w:pStyle w:val="TableText"/>
              <w:rPr>
                <w:rFonts w:ascii="Times" w:eastAsia="Times New Roman" w:hAnsi="Times" w:cs="Times New Roman"/>
              </w:rPr>
            </w:pPr>
            <w:r w:rsidRPr="008D6B70">
              <w:t xml:space="preserve">Number of </w:t>
            </w:r>
            <w:r w:rsidR="008B4336" w:rsidRPr="008D6B70">
              <w:t xml:space="preserve">daratumumab </w:t>
            </w:r>
            <w:r w:rsidRPr="008D6B70">
              <w:t>scripts dispensed</w:t>
            </w:r>
            <w:r w:rsidR="008B4336" w:rsidRPr="008D6B70">
              <w:t xml:space="preserve"> for DBd</w:t>
            </w:r>
            <w:r w:rsidR="008B4336" w:rsidRPr="008D6B70">
              <w:rPr>
                <w:vertAlign w:val="superscript"/>
              </w:rPr>
              <w:t xml:space="preserve"> </w:t>
            </w:r>
            <w:r w:rsidRPr="008D6B70">
              <w:rPr>
                <w:vertAlign w:val="superscript"/>
              </w:rPr>
              <w:t>a</w:t>
            </w:r>
          </w:p>
        </w:tc>
        <w:tc>
          <w:tcPr>
            <w:tcW w:w="686"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color w:val="000000"/>
                <w:szCs w:val="20"/>
                <w:highlight w:val="black"/>
                <w:lang w:val="en-US" w:eastAsia="zh-TW"/>
              </w:rPr>
            </w:pPr>
            <w:r>
              <w:rPr>
                <w:rFonts w:cs="Arial"/>
                <w:noProof/>
                <w:color w:val="000000"/>
                <w:szCs w:val="20"/>
                <w:highlight w:val="black"/>
                <w:lang w:val="en-US" w:eastAsia="zh-TW"/>
              </w:rPr>
              <w:t>''''''''''''''''</w:t>
            </w:r>
          </w:p>
        </w:tc>
      </w:tr>
      <w:tr w:rsidR="00AE7BDF" w:rsidRPr="008D6B70" w:rsidTr="00D778F8">
        <w:tc>
          <w:tcPr>
            <w:tcW w:w="1536" w:type="pct"/>
            <w:tcBorders>
              <w:bottom w:val="single" w:sz="4" w:space="0" w:color="auto"/>
            </w:tcBorders>
            <w:shd w:val="clear" w:color="auto" w:fill="auto"/>
            <w:vAlign w:val="center"/>
          </w:tcPr>
          <w:p w:rsidR="00AE7BDF" w:rsidRPr="008D6B70" w:rsidRDefault="00AE7BDF" w:rsidP="00A83BB5">
            <w:pPr>
              <w:pStyle w:val="TableText"/>
              <w:rPr>
                <w:vertAlign w:val="superscript"/>
              </w:rPr>
            </w:pPr>
            <w:r w:rsidRPr="008D6B70">
              <w:t xml:space="preserve">Number of </w:t>
            </w:r>
            <w:r w:rsidR="008B4336" w:rsidRPr="008D6B70">
              <w:t xml:space="preserve">daratumumab </w:t>
            </w:r>
            <w:r w:rsidRPr="008D6B70">
              <w:t>scripts dispensed</w:t>
            </w:r>
            <w:r w:rsidR="008B4336" w:rsidRPr="008D6B70">
              <w:t xml:space="preserve"> for DLd</w:t>
            </w:r>
            <w:r w:rsidR="008B4336" w:rsidRPr="008D6B70">
              <w:rPr>
                <w:vertAlign w:val="superscript"/>
              </w:rPr>
              <w:t xml:space="preserve"> </w:t>
            </w:r>
            <w:r w:rsidRPr="008D6B70">
              <w:rPr>
                <w:vertAlign w:val="superscript"/>
              </w:rPr>
              <w:t>a</w:t>
            </w:r>
          </w:p>
        </w:tc>
        <w:tc>
          <w:tcPr>
            <w:tcW w:w="686"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618"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32"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51"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40"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Cs w:val="20"/>
                <w:highlight w:val="black"/>
                <w:lang w:val="en-US" w:eastAsia="zh-TW"/>
              </w:rPr>
              <w:t>'''''''''''''''</w:t>
            </w:r>
          </w:p>
        </w:tc>
        <w:tc>
          <w:tcPr>
            <w:tcW w:w="537" w:type="pct"/>
            <w:tcBorders>
              <w:top w:val="single" w:sz="4" w:space="0" w:color="auto"/>
              <w:left w:val="nil"/>
              <w:bottom w:val="single" w:sz="4" w:space="0" w:color="auto"/>
              <w:right w:val="single" w:sz="4" w:space="0" w:color="auto"/>
            </w:tcBorders>
            <w:vAlign w:val="center"/>
          </w:tcPr>
          <w:p w:rsidR="00AE7BDF" w:rsidRPr="000A7F1F" w:rsidRDefault="000A7F1F" w:rsidP="00AE7BDF">
            <w:pPr>
              <w:pStyle w:val="TableText"/>
              <w:rPr>
                <w:rFonts w:cs="Arial"/>
                <w:color w:val="000000"/>
                <w:szCs w:val="20"/>
                <w:highlight w:val="black"/>
                <w:lang w:val="en-US" w:eastAsia="zh-TW"/>
              </w:rPr>
            </w:pPr>
            <w:r>
              <w:rPr>
                <w:rFonts w:cs="Arial"/>
                <w:noProof/>
                <w:color w:val="000000"/>
                <w:szCs w:val="20"/>
                <w:highlight w:val="black"/>
                <w:lang w:val="en-US" w:eastAsia="zh-TW"/>
              </w:rPr>
              <w:t>'''''''''''''''''</w:t>
            </w:r>
          </w:p>
        </w:tc>
      </w:tr>
      <w:tr w:rsidR="00AE7BDF" w:rsidRPr="008D6B70" w:rsidTr="00D778F8">
        <w:tc>
          <w:tcPr>
            <w:tcW w:w="4463" w:type="pct"/>
            <w:gridSpan w:val="6"/>
            <w:tcBorders>
              <w:right w:val="nil"/>
            </w:tcBorders>
            <w:shd w:val="clear" w:color="auto" w:fill="auto"/>
            <w:vAlign w:val="center"/>
          </w:tcPr>
          <w:p w:rsidR="00AE7BDF" w:rsidRPr="008D6B70" w:rsidRDefault="00AE7BDF" w:rsidP="00BA45B9">
            <w:pPr>
              <w:pStyle w:val="TableText"/>
              <w:rPr>
                <w:b/>
                <w:bCs/>
                <w:color w:val="000000"/>
              </w:rPr>
            </w:pPr>
            <w:r w:rsidRPr="008D6B70">
              <w:rPr>
                <w:b/>
                <w:bCs/>
                <w:color w:val="000000"/>
              </w:rPr>
              <w:t>Estimated financial implications of daratumumab at dispensed price</w:t>
            </w:r>
          </w:p>
        </w:tc>
        <w:tc>
          <w:tcPr>
            <w:tcW w:w="537" w:type="pct"/>
            <w:tcBorders>
              <w:left w:val="nil"/>
            </w:tcBorders>
          </w:tcPr>
          <w:p w:rsidR="00AE7BDF" w:rsidRPr="008D6B70" w:rsidRDefault="00AE7BDF" w:rsidP="00BA45B9">
            <w:pPr>
              <w:pStyle w:val="TableText"/>
              <w:rPr>
                <w:b/>
                <w:bCs/>
                <w:color w:val="000000"/>
              </w:rPr>
            </w:pP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Cost to PBS/RPBS less copayments DBd</w:t>
            </w:r>
          </w:p>
        </w:tc>
        <w:tc>
          <w:tcPr>
            <w:tcW w:w="686" w:type="pct"/>
            <w:tcBorders>
              <w:top w:val="nil"/>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color w:val="000000"/>
                <w:sz w:val="18"/>
                <w:szCs w:val="18"/>
                <w:highlight w:val="black"/>
              </w:rPr>
            </w:pPr>
            <w:r>
              <w:rPr>
                <w:rFonts w:cs="Arial"/>
                <w:noProof/>
                <w:color w:val="000000"/>
                <w:sz w:val="18"/>
                <w:szCs w:val="18"/>
                <w:highlight w:val="black"/>
              </w:rPr>
              <w:t>'''''''''''''''''''''''''''''''''</w:t>
            </w: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Cost to PBS/RPBS less copayments DLd</w:t>
            </w:r>
          </w:p>
        </w:tc>
        <w:tc>
          <w:tcPr>
            <w:tcW w:w="686" w:type="pct"/>
            <w:tcBorders>
              <w:top w:val="nil"/>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color w:val="000000"/>
                <w:sz w:val="18"/>
                <w:szCs w:val="18"/>
                <w:highlight w:val="black"/>
              </w:rPr>
            </w:pPr>
            <w:r>
              <w:rPr>
                <w:rFonts w:cs="Arial"/>
                <w:noProof/>
                <w:color w:val="000000"/>
                <w:sz w:val="18"/>
                <w:szCs w:val="18"/>
                <w:highlight w:val="black"/>
              </w:rPr>
              <w:t>''''''''''''''''''''''''''''''''''''</w:t>
            </w:r>
          </w:p>
        </w:tc>
      </w:tr>
      <w:tr w:rsidR="00AE7BDF" w:rsidRPr="008D6B70" w:rsidTr="00D778F8">
        <w:tc>
          <w:tcPr>
            <w:tcW w:w="1536" w:type="pct"/>
            <w:tcBorders>
              <w:bottom w:val="single" w:sz="4" w:space="0" w:color="auto"/>
            </w:tcBorders>
            <w:shd w:val="clear" w:color="auto" w:fill="auto"/>
            <w:vAlign w:val="center"/>
          </w:tcPr>
          <w:p w:rsidR="00AE7BDF" w:rsidRPr="008D6B70" w:rsidRDefault="00AE7BDF" w:rsidP="00AE7BDF">
            <w:pPr>
              <w:pStyle w:val="TableText"/>
              <w:rPr>
                <w:sz w:val="19"/>
                <w:szCs w:val="19"/>
              </w:rPr>
            </w:pPr>
            <w:r w:rsidRPr="008D6B70">
              <w:rPr>
                <w:sz w:val="19"/>
                <w:szCs w:val="19"/>
              </w:rPr>
              <w:t xml:space="preserve">Total cost to PBS/RPBS less co-payments of </w:t>
            </w:r>
            <w:r w:rsidR="00B02BDA" w:rsidRPr="008D6B70">
              <w:rPr>
                <w:sz w:val="19"/>
                <w:szCs w:val="19"/>
              </w:rPr>
              <w:t>daratumumab</w:t>
            </w:r>
            <w:r w:rsidRPr="008D6B70">
              <w:rPr>
                <w:sz w:val="19"/>
                <w:szCs w:val="19"/>
              </w:rPr>
              <w:t xml:space="preserve"> </w:t>
            </w:r>
          </w:p>
        </w:tc>
        <w:tc>
          <w:tcPr>
            <w:tcW w:w="686" w:type="pct"/>
            <w:tcBorders>
              <w:top w:val="nil"/>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rFonts w:cs="Arial"/>
                <w:color w:val="000000"/>
                <w:sz w:val="18"/>
                <w:szCs w:val="18"/>
                <w:highlight w:val="black"/>
              </w:rPr>
            </w:pPr>
            <w:r>
              <w:rPr>
                <w:rFonts w:cs="Arial"/>
                <w:bCs/>
                <w:noProof/>
                <w:color w:val="000000"/>
                <w:sz w:val="18"/>
                <w:szCs w:val="18"/>
                <w:highlight w:val="black"/>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cs="Arial"/>
                <w:color w:val="000000"/>
                <w:sz w:val="18"/>
                <w:szCs w:val="18"/>
                <w:highlight w:val="black"/>
              </w:rPr>
            </w:pPr>
            <w:r>
              <w:rPr>
                <w:rFonts w:cs="Arial"/>
                <w:bCs/>
                <w:noProof/>
                <w:color w:val="000000"/>
                <w:sz w:val="18"/>
                <w:szCs w:val="18"/>
                <w:highlight w:val="black"/>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cs="Arial"/>
                <w:color w:val="000000"/>
                <w:sz w:val="18"/>
                <w:szCs w:val="18"/>
                <w:highlight w:val="black"/>
              </w:rPr>
            </w:pPr>
            <w:r>
              <w:rPr>
                <w:rFonts w:cs="Arial"/>
                <w:bCs/>
                <w:noProof/>
                <w:color w:val="000000"/>
                <w:sz w:val="18"/>
                <w:szCs w:val="18"/>
                <w:highlight w:val="black"/>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cs="Arial"/>
                <w:color w:val="000000"/>
                <w:sz w:val="18"/>
                <w:szCs w:val="18"/>
                <w:highlight w:val="black"/>
              </w:rPr>
            </w:pPr>
            <w:r>
              <w:rPr>
                <w:rFonts w:cs="Arial"/>
                <w:bCs/>
                <w:noProof/>
                <w:color w:val="000000"/>
                <w:sz w:val="18"/>
                <w:szCs w:val="18"/>
                <w:highlight w:val="black"/>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cs="Arial"/>
                <w:color w:val="000000"/>
                <w:sz w:val="18"/>
                <w:szCs w:val="18"/>
                <w:highlight w:val="black"/>
              </w:rPr>
            </w:pPr>
            <w:r>
              <w:rPr>
                <w:rFonts w:cs="Arial"/>
                <w:bCs/>
                <w:noProof/>
                <w:color w:val="000000"/>
                <w:sz w:val="18"/>
                <w:szCs w:val="18"/>
                <w:highlight w:val="black"/>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bCs/>
                <w:color w:val="000000"/>
                <w:sz w:val="18"/>
                <w:szCs w:val="18"/>
                <w:highlight w:val="black"/>
              </w:rPr>
            </w:pPr>
            <w:r>
              <w:rPr>
                <w:rFonts w:cs="Arial"/>
                <w:bCs/>
                <w:noProof/>
                <w:color w:val="000000"/>
                <w:sz w:val="18"/>
                <w:szCs w:val="18"/>
                <w:highlight w:val="black"/>
              </w:rPr>
              <w:t>'''''''''''''''''''''''''''''''''''</w:t>
            </w:r>
          </w:p>
        </w:tc>
      </w:tr>
      <w:tr w:rsidR="00AE7BDF" w:rsidRPr="008D6B70" w:rsidTr="00D778F8">
        <w:tc>
          <w:tcPr>
            <w:tcW w:w="4463" w:type="pct"/>
            <w:gridSpan w:val="6"/>
            <w:tcBorders>
              <w:right w:val="nil"/>
            </w:tcBorders>
            <w:shd w:val="clear" w:color="auto" w:fill="auto"/>
            <w:vAlign w:val="center"/>
          </w:tcPr>
          <w:p w:rsidR="00AE7BDF" w:rsidRPr="008D6B70" w:rsidRDefault="00AE7BDF" w:rsidP="00BA45B9">
            <w:pPr>
              <w:pStyle w:val="TableText"/>
              <w:rPr>
                <w:bCs/>
                <w:color w:val="000000"/>
              </w:rPr>
            </w:pPr>
            <w:r w:rsidRPr="008D6B70">
              <w:rPr>
                <w:b/>
                <w:bCs/>
                <w:color w:val="000000"/>
              </w:rPr>
              <w:t>Estimated financial implications for other medicines (bortezomib, lenalidomide, dexamethasone, pegfilgrastim, hydrochlorothiazide) (effective prices)</w:t>
            </w:r>
          </w:p>
        </w:tc>
        <w:tc>
          <w:tcPr>
            <w:tcW w:w="537" w:type="pct"/>
            <w:tcBorders>
              <w:left w:val="nil"/>
            </w:tcBorders>
          </w:tcPr>
          <w:p w:rsidR="00AE7BDF" w:rsidRPr="008D6B70" w:rsidRDefault="00AE7BDF" w:rsidP="00BA45B9">
            <w:pPr>
              <w:pStyle w:val="TableText"/>
              <w:rPr>
                <w:b/>
                <w:bCs/>
                <w:color w:val="000000"/>
              </w:rPr>
            </w:pP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Cost to PBS/RPBS less co-payments – daratumumab listed</w:t>
            </w:r>
          </w:p>
        </w:tc>
        <w:tc>
          <w:tcPr>
            <w:tcW w:w="686"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eastAsia="Times New Roman" w:cs="Arial"/>
                <w:noProof/>
                <w:color w:val="000000"/>
                <w:sz w:val="18"/>
                <w:szCs w:val="18"/>
                <w:highlight w:val="black"/>
                <w:lang w:eastAsia="zh-TW"/>
              </w:rPr>
              <w:t>''''''''''''''''''''''''''''''</w:t>
            </w:r>
          </w:p>
        </w:tc>
        <w:tc>
          <w:tcPr>
            <w:tcW w:w="618"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eastAsia="Times New Roman" w:cs="Arial"/>
                <w:noProof/>
                <w:color w:val="000000"/>
                <w:sz w:val="18"/>
                <w:szCs w:val="18"/>
                <w:highlight w:val="black"/>
                <w:lang w:eastAsia="zh-TW"/>
              </w:rPr>
              <w:t>''''''''''''''''''''''''''''</w:t>
            </w:r>
          </w:p>
        </w:tc>
        <w:tc>
          <w:tcPr>
            <w:tcW w:w="532"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eastAsia="Times New Roman" w:cs="Arial"/>
                <w:noProof/>
                <w:color w:val="000000"/>
                <w:sz w:val="18"/>
                <w:szCs w:val="18"/>
                <w:highlight w:val="black"/>
                <w:lang w:eastAsia="zh-TW"/>
              </w:rPr>
              <w:t>''''''''''''''''''''''''''''''''''</w:t>
            </w:r>
          </w:p>
        </w:tc>
        <w:tc>
          <w:tcPr>
            <w:tcW w:w="551"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eastAsia="Times New Roman" w:cs="Arial"/>
                <w:noProof/>
                <w:color w:val="000000"/>
                <w:sz w:val="18"/>
                <w:szCs w:val="18"/>
                <w:highlight w:val="black"/>
                <w:lang w:eastAsia="zh-TW"/>
              </w:rPr>
              <w:t>'''''''''''''''''''''''''''''''''''</w:t>
            </w:r>
          </w:p>
        </w:tc>
        <w:tc>
          <w:tcPr>
            <w:tcW w:w="540"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eastAsia="Times New Roman" w:cs="Arial"/>
                <w:noProof/>
                <w:color w:val="000000"/>
                <w:sz w:val="18"/>
                <w:szCs w:val="18"/>
                <w:highlight w:val="black"/>
                <w:lang w:eastAsia="zh-TW"/>
              </w:rPr>
              <w:t>''''''''''''''''''''''''''''''''</w:t>
            </w:r>
          </w:p>
        </w:tc>
        <w:tc>
          <w:tcPr>
            <w:tcW w:w="537" w:type="pct"/>
            <w:tcBorders>
              <w:top w:val="single" w:sz="4" w:space="0" w:color="auto"/>
              <w:left w:val="nil"/>
              <w:bottom w:val="single" w:sz="4" w:space="0" w:color="auto"/>
              <w:right w:val="single" w:sz="4" w:space="0" w:color="auto"/>
            </w:tcBorders>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Cost to PBS/RPBS less co-payments – daratumumab not listed</w:t>
            </w:r>
          </w:p>
        </w:tc>
        <w:tc>
          <w:tcPr>
            <w:tcW w:w="686"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noProof/>
                <w:color w:val="000000"/>
                <w:sz w:val="18"/>
                <w:szCs w:val="18"/>
                <w:highlight w:val="black"/>
                <w:lang w:eastAsia="zh-TW"/>
              </w:rPr>
              <w:t>'''''''''''''''''''''''''''''''''''</w:t>
            </w: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Cost to PBS/RPBS less co-payments – daratumumab not listed, net change</w:t>
            </w:r>
          </w:p>
        </w:tc>
        <w:tc>
          <w:tcPr>
            <w:tcW w:w="686"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bCs/>
                <w:noProof/>
                <w:color w:val="000000"/>
                <w:sz w:val="18"/>
                <w:szCs w:val="18"/>
                <w:highlight w:val="black"/>
                <w:lang w:eastAsia="zh-TW"/>
              </w:rPr>
              <w:t>''''''''''''''''''''''''''</w:t>
            </w:r>
          </w:p>
        </w:tc>
        <w:tc>
          <w:tcPr>
            <w:tcW w:w="618"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bCs/>
                <w:noProof/>
                <w:color w:val="000000"/>
                <w:sz w:val="18"/>
                <w:szCs w:val="18"/>
                <w:highlight w:val="black"/>
                <w:lang w:eastAsia="zh-TW"/>
              </w:rPr>
              <w:t>''''''''''''''''''''''''''''''</w:t>
            </w:r>
          </w:p>
        </w:tc>
        <w:tc>
          <w:tcPr>
            <w:tcW w:w="532"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bCs/>
                <w:noProof/>
                <w:color w:val="000000"/>
                <w:sz w:val="18"/>
                <w:szCs w:val="18"/>
                <w:highlight w:val="black"/>
                <w:lang w:eastAsia="zh-TW"/>
              </w:rPr>
              <w:t>''''''''''''''''''''''''''''</w:t>
            </w:r>
          </w:p>
        </w:tc>
        <w:tc>
          <w:tcPr>
            <w:tcW w:w="551"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bCs/>
                <w:noProof/>
                <w:color w:val="000000"/>
                <w:sz w:val="18"/>
                <w:szCs w:val="18"/>
                <w:highlight w:val="black"/>
                <w:lang w:eastAsia="zh-TW"/>
              </w:rPr>
              <w:t>'''''''''''''''''''''''''''</w:t>
            </w:r>
          </w:p>
        </w:tc>
        <w:tc>
          <w:tcPr>
            <w:tcW w:w="540"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rFonts w:eastAsia="Times New Roman" w:cs="Arial"/>
                <w:color w:val="000000"/>
                <w:sz w:val="18"/>
                <w:szCs w:val="18"/>
                <w:highlight w:val="black"/>
                <w:lang w:eastAsia="zh-TW"/>
              </w:rPr>
            </w:pPr>
            <w:r>
              <w:rPr>
                <w:rFonts w:eastAsia="Times New Roman" w:cs="Arial"/>
                <w:bCs/>
                <w:noProof/>
                <w:color w:val="000000"/>
                <w:sz w:val="18"/>
                <w:szCs w:val="18"/>
                <w:highlight w:val="black"/>
                <w:lang w:eastAsia="zh-TW"/>
              </w:rPr>
              <w:t>'''''''''''''''''''''''''''''''</w:t>
            </w:r>
          </w:p>
        </w:tc>
        <w:tc>
          <w:tcPr>
            <w:tcW w:w="537" w:type="pct"/>
            <w:tcBorders>
              <w:top w:val="single" w:sz="4" w:space="0" w:color="auto"/>
              <w:left w:val="nil"/>
              <w:bottom w:val="single" w:sz="4" w:space="0" w:color="auto"/>
              <w:right w:val="single" w:sz="4" w:space="0" w:color="auto"/>
            </w:tcBorders>
            <w:vAlign w:val="center"/>
          </w:tcPr>
          <w:p w:rsidR="00AE7BDF" w:rsidRPr="000A7F1F" w:rsidRDefault="000A7F1F" w:rsidP="00AE7BDF">
            <w:pPr>
              <w:pStyle w:val="TableText"/>
              <w:rPr>
                <w:rFonts w:eastAsia="Times New Roman" w:cs="Arial"/>
                <w:bCs/>
                <w:color w:val="000000"/>
                <w:sz w:val="18"/>
                <w:szCs w:val="18"/>
                <w:highlight w:val="black"/>
                <w:lang w:eastAsia="zh-TW"/>
              </w:rPr>
            </w:pPr>
            <w:r>
              <w:rPr>
                <w:rFonts w:eastAsia="Times New Roman" w:cs="Arial"/>
                <w:bCs/>
                <w:noProof/>
                <w:color w:val="000000"/>
                <w:sz w:val="18"/>
                <w:szCs w:val="18"/>
                <w:highlight w:val="black"/>
                <w:lang w:eastAsia="zh-TW"/>
              </w:rPr>
              <w:t>''''''''''''''''''''''''''''''''</w:t>
            </w:r>
          </w:p>
        </w:tc>
      </w:tr>
      <w:tr w:rsidR="00AE7BDF" w:rsidRPr="008D6B70" w:rsidTr="00D778F8">
        <w:tc>
          <w:tcPr>
            <w:tcW w:w="4463" w:type="pct"/>
            <w:gridSpan w:val="6"/>
            <w:shd w:val="clear" w:color="auto" w:fill="auto"/>
            <w:vAlign w:val="center"/>
          </w:tcPr>
          <w:p w:rsidR="00AE7BDF" w:rsidRPr="008D6B70" w:rsidRDefault="00AE7BDF" w:rsidP="00BA45B9">
            <w:pPr>
              <w:pStyle w:val="TableText"/>
              <w:rPr>
                <w:b/>
                <w:bCs/>
                <w:color w:val="000000"/>
              </w:rPr>
            </w:pPr>
            <w:r w:rsidRPr="008D6B70">
              <w:rPr>
                <w:b/>
                <w:bCs/>
                <w:color w:val="000000"/>
              </w:rPr>
              <w:t xml:space="preserve">Net financial </w:t>
            </w:r>
            <w:r w:rsidRPr="008D6B70">
              <w:rPr>
                <w:b/>
                <w:bCs/>
              </w:rPr>
              <w:t>implications no copayments (effective prices)</w:t>
            </w:r>
          </w:p>
        </w:tc>
        <w:tc>
          <w:tcPr>
            <w:tcW w:w="537" w:type="pct"/>
          </w:tcPr>
          <w:p w:rsidR="00AE7BDF" w:rsidRPr="008D6B70" w:rsidRDefault="00AE7BDF" w:rsidP="00BA45B9">
            <w:pPr>
              <w:pStyle w:val="TableText"/>
              <w:rPr>
                <w:b/>
                <w:bCs/>
                <w:color w:val="000000"/>
              </w:rPr>
            </w:pP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Net cost to PBS</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618"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2"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51"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40" w:type="pct"/>
            <w:tcBorders>
              <w:top w:val="single" w:sz="4" w:space="0" w:color="auto"/>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7" w:type="pct"/>
            <w:tcBorders>
              <w:top w:val="single" w:sz="4" w:space="0" w:color="auto"/>
              <w:left w:val="nil"/>
              <w:bottom w:val="single" w:sz="4" w:space="0" w:color="auto"/>
              <w:right w:val="single" w:sz="4" w:space="0" w:color="auto"/>
            </w:tcBorders>
            <w:vAlign w:val="center"/>
          </w:tcPr>
          <w:p w:rsidR="00AE7BDF" w:rsidRPr="000A7F1F" w:rsidRDefault="000A7F1F" w:rsidP="00AE7BDF">
            <w:pPr>
              <w:pStyle w:val="TableText"/>
              <w:rPr>
                <w:rFonts w:cs="Arial"/>
                <w:sz w:val="18"/>
                <w:szCs w:val="18"/>
                <w:highlight w:val="black"/>
              </w:rPr>
            </w:pPr>
            <w:r>
              <w:rPr>
                <w:rFonts w:cs="Arial"/>
                <w:noProof/>
                <w:color w:val="000000"/>
                <w:sz w:val="18"/>
                <w:szCs w:val="18"/>
                <w:highlight w:val="black"/>
              </w:rPr>
              <w:t>''''''''''''''''''''''''''''''''</w:t>
            </w: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Net cost to RPBS</w:t>
            </w:r>
          </w:p>
        </w:tc>
        <w:tc>
          <w:tcPr>
            <w:tcW w:w="686" w:type="pct"/>
            <w:tcBorders>
              <w:top w:val="nil"/>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sz w:val="18"/>
                <w:szCs w:val="18"/>
                <w:highlight w:val="black"/>
              </w:rPr>
            </w:pPr>
            <w:r>
              <w:rPr>
                <w:rFonts w:cs="Arial"/>
                <w:noProof/>
                <w:color w:val="000000"/>
                <w:sz w:val="18"/>
                <w:szCs w:val="18"/>
                <w:highlight w:val="black"/>
              </w:rPr>
              <w:t>'''''''''''''''''''''''''''</w:t>
            </w:r>
          </w:p>
        </w:tc>
      </w:tr>
      <w:tr w:rsidR="00AE7BDF" w:rsidRPr="008D6B70" w:rsidTr="00D778F8">
        <w:tc>
          <w:tcPr>
            <w:tcW w:w="1536" w:type="pct"/>
            <w:shd w:val="clear" w:color="auto" w:fill="auto"/>
            <w:vAlign w:val="center"/>
          </w:tcPr>
          <w:p w:rsidR="00AE7BDF" w:rsidRPr="008D6B70" w:rsidRDefault="00AE7BDF" w:rsidP="00AE7BDF">
            <w:pPr>
              <w:pStyle w:val="TableText"/>
              <w:rPr>
                <w:rFonts w:ascii="Times" w:eastAsia="Times New Roman" w:hAnsi="Times" w:cs="Times New Roman"/>
              </w:rPr>
            </w:pPr>
            <w:r w:rsidRPr="008D6B70">
              <w:rPr>
                <w:sz w:val="19"/>
                <w:szCs w:val="19"/>
              </w:rPr>
              <w:t>Net cost to MBS</w:t>
            </w:r>
          </w:p>
        </w:tc>
        <w:tc>
          <w:tcPr>
            <w:tcW w:w="686" w:type="pct"/>
            <w:tcBorders>
              <w:top w:val="nil"/>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noProof/>
                <w:color w:val="000000"/>
                <w:sz w:val="18"/>
                <w:szCs w:val="18"/>
                <w:highlight w:val="black"/>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sz w:val="18"/>
                <w:szCs w:val="18"/>
                <w:highlight w:val="black"/>
              </w:rPr>
            </w:pPr>
            <w:r>
              <w:rPr>
                <w:rFonts w:cs="Arial"/>
                <w:noProof/>
                <w:color w:val="000000"/>
                <w:sz w:val="18"/>
                <w:szCs w:val="18"/>
                <w:highlight w:val="black"/>
              </w:rPr>
              <w:t>'''''''''''''''''''''''''</w:t>
            </w:r>
          </w:p>
        </w:tc>
      </w:tr>
      <w:tr w:rsidR="00AE7BDF" w:rsidRPr="008D6B70" w:rsidTr="00D778F8">
        <w:tc>
          <w:tcPr>
            <w:tcW w:w="1536" w:type="pct"/>
            <w:shd w:val="clear" w:color="auto" w:fill="auto"/>
            <w:vAlign w:val="center"/>
          </w:tcPr>
          <w:p w:rsidR="00AE7BDF" w:rsidRPr="008D6B70" w:rsidRDefault="00AE7BDF" w:rsidP="00AE7BDF">
            <w:pPr>
              <w:pStyle w:val="TableText"/>
              <w:rPr>
                <w:sz w:val="19"/>
                <w:szCs w:val="19"/>
              </w:rPr>
            </w:pPr>
            <w:r w:rsidRPr="008D6B70">
              <w:rPr>
                <w:sz w:val="19"/>
                <w:szCs w:val="19"/>
              </w:rPr>
              <w:t>Net cost to PBS/RPBS/MBS</w:t>
            </w:r>
          </w:p>
        </w:tc>
        <w:tc>
          <w:tcPr>
            <w:tcW w:w="686" w:type="pct"/>
            <w:tcBorders>
              <w:top w:val="nil"/>
              <w:left w:val="single" w:sz="4" w:space="0" w:color="auto"/>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b/>
                <w:bCs/>
                <w:noProof/>
                <w:color w:val="000000"/>
                <w:sz w:val="18"/>
                <w:szCs w:val="18"/>
                <w:highlight w:val="black"/>
              </w:rPr>
              <w:t>'''''''''''''''''''''''''''''</w:t>
            </w:r>
          </w:p>
        </w:tc>
        <w:tc>
          <w:tcPr>
            <w:tcW w:w="618"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b/>
                <w:bCs/>
                <w:noProof/>
                <w:color w:val="000000"/>
                <w:sz w:val="18"/>
                <w:szCs w:val="18"/>
                <w:highlight w:val="black"/>
              </w:rPr>
              <w:t>'''''''''''''''''''''''''''</w:t>
            </w:r>
          </w:p>
        </w:tc>
        <w:tc>
          <w:tcPr>
            <w:tcW w:w="532"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b/>
                <w:bCs/>
                <w:noProof/>
                <w:color w:val="000000"/>
                <w:sz w:val="18"/>
                <w:szCs w:val="18"/>
                <w:highlight w:val="black"/>
              </w:rPr>
              <w:t>''''''''''''''''''''''''''</w:t>
            </w:r>
          </w:p>
        </w:tc>
        <w:tc>
          <w:tcPr>
            <w:tcW w:w="551"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b/>
                <w:bCs/>
                <w:noProof/>
                <w:color w:val="000000"/>
                <w:sz w:val="18"/>
                <w:szCs w:val="18"/>
                <w:highlight w:val="black"/>
              </w:rPr>
              <w:t>''''''''''''''''''''''''</w:t>
            </w:r>
          </w:p>
        </w:tc>
        <w:tc>
          <w:tcPr>
            <w:tcW w:w="540" w:type="pct"/>
            <w:tcBorders>
              <w:top w:val="nil"/>
              <w:left w:val="nil"/>
              <w:bottom w:val="single" w:sz="4" w:space="0" w:color="auto"/>
              <w:right w:val="single" w:sz="4" w:space="0" w:color="auto"/>
            </w:tcBorders>
            <w:shd w:val="clear" w:color="auto" w:fill="auto"/>
            <w:vAlign w:val="center"/>
          </w:tcPr>
          <w:p w:rsidR="00AE7BDF" w:rsidRPr="000A7F1F" w:rsidRDefault="000A7F1F" w:rsidP="00AE7BDF">
            <w:pPr>
              <w:pStyle w:val="TableText"/>
              <w:rPr>
                <w:bCs/>
                <w:color w:val="000000"/>
                <w:highlight w:val="black"/>
              </w:rPr>
            </w:pPr>
            <w:r>
              <w:rPr>
                <w:rFonts w:cs="Arial"/>
                <w:b/>
                <w:bCs/>
                <w:noProof/>
                <w:color w:val="000000"/>
                <w:sz w:val="18"/>
                <w:szCs w:val="18"/>
                <w:highlight w:val="black"/>
              </w:rPr>
              <w:t>''''''''''''''''''''''''''''</w:t>
            </w:r>
          </w:p>
        </w:tc>
        <w:tc>
          <w:tcPr>
            <w:tcW w:w="537" w:type="pct"/>
            <w:tcBorders>
              <w:top w:val="nil"/>
              <w:left w:val="nil"/>
              <w:bottom w:val="single" w:sz="4" w:space="0" w:color="auto"/>
              <w:right w:val="single" w:sz="4" w:space="0" w:color="auto"/>
            </w:tcBorders>
            <w:vAlign w:val="center"/>
          </w:tcPr>
          <w:p w:rsidR="00AE7BDF" w:rsidRPr="000A7F1F" w:rsidRDefault="000A7F1F" w:rsidP="00AE7BDF">
            <w:pPr>
              <w:pStyle w:val="TableText"/>
              <w:rPr>
                <w:rFonts w:cs="Arial"/>
                <w:b/>
                <w:bCs/>
                <w:sz w:val="18"/>
                <w:szCs w:val="18"/>
                <w:highlight w:val="black"/>
              </w:rPr>
            </w:pPr>
            <w:r>
              <w:rPr>
                <w:rFonts w:cs="Arial"/>
                <w:b/>
                <w:bCs/>
                <w:noProof/>
                <w:color w:val="000000"/>
                <w:sz w:val="18"/>
                <w:szCs w:val="18"/>
                <w:highlight w:val="black"/>
              </w:rPr>
              <w:t>''''''''''''''''''''''''''</w:t>
            </w:r>
          </w:p>
        </w:tc>
      </w:tr>
    </w:tbl>
    <w:p w:rsidR="00074D4A" w:rsidRPr="008D6B70" w:rsidRDefault="00407570" w:rsidP="00D42410">
      <w:pPr>
        <w:pStyle w:val="TableFooter"/>
      </w:pPr>
      <w:r w:rsidRPr="008D6B70">
        <w:t xml:space="preserve">Note: </w:t>
      </w:r>
      <w:r w:rsidR="00074D4A" w:rsidRPr="007954BD">
        <w:rPr>
          <w:vertAlign w:val="superscript"/>
        </w:rPr>
        <w:t>a</w:t>
      </w:r>
      <w:r w:rsidR="00074D4A" w:rsidRPr="008D6B70">
        <w:t xml:space="preserve"> Assuming</w:t>
      </w:r>
      <w:r w:rsidR="00B94C36" w:rsidRPr="008D6B70">
        <w:t xml:space="preserve"> 14 scripts for initiating patients (over 6 months) and 12 scripts per year for continuing patients. Year 1 consisted only 6 months (14 scripts), Year 2 onwards consisted of 12 months and included initiating and continuing patients, with each </w:t>
      </w:r>
      <w:r w:rsidR="00B02BDA" w:rsidRPr="008D6B70">
        <w:t>subsequent</w:t>
      </w:r>
      <w:r w:rsidR="00B94C36" w:rsidRPr="008D6B70">
        <w:t xml:space="preserve"> year accumulating continuing patients from previous Years </w:t>
      </w:r>
      <w:r w:rsidR="00074D4A" w:rsidRPr="008D6B70">
        <w:t>as estimated by the submission.</w:t>
      </w:r>
    </w:p>
    <w:p w:rsidR="00B54820" w:rsidRDefault="00074D4A" w:rsidP="00D42410">
      <w:pPr>
        <w:pStyle w:val="TableFooter"/>
      </w:pPr>
      <w:r w:rsidRPr="008D6B70">
        <w:t>Source</w:t>
      </w:r>
      <w:r w:rsidR="00407570" w:rsidRPr="008D6B70">
        <w:t xml:space="preserve">: </w:t>
      </w:r>
      <w:r w:rsidR="00431C98" w:rsidRPr="008D6B70">
        <w:t>Table 4.1.3-4.1.6, p.14-18</w:t>
      </w:r>
      <w:r w:rsidR="00784226" w:rsidRPr="008D6B70">
        <w:t xml:space="preserve"> </w:t>
      </w:r>
      <w:r w:rsidR="00431C98" w:rsidRPr="008D6B70">
        <w:t xml:space="preserve">and Table 4.1.15, p.35 </w:t>
      </w:r>
      <w:r w:rsidR="00784226" w:rsidRPr="008D6B70">
        <w:t>Section 4 of the submission</w:t>
      </w:r>
      <w:r w:rsidR="00B5298B" w:rsidRPr="008D6B70">
        <w:t xml:space="preserve"> and sheet ‘4.2 Use and cost of dara’ in Excel Spreadsheet ‘Daratumumab_RRMM_Section_4’ of the submission</w:t>
      </w:r>
      <w:r w:rsidR="00407570" w:rsidRPr="008D6B70">
        <w:t>.</w:t>
      </w:r>
      <w:r w:rsidR="00FE6CAB" w:rsidRPr="008D6B70">
        <w:t xml:space="preserve"> </w:t>
      </w:r>
      <w:r w:rsidR="00B54820" w:rsidRPr="008D6B70">
        <w:t xml:space="preserve">Drug costs were included for the treatment of adverse events including </w:t>
      </w:r>
      <w:r w:rsidR="008B4336" w:rsidRPr="008D6B70">
        <w:t xml:space="preserve">pegfilgrastim for treatment of </w:t>
      </w:r>
      <w:r w:rsidR="00B54820" w:rsidRPr="008D6B70">
        <w:t xml:space="preserve">neutropenia and </w:t>
      </w:r>
      <w:r w:rsidR="00B02BDA" w:rsidRPr="008D6B70">
        <w:t>hydrochlorothiazide</w:t>
      </w:r>
      <w:r w:rsidR="008B4336" w:rsidRPr="008D6B70">
        <w:t xml:space="preserve"> for </w:t>
      </w:r>
      <w:r w:rsidR="00B54820" w:rsidRPr="008D6B70">
        <w:t>hypertension (for DBd only). The proportion</w:t>
      </w:r>
      <w:r w:rsidR="008B4336" w:rsidRPr="008D6B70">
        <w:t>s</w:t>
      </w:r>
      <w:r w:rsidR="00B54820" w:rsidRPr="008D6B70">
        <w:t xml:space="preserve"> of utilisation</w:t>
      </w:r>
      <w:r w:rsidR="008B4336" w:rsidRPr="008D6B70">
        <w:t xml:space="preserve"> for these drugs</w:t>
      </w:r>
      <w:r w:rsidR="00B54820" w:rsidRPr="008D6B70">
        <w:t xml:space="preserve"> were based on tho</w:t>
      </w:r>
      <w:r w:rsidR="00E00B4B" w:rsidRPr="008D6B70">
        <w:t>se used in the economic models which were derived from the appropriate trials.</w:t>
      </w:r>
    </w:p>
    <w:p w:rsidR="006B45B4" w:rsidRDefault="006B45B4" w:rsidP="00D42410">
      <w:pPr>
        <w:pStyle w:val="TableFooter"/>
      </w:pPr>
    </w:p>
    <w:p w:rsidR="006B45B4" w:rsidRDefault="006B45B4" w:rsidP="006B45B4">
      <w:pPr>
        <w:pStyle w:val="ListParagraph"/>
        <w:spacing w:before="0" w:after="0"/>
        <w:ind w:left="709"/>
        <w:contextualSpacing/>
        <w:jc w:val="both"/>
        <w:rPr>
          <w:rFonts w:eastAsia="Times New Roman" w:cs="Times New Roman"/>
          <w:szCs w:val="24"/>
          <w:lang w:eastAsia="en-AU"/>
        </w:rPr>
      </w:pPr>
      <w:r w:rsidRPr="0059789D">
        <w:rPr>
          <w:rFonts w:eastAsia="Times New Roman" w:cs="Times New Roman"/>
          <w:szCs w:val="24"/>
          <w:lang w:eastAsia="en-AU"/>
        </w:rPr>
        <w:t xml:space="preserve">The redacted table shows that at year 5, the estimated number of patients was less than 10,000 per year and the net cost to </w:t>
      </w:r>
      <w:r w:rsidR="009E0031">
        <w:rPr>
          <w:rFonts w:eastAsia="Times New Roman" w:cs="Times New Roman"/>
          <w:szCs w:val="24"/>
          <w:lang w:eastAsia="en-AU"/>
        </w:rPr>
        <w:t>Government</w:t>
      </w:r>
      <w:r w:rsidRPr="0059789D">
        <w:rPr>
          <w:rFonts w:eastAsia="Times New Roman" w:cs="Times New Roman"/>
          <w:szCs w:val="24"/>
          <w:lang w:eastAsia="en-AU"/>
        </w:rPr>
        <w:t xml:space="preserve"> would be </w:t>
      </w:r>
      <w:r>
        <w:rPr>
          <w:rFonts w:eastAsia="Times New Roman" w:cs="Times New Roman"/>
          <w:szCs w:val="24"/>
          <w:lang w:eastAsia="en-AU"/>
        </w:rPr>
        <w:t>more than $100</w:t>
      </w:r>
      <w:r w:rsidRPr="0059789D">
        <w:rPr>
          <w:rFonts w:eastAsia="Times New Roman" w:cs="Times New Roman"/>
          <w:szCs w:val="24"/>
          <w:lang w:eastAsia="en-AU"/>
        </w:rPr>
        <w:t xml:space="preserve"> million per year.</w:t>
      </w:r>
    </w:p>
    <w:p w:rsidR="006B45B4" w:rsidRPr="008D6B70" w:rsidRDefault="006B45B4" w:rsidP="00D42410">
      <w:pPr>
        <w:pStyle w:val="TableFooter"/>
      </w:pPr>
    </w:p>
    <w:p w:rsidR="00431C98" w:rsidRPr="008D6B70" w:rsidRDefault="00E16D32" w:rsidP="00865EA5">
      <w:pPr>
        <w:pStyle w:val="ListParagraph"/>
        <w:numPr>
          <w:ilvl w:val="1"/>
          <w:numId w:val="108"/>
        </w:numPr>
        <w:ind w:left="709" w:hanging="709"/>
        <w:jc w:val="both"/>
      </w:pPr>
      <w:r w:rsidRPr="008D6B70">
        <w:t xml:space="preserve">The </w:t>
      </w:r>
      <w:r w:rsidR="00942B72">
        <w:t xml:space="preserve">financial </w:t>
      </w:r>
      <w:r w:rsidR="00431C98" w:rsidRPr="008D6B70">
        <w:t xml:space="preserve">estimates </w:t>
      </w:r>
      <w:r w:rsidR="00B269BB">
        <w:t>are uncertain</w:t>
      </w:r>
      <w:r w:rsidR="0062718B">
        <w:t xml:space="preserve"> for the following reasons</w:t>
      </w:r>
      <w:r w:rsidR="00431C98" w:rsidRPr="008D6B70">
        <w:t>:</w:t>
      </w:r>
    </w:p>
    <w:p w:rsidR="00B269BB" w:rsidRDefault="00B269BB" w:rsidP="00942B72">
      <w:pPr>
        <w:pStyle w:val="ListParagraph"/>
        <w:numPr>
          <w:ilvl w:val="1"/>
          <w:numId w:val="146"/>
        </w:numPr>
        <w:ind w:left="1134" w:hanging="425"/>
        <w:jc w:val="both"/>
      </w:pPr>
      <w:bookmarkStart w:id="34" w:name="_Hlk492885136"/>
      <w:r w:rsidRPr="008D6B70">
        <w:t>The cost of bortezomib and lenalidomide was underestimated</w:t>
      </w:r>
      <w:r>
        <w:t xml:space="preserve"> </w:t>
      </w:r>
      <w:r w:rsidR="00942B72">
        <w:t>due to</w:t>
      </w:r>
      <w:r>
        <w:t xml:space="preserve">: </w:t>
      </w:r>
    </w:p>
    <w:p w:rsidR="00B269BB" w:rsidRPr="008D6B70" w:rsidRDefault="00B269BB" w:rsidP="00942B72">
      <w:pPr>
        <w:pStyle w:val="ListParagraph"/>
        <w:numPr>
          <w:ilvl w:val="2"/>
          <w:numId w:val="147"/>
        </w:numPr>
        <w:ind w:left="1418" w:hanging="284"/>
        <w:jc w:val="both"/>
        <w:rPr>
          <w:szCs w:val="24"/>
        </w:rPr>
      </w:pPr>
      <w:r w:rsidRPr="008D6B70">
        <w:rPr>
          <w:szCs w:val="24"/>
        </w:rPr>
        <w:t>includ</w:t>
      </w:r>
      <w:r w:rsidR="00942B72">
        <w:rPr>
          <w:szCs w:val="24"/>
        </w:rPr>
        <w:t>ing</w:t>
      </w:r>
      <w:r w:rsidRPr="008D6B70">
        <w:rPr>
          <w:szCs w:val="24"/>
        </w:rPr>
        <w:t xml:space="preserve"> a maximum of 8 cycles of treatment with Bd only. The ESC noted that the assumption of only 8 cycles of Bd (as compared with the 11 cycles permitted on the PBS) impacted on the financial estimates but was unlikely to have a substantial impact on the clinical outcomes.</w:t>
      </w:r>
    </w:p>
    <w:p w:rsidR="00B269BB" w:rsidRPr="000A7F1F" w:rsidRDefault="00942B72" w:rsidP="00942B72">
      <w:pPr>
        <w:pStyle w:val="ListParagraph"/>
        <w:numPr>
          <w:ilvl w:val="2"/>
          <w:numId w:val="147"/>
        </w:numPr>
        <w:ind w:left="1418" w:hanging="284"/>
        <w:jc w:val="both"/>
      </w:pPr>
      <w:r>
        <w:t xml:space="preserve">the </w:t>
      </w:r>
      <w:r w:rsidR="00B269BB">
        <w:t>assum</w:t>
      </w:r>
      <w:r>
        <w:t>ption</w:t>
      </w:r>
      <w:r w:rsidR="00B269BB">
        <w:t xml:space="preserve"> that there would be a</w:t>
      </w:r>
      <w:r>
        <w:t xml:space="preserve"> </w:t>
      </w:r>
      <w:r w:rsidR="000A7F1F">
        <w:rPr>
          <w:noProof/>
          <w:color w:val="000000"/>
          <w:highlight w:val="black"/>
        </w:rPr>
        <w:t>''''''''''''''' ''''''''' '''''''''''''''''' '''' '''''''''''''''''''''''''''' '''''''' '''''''' ''''''''''' '''''''' '''''''''''''''' '''' '''''''' ''''''''' ''''''''''''''''''' '''''''' ''''''''''''''''' '''''' ''''''''''''''''' '''''''''' ''''' '''''''''''''''''''''' ''''''''''''''''''''' '''''''''''''''''''' ''''''' ''''''''''''''' '''''''''''''' '''' '''''' ''''''''''''''''''''' '''''''''''''''</w:t>
      </w:r>
    </w:p>
    <w:p w:rsidR="00B269BB" w:rsidRDefault="00431C98" w:rsidP="00942B72">
      <w:pPr>
        <w:pStyle w:val="ListParagraph"/>
        <w:numPr>
          <w:ilvl w:val="1"/>
          <w:numId w:val="146"/>
        </w:numPr>
        <w:ind w:left="1134" w:hanging="425"/>
        <w:jc w:val="both"/>
      </w:pPr>
      <w:r w:rsidRPr="008D6B70">
        <w:t xml:space="preserve">The estimate of the prevalent RRMM population </w:t>
      </w:r>
      <w:r w:rsidR="008B4336" w:rsidRPr="008D6B70">
        <w:t>is based on a</w:t>
      </w:r>
      <w:r w:rsidR="008B4EC9" w:rsidRPr="008D6B70">
        <w:t xml:space="preserve"> projection</w:t>
      </w:r>
      <w:r w:rsidR="008B4336" w:rsidRPr="008D6B70">
        <w:t>.</w:t>
      </w:r>
      <w:r w:rsidRPr="008D6B70">
        <w:t xml:space="preserve"> </w:t>
      </w:r>
      <w:r w:rsidR="008B4EC9" w:rsidRPr="008D6B70">
        <w:t>T</w:t>
      </w:r>
      <w:r w:rsidRPr="008D6B70">
        <w:t xml:space="preserve">he submission presented a scenario analysis </w:t>
      </w:r>
      <w:r w:rsidR="00A83BB5" w:rsidRPr="008D6B70">
        <w:t xml:space="preserve">that increased </w:t>
      </w:r>
      <w:r w:rsidRPr="008D6B70">
        <w:t xml:space="preserve">the prevalent population from </w:t>
      </w:r>
      <w:r w:rsidR="000A7F1F">
        <w:rPr>
          <w:noProof/>
          <w:color w:val="000000"/>
          <w:highlight w:val="black"/>
        </w:rPr>
        <w:t xml:space="preserve">'''''''''' </w:t>
      </w:r>
      <w:r w:rsidRPr="008D6B70">
        <w:t xml:space="preserve">to </w:t>
      </w:r>
      <w:r w:rsidR="000A7F1F">
        <w:rPr>
          <w:noProof/>
          <w:color w:val="000000"/>
          <w:highlight w:val="black"/>
        </w:rPr>
        <w:t>'''''''''''</w:t>
      </w:r>
      <w:r w:rsidRPr="008D6B70">
        <w:t xml:space="preserve"> patients.</w:t>
      </w:r>
      <w:r w:rsidR="008671DC" w:rsidRPr="008D6B70">
        <w:t xml:space="preserve"> </w:t>
      </w:r>
      <w:r w:rsidR="008B4EC9" w:rsidRPr="008D6B70">
        <w:t>The i</w:t>
      </w:r>
      <w:r w:rsidR="008671DC" w:rsidRPr="008D6B70">
        <w:t xml:space="preserve">ncreased patient numbers were based on using an older age segment (60+ instead of 50+) in the AIHW </w:t>
      </w:r>
      <w:r w:rsidR="008B4EC9" w:rsidRPr="008D6B70">
        <w:t>dataset. The older age segment</w:t>
      </w:r>
      <w:r w:rsidR="008671DC" w:rsidRPr="008D6B70">
        <w:t xml:space="preserve"> corresponded to a higher growth rate of 16% </w:t>
      </w:r>
      <w:r w:rsidR="008B4EC9" w:rsidRPr="008D6B70">
        <w:t xml:space="preserve">instead of 12.1% </w:t>
      </w:r>
      <w:r w:rsidR="008671DC" w:rsidRPr="008D6B70">
        <w:t>over the 5-year period (2012-2017) applied to the projections.</w:t>
      </w:r>
      <w:r w:rsidR="001A57A4" w:rsidRPr="008D6B70">
        <w:t xml:space="preserve"> </w:t>
      </w:r>
      <w:bookmarkEnd w:id="34"/>
      <w:r w:rsidR="00944253" w:rsidRPr="008D6B70">
        <w:t xml:space="preserve">If the population of patients using these treatments on the PBS is older than the group used in the growth projections, the sensitivity analysis suggests that it is likely that utilisation has been underestimated. </w:t>
      </w:r>
    </w:p>
    <w:p w:rsidR="00074D4A" w:rsidRPr="008D6B70" w:rsidRDefault="00944253" w:rsidP="00942B72">
      <w:pPr>
        <w:pStyle w:val="ListParagraph"/>
        <w:numPr>
          <w:ilvl w:val="1"/>
          <w:numId w:val="146"/>
        </w:numPr>
        <w:ind w:left="1134" w:hanging="425"/>
        <w:jc w:val="both"/>
      </w:pPr>
      <w:r w:rsidRPr="008D6B70">
        <w:t xml:space="preserve">Discontinuation of daratumumab was based on the </w:t>
      </w:r>
      <w:r w:rsidR="00942B72">
        <w:t>time to treatment discontinuation (</w:t>
      </w:r>
      <w:r w:rsidRPr="008D6B70">
        <w:t>TTD</w:t>
      </w:r>
      <w:r w:rsidR="00942B72">
        <w:t>)</w:t>
      </w:r>
      <w:r w:rsidRPr="008D6B70">
        <w:t xml:space="preserve"> extrapolations conducted in the economic model. </w:t>
      </w:r>
      <w:r w:rsidR="00992810" w:rsidRPr="008D6B70">
        <w:t>These extrapolations were based on short-term trial data and may not reflect the typical duration of daratumumab therapy for these patients. Longer time on therapy with daratumumab would increase the cost to Government.</w:t>
      </w:r>
    </w:p>
    <w:p w:rsidR="007C2653" w:rsidRDefault="007C2653" w:rsidP="00942B72">
      <w:pPr>
        <w:pStyle w:val="ListParagraph"/>
        <w:numPr>
          <w:ilvl w:val="1"/>
          <w:numId w:val="146"/>
        </w:numPr>
        <w:ind w:left="1134" w:hanging="425"/>
        <w:jc w:val="both"/>
      </w:pPr>
      <w:r w:rsidRPr="008D6B70">
        <w:t>Although an increase in bortezomib use as a result of use in combination with daratumumab was included in the estimates, the submission did not account for an increase in utilisation or duration of use of bortezomib in Bd regimens as a result of streamlining the restriction.</w:t>
      </w:r>
    </w:p>
    <w:p w:rsidR="00712E7F" w:rsidRPr="008D6B70" w:rsidRDefault="00712E7F" w:rsidP="00865EA5">
      <w:pPr>
        <w:pStyle w:val="ListParagraph"/>
        <w:numPr>
          <w:ilvl w:val="1"/>
          <w:numId w:val="108"/>
        </w:numPr>
        <w:ind w:left="709" w:hanging="709"/>
        <w:jc w:val="both"/>
      </w:pPr>
      <w:r>
        <w:t xml:space="preserve">The PBAC noted that the </w:t>
      </w:r>
      <w:r w:rsidR="00B269BB">
        <w:t xml:space="preserve">estimated </w:t>
      </w:r>
      <w:r>
        <w:t xml:space="preserve">financial impact indicated a very high opportunity cost for </w:t>
      </w:r>
      <w:r w:rsidR="00B269BB">
        <w:t xml:space="preserve">the </w:t>
      </w:r>
      <w:r>
        <w:t>proposed listings</w:t>
      </w:r>
      <w:r w:rsidR="00B269BB">
        <w:t>, for</w:t>
      </w:r>
      <w:r>
        <w:t xml:space="preserve"> which the incremental cost</w:t>
      </w:r>
      <w:r>
        <w:noBreakHyphen/>
        <w:t xml:space="preserve">effectiveness ratio was </w:t>
      </w:r>
      <w:r w:rsidR="00B269BB">
        <w:t xml:space="preserve">too </w:t>
      </w:r>
      <w:r>
        <w:t>high and uncertain.</w:t>
      </w:r>
    </w:p>
    <w:p w:rsidR="00074D4A" w:rsidRPr="00981468" w:rsidRDefault="00074D4A" w:rsidP="00074D4A">
      <w:pPr>
        <w:pStyle w:val="Heading2"/>
      </w:pPr>
      <w:bookmarkStart w:id="35" w:name="_Toc413139285"/>
      <w:bookmarkStart w:id="36" w:name="_Toc492997395"/>
      <w:r w:rsidRPr="00981468">
        <w:t>Quality use of medicines</w:t>
      </w:r>
      <w:bookmarkEnd w:id="35"/>
      <w:bookmarkEnd w:id="36"/>
    </w:p>
    <w:p w:rsidR="00074D4A" w:rsidRPr="008D6B70" w:rsidRDefault="001F140C" w:rsidP="00865EA5">
      <w:pPr>
        <w:pStyle w:val="ListParagraph"/>
        <w:numPr>
          <w:ilvl w:val="1"/>
          <w:numId w:val="108"/>
        </w:numPr>
        <w:ind w:left="709" w:hanging="709"/>
        <w:jc w:val="both"/>
      </w:pPr>
      <w:r w:rsidRPr="008D6B70">
        <w:t xml:space="preserve">The submission provided </w:t>
      </w:r>
      <w:r w:rsidR="00DF31A9">
        <w:t xml:space="preserve">examples of </w:t>
      </w:r>
      <w:r w:rsidRPr="008D6B70">
        <w:t>educational resources for patients, carers, physicians and nurses</w:t>
      </w:r>
      <w:r w:rsidR="002B42D1" w:rsidRPr="008D6B70">
        <w:t xml:space="preserve"> as evidence of its approach to QUM</w:t>
      </w:r>
      <w:r w:rsidRPr="008D6B70">
        <w:t xml:space="preserve">. These explain the complex dosing and administration requirements including the duration of the first infusion (7 hours); need for blood typing patients prior to the first infusion and potential and management of infusion related reactions. </w:t>
      </w:r>
    </w:p>
    <w:p w:rsidR="00074D4A" w:rsidRPr="00981468" w:rsidRDefault="00074D4A" w:rsidP="00074D4A">
      <w:pPr>
        <w:pStyle w:val="Heading2"/>
      </w:pPr>
      <w:bookmarkStart w:id="37" w:name="_Toc413139286"/>
      <w:bookmarkStart w:id="38" w:name="_Toc492997396"/>
      <w:r w:rsidRPr="00981468">
        <w:t>Financial management – risk sharing arrangements</w:t>
      </w:r>
      <w:bookmarkEnd w:id="37"/>
      <w:bookmarkEnd w:id="38"/>
    </w:p>
    <w:p w:rsidR="007D23A7" w:rsidRDefault="008968DF" w:rsidP="00865EA5">
      <w:pPr>
        <w:pStyle w:val="ListParagraph"/>
        <w:numPr>
          <w:ilvl w:val="1"/>
          <w:numId w:val="108"/>
        </w:numPr>
        <w:ind w:left="709" w:hanging="709"/>
        <w:jc w:val="both"/>
      </w:pPr>
      <w:r w:rsidRPr="008D6B70">
        <w:t xml:space="preserve">The </w:t>
      </w:r>
      <w:r w:rsidR="00A83BB5" w:rsidRPr="008D6B70">
        <w:t>sponsor proposed a</w:t>
      </w:r>
      <w:r w:rsidR="00AD064C" w:rsidRPr="008D6B70">
        <w:t xml:space="preserve"> special pricing</w:t>
      </w:r>
      <w:r w:rsidR="00A83BB5" w:rsidRPr="008D6B70">
        <w:t xml:space="preserve"> arrangement</w:t>
      </w:r>
      <w:r w:rsidR="00AD064C" w:rsidRPr="006B45B4">
        <w:t xml:space="preserve">, which was intended to </w:t>
      </w:r>
      <w:r w:rsidR="000A7F1F">
        <w:rPr>
          <w:noProof/>
          <w:color w:val="000000"/>
          <w:highlight w:val="black"/>
        </w:rPr>
        <w:t>'''''''''''' '''''' '''''''' ''''' '''''' '''''''' ''' '''''''' '' '''''''''''''''''''''''''''''' '''''''''''''''' ''''''''' '''' ''''''''''''''''''''''''' '''''''''' ''''''''''''''''''' '''''''' ''''''''''''''''''''''''' '''''''''''''''''''''</w:t>
      </w:r>
      <w:r w:rsidRPr="006B45B4">
        <w:t xml:space="preserve">. </w:t>
      </w:r>
      <w:r w:rsidR="00310454" w:rsidRPr="006B45B4">
        <w:rPr>
          <w:szCs w:val="24"/>
        </w:rPr>
        <w:t xml:space="preserve"> The </w:t>
      </w:r>
      <w:r w:rsidR="000A7F1F">
        <w:rPr>
          <w:noProof/>
          <w:color w:val="000000"/>
          <w:szCs w:val="24"/>
          <w:highlight w:val="black"/>
        </w:rPr>
        <w:t>'''''''''''''''''''' ''''''''''''' '''''''' '''''''''''</w:t>
      </w:r>
      <w:r w:rsidR="00310454" w:rsidRPr="006B45B4">
        <w:rPr>
          <w:szCs w:val="24"/>
        </w:rPr>
        <w:t xml:space="preserve">% of the AEMP of daratumumab when used with bortezomib and </w:t>
      </w:r>
      <w:r w:rsidR="000A7F1F">
        <w:rPr>
          <w:noProof/>
          <w:color w:val="000000"/>
          <w:szCs w:val="24"/>
          <w:highlight w:val="black"/>
        </w:rPr>
        <w:t>'''''</w:t>
      </w:r>
      <w:r w:rsidR="00310454" w:rsidRPr="006B45B4">
        <w:rPr>
          <w:szCs w:val="24"/>
        </w:rPr>
        <w:t>% of the AEMP of daratumumab when used with lenalidomide.</w:t>
      </w:r>
      <w:r w:rsidR="00310454" w:rsidRPr="008D6B70">
        <w:rPr>
          <w:szCs w:val="24"/>
        </w:rPr>
        <w:t xml:space="preserve"> The PSCR claimed therefore, that a cap on total expenditure or number of cycles was not required. </w:t>
      </w:r>
      <w:r w:rsidR="00A95E60" w:rsidRPr="008D6B70">
        <w:t xml:space="preserve">Moreover, the PSCR noted that the proposed SPA would not apply to use by Grandfathered patients. </w:t>
      </w:r>
      <w:r w:rsidR="00712E7F">
        <w:t xml:space="preserve">The PBAC did not agree with the PSCR and considered that the duration of daratumumab treatment was a key area of uncertainty in relation to these listings. </w:t>
      </w:r>
      <w:r w:rsidR="00B269BB">
        <w:rPr>
          <w:szCs w:val="24"/>
        </w:rPr>
        <w:t xml:space="preserve">The PBAC agreed with </w:t>
      </w:r>
      <w:r w:rsidR="00B269BB" w:rsidRPr="008D6B70">
        <w:rPr>
          <w:szCs w:val="24"/>
        </w:rPr>
        <w:t xml:space="preserve">the ESC </w:t>
      </w:r>
      <w:r w:rsidR="000A7F1F">
        <w:rPr>
          <w:noProof/>
          <w:color w:val="000000"/>
          <w:szCs w:val="24"/>
          <w:highlight w:val="black"/>
        </w:rPr>
        <w:t>''''''''' ''''''''''''''' '''''' ''''''''''''' '''' '''''''''' '''''''''''''''''''' '''''''''</w:t>
      </w:r>
      <w:r w:rsidR="00B269BB" w:rsidRPr="008D6B70">
        <w:rPr>
          <w:szCs w:val="24"/>
        </w:rPr>
        <w:t xml:space="preserve"> results in no coverage of the risk associated with uncertainties around the duration of therapy for continuing treatment, the number of patients continuing treatment, the replacement of comparator regimens in ongoing treatment, use of daratumumab monotherapy, or exposure the number of grandfathered patients.</w:t>
      </w:r>
      <w:r w:rsidR="00B269BB">
        <w:rPr>
          <w:szCs w:val="24"/>
        </w:rPr>
        <w:t xml:space="preserve"> </w:t>
      </w:r>
      <w:r w:rsidR="00712E7F">
        <w:t xml:space="preserve">The PBAC therefore advised that a risk sharing arrangement </w:t>
      </w:r>
      <w:r w:rsidR="00173C7E">
        <w:t>based on total expenditure o</w:t>
      </w:r>
      <w:r w:rsidR="00B269BB">
        <w:t>r</w:t>
      </w:r>
      <w:r w:rsidR="00173C7E">
        <w:t xml:space="preserve"> number of cycles </w:t>
      </w:r>
      <w:r w:rsidR="00712E7F">
        <w:t>would be required for these listings.</w:t>
      </w:r>
    </w:p>
    <w:p w:rsidR="0014789F" w:rsidRPr="008D6B70" w:rsidRDefault="0014789F" w:rsidP="003229D8">
      <w:pPr>
        <w:pStyle w:val="TableHeading1"/>
        <w:spacing w:after="0"/>
      </w:pPr>
      <w:r w:rsidRPr="008D6B70">
        <w:t xml:space="preserve">Table </w:t>
      </w:r>
      <w:r w:rsidR="001A117E" w:rsidRPr="008D6B70">
        <w:t>19</w:t>
      </w:r>
      <w:r w:rsidR="002B42D1" w:rsidRPr="008D6B70">
        <w:t xml:space="preserve">: </w:t>
      </w:r>
      <w:r w:rsidRPr="008D6B70">
        <w:t>Estimated use and financial implications</w:t>
      </w:r>
      <w:r w:rsidR="003229D8" w:rsidRPr="008D6B70">
        <w:t xml:space="preserve"> with MM Treatment Package</w:t>
      </w:r>
    </w:p>
    <w:tbl>
      <w:tblPr>
        <w:tblW w:w="9385" w:type="dxa"/>
        <w:tblInd w:w="108" w:type="dxa"/>
        <w:tblLook w:val="04A0" w:firstRow="1" w:lastRow="0" w:firstColumn="1" w:lastColumn="0" w:noHBand="0" w:noVBand="1"/>
      </w:tblPr>
      <w:tblGrid>
        <w:gridCol w:w="2581"/>
        <w:gridCol w:w="1163"/>
        <w:gridCol w:w="1198"/>
        <w:gridCol w:w="1163"/>
        <w:gridCol w:w="1128"/>
        <w:gridCol w:w="1235"/>
        <w:gridCol w:w="1233"/>
      </w:tblGrid>
      <w:tr w:rsidR="00AE7BDF" w:rsidRPr="008D6B70" w:rsidTr="006E386C">
        <w:trPr>
          <w:trHeight w:val="27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BDF" w:rsidRPr="008D6B70" w:rsidRDefault="00AE7BDF" w:rsidP="003229D8">
            <w:pPr>
              <w:widowControl w:val="0"/>
              <w:spacing w:after="0" w:line="240" w:lineRule="auto"/>
              <w:jc w:val="left"/>
              <w:rPr>
                <w:rFonts w:ascii="Arial Narrow" w:hAnsi="Arial Narrow" w:cs="Arial"/>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BDF" w:rsidRPr="008D6B70" w:rsidRDefault="00AE7BDF" w:rsidP="003229D8">
            <w:pPr>
              <w:widowControl w:val="0"/>
              <w:spacing w:after="0" w:line="240" w:lineRule="auto"/>
              <w:jc w:val="center"/>
              <w:rPr>
                <w:rFonts w:ascii="Arial Narrow" w:hAnsi="Arial Narrow" w:cs="Arial"/>
                <w:sz w:val="18"/>
                <w:szCs w:val="18"/>
              </w:rPr>
            </w:pPr>
            <w:r w:rsidRPr="008D6B70">
              <w:rPr>
                <w:rFonts w:ascii="Arial Narrow" w:hAnsi="Arial Narrow"/>
                <w:b/>
                <w:sz w:val="18"/>
                <w:szCs w:val="18"/>
              </w:rPr>
              <w:t>Year 1</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BDF" w:rsidRPr="008D6B70" w:rsidRDefault="00AE7BDF" w:rsidP="003229D8">
            <w:pPr>
              <w:widowControl w:val="0"/>
              <w:spacing w:after="0" w:line="240" w:lineRule="auto"/>
              <w:jc w:val="center"/>
              <w:rPr>
                <w:rFonts w:ascii="Arial Narrow" w:hAnsi="Arial Narrow" w:cs="Arial"/>
                <w:sz w:val="18"/>
                <w:szCs w:val="18"/>
              </w:rPr>
            </w:pPr>
            <w:r w:rsidRPr="008D6B70">
              <w:rPr>
                <w:rFonts w:ascii="Arial Narrow" w:hAnsi="Arial Narrow"/>
                <w:b/>
                <w:sz w:val="18"/>
                <w:szCs w:val="18"/>
              </w:rPr>
              <w:t>Year 2</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BDF" w:rsidRPr="008D6B70" w:rsidRDefault="00AE7BDF" w:rsidP="003229D8">
            <w:pPr>
              <w:widowControl w:val="0"/>
              <w:spacing w:after="0" w:line="240" w:lineRule="auto"/>
              <w:jc w:val="center"/>
              <w:rPr>
                <w:rFonts w:ascii="Arial Narrow" w:hAnsi="Arial Narrow" w:cs="Arial"/>
                <w:sz w:val="18"/>
                <w:szCs w:val="18"/>
              </w:rPr>
            </w:pPr>
            <w:r w:rsidRPr="008D6B70">
              <w:rPr>
                <w:rFonts w:ascii="Arial Narrow" w:hAnsi="Arial Narrow"/>
                <w:b/>
                <w:sz w:val="18"/>
                <w:szCs w:val="18"/>
              </w:rPr>
              <w:t>Year 3</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BDF" w:rsidRPr="008D6B70" w:rsidRDefault="00AE7BDF" w:rsidP="003229D8">
            <w:pPr>
              <w:widowControl w:val="0"/>
              <w:spacing w:after="0" w:line="240" w:lineRule="auto"/>
              <w:jc w:val="center"/>
              <w:rPr>
                <w:rFonts w:ascii="Arial Narrow" w:hAnsi="Arial Narrow" w:cs="Arial"/>
                <w:sz w:val="18"/>
                <w:szCs w:val="18"/>
              </w:rPr>
            </w:pPr>
            <w:r w:rsidRPr="008D6B70">
              <w:rPr>
                <w:rFonts w:ascii="Arial Narrow" w:hAnsi="Arial Narrow"/>
                <w:b/>
                <w:sz w:val="18"/>
                <w:szCs w:val="18"/>
              </w:rPr>
              <w:t>Year 4</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BDF" w:rsidRPr="008D6B70" w:rsidRDefault="00AE7BDF" w:rsidP="003229D8">
            <w:pPr>
              <w:widowControl w:val="0"/>
              <w:spacing w:after="0" w:line="240" w:lineRule="auto"/>
              <w:jc w:val="center"/>
              <w:rPr>
                <w:rFonts w:ascii="Arial Narrow" w:hAnsi="Arial Narrow" w:cs="Arial"/>
                <w:sz w:val="18"/>
                <w:szCs w:val="18"/>
              </w:rPr>
            </w:pPr>
            <w:r w:rsidRPr="008D6B70">
              <w:rPr>
                <w:rFonts w:ascii="Arial Narrow" w:hAnsi="Arial Narrow"/>
                <w:b/>
                <w:sz w:val="18"/>
                <w:szCs w:val="18"/>
              </w:rPr>
              <w:t>Year 5</w:t>
            </w:r>
          </w:p>
        </w:tc>
        <w:tc>
          <w:tcPr>
            <w:tcW w:w="1194" w:type="dxa"/>
            <w:tcBorders>
              <w:top w:val="single" w:sz="4" w:space="0" w:color="auto"/>
              <w:left w:val="single" w:sz="4" w:space="0" w:color="auto"/>
              <w:bottom w:val="single" w:sz="4" w:space="0" w:color="auto"/>
              <w:right w:val="single" w:sz="4" w:space="0" w:color="auto"/>
            </w:tcBorders>
          </w:tcPr>
          <w:p w:rsidR="00AE7BDF" w:rsidRPr="008D6B70" w:rsidRDefault="00AE7BDF" w:rsidP="003229D8">
            <w:pPr>
              <w:widowControl w:val="0"/>
              <w:spacing w:after="0" w:line="240" w:lineRule="auto"/>
              <w:jc w:val="center"/>
              <w:rPr>
                <w:rFonts w:ascii="Arial Narrow" w:hAnsi="Arial Narrow"/>
                <w:b/>
                <w:sz w:val="18"/>
                <w:szCs w:val="18"/>
              </w:rPr>
            </w:pPr>
            <w:r w:rsidRPr="008D6B70">
              <w:rPr>
                <w:rFonts w:ascii="Arial Narrow" w:hAnsi="Arial Narrow"/>
                <w:b/>
                <w:sz w:val="18"/>
                <w:szCs w:val="18"/>
              </w:rPr>
              <w:t>Year 6</w:t>
            </w:r>
          </w:p>
        </w:tc>
      </w:tr>
      <w:tr w:rsidR="00AE7BDF" w:rsidRPr="008D6B70" w:rsidTr="006E386C">
        <w:trPr>
          <w:trHeight w:val="270"/>
        </w:trPr>
        <w:tc>
          <w:tcPr>
            <w:tcW w:w="8191" w:type="dxa"/>
            <w:gridSpan w:val="6"/>
            <w:tcBorders>
              <w:top w:val="single" w:sz="4" w:space="0" w:color="auto"/>
              <w:left w:val="single" w:sz="4" w:space="0" w:color="auto"/>
              <w:bottom w:val="single" w:sz="4" w:space="0" w:color="auto"/>
            </w:tcBorders>
            <w:shd w:val="clear" w:color="auto" w:fill="auto"/>
            <w:noWrap/>
            <w:vAlign w:val="center"/>
          </w:tcPr>
          <w:p w:rsidR="00AE7BDF" w:rsidRPr="008D6B70" w:rsidRDefault="00AE7BDF" w:rsidP="00407570">
            <w:pPr>
              <w:widowControl w:val="0"/>
              <w:spacing w:after="0" w:line="240" w:lineRule="auto"/>
              <w:jc w:val="left"/>
              <w:rPr>
                <w:rFonts w:ascii="Arial Narrow" w:hAnsi="Arial Narrow" w:cs="Arial"/>
                <w:sz w:val="18"/>
                <w:szCs w:val="18"/>
              </w:rPr>
            </w:pPr>
            <w:r w:rsidRPr="008D6B70">
              <w:rPr>
                <w:rFonts w:ascii="Arial Narrow" w:hAnsi="Arial Narrow" w:cs="Arial"/>
                <w:iCs/>
                <w:sz w:val="18"/>
                <w:szCs w:val="18"/>
                <w:lang w:eastAsia="zh-TW"/>
              </w:rPr>
              <w:t>Net implications with co-payments removed (with MM Treatment Package)</w:t>
            </w:r>
          </w:p>
        </w:tc>
        <w:tc>
          <w:tcPr>
            <w:tcW w:w="1194" w:type="dxa"/>
            <w:tcBorders>
              <w:top w:val="single" w:sz="4" w:space="0" w:color="auto"/>
              <w:bottom w:val="single" w:sz="4" w:space="0" w:color="auto"/>
              <w:right w:val="single" w:sz="4" w:space="0" w:color="auto"/>
            </w:tcBorders>
          </w:tcPr>
          <w:p w:rsidR="00AE7BDF" w:rsidRPr="008D6B70" w:rsidRDefault="00AE7BDF" w:rsidP="00407570">
            <w:pPr>
              <w:widowControl w:val="0"/>
              <w:spacing w:after="0" w:line="240" w:lineRule="auto"/>
              <w:jc w:val="left"/>
              <w:rPr>
                <w:rFonts w:ascii="Arial Narrow" w:hAnsi="Arial Narrow" w:cs="Arial"/>
                <w:iCs/>
                <w:sz w:val="18"/>
                <w:szCs w:val="18"/>
                <w:lang w:eastAsia="zh-TW"/>
              </w:rPr>
            </w:pPr>
          </w:p>
        </w:tc>
      </w:tr>
      <w:tr w:rsidR="00AE7BDF" w:rsidRPr="008D6B70" w:rsidTr="006E386C">
        <w:trPr>
          <w:trHeight w:val="27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BDF" w:rsidRPr="008D6B70" w:rsidRDefault="00AE7BDF" w:rsidP="00AE7BDF">
            <w:pPr>
              <w:widowControl w:val="0"/>
              <w:spacing w:after="0" w:line="240" w:lineRule="auto"/>
              <w:jc w:val="left"/>
              <w:rPr>
                <w:rFonts w:ascii="Arial Narrow" w:hAnsi="Arial Narrow" w:cs="Arial"/>
                <w:sz w:val="18"/>
                <w:szCs w:val="18"/>
                <w:lang w:eastAsia="zh-TW"/>
              </w:rPr>
            </w:pPr>
            <w:r w:rsidRPr="008D6B70">
              <w:rPr>
                <w:rFonts w:ascii="Arial Narrow" w:hAnsi="Arial Narrow" w:cs="Arial"/>
                <w:sz w:val="18"/>
                <w:szCs w:val="18"/>
                <w:lang w:eastAsia="zh-TW"/>
              </w:rPr>
              <w:t>PBS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94" w:type="dxa"/>
            <w:tcBorders>
              <w:top w:val="single" w:sz="4" w:space="0" w:color="auto"/>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r>
      <w:tr w:rsidR="00AE7BDF" w:rsidRPr="008D6B70" w:rsidTr="006E386C">
        <w:trPr>
          <w:trHeight w:val="270"/>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rsidR="00AE7BDF" w:rsidRPr="008D6B70" w:rsidRDefault="00AE7BDF" w:rsidP="00AE7BDF">
            <w:pPr>
              <w:widowControl w:val="0"/>
              <w:spacing w:after="0" w:line="240" w:lineRule="auto"/>
              <w:jc w:val="left"/>
              <w:rPr>
                <w:rFonts w:ascii="Arial Narrow" w:hAnsi="Arial Narrow" w:cs="Arial"/>
                <w:sz w:val="18"/>
                <w:szCs w:val="18"/>
                <w:lang w:eastAsia="zh-TW"/>
              </w:rPr>
            </w:pPr>
            <w:r w:rsidRPr="008D6B70">
              <w:rPr>
                <w:rFonts w:ascii="Arial Narrow" w:hAnsi="Arial Narrow" w:cs="Arial"/>
                <w:sz w:val="18"/>
                <w:szCs w:val="18"/>
                <w:lang w:eastAsia="zh-TW"/>
              </w:rPr>
              <w:t>RPBS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94" w:type="dxa"/>
            <w:tcBorders>
              <w:top w:val="nil"/>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r>
      <w:tr w:rsidR="00AE7BDF" w:rsidRPr="008D6B70" w:rsidTr="006E386C">
        <w:trPr>
          <w:trHeight w:val="270"/>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rsidR="00AE7BDF" w:rsidRPr="008D6B70" w:rsidRDefault="00AE7BDF" w:rsidP="00AE7BDF">
            <w:pPr>
              <w:widowControl w:val="0"/>
              <w:spacing w:after="0" w:line="240" w:lineRule="auto"/>
              <w:jc w:val="left"/>
              <w:rPr>
                <w:rFonts w:ascii="Arial Narrow" w:hAnsi="Arial Narrow" w:cs="Arial"/>
                <w:sz w:val="18"/>
                <w:szCs w:val="18"/>
                <w:lang w:eastAsia="zh-TW"/>
              </w:rPr>
            </w:pPr>
            <w:r w:rsidRPr="008D6B70">
              <w:rPr>
                <w:rFonts w:ascii="Arial Narrow" w:hAnsi="Arial Narrow" w:cs="Arial"/>
                <w:sz w:val="18"/>
                <w:szCs w:val="18"/>
                <w:lang w:eastAsia="zh-TW"/>
              </w:rPr>
              <w:t>MBS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94" w:type="dxa"/>
            <w:tcBorders>
              <w:top w:val="nil"/>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r>
      <w:tr w:rsidR="00AE7BDF" w:rsidRPr="008D6B70" w:rsidTr="006E386C">
        <w:trPr>
          <w:trHeight w:val="540"/>
        </w:trPr>
        <w:tc>
          <w:tcPr>
            <w:tcW w:w="2581" w:type="dxa"/>
            <w:tcBorders>
              <w:top w:val="nil"/>
              <w:left w:val="single" w:sz="4" w:space="0" w:color="auto"/>
              <w:bottom w:val="single" w:sz="4" w:space="0" w:color="auto"/>
              <w:right w:val="single" w:sz="4" w:space="0" w:color="auto"/>
            </w:tcBorders>
            <w:shd w:val="clear" w:color="auto" w:fill="auto"/>
            <w:vAlign w:val="center"/>
            <w:hideMark/>
          </w:tcPr>
          <w:p w:rsidR="00AE7BDF" w:rsidRPr="008D6B70" w:rsidRDefault="00AE7BDF" w:rsidP="00AE7BDF">
            <w:pPr>
              <w:widowControl w:val="0"/>
              <w:spacing w:after="0" w:line="240" w:lineRule="auto"/>
              <w:jc w:val="left"/>
              <w:rPr>
                <w:rFonts w:ascii="Arial Narrow" w:hAnsi="Arial Narrow" w:cs="Arial"/>
                <w:b/>
                <w:bCs/>
                <w:sz w:val="18"/>
                <w:szCs w:val="18"/>
                <w:lang w:eastAsia="zh-TW"/>
              </w:rPr>
            </w:pPr>
            <w:r w:rsidRPr="008D6B70">
              <w:rPr>
                <w:rFonts w:ascii="Arial Narrow" w:hAnsi="Arial Narrow" w:cs="Arial"/>
                <w:b/>
                <w:bCs/>
                <w:sz w:val="18"/>
                <w:szCs w:val="18"/>
                <w:lang w:eastAsia="zh-TW"/>
              </w:rPr>
              <w:t>Total financial implications for the health budget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94" w:type="dxa"/>
            <w:tcBorders>
              <w:top w:val="nil"/>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b/>
                <w:bCs/>
                <w:sz w:val="18"/>
                <w:szCs w:val="18"/>
                <w:highlight w:val="black"/>
              </w:rPr>
            </w:pPr>
            <w:r>
              <w:rPr>
                <w:rFonts w:ascii="Arial Narrow" w:hAnsi="Arial Narrow" w:cs="Arial"/>
                <w:b/>
                <w:bCs/>
                <w:noProof/>
                <w:color w:val="000000"/>
                <w:sz w:val="18"/>
                <w:szCs w:val="18"/>
                <w:highlight w:val="black"/>
              </w:rPr>
              <w:t>''''''''''''''''''''''''''''</w:t>
            </w:r>
          </w:p>
        </w:tc>
      </w:tr>
      <w:tr w:rsidR="00AE7BDF" w:rsidRPr="008D6B70" w:rsidTr="006E386C">
        <w:trPr>
          <w:trHeight w:val="27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BDF" w:rsidRPr="008D6B70" w:rsidRDefault="00AE7BDF" w:rsidP="00AE7BDF">
            <w:pPr>
              <w:widowControl w:val="0"/>
              <w:spacing w:after="0" w:line="240" w:lineRule="auto"/>
              <w:jc w:val="left"/>
              <w:rPr>
                <w:rFonts w:ascii="Arial Narrow" w:hAnsi="Arial Narrow" w:cs="Arial"/>
                <w:b/>
                <w:bCs/>
                <w:iCs/>
                <w:sz w:val="18"/>
                <w:szCs w:val="18"/>
                <w:lang w:eastAsia="zh-TW"/>
              </w:rPr>
            </w:pPr>
            <w:r w:rsidRPr="008D6B70">
              <w:rPr>
                <w:rFonts w:ascii="Arial Narrow" w:hAnsi="Arial Narrow" w:cs="Arial"/>
                <w:b/>
                <w:bCs/>
                <w:iCs/>
                <w:sz w:val="18"/>
                <w:szCs w:val="18"/>
                <w:lang w:eastAsia="zh-TW"/>
              </w:rPr>
              <w:t>Cost offset by MM Treatment Package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iCs/>
                <w:sz w:val="18"/>
                <w:szCs w:val="18"/>
                <w:highlight w:val="black"/>
                <w:lang w:eastAsia="zh-TW"/>
              </w:rPr>
            </w:pPr>
            <w:r>
              <w:rPr>
                <w:rFonts w:ascii="Arial Narrow" w:hAnsi="Arial Narrow" w:cs="Arial"/>
                <w:b/>
                <w:bCs/>
                <w:iCs/>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iCs/>
                <w:sz w:val="18"/>
                <w:szCs w:val="18"/>
                <w:highlight w:val="black"/>
                <w:lang w:eastAsia="zh-TW"/>
              </w:rPr>
            </w:pPr>
            <w:r>
              <w:rPr>
                <w:rFonts w:ascii="Arial Narrow" w:hAnsi="Arial Narrow" w:cs="Arial"/>
                <w:b/>
                <w:bCs/>
                <w:iCs/>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iCs/>
                <w:sz w:val="18"/>
                <w:szCs w:val="18"/>
                <w:highlight w:val="black"/>
                <w:lang w:eastAsia="zh-TW"/>
              </w:rPr>
            </w:pPr>
            <w:r>
              <w:rPr>
                <w:rFonts w:ascii="Arial Narrow" w:hAnsi="Arial Narrow" w:cs="Arial"/>
                <w:b/>
                <w:bCs/>
                <w:iCs/>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iCs/>
                <w:sz w:val="18"/>
                <w:szCs w:val="18"/>
                <w:highlight w:val="black"/>
                <w:lang w:eastAsia="zh-TW"/>
              </w:rPr>
            </w:pPr>
            <w:r>
              <w:rPr>
                <w:rFonts w:ascii="Arial Narrow" w:hAnsi="Arial Narrow" w:cs="Arial"/>
                <w:b/>
                <w:bCs/>
                <w:iCs/>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iCs/>
                <w:sz w:val="18"/>
                <w:szCs w:val="18"/>
                <w:highlight w:val="black"/>
                <w:lang w:eastAsia="zh-TW"/>
              </w:rPr>
            </w:pPr>
            <w:r>
              <w:rPr>
                <w:rFonts w:ascii="Arial Narrow" w:hAnsi="Arial Narrow" w:cs="Arial"/>
                <w:b/>
                <w:bCs/>
                <w:iCs/>
                <w:noProof/>
                <w:color w:val="000000"/>
                <w:sz w:val="18"/>
                <w:szCs w:val="18"/>
                <w:highlight w:val="black"/>
              </w:rPr>
              <w:t>'''''''''''''''''''''''''''''</w:t>
            </w:r>
          </w:p>
        </w:tc>
        <w:tc>
          <w:tcPr>
            <w:tcW w:w="1194" w:type="dxa"/>
            <w:tcBorders>
              <w:top w:val="single" w:sz="4" w:space="0" w:color="auto"/>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b/>
                <w:bCs/>
                <w:iCs/>
                <w:sz w:val="18"/>
                <w:szCs w:val="18"/>
                <w:highlight w:val="black"/>
              </w:rPr>
            </w:pPr>
            <w:r>
              <w:rPr>
                <w:rFonts w:ascii="Arial Narrow" w:hAnsi="Arial Narrow" w:cs="Arial"/>
                <w:b/>
                <w:bCs/>
                <w:iCs/>
                <w:noProof/>
                <w:color w:val="000000"/>
                <w:sz w:val="18"/>
                <w:szCs w:val="18"/>
                <w:highlight w:val="black"/>
              </w:rPr>
              <w:t>'''''''''''''''''''''''''''</w:t>
            </w:r>
          </w:p>
        </w:tc>
      </w:tr>
      <w:tr w:rsidR="00AE7BDF" w:rsidRPr="008D6B70" w:rsidTr="006E386C">
        <w:trPr>
          <w:trHeight w:val="270"/>
        </w:trPr>
        <w:tc>
          <w:tcPr>
            <w:tcW w:w="5953" w:type="dxa"/>
            <w:gridSpan w:val="4"/>
            <w:tcBorders>
              <w:top w:val="single" w:sz="4" w:space="0" w:color="auto"/>
              <w:left w:val="single" w:sz="4" w:space="0" w:color="auto"/>
              <w:bottom w:val="nil"/>
              <w:right w:val="nil"/>
            </w:tcBorders>
            <w:shd w:val="clear" w:color="auto" w:fill="auto"/>
            <w:noWrap/>
            <w:vAlign w:val="center"/>
            <w:hideMark/>
          </w:tcPr>
          <w:p w:rsidR="00AE7BDF" w:rsidRPr="008D6B70" w:rsidRDefault="00AE7BDF" w:rsidP="00AE7BDF">
            <w:pPr>
              <w:widowControl w:val="0"/>
              <w:spacing w:after="0" w:line="240" w:lineRule="auto"/>
              <w:rPr>
                <w:rFonts w:ascii="Arial Narrow" w:hAnsi="Arial Narrow" w:cs="Arial"/>
                <w:iCs/>
                <w:sz w:val="18"/>
                <w:szCs w:val="18"/>
                <w:lang w:eastAsia="zh-TW"/>
              </w:rPr>
            </w:pPr>
            <w:r w:rsidRPr="008D6B70">
              <w:rPr>
                <w:rFonts w:ascii="Arial Narrow" w:hAnsi="Arial Narrow" w:cs="Arial"/>
                <w:iCs/>
                <w:sz w:val="18"/>
                <w:szCs w:val="18"/>
                <w:lang w:eastAsia="zh-TW"/>
              </w:rPr>
              <w:t>Net implications with MM Treatment Package by regimens</w:t>
            </w:r>
          </w:p>
        </w:tc>
        <w:tc>
          <w:tcPr>
            <w:tcW w:w="1119" w:type="dxa"/>
            <w:tcBorders>
              <w:top w:val="single" w:sz="4" w:space="0" w:color="auto"/>
              <w:left w:val="nil"/>
              <w:bottom w:val="nil"/>
              <w:right w:val="nil"/>
            </w:tcBorders>
            <w:shd w:val="clear" w:color="auto" w:fill="auto"/>
            <w:noWrap/>
            <w:vAlign w:val="center"/>
            <w:hideMark/>
          </w:tcPr>
          <w:p w:rsidR="00AE7BDF" w:rsidRPr="008D6B70" w:rsidRDefault="00AE7BDF" w:rsidP="00AE7BDF">
            <w:pPr>
              <w:widowControl w:val="0"/>
              <w:spacing w:after="0" w:line="240" w:lineRule="auto"/>
              <w:jc w:val="center"/>
              <w:rPr>
                <w:rFonts w:ascii="Arial Narrow" w:hAnsi="Arial Narrow"/>
                <w:sz w:val="18"/>
                <w:szCs w:val="18"/>
                <w:lang w:eastAsia="zh-TW"/>
              </w:rPr>
            </w:pPr>
          </w:p>
        </w:tc>
        <w:tc>
          <w:tcPr>
            <w:tcW w:w="1119" w:type="dxa"/>
            <w:tcBorders>
              <w:top w:val="single" w:sz="4" w:space="0" w:color="auto"/>
              <w:left w:val="nil"/>
              <w:bottom w:val="nil"/>
            </w:tcBorders>
            <w:shd w:val="clear" w:color="auto" w:fill="auto"/>
            <w:noWrap/>
            <w:vAlign w:val="center"/>
            <w:hideMark/>
          </w:tcPr>
          <w:p w:rsidR="00AE7BDF" w:rsidRPr="008D6B70" w:rsidRDefault="00AE7BDF" w:rsidP="00AE7BDF">
            <w:pPr>
              <w:widowControl w:val="0"/>
              <w:spacing w:after="0" w:line="240" w:lineRule="auto"/>
              <w:jc w:val="center"/>
              <w:rPr>
                <w:rFonts w:ascii="Arial Narrow" w:hAnsi="Arial Narrow"/>
                <w:sz w:val="18"/>
                <w:szCs w:val="18"/>
                <w:lang w:eastAsia="zh-TW"/>
              </w:rPr>
            </w:pPr>
          </w:p>
        </w:tc>
        <w:tc>
          <w:tcPr>
            <w:tcW w:w="1194" w:type="dxa"/>
            <w:tcBorders>
              <w:top w:val="single" w:sz="4" w:space="0" w:color="auto"/>
              <w:bottom w:val="nil"/>
              <w:right w:val="single" w:sz="4" w:space="0" w:color="auto"/>
            </w:tcBorders>
          </w:tcPr>
          <w:p w:rsidR="00AE7BDF" w:rsidRPr="008D6B70" w:rsidRDefault="00AE7BDF" w:rsidP="00AE7BDF">
            <w:pPr>
              <w:widowControl w:val="0"/>
              <w:spacing w:after="0" w:line="240" w:lineRule="auto"/>
              <w:jc w:val="center"/>
              <w:rPr>
                <w:rFonts w:ascii="Arial Narrow" w:hAnsi="Arial Narrow"/>
                <w:sz w:val="18"/>
                <w:szCs w:val="18"/>
                <w:lang w:eastAsia="zh-TW"/>
              </w:rPr>
            </w:pPr>
          </w:p>
        </w:tc>
      </w:tr>
      <w:tr w:rsidR="00AE7BDF" w:rsidRPr="008D6B70" w:rsidTr="006E386C">
        <w:trPr>
          <w:trHeight w:val="27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BDF" w:rsidRPr="008D6B70" w:rsidRDefault="00AE7BDF" w:rsidP="00AE7BDF">
            <w:pPr>
              <w:widowControl w:val="0"/>
              <w:spacing w:after="0" w:line="240" w:lineRule="auto"/>
              <w:jc w:val="left"/>
              <w:rPr>
                <w:rFonts w:ascii="Arial Narrow" w:hAnsi="Arial Narrow" w:cs="Arial"/>
                <w:sz w:val="18"/>
                <w:szCs w:val="18"/>
                <w:lang w:eastAsia="zh-TW"/>
              </w:rPr>
            </w:pPr>
            <w:r w:rsidRPr="008D6B70">
              <w:rPr>
                <w:rFonts w:ascii="Arial Narrow" w:hAnsi="Arial Narrow" w:cs="Arial"/>
                <w:sz w:val="18"/>
                <w:szCs w:val="18"/>
                <w:lang w:eastAsia="zh-TW"/>
              </w:rPr>
              <w:t>For DBd or Bd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94" w:type="dxa"/>
            <w:tcBorders>
              <w:top w:val="single" w:sz="4" w:space="0" w:color="auto"/>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r>
      <w:tr w:rsidR="00AE7BDF" w:rsidRPr="008D6B70" w:rsidTr="006E386C">
        <w:trPr>
          <w:trHeight w:val="270"/>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rsidR="00AE7BDF" w:rsidRPr="008D6B70" w:rsidRDefault="00AE7BDF" w:rsidP="00AE7BDF">
            <w:pPr>
              <w:widowControl w:val="0"/>
              <w:spacing w:after="0" w:line="240" w:lineRule="auto"/>
              <w:jc w:val="left"/>
              <w:rPr>
                <w:rFonts w:ascii="Arial Narrow" w:hAnsi="Arial Narrow" w:cs="Arial"/>
                <w:sz w:val="18"/>
                <w:szCs w:val="18"/>
                <w:lang w:eastAsia="zh-TW"/>
              </w:rPr>
            </w:pPr>
            <w:r w:rsidRPr="008D6B70">
              <w:rPr>
                <w:rFonts w:ascii="Arial Narrow" w:hAnsi="Arial Narrow" w:cs="Arial"/>
                <w:sz w:val="18"/>
                <w:szCs w:val="18"/>
                <w:lang w:eastAsia="zh-TW"/>
              </w:rPr>
              <w:t>For DLd or Ld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sz w:val="18"/>
                <w:szCs w:val="18"/>
                <w:highlight w:val="black"/>
                <w:lang w:eastAsia="zh-TW"/>
              </w:rPr>
            </w:pPr>
            <w:r>
              <w:rPr>
                <w:rFonts w:ascii="Arial Narrow" w:hAnsi="Arial Narrow" w:cs="Arial"/>
                <w:noProof/>
                <w:color w:val="000000"/>
                <w:sz w:val="18"/>
                <w:szCs w:val="18"/>
                <w:highlight w:val="black"/>
              </w:rPr>
              <w:t>''''''''''''''''''''''''''''''''''''</w:t>
            </w:r>
          </w:p>
        </w:tc>
        <w:tc>
          <w:tcPr>
            <w:tcW w:w="1194" w:type="dxa"/>
            <w:tcBorders>
              <w:top w:val="nil"/>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sz w:val="18"/>
                <w:szCs w:val="18"/>
                <w:highlight w:val="black"/>
              </w:rPr>
            </w:pPr>
            <w:r>
              <w:rPr>
                <w:rFonts w:ascii="Arial Narrow" w:hAnsi="Arial Narrow" w:cs="Arial"/>
                <w:noProof/>
                <w:color w:val="000000"/>
                <w:sz w:val="18"/>
                <w:szCs w:val="18"/>
                <w:highlight w:val="black"/>
              </w:rPr>
              <w:t>'''''''''''''''''''''''''''''''''</w:t>
            </w:r>
          </w:p>
        </w:tc>
      </w:tr>
      <w:tr w:rsidR="00AE7BDF" w:rsidRPr="008D6B70" w:rsidTr="006E386C">
        <w:trPr>
          <w:trHeight w:val="540"/>
        </w:trPr>
        <w:tc>
          <w:tcPr>
            <w:tcW w:w="2581" w:type="dxa"/>
            <w:tcBorders>
              <w:top w:val="nil"/>
              <w:left w:val="single" w:sz="4" w:space="0" w:color="auto"/>
              <w:bottom w:val="single" w:sz="4" w:space="0" w:color="auto"/>
              <w:right w:val="single" w:sz="4" w:space="0" w:color="auto"/>
            </w:tcBorders>
            <w:shd w:val="clear" w:color="auto" w:fill="auto"/>
            <w:vAlign w:val="center"/>
            <w:hideMark/>
          </w:tcPr>
          <w:p w:rsidR="00AE7BDF" w:rsidRPr="008D6B70" w:rsidRDefault="00AE7BDF" w:rsidP="00AE7BDF">
            <w:pPr>
              <w:widowControl w:val="0"/>
              <w:spacing w:after="0" w:line="240" w:lineRule="auto"/>
              <w:jc w:val="left"/>
              <w:rPr>
                <w:rFonts w:ascii="Arial Narrow" w:hAnsi="Arial Narrow" w:cs="Arial"/>
                <w:b/>
                <w:bCs/>
                <w:sz w:val="18"/>
                <w:szCs w:val="18"/>
                <w:lang w:eastAsia="zh-TW"/>
              </w:rPr>
            </w:pPr>
            <w:r w:rsidRPr="008D6B70">
              <w:rPr>
                <w:rFonts w:ascii="Arial Narrow" w:hAnsi="Arial Narrow" w:cs="Arial"/>
                <w:b/>
                <w:bCs/>
                <w:sz w:val="18"/>
                <w:szCs w:val="18"/>
                <w:lang w:eastAsia="zh-TW"/>
              </w:rPr>
              <w:t>Total financial implications for the health budget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19" w:type="dxa"/>
            <w:tcBorders>
              <w:top w:val="nil"/>
              <w:left w:val="nil"/>
              <w:bottom w:val="single" w:sz="4" w:space="0" w:color="auto"/>
              <w:right w:val="single" w:sz="4" w:space="0" w:color="auto"/>
            </w:tcBorders>
            <w:shd w:val="clear" w:color="auto" w:fill="auto"/>
            <w:noWrap/>
            <w:vAlign w:val="center"/>
            <w:hideMark/>
          </w:tcPr>
          <w:p w:rsidR="00AE7BDF" w:rsidRPr="000A7F1F" w:rsidRDefault="000A7F1F" w:rsidP="00AE7BDF">
            <w:pPr>
              <w:widowControl w:val="0"/>
              <w:spacing w:after="0" w:line="240" w:lineRule="auto"/>
              <w:jc w:val="center"/>
              <w:rPr>
                <w:rFonts w:ascii="Arial Narrow" w:hAnsi="Arial Narrow" w:cs="Arial"/>
                <w:b/>
                <w:bCs/>
                <w:sz w:val="18"/>
                <w:szCs w:val="18"/>
                <w:highlight w:val="black"/>
                <w:lang w:eastAsia="zh-TW"/>
              </w:rPr>
            </w:pPr>
            <w:r>
              <w:rPr>
                <w:rFonts w:ascii="Arial Narrow" w:hAnsi="Arial Narrow" w:cs="Arial"/>
                <w:b/>
                <w:bCs/>
                <w:noProof/>
                <w:color w:val="000000"/>
                <w:sz w:val="18"/>
                <w:szCs w:val="18"/>
                <w:highlight w:val="black"/>
              </w:rPr>
              <w:t>''''''''''''''''''''''''</w:t>
            </w:r>
          </w:p>
        </w:tc>
        <w:tc>
          <w:tcPr>
            <w:tcW w:w="1194" w:type="dxa"/>
            <w:tcBorders>
              <w:top w:val="nil"/>
              <w:left w:val="nil"/>
              <w:bottom w:val="single" w:sz="4" w:space="0" w:color="auto"/>
              <w:right w:val="single" w:sz="4" w:space="0" w:color="auto"/>
            </w:tcBorders>
            <w:vAlign w:val="center"/>
          </w:tcPr>
          <w:p w:rsidR="00AE7BDF" w:rsidRPr="000A7F1F" w:rsidRDefault="000A7F1F" w:rsidP="00AE7BDF">
            <w:pPr>
              <w:widowControl w:val="0"/>
              <w:spacing w:after="0" w:line="240" w:lineRule="auto"/>
              <w:jc w:val="center"/>
              <w:rPr>
                <w:rFonts w:ascii="Arial Narrow" w:hAnsi="Arial Narrow" w:cs="Arial"/>
                <w:b/>
                <w:bCs/>
                <w:sz w:val="18"/>
                <w:szCs w:val="18"/>
                <w:highlight w:val="black"/>
              </w:rPr>
            </w:pPr>
            <w:r>
              <w:rPr>
                <w:rFonts w:ascii="Arial Narrow" w:hAnsi="Arial Narrow" w:cs="Arial"/>
                <w:b/>
                <w:bCs/>
                <w:noProof/>
                <w:color w:val="000000"/>
                <w:sz w:val="18"/>
                <w:szCs w:val="18"/>
                <w:highlight w:val="black"/>
              </w:rPr>
              <w:t>'''''''''''''''''''''''''''''</w:t>
            </w:r>
          </w:p>
        </w:tc>
      </w:tr>
    </w:tbl>
    <w:p w:rsidR="003229D8" w:rsidRPr="008D6B70" w:rsidRDefault="003229D8" w:rsidP="00D42410">
      <w:pPr>
        <w:spacing w:after="0" w:line="240" w:lineRule="auto"/>
        <w:rPr>
          <w:rFonts w:ascii="Arial Narrow" w:hAnsi="Arial Narrow"/>
          <w:sz w:val="18"/>
          <w:szCs w:val="18"/>
        </w:rPr>
      </w:pPr>
      <w:bookmarkStart w:id="39" w:name="_Toc413139287"/>
      <w:r w:rsidRPr="008D6B70">
        <w:rPr>
          <w:rFonts w:ascii="Arial Narrow" w:hAnsi="Arial Narrow"/>
          <w:sz w:val="18"/>
          <w:szCs w:val="18"/>
        </w:rPr>
        <w:t>Abbreviations:</w:t>
      </w:r>
      <w:r w:rsidR="00D42410" w:rsidRPr="008D6B70">
        <w:rPr>
          <w:rFonts w:ascii="Arial Narrow" w:hAnsi="Arial Narrow"/>
          <w:sz w:val="18"/>
          <w:szCs w:val="18"/>
        </w:rPr>
        <w:t xml:space="preserve"> </w:t>
      </w:r>
      <w:r w:rsidRPr="008D6B70">
        <w:rPr>
          <w:rFonts w:ascii="Arial Narrow" w:hAnsi="Arial Narrow"/>
          <w:sz w:val="18"/>
          <w:szCs w:val="18"/>
        </w:rPr>
        <w:t>DBd; daratumumab-bortezomib-dexamethasone; DLd; daratumumab-lenalidomide-dexamethasone; MM, multiple myeloma.</w:t>
      </w:r>
    </w:p>
    <w:p w:rsidR="003229D8" w:rsidRPr="008D6B70" w:rsidRDefault="003229D8" w:rsidP="00D42410">
      <w:pPr>
        <w:spacing w:after="0" w:line="240" w:lineRule="auto"/>
        <w:rPr>
          <w:rFonts w:ascii="Arial Narrow" w:hAnsi="Arial Narrow"/>
          <w:sz w:val="18"/>
          <w:szCs w:val="18"/>
        </w:rPr>
      </w:pPr>
      <w:r w:rsidRPr="008D6B70">
        <w:rPr>
          <w:rFonts w:ascii="Arial Narrow" w:hAnsi="Arial Narrow"/>
          <w:sz w:val="18"/>
          <w:szCs w:val="18"/>
        </w:rPr>
        <w:t xml:space="preserve">Source: Table 4.1.15, p.35 Section 4 of the submission. </w:t>
      </w:r>
    </w:p>
    <w:bookmarkEnd w:id="39"/>
    <w:p w:rsidR="00F94B41" w:rsidRDefault="00F94B41" w:rsidP="00F94B41">
      <w:pPr>
        <w:pStyle w:val="ListParagraph"/>
        <w:spacing w:before="0" w:after="0"/>
        <w:ind w:left="709"/>
        <w:contextualSpacing/>
        <w:jc w:val="both"/>
        <w:rPr>
          <w:rFonts w:eastAsia="Times New Roman" w:cs="Times New Roman"/>
          <w:szCs w:val="24"/>
          <w:lang w:eastAsia="en-AU"/>
        </w:rPr>
      </w:pPr>
      <w:r w:rsidRPr="0059789D">
        <w:rPr>
          <w:rFonts w:eastAsia="Times New Roman" w:cs="Times New Roman"/>
          <w:szCs w:val="24"/>
          <w:lang w:eastAsia="en-AU"/>
        </w:rPr>
        <w:t xml:space="preserve">The redacted table shows that at year 5, the estimated net cost to </w:t>
      </w:r>
      <w:r>
        <w:rPr>
          <w:rFonts w:eastAsia="Times New Roman" w:cs="Times New Roman"/>
          <w:szCs w:val="24"/>
          <w:lang w:eastAsia="en-AU"/>
        </w:rPr>
        <w:t>Government</w:t>
      </w:r>
      <w:r w:rsidRPr="0059789D">
        <w:rPr>
          <w:rFonts w:eastAsia="Times New Roman" w:cs="Times New Roman"/>
          <w:szCs w:val="24"/>
          <w:lang w:eastAsia="en-AU"/>
        </w:rPr>
        <w:t xml:space="preserve"> would be </w:t>
      </w:r>
      <w:r>
        <w:rPr>
          <w:rFonts w:eastAsia="Times New Roman" w:cs="Times New Roman"/>
          <w:szCs w:val="24"/>
          <w:lang w:eastAsia="en-AU"/>
        </w:rPr>
        <w:t>more than $100</w:t>
      </w:r>
      <w:r w:rsidRPr="0059789D">
        <w:rPr>
          <w:rFonts w:eastAsia="Times New Roman" w:cs="Times New Roman"/>
          <w:szCs w:val="24"/>
          <w:lang w:eastAsia="en-AU"/>
        </w:rPr>
        <w:t xml:space="preserve"> million per year.</w:t>
      </w:r>
    </w:p>
    <w:p w:rsidR="00F94B41" w:rsidRPr="00F94B41" w:rsidRDefault="00F94B41" w:rsidP="00F94B41">
      <w:pPr>
        <w:rPr>
          <w:i/>
        </w:rPr>
      </w:pPr>
    </w:p>
    <w:p w:rsidR="008D6B70" w:rsidRPr="00712E7F" w:rsidRDefault="008D6B70" w:rsidP="008D6B70">
      <w:pPr>
        <w:pStyle w:val="ListParagraph"/>
        <w:ind w:left="709"/>
        <w:jc w:val="both"/>
        <w:rPr>
          <w:i/>
        </w:rPr>
      </w:pPr>
      <w:r w:rsidRPr="00173C7E">
        <w:rPr>
          <w:i/>
        </w:rPr>
        <w:t>For more detail on PBAC’s view, see section 7 PBAC outcome.</w:t>
      </w:r>
    </w:p>
    <w:p w:rsidR="00B46E7B" w:rsidRDefault="00466547" w:rsidP="00B46E7B">
      <w:pPr>
        <w:pStyle w:val="Heading1"/>
        <w:ind w:left="709" w:hanging="709"/>
      </w:pPr>
      <w:r w:rsidRPr="00466547">
        <w:t>PBAC Outcome</w:t>
      </w:r>
    </w:p>
    <w:p w:rsidR="00466547" w:rsidRPr="00B46E7B" w:rsidRDefault="00466547" w:rsidP="009903F3">
      <w:pPr>
        <w:pStyle w:val="ListParagraph"/>
        <w:numPr>
          <w:ilvl w:val="1"/>
          <w:numId w:val="108"/>
        </w:numPr>
        <w:jc w:val="both"/>
        <w:rPr>
          <w:rFonts w:cstheme="majorBidi"/>
          <w:b/>
          <w:sz w:val="32"/>
          <w:szCs w:val="28"/>
        </w:rPr>
      </w:pPr>
      <w:r w:rsidRPr="00B46E7B">
        <w:rPr>
          <w:rFonts w:cs="Arial"/>
          <w:bCs/>
          <w:snapToGrid w:val="0"/>
          <w:szCs w:val="24"/>
          <w:lang w:val="en-GB"/>
        </w:rPr>
        <w:t>The PBAC did not recommend the listing of daratumumab for use in combination with bortezomib and dexamethasone (DBd) or lenalidomide and dexamethasone (DLd) in relapsed or refractory multiple myeloma (RRMM) due to the very high and uncertain incremental cost-effectiveness ratios, and a preference to have both combinations of therapies available for RRMM patients, as well as monotherapy for patients no longer suitable for treatment with bortezomib or lenalidomide.</w:t>
      </w:r>
    </w:p>
    <w:p w:rsidR="00B119A7" w:rsidRPr="00466547" w:rsidRDefault="00B119A7"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 xml:space="preserve">The PBAC considered that the clinical place in therapy </w:t>
      </w:r>
      <w:r w:rsidR="001905F3" w:rsidRPr="00466547">
        <w:rPr>
          <w:rFonts w:cs="Arial"/>
          <w:bCs/>
          <w:snapToGrid w:val="0"/>
          <w:szCs w:val="24"/>
          <w:lang w:val="en-GB"/>
        </w:rPr>
        <w:t xml:space="preserve">as proposed in the submission (in combination with bortezomib or lenalidomide) </w:t>
      </w:r>
      <w:r w:rsidRPr="00466547">
        <w:rPr>
          <w:rFonts w:cs="Arial"/>
          <w:bCs/>
          <w:snapToGrid w:val="0"/>
          <w:szCs w:val="24"/>
          <w:lang w:val="en-GB"/>
        </w:rPr>
        <w:t>was appropriate</w:t>
      </w:r>
      <w:r w:rsidR="001905F3" w:rsidRPr="00466547">
        <w:rPr>
          <w:rFonts w:cs="Arial"/>
          <w:bCs/>
          <w:snapToGrid w:val="0"/>
          <w:szCs w:val="24"/>
          <w:lang w:val="en-GB"/>
        </w:rPr>
        <w:t xml:space="preserve"> based on the available evidence</w:t>
      </w:r>
      <w:r w:rsidRPr="00466547">
        <w:rPr>
          <w:rFonts w:cs="Arial"/>
          <w:bCs/>
          <w:snapToGrid w:val="0"/>
          <w:szCs w:val="24"/>
          <w:lang w:val="en-GB"/>
        </w:rPr>
        <w:t>.</w:t>
      </w:r>
      <w:r w:rsidR="001905F3" w:rsidRPr="00466547">
        <w:rPr>
          <w:rFonts w:cs="Arial"/>
          <w:bCs/>
          <w:snapToGrid w:val="0"/>
          <w:szCs w:val="24"/>
          <w:lang w:val="en-GB"/>
        </w:rPr>
        <w:t xml:space="preserve"> In addition, the PBAC considered there is a high clinical need for patients who are refractory to both bortezomib and lenalidomide, and </w:t>
      </w:r>
      <w:r w:rsidRPr="00466547">
        <w:rPr>
          <w:rFonts w:cs="Arial"/>
          <w:bCs/>
          <w:snapToGrid w:val="0"/>
          <w:szCs w:val="24"/>
          <w:lang w:val="en-GB"/>
        </w:rPr>
        <w:t xml:space="preserve">noted that daratumumab is TGA registered as a monotherapy for </w:t>
      </w:r>
      <w:r w:rsidR="001905F3" w:rsidRPr="00466547">
        <w:rPr>
          <w:rFonts w:cs="Arial"/>
          <w:bCs/>
          <w:snapToGrid w:val="0"/>
          <w:szCs w:val="24"/>
          <w:lang w:val="en-GB"/>
        </w:rPr>
        <w:t>these</w:t>
      </w:r>
      <w:r w:rsidRPr="00466547">
        <w:rPr>
          <w:rFonts w:cs="Arial"/>
          <w:bCs/>
          <w:snapToGrid w:val="0"/>
          <w:szCs w:val="24"/>
          <w:lang w:val="en-GB"/>
        </w:rPr>
        <w:t xml:space="preserve"> patients. The PBAC considered that it would be inequitable to make DBd and/or DLd combination treatment available through the PBS </w:t>
      </w:r>
      <w:r w:rsidR="00013491" w:rsidRPr="00466547">
        <w:rPr>
          <w:rFonts w:cs="Arial"/>
          <w:bCs/>
          <w:snapToGrid w:val="0"/>
          <w:szCs w:val="24"/>
          <w:lang w:val="en-GB"/>
        </w:rPr>
        <w:t xml:space="preserve">to </w:t>
      </w:r>
      <w:r w:rsidR="009D04DB" w:rsidRPr="00466547">
        <w:rPr>
          <w:rFonts w:cs="Arial"/>
          <w:bCs/>
          <w:snapToGrid w:val="0"/>
          <w:szCs w:val="24"/>
          <w:lang w:val="en-GB"/>
        </w:rPr>
        <w:t xml:space="preserve">relapsed </w:t>
      </w:r>
      <w:r w:rsidR="00013491" w:rsidRPr="00466547">
        <w:rPr>
          <w:rFonts w:cs="Arial"/>
          <w:bCs/>
          <w:snapToGrid w:val="0"/>
          <w:szCs w:val="24"/>
          <w:lang w:val="en-GB"/>
        </w:rPr>
        <w:t xml:space="preserve">patients </w:t>
      </w:r>
      <w:r w:rsidRPr="00466547">
        <w:rPr>
          <w:rFonts w:cs="Arial"/>
          <w:bCs/>
          <w:snapToGrid w:val="0"/>
          <w:szCs w:val="24"/>
          <w:lang w:val="en-GB"/>
        </w:rPr>
        <w:t>without also making daratumum</w:t>
      </w:r>
      <w:r w:rsidR="00362BB9" w:rsidRPr="00466547">
        <w:rPr>
          <w:rFonts w:cs="Arial"/>
          <w:bCs/>
          <w:snapToGrid w:val="0"/>
          <w:szCs w:val="24"/>
          <w:lang w:val="en-GB"/>
        </w:rPr>
        <w:t>ab monotherapy available</w:t>
      </w:r>
      <w:r w:rsidR="00013491" w:rsidRPr="00466547">
        <w:rPr>
          <w:rFonts w:cs="Arial"/>
          <w:bCs/>
          <w:snapToGrid w:val="0"/>
          <w:szCs w:val="24"/>
          <w:lang w:val="en-GB"/>
        </w:rPr>
        <w:t xml:space="preserve"> for refractory patients</w:t>
      </w:r>
      <w:r w:rsidRPr="00466547">
        <w:rPr>
          <w:rFonts w:cs="Arial"/>
          <w:bCs/>
          <w:snapToGrid w:val="0"/>
          <w:szCs w:val="24"/>
          <w:lang w:val="en-GB"/>
        </w:rPr>
        <w:t>. The PBAC also noted that in the absence of a daratumumab monotherapy listing, the risk of use outside the combination therapy indication would be higher.</w:t>
      </w:r>
    </w:p>
    <w:p w:rsidR="00B119A7" w:rsidRPr="00466547" w:rsidRDefault="00B119A7"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 xml:space="preserve">The PBAC noted </w:t>
      </w:r>
      <w:r w:rsidR="000A7F1F">
        <w:rPr>
          <w:rFonts w:cs="Arial"/>
          <w:bCs/>
          <w:noProof/>
          <w:snapToGrid w:val="0"/>
          <w:color w:val="000000"/>
          <w:szCs w:val="24"/>
          <w:highlight w:val="black"/>
          <w:lang w:val="en-GB"/>
        </w:rPr>
        <w:t>'''''' ''''''''''''''''' ''''''''''''''''''' ''''''''''''''''' ''' '''''''''' ''''''''''''''''' ''''''''''''''''''' ''''' '''''' ''''''''' '''''''</w:t>
      </w:r>
      <w:r w:rsidRPr="00466547">
        <w:rPr>
          <w:rFonts w:cs="Arial"/>
          <w:bCs/>
          <w:snapToGrid w:val="0"/>
          <w:szCs w:val="24"/>
          <w:lang w:val="en-GB"/>
        </w:rPr>
        <w:t>.</w:t>
      </w:r>
      <w:r w:rsidR="00D26747" w:rsidRPr="00466547">
        <w:rPr>
          <w:rFonts w:cs="Arial"/>
          <w:bCs/>
          <w:snapToGrid w:val="0"/>
          <w:szCs w:val="24"/>
          <w:lang w:val="en-GB"/>
        </w:rPr>
        <w:t xml:space="preserve"> </w:t>
      </w:r>
      <w:r w:rsidR="001905F3" w:rsidRPr="00466547">
        <w:rPr>
          <w:rFonts w:cs="Arial"/>
          <w:bCs/>
          <w:snapToGrid w:val="0"/>
          <w:szCs w:val="24"/>
          <w:lang w:val="en-GB"/>
        </w:rPr>
        <w:t>T</w:t>
      </w:r>
      <w:r w:rsidRPr="00466547">
        <w:rPr>
          <w:rFonts w:cs="Arial"/>
          <w:bCs/>
          <w:snapToGrid w:val="0"/>
          <w:szCs w:val="24"/>
          <w:lang w:val="en-GB"/>
        </w:rPr>
        <w:t xml:space="preserve">he PBAC </w:t>
      </w:r>
      <w:r w:rsidR="00013491" w:rsidRPr="00466547">
        <w:rPr>
          <w:rFonts w:cs="Arial"/>
          <w:bCs/>
          <w:snapToGrid w:val="0"/>
          <w:szCs w:val="24"/>
          <w:lang w:val="en-GB"/>
        </w:rPr>
        <w:t xml:space="preserve">noted the incremental efficacy with the addition of daratumumab to bortezomib or lenalidomide was similar, </w:t>
      </w:r>
      <w:r w:rsidR="000A7F1F">
        <w:rPr>
          <w:rFonts w:cs="Arial"/>
          <w:bCs/>
          <w:noProof/>
          <w:snapToGrid w:val="0"/>
          <w:color w:val="000000"/>
          <w:szCs w:val="24"/>
          <w:highlight w:val="black"/>
          <w:lang w:val="en-GB"/>
        </w:rPr>
        <w:t>''''''' '''''''''''''''''''' '''''''' ''''''' '''''''''''''''''' ''''' '''''''' '''''''' ''''''''''''' '''''''''''' '''''' ''''''' '''''''''''''' ''''''''''''''''''' '''''''''''''''''''</w:t>
      </w:r>
      <w:r w:rsidR="00013491" w:rsidRPr="00466547">
        <w:rPr>
          <w:rFonts w:cs="Arial"/>
          <w:bCs/>
          <w:snapToGrid w:val="0"/>
          <w:szCs w:val="24"/>
          <w:lang w:val="en-GB"/>
        </w:rPr>
        <w:t>. Information was</w:t>
      </w:r>
      <w:r w:rsidRPr="00466547">
        <w:rPr>
          <w:rFonts w:cs="Arial"/>
          <w:bCs/>
          <w:snapToGrid w:val="0"/>
          <w:szCs w:val="24"/>
          <w:lang w:val="en-GB"/>
        </w:rPr>
        <w:t xml:space="preserve"> presented in the submission</w:t>
      </w:r>
      <w:r w:rsidR="00362BB9" w:rsidRPr="00466547">
        <w:rPr>
          <w:rFonts w:cs="Arial"/>
          <w:bCs/>
          <w:snapToGrid w:val="0"/>
          <w:szCs w:val="24"/>
          <w:lang w:val="en-GB"/>
        </w:rPr>
        <w:t xml:space="preserve"> which</w:t>
      </w:r>
      <w:r w:rsidRPr="00466547">
        <w:rPr>
          <w:rFonts w:cs="Arial"/>
          <w:bCs/>
          <w:snapToGrid w:val="0"/>
          <w:szCs w:val="24"/>
          <w:lang w:val="en-GB"/>
        </w:rPr>
        <w:t xml:space="preserve"> indicated </w:t>
      </w:r>
      <w:r w:rsidR="00013491" w:rsidRPr="00466547">
        <w:rPr>
          <w:rFonts w:cs="Arial"/>
          <w:bCs/>
          <w:snapToGrid w:val="0"/>
          <w:szCs w:val="24"/>
          <w:lang w:val="en-GB"/>
        </w:rPr>
        <w:t xml:space="preserve">the majority of patients are treated with </w:t>
      </w:r>
      <w:r w:rsidRPr="00466547">
        <w:rPr>
          <w:rFonts w:cs="Arial"/>
          <w:bCs/>
          <w:snapToGrid w:val="0"/>
          <w:szCs w:val="24"/>
          <w:lang w:val="en-GB"/>
        </w:rPr>
        <w:t xml:space="preserve">bortezomib </w:t>
      </w:r>
      <w:r w:rsidR="00013491" w:rsidRPr="00466547">
        <w:rPr>
          <w:rFonts w:cs="Arial"/>
          <w:bCs/>
          <w:snapToGrid w:val="0"/>
          <w:szCs w:val="24"/>
          <w:lang w:val="en-GB"/>
        </w:rPr>
        <w:t xml:space="preserve">and </w:t>
      </w:r>
      <w:r w:rsidRPr="00466547">
        <w:rPr>
          <w:rFonts w:cs="Arial"/>
          <w:bCs/>
          <w:snapToGrid w:val="0"/>
          <w:szCs w:val="24"/>
          <w:lang w:val="en-GB"/>
        </w:rPr>
        <w:t>dexamethasone (Bd) first-line, and then switch the backbone therapy in the second</w:t>
      </w:r>
      <w:r w:rsidR="00362BB9" w:rsidRPr="00466547">
        <w:rPr>
          <w:rFonts w:cs="Arial"/>
          <w:bCs/>
          <w:snapToGrid w:val="0"/>
          <w:szCs w:val="24"/>
          <w:lang w:val="en-GB"/>
        </w:rPr>
        <w:noBreakHyphen/>
      </w:r>
      <w:r w:rsidRPr="00466547">
        <w:rPr>
          <w:rFonts w:cs="Arial"/>
          <w:bCs/>
          <w:snapToGrid w:val="0"/>
          <w:szCs w:val="24"/>
          <w:lang w:val="en-GB"/>
        </w:rPr>
        <w:t>line</w:t>
      </w:r>
      <w:r w:rsidR="002017A3" w:rsidRPr="00466547">
        <w:rPr>
          <w:rFonts w:cs="Arial"/>
          <w:bCs/>
          <w:snapToGrid w:val="0"/>
          <w:szCs w:val="24"/>
          <w:lang w:val="en-GB"/>
        </w:rPr>
        <w:t>,</w:t>
      </w:r>
      <w:r w:rsidR="00013491" w:rsidRPr="00466547">
        <w:rPr>
          <w:rFonts w:cs="Arial"/>
          <w:bCs/>
          <w:snapToGrid w:val="0"/>
          <w:szCs w:val="24"/>
          <w:lang w:val="en-GB"/>
        </w:rPr>
        <w:t xml:space="preserve"> generally to</w:t>
      </w:r>
      <w:r w:rsidR="00F225EC" w:rsidRPr="00466547">
        <w:rPr>
          <w:rFonts w:cs="Arial"/>
          <w:bCs/>
          <w:snapToGrid w:val="0"/>
          <w:szCs w:val="24"/>
          <w:lang w:val="en-GB"/>
        </w:rPr>
        <w:t xml:space="preserve"> lenalidomide and dexamethasone (</w:t>
      </w:r>
      <w:r w:rsidR="00013491" w:rsidRPr="00466547">
        <w:rPr>
          <w:rFonts w:cs="Arial"/>
          <w:bCs/>
          <w:snapToGrid w:val="0"/>
          <w:szCs w:val="24"/>
          <w:lang w:val="en-GB"/>
        </w:rPr>
        <w:t>Ld</w:t>
      </w:r>
      <w:r w:rsidR="00F225EC" w:rsidRPr="00466547">
        <w:rPr>
          <w:rFonts w:cs="Arial"/>
          <w:bCs/>
          <w:snapToGrid w:val="0"/>
          <w:szCs w:val="24"/>
          <w:lang w:val="en-GB"/>
        </w:rPr>
        <w:t>)</w:t>
      </w:r>
      <w:r w:rsidRPr="00466547">
        <w:rPr>
          <w:rFonts w:cs="Arial"/>
          <w:bCs/>
          <w:snapToGrid w:val="0"/>
          <w:szCs w:val="24"/>
          <w:lang w:val="en-GB"/>
        </w:rPr>
        <w:t>.</w:t>
      </w:r>
      <w:r w:rsidR="00013491" w:rsidRPr="00466547">
        <w:rPr>
          <w:rFonts w:cs="Arial"/>
          <w:bCs/>
          <w:snapToGrid w:val="0"/>
          <w:szCs w:val="24"/>
          <w:lang w:val="en-GB"/>
        </w:rPr>
        <w:t xml:space="preserve"> Th</w:t>
      </w:r>
      <w:r w:rsidR="00F225EC" w:rsidRPr="00466547">
        <w:rPr>
          <w:rFonts w:cs="Arial"/>
          <w:bCs/>
          <w:snapToGrid w:val="0"/>
          <w:szCs w:val="24"/>
          <w:lang w:val="en-GB"/>
        </w:rPr>
        <w:t>us th</w:t>
      </w:r>
      <w:r w:rsidR="00013491" w:rsidRPr="00466547">
        <w:rPr>
          <w:rFonts w:cs="Arial"/>
          <w:bCs/>
          <w:snapToGrid w:val="0"/>
          <w:szCs w:val="24"/>
          <w:lang w:val="en-GB"/>
        </w:rPr>
        <w:t>e availability of DBd only for refractory patients would result in patients previously treated with Bd switching to DBd</w:t>
      </w:r>
      <w:r w:rsidR="00F225EC" w:rsidRPr="00466547">
        <w:rPr>
          <w:rFonts w:cs="Arial"/>
          <w:bCs/>
          <w:snapToGrid w:val="0"/>
          <w:szCs w:val="24"/>
          <w:lang w:val="en-GB"/>
        </w:rPr>
        <w:t xml:space="preserve">, and although DBd is effective </w:t>
      </w:r>
      <w:r w:rsidR="009D04DB" w:rsidRPr="00466547">
        <w:rPr>
          <w:rFonts w:cs="Arial"/>
          <w:bCs/>
          <w:snapToGrid w:val="0"/>
          <w:szCs w:val="24"/>
          <w:lang w:val="en-GB"/>
        </w:rPr>
        <w:t xml:space="preserve">in </w:t>
      </w:r>
      <w:r w:rsidR="00F225EC" w:rsidRPr="00466547">
        <w:rPr>
          <w:rFonts w:cs="Arial"/>
          <w:bCs/>
          <w:snapToGrid w:val="0"/>
          <w:szCs w:val="24"/>
          <w:lang w:val="en-GB"/>
        </w:rPr>
        <w:t>patients previously treated with Bd it appears to be less effective than in patients not previously treated with bortezomib.</w:t>
      </w:r>
      <w:r w:rsidRPr="00466547">
        <w:rPr>
          <w:rFonts w:cs="Arial"/>
          <w:bCs/>
          <w:snapToGrid w:val="0"/>
          <w:szCs w:val="24"/>
          <w:lang w:val="en-GB"/>
        </w:rPr>
        <w:t xml:space="preserve"> </w:t>
      </w:r>
      <w:r w:rsidR="00FC4533" w:rsidRPr="00466547">
        <w:rPr>
          <w:rFonts w:cs="Arial"/>
          <w:bCs/>
          <w:snapToGrid w:val="0"/>
          <w:szCs w:val="24"/>
          <w:lang w:val="en-GB"/>
        </w:rPr>
        <w:t>T</w:t>
      </w:r>
      <w:r w:rsidR="00F225EC" w:rsidRPr="00466547">
        <w:rPr>
          <w:rFonts w:cs="Arial"/>
          <w:bCs/>
          <w:snapToGrid w:val="0"/>
          <w:szCs w:val="24"/>
          <w:lang w:val="en-GB"/>
        </w:rPr>
        <w:t xml:space="preserve">he availability of DBd only </w:t>
      </w:r>
      <w:r w:rsidR="00D26747" w:rsidRPr="00466547">
        <w:rPr>
          <w:rFonts w:cs="Arial"/>
          <w:bCs/>
          <w:snapToGrid w:val="0"/>
          <w:szCs w:val="24"/>
          <w:lang w:val="en-GB"/>
        </w:rPr>
        <w:t xml:space="preserve">would </w:t>
      </w:r>
      <w:r w:rsidR="00FC4533" w:rsidRPr="00466547">
        <w:rPr>
          <w:rFonts w:cs="Arial"/>
          <w:bCs/>
          <w:snapToGrid w:val="0"/>
          <w:szCs w:val="24"/>
          <w:lang w:val="en-GB"/>
        </w:rPr>
        <w:t xml:space="preserve">also </w:t>
      </w:r>
      <w:r w:rsidR="00D26747" w:rsidRPr="00466547">
        <w:rPr>
          <w:rFonts w:cs="Arial"/>
          <w:bCs/>
          <w:snapToGrid w:val="0"/>
          <w:szCs w:val="24"/>
          <w:lang w:val="en-GB"/>
        </w:rPr>
        <w:t>potentially drive an increase in Ld use in first line, as well as increase the risk of use outside the current lenalidomide indication into transplant eligible patients.</w:t>
      </w:r>
      <w:r w:rsidR="00F225EC" w:rsidRPr="00466547">
        <w:rPr>
          <w:rFonts w:cs="Arial"/>
          <w:bCs/>
          <w:snapToGrid w:val="0"/>
          <w:szCs w:val="24"/>
          <w:lang w:val="en-GB"/>
        </w:rPr>
        <w:t xml:space="preserve"> </w:t>
      </w:r>
      <w:r w:rsidR="00FC4533" w:rsidRPr="00466547">
        <w:rPr>
          <w:rFonts w:cs="Arial"/>
          <w:bCs/>
          <w:snapToGrid w:val="0"/>
          <w:szCs w:val="24"/>
          <w:lang w:val="en-GB"/>
        </w:rPr>
        <w:t>Thus, w</w:t>
      </w:r>
      <w:r w:rsidRPr="00466547">
        <w:rPr>
          <w:rFonts w:cs="Arial"/>
          <w:bCs/>
          <w:snapToGrid w:val="0"/>
          <w:szCs w:val="24"/>
          <w:lang w:val="en-GB"/>
        </w:rPr>
        <w:t xml:space="preserve">hilst the PBAC noted that </w:t>
      </w:r>
      <w:r w:rsidR="00B269BB" w:rsidRPr="00466547">
        <w:rPr>
          <w:rFonts w:cs="Arial"/>
          <w:bCs/>
          <w:snapToGrid w:val="0"/>
          <w:szCs w:val="24"/>
          <w:lang w:val="en-GB"/>
        </w:rPr>
        <w:t>a treatment sequence</w:t>
      </w:r>
      <w:r w:rsidR="00FC4533" w:rsidRPr="00466547">
        <w:rPr>
          <w:rFonts w:cs="Arial"/>
          <w:bCs/>
          <w:snapToGrid w:val="0"/>
          <w:szCs w:val="24"/>
          <w:lang w:val="en-GB"/>
        </w:rPr>
        <w:t xml:space="preserve"> with DBd</w:t>
      </w:r>
      <w:r w:rsidR="00B269BB" w:rsidRPr="00466547">
        <w:rPr>
          <w:rFonts w:cs="Arial"/>
          <w:bCs/>
          <w:snapToGrid w:val="0"/>
          <w:szCs w:val="24"/>
          <w:lang w:val="en-GB"/>
        </w:rPr>
        <w:t xml:space="preserve"> may be clinically appropriate, </w:t>
      </w:r>
      <w:r w:rsidRPr="00466547">
        <w:rPr>
          <w:rFonts w:cs="Arial"/>
          <w:bCs/>
          <w:snapToGrid w:val="0"/>
          <w:szCs w:val="24"/>
          <w:lang w:val="en-GB"/>
        </w:rPr>
        <w:t xml:space="preserve">it considered that the preferred approach would be to not limit clinician choice </w:t>
      </w:r>
      <w:r w:rsidR="00FC4533" w:rsidRPr="00466547">
        <w:rPr>
          <w:rFonts w:cs="Arial"/>
          <w:bCs/>
          <w:snapToGrid w:val="0"/>
          <w:szCs w:val="24"/>
          <w:lang w:val="en-GB"/>
        </w:rPr>
        <w:t>to this</w:t>
      </w:r>
      <w:r w:rsidRPr="00466547">
        <w:rPr>
          <w:rFonts w:cs="Arial"/>
          <w:bCs/>
          <w:snapToGrid w:val="0"/>
          <w:szCs w:val="24"/>
          <w:lang w:val="en-GB"/>
        </w:rPr>
        <w:t xml:space="preserve"> combination.</w:t>
      </w:r>
      <w:r w:rsidR="00362BB9" w:rsidRPr="00466547">
        <w:rPr>
          <w:rFonts w:cs="Arial"/>
          <w:bCs/>
          <w:snapToGrid w:val="0"/>
          <w:szCs w:val="24"/>
          <w:lang w:val="en-GB"/>
        </w:rPr>
        <w:t xml:space="preserve"> </w:t>
      </w:r>
    </w:p>
    <w:p w:rsidR="00A367E6" w:rsidRPr="00466547" w:rsidRDefault="00B119A7"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accepted that the proposed comparators were reasonable. However, the PBA</w:t>
      </w:r>
      <w:r w:rsidR="00362BB9" w:rsidRPr="00466547">
        <w:rPr>
          <w:rFonts w:cs="Arial"/>
          <w:bCs/>
          <w:snapToGrid w:val="0"/>
          <w:szCs w:val="24"/>
          <w:lang w:val="en-GB"/>
        </w:rPr>
        <w:t>C</w:t>
      </w:r>
      <w:r w:rsidRPr="00466547">
        <w:rPr>
          <w:rFonts w:cs="Arial"/>
          <w:bCs/>
          <w:snapToGrid w:val="0"/>
          <w:szCs w:val="24"/>
          <w:lang w:val="en-GB"/>
        </w:rPr>
        <w:t xml:space="preserve"> also considered that other potentially relevant comparators, </w:t>
      </w:r>
      <w:r w:rsidR="00362BB9" w:rsidRPr="00466547">
        <w:rPr>
          <w:rFonts w:cs="Arial"/>
          <w:bCs/>
          <w:snapToGrid w:val="0"/>
          <w:szCs w:val="24"/>
          <w:lang w:val="en-GB"/>
        </w:rPr>
        <w:t>such as</w:t>
      </w:r>
      <w:r w:rsidRPr="00466547">
        <w:rPr>
          <w:rFonts w:cs="Arial"/>
          <w:bCs/>
          <w:snapToGrid w:val="0"/>
          <w:szCs w:val="24"/>
          <w:lang w:val="en-GB"/>
        </w:rPr>
        <w:t xml:space="preserve"> Bd with cyclophosphamide</w:t>
      </w:r>
      <w:r w:rsidR="00362BB9" w:rsidRPr="00466547">
        <w:rPr>
          <w:rFonts w:cs="Arial"/>
          <w:bCs/>
          <w:snapToGrid w:val="0"/>
          <w:szCs w:val="24"/>
          <w:lang w:val="en-GB"/>
        </w:rPr>
        <w:t>,</w:t>
      </w:r>
      <w:r w:rsidRPr="00466547">
        <w:rPr>
          <w:rFonts w:cs="Arial"/>
          <w:bCs/>
          <w:snapToGrid w:val="0"/>
          <w:szCs w:val="24"/>
          <w:lang w:val="en-GB"/>
        </w:rPr>
        <w:t xml:space="preserve"> were not considered. </w:t>
      </w:r>
      <w:r w:rsidR="00EE678A" w:rsidRPr="00466547">
        <w:rPr>
          <w:rFonts w:cs="Arial"/>
          <w:bCs/>
          <w:snapToGrid w:val="0"/>
          <w:szCs w:val="24"/>
          <w:lang w:val="en-GB"/>
        </w:rPr>
        <w:t>Further, the PBAC noted that Ld was listed on a cost-minimisation basis to Bd, and that C</w:t>
      </w:r>
      <w:r w:rsidR="00362BB9" w:rsidRPr="00466547">
        <w:rPr>
          <w:rFonts w:cs="Arial"/>
          <w:bCs/>
          <w:snapToGrid w:val="0"/>
          <w:szCs w:val="24"/>
          <w:lang w:val="en-GB"/>
        </w:rPr>
        <w:t>d was considered superior to Bd. On this basis,</w:t>
      </w:r>
      <w:r w:rsidR="00EE678A" w:rsidRPr="00466547">
        <w:rPr>
          <w:rFonts w:cs="Arial"/>
          <w:bCs/>
          <w:snapToGrid w:val="0"/>
          <w:szCs w:val="24"/>
          <w:lang w:val="en-GB"/>
        </w:rPr>
        <w:t xml:space="preserve"> Cd </w:t>
      </w:r>
      <w:r w:rsidR="00FC4533" w:rsidRPr="00466547">
        <w:rPr>
          <w:rFonts w:cs="Arial"/>
          <w:bCs/>
          <w:snapToGrid w:val="0"/>
          <w:szCs w:val="24"/>
          <w:lang w:val="en-GB"/>
        </w:rPr>
        <w:t xml:space="preserve">was </w:t>
      </w:r>
      <w:r w:rsidR="00362BB9" w:rsidRPr="00466547">
        <w:rPr>
          <w:rFonts w:cs="Arial"/>
          <w:bCs/>
          <w:snapToGrid w:val="0"/>
          <w:szCs w:val="24"/>
          <w:lang w:val="en-GB"/>
        </w:rPr>
        <w:t xml:space="preserve">also </w:t>
      </w:r>
      <w:r w:rsidR="00FC4533" w:rsidRPr="00466547">
        <w:rPr>
          <w:rFonts w:cs="Arial"/>
          <w:bCs/>
          <w:snapToGrid w:val="0"/>
          <w:szCs w:val="24"/>
          <w:lang w:val="en-GB"/>
        </w:rPr>
        <w:t xml:space="preserve">considered </w:t>
      </w:r>
      <w:r w:rsidR="00362BB9" w:rsidRPr="00466547">
        <w:rPr>
          <w:rFonts w:cs="Arial"/>
          <w:bCs/>
          <w:snapToGrid w:val="0"/>
          <w:szCs w:val="24"/>
          <w:lang w:val="en-GB"/>
        </w:rPr>
        <w:t>a relevant comparator</w:t>
      </w:r>
      <w:r w:rsidR="00A367E6" w:rsidRPr="00466547">
        <w:rPr>
          <w:rFonts w:cs="Arial"/>
          <w:bCs/>
          <w:snapToGrid w:val="0"/>
          <w:szCs w:val="24"/>
          <w:lang w:val="en-GB"/>
        </w:rPr>
        <w:t xml:space="preserve">. </w:t>
      </w:r>
    </w:p>
    <w:p w:rsidR="00FC4533" w:rsidRPr="00466547" w:rsidRDefault="00FC4533"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noted the submission was based on two randomised trials with a low risk of bias (CASTOR comparing DBd and Bd and POLLUX comparing DLd and Ld)</w:t>
      </w:r>
      <w:r w:rsidR="00AA1258" w:rsidRPr="00466547">
        <w:rPr>
          <w:rFonts w:cs="Arial"/>
          <w:bCs/>
          <w:snapToGrid w:val="0"/>
          <w:szCs w:val="24"/>
          <w:lang w:val="en-GB"/>
        </w:rPr>
        <w:t>. The risk of progression or death was significantly reduced by 67% and 63%, respectively, with the addition of d</w:t>
      </w:r>
      <w:r w:rsidR="005E084C" w:rsidRPr="00466547">
        <w:rPr>
          <w:rFonts w:cs="Arial"/>
          <w:bCs/>
          <w:snapToGrid w:val="0"/>
          <w:szCs w:val="24"/>
          <w:lang w:val="en-GB"/>
        </w:rPr>
        <w:t>aratumumab to bortezomib or</w:t>
      </w:r>
      <w:r w:rsidR="00AA1258" w:rsidRPr="00466547">
        <w:rPr>
          <w:rFonts w:cs="Arial"/>
          <w:bCs/>
          <w:snapToGrid w:val="0"/>
          <w:szCs w:val="24"/>
          <w:lang w:val="en-GB"/>
        </w:rPr>
        <w:t xml:space="preserve"> lenalidomide. The risk of death was significantly reduced by 37% with the addition of daratumumab to either backbone therapy. The PBAC further noted the addition of daratumumab resulted in high response rates, and deep responses as </w:t>
      </w:r>
      <w:r w:rsidR="001E3663" w:rsidRPr="00466547">
        <w:rPr>
          <w:rFonts w:cs="Arial"/>
          <w:bCs/>
          <w:snapToGrid w:val="0"/>
          <w:szCs w:val="24"/>
          <w:lang w:val="en-GB"/>
        </w:rPr>
        <w:t xml:space="preserve">demonstrated by the proportion of patients </w:t>
      </w:r>
      <w:r w:rsidR="000D14B7" w:rsidRPr="00466547">
        <w:rPr>
          <w:rFonts w:cs="Arial"/>
          <w:bCs/>
          <w:snapToGrid w:val="0"/>
          <w:szCs w:val="24"/>
          <w:lang w:val="en-GB"/>
        </w:rPr>
        <w:t>ach</w:t>
      </w:r>
      <w:r w:rsidR="000D14B7">
        <w:rPr>
          <w:rFonts w:cs="Arial"/>
          <w:bCs/>
          <w:snapToGrid w:val="0"/>
          <w:szCs w:val="24"/>
          <w:lang w:val="en-GB"/>
        </w:rPr>
        <w:t>i</w:t>
      </w:r>
      <w:r w:rsidR="000D14B7" w:rsidRPr="00466547">
        <w:rPr>
          <w:rFonts w:cs="Arial"/>
          <w:bCs/>
          <w:snapToGrid w:val="0"/>
          <w:szCs w:val="24"/>
          <w:lang w:val="en-GB"/>
        </w:rPr>
        <w:t>eving</w:t>
      </w:r>
      <w:r w:rsidR="001E3663" w:rsidRPr="00466547">
        <w:rPr>
          <w:rFonts w:cs="Arial"/>
          <w:bCs/>
          <w:snapToGrid w:val="0"/>
          <w:szCs w:val="24"/>
          <w:lang w:val="en-GB"/>
        </w:rPr>
        <w:t xml:space="preserve"> minimal residual disease (MRD) negativity. </w:t>
      </w:r>
      <w:r w:rsidR="00AA1258" w:rsidRPr="00466547">
        <w:rPr>
          <w:rFonts w:cs="Arial"/>
          <w:bCs/>
          <w:snapToGrid w:val="0"/>
          <w:szCs w:val="24"/>
          <w:lang w:val="en-GB"/>
        </w:rPr>
        <w:t xml:space="preserve"> </w:t>
      </w:r>
    </w:p>
    <w:p w:rsidR="00A367E6" w:rsidRPr="00466547" w:rsidRDefault="00A367E6"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considered that the data presented in the submission supported the claim of superior efficacy for DBd compared to Bd</w:t>
      </w:r>
      <w:r w:rsidR="00362BB9" w:rsidRPr="00466547">
        <w:rPr>
          <w:rFonts w:cs="Arial"/>
          <w:bCs/>
          <w:snapToGrid w:val="0"/>
          <w:szCs w:val="24"/>
          <w:lang w:val="en-GB"/>
        </w:rPr>
        <w:t>,</w:t>
      </w:r>
      <w:r w:rsidRPr="00466547">
        <w:rPr>
          <w:rFonts w:cs="Arial"/>
          <w:bCs/>
          <w:snapToGrid w:val="0"/>
          <w:szCs w:val="24"/>
          <w:lang w:val="en-GB"/>
        </w:rPr>
        <w:t xml:space="preserve"> and DLd compared to Ld. However, the PBAC also noted that median PFS had not been reached for DBd or DLd, and that median OS had not been reached in any arm. The PBAC therefore considered that although superior efficacy was supported, the magnitude of the incremental benefit was uncertain</w:t>
      </w:r>
      <w:r w:rsidR="00362BB9" w:rsidRPr="00466547">
        <w:rPr>
          <w:rFonts w:cs="Arial"/>
          <w:bCs/>
          <w:snapToGrid w:val="0"/>
          <w:szCs w:val="24"/>
          <w:lang w:val="en-GB"/>
        </w:rPr>
        <w:t xml:space="preserve"> due to the immaturity of the data</w:t>
      </w:r>
      <w:r w:rsidRPr="00466547">
        <w:rPr>
          <w:rFonts w:cs="Arial"/>
          <w:bCs/>
          <w:snapToGrid w:val="0"/>
          <w:szCs w:val="24"/>
          <w:lang w:val="en-GB"/>
        </w:rPr>
        <w:t>.</w:t>
      </w:r>
    </w:p>
    <w:p w:rsidR="00393591" w:rsidRPr="00466547" w:rsidRDefault="00393591"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considered that the data presented in the submission supported the clai</w:t>
      </w:r>
      <w:r w:rsidR="005E084C" w:rsidRPr="00466547">
        <w:rPr>
          <w:rFonts w:cs="Arial"/>
          <w:bCs/>
          <w:snapToGrid w:val="0"/>
          <w:szCs w:val="24"/>
          <w:lang w:val="en-GB"/>
        </w:rPr>
        <w:t>m of inferior safety. T</w:t>
      </w:r>
      <w:r w:rsidRPr="00466547">
        <w:rPr>
          <w:rFonts w:cs="Arial"/>
          <w:bCs/>
          <w:snapToGrid w:val="0"/>
          <w:szCs w:val="24"/>
          <w:lang w:val="en-GB"/>
        </w:rPr>
        <w:t xml:space="preserve">he PBAC considered the low and similar rates of discontinuation across the treatment arms in both trials suggest </w:t>
      </w:r>
      <w:r w:rsidR="000D14B7" w:rsidRPr="00466547">
        <w:rPr>
          <w:rFonts w:cs="Arial"/>
          <w:bCs/>
          <w:snapToGrid w:val="0"/>
          <w:szCs w:val="24"/>
          <w:lang w:val="en-GB"/>
        </w:rPr>
        <w:t>daratumumab</w:t>
      </w:r>
      <w:r w:rsidRPr="00466547">
        <w:rPr>
          <w:rFonts w:cs="Arial"/>
          <w:bCs/>
          <w:snapToGrid w:val="0"/>
          <w:szCs w:val="24"/>
          <w:lang w:val="en-GB"/>
        </w:rPr>
        <w:t xml:space="preserve"> has a manageable side effect profile. </w:t>
      </w:r>
    </w:p>
    <w:p w:rsidR="00A367E6" w:rsidRPr="00466547" w:rsidRDefault="00A367E6"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 xml:space="preserve">The PBAC noted that although the indirect comparison of DBd to Cd suggested DBd may be superior in terms of PFS, but not OS, the indirect comparison was affected by a number of </w:t>
      </w:r>
      <w:r w:rsidR="001E3663" w:rsidRPr="00466547">
        <w:rPr>
          <w:rFonts w:cs="Arial"/>
          <w:bCs/>
          <w:snapToGrid w:val="0"/>
          <w:szCs w:val="24"/>
          <w:lang w:val="en-GB"/>
        </w:rPr>
        <w:t xml:space="preserve">potential </w:t>
      </w:r>
      <w:r w:rsidRPr="00466547">
        <w:rPr>
          <w:rFonts w:cs="Arial"/>
          <w:bCs/>
          <w:snapToGrid w:val="0"/>
          <w:szCs w:val="24"/>
          <w:lang w:val="en-GB"/>
        </w:rPr>
        <w:t xml:space="preserve">confounding factors. The PBAC was of the view that it </w:t>
      </w:r>
      <w:r w:rsidR="00B269BB" w:rsidRPr="00466547">
        <w:rPr>
          <w:rFonts w:cs="Arial"/>
          <w:bCs/>
          <w:snapToGrid w:val="0"/>
          <w:szCs w:val="24"/>
          <w:lang w:val="en-GB"/>
        </w:rPr>
        <w:t xml:space="preserve">would </w:t>
      </w:r>
      <w:r w:rsidRPr="00466547">
        <w:rPr>
          <w:rFonts w:cs="Arial"/>
          <w:bCs/>
          <w:snapToGrid w:val="0"/>
          <w:szCs w:val="24"/>
          <w:lang w:val="en-GB"/>
        </w:rPr>
        <w:t xml:space="preserve">be more informative for an indirect </w:t>
      </w:r>
      <w:r w:rsidR="000D14B7" w:rsidRPr="00466547">
        <w:rPr>
          <w:rFonts w:cs="Arial"/>
          <w:bCs/>
          <w:snapToGrid w:val="0"/>
          <w:szCs w:val="24"/>
          <w:lang w:val="en-GB"/>
        </w:rPr>
        <w:t>comparison</w:t>
      </w:r>
      <w:r w:rsidRPr="00466547">
        <w:rPr>
          <w:rFonts w:cs="Arial"/>
          <w:bCs/>
          <w:snapToGrid w:val="0"/>
          <w:szCs w:val="24"/>
          <w:lang w:val="en-GB"/>
        </w:rPr>
        <w:t xml:space="preserve"> to be performed on the Bd naïve subgroup of patients of each trial.</w:t>
      </w:r>
    </w:p>
    <w:p w:rsidR="0098130E" w:rsidRPr="00466547" w:rsidRDefault="007552F5"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agreed with the ESC that ‘step 3’ of the economic model was not an appropriate approach to the economic analysis, and that the economic analysis should assess the incremental cost effectiveness on the basis o</w:t>
      </w:r>
      <w:r w:rsidR="0090781C" w:rsidRPr="00466547">
        <w:rPr>
          <w:rFonts w:cs="Arial"/>
          <w:bCs/>
          <w:snapToGrid w:val="0"/>
          <w:szCs w:val="24"/>
          <w:lang w:val="en-GB"/>
        </w:rPr>
        <w:t xml:space="preserve">n 100% use of the alternatives. </w:t>
      </w:r>
      <w:r w:rsidR="0098130E" w:rsidRPr="00466547">
        <w:rPr>
          <w:rFonts w:cs="Arial"/>
          <w:bCs/>
          <w:snapToGrid w:val="0"/>
          <w:szCs w:val="24"/>
          <w:lang w:val="en-GB"/>
        </w:rPr>
        <w:t xml:space="preserve">The PBAC also agreed with the ESC that the </w:t>
      </w:r>
      <w:r w:rsidR="000A7F1F">
        <w:rPr>
          <w:rFonts w:cs="Arial"/>
          <w:bCs/>
          <w:noProof/>
          <w:snapToGrid w:val="0"/>
          <w:color w:val="000000"/>
          <w:szCs w:val="24"/>
          <w:highlight w:val="black"/>
          <w:lang w:val="en-GB"/>
        </w:rPr>
        <w:t xml:space="preserve">''''''''''' ''''''''''''''''' '''''' '''''''''''''''''''''''' </w:t>
      </w:r>
      <w:r w:rsidR="0098130E" w:rsidRPr="00466547">
        <w:rPr>
          <w:rFonts w:cs="Arial"/>
          <w:bCs/>
          <w:snapToGrid w:val="0"/>
          <w:szCs w:val="24"/>
          <w:lang w:val="en-GB"/>
        </w:rPr>
        <w:t xml:space="preserve">should not be included in the economic analysis </w:t>
      </w:r>
      <w:r w:rsidR="000A7F1F">
        <w:rPr>
          <w:rFonts w:cs="Arial"/>
          <w:bCs/>
          <w:noProof/>
          <w:snapToGrid w:val="0"/>
          <w:color w:val="000000"/>
          <w:szCs w:val="24"/>
          <w:highlight w:val="black"/>
          <w:lang w:val="en-GB"/>
        </w:rPr>
        <w:t>'''' ''''''' '''''''''' '''''''''''''''''' '''''' ''''''''''''''''''''''''' ''''''' ''''''' '''''''''''''''' ''''''' ''''''''''' ''''''' ''''' ''''''''''''''''''''''</w:t>
      </w:r>
      <w:r w:rsidR="009D04DB" w:rsidRPr="00466547">
        <w:rPr>
          <w:rFonts w:cs="Arial"/>
          <w:bCs/>
          <w:snapToGrid w:val="0"/>
          <w:szCs w:val="24"/>
          <w:lang w:val="en-GB"/>
        </w:rPr>
        <w:t>.</w:t>
      </w:r>
    </w:p>
    <w:p w:rsidR="0098130E" w:rsidRPr="00466547" w:rsidRDefault="0098130E"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noted that a substantial proportion of the modelled gain in QALYs was from the extrapolated period (</w:t>
      </w:r>
      <w:r w:rsidR="000A7F1F">
        <w:rPr>
          <w:rFonts w:cs="Arial"/>
          <w:bCs/>
          <w:noProof/>
          <w:snapToGrid w:val="0"/>
          <w:color w:val="000000"/>
          <w:szCs w:val="24"/>
          <w:highlight w:val="black"/>
          <w:lang w:val="en-GB"/>
        </w:rPr>
        <w:t>'''''</w:t>
      </w:r>
      <w:r w:rsidRPr="00466547">
        <w:rPr>
          <w:rFonts w:cs="Arial"/>
          <w:bCs/>
          <w:snapToGrid w:val="0"/>
          <w:szCs w:val="24"/>
          <w:lang w:val="en-GB"/>
        </w:rPr>
        <w:t xml:space="preserve">% for DBd and </w:t>
      </w:r>
      <w:r w:rsidR="000A7F1F">
        <w:rPr>
          <w:rFonts w:cs="Arial"/>
          <w:bCs/>
          <w:noProof/>
          <w:snapToGrid w:val="0"/>
          <w:color w:val="000000"/>
          <w:szCs w:val="24"/>
          <w:highlight w:val="black"/>
          <w:lang w:val="en-GB"/>
        </w:rPr>
        <w:t>'''''</w:t>
      </w:r>
      <w:r w:rsidRPr="00466547">
        <w:rPr>
          <w:rFonts w:cs="Arial"/>
          <w:bCs/>
          <w:snapToGrid w:val="0"/>
          <w:szCs w:val="24"/>
          <w:lang w:val="en-GB"/>
        </w:rPr>
        <w:t>% for DLd). The PBAC considered that this resulted in the incremental cost effectiveness ratio</w:t>
      </w:r>
      <w:r w:rsidR="005E084C" w:rsidRPr="00466547">
        <w:rPr>
          <w:rFonts w:cs="Arial"/>
          <w:bCs/>
          <w:snapToGrid w:val="0"/>
          <w:szCs w:val="24"/>
          <w:lang w:val="en-GB"/>
        </w:rPr>
        <w:t>s</w:t>
      </w:r>
      <w:r w:rsidRPr="00466547">
        <w:rPr>
          <w:rFonts w:cs="Arial"/>
          <w:bCs/>
          <w:snapToGrid w:val="0"/>
          <w:szCs w:val="24"/>
          <w:lang w:val="en-GB"/>
        </w:rPr>
        <w:t xml:space="preserve"> (ICER</w:t>
      </w:r>
      <w:r w:rsidR="005E084C" w:rsidRPr="00466547">
        <w:rPr>
          <w:rFonts w:cs="Arial"/>
          <w:bCs/>
          <w:snapToGrid w:val="0"/>
          <w:szCs w:val="24"/>
          <w:lang w:val="en-GB"/>
        </w:rPr>
        <w:t>s</w:t>
      </w:r>
      <w:r w:rsidRPr="00466547">
        <w:rPr>
          <w:rFonts w:cs="Arial"/>
          <w:bCs/>
          <w:snapToGrid w:val="0"/>
          <w:szCs w:val="24"/>
          <w:lang w:val="en-GB"/>
        </w:rPr>
        <w:t xml:space="preserve">) being highly uncertain. In order to reduce the uncertainty the PBAC considered it appropriate to </w:t>
      </w:r>
      <w:r w:rsidR="005E084C" w:rsidRPr="00466547">
        <w:rPr>
          <w:rFonts w:cs="Arial"/>
          <w:bCs/>
          <w:snapToGrid w:val="0"/>
          <w:szCs w:val="24"/>
          <w:lang w:val="en-GB"/>
        </w:rPr>
        <w:t xml:space="preserve">use </w:t>
      </w:r>
      <w:r w:rsidRPr="00466547">
        <w:rPr>
          <w:rFonts w:cs="Arial"/>
          <w:bCs/>
          <w:snapToGrid w:val="0"/>
          <w:szCs w:val="24"/>
          <w:lang w:val="en-GB"/>
        </w:rPr>
        <w:t xml:space="preserve">a shorter </w:t>
      </w:r>
      <w:r w:rsidR="008B1357" w:rsidRPr="00466547">
        <w:rPr>
          <w:rFonts w:cs="Arial"/>
          <w:bCs/>
          <w:snapToGrid w:val="0"/>
          <w:szCs w:val="24"/>
          <w:lang w:val="en-GB"/>
        </w:rPr>
        <w:t xml:space="preserve">(10 year) </w:t>
      </w:r>
      <w:r w:rsidRPr="00466547">
        <w:rPr>
          <w:rFonts w:cs="Arial"/>
          <w:bCs/>
          <w:snapToGrid w:val="0"/>
          <w:szCs w:val="24"/>
          <w:lang w:val="en-GB"/>
        </w:rPr>
        <w:t>model time horizon</w:t>
      </w:r>
      <w:r w:rsidR="008B1357" w:rsidRPr="00466547">
        <w:rPr>
          <w:rFonts w:cs="Arial"/>
          <w:bCs/>
          <w:snapToGrid w:val="0"/>
          <w:szCs w:val="24"/>
          <w:lang w:val="en-GB"/>
        </w:rPr>
        <w:t>. The PBAC recalled a 10 year time horizon was applied in the carfilzomib PBAC submission. The PBAC considered that while some patients may be alive beyond 10 years and possibly 15 years, it was noted that extrapolation of immature trial data to 20 years substantially increases the uncertainty with the cost effectiveness estimates and that greater confidence in establishing cost effectiveness will be derived by limiting the time horizon to 10 years.</w:t>
      </w:r>
      <w:r w:rsidRPr="00466547">
        <w:rPr>
          <w:rFonts w:cs="Arial"/>
          <w:bCs/>
          <w:snapToGrid w:val="0"/>
          <w:szCs w:val="24"/>
          <w:lang w:val="en-GB"/>
        </w:rPr>
        <w:t xml:space="preserve"> </w:t>
      </w:r>
    </w:p>
    <w:p w:rsidR="00B119A7" w:rsidRPr="00466547" w:rsidRDefault="00BD51E8"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agreed with the ESC that the ICERs estimated for daratumumab for both combinations were highly uncertain, reflecting the immaturity of the clinical data, the approaches to the data extrapolation and the model time horizon. With a 10 year time horizon</w:t>
      </w:r>
      <w:r w:rsidR="00E63829" w:rsidRPr="00466547">
        <w:rPr>
          <w:rFonts w:cs="Arial"/>
          <w:bCs/>
          <w:snapToGrid w:val="0"/>
          <w:szCs w:val="24"/>
          <w:lang w:val="en-GB"/>
        </w:rPr>
        <w:t xml:space="preserve"> </w:t>
      </w:r>
      <w:r w:rsidRPr="00466547">
        <w:rPr>
          <w:rFonts w:cs="Arial"/>
          <w:bCs/>
          <w:snapToGrid w:val="0"/>
          <w:szCs w:val="24"/>
          <w:lang w:val="en-GB"/>
        </w:rPr>
        <w:t xml:space="preserve">and restricting the analysis to Step 2 (which assumes </w:t>
      </w:r>
      <w:r w:rsidR="000A7F1F">
        <w:rPr>
          <w:rFonts w:cs="Arial"/>
          <w:bCs/>
          <w:noProof/>
          <w:snapToGrid w:val="0"/>
          <w:color w:val="000000"/>
          <w:szCs w:val="24"/>
          <w:highlight w:val="black"/>
          <w:lang w:val="en-GB"/>
        </w:rPr>
        <w:t xml:space="preserve">''''''''''''''''''''''' '''''''''''' ''''''''''''''''''' </w:t>
      </w:r>
      <w:r w:rsidRPr="00466547">
        <w:rPr>
          <w:rFonts w:cs="Arial"/>
          <w:bCs/>
          <w:snapToGrid w:val="0"/>
          <w:szCs w:val="24"/>
          <w:lang w:val="en-GB"/>
        </w:rPr>
        <w:t xml:space="preserve">are fully realised), the resulting ICER was </w:t>
      </w:r>
      <w:r w:rsidR="00E63829" w:rsidRPr="00466547">
        <w:rPr>
          <w:rFonts w:cs="Arial"/>
          <w:bCs/>
          <w:snapToGrid w:val="0"/>
          <w:szCs w:val="24"/>
          <w:lang w:val="en-GB"/>
        </w:rPr>
        <w:t xml:space="preserve"> </w:t>
      </w:r>
      <w:r w:rsidR="00AC09E3">
        <w:rPr>
          <w:rFonts w:cs="Arial"/>
          <w:bCs/>
          <w:snapToGrid w:val="0"/>
          <w:szCs w:val="24"/>
          <w:lang w:val="en-GB"/>
        </w:rPr>
        <w:t xml:space="preserve">$105,000/QALY - $200,000/QALY </w:t>
      </w:r>
      <w:r w:rsidR="00E63829" w:rsidRPr="00466547">
        <w:rPr>
          <w:rFonts w:cs="Arial"/>
          <w:bCs/>
          <w:snapToGrid w:val="0"/>
          <w:szCs w:val="24"/>
          <w:lang w:val="en-GB"/>
        </w:rPr>
        <w:t>for DBd</w:t>
      </w:r>
      <w:r w:rsidRPr="00466547">
        <w:rPr>
          <w:rFonts w:cs="Arial"/>
          <w:bCs/>
          <w:snapToGrid w:val="0"/>
          <w:szCs w:val="24"/>
          <w:lang w:val="en-GB"/>
        </w:rPr>
        <w:t xml:space="preserve"> vs Bd. </w:t>
      </w:r>
      <w:r w:rsidR="00E63829" w:rsidRPr="00466547">
        <w:rPr>
          <w:rFonts w:cs="Arial"/>
          <w:bCs/>
          <w:snapToGrid w:val="0"/>
          <w:szCs w:val="24"/>
          <w:lang w:val="en-GB"/>
        </w:rPr>
        <w:t xml:space="preserve"> </w:t>
      </w:r>
      <w:r w:rsidRPr="00466547">
        <w:rPr>
          <w:rFonts w:cs="Arial"/>
          <w:bCs/>
          <w:snapToGrid w:val="0"/>
          <w:szCs w:val="24"/>
          <w:lang w:val="en-GB"/>
        </w:rPr>
        <w:t xml:space="preserve">With a 10 year time horizon, restricting the analysis to Step 2, and using the </w:t>
      </w:r>
      <w:r w:rsidR="000A7F1F">
        <w:rPr>
          <w:rFonts w:cs="Arial"/>
          <w:bCs/>
          <w:noProof/>
          <w:snapToGrid w:val="0"/>
          <w:color w:val="000000"/>
          <w:szCs w:val="24"/>
          <w:highlight w:val="black"/>
          <w:lang w:val="en-GB"/>
        </w:rPr>
        <w:t>''''''''''''''''''''''''' '''''''''''''''''' ''''''''''</w:t>
      </w:r>
      <w:r w:rsidRPr="00466547">
        <w:rPr>
          <w:rFonts w:cs="Arial"/>
          <w:bCs/>
          <w:snapToGrid w:val="0"/>
          <w:szCs w:val="24"/>
          <w:lang w:val="en-GB"/>
        </w:rPr>
        <w:t xml:space="preserve">, the resulting ICER was </w:t>
      </w:r>
      <w:r w:rsidR="00AC09E3">
        <w:rPr>
          <w:rFonts w:cs="Arial"/>
          <w:bCs/>
          <w:snapToGrid w:val="0"/>
          <w:szCs w:val="24"/>
          <w:lang w:val="en-GB"/>
        </w:rPr>
        <w:t xml:space="preserve">more than $200,000/QALY </w:t>
      </w:r>
      <w:r w:rsidR="00E63829" w:rsidRPr="00466547">
        <w:rPr>
          <w:rFonts w:cs="Arial"/>
          <w:bCs/>
          <w:snapToGrid w:val="0"/>
          <w:szCs w:val="24"/>
          <w:lang w:val="en-GB"/>
        </w:rPr>
        <w:t>for DLd</w:t>
      </w:r>
      <w:r w:rsidRPr="00466547">
        <w:rPr>
          <w:rFonts w:cs="Arial"/>
          <w:bCs/>
          <w:snapToGrid w:val="0"/>
          <w:szCs w:val="24"/>
          <w:lang w:val="en-GB"/>
        </w:rPr>
        <w:t xml:space="preserve"> vs Ld</w:t>
      </w:r>
      <w:r w:rsidR="00E63829" w:rsidRPr="00466547">
        <w:rPr>
          <w:rFonts w:cs="Arial"/>
          <w:bCs/>
          <w:snapToGrid w:val="0"/>
          <w:szCs w:val="24"/>
          <w:lang w:val="en-GB"/>
        </w:rPr>
        <w:t xml:space="preserve">. The PBAC </w:t>
      </w:r>
      <w:r w:rsidR="00121D13" w:rsidRPr="00466547">
        <w:rPr>
          <w:rFonts w:cs="Arial"/>
          <w:bCs/>
          <w:snapToGrid w:val="0"/>
          <w:szCs w:val="24"/>
          <w:lang w:val="en-GB"/>
        </w:rPr>
        <w:t>considered that in the context of th</w:t>
      </w:r>
      <w:r w:rsidR="00E63829" w:rsidRPr="00466547">
        <w:rPr>
          <w:rFonts w:cs="Arial"/>
          <w:bCs/>
          <w:snapToGrid w:val="0"/>
          <w:szCs w:val="24"/>
          <w:lang w:val="en-GB"/>
        </w:rPr>
        <w:t>e sensitivity of the model to key variables,</w:t>
      </w:r>
      <w:r w:rsidR="00121D13" w:rsidRPr="00466547">
        <w:rPr>
          <w:rFonts w:cs="Arial"/>
          <w:bCs/>
          <w:snapToGrid w:val="0"/>
          <w:szCs w:val="24"/>
          <w:lang w:val="en-GB"/>
        </w:rPr>
        <w:t xml:space="preserve"> and the immaturity of the data that</w:t>
      </w:r>
      <w:r w:rsidR="00E63829" w:rsidRPr="00466547">
        <w:rPr>
          <w:rFonts w:cs="Arial"/>
          <w:bCs/>
          <w:snapToGrid w:val="0"/>
          <w:szCs w:val="24"/>
          <w:lang w:val="en-GB"/>
        </w:rPr>
        <w:t xml:space="preserve"> the estimated </w:t>
      </w:r>
      <w:r w:rsidR="00121D13" w:rsidRPr="00466547">
        <w:rPr>
          <w:rFonts w:cs="Arial"/>
          <w:bCs/>
          <w:snapToGrid w:val="0"/>
          <w:szCs w:val="24"/>
          <w:lang w:val="en-GB"/>
        </w:rPr>
        <w:t xml:space="preserve">ICERs were uncertain, and </w:t>
      </w:r>
      <w:r w:rsidR="00E63829" w:rsidRPr="00466547">
        <w:rPr>
          <w:rFonts w:cs="Arial"/>
          <w:bCs/>
          <w:snapToGrid w:val="0"/>
          <w:szCs w:val="24"/>
          <w:lang w:val="en-GB"/>
        </w:rPr>
        <w:t xml:space="preserve">too </w:t>
      </w:r>
      <w:r w:rsidR="00121D13" w:rsidRPr="00466547">
        <w:rPr>
          <w:rFonts w:cs="Arial"/>
          <w:bCs/>
          <w:snapToGrid w:val="0"/>
          <w:szCs w:val="24"/>
          <w:lang w:val="en-GB"/>
        </w:rPr>
        <w:t>high.</w:t>
      </w:r>
    </w:p>
    <w:p w:rsidR="00AE2AD5" w:rsidRPr="00466547" w:rsidRDefault="00121D13"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also noted that the opportunity cost of the requested listing was very high, and considered that this was particularly problematic given the high and uncertain ICERs. The PBAC also noted that in the situation where only DBd was listed, the utilisation of Bd and Ld in prior lines of therapy would likely change.</w:t>
      </w:r>
    </w:p>
    <w:p w:rsidR="00E63829" w:rsidRPr="00466547" w:rsidRDefault="00E63829"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The PBAC considered that any future resubmission should be a major submission.</w:t>
      </w:r>
    </w:p>
    <w:p w:rsidR="00E63829" w:rsidRPr="00466547" w:rsidRDefault="008D6B70" w:rsidP="009903F3">
      <w:pPr>
        <w:pStyle w:val="ListParagraph"/>
        <w:numPr>
          <w:ilvl w:val="1"/>
          <w:numId w:val="108"/>
        </w:numPr>
        <w:jc w:val="both"/>
        <w:rPr>
          <w:rFonts w:cs="Arial"/>
          <w:b/>
          <w:bCs/>
          <w:snapToGrid w:val="0"/>
          <w:szCs w:val="24"/>
          <w:lang w:val="en-GB"/>
        </w:rPr>
      </w:pPr>
      <w:r w:rsidRPr="00466547">
        <w:rPr>
          <w:rFonts w:cs="Arial"/>
          <w:bCs/>
          <w:snapToGrid w:val="0"/>
          <w:szCs w:val="24"/>
          <w:lang w:val="en-GB"/>
        </w:rPr>
        <w:t xml:space="preserve">The PBAC noted that this submission is eligible for an Independent Review. </w:t>
      </w:r>
    </w:p>
    <w:p w:rsidR="0061202A" w:rsidRPr="007D05F8" w:rsidRDefault="0061202A" w:rsidP="007D05F8">
      <w:pPr>
        <w:spacing w:after="120" w:line="240" w:lineRule="auto"/>
        <w:rPr>
          <w:rFonts w:ascii="Calibri" w:hAnsi="Calibri" w:cs="Arial"/>
          <w:b/>
          <w:bCs/>
          <w:snapToGrid w:val="0"/>
          <w:sz w:val="24"/>
          <w:szCs w:val="24"/>
        </w:rPr>
      </w:pPr>
      <w:r w:rsidRPr="007D05F8">
        <w:rPr>
          <w:rFonts w:ascii="Calibri" w:hAnsi="Calibri" w:cs="Arial"/>
          <w:b/>
          <w:bCs/>
          <w:snapToGrid w:val="0"/>
          <w:sz w:val="24"/>
          <w:szCs w:val="24"/>
        </w:rPr>
        <w:t>Outcome</w:t>
      </w:r>
    </w:p>
    <w:p w:rsidR="00F9555A" w:rsidRDefault="0061202A" w:rsidP="007D05F8">
      <w:pPr>
        <w:spacing w:after="120" w:line="240" w:lineRule="auto"/>
        <w:rPr>
          <w:rFonts w:ascii="Calibri" w:hAnsi="Calibri" w:cs="Arial"/>
          <w:bCs/>
          <w:snapToGrid w:val="0"/>
          <w:sz w:val="24"/>
          <w:szCs w:val="24"/>
        </w:rPr>
      </w:pPr>
      <w:r w:rsidRPr="007D05F8">
        <w:rPr>
          <w:rFonts w:ascii="Calibri" w:hAnsi="Calibri" w:cs="Arial"/>
          <w:bCs/>
          <w:snapToGrid w:val="0"/>
          <w:sz w:val="24"/>
          <w:szCs w:val="24"/>
        </w:rPr>
        <w:t>Rejected</w:t>
      </w:r>
    </w:p>
    <w:p w:rsidR="00277B31" w:rsidRPr="00277B31" w:rsidRDefault="00277B31" w:rsidP="00277B31">
      <w:pPr>
        <w:pStyle w:val="Heading1"/>
        <w:ind w:left="709" w:hanging="709"/>
      </w:pPr>
      <w:r w:rsidRPr="00277B31">
        <w:t>Context for Decision</w:t>
      </w:r>
    </w:p>
    <w:p w:rsidR="00277B31" w:rsidRPr="00277B31" w:rsidRDefault="00277B31" w:rsidP="00277B31">
      <w:pPr>
        <w:spacing w:after="120" w:line="240" w:lineRule="auto"/>
        <w:jc w:val="left"/>
        <w:rPr>
          <w:rFonts w:ascii="Calibri" w:eastAsia="Times New Roman" w:hAnsi="Calibri"/>
          <w:sz w:val="24"/>
          <w:szCs w:val="24"/>
          <w:lang w:val="en-AU" w:eastAsia="en-AU"/>
        </w:rPr>
      </w:pPr>
      <w:r w:rsidRPr="00277B31">
        <w:rPr>
          <w:rFonts w:ascii="Calibri" w:eastAsia="Times New Roman" w:hAnsi="Calibri"/>
          <w:sz w:val="24"/>
          <w:szCs w:val="24"/>
          <w:lang w:val="en-AU"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77B31" w:rsidRPr="00F145A5" w:rsidRDefault="00277B31" w:rsidP="00F145A5">
      <w:pPr>
        <w:pStyle w:val="Heading1"/>
        <w:ind w:left="709" w:hanging="709"/>
      </w:pPr>
      <w:r w:rsidRPr="00277B31">
        <w:t>Sponsor’s Comment</w:t>
      </w:r>
    </w:p>
    <w:p w:rsidR="00277B31" w:rsidRPr="00277B31" w:rsidRDefault="00277B31" w:rsidP="00277B31">
      <w:pPr>
        <w:spacing w:after="0" w:line="240" w:lineRule="auto"/>
        <w:rPr>
          <w:rFonts w:ascii="Calibri" w:eastAsia="Times New Roman" w:hAnsi="Calibri" w:cs="Arial"/>
          <w:snapToGrid w:val="0"/>
          <w:sz w:val="24"/>
          <w:szCs w:val="20"/>
          <w:lang w:val="en-AU"/>
        </w:rPr>
      </w:pPr>
      <w:r w:rsidRPr="00277B31">
        <w:rPr>
          <w:rFonts w:ascii="Calibri" w:eastAsia="Times New Roman" w:hAnsi="Calibri" w:cs="Arial"/>
          <w:snapToGrid w:val="0"/>
          <w:sz w:val="24"/>
          <w:szCs w:val="20"/>
          <w:lang w:val="en-AU"/>
        </w:rPr>
        <w:t>The sponsor had no comment.</w:t>
      </w:r>
    </w:p>
    <w:p w:rsidR="00277B31" w:rsidRDefault="00277B31" w:rsidP="007D05F8">
      <w:pPr>
        <w:spacing w:after="120" w:line="240" w:lineRule="auto"/>
        <w:rPr>
          <w:rFonts w:ascii="Calibri" w:hAnsi="Calibri" w:cs="Arial"/>
          <w:bCs/>
          <w:snapToGrid w:val="0"/>
          <w:sz w:val="24"/>
          <w:szCs w:val="24"/>
        </w:rPr>
      </w:pPr>
    </w:p>
    <w:p w:rsidR="00277B31" w:rsidRPr="007D05F8" w:rsidRDefault="00277B31" w:rsidP="007D05F8">
      <w:pPr>
        <w:spacing w:after="120" w:line="240" w:lineRule="auto"/>
        <w:rPr>
          <w:rFonts w:ascii="Calibri" w:hAnsi="Calibri" w:cs="Arial"/>
          <w:bCs/>
          <w:snapToGrid w:val="0"/>
          <w:sz w:val="24"/>
          <w:szCs w:val="24"/>
        </w:rPr>
      </w:pPr>
    </w:p>
    <w:sectPr w:rsidR="00277B31" w:rsidRPr="007D05F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AE2296" w15:done="0"/>
  <w15:commentEx w15:paraId="709AE983" w15:done="0"/>
  <w15:commentEx w15:paraId="2D88D629" w15:done="0"/>
  <w15:commentEx w15:paraId="1F49E0CC" w15:done="0"/>
  <w15:commentEx w15:paraId="73D53476" w15:done="0"/>
  <w15:commentEx w15:paraId="3DF63C03" w15:done="0"/>
  <w15:commentEx w15:paraId="40DB9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73A5B" w16cid:durableId="1D774B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1F" w:rsidRDefault="000A7F1F" w:rsidP="00BA3306">
      <w:pPr>
        <w:spacing w:after="0"/>
      </w:pPr>
      <w:r>
        <w:separator/>
      </w:r>
    </w:p>
  </w:endnote>
  <w:endnote w:type="continuationSeparator" w:id="0">
    <w:p w:rsidR="000A7F1F" w:rsidRDefault="000A7F1F" w:rsidP="00BA3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F" w:rsidRDefault="000A7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D7" w:rsidRPr="00A013C4" w:rsidRDefault="00D307D7" w:rsidP="00B33DF4">
    <w:pPr>
      <w:pStyle w:val="Footer"/>
      <w:ind w:left="360"/>
      <w:jc w:val="center"/>
      <w:rPr>
        <w:b/>
        <w:sz w:val="20"/>
      </w:rPr>
    </w:pPr>
    <w:r w:rsidRPr="00F90A91">
      <w:rPr>
        <w:rFonts w:ascii="Calibri" w:hAnsi="Calibri"/>
        <w:b/>
        <w:sz w:val="20"/>
      </w:rPr>
      <w:fldChar w:fldCharType="begin"/>
    </w:r>
    <w:r w:rsidRPr="00F90A91">
      <w:rPr>
        <w:rFonts w:ascii="Calibri" w:hAnsi="Calibri"/>
        <w:b/>
        <w:sz w:val="20"/>
      </w:rPr>
      <w:instrText xml:space="preserve"> PAGE   \* MERGEFORMAT </w:instrText>
    </w:r>
    <w:r w:rsidRPr="00F90A91">
      <w:rPr>
        <w:rFonts w:ascii="Calibri" w:hAnsi="Calibri"/>
        <w:b/>
        <w:sz w:val="20"/>
      </w:rPr>
      <w:fldChar w:fldCharType="separate"/>
    </w:r>
    <w:r w:rsidR="000A7F1F">
      <w:rPr>
        <w:rFonts w:ascii="Calibri" w:hAnsi="Calibri"/>
        <w:b/>
        <w:noProof/>
        <w:sz w:val="20"/>
      </w:rPr>
      <w:t>1</w:t>
    </w:r>
    <w:r w:rsidRPr="00F90A91">
      <w:rPr>
        <w:rFonts w:ascii="Calibri" w:hAnsi="Calibri"/>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F" w:rsidRDefault="000A7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1F" w:rsidRDefault="000A7F1F" w:rsidP="00BA3306">
      <w:pPr>
        <w:spacing w:after="0"/>
      </w:pPr>
      <w:r>
        <w:separator/>
      </w:r>
    </w:p>
  </w:footnote>
  <w:footnote w:type="continuationSeparator" w:id="0">
    <w:p w:rsidR="000A7F1F" w:rsidRDefault="000A7F1F" w:rsidP="00BA3306">
      <w:pPr>
        <w:spacing w:after="0"/>
      </w:pPr>
      <w:r>
        <w:continuationSeparator/>
      </w:r>
    </w:p>
  </w:footnote>
  <w:footnote w:id="1">
    <w:p w:rsidR="00D307D7" w:rsidRPr="005F48B6" w:rsidRDefault="00D307D7" w:rsidP="00BD2C6B">
      <w:pPr>
        <w:pStyle w:val="FootnoteText"/>
        <w:rPr>
          <w:i/>
        </w:rPr>
      </w:pPr>
      <w:r w:rsidRPr="005F48B6">
        <w:rPr>
          <w:rStyle w:val="FootnoteReference"/>
          <w:i/>
        </w:rPr>
        <w:footnoteRef/>
      </w:r>
      <w:r w:rsidRPr="005F48B6">
        <w:rPr>
          <w:i/>
        </w:rPr>
        <w:t xml:space="preserve"> Usmani SZ, Weiss BM, Plesner T, et al. Clinical efficacy of daratumumab monotherapy in patients with heavily pretreated relapsed or refractory multiple myeloma. Blood 2016; 128:37-44.</w:t>
      </w:r>
    </w:p>
    <w:p w:rsidR="00D307D7" w:rsidRPr="005F48B6" w:rsidRDefault="00D307D7" w:rsidP="00BD2C6B">
      <w:pPr>
        <w:pStyle w:val="FootnoteText"/>
        <w:rPr>
          <w:i/>
        </w:rPr>
      </w:pPr>
      <w:r w:rsidRPr="005F48B6">
        <w:rPr>
          <w:i/>
        </w:rPr>
        <w:t>Lokhorst HM, Plesner T, Laubach JP, et al. Targeting CD38 with Daratumumab Monotherapy in Multiple Myeloma. N Engl J Med 2015; 373:1207-19.</w:t>
      </w:r>
    </w:p>
    <w:p w:rsidR="00D307D7" w:rsidRPr="005F48B6" w:rsidRDefault="00D307D7" w:rsidP="00BD2C6B">
      <w:pPr>
        <w:pStyle w:val="FootnoteText"/>
        <w:rPr>
          <w:i/>
        </w:rPr>
      </w:pPr>
      <w:r w:rsidRPr="005F48B6">
        <w:rPr>
          <w:i/>
        </w:rPr>
        <w:t>Lonial S, Weiss BM, Usmani SZ, et al. Daratumumab monotherapy in patients with treatment-refractory multiple myeloma (SIRIUS): an open-label, randomised, phase 2 trial. Lancet 2016; 387:1551-60.</w:t>
      </w:r>
    </w:p>
    <w:p w:rsidR="00D307D7" w:rsidRPr="005F48B6" w:rsidRDefault="00D307D7" w:rsidP="00BD2C6B">
      <w:pPr>
        <w:pStyle w:val="FootnoteText"/>
        <w:rPr>
          <w:i/>
        </w:rPr>
      </w:pPr>
      <w:r w:rsidRPr="005F48B6">
        <w:rPr>
          <w:i/>
        </w:rPr>
        <w:t>Usmani SZ, Diels J, Ito T, Mehra M, Khan I, Lam A. Daratumumab monotherapy compared with historical control data in heavily pretreated and highly refractory patients with multiple myeloma: An adjusted treatment comparison. Am J Hematol 2017; 92:E146-e152.</w:t>
      </w:r>
    </w:p>
    <w:p w:rsidR="00D307D7" w:rsidRDefault="00D307D7" w:rsidP="00BD2C6B">
      <w:pPr>
        <w:pStyle w:val="FootnoteText"/>
      </w:pPr>
    </w:p>
  </w:footnote>
  <w:footnote w:id="2">
    <w:p w:rsidR="00D307D7" w:rsidRPr="005F48B6" w:rsidRDefault="00D307D7">
      <w:pPr>
        <w:pStyle w:val="FootnoteText"/>
        <w:rPr>
          <w:i/>
          <w:lang w:val="en-US"/>
        </w:rPr>
      </w:pPr>
      <w:r w:rsidRPr="005F48B6">
        <w:rPr>
          <w:rStyle w:val="FootnoteReference"/>
          <w:i/>
        </w:rPr>
        <w:footnoteRef/>
      </w:r>
      <w:r w:rsidRPr="005F48B6">
        <w:rPr>
          <w:i/>
        </w:rPr>
        <w:t xml:space="preserve"> Nooka, Ajay K., and Sagar Lonial. "Novel combination treatments in multiple myeloma." Oncology, May 2016, p. 451. Academic OneFile, Accessed 4 Oct.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F" w:rsidRDefault="000A7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D7" w:rsidRPr="00F90A91" w:rsidRDefault="00D307D7" w:rsidP="00D02B6B">
    <w:pPr>
      <w:pStyle w:val="Header"/>
      <w:ind w:left="360"/>
      <w:jc w:val="center"/>
      <w:rPr>
        <w:i/>
        <w:color w:val="808080"/>
      </w:rPr>
    </w:pPr>
    <w:r>
      <w:rPr>
        <w:i/>
        <w:color w:val="808080"/>
      </w:rPr>
      <w:t>Public Summary Document</w:t>
    </w:r>
    <w:r w:rsidRPr="00F90A91">
      <w:rPr>
        <w:i/>
        <w:color w:val="808080"/>
      </w:rPr>
      <w:t xml:space="preserve"> – </w:t>
    </w:r>
    <w:r>
      <w:rPr>
        <w:i/>
        <w:color w:val="808080"/>
      </w:rPr>
      <w:t>November 2017</w:t>
    </w:r>
    <w:r w:rsidRPr="00F90A91">
      <w:rPr>
        <w:i/>
        <w:color w:val="808080"/>
      </w:rPr>
      <w:t xml:space="preserve"> PBAC Meeting</w:t>
    </w:r>
  </w:p>
  <w:p w:rsidR="00D307D7" w:rsidRPr="0063564F" w:rsidRDefault="00D307D7" w:rsidP="00FF6FAE">
    <w:pPr>
      <w:pStyle w:val="Header"/>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F" w:rsidRDefault="000A7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668"/>
    <w:multiLevelType w:val="hybridMultilevel"/>
    <w:tmpl w:val="6D62DF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06000E2"/>
    <w:multiLevelType w:val="hybridMultilevel"/>
    <w:tmpl w:val="356835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27A23EA"/>
    <w:multiLevelType w:val="hybridMultilevel"/>
    <w:tmpl w:val="257E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A47FD7"/>
    <w:multiLevelType w:val="hybridMultilevel"/>
    <w:tmpl w:val="A4C0D954"/>
    <w:lvl w:ilvl="0" w:tplc="0C090001">
      <w:start w:val="1"/>
      <w:numFmt w:val="bullet"/>
      <w:lvlText w:val=""/>
      <w:lvlJc w:val="left"/>
      <w:pPr>
        <w:ind w:left="720" w:hanging="360"/>
      </w:pPr>
      <w:rPr>
        <w:rFonts w:ascii="Symbol" w:hAnsi="Symbol" w:hint="default"/>
      </w:rPr>
    </w:lvl>
    <w:lvl w:ilvl="1" w:tplc="0532B61E">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162E0F"/>
    <w:multiLevelType w:val="hybridMultilevel"/>
    <w:tmpl w:val="5E08D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6564A57"/>
    <w:multiLevelType w:val="hybridMultilevel"/>
    <w:tmpl w:val="75525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662192E"/>
    <w:multiLevelType w:val="hybridMultilevel"/>
    <w:tmpl w:val="3D74D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67B4993"/>
    <w:multiLevelType w:val="hybridMultilevel"/>
    <w:tmpl w:val="94946E22"/>
    <w:lvl w:ilvl="0" w:tplc="0D561032">
      <w:start w:val="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96665A"/>
    <w:multiLevelType w:val="multilevel"/>
    <w:tmpl w:val="E2CAE162"/>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6A220F6"/>
    <w:multiLevelType w:val="hybridMultilevel"/>
    <w:tmpl w:val="2DD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D95FF7"/>
    <w:multiLevelType w:val="hybridMultilevel"/>
    <w:tmpl w:val="9BF0C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5A282E"/>
    <w:multiLevelType w:val="multilevel"/>
    <w:tmpl w:val="296C7A7C"/>
    <w:lvl w:ilvl="0">
      <w:start w:val="1"/>
      <w:numFmt w:val="decimal"/>
      <w:lvlText w:val="%1"/>
      <w:lvlJc w:val="left"/>
      <w:pPr>
        <w:ind w:left="720" w:hanging="720"/>
      </w:pPr>
      <w:rPr>
        <w:rFonts w:hint="default"/>
        <w:b/>
      </w:rPr>
    </w:lvl>
    <w:lvl w:ilvl="1">
      <w:numFmt w:val="bullet"/>
      <w:lvlText w:val=""/>
      <w:lvlJc w:val="left"/>
      <w:pPr>
        <w:ind w:left="720" w:hanging="720"/>
      </w:pPr>
      <w:rPr>
        <w:rFonts w:ascii="Symbol" w:eastAsia="Calibri" w:hAnsi="Symbol"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0A7D1F95"/>
    <w:multiLevelType w:val="multilevel"/>
    <w:tmpl w:val="C7801B62"/>
    <w:lvl w:ilvl="0">
      <w:start w:val="1"/>
      <w:numFmt w:val="decimal"/>
      <w:lvlText w:val="%1."/>
      <w:lvlJc w:val="left"/>
      <w:pPr>
        <w:ind w:left="360" w:hanging="360"/>
      </w:pPr>
      <w:rPr>
        <w:rFonts w:hint="default"/>
      </w:rPr>
    </w:lvl>
    <w:lvl w:ilvl="1">
      <w:start w:val="1"/>
      <w:numFmt w:val="decimal"/>
      <w:lvlText w:val="6.%2."/>
      <w:lvlJc w:val="left"/>
      <w:pPr>
        <w:ind w:left="1709"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AE066D3"/>
    <w:multiLevelType w:val="hybridMultilevel"/>
    <w:tmpl w:val="A89271F6"/>
    <w:lvl w:ilvl="0" w:tplc="DDACBE9A">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B0C6E33"/>
    <w:multiLevelType w:val="hybridMultilevel"/>
    <w:tmpl w:val="ED2E9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BF618A4"/>
    <w:multiLevelType w:val="hybridMultilevel"/>
    <w:tmpl w:val="F11A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BF30CC"/>
    <w:multiLevelType w:val="multilevel"/>
    <w:tmpl w:val="6AFEEED8"/>
    <w:lvl w:ilvl="0">
      <w:start w:val="1"/>
      <w:numFmt w:val="decimal"/>
      <w:lvlText w:val="%1"/>
      <w:lvlJc w:val="left"/>
      <w:pPr>
        <w:ind w:left="432" w:hanging="432"/>
      </w:pPr>
      <w:rPr>
        <w:rFonts w:hint="default"/>
        <w:b/>
      </w:rPr>
    </w:lvl>
    <w:lvl w:ilvl="1">
      <w:start w:val="1"/>
      <w:numFmt w:val="decimal"/>
      <w:lvlText w:val="2.%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0D6D34D9"/>
    <w:multiLevelType w:val="hybridMultilevel"/>
    <w:tmpl w:val="36DC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E797928"/>
    <w:multiLevelType w:val="hybridMultilevel"/>
    <w:tmpl w:val="D894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0F846CB0"/>
    <w:multiLevelType w:val="hybridMultilevel"/>
    <w:tmpl w:val="C3B8F2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0FBD66EF"/>
    <w:multiLevelType w:val="multilevel"/>
    <w:tmpl w:val="98127DB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1C30AC0"/>
    <w:multiLevelType w:val="multilevel"/>
    <w:tmpl w:val="EBB622F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24D3521"/>
    <w:multiLevelType w:val="hybridMultilevel"/>
    <w:tmpl w:val="CA4A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3C81BEB"/>
    <w:multiLevelType w:val="multilevel"/>
    <w:tmpl w:val="6DDACF4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4D27C39"/>
    <w:multiLevelType w:val="hybridMultilevel"/>
    <w:tmpl w:val="DC5AF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63644C0"/>
    <w:multiLevelType w:val="hybridMultilevel"/>
    <w:tmpl w:val="78908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6FA3443"/>
    <w:multiLevelType w:val="hybridMultilevel"/>
    <w:tmpl w:val="142EAC04"/>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6FD1BA1"/>
    <w:multiLevelType w:val="hybridMultilevel"/>
    <w:tmpl w:val="5162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7233BF9"/>
    <w:multiLevelType w:val="hybridMultilevel"/>
    <w:tmpl w:val="F832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764014E"/>
    <w:multiLevelType w:val="hybridMultilevel"/>
    <w:tmpl w:val="92229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18036D10"/>
    <w:multiLevelType w:val="multilevel"/>
    <w:tmpl w:val="66F2C9D0"/>
    <w:lvl w:ilvl="0">
      <w:start w:val="1"/>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19324B0D"/>
    <w:multiLevelType w:val="hybridMultilevel"/>
    <w:tmpl w:val="E69691A0"/>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9AA42E0"/>
    <w:multiLevelType w:val="hybridMultilevel"/>
    <w:tmpl w:val="9A42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1A014BEF"/>
    <w:multiLevelType w:val="hybridMultilevel"/>
    <w:tmpl w:val="A0F2D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1A49224C"/>
    <w:multiLevelType w:val="hybridMultilevel"/>
    <w:tmpl w:val="0DDAE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B0F31E9"/>
    <w:multiLevelType w:val="multilevel"/>
    <w:tmpl w:val="BABAE7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1E2526DB"/>
    <w:multiLevelType w:val="hybridMultilevel"/>
    <w:tmpl w:val="97DC5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1E5B44CF"/>
    <w:multiLevelType w:val="hybridMultilevel"/>
    <w:tmpl w:val="DAC6815A"/>
    <w:lvl w:ilvl="0" w:tplc="DDACBE9A">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1E8761FD"/>
    <w:multiLevelType w:val="hybridMultilevel"/>
    <w:tmpl w:val="E3AA70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CE0E7BE">
      <w:start w:val="10"/>
      <w:numFmt w:val="bullet"/>
      <w:lvlText w:val="•"/>
      <w:lvlJc w:val="left"/>
      <w:pPr>
        <w:ind w:left="2160" w:hanging="720"/>
      </w:pPr>
      <w:rPr>
        <w:rFonts w:ascii="Arial Narrow" w:eastAsiaTheme="minorHAnsi" w:hAnsi="Arial Narrow"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1E957262"/>
    <w:multiLevelType w:val="hybridMultilevel"/>
    <w:tmpl w:val="BB34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14643D9"/>
    <w:multiLevelType w:val="multilevel"/>
    <w:tmpl w:val="61902970"/>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232507AE"/>
    <w:multiLevelType w:val="hybridMultilevel"/>
    <w:tmpl w:val="B810C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37213C4"/>
    <w:multiLevelType w:val="multilevel"/>
    <w:tmpl w:val="5618631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23FA6C3A"/>
    <w:multiLevelType w:val="hybridMultilevel"/>
    <w:tmpl w:val="7D0476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4215102"/>
    <w:multiLevelType w:val="hybridMultilevel"/>
    <w:tmpl w:val="1560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242F6AE8"/>
    <w:multiLevelType w:val="hybridMultilevel"/>
    <w:tmpl w:val="4A8EB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24F34191"/>
    <w:multiLevelType w:val="hybridMultilevel"/>
    <w:tmpl w:val="56AC6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261827C3"/>
    <w:multiLevelType w:val="hybridMultilevel"/>
    <w:tmpl w:val="E64694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26553292"/>
    <w:multiLevelType w:val="multilevel"/>
    <w:tmpl w:val="13CA770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26EB3A9E"/>
    <w:multiLevelType w:val="hybridMultilevel"/>
    <w:tmpl w:val="18B6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27953A97"/>
    <w:multiLevelType w:val="hybridMultilevel"/>
    <w:tmpl w:val="FE50D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28335C96"/>
    <w:multiLevelType w:val="hybridMultilevel"/>
    <w:tmpl w:val="ED2E9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84E6825"/>
    <w:multiLevelType w:val="multilevel"/>
    <w:tmpl w:val="6F92B562"/>
    <w:lvl w:ilvl="0">
      <w:start w:val="1"/>
      <w:numFmt w:val="decimal"/>
      <w:pStyle w:val="Heading4"/>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2AEE148D"/>
    <w:multiLevelType w:val="hybridMultilevel"/>
    <w:tmpl w:val="3CBC4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372412"/>
    <w:multiLevelType w:val="hybridMultilevel"/>
    <w:tmpl w:val="056EBC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nsid w:val="2CC835FF"/>
    <w:multiLevelType w:val="hybridMultilevel"/>
    <w:tmpl w:val="8B1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2D8D3221"/>
    <w:multiLevelType w:val="multilevel"/>
    <w:tmpl w:val="8DC68BFC"/>
    <w:lvl w:ilvl="0">
      <w:start w:val="1"/>
      <w:numFmt w:val="decimal"/>
      <w:lvlText w:val="%1."/>
      <w:lvlJc w:val="left"/>
      <w:pPr>
        <w:ind w:left="360" w:hanging="360"/>
      </w:pPr>
      <w:rPr>
        <w:rFonts w:hint="default"/>
      </w:rPr>
    </w:lvl>
    <w:lvl w:ilvl="1">
      <w:start w:val="1"/>
      <w:numFmt w:val="bullet"/>
      <w:lvlText w:val=""/>
      <w:lvlJc w:val="left"/>
      <w:pPr>
        <w:ind w:left="1708" w:hanging="432"/>
      </w:pPr>
      <w:rPr>
        <w:rFonts w:ascii="Symbol" w:hAnsi="Symbol"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DAA1918"/>
    <w:multiLevelType w:val="hybridMultilevel"/>
    <w:tmpl w:val="8FD8E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2160" w:hanging="72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2E053044"/>
    <w:multiLevelType w:val="hybridMultilevel"/>
    <w:tmpl w:val="A1DCE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31A65D8F"/>
    <w:multiLevelType w:val="multilevel"/>
    <w:tmpl w:val="FF6806B4"/>
    <w:lvl w:ilvl="0">
      <w:start w:val="1"/>
      <w:numFmt w:val="decimal"/>
      <w:lvlText w:val="%1."/>
      <w:lvlJc w:val="left"/>
      <w:pPr>
        <w:ind w:left="360" w:hanging="360"/>
      </w:pPr>
      <w:rPr>
        <w:rFonts w:hint="default"/>
      </w:rPr>
    </w:lvl>
    <w:lvl w:ilvl="1">
      <w:start w:val="1"/>
      <w:numFmt w:val="bullet"/>
      <w:lvlText w:val=""/>
      <w:lvlJc w:val="left"/>
      <w:pPr>
        <w:ind w:left="1708" w:hanging="432"/>
      </w:pPr>
      <w:rPr>
        <w:rFonts w:ascii="Symbol" w:hAnsi="Symbol" w:hint="default"/>
        <w:i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32E24DE9"/>
    <w:multiLevelType w:val="hybridMultilevel"/>
    <w:tmpl w:val="FA10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4666A18"/>
    <w:multiLevelType w:val="hybridMultilevel"/>
    <w:tmpl w:val="4C42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356D45AE"/>
    <w:multiLevelType w:val="hybridMultilevel"/>
    <w:tmpl w:val="D1622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35995B1E"/>
    <w:multiLevelType w:val="hybridMultilevel"/>
    <w:tmpl w:val="A5623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CE0E7BE">
      <w:start w:val="10"/>
      <w:numFmt w:val="bullet"/>
      <w:lvlText w:val="•"/>
      <w:lvlJc w:val="left"/>
      <w:pPr>
        <w:ind w:left="2160" w:hanging="720"/>
      </w:pPr>
      <w:rPr>
        <w:rFonts w:ascii="Arial Narrow" w:eastAsiaTheme="minorHAnsi" w:hAnsi="Arial Narrow"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37F97D0C"/>
    <w:multiLevelType w:val="hybridMultilevel"/>
    <w:tmpl w:val="F1FCE9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9E54AF5"/>
    <w:multiLevelType w:val="hybridMultilevel"/>
    <w:tmpl w:val="B912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3A44709C"/>
    <w:multiLevelType w:val="hybridMultilevel"/>
    <w:tmpl w:val="E4A4F8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3AF45C15"/>
    <w:multiLevelType w:val="hybridMultilevel"/>
    <w:tmpl w:val="B6649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3DDF57A3"/>
    <w:multiLevelType w:val="hybridMultilevel"/>
    <w:tmpl w:val="ED2E9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04312FB"/>
    <w:multiLevelType w:val="hybridMultilevel"/>
    <w:tmpl w:val="A1F83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40496913"/>
    <w:multiLevelType w:val="multilevel"/>
    <w:tmpl w:val="6DDACF4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40540DE4"/>
    <w:multiLevelType w:val="multilevel"/>
    <w:tmpl w:val="E2CAE162"/>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2CE2A50"/>
    <w:multiLevelType w:val="multilevel"/>
    <w:tmpl w:val="C4E4F492"/>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4350061C"/>
    <w:multiLevelType w:val="hybridMultilevel"/>
    <w:tmpl w:val="3C94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45365F52"/>
    <w:multiLevelType w:val="hybridMultilevel"/>
    <w:tmpl w:val="EBFA72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45DA758D"/>
    <w:multiLevelType w:val="hybridMultilevel"/>
    <w:tmpl w:val="FD4871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nsid w:val="460B52AB"/>
    <w:multiLevelType w:val="hybridMultilevel"/>
    <w:tmpl w:val="85069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483D070C"/>
    <w:multiLevelType w:val="hybridMultilevel"/>
    <w:tmpl w:val="150230A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4">
    <w:nsid w:val="490225B1"/>
    <w:multiLevelType w:val="hybridMultilevel"/>
    <w:tmpl w:val="7444BF6C"/>
    <w:lvl w:ilvl="0" w:tplc="CC569EC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492E20BC"/>
    <w:multiLevelType w:val="hybridMultilevel"/>
    <w:tmpl w:val="25AE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49C37E3F"/>
    <w:multiLevelType w:val="hybridMultilevel"/>
    <w:tmpl w:val="40683A76"/>
    <w:lvl w:ilvl="0" w:tplc="372287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49F3233F"/>
    <w:multiLevelType w:val="hybridMultilevel"/>
    <w:tmpl w:val="A91A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4BBE79DE"/>
    <w:multiLevelType w:val="multilevel"/>
    <w:tmpl w:val="2F624498"/>
    <w:lvl w:ilvl="0">
      <w:start w:val="1"/>
      <w:numFmt w:val="decimal"/>
      <w:lvlText w:val="%1."/>
      <w:lvlJc w:val="left"/>
      <w:pPr>
        <w:ind w:left="360" w:hanging="360"/>
      </w:pPr>
      <w:rPr>
        <w:rFonts w:hint="default"/>
      </w:rPr>
    </w:lvl>
    <w:lvl w:ilvl="1">
      <w:start w:val="1"/>
      <w:numFmt w:val="bullet"/>
      <w:lvlText w:val=""/>
      <w:lvlJc w:val="left"/>
      <w:pPr>
        <w:ind w:left="1708" w:hanging="432"/>
      </w:pPr>
      <w:rPr>
        <w:rFonts w:ascii="Symbol" w:hAnsi="Symbol"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4F163A51"/>
    <w:multiLevelType w:val="hybridMultilevel"/>
    <w:tmpl w:val="C9CC2FE0"/>
    <w:lvl w:ilvl="0" w:tplc="86FE42BC">
      <w:start w:val="1"/>
      <w:numFmt w:val="decimal"/>
      <w:pStyle w:val="Tableheading"/>
      <w:lvlText w:val="Table 1.%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16973B8"/>
    <w:multiLevelType w:val="hybridMultilevel"/>
    <w:tmpl w:val="6B840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53257F06"/>
    <w:multiLevelType w:val="hybridMultilevel"/>
    <w:tmpl w:val="CCC65F22"/>
    <w:lvl w:ilvl="0" w:tplc="0C090001">
      <w:start w:val="1"/>
      <w:numFmt w:val="bullet"/>
      <w:lvlText w:val=""/>
      <w:lvlJc w:val="left"/>
      <w:pPr>
        <w:ind w:left="1444" w:hanging="360"/>
      </w:pPr>
      <w:rPr>
        <w:rFonts w:ascii="Symbol" w:hAnsi="Symbol"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9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55CB2201"/>
    <w:multiLevelType w:val="multilevel"/>
    <w:tmpl w:val="6DDACF4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55E9226F"/>
    <w:multiLevelType w:val="hybridMultilevel"/>
    <w:tmpl w:val="60D65E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800" w:hanging="72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5706432B"/>
    <w:multiLevelType w:val="hybridMultilevel"/>
    <w:tmpl w:val="FE7EEF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7">
    <w:nsid w:val="5A9A20C8"/>
    <w:multiLevelType w:val="hybridMultilevel"/>
    <w:tmpl w:val="AA2E5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5C8E09ED"/>
    <w:multiLevelType w:val="multilevel"/>
    <w:tmpl w:val="E2CAE162"/>
    <w:lvl w:ilvl="0">
      <w:start w:val="1"/>
      <w:numFmt w:val="decimal"/>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5D6366AA"/>
    <w:multiLevelType w:val="hybridMultilevel"/>
    <w:tmpl w:val="ACBEA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5D78169F"/>
    <w:multiLevelType w:val="hybridMultilevel"/>
    <w:tmpl w:val="ED2E9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5DA312AA"/>
    <w:multiLevelType w:val="hybridMultilevel"/>
    <w:tmpl w:val="7C9852C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E1C17F1"/>
    <w:multiLevelType w:val="hybridMultilevel"/>
    <w:tmpl w:val="68DE9B5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5FF16B29"/>
    <w:multiLevelType w:val="hybridMultilevel"/>
    <w:tmpl w:val="99B8A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618F7FB7"/>
    <w:multiLevelType w:val="multilevel"/>
    <w:tmpl w:val="98127DB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6239632E"/>
    <w:multiLevelType w:val="hybridMultilevel"/>
    <w:tmpl w:val="40A680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627D10EE"/>
    <w:multiLevelType w:val="hybridMultilevel"/>
    <w:tmpl w:val="6B2ABC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0">
    <w:nsid w:val="63D1049A"/>
    <w:multiLevelType w:val="hybridMultilevel"/>
    <w:tmpl w:val="93129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650F4631"/>
    <w:multiLevelType w:val="hybridMultilevel"/>
    <w:tmpl w:val="F8184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nsid w:val="653B4880"/>
    <w:multiLevelType w:val="multilevel"/>
    <w:tmpl w:val="72B87D4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65C50BCB"/>
    <w:multiLevelType w:val="hybridMultilevel"/>
    <w:tmpl w:val="8AA69C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nsid w:val="67934C26"/>
    <w:multiLevelType w:val="hybridMultilevel"/>
    <w:tmpl w:val="1FA2F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689F61A9"/>
    <w:multiLevelType w:val="multilevel"/>
    <w:tmpl w:val="C8FE6960"/>
    <w:lvl w:ilvl="0">
      <w:start w:val="1"/>
      <w:numFmt w:val="decimal"/>
      <w:lvlText w:val="%1."/>
      <w:lvlJc w:val="left"/>
      <w:pPr>
        <w:ind w:left="360" w:hanging="360"/>
      </w:pPr>
      <w:rPr>
        <w:rFonts w:hint="default"/>
      </w:rPr>
    </w:lvl>
    <w:lvl w:ilvl="1">
      <w:start w:val="1"/>
      <w:numFmt w:val="bullet"/>
      <w:lvlText w:val=""/>
      <w:lvlJc w:val="left"/>
      <w:pPr>
        <w:ind w:left="170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6A1C7292"/>
    <w:multiLevelType w:val="multilevel"/>
    <w:tmpl w:val="72B87D4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nsid w:val="6B5F708D"/>
    <w:multiLevelType w:val="hybridMultilevel"/>
    <w:tmpl w:val="31EEF6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8">
    <w:nsid w:val="6B7D708C"/>
    <w:multiLevelType w:val="hybridMultilevel"/>
    <w:tmpl w:val="ED2E9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6CC50F28"/>
    <w:multiLevelType w:val="hybridMultilevel"/>
    <w:tmpl w:val="670C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nsid w:val="6D2F631F"/>
    <w:multiLevelType w:val="hybridMultilevel"/>
    <w:tmpl w:val="E1B2FDF2"/>
    <w:lvl w:ilvl="0" w:tplc="3722878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1">
    <w:nsid w:val="6DA36539"/>
    <w:multiLevelType w:val="multilevel"/>
    <w:tmpl w:val="EBB622F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6E770CC1"/>
    <w:multiLevelType w:val="multilevel"/>
    <w:tmpl w:val="A8F8BA7A"/>
    <w:lvl w:ilvl="0">
      <w:start w:val="1"/>
      <w:numFmt w:val="decimal"/>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70426A10"/>
    <w:multiLevelType w:val="multilevel"/>
    <w:tmpl w:val="6EA2C46C"/>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nsid w:val="705663B6"/>
    <w:multiLevelType w:val="hybridMultilevel"/>
    <w:tmpl w:val="5BD22052"/>
    <w:lvl w:ilvl="0" w:tplc="95E8864A">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72531963"/>
    <w:multiLevelType w:val="hybridMultilevel"/>
    <w:tmpl w:val="3FF62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nsid w:val="74FA76E6"/>
    <w:multiLevelType w:val="hybridMultilevel"/>
    <w:tmpl w:val="28F83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nsid w:val="7589593D"/>
    <w:multiLevelType w:val="hybridMultilevel"/>
    <w:tmpl w:val="FC40A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nsid w:val="771664FB"/>
    <w:multiLevelType w:val="hybridMultilevel"/>
    <w:tmpl w:val="936A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nsid w:val="784D033C"/>
    <w:multiLevelType w:val="multilevel"/>
    <w:tmpl w:val="0C09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1">
    <w:nsid w:val="794356EE"/>
    <w:multiLevelType w:val="multilevel"/>
    <w:tmpl w:val="7444EBF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7A4F7778"/>
    <w:multiLevelType w:val="hybridMultilevel"/>
    <w:tmpl w:val="F4D8A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nsid w:val="7BE723A2"/>
    <w:multiLevelType w:val="multilevel"/>
    <w:tmpl w:val="6C1280B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nsid w:val="7BFF2A0C"/>
    <w:multiLevelType w:val="hybridMultilevel"/>
    <w:tmpl w:val="A484D9EC"/>
    <w:lvl w:ilvl="0" w:tplc="0D561032">
      <w:start w:val="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nsid w:val="7E8A5606"/>
    <w:multiLevelType w:val="hybridMultilevel"/>
    <w:tmpl w:val="E0CC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4"/>
  </w:num>
  <w:num w:numId="2">
    <w:abstractNumId w:val="56"/>
  </w:num>
  <w:num w:numId="3">
    <w:abstractNumId w:val="88"/>
  </w:num>
  <w:num w:numId="4">
    <w:abstractNumId w:val="5"/>
  </w:num>
  <w:num w:numId="5">
    <w:abstractNumId w:val="130"/>
  </w:num>
  <w:num w:numId="6">
    <w:abstractNumId w:val="57"/>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num>
  <w:num w:numId="9">
    <w:abstractNumId w:val="98"/>
  </w:num>
  <w:num w:numId="10">
    <w:abstractNumId w:val="136"/>
  </w:num>
  <w:num w:numId="11">
    <w:abstractNumId w:val="133"/>
  </w:num>
  <w:num w:numId="12">
    <w:abstractNumId w:val="105"/>
  </w:num>
  <w:num w:numId="13">
    <w:abstractNumId w:val="131"/>
  </w:num>
  <w:num w:numId="14">
    <w:abstractNumId w:val="126"/>
  </w:num>
  <w:num w:numId="15">
    <w:abstractNumId w:val="91"/>
  </w:num>
  <w:num w:numId="16">
    <w:abstractNumId w:val="90"/>
  </w:num>
  <w:num w:numId="17">
    <w:abstractNumId w:val="18"/>
  </w:num>
  <w:num w:numId="18">
    <w:abstractNumId w:val="49"/>
  </w:num>
  <w:num w:numId="19">
    <w:abstractNumId w:val="6"/>
  </w:num>
  <w:num w:numId="20">
    <w:abstractNumId w:val="20"/>
  </w:num>
  <w:num w:numId="21">
    <w:abstractNumId w:val="100"/>
  </w:num>
  <w:num w:numId="22">
    <w:abstractNumId w:val="80"/>
  </w:num>
  <w:num w:numId="23">
    <w:abstractNumId w:val="72"/>
  </w:num>
  <w:num w:numId="24">
    <w:abstractNumId w:val="128"/>
  </w:num>
  <w:num w:numId="25">
    <w:abstractNumId w:val="95"/>
  </w:num>
  <w:num w:numId="26">
    <w:abstractNumId w:val="39"/>
  </w:num>
  <w:num w:numId="27">
    <w:abstractNumId w:val="120"/>
  </w:num>
  <w:num w:numId="28">
    <w:abstractNumId w:val="113"/>
  </w:num>
  <w:num w:numId="29">
    <w:abstractNumId w:val="41"/>
  </w:num>
  <w:num w:numId="30">
    <w:abstractNumId w:val="46"/>
  </w:num>
  <w:num w:numId="31">
    <w:abstractNumId w:val="86"/>
  </w:num>
  <w:num w:numId="32">
    <w:abstractNumId w:val="62"/>
  </w:num>
  <w:num w:numId="33">
    <w:abstractNumId w:val="69"/>
  </w:num>
  <w:num w:numId="34">
    <w:abstractNumId w:val="8"/>
  </w:num>
  <w:num w:numId="35">
    <w:abstractNumId w:val="97"/>
  </w:num>
  <w:num w:numId="36">
    <w:abstractNumId w:val="0"/>
  </w:num>
  <w:num w:numId="37">
    <w:abstractNumId w:val="28"/>
  </w:num>
  <w:num w:numId="38">
    <w:abstractNumId w:val="111"/>
  </w:num>
  <w:num w:numId="39">
    <w:abstractNumId w:val="50"/>
  </w:num>
  <w:num w:numId="40">
    <w:abstractNumId w:val="73"/>
  </w:num>
  <w:num w:numId="41">
    <w:abstractNumId w:val="32"/>
  </w:num>
  <w:num w:numId="42">
    <w:abstractNumId w:val="4"/>
  </w:num>
  <w:num w:numId="43">
    <w:abstractNumId w:val="31"/>
  </w:num>
  <w:num w:numId="44">
    <w:abstractNumId w:val="110"/>
  </w:num>
  <w:num w:numId="45">
    <w:abstractNumId w:val="25"/>
  </w:num>
  <w:num w:numId="46">
    <w:abstractNumId w:val="35"/>
  </w:num>
  <w:num w:numId="47">
    <w:abstractNumId w:val="21"/>
  </w:num>
  <w:num w:numId="48">
    <w:abstractNumId w:val="83"/>
  </w:num>
  <w:num w:numId="49">
    <w:abstractNumId w:val="3"/>
  </w:num>
  <w:num w:numId="50">
    <w:abstractNumId w:val="137"/>
  </w:num>
  <w:num w:numId="51">
    <w:abstractNumId w:val="87"/>
  </w:num>
  <w:num w:numId="52">
    <w:abstractNumId w:val="7"/>
  </w:num>
  <w:num w:numId="53">
    <w:abstractNumId w:val="106"/>
  </w:num>
  <w:num w:numId="54">
    <w:abstractNumId w:val="63"/>
  </w:num>
  <w:num w:numId="55">
    <w:abstractNumId w:val="79"/>
  </w:num>
  <w:num w:numId="56">
    <w:abstractNumId w:val="114"/>
  </w:num>
  <w:num w:numId="57">
    <w:abstractNumId w:val="48"/>
  </w:num>
  <w:num w:numId="58">
    <w:abstractNumId w:val="16"/>
  </w:num>
  <w:num w:numId="59">
    <w:abstractNumId w:val="40"/>
  </w:num>
  <w:num w:numId="60">
    <w:abstractNumId w:val="65"/>
  </w:num>
  <w:num w:numId="61">
    <w:abstractNumId w:val="53"/>
  </w:num>
  <w:num w:numId="62">
    <w:abstractNumId w:val="82"/>
  </w:num>
  <w:num w:numId="63">
    <w:abstractNumId w:val="36"/>
  </w:num>
  <w:num w:numId="64">
    <w:abstractNumId w:val="71"/>
  </w:num>
  <w:num w:numId="65">
    <w:abstractNumId w:val="30"/>
  </w:num>
  <w:num w:numId="66">
    <w:abstractNumId w:val="60"/>
  </w:num>
  <w:num w:numId="67">
    <w:abstractNumId w:val="119"/>
  </w:num>
  <w:num w:numId="68">
    <w:abstractNumId w:val="1"/>
  </w:num>
  <w:num w:numId="69">
    <w:abstractNumId w:val="85"/>
  </w:num>
  <w:num w:numId="70">
    <w:abstractNumId w:val="117"/>
  </w:num>
  <w:num w:numId="71">
    <w:abstractNumId w:val="51"/>
  </w:num>
  <w:num w:numId="72">
    <w:abstractNumId w:val="59"/>
  </w:num>
  <w:num w:numId="73">
    <w:abstractNumId w:val="27"/>
  </w:num>
  <w:num w:numId="74">
    <w:abstractNumId w:val="37"/>
  </w:num>
  <w:num w:numId="75">
    <w:abstractNumId w:val="96"/>
  </w:num>
  <w:num w:numId="76">
    <w:abstractNumId w:val="129"/>
  </w:num>
  <w:num w:numId="77">
    <w:abstractNumId w:val="81"/>
  </w:num>
  <w:num w:numId="78">
    <w:abstractNumId w:val="52"/>
  </w:num>
  <w:num w:numId="79">
    <w:abstractNumId w:val="130"/>
  </w:num>
  <w:num w:numId="80">
    <w:abstractNumId w:val="29"/>
  </w:num>
  <w:num w:numId="81">
    <w:abstractNumId w:val="78"/>
  </w:num>
  <w:num w:numId="82">
    <w:abstractNumId w:val="130"/>
  </w:num>
  <w:num w:numId="83">
    <w:abstractNumId w:val="122"/>
  </w:num>
  <w:num w:numId="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3"/>
  </w:num>
  <w:num w:numId="8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9"/>
  </w:num>
  <w:num w:numId="90">
    <w:abstractNumId w:val="77"/>
  </w:num>
  <w:num w:numId="91">
    <w:abstractNumId w:val="23"/>
  </w:num>
  <w:num w:numId="92">
    <w:abstractNumId w:val="107"/>
  </w:num>
  <w:num w:numId="93">
    <w:abstractNumId w:val="116"/>
  </w:num>
  <w:num w:numId="94">
    <w:abstractNumId w:val="10"/>
  </w:num>
  <w:num w:numId="95">
    <w:abstractNumId w:val="112"/>
  </w:num>
  <w:num w:numId="96">
    <w:abstractNumId w:val="24"/>
  </w:num>
  <w:num w:numId="97">
    <w:abstractNumId w:val="121"/>
  </w:num>
  <w:num w:numId="98">
    <w:abstractNumId w:val="14"/>
  </w:num>
  <w:num w:numId="99">
    <w:abstractNumId w:val="102"/>
  </w:num>
  <w:num w:numId="100">
    <w:abstractNumId w:val="42"/>
  </w:num>
  <w:num w:numId="101">
    <w:abstractNumId w:val="109"/>
  </w:num>
  <w:num w:numId="102">
    <w:abstractNumId w:val="75"/>
  </w:num>
  <w:num w:numId="103">
    <w:abstractNumId w:val="34"/>
  </w:num>
  <w:num w:numId="104">
    <w:abstractNumId w:val="22"/>
  </w:num>
  <w:num w:numId="105">
    <w:abstractNumId w:val="125"/>
  </w:num>
  <w:num w:numId="106">
    <w:abstractNumId w:val="103"/>
  </w:num>
  <w:num w:numId="107">
    <w:abstractNumId w:val="38"/>
  </w:num>
  <w:num w:numId="108">
    <w:abstractNumId w:val="45"/>
  </w:num>
  <w:num w:numId="109">
    <w:abstractNumId w:val="26"/>
  </w:num>
  <w:num w:numId="110">
    <w:abstractNumId w:val="76"/>
  </w:num>
  <w:num w:numId="111">
    <w:abstractNumId w:val="94"/>
  </w:num>
  <w:num w:numId="112">
    <w:abstractNumId w:val="124"/>
  </w:num>
  <w:num w:numId="113">
    <w:abstractNumId w:val="58"/>
  </w:num>
  <w:num w:numId="114">
    <w:abstractNumId w:val="45"/>
  </w:num>
  <w:num w:numId="115">
    <w:abstractNumId w:val="45"/>
  </w:num>
  <w:num w:numId="116">
    <w:abstractNumId w:val="84"/>
  </w:num>
  <w:num w:numId="117">
    <w:abstractNumId w:val="13"/>
  </w:num>
  <w:num w:numId="118">
    <w:abstractNumId w:val="70"/>
  </w:num>
  <w:num w:numId="119">
    <w:abstractNumId w:val="118"/>
  </w:num>
  <w:num w:numId="120">
    <w:abstractNumId w:val="54"/>
  </w:num>
  <w:num w:numId="121">
    <w:abstractNumId w:val="132"/>
  </w:num>
  <w:num w:numId="122">
    <w:abstractNumId w:val="134"/>
  </w:num>
  <w:num w:numId="123">
    <w:abstractNumId w:val="12"/>
  </w:num>
  <w:num w:numId="124">
    <w:abstractNumId w:val="127"/>
  </w:num>
  <w:num w:numId="125">
    <w:abstractNumId w:val="74"/>
  </w:num>
  <w:num w:numId="126">
    <w:abstractNumId w:val="55"/>
  </w:num>
  <w:num w:numId="127">
    <w:abstractNumId w:val="17"/>
  </w:num>
  <w:num w:numId="128">
    <w:abstractNumId w:val="101"/>
  </w:num>
  <w:num w:numId="129">
    <w:abstractNumId w:val="43"/>
  </w:num>
  <w:num w:numId="130">
    <w:abstractNumId w:val="9"/>
  </w:num>
  <w:num w:numId="131">
    <w:abstractNumId w:val="135"/>
  </w:num>
  <w:num w:numId="132">
    <w:abstractNumId w:val="11"/>
  </w:num>
  <w:num w:numId="133">
    <w:abstractNumId w:val="68"/>
  </w:num>
  <w:num w:numId="134">
    <w:abstractNumId w:val="44"/>
  </w:num>
  <w:num w:numId="135">
    <w:abstractNumId w:val="92"/>
  </w:num>
  <w:num w:numId="136">
    <w:abstractNumId w:val="45"/>
  </w:num>
  <w:num w:numId="137">
    <w:abstractNumId w:val="115"/>
  </w:num>
  <w:num w:numId="138">
    <w:abstractNumId w:val="67"/>
  </w:num>
  <w:num w:numId="139">
    <w:abstractNumId w:val="19"/>
  </w:num>
  <w:num w:numId="140">
    <w:abstractNumId w:val="93"/>
  </w:num>
  <w:num w:numId="141">
    <w:abstractNumId w:val="15"/>
  </w:num>
  <w:num w:numId="142">
    <w:abstractNumId w:val="2"/>
  </w:num>
  <w:num w:numId="143">
    <w:abstractNumId w:val="47"/>
  </w:num>
  <w:num w:numId="144">
    <w:abstractNumId w:val="45"/>
  </w:num>
  <w:num w:numId="145">
    <w:abstractNumId w:val="61"/>
  </w:num>
  <w:num w:numId="146">
    <w:abstractNumId w:val="89"/>
  </w:num>
  <w:num w:numId="147">
    <w:abstractNumId w:val="64"/>
  </w:num>
  <w:num w:numId="148">
    <w:abstractNumId w:val="108"/>
  </w:num>
  <w:num w:numId="149">
    <w:abstractNumId w:val="45"/>
  </w:num>
  <w:num w:numId="150">
    <w:abstractNumId w:val="45"/>
  </w:num>
  <w:num w:numId="151">
    <w:abstractNumId w:val="45"/>
  </w:num>
  <w:num w:numId="152">
    <w:abstractNumId w:val="45"/>
  </w:num>
  <w:num w:numId="153">
    <w:abstractNumId w:val="45"/>
  </w:num>
  <w:numIdMacAtCleanup w:val="14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Howard">
    <w15:presenceInfo w15:providerId="AD" w15:userId="S-1-5-21-653478955-3067283134-999092648-3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AB4"/>
    <w:rsid w:val="00002218"/>
    <w:rsid w:val="00003190"/>
    <w:rsid w:val="0000388E"/>
    <w:rsid w:val="00003987"/>
    <w:rsid w:val="000040E2"/>
    <w:rsid w:val="0001066F"/>
    <w:rsid w:val="000111F4"/>
    <w:rsid w:val="00013222"/>
    <w:rsid w:val="00013491"/>
    <w:rsid w:val="00013D0C"/>
    <w:rsid w:val="00014B03"/>
    <w:rsid w:val="000163A4"/>
    <w:rsid w:val="00016700"/>
    <w:rsid w:val="0002095B"/>
    <w:rsid w:val="00020A78"/>
    <w:rsid w:val="00022250"/>
    <w:rsid w:val="000224A5"/>
    <w:rsid w:val="000229DD"/>
    <w:rsid w:val="00023287"/>
    <w:rsid w:val="00024E75"/>
    <w:rsid w:val="00024ECE"/>
    <w:rsid w:val="00025AC5"/>
    <w:rsid w:val="00027B52"/>
    <w:rsid w:val="00033573"/>
    <w:rsid w:val="000339D3"/>
    <w:rsid w:val="00033EE5"/>
    <w:rsid w:val="00034404"/>
    <w:rsid w:val="0003656D"/>
    <w:rsid w:val="00037C32"/>
    <w:rsid w:val="000408E6"/>
    <w:rsid w:val="00042F28"/>
    <w:rsid w:val="00043A71"/>
    <w:rsid w:val="000461CF"/>
    <w:rsid w:val="00050884"/>
    <w:rsid w:val="00050E71"/>
    <w:rsid w:val="00050EFA"/>
    <w:rsid w:val="00052CE1"/>
    <w:rsid w:val="00053D2A"/>
    <w:rsid w:val="0005472D"/>
    <w:rsid w:val="00054A33"/>
    <w:rsid w:val="0005517F"/>
    <w:rsid w:val="0005581C"/>
    <w:rsid w:val="00055E8B"/>
    <w:rsid w:val="00055F9C"/>
    <w:rsid w:val="0005618E"/>
    <w:rsid w:val="00056443"/>
    <w:rsid w:val="00057F71"/>
    <w:rsid w:val="00060205"/>
    <w:rsid w:val="00061407"/>
    <w:rsid w:val="00062067"/>
    <w:rsid w:val="0006275E"/>
    <w:rsid w:val="000639F0"/>
    <w:rsid w:val="00063BF8"/>
    <w:rsid w:val="00063CE4"/>
    <w:rsid w:val="000642CB"/>
    <w:rsid w:val="0006437F"/>
    <w:rsid w:val="00065C62"/>
    <w:rsid w:val="00065CDE"/>
    <w:rsid w:val="00065ED1"/>
    <w:rsid w:val="00065F4A"/>
    <w:rsid w:val="000663B6"/>
    <w:rsid w:val="00067748"/>
    <w:rsid w:val="00070982"/>
    <w:rsid w:val="00070AC3"/>
    <w:rsid w:val="000730EA"/>
    <w:rsid w:val="0007341A"/>
    <w:rsid w:val="00074C00"/>
    <w:rsid w:val="00074D4A"/>
    <w:rsid w:val="00080FF3"/>
    <w:rsid w:val="00081FBC"/>
    <w:rsid w:val="00082578"/>
    <w:rsid w:val="000827BF"/>
    <w:rsid w:val="00082CFA"/>
    <w:rsid w:val="000839CB"/>
    <w:rsid w:val="000842B5"/>
    <w:rsid w:val="000847FE"/>
    <w:rsid w:val="0008598E"/>
    <w:rsid w:val="00085A9A"/>
    <w:rsid w:val="00085D3C"/>
    <w:rsid w:val="00086133"/>
    <w:rsid w:val="0008665A"/>
    <w:rsid w:val="00087F37"/>
    <w:rsid w:val="00087FDE"/>
    <w:rsid w:val="0009102C"/>
    <w:rsid w:val="000912E3"/>
    <w:rsid w:val="00092362"/>
    <w:rsid w:val="0009253C"/>
    <w:rsid w:val="00092589"/>
    <w:rsid w:val="00092E0D"/>
    <w:rsid w:val="00094A5E"/>
    <w:rsid w:val="0009504C"/>
    <w:rsid w:val="00095A21"/>
    <w:rsid w:val="00096750"/>
    <w:rsid w:val="00096C64"/>
    <w:rsid w:val="000A05B0"/>
    <w:rsid w:val="000A08C9"/>
    <w:rsid w:val="000A2694"/>
    <w:rsid w:val="000A2EF1"/>
    <w:rsid w:val="000A515C"/>
    <w:rsid w:val="000A5D31"/>
    <w:rsid w:val="000A6FBD"/>
    <w:rsid w:val="000A76FE"/>
    <w:rsid w:val="000A7F1F"/>
    <w:rsid w:val="000B139E"/>
    <w:rsid w:val="000B13BB"/>
    <w:rsid w:val="000B56CD"/>
    <w:rsid w:val="000B5B0A"/>
    <w:rsid w:val="000B6B69"/>
    <w:rsid w:val="000C0142"/>
    <w:rsid w:val="000C0688"/>
    <w:rsid w:val="000C090B"/>
    <w:rsid w:val="000C211C"/>
    <w:rsid w:val="000C3C94"/>
    <w:rsid w:val="000C4A64"/>
    <w:rsid w:val="000C521A"/>
    <w:rsid w:val="000C6A40"/>
    <w:rsid w:val="000C6A75"/>
    <w:rsid w:val="000D0023"/>
    <w:rsid w:val="000D09A3"/>
    <w:rsid w:val="000D0A33"/>
    <w:rsid w:val="000D14B7"/>
    <w:rsid w:val="000D1537"/>
    <w:rsid w:val="000D22E1"/>
    <w:rsid w:val="000D2362"/>
    <w:rsid w:val="000D2E92"/>
    <w:rsid w:val="000D3808"/>
    <w:rsid w:val="000D3FA7"/>
    <w:rsid w:val="000D479F"/>
    <w:rsid w:val="000D576A"/>
    <w:rsid w:val="000E149C"/>
    <w:rsid w:val="000E17C2"/>
    <w:rsid w:val="000E19FC"/>
    <w:rsid w:val="000E2502"/>
    <w:rsid w:val="000E4833"/>
    <w:rsid w:val="000F0B71"/>
    <w:rsid w:val="000F2534"/>
    <w:rsid w:val="000F2566"/>
    <w:rsid w:val="000F3570"/>
    <w:rsid w:val="000F3652"/>
    <w:rsid w:val="000F437C"/>
    <w:rsid w:val="000F47DF"/>
    <w:rsid w:val="000F525A"/>
    <w:rsid w:val="001010B9"/>
    <w:rsid w:val="00102583"/>
    <w:rsid w:val="00105064"/>
    <w:rsid w:val="00106343"/>
    <w:rsid w:val="00106BE2"/>
    <w:rsid w:val="00107020"/>
    <w:rsid w:val="00107B86"/>
    <w:rsid w:val="0011126F"/>
    <w:rsid w:val="0011459B"/>
    <w:rsid w:val="00114FDA"/>
    <w:rsid w:val="001177CE"/>
    <w:rsid w:val="00117A2C"/>
    <w:rsid w:val="001219A8"/>
    <w:rsid w:val="00121D13"/>
    <w:rsid w:val="001236C1"/>
    <w:rsid w:val="00123B0A"/>
    <w:rsid w:val="0012478A"/>
    <w:rsid w:val="00124B09"/>
    <w:rsid w:val="001252B8"/>
    <w:rsid w:val="0012616F"/>
    <w:rsid w:val="001265C5"/>
    <w:rsid w:val="0012701F"/>
    <w:rsid w:val="00127072"/>
    <w:rsid w:val="00127593"/>
    <w:rsid w:val="001279AE"/>
    <w:rsid w:val="0013092C"/>
    <w:rsid w:val="001314EF"/>
    <w:rsid w:val="00134FFB"/>
    <w:rsid w:val="00136D8A"/>
    <w:rsid w:val="00136E76"/>
    <w:rsid w:val="00137F9B"/>
    <w:rsid w:val="0014017C"/>
    <w:rsid w:val="001430CC"/>
    <w:rsid w:val="0014323D"/>
    <w:rsid w:val="00143AF1"/>
    <w:rsid w:val="00143B30"/>
    <w:rsid w:val="00143CE4"/>
    <w:rsid w:val="00144ACF"/>
    <w:rsid w:val="00145376"/>
    <w:rsid w:val="0014574D"/>
    <w:rsid w:val="001468C6"/>
    <w:rsid w:val="00146C47"/>
    <w:rsid w:val="0014789F"/>
    <w:rsid w:val="00147FE7"/>
    <w:rsid w:val="001501B6"/>
    <w:rsid w:val="001521AC"/>
    <w:rsid w:val="00152533"/>
    <w:rsid w:val="001530D3"/>
    <w:rsid w:val="001534A2"/>
    <w:rsid w:val="00153736"/>
    <w:rsid w:val="00153A70"/>
    <w:rsid w:val="00154B21"/>
    <w:rsid w:val="001561C0"/>
    <w:rsid w:val="00160A71"/>
    <w:rsid w:val="0016211F"/>
    <w:rsid w:val="00163D23"/>
    <w:rsid w:val="00163E83"/>
    <w:rsid w:val="00164FEE"/>
    <w:rsid w:val="00165A49"/>
    <w:rsid w:val="00165AAE"/>
    <w:rsid w:val="00166AE7"/>
    <w:rsid w:val="00166D47"/>
    <w:rsid w:val="0017026C"/>
    <w:rsid w:val="001707C4"/>
    <w:rsid w:val="00171830"/>
    <w:rsid w:val="001722AD"/>
    <w:rsid w:val="00173577"/>
    <w:rsid w:val="00173C7E"/>
    <w:rsid w:val="00173F89"/>
    <w:rsid w:val="001748C1"/>
    <w:rsid w:val="00175E27"/>
    <w:rsid w:val="0017638E"/>
    <w:rsid w:val="00176AA5"/>
    <w:rsid w:val="00176BA9"/>
    <w:rsid w:val="0017720E"/>
    <w:rsid w:val="001774FC"/>
    <w:rsid w:val="00177893"/>
    <w:rsid w:val="001819F6"/>
    <w:rsid w:val="00181EF1"/>
    <w:rsid w:val="001835E3"/>
    <w:rsid w:val="0018402A"/>
    <w:rsid w:val="00184221"/>
    <w:rsid w:val="001842ED"/>
    <w:rsid w:val="00186307"/>
    <w:rsid w:val="0018664A"/>
    <w:rsid w:val="00186903"/>
    <w:rsid w:val="00186CFA"/>
    <w:rsid w:val="00186EBC"/>
    <w:rsid w:val="001902D7"/>
    <w:rsid w:val="001905F3"/>
    <w:rsid w:val="001918B4"/>
    <w:rsid w:val="00191FB4"/>
    <w:rsid w:val="001946D7"/>
    <w:rsid w:val="001956C5"/>
    <w:rsid w:val="00195737"/>
    <w:rsid w:val="00195DA4"/>
    <w:rsid w:val="00196148"/>
    <w:rsid w:val="001968F7"/>
    <w:rsid w:val="001A0142"/>
    <w:rsid w:val="001A02B2"/>
    <w:rsid w:val="001A0CD1"/>
    <w:rsid w:val="001A1016"/>
    <w:rsid w:val="001A117E"/>
    <w:rsid w:val="001A57A4"/>
    <w:rsid w:val="001A6701"/>
    <w:rsid w:val="001A6EFC"/>
    <w:rsid w:val="001A6F2B"/>
    <w:rsid w:val="001A742D"/>
    <w:rsid w:val="001A7666"/>
    <w:rsid w:val="001B00CE"/>
    <w:rsid w:val="001B0BDD"/>
    <w:rsid w:val="001B1756"/>
    <w:rsid w:val="001B21F6"/>
    <w:rsid w:val="001B2448"/>
    <w:rsid w:val="001B2B8B"/>
    <w:rsid w:val="001B44B5"/>
    <w:rsid w:val="001B4F8F"/>
    <w:rsid w:val="001B537B"/>
    <w:rsid w:val="001B6389"/>
    <w:rsid w:val="001B762B"/>
    <w:rsid w:val="001C030E"/>
    <w:rsid w:val="001C04CC"/>
    <w:rsid w:val="001C051E"/>
    <w:rsid w:val="001C0963"/>
    <w:rsid w:val="001C16DF"/>
    <w:rsid w:val="001C231A"/>
    <w:rsid w:val="001C28D3"/>
    <w:rsid w:val="001C38DB"/>
    <w:rsid w:val="001C4A4E"/>
    <w:rsid w:val="001C5CC8"/>
    <w:rsid w:val="001C719B"/>
    <w:rsid w:val="001D0A21"/>
    <w:rsid w:val="001D0AA8"/>
    <w:rsid w:val="001D1430"/>
    <w:rsid w:val="001D1672"/>
    <w:rsid w:val="001D1D7F"/>
    <w:rsid w:val="001D276E"/>
    <w:rsid w:val="001D2E9F"/>
    <w:rsid w:val="001D320A"/>
    <w:rsid w:val="001D5271"/>
    <w:rsid w:val="001D5334"/>
    <w:rsid w:val="001D542A"/>
    <w:rsid w:val="001D5677"/>
    <w:rsid w:val="001D5DE3"/>
    <w:rsid w:val="001E0272"/>
    <w:rsid w:val="001E050B"/>
    <w:rsid w:val="001E0EBE"/>
    <w:rsid w:val="001E1180"/>
    <w:rsid w:val="001E187E"/>
    <w:rsid w:val="001E1D96"/>
    <w:rsid w:val="001E2252"/>
    <w:rsid w:val="001E3663"/>
    <w:rsid w:val="001E429B"/>
    <w:rsid w:val="001E4361"/>
    <w:rsid w:val="001E5918"/>
    <w:rsid w:val="001E5A80"/>
    <w:rsid w:val="001E5E03"/>
    <w:rsid w:val="001E5F19"/>
    <w:rsid w:val="001E67A1"/>
    <w:rsid w:val="001F073C"/>
    <w:rsid w:val="001F140C"/>
    <w:rsid w:val="001F15DE"/>
    <w:rsid w:val="001F2912"/>
    <w:rsid w:val="001F2A44"/>
    <w:rsid w:val="001F383F"/>
    <w:rsid w:val="001F3E8A"/>
    <w:rsid w:val="001F4F6D"/>
    <w:rsid w:val="001F6866"/>
    <w:rsid w:val="001F6EE0"/>
    <w:rsid w:val="001F7645"/>
    <w:rsid w:val="001F79E7"/>
    <w:rsid w:val="002001C6"/>
    <w:rsid w:val="00200296"/>
    <w:rsid w:val="00200890"/>
    <w:rsid w:val="002017A3"/>
    <w:rsid w:val="00201839"/>
    <w:rsid w:val="00201ADB"/>
    <w:rsid w:val="00202304"/>
    <w:rsid w:val="00203706"/>
    <w:rsid w:val="0020408F"/>
    <w:rsid w:val="00204858"/>
    <w:rsid w:val="002058E5"/>
    <w:rsid w:val="002063B3"/>
    <w:rsid w:val="00206B9C"/>
    <w:rsid w:val="00210FAA"/>
    <w:rsid w:val="002114DB"/>
    <w:rsid w:val="002134DE"/>
    <w:rsid w:val="00213835"/>
    <w:rsid w:val="00214172"/>
    <w:rsid w:val="0021723D"/>
    <w:rsid w:val="00222563"/>
    <w:rsid w:val="00222B64"/>
    <w:rsid w:val="00223308"/>
    <w:rsid w:val="002234A6"/>
    <w:rsid w:val="00224A07"/>
    <w:rsid w:val="00224A61"/>
    <w:rsid w:val="00225B26"/>
    <w:rsid w:val="00225E02"/>
    <w:rsid w:val="002260E9"/>
    <w:rsid w:val="00226570"/>
    <w:rsid w:val="002270A6"/>
    <w:rsid w:val="0022716F"/>
    <w:rsid w:val="00227CB1"/>
    <w:rsid w:val="00230426"/>
    <w:rsid w:val="002308E7"/>
    <w:rsid w:val="00231984"/>
    <w:rsid w:val="002326D1"/>
    <w:rsid w:val="002331F7"/>
    <w:rsid w:val="00233A7D"/>
    <w:rsid w:val="00233CF7"/>
    <w:rsid w:val="00235317"/>
    <w:rsid w:val="00235BFA"/>
    <w:rsid w:val="002365A3"/>
    <w:rsid w:val="00236BE7"/>
    <w:rsid w:val="00236C71"/>
    <w:rsid w:val="00241010"/>
    <w:rsid w:val="002411CB"/>
    <w:rsid w:val="002425C7"/>
    <w:rsid w:val="002425EA"/>
    <w:rsid w:val="00242EA0"/>
    <w:rsid w:val="00243085"/>
    <w:rsid w:val="00243685"/>
    <w:rsid w:val="002439B4"/>
    <w:rsid w:val="00246FED"/>
    <w:rsid w:val="00247E35"/>
    <w:rsid w:val="0025054D"/>
    <w:rsid w:val="00250A66"/>
    <w:rsid w:val="002537FF"/>
    <w:rsid w:val="00254C79"/>
    <w:rsid w:val="00255B30"/>
    <w:rsid w:val="00255F20"/>
    <w:rsid w:val="0025613F"/>
    <w:rsid w:val="00260656"/>
    <w:rsid w:val="002606F4"/>
    <w:rsid w:val="00261DC6"/>
    <w:rsid w:val="00262C88"/>
    <w:rsid w:val="00262D25"/>
    <w:rsid w:val="00262DED"/>
    <w:rsid w:val="00263FD4"/>
    <w:rsid w:val="00264623"/>
    <w:rsid w:val="00264CCF"/>
    <w:rsid w:val="00266D9B"/>
    <w:rsid w:val="0027066E"/>
    <w:rsid w:val="00272B91"/>
    <w:rsid w:val="00273151"/>
    <w:rsid w:val="00273C45"/>
    <w:rsid w:val="00273C92"/>
    <w:rsid w:val="002747EC"/>
    <w:rsid w:val="0027744D"/>
    <w:rsid w:val="002779EB"/>
    <w:rsid w:val="00277B31"/>
    <w:rsid w:val="00280B5B"/>
    <w:rsid w:val="00282AE1"/>
    <w:rsid w:val="00282D1F"/>
    <w:rsid w:val="0028346A"/>
    <w:rsid w:val="002836DF"/>
    <w:rsid w:val="00283709"/>
    <w:rsid w:val="00283E93"/>
    <w:rsid w:val="00285856"/>
    <w:rsid w:val="00285ECA"/>
    <w:rsid w:val="00286B76"/>
    <w:rsid w:val="00290013"/>
    <w:rsid w:val="00291D30"/>
    <w:rsid w:val="002928F4"/>
    <w:rsid w:val="00293335"/>
    <w:rsid w:val="00293B88"/>
    <w:rsid w:val="00294313"/>
    <w:rsid w:val="002950B4"/>
    <w:rsid w:val="00297D07"/>
    <w:rsid w:val="002A034A"/>
    <w:rsid w:val="002A119C"/>
    <w:rsid w:val="002A241D"/>
    <w:rsid w:val="002A3AD0"/>
    <w:rsid w:val="002A43CC"/>
    <w:rsid w:val="002A4503"/>
    <w:rsid w:val="002A7BF1"/>
    <w:rsid w:val="002B069C"/>
    <w:rsid w:val="002B1529"/>
    <w:rsid w:val="002B1E9A"/>
    <w:rsid w:val="002B2A85"/>
    <w:rsid w:val="002B32A0"/>
    <w:rsid w:val="002B42D1"/>
    <w:rsid w:val="002B4941"/>
    <w:rsid w:val="002B4959"/>
    <w:rsid w:val="002B5D74"/>
    <w:rsid w:val="002B6ACE"/>
    <w:rsid w:val="002B7ADB"/>
    <w:rsid w:val="002B7E39"/>
    <w:rsid w:val="002C02D5"/>
    <w:rsid w:val="002C0662"/>
    <w:rsid w:val="002C1D2F"/>
    <w:rsid w:val="002C3D04"/>
    <w:rsid w:val="002C49CC"/>
    <w:rsid w:val="002C7FE1"/>
    <w:rsid w:val="002D1273"/>
    <w:rsid w:val="002D1E36"/>
    <w:rsid w:val="002D2FCA"/>
    <w:rsid w:val="002D34C2"/>
    <w:rsid w:val="002D37FA"/>
    <w:rsid w:val="002D3D8D"/>
    <w:rsid w:val="002D44AF"/>
    <w:rsid w:val="002D4F4A"/>
    <w:rsid w:val="002D62F6"/>
    <w:rsid w:val="002D6AE8"/>
    <w:rsid w:val="002D7174"/>
    <w:rsid w:val="002D7823"/>
    <w:rsid w:val="002E0D94"/>
    <w:rsid w:val="002E0E3F"/>
    <w:rsid w:val="002E21E7"/>
    <w:rsid w:val="002E3421"/>
    <w:rsid w:val="002E42FD"/>
    <w:rsid w:val="002E4C2D"/>
    <w:rsid w:val="002E5DEA"/>
    <w:rsid w:val="002E696A"/>
    <w:rsid w:val="002E7115"/>
    <w:rsid w:val="002E724A"/>
    <w:rsid w:val="002E7E24"/>
    <w:rsid w:val="002F05A1"/>
    <w:rsid w:val="002F0658"/>
    <w:rsid w:val="002F0965"/>
    <w:rsid w:val="002F0CC4"/>
    <w:rsid w:val="002F134A"/>
    <w:rsid w:val="002F222D"/>
    <w:rsid w:val="002F2FDC"/>
    <w:rsid w:val="002F311E"/>
    <w:rsid w:val="002F3AF3"/>
    <w:rsid w:val="002F51D5"/>
    <w:rsid w:val="002F5A99"/>
    <w:rsid w:val="002F5E8F"/>
    <w:rsid w:val="002F6690"/>
    <w:rsid w:val="002F71B8"/>
    <w:rsid w:val="002F76DE"/>
    <w:rsid w:val="003002C7"/>
    <w:rsid w:val="0030057F"/>
    <w:rsid w:val="00300BEF"/>
    <w:rsid w:val="00300BF9"/>
    <w:rsid w:val="00301EA1"/>
    <w:rsid w:val="00302518"/>
    <w:rsid w:val="00302FCC"/>
    <w:rsid w:val="00303ECB"/>
    <w:rsid w:val="003050F8"/>
    <w:rsid w:val="00306072"/>
    <w:rsid w:val="003062AE"/>
    <w:rsid w:val="003066EC"/>
    <w:rsid w:val="00306F5C"/>
    <w:rsid w:val="003100B8"/>
    <w:rsid w:val="00310454"/>
    <w:rsid w:val="00310C55"/>
    <w:rsid w:val="003118DA"/>
    <w:rsid w:val="00311F3C"/>
    <w:rsid w:val="00314034"/>
    <w:rsid w:val="003150F1"/>
    <w:rsid w:val="00315514"/>
    <w:rsid w:val="00316975"/>
    <w:rsid w:val="003212BC"/>
    <w:rsid w:val="003219DF"/>
    <w:rsid w:val="003229D8"/>
    <w:rsid w:val="00322C09"/>
    <w:rsid w:val="00322F83"/>
    <w:rsid w:val="00324C0D"/>
    <w:rsid w:val="00325B61"/>
    <w:rsid w:val="00327C29"/>
    <w:rsid w:val="00334ACF"/>
    <w:rsid w:val="00334AE1"/>
    <w:rsid w:val="003358C3"/>
    <w:rsid w:val="003359D0"/>
    <w:rsid w:val="00335E5A"/>
    <w:rsid w:val="00336763"/>
    <w:rsid w:val="00341085"/>
    <w:rsid w:val="00341A14"/>
    <w:rsid w:val="00341B3F"/>
    <w:rsid w:val="00341D8B"/>
    <w:rsid w:val="00342302"/>
    <w:rsid w:val="003424D3"/>
    <w:rsid w:val="00343169"/>
    <w:rsid w:val="00343C1B"/>
    <w:rsid w:val="00344623"/>
    <w:rsid w:val="003453B9"/>
    <w:rsid w:val="00347DCB"/>
    <w:rsid w:val="00350E8A"/>
    <w:rsid w:val="00351205"/>
    <w:rsid w:val="00351381"/>
    <w:rsid w:val="00351633"/>
    <w:rsid w:val="00352AFD"/>
    <w:rsid w:val="003530A6"/>
    <w:rsid w:val="00353627"/>
    <w:rsid w:val="00354454"/>
    <w:rsid w:val="00354E2F"/>
    <w:rsid w:val="00355F72"/>
    <w:rsid w:val="00357657"/>
    <w:rsid w:val="003605ED"/>
    <w:rsid w:val="00360A5A"/>
    <w:rsid w:val="00361776"/>
    <w:rsid w:val="00362BB9"/>
    <w:rsid w:val="003633AC"/>
    <w:rsid w:val="003639A6"/>
    <w:rsid w:val="0036465C"/>
    <w:rsid w:val="003660D3"/>
    <w:rsid w:val="0036688C"/>
    <w:rsid w:val="00366A35"/>
    <w:rsid w:val="003679AE"/>
    <w:rsid w:val="00371163"/>
    <w:rsid w:val="00371E3E"/>
    <w:rsid w:val="00374D22"/>
    <w:rsid w:val="00375789"/>
    <w:rsid w:val="00377874"/>
    <w:rsid w:val="00380DD1"/>
    <w:rsid w:val="003823D6"/>
    <w:rsid w:val="0038281C"/>
    <w:rsid w:val="003830CD"/>
    <w:rsid w:val="00383177"/>
    <w:rsid w:val="00383CF4"/>
    <w:rsid w:val="00384098"/>
    <w:rsid w:val="0038470D"/>
    <w:rsid w:val="003847E6"/>
    <w:rsid w:val="003851FE"/>
    <w:rsid w:val="003855A2"/>
    <w:rsid w:val="00385A64"/>
    <w:rsid w:val="00386D1A"/>
    <w:rsid w:val="00387C7E"/>
    <w:rsid w:val="00390EF6"/>
    <w:rsid w:val="003915F8"/>
    <w:rsid w:val="003917E6"/>
    <w:rsid w:val="0039230F"/>
    <w:rsid w:val="003931CF"/>
    <w:rsid w:val="00393591"/>
    <w:rsid w:val="00393C26"/>
    <w:rsid w:val="00396A51"/>
    <w:rsid w:val="00397170"/>
    <w:rsid w:val="00397714"/>
    <w:rsid w:val="003A28E4"/>
    <w:rsid w:val="003A2E40"/>
    <w:rsid w:val="003A3433"/>
    <w:rsid w:val="003A3C95"/>
    <w:rsid w:val="003A4191"/>
    <w:rsid w:val="003A537E"/>
    <w:rsid w:val="003A5EDB"/>
    <w:rsid w:val="003A64A3"/>
    <w:rsid w:val="003A660F"/>
    <w:rsid w:val="003B0886"/>
    <w:rsid w:val="003B095E"/>
    <w:rsid w:val="003B21F0"/>
    <w:rsid w:val="003B28DF"/>
    <w:rsid w:val="003B37D8"/>
    <w:rsid w:val="003B3D35"/>
    <w:rsid w:val="003B462F"/>
    <w:rsid w:val="003B5318"/>
    <w:rsid w:val="003B5C5A"/>
    <w:rsid w:val="003B6C2C"/>
    <w:rsid w:val="003B6F1F"/>
    <w:rsid w:val="003B6F9D"/>
    <w:rsid w:val="003C0BF9"/>
    <w:rsid w:val="003C0EAF"/>
    <w:rsid w:val="003C1A9F"/>
    <w:rsid w:val="003C4574"/>
    <w:rsid w:val="003C464C"/>
    <w:rsid w:val="003C480E"/>
    <w:rsid w:val="003C589B"/>
    <w:rsid w:val="003C5F28"/>
    <w:rsid w:val="003C5FAC"/>
    <w:rsid w:val="003C7456"/>
    <w:rsid w:val="003C7F51"/>
    <w:rsid w:val="003D0BD1"/>
    <w:rsid w:val="003D11A9"/>
    <w:rsid w:val="003D2A37"/>
    <w:rsid w:val="003D5015"/>
    <w:rsid w:val="003D69EF"/>
    <w:rsid w:val="003D735A"/>
    <w:rsid w:val="003D7F8C"/>
    <w:rsid w:val="003E0768"/>
    <w:rsid w:val="003E0968"/>
    <w:rsid w:val="003E0EDB"/>
    <w:rsid w:val="003E1360"/>
    <w:rsid w:val="003E1EB4"/>
    <w:rsid w:val="003E2376"/>
    <w:rsid w:val="003E341C"/>
    <w:rsid w:val="003E37DD"/>
    <w:rsid w:val="003E395B"/>
    <w:rsid w:val="003E58C6"/>
    <w:rsid w:val="003E6260"/>
    <w:rsid w:val="003E6475"/>
    <w:rsid w:val="003E6E42"/>
    <w:rsid w:val="003E6EAD"/>
    <w:rsid w:val="003E7C34"/>
    <w:rsid w:val="003F08C6"/>
    <w:rsid w:val="003F105A"/>
    <w:rsid w:val="003F283D"/>
    <w:rsid w:val="003F2991"/>
    <w:rsid w:val="003F38E7"/>
    <w:rsid w:val="003F4D95"/>
    <w:rsid w:val="003F510B"/>
    <w:rsid w:val="003F6199"/>
    <w:rsid w:val="003F65C1"/>
    <w:rsid w:val="003F6B78"/>
    <w:rsid w:val="003F7A25"/>
    <w:rsid w:val="00401411"/>
    <w:rsid w:val="0040171A"/>
    <w:rsid w:val="004033BF"/>
    <w:rsid w:val="00404353"/>
    <w:rsid w:val="004050DD"/>
    <w:rsid w:val="0040527F"/>
    <w:rsid w:val="00405CBE"/>
    <w:rsid w:val="00405F67"/>
    <w:rsid w:val="00407570"/>
    <w:rsid w:val="0041096C"/>
    <w:rsid w:val="00412199"/>
    <w:rsid w:val="00412237"/>
    <w:rsid w:val="00412399"/>
    <w:rsid w:val="0041346E"/>
    <w:rsid w:val="0041393F"/>
    <w:rsid w:val="00414B30"/>
    <w:rsid w:val="004161EB"/>
    <w:rsid w:val="00417197"/>
    <w:rsid w:val="00417A3E"/>
    <w:rsid w:val="00417E34"/>
    <w:rsid w:val="00420660"/>
    <w:rsid w:val="00420ABE"/>
    <w:rsid w:val="00420DF4"/>
    <w:rsid w:val="00421450"/>
    <w:rsid w:val="00421A58"/>
    <w:rsid w:val="004224FB"/>
    <w:rsid w:val="00423741"/>
    <w:rsid w:val="00424E7D"/>
    <w:rsid w:val="004250C0"/>
    <w:rsid w:val="00425116"/>
    <w:rsid w:val="00425506"/>
    <w:rsid w:val="0042717D"/>
    <w:rsid w:val="0042730F"/>
    <w:rsid w:val="00427BD1"/>
    <w:rsid w:val="00427E55"/>
    <w:rsid w:val="0043091F"/>
    <w:rsid w:val="00431C98"/>
    <w:rsid w:val="00432B5B"/>
    <w:rsid w:val="00434013"/>
    <w:rsid w:val="00434680"/>
    <w:rsid w:val="004347EE"/>
    <w:rsid w:val="00434CED"/>
    <w:rsid w:val="00435D9C"/>
    <w:rsid w:val="00436193"/>
    <w:rsid w:val="00437BB5"/>
    <w:rsid w:val="00441910"/>
    <w:rsid w:val="004421A9"/>
    <w:rsid w:val="00442696"/>
    <w:rsid w:val="00443CB7"/>
    <w:rsid w:val="0044532D"/>
    <w:rsid w:val="00445E54"/>
    <w:rsid w:val="00446AC8"/>
    <w:rsid w:val="00446EF1"/>
    <w:rsid w:val="004514BB"/>
    <w:rsid w:val="00453BAE"/>
    <w:rsid w:val="00453D59"/>
    <w:rsid w:val="00454493"/>
    <w:rsid w:val="00454971"/>
    <w:rsid w:val="00454D17"/>
    <w:rsid w:val="004562D9"/>
    <w:rsid w:val="0045793C"/>
    <w:rsid w:val="004619BB"/>
    <w:rsid w:val="00461C1B"/>
    <w:rsid w:val="00462263"/>
    <w:rsid w:val="00463833"/>
    <w:rsid w:val="004656EB"/>
    <w:rsid w:val="00465D3F"/>
    <w:rsid w:val="0046621E"/>
    <w:rsid w:val="00466547"/>
    <w:rsid w:val="00466B6D"/>
    <w:rsid w:val="0046758E"/>
    <w:rsid w:val="004708FB"/>
    <w:rsid w:val="004718DB"/>
    <w:rsid w:val="00472D4D"/>
    <w:rsid w:val="004731D4"/>
    <w:rsid w:val="004749C9"/>
    <w:rsid w:val="00476FA2"/>
    <w:rsid w:val="0047702F"/>
    <w:rsid w:val="004805D1"/>
    <w:rsid w:val="00481282"/>
    <w:rsid w:val="004818E7"/>
    <w:rsid w:val="00481EA7"/>
    <w:rsid w:val="0048244A"/>
    <w:rsid w:val="0048295A"/>
    <w:rsid w:val="00485438"/>
    <w:rsid w:val="00485601"/>
    <w:rsid w:val="00486505"/>
    <w:rsid w:val="00487A4B"/>
    <w:rsid w:val="00490D05"/>
    <w:rsid w:val="0049106A"/>
    <w:rsid w:val="004919DD"/>
    <w:rsid w:val="0049396B"/>
    <w:rsid w:val="00494F31"/>
    <w:rsid w:val="00494F7C"/>
    <w:rsid w:val="004950F8"/>
    <w:rsid w:val="0049560F"/>
    <w:rsid w:val="00495B47"/>
    <w:rsid w:val="00497856"/>
    <w:rsid w:val="0049794E"/>
    <w:rsid w:val="004A00A3"/>
    <w:rsid w:val="004A0174"/>
    <w:rsid w:val="004A0AC5"/>
    <w:rsid w:val="004A0E0C"/>
    <w:rsid w:val="004A1FF0"/>
    <w:rsid w:val="004A2DF5"/>
    <w:rsid w:val="004A37DD"/>
    <w:rsid w:val="004A4EF3"/>
    <w:rsid w:val="004A567D"/>
    <w:rsid w:val="004A60FE"/>
    <w:rsid w:val="004A6246"/>
    <w:rsid w:val="004A6619"/>
    <w:rsid w:val="004B0693"/>
    <w:rsid w:val="004B10A5"/>
    <w:rsid w:val="004B3306"/>
    <w:rsid w:val="004B3C00"/>
    <w:rsid w:val="004B4DF1"/>
    <w:rsid w:val="004B555D"/>
    <w:rsid w:val="004B69BF"/>
    <w:rsid w:val="004C08A2"/>
    <w:rsid w:val="004C0BC5"/>
    <w:rsid w:val="004C1411"/>
    <w:rsid w:val="004C1739"/>
    <w:rsid w:val="004C1926"/>
    <w:rsid w:val="004C2A80"/>
    <w:rsid w:val="004C2B08"/>
    <w:rsid w:val="004C35AE"/>
    <w:rsid w:val="004C388C"/>
    <w:rsid w:val="004C3C86"/>
    <w:rsid w:val="004C43D5"/>
    <w:rsid w:val="004C58A9"/>
    <w:rsid w:val="004C5DFB"/>
    <w:rsid w:val="004C7574"/>
    <w:rsid w:val="004D0737"/>
    <w:rsid w:val="004D1006"/>
    <w:rsid w:val="004D1751"/>
    <w:rsid w:val="004D1F86"/>
    <w:rsid w:val="004D2941"/>
    <w:rsid w:val="004D321D"/>
    <w:rsid w:val="004D4313"/>
    <w:rsid w:val="004D45DF"/>
    <w:rsid w:val="004D4B20"/>
    <w:rsid w:val="004D55EE"/>
    <w:rsid w:val="004D5868"/>
    <w:rsid w:val="004D670B"/>
    <w:rsid w:val="004D6B32"/>
    <w:rsid w:val="004E0C0B"/>
    <w:rsid w:val="004E2125"/>
    <w:rsid w:val="004E2B58"/>
    <w:rsid w:val="004E2EA4"/>
    <w:rsid w:val="004E30A4"/>
    <w:rsid w:val="004E31C5"/>
    <w:rsid w:val="004E35F6"/>
    <w:rsid w:val="004E37CF"/>
    <w:rsid w:val="004E4668"/>
    <w:rsid w:val="004E4BFC"/>
    <w:rsid w:val="004E59B3"/>
    <w:rsid w:val="004E5FB0"/>
    <w:rsid w:val="004E69FB"/>
    <w:rsid w:val="004E6DD9"/>
    <w:rsid w:val="004E7AB6"/>
    <w:rsid w:val="004F009F"/>
    <w:rsid w:val="004F0299"/>
    <w:rsid w:val="004F1423"/>
    <w:rsid w:val="004F1DA0"/>
    <w:rsid w:val="004F2775"/>
    <w:rsid w:val="004F2F45"/>
    <w:rsid w:val="004F3688"/>
    <w:rsid w:val="004F3AAE"/>
    <w:rsid w:val="004F4415"/>
    <w:rsid w:val="004F4BDE"/>
    <w:rsid w:val="004F6163"/>
    <w:rsid w:val="004F65F5"/>
    <w:rsid w:val="004F7CAC"/>
    <w:rsid w:val="0050073E"/>
    <w:rsid w:val="00501D4A"/>
    <w:rsid w:val="00503BCD"/>
    <w:rsid w:val="00505F17"/>
    <w:rsid w:val="00507713"/>
    <w:rsid w:val="0051030F"/>
    <w:rsid w:val="00511320"/>
    <w:rsid w:val="005119C3"/>
    <w:rsid w:val="00511AD6"/>
    <w:rsid w:val="00512830"/>
    <w:rsid w:val="00512FB5"/>
    <w:rsid w:val="00513E53"/>
    <w:rsid w:val="005143F9"/>
    <w:rsid w:val="00515E2C"/>
    <w:rsid w:val="0051613D"/>
    <w:rsid w:val="00516566"/>
    <w:rsid w:val="0051700E"/>
    <w:rsid w:val="005218C3"/>
    <w:rsid w:val="00523E5E"/>
    <w:rsid w:val="005249B2"/>
    <w:rsid w:val="005259CD"/>
    <w:rsid w:val="00526BB0"/>
    <w:rsid w:val="00527521"/>
    <w:rsid w:val="0053103C"/>
    <w:rsid w:val="00531C11"/>
    <w:rsid w:val="005343AD"/>
    <w:rsid w:val="005348C5"/>
    <w:rsid w:val="00534CD0"/>
    <w:rsid w:val="005354C7"/>
    <w:rsid w:val="00535C74"/>
    <w:rsid w:val="00536003"/>
    <w:rsid w:val="005361AB"/>
    <w:rsid w:val="005370BB"/>
    <w:rsid w:val="00540203"/>
    <w:rsid w:val="00540349"/>
    <w:rsid w:val="00540C96"/>
    <w:rsid w:val="00541D43"/>
    <w:rsid w:val="00542068"/>
    <w:rsid w:val="00542289"/>
    <w:rsid w:val="005432E7"/>
    <w:rsid w:val="00543AF9"/>
    <w:rsid w:val="00546257"/>
    <w:rsid w:val="00547647"/>
    <w:rsid w:val="00547DE7"/>
    <w:rsid w:val="00547E0A"/>
    <w:rsid w:val="005503C7"/>
    <w:rsid w:val="00551652"/>
    <w:rsid w:val="00551F61"/>
    <w:rsid w:val="005528EB"/>
    <w:rsid w:val="00552997"/>
    <w:rsid w:val="00554C1E"/>
    <w:rsid w:val="0055532F"/>
    <w:rsid w:val="00555453"/>
    <w:rsid w:val="005554B8"/>
    <w:rsid w:val="005558A9"/>
    <w:rsid w:val="00555AE1"/>
    <w:rsid w:val="00555B14"/>
    <w:rsid w:val="0055611E"/>
    <w:rsid w:val="00557B63"/>
    <w:rsid w:val="00561D24"/>
    <w:rsid w:val="00562C25"/>
    <w:rsid w:val="00563D9B"/>
    <w:rsid w:val="00564AE4"/>
    <w:rsid w:val="00564CEF"/>
    <w:rsid w:val="00564F5E"/>
    <w:rsid w:val="00570A3F"/>
    <w:rsid w:val="005717C1"/>
    <w:rsid w:val="00571DC1"/>
    <w:rsid w:val="005722CC"/>
    <w:rsid w:val="00572F54"/>
    <w:rsid w:val="00574872"/>
    <w:rsid w:val="005759D3"/>
    <w:rsid w:val="00576ADE"/>
    <w:rsid w:val="005775CC"/>
    <w:rsid w:val="00577CFD"/>
    <w:rsid w:val="00577DEF"/>
    <w:rsid w:val="00585F79"/>
    <w:rsid w:val="0058683D"/>
    <w:rsid w:val="00587023"/>
    <w:rsid w:val="005924A7"/>
    <w:rsid w:val="0059342A"/>
    <w:rsid w:val="00594862"/>
    <w:rsid w:val="005948F6"/>
    <w:rsid w:val="00595754"/>
    <w:rsid w:val="00597972"/>
    <w:rsid w:val="005A0073"/>
    <w:rsid w:val="005A154A"/>
    <w:rsid w:val="005A3E88"/>
    <w:rsid w:val="005A53D6"/>
    <w:rsid w:val="005A5D7B"/>
    <w:rsid w:val="005A7063"/>
    <w:rsid w:val="005B1719"/>
    <w:rsid w:val="005B207F"/>
    <w:rsid w:val="005B2308"/>
    <w:rsid w:val="005B2B61"/>
    <w:rsid w:val="005B450A"/>
    <w:rsid w:val="005B50B5"/>
    <w:rsid w:val="005C0916"/>
    <w:rsid w:val="005C0954"/>
    <w:rsid w:val="005C17AC"/>
    <w:rsid w:val="005C1E35"/>
    <w:rsid w:val="005C2286"/>
    <w:rsid w:val="005C2A27"/>
    <w:rsid w:val="005C34B9"/>
    <w:rsid w:val="005C3BD2"/>
    <w:rsid w:val="005C51B0"/>
    <w:rsid w:val="005C520F"/>
    <w:rsid w:val="005C56AB"/>
    <w:rsid w:val="005C5E0A"/>
    <w:rsid w:val="005C6285"/>
    <w:rsid w:val="005C6AC5"/>
    <w:rsid w:val="005C6DCA"/>
    <w:rsid w:val="005C7872"/>
    <w:rsid w:val="005C7A06"/>
    <w:rsid w:val="005D0412"/>
    <w:rsid w:val="005D1F76"/>
    <w:rsid w:val="005D35BE"/>
    <w:rsid w:val="005D3700"/>
    <w:rsid w:val="005D4D45"/>
    <w:rsid w:val="005D5BA1"/>
    <w:rsid w:val="005D622E"/>
    <w:rsid w:val="005D67EC"/>
    <w:rsid w:val="005D69CC"/>
    <w:rsid w:val="005E01ED"/>
    <w:rsid w:val="005E084C"/>
    <w:rsid w:val="005E1816"/>
    <w:rsid w:val="005E218B"/>
    <w:rsid w:val="005E49B2"/>
    <w:rsid w:val="005E6B46"/>
    <w:rsid w:val="005E6F4B"/>
    <w:rsid w:val="005F0898"/>
    <w:rsid w:val="005F0AE8"/>
    <w:rsid w:val="005F1CA5"/>
    <w:rsid w:val="005F283D"/>
    <w:rsid w:val="005F2A6B"/>
    <w:rsid w:val="005F2B0A"/>
    <w:rsid w:val="005F40C1"/>
    <w:rsid w:val="005F45D5"/>
    <w:rsid w:val="005F48B6"/>
    <w:rsid w:val="005F4B3A"/>
    <w:rsid w:val="005F6E6C"/>
    <w:rsid w:val="005F6ECA"/>
    <w:rsid w:val="005F6EE8"/>
    <w:rsid w:val="005F78FF"/>
    <w:rsid w:val="00600DD2"/>
    <w:rsid w:val="00600F12"/>
    <w:rsid w:val="006013BF"/>
    <w:rsid w:val="006024D3"/>
    <w:rsid w:val="00602E2F"/>
    <w:rsid w:val="00603518"/>
    <w:rsid w:val="00603D8B"/>
    <w:rsid w:val="00604104"/>
    <w:rsid w:val="0060529F"/>
    <w:rsid w:val="00606EF9"/>
    <w:rsid w:val="0060706A"/>
    <w:rsid w:val="006070C4"/>
    <w:rsid w:val="0060730D"/>
    <w:rsid w:val="00607758"/>
    <w:rsid w:val="00607A5B"/>
    <w:rsid w:val="0061029C"/>
    <w:rsid w:val="00610D5E"/>
    <w:rsid w:val="006110E8"/>
    <w:rsid w:val="0061202A"/>
    <w:rsid w:val="00612CF9"/>
    <w:rsid w:val="00613467"/>
    <w:rsid w:val="00614460"/>
    <w:rsid w:val="00614982"/>
    <w:rsid w:val="006153E0"/>
    <w:rsid w:val="0061542D"/>
    <w:rsid w:val="006154E7"/>
    <w:rsid w:val="00616E2A"/>
    <w:rsid w:val="0061708B"/>
    <w:rsid w:val="00620C11"/>
    <w:rsid w:val="00622ACE"/>
    <w:rsid w:val="00622FBC"/>
    <w:rsid w:val="00622FFE"/>
    <w:rsid w:val="00624315"/>
    <w:rsid w:val="0062495C"/>
    <w:rsid w:val="0062545B"/>
    <w:rsid w:val="0062552A"/>
    <w:rsid w:val="006256A7"/>
    <w:rsid w:val="006261BF"/>
    <w:rsid w:val="00626E9C"/>
    <w:rsid w:val="0062718B"/>
    <w:rsid w:val="006273DA"/>
    <w:rsid w:val="00630CEE"/>
    <w:rsid w:val="006311A1"/>
    <w:rsid w:val="00632CD3"/>
    <w:rsid w:val="006332BE"/>
    <w:rsid w:val="0063515F"/>
    <w:rsid w:val="0063564F"/>
    <w:rsid w:val="00636C20"/>
    <w:rsid w:val="00640766"/>
    <w:rsid w:val="006408C3"/>
    <w:rsid w:val="00640ADD"/>
    <w:rsid w:val="006414B8"/>
    <w:rsid w:val="00641DC2"/>
    <w:rsid w:val="006431D6"/>
    <w:rsid w:val="00643333"/>
    <w:rsid w:val="00644D27"/>
    <w:rsid w:val="00645509"/>
    <w:rsid w:val="00645C84"/>
    <w:rsid w:val="00645E37"/>
    <w:rsid w:val="00646027"/>
    <w:rsid w:val="0064620D"/>
    <w:rsid w:val="0065020C"/>
    <w:rsid w:val="006505B2"/>
    <w:rsid w:val="00651A6D"/>
    <w:rsid w:val="00651DAB"/>
    <w:rsid w:val="00653DFD"/>
    <w:rsid w:val="00656211"/>
    <w:rsid w:val="00657754"/>
    <w:rsid w:val="0065788C"/>
    <w:rsid w:val="00660ECC"/>
    <w:rsid w:val="00661286"/>
    <w:rsid w:val="00662DFF"/>
    <w:rsid w:val="00664356"/>
    <w:rsid w:val="00664F39"/>
    <w:rsid w:val="00665662"/>
    <w:rsid w:val="00665FB0"/>
    <w:rsid w:val="00666743"/>
    <w:rsid w:val="006703ED"/>
    <w:rsid w:val="0067061E"/>
    <w:rsid w:val="00671622"/>
    <w:rsid w:val="00672120"/>
    <w:rsid w:val="0067237B"/>
    <w:rsid w:val="006732C6"/>
    <w:rsid w:val="00673615"/>
    <w:rsid w:val="006737A3"/>
    <w:rsid w:val="0067417A"/>
    <w:rsid w:val="00674536"/>
    <w:rsid w:val="00676161"/>
    <w:rsid w:val="0067698B"/>
    <w:rsid w:val="00676B85"/>
    <w:rsid w:val="00677241"/>
    <w:rsid w:val="006778EF"/>
    <w:rsid w:val="00680033"/>
    <w:rsid w:val="00680786"/>
    <w:rsid w:val="00681354"/>
    <w:rsid w:val="006840C6"/>
    <w:rsid w:val="006855B2"/>
    <w:rsid w:val="0068795F"/>
    <w:rsid w:val="006905E7"/>
    <w:rsid w:val="00690F3A"/>
    <w:rsid w:val="00690FC1"/>
    <w:rsid w:val="00691913"/>
    <w:rsid w:val="00691EDC"/>
    <w:rsid w:val="0069278B"/>
    <w:rsid w:val="00692FB3"/>
    <w:rsid w:val="00694DF2"/>
    <w:rsid w:val="0069504E"/>
    <w:rsid w:val="00695156"/>
    <w:rsid w:val="006951AA"/>
    <w:rsid w:val="00695332"/>
    <w:rsid w:val="00695D32"/>
    <w:rsid w:val="00696504"/>
    <w:rsid w:val="0069745E"/>
    <w:rsid w:val="00697F9C"/>
    <w:rsid w:val="006A028B"/>
    <w:rsid w:val="006A0858"/>
    <w:rsid w:val="006A138B"/>
    <w:rsid w:val="006A141E"/>
    <w:rsid w:val="006A19B5"/>
    <w:rsid w:val="006A1A15"/>
    <w:rsid w:val="006A1D56"/>
    <w:rsid w:val="006A2575"/>
    <w:rsid w:val="006A285A"/>
    <w:rsid w:val="006A503E"/>
    <w:rsid w:val="006A5300"/>
    <w:rsid w:val="006A5387"/>
    <w:rsid w:val="006A6DCF"/>
    <w:rsid w:val="006B140A"/>
    <w:rsid w:val="006B45B4"/>
    <w:rsid w:val="006B4C3D"/>
    <w:rsid w:val="006B55A2"/>
    <w:rsid w:val="006B5987"/>
    <w:rsid w:val="006B5A0A"/>
    <w:rsid w:val="006B700A"/>
    <w:rsid w:val="006B73FF"/>
    <w:rsid w:val="006B78B7"/>
    <w:rsid w:val="006C0250"/>
    <w:rsid w:val="006C11FE"/>
    <w:rsid w:val="006C1666"/>
    <w:rsid w:val="006C177A"/>
    <w:rsid w:val="006C28BA"/>
    <w:rsid w:val="006C4906"/>
    <w:rsid w:val="006C496C"/>
    <w:rsid w:val="006C59FE"/>
    <w:rsid w:val="006C5C38"/>
    <w:rsid w:val="006D0414"/>
    <w:rsid w:val="006D17F9"/>
    <w:rsid w:val="006D1FF2"/>
    <w:rsid w:val="006D3271"/>
    <w:rsid w:val="006D3A4A"/>
    <w:rsid w:val="006D4179"/>
    <w:rsid w:val="006D460D"/>
    <w:rsid w:val="006D4944"/>
    <w:rsid w:val="006D4CFF"/>
    <w:rsid w:val="006D539E"/>
    <w:rsid w:val="006E386C"/>
    <w:rsid w:val="006E6740"/>
    <w:rsid w:val="006E6CA3"/>
    <w:rsid w:val="006E7302"/>
    <w:rsid w:val="006E791B"/>
    <w:rsid w:val="006F04FC"/>
    <w:rsid w:val="006F0CD9"/>
    <w:rsid w:val="006F161E"/>
    <w:rsid w:val="006F21CC"/>
    <w:rsid w:val="006F28E6"/>
    <w:rsid w:val="006F5086"/>
    <w:rsid w:val="006F520E"/>
    <w:rsid w:val="006F595C"/>
    <w:rsid w:val="006F6748"/>
    <w:rsid w:val="006F67D0"/>
    <w:rsid w:val="006F7BEA"/>
    <w:rsid w:val="0070101C"/>
    <w:rsid w:val="00701268"/>
    <w:rsid w:val="00704AD4"/>
    <w:rsid w:val="00705DC2"/>
    <w:rsid w:val="0070672C"/>
    <w:rsid w:val="00707082"/>
    <w:rsid w:val="007077DA"/>
    <w:rsid w:val="00710E76"/>
    <w:rsid w:val="00710EE7"/>
    <w:rsid w:val="0071189B"/>
    <w:rsid w:val="0071226A"/>
    <w:rsid w:val="00712C73"/>
    <w:rsid w:val="00712E7F"/>
    <w:rsid w:val="00713813"/>
    <w:rsid w:val="0071394F"/>
    <w:rsid w:val="0071491F"/>
    <w:rsid w:val="0071533C"/>
    <w:rsid w:val="00715E3B"/>
    <w:rsid w:val="00721724"/>
    <w:rsid w:val="0072199A"/>
    <w:rsid w:val="00722632"/>
    <w:rsid w:val="00722B09"/>
    <w:rsid w:val="00723800"/>
    <w:rsid w:val="00723AB1"/>
    <w:rsid w:val="00723E1E"/>
    <w:rsid w:val="007243B5"/>
    <w:rsid w:val="00725236"/>
    <w:rsid w:val="007259C6"/>
    <w:rsid w:val="0072621B"/>
    <w:rsid w:val="0072780A"/>
    <w:rsid w:val="00730BB0"/>
    <w:rsid w:val="007311B5"/>
    <w:rsid w:val="00731A30"/>
    <w:rsid w:val="00734470"/>
    <w:rsid w:val="00735142"/>
    <w:rsid w:val="0073524C"/>
    <w:rsid w:val="00736C24"/>
    <w:rsid w:val="007377CC"/>
    <w:rsid w:val="00737C23"/>
    <w:rsid w:val="00742620"/>
    <w:rsid w:val="00742B7F"/>
    <w:rsid w:val="00742F6F"/>
    <w:rsid w:val="007434EE"/>
    <w:rsid w:val="00743C52"/>
    <w:rsid w:val="00743D40"/>
    <w:rsid w:val="00747333"/>
    <w:rsid w:val="00747AA7"/>
    <w:rsid w:val="00747AD7"/>
    <w:rsid w:val="007509A6"/>
    <w:rsid w:val="00750B5A"/>
    <w:rsid w:val="00751984"/>
    <w:rsid w:val="00754E3C"/>
    <w:rsid w:val="007552F5"/>
    <w:rsid w:val="0075553D"/>
    <w:rsid w:val="007556EA"/>
    <w:rsid w:val="007557C5"/>
    <w:rsid w:val="00760976"/>
    <w:rsid w:val="00760ADF"/>
    <w:rsid w:val="00761497"/>
    <w:rsid w:val="007633B0"/>
    <w:rsid w:val="00763DEC"/>
    <w:rsid w:val="00763E90"/>
    <w:rsid w:val="007652E4"/>
    <w:rsid w:val="007652F2"/>
    <w:rsid w:val="007655BD"/>
    <w:rsid w:val="00765832"/>
    <w:rsid w:val="00766ECA"/>
    <w:rsid w:val="00767A3B"/>
    <w:rsid w:val="00770695"/>
    <w:rsid w:val="00770871"/>
    <w:rsid w:val="00771096"/>
    <w:rsid w:val="00771142"/>
    <w:rsid w:val="007715D2"/>
    <w:rsid w:val="007720C7"/>
    <w:rsid w:val="00772501"/>
    <w:rsid w:val="007729A2"/>
    <w:rsid w:val="00772ABF"/>
    <w:rsid w:val="00772C70"/>
    <w:rsid w:val="00774BBA"/>
    <w:rsid w:val="007757C7"/>
    <w:rsid w:val="00780589"/>
    <w:rsid w:val="00781CAC"/>
    <w:rsid w:val="00781DC6"/>
    <w:rsid w:val="0078203C"/>
    <w:rsid w:val="00783EE8"/>
    <w:rsid w:val="00783F81"/>
    <w:rsid w:val="00784047"/>
    <w:rsid w:val="00784226"/>
    <w:rsid w:val="007847FA"/>
    <w:rsid w:val="007848B9"/>
    <w:rsid w:val="007864E5"/>
    <w:rsid w:val="00786A58"/>
    <w:rsid w:val="00786AF3"/>
    <w:rsid w:val="00787ED8"/>
    <w:rsid w:val="0079033D"/>
    <w:rsid w:val="00790910"/>
    <w:rsid w:val="00791DE1"/>
    <w:rsid w:val="00792CEE"/>
    <w:rsid w:val="007936E5"/>
    <w:rsid w:val="007944F8"/>
    <w:rsid w:val="007954BD"/>
    <w:rsid w:val="0079584C"/>
    <w:rsid w:val="00796ACC"/>
    <w:rsid w:val="00796E65"/>
    <w:rsid w:val="00797675"/>
    <w:rsid w:val="00797CE8"/>
    <w:rsid w:val="007A0DDF"/>
    <w:rsid w:val="007A1949"/>
    <w:rsid w:val="007A1A74"/>
    <w:rsid w:val="007A3A8C"/>
    <w:rsid w:val="007A3D1B"/>
    <w:rsid w:val="007A4150"/>
    <w:rsid w:val="007A4276"/>
    <w:rsid w:val="007A4BE0"/>
    <w:rsid w:val="007A4F21"/>
    <w:rsid w:val="007A5495"/>
    <w:rsid w:val="007A55A2"/>
    <w:rsid w:val="007A6203"/>
    <w:rsid w:val="007A62A1"/>
    <w:rsid w:val="007A69C8"/>
    <w:rsid w:val="007A6DBD"/>
    <w:rsid w:val="007B0E0C"/>
    <w:rsid w:val="007B0EF4"/>
    <w:rsid w:val="007B2896"/>
    <w:rsid w:val="007B2F82"/>
    <w:rsid w:val="007B51A5"/>
    <w:rsid w:val="007B555D"/>
    <w:rsid w:val="007B55E7"/>
    <w:rsid w:val="007B7F41"/>
    <w:rsid w:val="007C1A79"/>
    <w:rsid w:val="007C2653"/>
    <w:rsid w:val="007C26E5"/>
    <w:rsid w:val="007C35A6"/>
    <w:rsid w:val="007C4068"/>
    <w:rsid w:val="007C5141"/>
    <w:rsid w:val="007C6E93"/>
    <w:rsid w:val="007C720A"/>
    <w:rsid w:val="007D05F8"/>
    <w:rsid w:val="007D1092"/>
    <w:rsid w:val="007D23A7"/>
    <w:rsid w:val="007D2621"/>
    <w:rsid w:val="007D2AD1"/>
    <w:rsid w:val="007D4ABF"/>
    <w:rsid w:val="007D6B9B"/>
    <w:rsid w:val="007D6F92"/>
    <w:rsid w:val="007E2F5A"/>
    <w:rsid w:val="007E3076"/>
    <w:rsid w:val="007E324A"/>
    <w:rsid w:val="007E3562"/>
    <w:rsid w:val="007E39C0"/>
    <w:rsid w:val="007E49AC"/>
    <w:rsid w:val="007E5A5D"/>
    <w:rsid w:val="007E60F7"/>
    <w:rsid w:val="007F08CA"/>
    <w:rsid w:val="007F3B6E"/>
    <w:rsid w:val="007F4147"/>
    <w:rsid w:val="007F4FD8"/>
    <w:rsid w:val="007F6577"/>
    <w:rsid w:val="007F6772"/>
    <w:rsid w:val="008038B2"/>
    <w:rsid w:val="00803AEF"/>
    <w:rsid w:val="00804F90"/>
    <w:rsid w:val="0080507D"/>
    <w:rsid w:val="008058E8"/>
    <w:rsid w:val="00806434"/>
    <w:rsid w:val="00810C04"/>
    <w:rsid w:val="00811DE2"/>
    <w:rsid w:val="0081222C"/>
    <w:rsid w:val="00812C63"/>
    <w:rsid w:val="00813288"/>
    <w:rsid w:val="00813729"/>
    <w:rsid w:val="00814A60"/>
    <w:rsid w:val="00814D39"/>
    <w:rsid w:val="00817B8E"/>
    <w:rsid w:val="008213AB"/>
    <w:rsid w:val="008218E4"/>
    <w:rsid w:val="00821A29"/>
    <w:rsid w:val="00822AD3"/>
    <w:rsid w:val="00823233"/>
    <w:rsid w:val="00824132"/>
    <w:rsid w:val="00824426"/>
    <w:rsid w:val="00824DD0"/>
    <w:rsid w:val="00825C13"/>
    <w:rsid w:val="0082750C"/>
    <w:rsid w:val="0082772D"/>
    <w:rsid w:val="0082775C"/>
    <w:rsid w:val="00830E52"/>
    <w:rsid w:val="008324E3"/>
    <w:rsid w:val="008332BD"/>
    <w:rsid w:val="00833D1A"/>
    <w:rsid w:val="00834DD9"/>
    <w:rsid w:val="00836181"/>
    <w:rsid w:val="00836E8D"/>
    <w:rsid w:val="00837A76"/>
    <w:rsid w:val="00837B9A"/>
    <w:rsid w:val="00841271"/>
    <w:rsid w:val="008427F8"/>
    <w:rsid w:val="00842EEF"/>
    <w:rsid w:val="00843FB3"/>
    <w:rsid w:val="00845946"/>
    <w:rsid w:val="00846037"/>
    <w:rsid w:val="0084611D"/>
    <w:rsid w:val="008466C6"/>
    <w:rsid w:val="00846FBB"/>
    <w:rsid w:val="0084745F"/>
    <w:rsid w:val="008476A0"/>
    <w:rsid w:val="00847B9F"/>
    <w:rsid w:val="00850023"/>
    <w:rsid w:val="00852EB5"/>
    <w:rsid w:val="00852F38"/>
    <w:rsid w:val="008530EE"/>
    <w:rsid w:val="008541CD"/>
    <w:rsid w:val="00854226"/>
    <w:rsid w:val="0085488A"/>
    <w:rsid w:val="00854C36"/>
    <w:rsid w:val="008553AA"/>
    <w:rsid w:val="008555BF"/>
    <w:rsid w:val="00855BBD"/>
    <w:rsid w:val="00855BDF"/>
    <w:rsid w:val="00856C34"/>
    <w:rsid w:val="00857106"/>
    <w:rsid w:val="0086057B"/>
    <w:rsid w:val="00861069"/>
    <w:rsid w:val="00861D37"/>
    <w:rsid w:val="0086381F"/>
    <w:rsid w:val="00864BCC"/>
    <w:rsid w:val="00865DC1"/>
    <w:rsid w:val="00865EA5"/>
    <w:rsid w:val="00866B8D"/>
    <w:rsid w:val="00866E18"/>
    <w:rsid w:val="008671DC"/>
    <w:rsid w:val="00867F3D"/>
    <w:rsid w:val="00870089"/>
    <w:rsid w:val="008702A9"/>
    <w:rsid w:val="00870B09"/>
    <w:rsid w:val="008742BB"/>
    <w:rsid w:val="008747B6"/>
    <w:rsid w:val="008750F9"/>
    <w:rsid w:val="008750FD"/>
    <w:rsid w:val="00875341"/>
    <w:rsid w:val="0087536F"/>
    <w:rsid w:val="00875C07"/>
    <w:rsid w:val="00876064"/>
    <w:rsid w:val="0087631F"/>
    <w:rsid w:val="00876A2C"/>
    <w:rsid w:val="00876F7D"/>
    <w:rsid w:val="00877E09"/>
    <w:rsid w:val="00880519"/>
    <w:rsid w:val="00880679"/>
    <w:rsid w:val="00880A40"/>
    <w:rsid w:val="00880EBB"/>
    <w:rsid w:val="00881E23"/>
    <w:rsid w:val="008869F4"/>
    <w:rsid w:val="00886B51"/>
    <w:rsid w:val="00887B5B"/>
    <w:rsid w:val="00887F26"/>
    <w:rsid w:val="00890268"/>
    <w:rsid w:val="00891623"/>
    <w:rsid w:val="00892207"/>
    <w:rsid w:val="008935F0"/>
    <w:rsid w:val="00893B2D"/>
    <w:rsid w:val="00893E38"/>
    <w:rsid w:val="00893EEF"/>
    <w:rsid w:val="008947EA"/>
    <w:rsid w:val="008952A7"/>
    <w:rsid w:val="00895684"/>
    <w:rsid w:val="00895D89"/>
    <w:rsid w:val="008968DF"/>
    <w:rsid w:val="008971F7"/>
    <w:rsid w:val="008978D1"/>
    <w:rsid w:val="00897AA5"/>
    <w:rsid w:val="008A0363"/>
    <w:rsid w:val="008A0FF7"/>
    <w:rsid w:val="008A190B"/>
    <w:rsid w:val="008A1A1E"/>
    <w:rsid w:val="008A1FCE"/>
    <w:rsid w:val="008A23B1"/>
    <w:rsid w:val="008A2678"/>
    <w:rsid w:val="008A269A"/>
    <w:rsid w:val="008A3C58"/>
    <w:rsid w:val="008A4880"/>
    <w:rsid w:val="008A52B1"/>
    <w:rsid w:val="008A574E"/>
    <w:rsid w:val="008B0559"/>
    <w:rsid w:val="008B0B09"/>
    <w:rsid w:val="008B1357"/>
    <w:rsid w:val="008B1683"/>
    <w:rsid w:val="008B206E"/>
    <w:rsid w:val="008B23B9"/>
    <w:rsid w:val="008B27F9"/>
    <w:rsid w:val="008B2F81"/>
    <w:rsid w:val="008B3A2E"/>
    <w:rsid w:val="008B406B"/>
    <w:rsid w:val="008B4336"/>
    <w:rsid w:val="008B4EAC"/>
    <w:rsid w:val="008B4EC9"/>
    <w:rsid w:val="008B5B32"/>
    <w:rsid w:val="008B6DCC"/>
    <w:rsid w:val="008B774E"/>
    <w:rsid w:val="008B7E9C"/>
    <w:rsid w:val="008B7F83"/>
    <w:rsid w:val="008C0AB6"/>
    <w:rsid w:val="008C10F1"/>
    <w:rsid w:val="008C336C"/>
    <w:rsid w:val="008C3FF3"/>
    <w:rsid w:val="008C4681"/>
    <w:rsid w:val="008C4A39"/>
    <w:rsid w:val="008C686C"/>
    <w:rsid w:val="008D2285"/>
    <w:rsid w:val="008D24B3"/>
    <w:rsid w:val="008D2632"/>
    <w:rsid w:val="008D5B6A"/>
    <w:rsid w:val="008D5FE5"/>
    <w:rsid w:val="008D604E"/>
    <w:rsid w:val="008D6A33"/>
    <w:rsid w:val="008D6B70"/>
    <w:rsid w:val="008D78FF"/>
    <w:rsid w:val="008E0673"/>
    <w:rsid w:val="008E1B98"/>
    <w:rsid w:val="008E1D06"/>
    <w:rsid w:val="008E2894"/>
    <w:rsid w:val="008E2D24"/>
    <w:rsid w:val="008E43B3"/>
    <w:rsid w:val="008E5EEC"/>
    <w:rsid w:val="008F0AF2"/>
    <w:rsid w:val="008F25B5"/>
    <w:rsid w:val="008F37A3"/>
    <w:rsid w:val="008F3EE6"/>
    <w:rsid w:val="008F5472"/>
    <w:rsid w:val="008F575D"/>
    <w:rsid w:val="008F5BD6"/>
    <w:rsid w:val="00900527"/>
    <w:rsid w:val="009005BF"/>
    <w:rsid w:val="00900EB5"/>
    <w:rsid w:val="00900ED1"/>
    <w:rsid w:val="00900EFE"/>
    <w:rsid w:val="00901C54"/>
    <w:rsid w:val="0090210D"/>
    <w:rsid w:val="00905949"/>
    <w:rsid w:val="00905EDF"/>
    <w:rsid w:val="0090781C"/>
    <w:rsid w:val="00910143"/>
    <w:rsid w:val="0091082D"/>
    <w:rsid w:val="00910920"/>
    <w:rsid w:val="00911B47"/>
    <w:rsid w:val="009138E0"/>
    <w:rsid w:val="00913A99"/>
    <w:rsid w:val="00913EDA"/>
    <w:rsid w:val="009148DB"/>
    <w:rsid w:val="00914DA7"/>
    <w:rsid w:val="00915170"/>
    <w:rsid w:val="00915EF3"/>
    <w:rsid w:val="00915F63"/>
    <w:rsid w:val="00916213"/>
    <w:rsid w:val="009177E9"/>
    <w:rsid w:val="00920EDE"/>
    <w:rsid w:val="00922A53"/>
    <w:rsid w:val="009250E4"/>
    <w:rsid w:val="0092606A"/>
    <w:rsid w:val="009300C2"/>
    <w:rsid w:val="00930A2F"/>
    <w:rsid w:val="00930D8E"/>
    <w:rsid w:val="00931A62"/>
    <w:rsid w:val="009331CF"/>
    <w:rsid w:val="009334AC"/>
    <w:rsid w:val="00933DA9"/>
    <w:rsid w:val="00934E48"/>
    <w:rsid w:val="00934ED3"/>
    <w:rsid w:val="009354DF"/>
    <w:rsid w:val="009360BE"/>
    <w:rsid w:val="00937F26"/>
    <w:rsid w:val="00940C09"/>
    <w:rsid w:val="00942010"/>
    <w:rsid w:val="00942038"/>
    <w:rsid w:val="0094241C"/>
    <w:rsid w:val="00942B72"/>
    <w:rsid w:val="0094320A"/>
    <w:rsid w:val="00943C20"/>
    <w:rsid w:val="00944253"/>
    <w:rsid w:val="00944890"/>
    <w:rsid w:val="00944B16"/>
    <w:rsid w:val="009459CF"/>
    <w:rsid w:val="0095015B"/>
    <w:rsid w:val="0095078C"/>
    <w:rsid w:val="0095170D"/>
    <w:rsid w:val="009527F2"/>
    <w:rsid w:val="00952D74"/>
    <w:rsid w:val="00952DA4"/>
    <w:rsid w:val="0095307F"/>
    <w:rsid w:val="009536AF"/>
    <w:rsid w:val="00955526"/>
    <w:rsid w:val="00956B14"/>
    <w:rsid w:val="00956E6B"/>
    <w:rsid w:val="0096130F"/>
    <w:rsid w:val="009613A6"/>
    <w:rsid w:val="009626E3"/>
    <w:rsid w:val="00962AB1"/>
    <w:rsid w:val="0096543A"/>
    <w:rsid w:val="00965B61"/>
    <w:rsid w:val="00966313"/>
    <w:rsid w:val="00966C09"/>
    <w:rsid w:val="00970166"/>
    <w:rsid w:val="0097065A"/>
    <w:rsid w:val="00973AB7"/>
    <w:rsid w:val="00973D86"/>
    <w:rsid w:val="0097418C"/>
    <w:rsid w:val="00974319"/>
    <w:rsid w:val="00974EB0"/>
    <w:rsid w:val="00975D2E"/>
    <w:rsid w:val="009804C2"/>
    <w:rsid w:val="0098130E"/>
    <w:rsid w:val="009813A5"/>
    <w:rsid w:val="00981468"/>
    <w:rsid w:val="00981EB9"/>
    <w:rsid w:val="00983774"/>
    <w:rsid w:val="00983C1E"/>
    <w:rsid w:val="00984441"/>
    <w:rsid w:val="00984495"/>
    <w:rsid w:val="009844CF"/>
    <w:rsid w:val="00984DD8"/>
    <w:rsid w:val="00985EFE"/>
    <w:rsid w:val="009871E9"/>
    <w:rsid w:val="009903F3"/>
    <w:rsid w:val="0099085F"/>
    <w:rsid w:val="009913AA"/>
    <w:rsid w:val="009925DB"/>
    <w:rsid w:val="00992810"/>
    <w:rsid w:val="00992BF7"/>
    <w:rsid w:val="00993C84"/>
    <w:rsid w:val="00993CC9"/>
    <w:rsid w:val="00997CAB"/>
    <w:rsid w:val="009A0BF0"/>
    <w:rsid w:val="009A0CB7"/>
    <w:rsid w:val="009A1BB5"/>
    <w:rsid w:val="009A31F3"/>
    <w:rsid w:val="009A4EBE"/>
    <w:rsid w:val="009A5E07"/>
    <w:rsid w:val="009A6848"/>
    <w:rsid w:val="009A6F74"/>
    <w:rsid w:val="009A7A18"/>
    <w:rsid w:val="009B144C"/>
    <w:rsid w:val="009B319C"/>
    <w:rsid w:val="009B32E3"/>
    <w:rsid w:val="009B376D"/>
    <w:rsid w:val="009B391D"/>
    <w:rsid w:val="009B3DAF"/>
    <w:rsid w:val="009B44EB"/>
    <w:rsid w:val="009B57EB"/>
    <w:rsid w:val="009B6375"/>
    <w:rsid w:val="009B739C"/>
    <w:rsid w:val="009B7463"/>
    <w:rsid w:val="009B7C98"/>
    <w:rsid w:val="009C0D61"/>
    <w:rsid w:val="009C1608"/>
    <w:rsid w:val="009C455B"/>
    <w:rsid w:val="009C554D"/>
    <w:rsid w:val="009C753A"/>
    <w:rsid w:val="009C79F1"/>
    <w:rsid w:val="009D04DB"/>
    <w:rsid w:val="009D2106"/>
    <w:rsid w:val="009D2486"/>
    <w:rsid w:val="009D3628"/>
    <w:rsid w:val="009D3734"/>
    <w:rsid w:val="009D4640"/>
    <w:rsid w:val="009D4C2A"/>
    <w:rsid w:val="009D4FF4"/>
    <w:rsid w:val="009D5412"/>
    <w:rsid w:val="009D6098"/>
    <w:rsid w:val="009D6914"/>
    <w:rsid w:val="009D71AB"/>
    <w:rsid w:val="009E0031"/>
    <w:rsid w:val="009E09FE"/>
    <w:rsid w:val="009E167B"/>
    <w:rsid w:val="009E1C22"/>
    <w:rsid w:val="009E2481"/>
    <w:rsid w:val="009E343D"/>
    <w:rsid w:val="009E3DCE"/>
    <w:rsid w:val="009E4289"/>
    <w:rsid w:val="009E4F1D"/>
    <w:rsid w:val="009E6323"/>
    <w:rsid w:val="009E758B"/>
    <w:rsid w:val="009E78F9"/>
    <w:rsid w:val="009E7CD9"/>
    <w:rsid w:val="009F0240"/>
    <w:rsid w:val="009F0775"/>
    <w:rsid w:val="009F0A8E"/>
    <w:rsid w:val="009F1545"/>
    <w:rsid w:val="009F1CB3"/>
    <w:rsid w:val="009F32A7"/>
    <w:rsid w:val="009F3631"/>
    <w:rsid w:val="009F3790"/>
    <w:rsid w:val="009F3A65"/>
    <w:rsid w:val="009F3D20"/>
    <w:rsid w:val="009F3FC1"/>
    <w:rsid w:val="009F4E5D"/>
    <w:rsid w:val="009F73A6"/>
    <w:rsid w:val="009F7B6A"/>
    <w:rsid w:val="009F7C78"/>
    <w:rsid w:val="009F7CEB"/>
    <w:rsid w:val="00A00731"/>
    <w:rsid w:val="00A008EA"/>
    <w:rsid w:val="00A00DDC"/>
    <w:rsid w:val="00A01716"/>
    <w:rsid w:val="00A01821"/>
    <w:rsid w:val="00A03CFD"/>
    <w:rsid w:val="00A0403D"/>
    <w:rsid w:val="00A04087"/>
    <w:rsid w:val="00A040FD"/>
    <w:rsid w:val="00A0426A"/>
    <w:rsid w:val="00A04C0D"/>
    <w:rsid w:val="00A04F09"/>
    <w:rsid w:val="00A05E73"/>
    <w:rsid w:val="00A06C6C"/>
    <w:rsid w:val="00A07A7F"/>
    <w:rsid w:val="00A10A0B"/>
    <w:rsid w:val="00A12983"/>
    <w:rsid w:val="00A1438F"/>
    <w:rsid w:val="00A14F5E"/>
    <w:rsid w:val="00A1671B"/>
    <w:rsid w:val="00A16808"/>
    <w:rsid w:val="00A16AF5"/>
    <w:rsid w:val="00A16C68"/>
    <w:rsid w:val="00A2050A"/>
    <w:rsid w:val="00A20B1A"/>
    <w:rsid w:val="00A224BF"/>
    <w:rsid w:val="00A22A39"/>
    <w:rsid w:val="00A25530"/>
    <w:rsid w:val="00A260F9"/>
    <w:rsid w:val="00A26E3D"/>
    <w:rsid w:val="00A3159D"/>
    <w:rsid w:val="00A316DB"/>
    <w:rsid w:val="00A31B29"/>
    <w:rsid w:val="00A31CF7"/>
    <w:rsid w:val="00A3272E"/>
    <w:rsid w:val="00A32806"/>
    <w:rsid w:val="00A367E6"/>
    <w:rsid w:val="00A374DF"/>
    <w:rsid w:val="00A37E10"/>
    <w:rsid w:val="00A410DE"/>
    <w:rsid w:val="00A41E5D"/>
    <w:rsid w:val="00A425B9"/>
    <w:rsid w:val="00A42EC4"/>
    <w:rsid w:val="00A43B6B"/>
    <w:rsid w:val="00A44531"/>
    <w:rsid w:val="00A449F9"/>
    <w:rsid w:val="00A47E08"/>
    <w:rsid w:val="00A50016"/>
    <w:rsid w:val="00A51259"/>
    <w:rsid w:val="00A52C88"/>
    <w:rsid w:val="00A535FB"/>
    <w:rsid w:val="00A53E5E"/>
    <w:rsid w:val="00A54C84"/>
    <w:rsid w:val="00A56F83"/>
    <w:rsid w:val="00A6200D"/>
    <w:rsid w:val="00A6374D"/>
    <w:rsid w:val="00A637BD"/>
    <w:rsid w:val="00A63E56"/>
    <w:rsid w:val="00A63FAC"/>
    <w:rsid w:val="00A666AC"/>
    <w:rsid w:val="00A746EB"/>
    <w:rsid w:val="00A74DCC"/>
    <w:rsid w:val="00A74EE0"/>
    <w:rsid w:val="00A75C72"/>
    <w:rsid w:val="00A761C2"/>
    <w:rsid w:val="00A81F82"/>
    <w:rsid w:val="00A82126"/>
    <w:rsid w:val="00A826F5"/>
    <w:rsid w:val="00A8392E"/>
    <w:rsid w:val="00A83BB5"/>
    <w:rsid w:val="00A841B0"/>
    <w:rsid w:val="00A8507C"/>
    <w:rsid w:val="00A8528A"/>
    <w:rsid w:val="00A85A2B"/>
    <w:rsid w:val="00A869AE"/>
    <w:rsid w:val="00A874B6"/>
    <w:rsid w:val="00A9000C"/>
    <w:rsid w:val="00A903EE"/>
    <w:rsid w:val="00A928B4"/>
    <w:rsid w:val="00A9319D"/>
    <w:rsid w:val="00A93543"/>
    <w:rsid w:val="00A93942"/>
    <w:rsid w:val="00A94128"/>
    <w:rsid w:val="00A94454"/>
    <w:rsid w:val="00A94EFC"/>
    <w:rsid w:val="00A9565D"/>
    <w:rsid w:val="00A95C2E"/>
    <w:rsid w:val="00A95E60"/>
    <w:rsid w:val="00A97B8C"/>
    <w:rsid w:val="00AA1258"/>
    <w:rsid w:val="00AA1681"/>
    <w:rsid w:val="00AA296A"/>
    <w:rsid w:val="00AA2FA1"/>
    <w:rsid w:val="00AA4085"/>
    <w:rsid w:val="00AA511D"/>
    <w:rsid w:val="00AA51C1"/>
    <w:rsid w:val="00AA546F"/>
    <w:rsid w:val="00AA612E"/>
    <w:rsid w:val="00AA6156"/>
    <w:rsid w:val="00AA6237"/>
    <w:rsid w:val="00AA73AC"/>
    <w:rsid w:val="00AA7B77"/>
    <w:rsid w:val="00AB16B9"/>
    <w:rsid w:val="00AB187A"/>
    <w:rsid w:val="00AB244A"/>
    <w:rsid w:val="00AB460B"/>
    <w:rsid w:val="00AB514A"/>
    <w:rsid w:val="00AB5363"/>
    <w:rsid w:val="00AB5F80"/>
    <w:rsid w:val="00AB7D57"/>
    <w:rsid w:val="00AC04ED"/>
    <w:rsid w:val="00AC09E3"/>
    <w:rsid w:val="00AC2475"/>
    <w:rsid w:val="00AC416A"/>
    <w:rsid w:val="00AC50E3"/>
    <w:rsid w:val="00AC61C2"/>
    <w:rsid w:val="00AD064C"/>
    <w:rsid w:val="00AD1300"/>
    <w:rsid w:val="00AD1878"/>
    <w:rsid w:val="00AD230F"/>
    <w:rsid w:val="00AD2A6A"/>
    <w:rsid w:val="00AD31C3"/>
    <w:rsid w:val="00AD3FEA"/>
    <w:rsid w:val="00AD4D1B"/>
    <w:rsid w:val="00AD51C9"/>
    <w:rsid w:val="00AD545B"/>
    <w:rsid w:val="00AD5D72"/>
    <w:rsid w:val="00AD6DDA"/>
    <w:rsid w:val="00AE0592"/>
    <w:rsid w:val="00AE07E5"/>
    <w:rsid w:val="00AE0D7F"/>
    <w:rsid w:val="00AE24B9"/>
    <w:rsid w:val="00AE2806"/>
    <w:rsid w:val="00AE2A68"/>
    <w:rsid w:val="00AE2AD5"/>
    <w:rsid w:val="00AE4ADE"/>
    <w:rsid w:val="00AE513E"/>
    <w:rsid w:val="00AE53E5"/>
    <w:rsid w:val="00AE6A58"/>
    <w:rsid w:val="00AE72EB"/>
    <w:rsid w:val="00AE74F2"/>
    <w:rsid w:val="00AE7927"/>
    <w:rsid w:val="00AE7AA8"/>
    <w:rsid w:val="00AE7BDF"/>
    <w:rsid w:val="00AE7EAF"/>
    <w:rsid w:val="00AF0355"/>
    <w:rsid w:val="00AF0DF9"/>
    <w:rsid w:val="00AF1C0D"/>
    <w:rsid w:val="00AF22B0"/>
    <w:rsid w:val="00AF33A3"/>
    <w:rsid w:val="00AF4BE4"/>
    <w:rsid w:val="00AF54A0"/>
    <w:rsid w:val="00AF6345"/>
    <w:rsid w:val="00B00F93"/>
    <w:rsid w:val="00B029CB"/>
    <w:rsid w:val="00B02AC2"/>
    <w:rsid w:val="00B02BDA"/>
    <w:rsid w:val="00B03315"/>
    <w:rsid w:val="00B04078"/>
    <w:rsid w:val="00B0531B"/>
    <w:rsid w:val="00B05A6C"/>
    <w:rsid w:val="00B10AE1"/>
    <w:rsid w:val="00B119A7"/>
    <w:rsid w:val="00B11A8E"/>
    <w:rsid w:val="00B11AD7"/>
    <w:rsid w:val="00B11BB7"/>
    <w:rsid w:val="00B11EA0"/>
    <w:rsid w:val="00B120A2"/>
    <w:rsid w:val="00B132F8"/>
    <w:rsid w:val="00B13665"/>
    <w:rsid w:val="00B138A5"/>
    <w:rsid w:val="00B13D38"/>
    <w:rsid w:val="00B16D59"/>
    <w:rsid w:val="00B17024"/>
    <w:rsid w:val="00B1779F"/>
    <w:rsid w:val="00B178C7"/>
    <w:rsid w:val="00B17FDB"/>
    <w:rsid w:val="00B218A9"/>
    <w:rsid w:val="00B218C6"/>
    <w:rsid w:val="00B21BB1"/>
    <w:rsid w:val="00B242DE"/>
    <w:rsid w:val="00B2456C"/>
    <w:rsid w:val="00B24614"/>
    <w:rsid w:val="00B255FD"/>
    <w:rsid w:val="00B256C5"/>
    <w:rsid w:val="00B25D68"/>
    <w:rsid w:val="00B269BB"/>
    <w:rsid w:val="00B2777B"/>
    <w:rsid w:val="00B27848"/>
    <w:rsid w:val="00B27CFC"/>
    <w:rsid w:val="00B338CE"/>
    <w:rsid w:val="00B33DF4"/>
    <w:rsid w:val="00B34288"/>
    <w:rsid w:val="00B361AA"/>
    <w:rsid w:val="00B379E9"/>
    <w:rsid w:val="00B37EED"/>
    <w:rsid w:val="00B417CE"/>
    <w:rsid w:val="00B4198F"/>
    <w:rsid w:val="00B424AF"/>
    <w:rsid w:val="00B45A4B"/>
    <w:rsid w:val="00B45DB5"/>
    <w:rsid w:val="00B467F0"/>
    <w:rsid w:val="00B46E7B"/>
    <w:rsid w:val="00B471A2"/>
    <w:rsid w:val="00B5050E"/>
    <w:rsid w:val="00B506CF"/>
    <w:rsid w:val="00B51749"/>
    <w:rsid w:val="00B517CC"/>
    <w:rsid w:val="00B51F16"/>
    <w:rsid w:val="00B52385"/>
    <w:rsid w:val="00B5298B"/>
    <w:rsid w:val="00B534E0"/>
    <w:rsid w:val="00B539FB"/>
    <w:rsid w:val="00B542E9"/>
    <w:rsid w:val="00B54820"/>
    <w:rsid w:val="00B54857"/>
    <w:rsid w:val="00B55B2E"/>
    <w:rsid w:val="00B56307"/>
    <w:rsid w:val="00B57890"/>
    <w:rsid w:val="00B60920"/>
    <w:rsid w:val="00B62C89"/>
    <w:rsid w:val="00B62FF2"/>
    <w:rsid w:val="00B6332F"/>
    <w:rsid w:val="00B6367E"/>
    <w:rsid w:val="00B63B06"/>
    <w:rsid w:val="00B6520E"/>
    <w:rsid w:val="00B6594E"/>
    <w:rsid w:val="00B66C37"/>
    <w:rsid w:val="00B67085"/>
    <w:rsid w:val="00B67119"/>
    <w:rsid w:val="00B7010D"/>
    <w:rsid w:val="00B7020A"/>
    <w:rsid w:val="00B70A53"/>
    <w:rsid w:val="00B70B26"/>
    <w:rsid w:val="00B71675"/>
    <w:rsid w:val="00B71B62"/>
    <w:rsid w:val="00B724D4"/>
    <w:rsid w:val="00B73A38"/>
    <w:rsid w:val="00B75BC0"/>
    <w:rsid w:val="00B76615"/>
    <w:rsid w:val="00B77516"/>
    <w:rsid w:val="00B7796D"/>
    <w:rsid w:val="00B80B83"/>
    <w:rsid w:val="00B81A5A"/>
    <w:rsid w:val="00B824F2"/>
    <w:rsid w:val="00B85EC3"/>
    <w:rsid w:val="00B863A0"/>
    <w:rsid w:val="00B87EE1"/>
    <w:rsid w:val="00B915D3"/>
    <w:rsid w:val="00B91B83"/>
    <w:rsid w:val="00B91D02"/>
    <w:rsid w:val="00B92A13"/>
    <w:rsid w:val="00B93852"/>
    <w:rsid w:val="00B94C36"/>
    <w:rsid w:val="00B94F33"/>
    <w:rsid w:val="00B957A1"/>
    <w:rsid w:val="00B96137"/>
    <w:rsid w:val="00BA009C"/>
    <w:rsid w:val="00BA01AB"/>
    <w:rsid w:val="00BA0D9A"/>
    <w:rsid w:val="00BA23AC"/>
    <w:rsid w:val="00BA2521"/>
    <w:rsid w:val="00BA25A7"/>
    <w:rsid w:val="00BA28FC"/>
    <w:rsid w:val="00BA3306"/>
    <w:rsid w:val="00BA409D"/>
    <w:rsid w:val="00BA41A6"/>
    <w:rsid w:val="00BA45B9"/>
    <w:rsid w:val="00BA5A6E"/>
    <w:rsid w:val="00BA7062"/>
    <w:rsid w:val="00BA73EE"/>
    <w:rsid w:val="00BA7443"/>
    <w:rsid w:val="00BA76C2"/>
    <w:rsid w:val="00BB051D"/>
    <w:rsid w:val="00BB3DC7"/>
    <w:rsid w:val="00BB59A0"/>
    <w:rsid w:val="00BB77F2"/>
    <w:rsid w:val="00BC28E7"/>
    <w:rsid w:val="00BC2B48"/>
    <w:rsid w:val="00BC5272"/>
    <w:rsid w:val="00BC5686"/>
    <w:rsid w:val="00BC5BE1"/>
    <w:rsid w:val="00BC7CCB"/>
    <w:rsid w:val="00BC7FCB"/>
    <w:rsid w:val="00BD0196"/>
    <w:rsid w:val="00BD03EC"/>
    <w:rsid w:val="00BD2C6B"/>
    <w:rsid w:val="00BD3040"/>
    <w:rsid w:val="00BD362D"/>
    <w:rsid w:val="00BD51E8"/>
    <w:rsid w:val="00BD7F46"/>
    <w:rsid w:val="00BE179E"/>
    <w:rsid w:val="00BE2099"/>
    <w:rsid w:val="00BE3CAA"/>
    <w:rsid w:val="00BE3E5F"/>
    <w:rsid w:val="00BE583A"/>
    <w:rsid w:val="00BE5919"/>
    <w:rsid w:val="00BE6848"/>
    <w:rsid w:val="00BE6960"/>
    <w:rsid w:val="00BE6DEE"/>
    <w:rsid w:val="00BF3EC3"/>
    <w:rsid w:val="00BF4A60"/>
    <w:rsid w:val="00BF4D71"/>
    <w:rsid w:val="00C00331"/>
    <w:rsid w:val="00C01BE1"/>
    <w:rsid w:val="00C01DD7"/>
    <w:rsid w:val="00C03C8A"/>
    <w:rsid w:val="00C03E9C"/>
    <w:rsid w:val="00C04B03"/>
    <w:rsid w:val="00C06418"/>
    <w:rsid w:val="00C067D8"/>
    <w:rsid w:val="00C07417"/>
    <w:rsid w:val="00C078AA"/>
    <w:rsid w:val="00C07BBA"/>
    <w:rsid w:val="00C07F6D"/>
    <w:rsid w:val="00C104C2"/>
    <w:rsid w:val="00C11033"/>
    <w:rsid w:val="00C110A2"/>
    <w:rsid w:val="00C1114E"/>
    <w:rsid w:val="00C12B1F"/>
    <w:rsid w:val="00C133B6"/>
    <w:rsid w:val="00C13DBF"/>
    <w:rsid w:val="00C141D7"/>
    <w:rsid w:val="00C146FE"/>
    <w:rsid w:val="00C15420"/>
    <w:rsid w:val="00C17134"/>
    <w:rsid w:val="00C17A08"/>
    <w:rsid w:val="00C200B9"/>
    <w:rsid w:val="00C210DB"/>
    <w:rsid w:val="00C21BBC"/>
    <w:rsid w:val="00C21C2F"/>
    <w:rsid w:val="00C21EA9"/>
    <w:rsid w:val="00C23FEA"/>
    <w:rsid w:val="00C24822"/>
    <w:rsid w:val="00C24FC7"/>
    <w:rsid w:val="00C2514B"/>
    <w:rsid w:val="00C26123"/>
    <w:rsid w:val="00C30523"/>
    <w:rsid w:val="00C3147C"/>
    <w:rsid w:val="00C317F3"/>
    <w:rsid w:val="00C31F20"/>
    <w:rsid w:val="00C32363"/>
    <w:rsid w:val="00C32DAC"/>
    <w:rsid w:val="00C33105"/>
    <w:rsid w:val="00C3324D"/>
    <w:rsid w:val="00C33FCF"/>
    <w:rsid w:val="00C35607"/>
    <w:rsid w:val="00C40EB1"/>
    <w:rsid w:val="00C41488"/>
    <w:rsid w:val="00C432E9"/>
    <w:rsid w:val="00C445DC"/>
    <w:rsid w:val="00C44667"/>
    <w:rsid w:val="00C44C37"/>
    <w:rsid w:val="00C44C74"/>
    <w:rsid w:val="00C454F6"/>
    <w:rsid w:val="00C46274"/>
    <w:rsid w:val="00C46AE5"/>
    <w:rsid w:val="00C47654"/>
    <w:rsid w:val="00C50F88"/>
    <w:rsid w:val="00C51A18"/>
    <w:rsid w:val="00C52A00"/>
    <w:rsid w:val="00C52ACF"/>
    <w:rsid w:val="00C5302C"/>
    <w:rsid w:val="00C53BC9"/>
    <w:rsid w:val="00C54460"/>
    <w:rsid w:val="00C57143"/>
    <w:rsid w:val="00C57E4D"/>
    <w:rsid w:val="00C61178"/>
    <w:rsid w:val="00C612B5"/>
    <w:rsid w:val="00C61BD9"/>
    <w:rsid w:val="00C626E2"/>
    <w:rsid w:val="00C628C8"/>
    <w:rsid w:val="00C65C1A"/>
    <w:rsid w:val="00C6619B"/>
    <w:rsid w:val="00C72567"/>
    <w:rsid w:val="00C72E59"/>
    <w:rsid w:val="00C7338D"/>
    <w:rsid w:val="00C7519E"/>
    <w:rsid w:val="00C75718"/>
    <w:rsid w:val="00C7632E"/>
    <w:rsid w:val="00C76AE8"/>
    <w:rsid w:val="00C80741"/>
    <w:rsid w:val="00C80EA0"/>
    <w:rsid w:val="00C81814"/>
    <w:rsid w:val="00C81A12"/>
    <w:rsid w:val="00C83969"/>
    <w:rsid w:val="00C846BE"/>
    <w:rsid w:val="00C84B36"/>
    <w:rsid w:val="00C86537"/>
    <w:rsid w:val="00C872CC"/>
    <w:rsid w:val="00C917FF"/>
    <w:rsid w:val="00C92E7F"/>
    <w:rsid w:val="00C94431"/>
    <w:rsid w:val="00C948DE"/>
    <w:rsid w:val="00C94B77"/>
    <w:rsid w:val="00C95191"/>
    <w:rsid w:val="00C963DE"/>
    <w:rsid w:val="00C9708B"/>
    <w:rsid w:val="00C977C0"/>
    <w:rsid w:val="00CA0132"/>
    <w:rsid w:val="00CA0C26"/>
    <w:rsid w:val="00CA0FCE"/>
    <w:rsid w:val="00CA1D94"/>
    <w:rsid w:val="00CA21FB"/>
    <w:rsid w:val="00CA23F7"/>
    <w:rsid w:val="00CA4948"/>
    <w:rsid w:val="00CA4CDD"/>
    <w:rsid w:val="00CA6B6A"/>
    <w:rsid w:val="00CA797A"/>
    <w:rsid w:val="00CB0475"/>
    <w:rsid w:val="00CB0568"/>
    <w:rsid w:val="00CB07A8"/>
    <w:rsid w:val="00CB14A1"/>
    <w:rsid w:val="00CB2F0A"/>
    <w:rsid w:val="00CB31F6"/>
    <w:rsid w:val="00CB3612"/>
    <w:rsid w:val="00CB4147"/>
    <w:rsid w:val="00CB45F3"/>
    <w:rsid w:val="00CB4761"/>
    <w:rsid w:val="00CB4CC8"/>
    <w:rsid w:val="00CB507D"/>
    <w:rsid w:val="00CB5389"/>
    <w:rsid w:val="00CB7DE6"/>
    <w:rsid w:val="00CC10E1"/>
    <w:rsid w:val="00CC2191"/>
    <w:rsid w:val="00CC2DA5"/>
    <w:rsid w:val="00CC3694"/>
    <w:rsid w:val="00CC37C4"/>
    <w:rsid w:val="00CC4C6D"/>
    <w:rsid w:val="00CC6639"/>
    <w:rsid w:val="00CC6EFD"/>
    <w:rsid w:val="00CC7512"/>
    <w:rsid w:val="00CC7EC8"/>
    <w:rsid w:val="00CD087B"/>
    <w:rsid w:val="00CD12E3"/>
    <w:rsid w:val="00CD1386"/>
    <w:rsid w:val="00CD2DA6"/>
    <w:rsid w:val="00CD403E"/>
    <w:rsid w:val="00CD6327"/>
    <w:rsid w:val="00CD634C"/>
    <w:rsid w:val="00CE1132"/>
    <w:rsid w:val="00CE11D9"/>
    <w:rsid w:val="00CE2B78"/>
    <w:rsid w:val="00CE4632"/>
    <w:rsid w:val="00CE57A9"/>
    <w:rsid w:val="00CE6D05"/>
    <w:rsid w:val="00CE70BD"/>
    <w:rsid w:val="00CE74A3"/>
    <w:rsid w:val="00CE7EFB"/>
    <w:rsid w:val="00CE7F11"/>
    <w:rsid w:val="00CF02E3"/>
    <w:rsid w:val="00CF15CE"/>
    <w:rsid w:val="00CF2221"/>
    <w:rsid w:val="00CF26ED"/>
    <w:rsid w:val="00CF2937"/>
    <w:rsid w:val="00CF2B56"/>
    <w:rsid w:val="00CF3253"/>
    <w:rsid w:val="00CF43C7"/>
    <w:rsid w:val="00D01F48"/>
    <w:rsid w:val="00D02B6B"/>
    <w:rsid w:val="00D03484"/>
    <w:rsid w:val="00D034DD"/>
    <w:rsid w:val="00D03D0C"/>
    <w:rsid w:val="00D04952"/>
    <w:rsid w:val="00D05058"/>
    <w:rsid w:val="00D0622B"/>
    <w:rsid w:val="00D06A16"/>
    <w:rsid w:val="00D10582"/>
    <w:rsid w:val="00D1078F"/>
    <w:rsid w:val="00D10821"/>
    <w:rsid w:val="00D10E60"/>
    <w:rsid w:val="00D11A8C"/>
    <w:rsid w:val="00D1252B"/>
    <w:rsid w:val="00D12BDD"/>
    <w:rsid w:val="00D12CD2"/>
    <w:rsid w:val="00D1403E"/>
    <w:rsid w:val="00D14981"/>
    <w:rsid w:val="00D14A06"/>
    <w:rsid w:val="00D14D23"/>
    <w:rsid w:val="00D1511C"/>
    <w:rsid w:val="00D15D8B"/>
    <w:rsid w:val="00D16C10"/>
    <w:rsid w:val="00D17058"/>
    <w:rsid w:val="00D17984"/>
    <w:rsid w:val="00D21761"/>
    <w:rsid w:val="00D23688"/>
    <w:rsid w:val="00D245D6"/>
    <w:rsid w:val="00D24D0F"/>
    <w:rsid w:val="00D24DAD"/>
    <w:rsid w:val="00D24E98"/>
    <w:rsid w:val="00D24F5A"/>
    <w:rsid w:val="00D25916"/>
    <w:rsid w:val="00D26747"/>
    <w:rsid w:val="00D26802"/>
    <w:rsid w:val="00D27AD7"/>
    <w:rsid w:val="00D307D7"/>
    <w:rsid w:val="00D30BAB"/>
    <w:rsid w:val="00D32371"/>
    <w:rsid w:val="00D329E6"/>
    <w:rsid w:val="00D32ECC"/>
    <w:rsid w:val="00D33A32"/>
    <w:rsid w:val="00D35337"/>
    <w:rsid w:val="00D35513"/>
    <w:rsid w:val="00D356D0"/>
    <w:rsid w:val="00D35CA7"/>
    <w:rsid w:val="00D360DC"/>
    <w:rsid w:val="00D37306"/>
    <w:rsid w:val="00D37972"/>
    <w:rsid w:val="00D37AE6"/>
    <w:rsid w:val="00D40896"/>
    <w:rsid w:val="00D41534"/>
    <w:rsid w:val="00D42410"/>
    <w:rsid w:val="00D42441"/>
    <w:rsid w:val="00D42A9B"/>
    <w:rsid w:val="00D4384E"/>
    <w:rsid w:val="00D44651"/>
    <w:rsid w:val="00D451FC"/>
    <w:rsid w:val="00D4610A"/>
    <w:rsid w:val="00D46BD1"/>
    <w:rsid w:val="00D47ABB"/>
    <w:rsid w:val="00D50D56"/>
    <w:rsid w:val="00D51343"/>
    <w:rsid w:val="00D519A5"/>
    <w:rsid w:val="00D52240"/>
    <w:rsid w:val="00D5292A"/>
    <w:rsid w:val="00D52FEB"/>
    <w:rsid w:val="00D5364E"/>
    <w:rsid w:val="00D53AD8"/>
    <w:rsid w:val="00D54DB1"/>
    <w:rsid w:val="00D5589E"/>
    <w:rsid w:val="00D56F64"/>
    <w:rsid w:val="00D57AF3"/>
    <w:rsid w:val="00D57C2E"/>
    <w:rsid w:val="00D625C5"/>
    <w:rsid w:val="00D63124"/>
    <w:rsid w:val="00D632BE"/>
    <w:rsid w:val="00D63C48"/>
    <w:rsid w:val="00D64289"/>
    <w:rsid w:val="00D652D6"/>
    <w:rsid w:val="00D656B7"/>
    <w:rsid w:val="00D6667B"/>
    <w:rsid w:val="00D70FB5"/>
    <w:rsid w:val="00D71400"/>
    <w:rsid w:val="00D72C23"/>
    <w:rsid w:val="00D73540"/>
    <w:rsid w:val="00D73638"/>
    <w:rsid w:val="00D7375B"/>
    <w:rsid w:val="00D759AA"/>
    <w:rsid w:val="00D759C0"/>
    <w:rsid w:val="00D76B28"/>
    <w:rsid w:val="00D7786D"/>
    <w:rsid w:val="00D778F8"/>
    <w:rsid w:val="00D77D2D"/>
    <w:rsid w:val="00D80889"/>
    <w:rsid w:val="00D80C50"/>
    <w:rsid w:val="00D81E0F"/>
    <w:rsid w:val="00D82892"/>
    <w:rsid w:val="00D829B1"/>
    <w:rsid w:val="00D82DC0"/>
    <w:rsid w:val="00D83267"/>
    <w:rsid w:val="00D84116"/>
    <w:rsid w:val="00D8435D"/>
    <w:rsid w:val="00D87B30"/>
    <w:rsid w:val="00D913E9"/>
    <w:rsid w:val="00D92EA5"/>
    <w:rsid w:val="00D92FC5"/>
    <w:rsid w:val="00D93902"/>
    <w:rsid w:val="00D95394"/>
    <w:rsid w:val="00D970E7"/>
    <w:rsid w:val="00D9745A"/>
    <w:rsid w:val="00DA02D3"/>
    <w:rsid w:val="00DA032B"/>
    <w:rsid w:val="00DA0456"/>
    <w:rsid w:val="00DA18C2"/>
    <w:rsid w:val="00DA1B66"/>
    <w:rsid w:val="00DA333E"/>
    <w:rsid w:val="00DA3C95"/>
    <w:rsid w:val="00DA55BB"/>
    <w:rsid w:val="00DA6A09"/>
    <w:rsid w:val="00DA73EE"/>
    <w:rsid w:val="00DA7BF2"/>
    <w:rsid w:val="00DA7F21"/>
    <w:rsid w:val="00DA7FFB"/>
    <w:rsid w:val="00DB1D5E"/>
    <w:rsid w:val="00DB2231"/>
    <w:rsid w:val="00DB2535"/>
    <w:rsid w:val="00DB2DBF"/>
    <w:rsid w:val="00DB3896"/>
    <w:rsid w:val="00DB4260"/>
    <w:rsid w:val="00DB4FBD"/>
    <w:rsid w:val="00DB7712"/>
    <w:rsid w:val="00DC0607"/>
    <w:rsid w:val="00DC0AFD"/>
    <w:rsid w:val="00DC1743"/>
    <w:rsid w:val="00DC1F73"/>
    <w:rsid w:val="00DC2620"/>
    <w:rsid w:val="00DC34D0"/>
    <w:rsid w:val="00DC3912"/>
    <w:rsid w:val="00DC471F"/>
    <w:rsid w:val="00DC4CC9"/>
    <w:rsid w:val="00DC5BFF"/>
    <w:rsid w:val="00DC662B"/>
    <w:rsid w:val="00DC6E4E"/>
    <w:rsid w:val="00DC768D"/>
    <w:rsid w:val="00DC76F5"/>
    <w:rsid w:val="00DC7746"/>
    <w:rsid w:val="00DC789E"/>
    <w:rsid w:val="00DD1815"/>
    <w:rsid w:val="00DD18EA"/>
    <w:rsid w:val="00DD2D79"/>
    <w:rsid w:val="00DD2FE6"/>
    <w:rsid w:val="00DD3049"/>
    <w:rsid w:val="00DD442A"/>
    <w:rsid w:val="00DD724F"/>
    <w:rsid w:val="00DE1A35"/>
    <w:rsid w:val="00DE2079"/>
    <w:rsid w:val="00DE30E2"/>
    <w:rsid w:val="00DE3A9A"/>
    <w:rsid w:val="00DE41C2"/>
    <w:rsid w:val="00DE58C6"/>
    <w:rsid w:val="00DE6421"/>
    <w:rsid w:val="00DF0063"/>
    <w:rsid w:val="00DF0DDE"/>
    <w:rsid w:val="00DF16C0"/>
    <w:rsid w:val="00DF1C14"/>
    <w:rsid w:val="00DF1C2D"/>
    <w:rsid w:val="00DF20E4"/>
    <w:rsid w:val="00DF28D4"/>
    <w:rsid w:val="00DF2ED0"/>
    <w:rsid w:val="00DF31A9"/>
    <w:rsid w:val="00DF4EAD"/>
    <w:rsid w:val="00DF548B"/>
    <w:rsid w:val="00DF58A6"/>
    <w:rsid w:val="00DF5DEB"/>
    <w:rsid w:val="00DF5FD0"/>
    <w:rsid w:val="00E00B4B"/>
    <w:rsid w:val="00E0168E"/>
    <w:rsid w:val="00E03E76"/>
    <w:rsid w:val="00E0459C"/>
    <w:rsid w:val="00E05FBC"/>
    <w:rsid w:val="00E0750A"/>
    <w:rsid w:val="00E101A3"/>
    <w:rsid w:val="00E10563"/>
    <w:rsid w:val="00E10B7D"/>
    <w:rsid w:val="00E117CD"/>
    <w:rsid w:val="00E11807"/>
    <w:rsid w:val="00E1290C"/>
    <w:rsid w:val="00E13210"/>
    <w:rsid w:val="00E13256"/>
    <w:rsid w:val="00E135BD"/>
    <w:rsid w:val="00E15622"/>
    <w:rsid w:val="00E156C1"/>
    <w:rsid w:val="00E16D32"/>
    <w:rsid w:val="00E16FB0"/>
    <w:rsid w:val="00E1750E"/>
    <w:rsid w:val="00E20A70"/>
    <w:rsid w:val="00E20B01"/>
    <w:rsid w:val="00E214C3"/>
    <w:rsid w:val="00E2248D"/>
    <w:rsid w:val="00E227EA"/>
    <w:rsid w:val="00E23660"/>
    <w:rsid w:val="00E24E32"/>
    <w:rsid w:val="00E25E60"/>
    <w:rsid w:val="00E26CBF"/>
    <w:rsid w:val="00E26E5E"/>
    <w:rsid w:val="00E26F1F"/>
    <w:rsid w:val="00E2761D"/>
    <w:rsid w:val="00E30C8F"/>
    <w:rsid w:val="00E31A1E"/>
    <w:rsid w:val="00E33012"/>
    <w:rsid w:val="00E33C04"/>
    <w:rsid w:val="00E34484"/>
    <w:rsid w:val="00E34BAD"/>
    <w:rsid w:val="00E37424"/>
    <w:rsid w:val="00E37FEC"/>
    <w:rsid w:val="00E4041E"/>
    <w:rsid w:val="00E41B8B"/>
    <w:rsid w:val="00E42095"/>
    <w:rsid w:val="00E4258A"/>
    <w:rsid w:val="00E43E37"/>
    <w:rsid w:val="00E443C6"/>
    <w:rsid w:val="00E44FEA"/>
    <w:rsid w:val="00E45180"/>
    <w:rsid w:val="00E45305"/>
    <w:rsid w:val="00E4634C"/>
    <w:rsid w:val="00E46790"/>
    <w:rsid w:val="00E46AC9"/>
    <w:rsid w:val="00E513C8"/>
    <w:rsid w:val="00E514FB"/>
    <w:rsid w:val="00E51CA2"/>
    <w:rsid w:val="00E52837"/>
    <w:rsid w:val="00E53DB6"/>
    <w:rsid w:val="00E54FB3"/>
    <w:rsid w:val="00E55904"/>
    <w:rsid w:val="00E55E72"/>
    <w:rsid w:val="00E561AD"/>
    <w:rsid w:val="00E576F5"/>
    <w:rsid w:val="00E5781C"/>
    <w:rsid w:val="00E60786"/>
    <w:rsid w:val="00E61A15"/>
    <w:rsid w:val="00E631B2"/>
    <w:rsid w:val="00E632C3"/>
    <w:rsid w:val="00E6339D"/>
    <w:rsid w:val="00E63829"/>
    <w:rsid w:val="00E6439E"/>
    <w:rsid w:val="00E64654"/>
    <w:rsid w:val="00E65189"/>
    <w:rsid w:val="00E66007"/>
    <w:rsid w:val="00E66614"/>
    <w:rsid w:val="00E66827"/>
    <w:rsid w:val="00E6788A"/>
    <w:rsid w:val="00E70569"/>
    <w:rsid w:val="00E71DA8"/>
    <w:rsid w:val="00E759B0"/>
    <w:rsid w:val="00E76EB1"/>
    <w:rsid w:val="00E773DF"/>
    <w:rsid w:val="00E807E3"/>
    <w:rsid w:val="00E8269B"/>
    <w:rsid w:val="00E858F4"/>
    <w:rsid w:val="00E85A09"/>
    <w:rsid w:val="00E86706"/>
    <w:rsid w:val="00E868F5"/>
    <w:rsid w:val="00E869E8"/>
    <w:rsid w:val="00E86AB2"/>
    <w:rsid w:val="00E86E3E"/>
    <w:rsid w:val="00E87DE0"/>
    <w:rsid w:val="00E9006E"/>
    <w:rsid w:val="00E92C7B"/>
    <w:rsid w:val="00E930FA"/>
    <w:rsid w:val="00E93591"/>
    <w:rsid w:val="00E94015"/>
    <w:rsid w:val="00E97201"/>
    <w:rsid w:val="00E97443"/>
    <w:rsid w:val="00EA0B38"/>
    <w:rsid w:val="00EA1B29"/>
    <w:rsid w:val="00EA1C48"/>
    <w:rsid w:val="00EA42C2"/>
    <w:rsid w:val="00EA4FFC"/>
    <w:rsid w:val="00EA66E6"/>
    <w:rsid w:val="00EA6EAC"/>
    <w:rsid w:val="00EB39DA"/>
    <w:rsid w:val="00EB3B9D"/>
    <w:rsid w:val="00EB3F3E"/>
    <w:rsid w:val="00EB426B"/>
    <w:rsid w:val="00EB461F"/>
    <w:rsid w:val="00EB47BD"/>
    <w:rsid w:val="00EB4D2C"/>
    <w:rsid w:val="00EB5E6D"/>
    <w:rsid w:val="00EB658E"/>
    <w:rsid w:val="00EB75D0"/>
    <w:rsid w:val="00EB785A"/>
    <w:rsid w:val="00EC0787"/>
    <w:rsid w:val="00EC098B"/>
    <w:rsid w:val="00EC14B8"/>
    <w:rsid w:val="00EC1E6D"/>
    <w:rsid w:val="00EC2A2D"/>
    <w:rsid w:val="00EC2BA2"/>
    <w:rsid w:val="00EC50C3"/>
    <w:rsid w:val="00EC570C"/>
    <w:rsid w:val="00EC744A"/>
    <w:rsid w:val="00EC74E5"/>
    <w:rsid w:val="00ED17D0"/>
    <w:rsid w:val="00ED3C2D"/>
    <w:rsid w:val="00ED4841"/>
    <w:rsid w:val="00ED5C65"/>
    <w:rsid w:val="00ED6613"/>
    <w:rsid w:val="00ED7553"/>
    <w:rsid w:val="00ED7D5A"/>
    <w:rsid w:val="00EE02DD"/>
    <w:rsid w:val="00EE05BF"/>
    <w:rsid w:val="00EE0F07"/>
    <w:rsid w:val="00EE1310"/>
    <w:rsid w:val="00EE1C03"/>
    <w:rsid w:val="00EE341E"/>
    <w:rsid w:val="00EE3C9F"/>
    <w:rsid w:val="00EE5492"/>
    <w:rsid w:val="00EE6184"/>
    <w:rsid w:val="00EE678A"/>
    <w:rsid w:val="00EE752B"/>
    <w:rsid w:val="00EF03CB"/>
    <w:rsid w:val="00EF0813"/>
    <w:rsid w:val="00EF0DE6"/>
    <w:rsid w:val="00EF1896"/>
    <w:rsid w:val="00EF1A76"/>
    <w:rsid w:val="00EF243E"/>
    <w:rsid w:val="00EF3278"/>
    <w:rsid w:val="00EF3703"/>
    <w:rsid w:val="00EF6D5C"/>
    <w:rsid w:val="00F018F1"/>
    <w:rsid w:val="00F01A37"/>
    <w:rsid w:val="00F03CDF"/>
    <w:rsid w:val="00F04084"/>
    <w:rsid w:val="00F049EC"/>
    <w:rsid w:val="00F06669"/>
    <w:rsid w:val="00F07658"/>
    <w:rsid w:val="00F10B92"/>
    <w:rsid w:val="00F110A5"/>
    <w:rsid w:val="00F145A5"/>
    <w:rsid w:val="00F153DB"/>
    <w:rsid w:val="00F16D73"/>
    <w:rsid w:val="00F17412"/>
    <w:rsid w:val="00F20075"/>
    <w:rsid w:val="00F20095"/>
    <w:rsid w:val="00F22403"/>
    <w:rsid w:val="00F225EC"/>
    <w:rsid w:val="00F2270E"/>
    <w:rsid w:val="00F22A1C"/>
    <w:rsid w:val="00F22D26"/>
    <w:rsid w:val="00F230E5"/>
    <w:rsid w:val="00F24BBC"/>
    <w:rsid w:val="00F26B4B"/>
    <w:rsid w:val="00F2706C"/>
    <w:rsid w:val="00F30100"/>
    <w:rsid w:val="00F3094A"/>
    <w:rsid w:val="00F31697"/>
    <w:rsid w:val="00F32D23"/>
    <w:rsid w:val="00F33B7D"/>
    <w:rsid w:val="00F33D67"/>
    <w:rsid w:val="00F35AFE"/>
    <w:rsid w:val="00F40262"/>
    <w:rsid w:val="00F419C5"/>
    <w:rsid w:val="00F4221E"/>
    <w:rsid w:val="00F44EFB"/>
    <w:rsid w:val="00F451DD"/>
    <w:rsid w:val="00F457B4"/>
    <w:rsid w:val="00F460FA"/>
    <w:rsid w:val="00F4768E"/>
    <w:rsid w:val="00F5265B"/>
    <w:rsid w:val="00F53096"/>
    <w:rsid w:val="00F53182"/>
    <w:rsid w:val="00F5358F"/>
    <w:rsid w:val="00F53B12"/>
    <w:rsid w:val="00F54020"/>
    <w:rsid w:val="00F54C69"/>
    <w:rsid w:val="00F56314"/>
    <w:rsid w:val="00F56A65"/>
    <w:rsid w:val="00F57DB6"/>
    <w:rsid w:val="00F627F9"/>
    <w:rsid w:val="00F6678C"/>
    <w:rsid w:val="00F671EF"/>
    <w:rsid w:val="00F6773C"/>
    <w:rsid w:val="00F7019D"/>
    <w:rsid w:val="00F70899"/>
    <w:rsid w:val="00F70E64"/>
    <w:rsid w:val="00F71365"/>
    <w:rsid w:val="00F72B42"/>
    <w:rsid w:val="00F72C63"/>
    <w:rsid w:val="00F72EF8"/>
    <w:rsid w:val="00F733F3"/>
    <w:rsid w:val="00F73A39"/>
    <w:rsid w:val="00F73BBA"/>
    <w:rsid w:val="00F73C28"/>
    <w:rsid w:val="00F7517D"/>
    <w:rsid w:val="00F7575B"/>
    <w:rsid w:val="00F75D3A"/>
    <w:rsid w:val="00F75E04"/>
    <w:rsid w:val="00F76305"/>
    <w:rsid w:val="00F7677F"/>
    <w:rsid w:val="00F76BFD"/>
    <w:rsid w:val="00F77C56"/>
    <w:rsid w:val="00F80139"/>
    <w:rsid w:val="00F807B9"/>
    <w:rsid w:val="00F83836"/>
    <w:rsid w:val="00F84761"/>
    <w:rsid w:val="00F84B5A"/>
    <w:rsid w:val="00F8670D"/>
    <w:rsid w:val="00F87C31"/>
    <w:rsid w:val="00F87D15"/>
    <w:rsid w:val="00F9212E"/>
    <w:rsid w:val="00F92C44"/>
    <w:rsid w:val="00F93485"/>
    <w:rsid w:val="00F93E55"/>
    <w:rsid w:val="00F94B41"/>
    <w:rsid w:val="00F953E3"/>
    <w:rsid w:val="00F9555A"/>
    <w:rsid w:val="00F95E5A"/>
    <w:rsid w:val="00F9783F"/>
    <w:rsid w:val="00F97B0F"/>
    <w:rsid w:val="00FA0329"/>
    <w:rsid w:val="00FA0361"/>
    <w:rsid w:val="00FA12B7"/>
    <w:rsid w:val="00FA1539"/>
    <w:rsid w:val="00FA165D"/>
    <w:rsid w:val="00FA2C85"/>
    <w:rsid w:val="00FA5F89"/>
    <w:rsid w:val="00FA6ACA"/>
    <w:rsid w:val="00FB0E90"/>
    <w:rsid w:val="00FB366A"/>
    <w:rsid w:val="00FB506A"/>
    <w:rsid w:val="00FB57DB"/>
    <w:rsid w:val="00FB6238"/>
    <w:rsid w:val="00FB7195"/>
    <w:rsid w:val="00FC03B6"/>
    <w:rsid w:val="00FC06E3"/>
    <w:rsid w:val="00FC14E8"/>
    <w:rsid w:val="00FC1AF3"/>
    <w:rsid w:val="00FC22AB"/>
    <w:rsid w:val="00FC2F75"/>
    <w:rsid w:val="00FC3BD1"/>
    <w:rsid w:val="00FC4533"/>
    <w:rsid w:val="00FC594B"/>
    <w:rsid w:val="00FC62B9"/>
    <w:rsid w:val="00FC79C8"/>
    <w:rsid w:val="00FC7D0C"/>
    <w:rsid w:val="00FD0DA5"/>
    <w:rsid w:val="00FD1076"/>
    <w:rsid w:val="00FD15F4"/>
    <w:rsid w:val="00FD2939"/>
    <w:rsid w:val="00FD5C36"/>
    <w:rsid w:val="00FD5C52"/>
    <w:rsid w:val="00FD7841"/>
    <w:rsid w:val="00FD7DDD"/>
    <w:rsid w:val="00FE0325"/>
    <w:rsid w:val="00FE1182"/>
    <w:rsid w:val="00FE236E"/>
    <w:rsid w:val="00FE2431"/>
    <w:rsid w:val="00FE3E54"/>
    <w:rsid w:val="00FE454B"/>
    <w:rsid w:val="00FE4A60"/>
    <w:rsid w:val="00FE4C58"/>
    <w:rsid w:val="00FE62AB"/>
    <w:rsid w:val="00FE6387"/>
    <w:rsid w:val="00FE6443"/>
    <w:rsid w:val="00FE6591"/>
    <w:rsid w:val="00FE6746"/>
    <w:rsid w:val="00FE6BF5"/>
    <w:rsid w:val="00FE6CAB"/>
    <w:rsid w:val="00FE6D4E"/>
    <w:rsid w:val="00FE6E08"/>
    <w:rsid w:val="00FF1506"/>
    <w:rsid w:val="00FF19AF"/>
    <w:rsid w:val="00FF1C3D"/>
    <w:rsid w:val="00FF1CE9"/>
    <w:rsid w:val="00FF2125"/>
    <w:rsid w:val="00FF2550"/>
    <w:rsid w:val="00FF3883"/>
    <w:rsid w:val="00FF3BEF"/>
    <w:rsid w:val="00FF5B91"/>
    <w:rsid w:val="00FF601C"/>
    <w:rsid w:val="00FF610D"/>
    <w:rsid w:val="00FF6E25"/>
    <w:rsid w:val="00FF6FAE"/>
    <w:rsid w:val="00FF7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A9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AB"/>
    <w:pPr>
      <w:spacing w:after="200" w:line="360" w:lineRule="auto"/>
      <w:jc w:val="both"/>
    </w:pPr>
    <w:rPr>
      <w:rFonts w:ascii="Arial" w:eastAsia="Calibri" w:hAnsi="Arial" w:cs="Times New Roman"/>
      <w:sz w:val="20"/>
      <w:lang w:val="en-US"/>
    </w:rPr>
  </w:style>
  <w:style w:type="paragraph" w:styleId="Heading1">
    <w:name w:val="heading 1"/>
    <w:basedOn w:val="Normal"/>
    <w:next w:val="Normal"/>
    <w:link w:val="Heading1Char"/>
    <w:uiPriority w:val="1"/>
    <w:qFormat/>
    <w:rsid w:val="00E4041E"/>
    <w:pPr>
      <w:keepNext/>
      <w:keepLines/>
      <w:numPr>
        <w:numId w:val="108"/>
      </w:numPr>
      <w:spacing w:before="240" w:after="120" w:line="240" w:lineRule="auto"/>
      <w:jc w:val="left"/>
      <w:outlineLvl w:val="0"/>
    </w:pPr>
    <w:rPr>
      <w:rFonts w:asciiTheme="minorHAnsi" w:eastAsiaTheme="majorEastAsia" w:hAnsiTheme="minorHAnsi" w:cstheme="majorBidi"/>
      <w:b/>
      <w:sz w:val="32"/>
      <w:szCs w:val="28"/>
      <w:lang w:val="en-AU"/>
    </w:rPr>
  </w:style>
  <w:style w:type="paragraph" w:styleId="Heading2">
    <w:name w:val="heading 2"/>
    <w:basedOn w:val="Normal"/>
    <w:next w:val="Normal"/>
    <w:link w:val="Heading2Char"/>
    <w:uiPriority w:val="9"/>
    <w:unhideWhenUsed/>
    <w:qFormat/>
    <w:rsid w:val="00DF16C0"/>
    <w:pPr>
      <w:keepNext/>
      <w:keepLines/>
      <w:spacing w:before="240" w:after="120" w:line="240" w:lineRule="auto"/>
      <w:jc w:val="left"/>
      <w:outlineLvl w:val="1"/>
    </w:pPr>
    <w:rPr>
      <w:rFonts w:asciiTheme="minorHAnsi" w:eastAsiaTheme="majorEastAsia" w:hAnsiTheme="minorHAnsi" w:cstheme="majorBidi"/>
      <w:b/>
      <w:i/>
      <w:sz w:val="28"/>
      <w:szCs w:val="28"/>
      <w:lang w:val="en-AU"/>
    </w:rPr>
  </w:style>
  <w:style w:type="paragraph" w:styleId="Heading3">
    <w:name w:val="heading 3"/>
    <w:basedOn w:val="Normal"/>
    <w:next w:val="Normal"/>
    <w:link w:val="Heading3Char"/>
    <w:uiPriority w:val="1"/>
    <w:unhideWhenUsed/>
    <w:qFormat/>
    <w:rsid w:val="00186307"/>
    <w:pPr>
      <w:keepNext/>
      <w:keepLines/>
      <w:spacing w:before="120" w:after="120" w:line="240" w:lineRule="auto"/>
      <w:jc w:val="left"/>
      <w:outlineLvl w:val="2"/>
    </w:pPr>
    <w:rPr>
      <w:rFonts w:asciiTheme="minorHAnsi" w:eastAsiaTheme="majorEastAsia" w:hAnsiTheme="minorHAnsi" w:cstheme="majorBidi"/>
      <w:b/>
      <w:sz w:val="28"/>
      <w:szCs w:val="28"/>
      <w:lang w:val="en-AU"/>
    </w:rPr>
  </w:style>
  <w:style w:type="paragraph" w:styleId="Heading4">
    <w:name w:val="heading 4"/>
    <w:aliases w:val="Heading 1 - Body"/>
    <w:basedOn w:val="Heading1"/>
    <w:next w:val="Normal"/>
    <w:link w:val="Heading4Char"/>
    <w:uiPriority w:val="5"/>
    <w:unhideWhenUsed/>
    <w:qFormat/>
    <w:rsid w:val="00624315"/>
    <w:pPr>
      <w:numPr>
        <w:numId w:val="2"/>
      </w:num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08"/>
      </w:numPr>
      <w:spacing w:before="40" w:after="0" w:line="240" w:lineRule="auto"/>
      <w:jc w:val="left"/>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aliases w:val="Section heading - Body"/>
    <w:basedOn w:val="Heading1"/>
    <w:next w:val="Normal"/>
    <w:link w:val="Heading9Char"/>
    <w:uiPriority w:val="7"/>
    <w:unhideWhenUsed/>
    <w:qFormat/>
    <w:rsid w:val="002A4503"/>
    <w:pPr>
      <w:numPr>
        <w:numId w:val="0"/>
      </w:numPr>
      <w:ind w:left="432" w:hanging="432"/>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spacing w:before="120" w:after="160" w:line="240" w:lineRule="auto"/>
      <w:ind w:left="720"/>
      <w:jc w:val="left"/>
    </w:pPr>
    <w:rPr>
      <w:rFonts w:asciiTheme="minorHAnsi" w:eastAsiaTheme="minorHAnsi" w:hAnsiTheme="minorHAnsi" w:cstheme="minorBidi"/>
      <w:sz w:val="24"/>
      <w:lang w:val="en-AU"/>
    </w:r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pPr>
      <w:spacing w:before="120" w:after="160" w:line="240" w:lineRule="auto"/>
      <w:jc w:val="left"/>
    </w:pPr>
    <w:rPr>
      <w:rFonts w:asciiTheme="minorHAnsi" w:eastAsiaTheme="minorHAnsi" w:hAnsiTheme="minorHAnsi" w:cstheme="minorBidi"/>
      <w:color w:val="4472C4" w:themeColor="accent5"/>
      <w:sz w:val="24"/>
      <w:lang w:val="en-AU"/>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before="120" w:after="40" w:line="240" w:lineRule="auto"/>
      <w:jc w:val="left"/>
    </w:pPr>
    <w:rPr>
      <w:rFonts w:asciiTheme="minorHAnsi" w:eastAsiaTheme="minorHAnsi" w:hAnsiTheme="minorHAnsi" w:cstheme="minorBidi"/>
      <w:b/>
      <w:iCs/>
      <w:szCs w:val="18"/>
      <w:lang w:val="en-AU"/>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line="240" w:lineRule="auto"/>
      <w:jc w:val="left"/>
    </w:pPr>
    <w:rPr>
      <w:rFonts w:ascii="Arial Narrow" w:eastAsiaTheme="minorHAnsi" w:hAnsi="Arial Narrow" w:cstheme="minorBidi"/>
      <w:lang w:val="en-AU"/>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line="240" w:lineRule="auto"/>
      <w:ind w:left="1418" w:hanging="1418"/>
      <w:jc w:val="left"/>
    </w:pPr>
    <w:rPr>
      <w:rFonts w:ascii="Franklin Gothic Medium" w:eastAsiaTheme="minorHAnsi" w:hAnsi="Franklin Gothic Medium" w:cstheme="minorBidi"/>
      <w:sz w:val="22"/>
      <w:lang w:val="en-AU"/>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after="0" w:line="240" w:lineRule="auto"/>
      <w:jc w:val="left"/>
    </w:pPr>
    <w:rPr>
      <w:rFonts w:asciiTheme="minorHAnsi" w:eastAsiaTheme="minorHAnsi" w:hAnsiTheme="minorHAnsi" w:cstheme="minorBidi"/>
      <w:sz w:val="18"/>
      <w:szCs w:val="20"/>
      <w:lang w:val="en-AU"/>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after="360" w:line="240" w:lineRule="auto"/>
      <w:jc w:val="left"/>
    </w:pPr>
    <w:rPr>
      <w:rFonts w:asciiTheme="minorHAnsi" w:eastAsiaTheme="minorHAnsi" w:hAnsiTheme="minorHAnsi" w:cstheme="minorBidi"/>
      <w:sz w:val="18"/>
      <w:lang w:val="en-AU"/>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pPr>
      <w:spacing w:before="120" w:after="160" w:line="240" w:lineRule="auto"/>
      <w:jc w:val="left"/>
    </w:pPr>
    <w:rPr>
      <w:rFonts w:asciiTheme="minorHAnsi" w:eastAsiaTheme="minorHAnsi" w:hAnsiTheme="minorHAnsi" w:cstheme="minorBidi"/>
      <w:szCs w:val="20"/>
      <w:lang w:val="en-AU"/>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after="0" w:line="240" w:lineRule="auto"/>
      <w:jc w:val="left"/>
    </w:pPr>
    <w:rPr>
      <w:rFonts w:ascii="Segoe UI" w:eastAsiaTheme="minorHAnsi" w:hAnsi="Segoe UI" w:cs="Segoe UI"/>
      <w:sz w:val="18"/>
      <w:szCs w:val="18"/>
      <w:lang w:val="en-AU"/>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1">
    <w:name w:val="Table Heading"/>
    <w:basedOn w:val="Normal"/>
    <w:qFormat/>
    <w:rsid w:val="00FF610D"/>
    <w:pPr>
      <w:keepNext/>
      <w:spacing w:after="60" w:line="240" w:lineRule="auto"/>
      <w:jc w:val="left"/>
    </w:pPr>
    <w:rPr>
      <w:rFonts w:ascii="Arial Narrow" w:eastAsiaTheme="minorHAnsi" w:hAnsi="Arial Narrow" w:cstheme="minorBidi"/>
      <w:b/>
      <w:lang w:val="en-AU"/>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after="120" w:line="240" w:lineRule="auto"/>
      <w:contextualSpacing/>
    </w:pPr>
    <w:rPr>
      <w:rFonts w:ascii="Arial Narrow" w:eastAsia="Times New Roman" w:hAnsi="Arial Narrow" w:cs="Arial"/>
      <w:snapToGrid w:val="0"/>
      <w:sz w:val="18"/>
      <w:szCs w:val="20"/>
      <w:lang w:val="en-AU"/>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after="60" w:line="240" w:lineRule="auto"/>
      <w:jc w:val="left"/>
    </w:pPr>
    <w:rPr>
      <w:rFonts w:asciiTheme="minorHAnsi" w:eastAsiaTheme="minorHAnsi" w:hAnsiTheme="minorHAnsi" w:cstheme="minorBidi"/>
      <w:lang w:val="en-AU"/>
    </w:rPr>
  </w:style>
  <w:style w:type="paragraph" w:customStyle="1" w:styleId="oldTablefooter">
    <w:name w:val="old Table footer"/>
    <w:basedOn w:val="Normal"/>
    <w:link w:val="oldTablefooterChar"/>
    <w:qFormat/>
    <w:rsid w:val="00C317F3"/>
    <w:pPr>
      <w:spacing w:after="0" w:line="240" w:lineRule="auto"/>
    </w:pPr>
    <w:rPr>
      <w:rFonts w:asciiTheme="minorHAnsi" w:eastAsiaTheme="minorHAnsi" w:hAnsiTheme="minorHAnsi" w:cs="Arial"/>
      <w:sz w:val="18"/>
      <w:szCs w:val="18"/>
      <w:lang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after="0" w:line="240" w:lineRule="auto"/>
      <w:jc w:val="left"/>
    </w:pPr>
    <w:rPr>
      <w:rFonts w:asciiTheme="minorHAnsi" w:eastAsiaTheme="minorHAnsi" w:hAnsiTheme="minorHAnsi" w:cstheme="minorBidi"/>
      <w:sz w:val="24"/>
      <w:lang w:val="en-AU"/>
    </w:r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after="0" w:line="240" w:lineRule="auto"/>
      <w:jc w:val="left"/>
    </w:pPr>
    <w:rPr>
      <w:rFonts w:asciiTheme="minorHAnsi" w:eastAsiaTheme="minorHAnsi" w:hAnsiTheme="minorHAnsi" w:cstheme="minorBidi"/>
      <w:sz w:val="24"/>
      <w:lang w:val="en-AU"/>
    </w:r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before="120" w:after="0" w:line="240" w:lineRule="auto"/>
      <w:ind w:left="220"/>
      <w:jc w:val="left"/>
    </w:pPr>
    <w:rPr>
      <w:rFonts w:eastAsia="Times New Roman" w:cs="Arial"/>
      <w:iCs/>
      <w:snapToGrid w:val="0"/>
      <w:szCs w:val="20"/>
      <w:lang w:val="en-AU"/>
    </w:rPr>
  </w:style>
  <w:style w:type="paragraph" w:styleId="TOC1">
    <w:name w:val="toc 1"/>
    <w:basedOn w:val="Normal"/>
    <w:next w:val="Normal"/>
    <w:autoRedefine/>
    <w:uiPriority w:val="39"/>
    <w:rsid w:val="00C317F3"/>
    <w:pPr>
      <w:widowControl w:val="0"/>
      <w:spacing w:before="240" w:after="120" w:line="240" w:lineRule="auto"/>
      <w:jc w:val="left"/>
    </w:pPr>
    <w:rPr>
      <w:rFonts w:eastAsia="Times New Roman" w:cs="Arial"/>
      <w:bCs/>
      <w:snapToGrid w:val="0"/>
      <w:szCs w:val="20"/>
      <w:lang w:val="en-AU"/>
    </w:rPr>
  </w:style>
  <w:style w:type="paragraph" w:customStyle="1" w:styleId="TableHeader">
    <w:name w:val="Table Header"/>
    <w:basedOn w:val="Normal"/>
    <w:next w:val="Normal"/>
    <w:uiPriority w:val="3"/>
    <w:qFormat/>
    <w:rsid w:val="00C317F3"/>
    <w:pPr>
      <w:widowControl w:val="0"/>
      <w:spacing w:after="0" w:line="240" w:lineRule="auto"/>
    </w:pPr>
    <w:rPr>
      <w:rFonts w:ascii="Arial Narrow" w:eastAsia="Times New Roman" w:hAnsi="Arial Narrow" w:cs="Arial"/>
      <w:b/>
      <w:snapToGrid w:val="0"/>
      <w:szCs w:val="20"/>
      <w:lang w:val="en-AU"/>
    </w:rPr>
  </w:style>
  <w:style w:type="paragraph" w:styleId="Title">
    <w:name w:val="Title"/>
    <w:basedOn w:val="Normal"/>
    <w:next w:val="Normal"/>
    <w:link w:val="TitleChar"/>
    <w:qFormat/>
    <w:rsid w:val="00C317F3"/>
    <w:pPr>
      <w:widowControl w:val="0"/>
      <w:spacing w:before="240" w:after="60" w:line="240" w:lineRule="auto"/>
      <w:jc w:val="center"/>
      <w:outlineLvl w:val="0"/>
    </w:pPr>
    <w:rPr>
      <w:rFonts w:ascii="Cambria" w:eastAsia="Times New Roman" w:hAnsi="Cambria" w:cs="Arial"/>
      <w:b/>
      <w:bCs/>
      <w:snapToGrid w:val="0"/>
      <w:kern w:val="28"/>
      <w:sz w:val="32"/>
      <w:szCs w:val="32"/>
      <w:lang w:val="en-AU"/>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Body text"/>
    <w:basedOn w:val="Normal"/>
    <w:link w:val="BodyTextChar"/>
    <w:qFormat/>
    <w:rsid w:val="00C317F3"/>
    <w:pPr>
      <w:widowControl w:val="0"/>
      <w:spacing w:after="0" w:line="240" w:lineRule="auto"/>
      <w:jc w:val="left"/>
    </w:pPr>
    <w:rPr>
      <w:rFonts w:eastAsia="Times New Roman" w:cs="Arial"/>
      <w:snapToGrid w:val="0"/>
      <w:sz w:val="22"/>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after="0" w:line="240" w:lineRule="auto"/>
      <w:jc w:val="left"/>
    </w:pPr>
    <w:rPr>
      <w:rFonts w:ascii="Arial Narrow" w:eastAsia="Times New Roman" w:hAnsi="Arial Narrow"/>
      <w:szCs w:val="20"/>
      <w:lang w:val="en-AU"/>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line="240" w:lineRule="auto"/>
      <w:jc w:val="left"/>
    </w:pPr>
    <w:rPr>
      <w:rFonts w:ascii="Times New Roman" w:eastAsia="Times New Roman" w:hAnsi="Times New Roman"/>
      <w:sz w:val="24"/>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after="0" w:line="240" w:lineRule="auto"/>
      <w:ind w:left="440"/>
      <w:jc w:val="left"/>
    </w:pPr>
    <w:rPr>
      <w:rFonts w:asciiTheme="minorHAnsi" w:eastAsia="Times New Roman" w:hAnsiTheme="minorHAnsi" w:cs="Arial"/>
      <w:snapToGrid w:val="0"/>
      <w:szCs w:val="20"/>
      <w:lang w:val="en-AU"/>
    </w:rPr>
  </w:style>
  <w:style w:type="paragraph" w:styleId="BodyText3">
    <w:name w:val="Body Text 3"/>
    <w:basedOn w:val="Normal"/>
    <w:link w:val="BodyText3Char"/>
    <w:uiPriority w:val="9"/>
    <w:rsid w:val="00C317F3"/>
    <w:pPr>
      <w:widowControl w:val="0"/>
      <w:spacing w:after="120" w:line="240" w:lineRule="auto"/>
    </w:pPr>
    <w:rPr>
      <w:rFonts w:eastAsia="Times New Roman" w:cs="Arial"/>
      <w:snapToGrid w:val="0"/>
      <w:sz w:val="16"/>
      <w:szCs w:val="16"/>
      <w:lang w:val="en-AU"/>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after="0" w:line="240" w:lineRule="auto"/>
      <w:ind w:left="660"/>
      <w:jc w:val="left"/>
    </w:pPr>
    <w:rPr>
      <w:rFonts w:asciiTheme="minorHAnsi" w:eastAsia="Times New Roman" w:hAnsiTheme="minorHAnsi" w:cs="Arial"/>
      <w:snapToGrid w:val="0"/>
      <w:szCs w:val="20"/>
      <w:lang w:val="en-AU"/>
    </w:rPr>
  </w:style>
  <w:style w:type="paragraph" w:styleId="TOC5">
    <w:name w:val="toc 5"/>
    <w:basedOn w:val="Normal"/>
    <w:next w:val="Normal"/>
    <w:autoRedefine/>
    <w:uiPriority w:val="9"/>
    <w:rsid w:val="00C317F3"/>
    <w:pPr>
      <w:widowControl w:val="0"/>
      <w:spacing w:after="0" w:line="240" w:lineRule="auto"/>
      <w:ind w:left="880"/>
      <w:jc w:val="left"/>
    </w:pPr>
    <w:rPr>
      <w:rFonts w:asciiTheme="minorHAnsi" w:eastAsia="Times New Roman" w:hAnsiTheme="minorHAnsi" w:cs="Arial"/>
      <w:snapToGrid w:val="0"/>
      <w:szCs w:val="20"/>
      <w:lang w:val="en-AU"/>
    </w:rPr>
  </w:style>
  <w:style w:type="paragraph" w:styleId="TOC6">
    <w:name w:val="toc 6"/>
    <w:basedOn w:val="Normal"/>
    <w:next w:val="Normal"/>
    <w:autoRedefine/>
    <w:uiPriority w:val="9"/>
    <w:rsid w:val="00C317F3"/>
    <w:pPr>
      <w:widowControl w:val="0"/>
      <w:spacing w:after="0" w:line="240" w:lineRule="auto"/>
      <w:ind w:left="1100"/>
      <w:jc w:val="left"/>
    </w:pPr>
    <w:rPr>
      <w:rFonts w:asciiTheme="minorHAnsi" w:eastAsia="Times New Roman" w:hAnsiTheme="minorHAnsi" w:cs="Arial"/>
      <w:snapToGrid w:val="0"/>
      <w:szCs w:val="20"/>
      <w:lang w:val="en-AU"/>
    </w:rPr>
  </w:style>
  <w:style w:type="paragraph" w:styleId="TOC7">
    <w:name w:val="toc 7"/>
    <w:basedOn w:val="Normal"/>
    <w:next w:val="Normal"/>
    <w:autoRedefine/>
    <w:uiPriority w:val="9"/>
    <w:rsid w:val="00C317F3"/>
    <w:pPr>
      <w:widowControl w:val="0"/>
      <w:spacing w:after="0" w:line="240" w:lineRule="auto"/>
      <w:ind w:left="1320"/>
      <w:jc w:val="left"/>
    </w:pPr>
    <w:rPr>
      <w:rFonts w:asciiTheme="minorHAnsi" w:eastAsia="Times New Roman" w:hAnsiTheme="minorHAnsi" w:cs="Arial"/>
      <w:snapToGrid w:val="0"/>
      <w:szCs w:val="20"/>
      <w:lang w:val="en-AU"/>
    </w:rPr>
  </w:style>
  <w:style w:type="paragraph" w:styleId="TOC8">
    <w:name w:val="toc 8"/>
    <w:basedOn w:val="Normal"/>
    <w:next w:val="Normal"/>
    <w:autoRedefine/>
    <w:uiPriority w:val="9"/>
    <w:rsid w:val="00C317F3"/>
    <w:pPr>
      <w:widowControl w:val="0"/>
      <w:spacing w:after="0" w:line="240" w:lineRule="auto"/>
      <w:ind w:left="1540"/>
      <w:jc w:val="left"/>
    </w:pPr>
    <w:rPr>
      <w:rFonts w:asciiTheme="minorHAnsi" w:eastAsia="Times New Roman" w:hAnsiTheme="minorHAnsi" w:cs="Arial"/>
      <w:snapToGrid w:val="0"/>
      <w:szCs w:val="20"/>
      <w:lang w:val="en-AU"/>
    </w:rPr>
  </w:style>
  <w:style w:type="paragraph" w:styleId="TOC9">
    <w:name w:val="toc 9"/>
    <w:basedOn w:val="Normal"/>
    <w:next w:val="Normal"/>
    <w:autoRedefine/>
    <w:uiPriority w:val="9"/>
    <w:rsid w:val="00C317F3"/>
    <w:pPr>
      <w:widowControl w:val="0"/>
      <w:spacing w:after="0" w:line="240" w:lineRule="auto"/>
      <w:ind w:left="1760"/>
      <w:jc w:val="left"/>
    </w:pPr>
    <w:rPr>
      <w:rFonts w:asciiTheme="minorHAnsi" w:eastAsia="Times New Roman" w:hAnsiTheme="minorHAnsi" w:cs="Arial"/>
      <w:snapToGrid w:val="0"/>
      <w:szCs w:val="20"/>
      <w:lang w:val="en-AU"/>
    </w:rPr>
  </w:style>
  <w:style w:type="paragraph" w:styleId="BodyText2">
    <w:name w:val="Body Text 2"/>
    <w:basedOn w:val="Normal"/>
    <w:link w:val="BodyText2Char"/>
    <w:uiPriority w:val="9"/>
    <w:rsid w:val="00C317F3"/>
    <w:pPr>
      <w:widowControl w:val="0"/>
      <w:spacing w:after="120" w:line="480" w:lineRule="auto"/>
    </w:pPr>
    <w:rPr>
      <w:rFonts w:eastAsia="Times New Roman" w:cs="Arial"/>
      <w:snapToGrid w:val="0"/>
      <w:sz w:val="22"/>
      <w:szCs w:val="20"/>
      <w:lang w:val="en-AU"/>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line="240" w:lineRule="auto"/>
      <w:jc w:val="left"/>
    </w:pPr>
    <w:rPr>
      <w:rFonts w:ascii="Arial Narrow" w:eastAsia="Times New Roman" w:hAnsi="Arial Narrow" w:cs="Arial Narrow"/>
      <w:szCs w:val="20"/>
      <w:lang w:val="en-AU"/>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after="120" w:line="240" w:lineRule="auto"/>
      <w:ind w:left="283"/>
    </w:pPr>
    <w:rPr>
      <w:rFonts w:eastAsia="Times New Roman" w:cs="Arial"/>
      <w:snapToGrid w:val="0"/>
      <w:sz w:val="22"/>
      <w:szCs w:val="20"/>
      <w:lang w:val="en-AU"/>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after="160" w:line="240" w:lineRule="exact"/>
      <w:jc w:val="left"/>
    </w:pPr>
    <w:rPr>
      <w:rFonts w:ascii="Verdana" w:eastAsia="MS Mincho" w:hAnsi="Verdana" w:cs="Verdana"/>
      <w:szCs w:val="20"/>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after="0" w:line="240" w:lineRule="auto"/>
    </w:pPr>
    <w:rPr>
      <w:rFonts w:asciiTheme="minorHAnsi" w:eastAsiaTheme="minorHAnsi" w:hAnsiTheme="minorHAnsi" w:cstheme="minorBidi"/>
      <w:sz w:val="22"/>
      <w:lang w:val="en-AU"/>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after="0" w:line="240" w:lineRule="auto"/>
    </w:pPr>
    <w:rPr>
      <w:rFonts w:eastAsia="Times New Roman" w:cs="Arial"/>
      <w:snapToGrid w:val="0"/>
      <w:sz w:val="22"/>
      <w:szCs w:val="20"/>
      <w:lang w:val="en-AU"/>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6"/>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2"/>
      </w:numPr>
      <w:spacing w:after="240" w:line="240" w:lineRule="auto"/>
      <w:ind w:left="357" w:hanging="357"/>
      <w:jc w:val="left"/>
    </w:pPr>
    <w:rPr>
      <w:rFonts w:asciiTheme="minorHAnsi" w:eastAsiaTheme="minorHAnsi" w:hAnsiTheme="minorHAnsi" w:cstheme="minorBidi"/>
      <w:sz w:val="22"/>
      <w:lang w:val="en-AU"/>
    </w:rPr>
  </w:style>
  <w:style w:type="paragraph" w:customStyle="1" w:styleId="TableFigNote">
    <w:name w:val="TableFigNote"/>
    <w:basedOn w:val="Normal"/>
    <w:qFormat/>
    <w:rsid w:val="00576ADE"/>
    <w:pPr>
      <w:spacing w:after="0" w:line="240" w:lineRule="auto"/>
      <w:jc w:val="left"/>
    </w:pPr>
    <w:rPr>
      <w:rFonts w:asciiTheme="minorHAnsi" w:eastAsiaTheme="minorHAnsi" w:hAnsiTheme="minorHAnsi" w:cstheme="minorBidi"/>
      <w:sz w:val="18"/>
      <w:lang w:val="en-AU"/>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after="160" w:line="240" w:lineRule="exact"/>
      <w:jc w:val="left"/>
    </w:pPr>
    <w:rPr>
      <w:rFonts w:ascii="Verdana" w:eastAsia="MS Mincho" w:hAnsi="Verdana" w:cs="Verdana"/>
      <w:szCs w:val="20"/>
    </w:rPr>
  </w:style>
  <w:style w:type="paragraph" w:customStyle="1" w:styleId="tabletext00">
    <w:name w:val="tabletext0"/>
    <w:basedOn w:val="Normal"/>
    <w:rsid w:val="00FB57DB"/>
    <w:pPr>
      <w:spacing w:before="100" w:beforeAutospacing="1" w:after="100" w:afterAutospacing="1" w:line="240" w:lineRule="auto"/>
      <w:jc w:val="left"/>
    </w:pPr>
    <w:rPr>
      <w:rFonts w:ascii="Times New Roman" w:eastAsia="Times New Roman" w:hAnsi="Times New Roman"/>
      <w:sz w:val="24"/>
      <w:szCs w:val="24"/>
      <w:lang w:val="en-AU" w:eastAsia="en-AU"/>
    </w:rPr>
  </w:style>
  <w:style w:type="paragraph" w:customStyle="1" w:styleId="ESnumberedpara">
    <w:name w:val="ES numbered para"/>
    <w:basedOn w:val="Normal"/>
    <w:qFormat/>
    <w:rsid w:val="00C52ACF"/>
    <w:pPr>
      <w:spacing w:after="120" w:line="240" w:lineRule="auto"/>
      <w:ind w:left="720" w:hanging="720"/>
    </w:pPr>
    <w:rPr>
      <w:rFonts w:ascii="Calibri" w:eastAsiaTheme="minorHAnsi" w:hAnsi="Calibri" w:cstheme="minorBidi"/>
      <w:sz w:val="24"/>
      <w:lang w:val="en-AU"/>
    </w:rPr>
  </w:style>
  <w:style w:type="paragraph" w:customStyle="1" w:styleId="Tableheading">
    <w:name w:val="Table heading"/>
    <w:basedOn w:val="Normal"/>
    <w:qFormat/>
    <w:rsid w:val="002D1E36"/>
    <w:pPr>
      <w:numPr>
        <w:numId w:val="16"/>
      </w:numPr>
      <w:spacing w:after="0" w:line="240" w:lineRule="auto"/>
      <w:ind w:left="360"/>
    </w:pPr>
    <w:rPr>
      <w:rFonts w:eastAsiaTheme="minorHAnsi" w:cstheme="minorBidi"/>
      <w:b/>
    </w:rPr>
  </w:style>
  <w:style w:type="table" w:customStyle="1" w:styleId="TableGrid1">
    <w:name w:val="Table Grid1"/>
    <w:basedOn w:val="TableNormal"/>
    <w:next w:val="TableGrid"/>
    <w:uiPriority w:val="59"/>
    <w:rsid w:val="00C9443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0">
    <w:name w:val="TableText Char"/>
    <w:link w:val="TableText1"/>
    <w:rsid w:val="00C04B03"/>
    <w:rPr>
      <w:rFonts w:ascii="Arial Narrow" w:eastAsia="Times New Roman" w:hAnsi="Arial Narrow" w:cs="Arial Narrow"/>
      <w:sz w:val="20"/>
      <w:szCs w:val="20"/>
    </w:rPr>
  </w:style>
  <w:style w:type="paragraph" w:customStyle="1" w:styleId="TableFigureFootnote">
    <w:name w:val="Table &amp; Figure Footnote"/>
    <w:basedOn w:val="BodyText"/>
    <w:next w:val="BodyText"/>
    <w:qFormat/>
    <w:rsid w:val="00F22A1C"/>
    <w:pPr>
      <w:widowControl/>
      <w:spacing w:before="20" w:after="20"/>
      <w:jc w:val="both"/>
    </w:pPr>
    <w:rPr>
      <w:rFonts w:cs="Times New Roman"/>
      <w:snapToGrid/>
      <w:sz w:val="16"/>
      <w:szCs w:val="24"/>
    </w:rPr>
  </w:style>
  <w:style w:type="paragraph" w:customStyle="1" w:styleId="Abbreviations">
    <w:name w:val="Abbreviations"/>
    <w:basedOn w:val="BodyText"/>
    <w:next w:val="BodyText"/>
    <w:qFormat/>
    <w:rsid w:val="00F22A1C"/>
    <w:pPr>
      <w:widowControl/>
      <w:spacing w:before="20" w:after="20"/>
      <w:jc w:val="both"/>
    </w:pPr>
    <w:rPr>
      <w:rFonts w:cs="Times New Roman"/>
      <w:snapToGrid/>
      <w:sz w:val="16"/>
      <w:szCs w:val="24"/>
    </w:rPr>
  </w:style>
  <w:style w:type="table" w:customStyle="1" w:styleId="TableGrid2">
    <w:name w:val="Table Grid2"/>
    <w:basedOn w:val="TableNormal"/>
    <w:next w:val="TableGrid"/>
    <w:uiPriority w:val="59"/>
    <w:rsid w:val="003E1EB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32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CE"/>
    <w:pPr>
      <w:autoSpaceDE w:val="0"/>
      <w:autoSpaceDN w:val="0"/>
      <w:adjustRightInd w:val="0"/>
      <w:spacing w:after="0" w:line="240" w:lineRule="auto"/>
    </w:pPr>
    <w:rPr>
      <w:rFonts w:ascii="Arial" w:hAnsi="Arial" w:cs="Arial"/>
      <w:color w:val="000000"/>
      <w:sz w:val="24"/>
      <w:szCs w:val="24"/>
      <w:lang w:val="en-US"/>
    </w:rPr>
  </w:style>
  <w:style w:type="character" w:customStyle="1" w:styleId="Mention1">
    <w:name w:val="Mention1"/>
    <w:basedOn w:val="DefaultParagraphFont"/>
    <w:uiPriority w:val="99"/>
    <w:semiHidden/>
    <w:unhideWhenUsed/>
    <w:rsid w:val="00CF15CE"/>
    <w:rPr>
      <w:color w:val="2B579A"/>
      <w:shd w:val="clear" w:color="auto" w:fill="E6E6E6"/>
    </w:rPr>
  </w:style>
  <w:style w:type="character" w:customStyle="1" w:styleId="Mention2">
    <w:name w:val="Mention2"/>
    <w:basedOn w:val="DefaultParagraphFont"/>
    <w:uiPriority w:val="99"/>
    <w:semiHidden/>
    <w:unhideWhenUsed/>
    <w:rsid w:val="00CF15CE"/>
    <w:rPr>
      <w:color w:val="2B579A"/>
      <w:shd w:val="clear" w:color="auto" w:fill="E6E6E6"/>
    </w:rPr>
  </w:style>
  <w:style w:type="paragraph" w:customStyle="1" w:styleId="EndNoteBibliographyTitle">
    <w:name w:val="EndNote Bibliography Title"/>
    <w:basedOn w:val="Normal"/>
    <w:link w:val="EndNoteBibliographyTitleChar"/>
    <w:rsid w:val="00CF15CE"/>
    <w:pPr>
      <w:widowControl w:val="0"/>
      <w:spacing w:after="0" w:line="240" w:lineRule="auto"/>
      <w:jc w:val="center"/>
    </w:pPr>
    <w:rPr>
      <w:rFonts w:eastAsia="Times New Roman" w:cs="Arial"/>
      <w:noProof/>
      <w:snapToGrid w:val="0"/>
      <w:sz w:val="24"/>
      <w:szCs w:val="20"/>
    </w:rPr>
  </w:style>
  <w:style w:type="character" w:customStyle="1" w:styleId="EndNoteBibliographyTitleChar">
    <w:name w:val="EndNote Bibliography Title Char"/>
    <w:basedOn w:val="ListParagraphChar"/>
    <w:link w:val="EndNoteBibliographyTitle"/>
    <w:rsid w:val="00CF15CE"/>
    <w:rPr>
      <w:rFonts w:ascii="Arial" w:eastAsia="Times New Roman" w:hAnsi="Arial" w:cs="Arial"/>
      <w:noProof/>
      <w:snapToGrid w:val="0"/>
      <w:sz w:val="24"/>
      <w:szCs w:val="20"/>
      <w:lang w:val="en-US"/>
    </w:rPr>
  </w:style>
  <w:style w:type="paragraph" w:customStyle="1" w:styleId="EndNoteBibliography">
    <w:name w:val="EndNote Bibliography"/>
    <w:basedOn w:val="Normal"/>
    <w:link w:val="EndNoteBibliographyChar"/>
    <w:rsid w:val="00CF15CE"/>
    <w:pPr>
      <w:widowControl w:val="0"/>
      <w:spacing w:after="0" w:line="240" w:lineRule="auto"/>
      <w:jc w:val="left"/>
    </w:pPr>
    <w:rPr>
      <w:rFonts w:eastAsia="Times New Roman" w:cs="Arial"/>
      <w:noProof/>
      <w:snapToGrid w:val="0"/>
      <w:sz w:val="24"/>
      <w:szCs w:val="20"/>
    </w:rPr>
  </w:style>
  <w:style w:type="character" w:customStyle="1" w:styleId="EndNoteBibliographyChar">
    <w:name w:val="EndNote Bibliography Char"/>
    <w:basedOn w:val="ListParagraphChar"/>
    <w:link w:val="EndNoteBibliography"/>
    <w:rsid w:val="00CF15CE"/>
    <w:rPr>
      <w:rFonts w:ascii="Arial" w:eastAsia="Times New Roman" w:hAnsi="Arial" w:cs="Arial"/>
      <w:noProof/>
      <w:snapToGrid w:val="0"/>
      <w:sz w:val="24"/>
      <w:szCs w:val="20"/>
      <w:lang w:val="en-US"/>
    </w:rPr>
  </w:style>
  <w:style w:type="character" w:customStyle="1" w:styleId="UnresolvedMention1">
    <w:name w:val="Unresolved Mention1"/>
    <w:basedOn w:val="DefaultParagraphFont"/>
    <w:uiPriority w:val="99"/>
    <w:semiHidden/>
    <w:unhideWhenUsed/>
    <w:rsid w:val="00CF15CE"/>
    <w:rPr>
      <w:color w:val="808080"/>
      <w:shd w:val="clear" w:color="auto" w:fill="E6E6E6"/>
    </w:rPr>
  </w:style>
  <w:style w:type="table" w:customStyle="1" w:styleId="newstyle2">
    <w:name w:val="new style2"/>
    <w:basedOn w:val="TableNormal"/>
    <w:next w:val="TableGrid"/>
    <w:uiPriority w:val="59"/>
    <w:rsid w:val="00CF15CE"/>
    <w:pPr>
      <w:spacing w:after="0" w:line="240" w:lineRule="auto"/>
      <w:ind w:left="113" w:right="113"/>
    </w:pPr>
    <w:rPr>
      <w:rFonts w:ascii="Calibri" w:eastAsia="Calibri" w:hAnsi="Calibri" w:cs="Times New Roman"/>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AB"/>
    <w:pPr>
      <w:spacing w:after="200" w:line="360" w:lineRule="auto"/>
      <w:jc w:val="both"/>
    </w:pPr>
    <w:rPr>
      <w:rFonts w:ascii="Arial" w:eastAsia="Calibri" w:hAnsi="Arial" w:cs="Times New Roman"/>
      <w:sz w:val="20"/>
      <w:lang w:val="en-US"/>
    </w:rPr>
  </w:style>
  <w:style w:type="paragraph" w:styleId="Heading1">
    <w:name w:val="heading 1"/>
    <w:basedOn w:val="Normal"/>
    <w:next w:val="Normal"/>
    <w:link w:val="Heading1Char"/>
    <w:uiPriority w:val="1"/>
    <w:qFormat/>
    <w:rsid w:val="00E4041E"/>
    <w:pPr>
      <w:keepNext/>
      <w:keepLines/>
      <w:numPr>
        <w:numId w:val="108"/>
      </w:numPr>
      <w:spacing w:before="240" w:after="120" w:line="240" w:lineRule="auto"/>
      <w:jc w:val="left"/>
      <w:outlineLvl w:val="0"/>
    </w:pPr>
    <w:rPr>
      <w:rFonts w:asciiTheme="minorHAnsi" w:eastAsiaTheme="majorEastAsia" w:hAnsiTheme="minorHAnsi" w:cstheme="majorBidi"/>
      <w:b/>
      <w:sz w:val="32"/>
      <w:szCs w:val="28"/>
      <w:lang w:val="en-AU"/>
    </w:rPr>
  </w:style>
  <w:style w:type="paragraph" w:styleId="Heading2">
    <w:name w:val="heading 2"/>
    <w:basedOn w:val="Normal"/>
    <w:next w:val="Normal"/>
    <w:link w:val="Heading2Char"/>
    <w:uiPriority w:val="9"/>
    <w:unhideWhenUsed/>
    <w:qFormat/>
    <w:rsid w:val="00DF16C0"/>
    <w:pPr>
      <w:keepNext/>
      <w:keepLines/>
      <w:spacing w:before="240" w:after="120" w:line="240" w:lineRule="auto"/>
      <w:jc w:val="left"/>
      <w:outlineLvl w:val="1"/>
    </w:pPr>
    <w:rPr>
      <w:rFonts w:asciiTheme="minorHAnsi" w:eastAsiaTheme="majorEastAsia" w:hAnsiTheme="minorHAnsi" w:cstheme="majorBidi"/>
      <w:b/>
      <w:i/>
      <w:sz w:val="28"/>
      <w:szCs w:val="28"/>
      <w:lang w:val="en-AU"/>
    </w:rPr>
  </w:style>
  <w:style w:type="paragraph" w:styleId="Heading3">
    <w:name w:val="heading 3"/>
    <w:basedOn w:val="Normal"/>
    <w:next w:val="Normal"/>
    <w:link w:val="Heading3Char"/>
    <w:uiPriority w:val="1"/>
    <w:unhideWhenUsed/>
    <w:qFormat/>
    <w:rsid w:val="00186307"/>
    <w:pPr>
      <w:keepNext/>
      <w:keepLines/>
      <w:spacing w:before="120" w:after="120" w:line="240" w:lineRule="auto"/>
      <w:jc w:val="left"/>
      <w:outlineLvl w:val="2"/>
    </w:pPr>
    <w:rPr>
      <w:rFonts w:asciiTheme="minorHAnsi" w:eastAsiaTheme="majorEastAsia" w:hAnsiTheme="minorHAnsi" w:cstheme="majorBidi"/>
      <w:b/>
      <w:sz w:val="28"/>
      <w:szCs w:val="28"/>
      <w:lang w:val="en-AU"/>
    </w:rPr>
  </w:style>
  <w:style w:type="paragraph" w:styleId="Heading4">
    <w:name w:val="heading 4"/>
    <w:aliases w:val="Heading 1 - Body"/>
    <w:basedOn w:val="Heading1"/>
    <w:next w:val="Normal"/>
    <w:link w:val="Heading4Char"/>
    <w:uiPriority w:val="5"/>
    <w:unhideWhenUsed/>
    <w:qFormat/>
    <w:rsid w:val="00624315"/>
    <w:pPr>
      <w:numPr>
        <w:numId w:val="2"/>
      </w:num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08"/>
      </w:numPr>
      <w:spacing w:before="40" w:after="0" w:line="240" w:lineRule="auto"/>
      <w:jc w:val="left"/>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aliases w:val="Section heading - Body"/>
    <w:basedOn w:val="Heading1"/>
    <w:next w:val="Normal"/>
    <w:link w:val="Heading9Char"/>
    <w:uiPriority w:val="7"/>
    <w:unhideWhenUsed/>
    <w:qFormat/>
    <w:rsid w:val="002A4503"/>
    <w:pPr>
      <w:numPr>
        <w:numId w:val="0"/>
      </w:numPr>
      <w:ind w:left="432" w:hanging="432"/>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spacing w:before="120" w:after="160" w:line="240" w:lineRule="auto"/>
      <w:ind w:left="720"/>
      <w:jc w:val="left"/>
    </w:pPr>
    <w:rPr>
      <w:rFonts w:asciiTheme="minorHAnsi" w:eastAsiaTheme="minorHAnsi" w:hAnsiTheme="minorHAnsi" w:cstheme="minorBidi"/>
      <w:sz w:val="24"/>
      <w:lang w:val="en-AU"/>
    </w:r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pPr>
      <w:spacing w:before="120" w:after="160" w:line="240" w:lineRule="auto"/>
      <w:jc w:val="left"/>
    </w:pPr>
    <w:rPr>
      <w:rFonts w:asciiTheme="minorHAnsi" w:eastAsiaTheme="minorHAnsi" w:hAnsiTheme="minorHAnsi" w:cstheme="minorBidi"/>
      <w:color w:val="4472C4" w:themeColor="accent5"/>
      <w:sz w:val="24"/>
      <w:lang w:val="en-AU"/>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before="120" w:after="40" w:line="240" w:lineRule="auto"/>
      <w:jc w:val="left"/>
    </w:pPr>
    <w:rPr>
      <w:rFonts w:asciiTheme="minorHAnsi" w:eastAsiaTheme="minorHAnsi" w:hAnsiTheme="minorHAnsi" w:cstheme="minorBidi"/>
      <w:b/>
      <w:iCs/>
      <w:szCs w:val="18"/>
      <w:lang w:val="en-AU"/>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line="240" w:lineRule="auto"/>
      <w:jc w:val="left"/>
    </w:pPr>
    <w:rPr>
      <w:rFonts w:ascii="Arial Narrow" w:eastAsiaTheme="minorHAnsi" w:hAnsi="Arial Narrow" w:cstheme="minorBidi"/>
      <w:lang w:val="en-AU"/>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line="240" w:lineRule="auto"/>
      <w:ind w:left="1418" w:hanging="1418"/>
      <w:jc w:val="left"/>
    </w:pPr>
    <w:rPr>
      <w:rFonts w:ascii="Franklin Gothic Medium" w:eastAsiaTheme="minorHAnsi" w:hAnsi="Franklin Gothic Medium" w:cstheme="minorBidi"/>
      <w:sz w:val="22"/>
      <w:lang w:val="en-AU"/>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after="0" w:line="240" w:lineRule="auto"/>
      <w:jc w:val="left"/>
    </w:pPr>
    <w:rPr>
      <w:rFonts w:asciiTheme="minorHAnsi" w:eastAsiaTheme="minorHAnsi" w:hAnsiTheme="minorHAnsi" w:cstheme="minorBidi"/>
      <w:sz w:val="18"/>
      <w:szCs w:val="20"/>
      <w:lang w:val="en-AU"/>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after="360" w:line="240" w:lineRule="auto"/>
      <w:jc w:val="left"/>
    </w:pPr>
    <w:rPr>
      <w:rFonts w:asciiTheme="minorHAnsi" w:eastAsiaTheme="minorHAnsi" w:hAnsiTheme="minorHAnsi" w:cstheme="minorBidi"/>
      <w:sz w:val="18"/>
      <w:lang w:val="en-AU"/>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pPr>
      <w:spacing w:before="120" w:after="160" w:line="240" w:lineRule="auto"/>
      <w:jc w:val="left"/>
    </w:pPr>
    <w:rPr>
      <w:rFonts w:asciiTheme="minorHAnsi" w:eastAsiaTheme="minorHAnsi" w:hAnsiTheme="minorHAnsi" w:cstheme="minorBidi"/>
      <w:szCs w:val="20"/>
      <w:lang w:val="en-AU"/>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after="0" w:line="240" w:lineRule="auto"/>
      <w:jc w:val="left"/>
    </w:pPr>
    <w:rPr>
      <w:rFonts w:ascii="Segoe UI" w:eastAsiaTheme="minorHAnsi" w:hAnsi="Segoe UI" w:cs="Segoe UI"/>
      <w:sz w:val="18"/>
      <w:szCs w:val="18"/>
      <w:lang w:val="en-AU"/>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1">
    <w:name w:val="Table Heading"/>
    <w:basedOn w:val="Normal"/>
    <w:qFormat/>
    <w:rsid w:val="00FF610D"/>
    <w:pPr>
      <w:keepNext/>
      <w:spacing w:after="60" w:line="240" w:lineRule="auto"/>
      <w:jc w:val="left"/>
    </w:pPr>
    <w:rPr>
      <w:rFonts w:ascii="Arial Narrow" w:eastAsiaTheme="minorHAnsi" w:hAnsi="Arial Narrow" w:cstheme="minorBidi"/>
      <w:b/>
      <w:lang w:val="en-AU"/>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after="120" w:line="240" w:lineRule="auto"/>
      <w:contextualSpacing/>
    </w:pPr>
    <w:rPr>
      <w:rFonts w:ascii="Arial Narrow" w:eastAsia="Times New Roman" w:hAnsi="Arial Narrow" w:cs="Arial"/>
      <w:snapToGrid w:val="0"/>
      <w:sz w:val="18"/>
      <w:szCs w:val="20"/>
      <w:lang w:val="en-AU"/>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after="60" w:line="240" w:lineRule="auto"/>
      <w:jc w:val="left"/>
    </w:pPr>
    <w:rPr>
      <w:rFonts w:asciiTheme="minorHAnsi" w:eastAsiaTheme="minorHAnsi" w:hAnsiTheme="minorHAnsi" w:cstheme="minorBidi"/>
      <w:lang w:val="en-AU"/>
    </w:rPr>
  </w:style>
  <w:style w:type="paragraph" w:customStyle="1" w:styleId="oldTablefooter">
    <w:name w:val="old Table footer"/>
    <w:basedOn w:val="Normal"/>
    <w:link w:val="oldTablefooterChar"/>
    <w:qFormat/>
    <w:rsid w:val="00C317F3"/>
    <w:pPr>
      <w:spacing w:after="0" w:line="240" w:lineRule="auto"/>
    </w:pPr>
    <w:rPr>
      <w:rFonts w:asciiTheme="minorHAnsi" w:eastAsiaTheme="minorHAnsi" w:hAnsiTheme="minorHAnsi" w:cs="Arial"/>
      <w:sz w:val="18"/>
      <w:szCs w:val="18"/>
      <w:lang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after="0" w:line="240" w:lineRule="auto"/>
      <w:jc w:val="left"/>
    </w:pPr>
    <w:rPr>
      <w:rFonts w:asciiTheme="minorHAnsi" w:eastAsiaTheme="minorHAnsi" w:hAnsiTheme="minorHAnsi" w:cstheme="minorBidi"/>
      <w:sz w:val="24"/>
      <w:lang w:val="en-AU"/>
    </w:r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after="0" w:line="240" w:lineRule="auto"/>
      <w:jc w:val="left"/>
    </w:pPr>
    <w:rPr>
      <w:rFonts w:asciiTheme="minorHAnsi" w:eastAsiaTheme="minorHAnsi" w:hAnsiTheme="minorHAnsi" w:cstheme="minorBidi"/>
      <w:sz w:val="24"/>
      <w:lang w:val="en-AU"/>
    </w:r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before="120" w:after="0" w:line="240" w:lineRule="auto"/>
      <w:ind w:left="220"/>
      <w:jc w:val="left"/>
    </w:pPr>
    <w:rPr>
      <w:rFonts w:eastAsia="Times New Roman" w:cs="Arial"/>
      <w:iCs/>
      <w:snapToGrid w:val="0"/>
      <w:szCs w:val="20"/>
      <w:lang w:val="en-AU"/>
    </w:rPr>
  </w:style>
  <w:style w:type="paragraph" w:styleId="TOC1">
    <w:name w:val="toc 1"/>
    <w:basedOn w:val="Normal"/>
    <w:next w:val="Normal"/>
    <w:autoRedefine/>
    <w:uiPriority w:val="39"/>
    <w:rsid w:val="00C317F3"/>
    <w:pPr>
      <w:widowControl w:val="0"/>
      <w:spacing w:before="240" w:after="120" w:line="240" w:lineRule="auto"/>
      <w:jc w:val="left"/>
    </w:pPr>
    <w:rPr>
      <w:rFonts w:eastAsia="Times New Roman" w:cs="Arial"/>
      <w:bCs/>
      <w:snapToGrid w:val="0"/>
      <w:szCs w:val="20"/>
      <w:lang w:val="en-AU"/>
    </w:rPr>
  </w:style>
  <w:style w:type="paragraph" w:customStyle="1" w:styleId="TableHeader">
    <w:name w:val="Table Header"/>
    <w:basedOn w:val="Normal"/>
    <w:next w:val="Normal"/>
    <w:uiPriority w:val="3"/>
    <w:qFormat/>
    <w:rsid w:val="00C317F3"/>
    <w:pPr>
      <w:widowControl w:val="0"/>
      <w:spacing w:after="0" w:line="240" w:lineRule="auto"/>
    </w:pPr>
    <w:rPr>
      <w:rFonts w:ascii="Arial Narrow" w:eastAsia="Times New Roman" w:hAnsi="Arial Narrow" w:cs="Arial"/>
      <w:b/>
      <w:snapToGrid w:val="0"/>
      <w:szCs w:val="20"/>
      <w:lang w:val="en-AU"/>
    </w:rPr>
  </w:style>
  <w:style w:type="paragraph" w:styleId="Title">
    <w:name w:val="Title"/>
    <w:basedOn w:val="Normal"/>
    <w:next w:val="Normal"/>
    <w:link w:val="TitleChar"/>
    <w:qFormat/>
    <w:rsid w:val="00C317F3"/>
    <w:pPr>
      <w:widowControl w:val="0"/>
      <w:spacing w:before="240" w:after="60" w:line="240" w:lineRule="auto"/>
      <w:jc w:val="center"/>
      <w:outlineLvl w:val="0"/>
    </w:pPr>
    <w:rPr>
      <w:rFonts w:ascii="Cambria" w:eastAsia="Times New Roman" w:hAnsi="Cambria" w:cs="Arial"/>
      <w:b/>
      <w:bCs/>
      <w:snapToGrid w:val="0"/>
      <w:kern w:val="28"/>
      <w:sz w:val="32"/>
      <w:szCs w:val="32"/>
      <w:lang w:val="en-AU"/>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Body text"/>
    <w:basedOn w:val="Normal"/>
    <w:link w:val="BodyTextChar"/>
    <w:qFormat/>
    <w:rsid w:val="00C317F3"/>
    <w:pPr>
      <w:widowControl w:val="0"/>
      <w:spacing w:after="0" w:line="240" w:lineRule="auto"/>
      <w:jc w:val="left"/>
    </w:pPr>
    <w:rPr>
      <w:rFonts w:eastAsia="Times New Roman" w:cs="Arial"/>
      <w:snapToGrid w:val="0"/>
      <w:sz w:val="22"/>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after="0" w:line="240" w:lineRule="auto"/>
      <w:jc w:val="left"/>
    </w:pPr>
    <w:rPr>
      <w:rFonts w:ascii="Arial Narrow" w:eastAsia="Times New Roman" w:hAnsi="Arial Narrow"/>
      <w:szCs w:val="20"/>
      <w:lang w:val="en-AU"/>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line="240" w:lineRule="auto"/>
      <w:jc w:val="left"/>
    </w:pPr>
    <w:rPr>
      <w:rFonts w:ascii="Times New Roman" w:eastAsia="Times New Roman" w:hAnsi="Times New Roman"/>
      <w:sz w:val="24"/>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after="0" w:line="240" w:lineRule="auto"/>
      <w:ind w:left="440"/>
      <w:jc w:val="left"/>
    </w:pPr>
    <w:rPr>
      <w:rFonts w:asciiTheme="minorHAnsi" w:eastAsia="Times New Roman" w:hAnsiTheme="minorHAnsi" w:cs="Arial"/>
      <w:snapToGrid w:val="0"/>
      <w:szCs w:val="20"/>
      <w:lang w:val="en-AU"/>
    </w:rPr>
  </w:style>
  <w:style w:type="paragraph" w:styleId="BodyText3">
    <w:name w:val="Body Text 3"/>
    <w:basedOn w:val="Normal"/>
    <w:link w:val="BodyText3Char"/>
    <w:uiPriority w:val="9"/>
    <w:rsid w:val="00C317F3"/>
    <w:pPr>
      <w:widowControl w:val="0"/>
      <w:spacing w:after="120" w:line="240" w:lineRule="auto"/>
    </w:pPr>
    <w:rPr>
      <w:rFonts w:eastAsia="Times New Roman" w:cs="Arial"/>
      <w:snapToGrid w:val="0"/>
      <w:sz w:val="16"/>
      <w:szCs w:val="16"/>
      <w:lang w:val="en-AU"/>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after="0" w:line="240" w:lineRule="auto"/>
      <w:ind w:left="660"/>
      <w:jc w:val="left"/>
    </w:pPr>
    <w:rPr>
      <w:rFonts w:asciiTheme="minorHAnsi" w:eastAsia="Times New Roman" w:hAnsiTheme="minorHAnsi" w:cs="Arial"/>
      <w:snapToGrid w:val="0"/>
      <w:szCs w:val="20"/>
      <w:lang w:val="en-AU"/>
    </w:rPr>
  </w:style>
  <w:style w:type="paragraph" w:styleId="TOC5">
    <w:name w:val="toc 5"/>
    <w:basedOn w:val="Normal"/>
    <w:next w:val="Normal"/>
    <w:autoRedefine/>
    <w:uiPriority w:val="9"/>
    <w:rsid w:val="00C317F3"/>
    <w:pPr>
      <w:widowControl w:val="0"/>
      <w:spacing w:after="0" w:line="240" w:lineRule="auto"/>
      <w:ind w:left="880"/>
      <w:jc w:val="left"/>
    </w:pPr>
    <w:rPr>
      <w:rFonts w:asciiTheme="minorHAnsi" w:eastAsia="Times New Roman" w:hAnsiTheme="minorHAnsi" w:cs="Arial"/>
      <w:snapToGrid w:val="0"/>
      <w:szCs w:val="20"/>
      <w:lang w:val="en-AU"/>
    </w:rPr>
  </w:style>
  <w:style w:type="paragraph" w:styleId="TOC6">
    <w:name w:val="toc 6"/>
    <w:basedOn w:val="Normal"/>
    <w:next w:val="Normal"/>
    <w:autoRedefine/>
    <w:uiPriority w:val="9"/>
    <w:rsid w:val="00C317F3"/>
    <w:pPr>
      <w:widowControl w:val="0"/>
      <w:spacing w:after="0" w:line="240" w:lineRule="auto"/>
      <w:ind w:left="1100"/>
      <w:jc w:val="left"/>
    </w:pPr>
    <w:rPr>
      <w:rFonts w:asciiTheme="minorHAnsi" w:eastAsia="Times New Roman" w:hAnsiTheme="minorHAnsi" w:cs="Arial"/>
      <w:snapToGrid w:val="0"/>
      <w:szCs w:val="20"/>
      <w:lang w:val="en-AU"/>
    </w:rPr>
  </w:style>
  <w:style w:type="paragraph" w:styleId="TOC7">
    <w:name w:val="toc 7"/>
    <w:basedOn w:val="Normal"/>
    <w:next w:val="Normal"/>
    <w:autoRedefine/>
    <w:uiPriority w:val="9"/>
    <w:rsid w:val="00C317F3"/>
    <w:pPr>
      <w:widowControl w:val="0"/>
      <w:spacing w:after="0" w:line="240" w:lineRule="auto"/>
      <w:ind w:left="1320"/>
      <w:jc w:val="left"/>
    </w:pPr>
    <w:rPr>
      <w:rFonts w:asciiTheme="minorHAnsi" w:eastAsia="Times New Roman" w:hAnsiTheme="minorHAnsi" w:cs="Arial"/>
      <w:snapToGrid w:val="0"/>
      <w:szCs w:val="20"/>
      <w:lang w:val="en-AU"/>
    </w:rPr>
  </w:style>
  <w:style w:type="paragraph" w:styleId="TOC8">
    <w:name w:val="toc 8"/>
    <w:basedOn w:val="Normal"/>
    <w:next w:val="Normal"/>
    <w:autoRedefine/>
    <w:uiPriority w:val="9"/>
    <w:rsid w:val="00C317F3"/>
    <w:pPr>
      <w:widowControl w:val="0"/>
      <w:spacing w:after="0" w:line="240" w:lineRule="auto"/>
      <w:ind w:left="1540"/>
      <w:jc w:val="left"/>
    </w:pPr>
    <w:rPr>
      <w:rFonts w:asciiTheme="minorHAnsi" w:eastAsia="Times New Roman" w:hAnsiTheme="minorHAnsi" w:cs="Arial"/>
      <w:snapToGrid w:val="0"/>
      <w:szCs w:val="20"/>
      <w:lang w:val="en-AU"/>
    </w:rPr>
  </w:style>
  <w:style w:type="paragraph" w:styleId="TOC9">
    <w:name w:val="toc 9"/>
    <w:basedOn w:val="Normal"/>
    <w:next w:val="Normal"/>
    <w:autoRedefine/>
    <w:uiPriority w:val="9"/>
    <w:rsid w:val="00C317F3"/>
    <w:pPr>
      <w:widowControl w:val="0"/>
      <w:spacing w:after="0" w:line="240" w:lineRule="auto"/>
      <w:ind w:left="1760"/>
      <w:jc w:val="left"/>
    </w:pPr>
    <w:rPr>
      <w:rFonts w:asciiTheme="minorHAnsi" w:eastAsia="Times New Roman" w:hAnsiTheme="minorHAnsi" w:cs="Arial"/>
      <w:snapToGrid w:val="0"/>
      <w:szCs w:val="20"/>
      <w:lang w:val="en-AU"/>
    </w:rPr>
  </w:style>
  <w:style w:type="paragraph" w:styleId="BodyText2">
    <w:name w:val="Body Text 2"/>
    <w:basedOn w:val="Normal"/>
    <w:link w:val="BodyText2Char"/>
    <w:uiPriority w:val="9"/>
    <w:rsid w:val="00C317F3"/>
    <w:pPr>
      <w:widowControl w:val="0"/>
      <w:spacing w:after="120" w:line="480" w:lineRule="auto"/>
    </w:pPr>
    <w:rPr>
      <w:rFonts w:eastAsia="Times New Roman" w:cs="Arial"/>
      <w:snapToGrid w:val="0"/>
      <w:sz w:val="22"/>
      <w:szCs w:val="20"/>
      <w:lang w:val="en-AU"/>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line="240" w:lineRule="auto"/>
      <w:jc w:val="left"/>
    </w:pPr>
    <w:rPr>
      <w:rFonts w:ascii="Arial Narrow" w:eastAsia="Times New Roman" w:hAnsi="Arial Narrow" w:cs="Arial Narrow"/>
      <w:szCs w:val="20"/>
      <w:lang w:val="en-AU"/>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after="120" w:line="240" w:lineRule="auto"/>
      <w:ind w:left="283"/>
    </w:pPr>
    <w:rPr>
      <w:rFonts w:eastAsia="Times New Roman" w:cs="Arial"/>
      <w:snapToGrid w:val="0"/>
      <w:sz w:val="22"/>
      <w:szCs w:val="20"/>
      <w:lang w:val="en-AU"/>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after="160" w:line="240" w:lineRule="exact"/>
      <w:jc w:val="left"/>
    </w:pPr>
    <w:rPr>
      <w:rFonts w:ascii="Verdana" w:eastAsia="MS Mincho" w:hAnsi="Verdana" w:cs="Verdana"/>
      <w:szCs w:val="20"/>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after="0" w:line="240" w:lineRule="auto"/>
    </w:pPr>
    <w:rPr>
      <w:rFonts w:asciiTheme="minorHAnsi" w:eastAsiaTheme="minorHAnsi" w:hAnsiTheme="minorHAnsi" w:cstheme="minorBidi"/>
      <w:sz w:val="22"/>
      <w:lang w:val="en-AU"/>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after="0" w:line="240" w:lineRule="auto"/>
    </w:pPr>
    <w:rPr>
      <w:rFonts w:eastAsia="Times New Roman" w:cs="Arial"/>
      <w:snapToGrid w:val="0"/>
      <w:sz w:val="22"/>
      <w:szCs w:val="20"/>
      <w:lang w:val="en-AU"/>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6"/>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2"/>
      </w:numPr>
      <w:spacing w:after="240" w:line="240" w:lineRule="auto"/>
      <w:ind w:left="357" w:hanging="357"/>
      <w:jc w:val="left"/>
    </w:pPr>
    <w:rPr>
      <w:rFonts w:asciiTheme="minorHAnsi" w:eastAsiaTheme="minorHAnsi" w:hAnsiTheme="minorHAnsi" w:cstheme="minorBidi"/>
      <w:sz w:val="22"/>
      <w:lang w:val="en-AU"/>
    </w:rPr>
  </w:style>
  <w:style w:type="paragraph" w:customStyle="1" w:styleId="TableFigNote">
    <w:name w:val="TableFigNote"/>
    <w:basedOn w:val="Normal"/>
    <w:qFormat/>
    <w:rsid w:val="00576ADE"/>
    <w:pPr>
      <w:spacing w:after="0" w:line="240" w:lineRule="auto"/>
      <w:jc w:val="left"/>
    </w:pPr>
    <w:rPr>
      <w:rFonts w:asciiTheme="minorHAnsi" w:eastAsiaTheme="minorHAnsi" w:hAnsiTheme="minorHAnsi" w:cstheme="minorBidi"/>
      <w:sz w:val="18"/>
      <w:lang w:val="en-AU"/>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after="160" w:line="240" w:lineRule="exact"/>
      <w:jc w:val="left"/>
    </w:pPr>
    <w:rPr>
      <w:rFonts w:ascii="Verdana" w:eastAsia="MS Mincho" w:hAnsi="Verdana" w:cs="Verdana"/>
      <w:szCs w:val="20"/>
    </w:rPr>
  </w:style>
  <w:style w:type="paragraph" w:customStyle="1" w:styleId="tabletext00">
    <w:name w:val="tabletext0"/>
    <w:basedOn w:val="Normal"/>
    <w:rsid w:val="00FB57DB"/>
    <w:pPr>
      <w:spacing w:before="100" w:beforeAutospacing="1" w:after="100" w:afterAutospacing="1" w:line="240" w:lineRule="auto"/>
      <w:jc w:val="left"/>
    </w:pPr>
    <w:rPr>
      <w:rFonts w:ascii="Times New Roman" w:eastAsia="Times New Roman" w:hAnsi="Times New Roman"/>
      <w:sz w:val="24"/>
      <w:szCs w:val="24"/>
      <w:lang w:val="en-AU" w:eastAsia="en-AU"/>
    </w:rPr>
  </w:style>
  <w:style w:type="paragraph" w:customStyle="1" w:styleId="ESnumberedpara">
    <w:name w:val="ES numbered para"/>
    <w:basedOn w:val="Normal"/>
    <w:qFormat/>
    <w:rsid w:val="00C52ACF"/>
    <w:pPr>
      <w:spacing w:after="120" w:line="240" w:lineRule="auto"/>
      <w:ind w:left="720" w:hanging="720"/>
    </w:pPr>
    <w:rPr>
      <w:rFonts w:ascii="Calibri" w:eastAsiaTheme="minorHAnsi" w:hAnsi="Calibri" w:cstheme="minorBidi"/>
      <w:sz w:val="24"/>
      <w:lang w:val="en-AU"/>
    </w:rPr>
  </w:style>
  <w:style w:type="paragraph" w:customStyle="1" w:styleId="Tableheading">
    <w:name w:val="Table heading"/>
    <w:basedOn w:val="Normal"/>
    <w:qFormat/>
    <w:rsid w:val="002D1E36"/>
    <w:pPr>
      <w:numPr>
        <w:numId w:val="16"/>
      </w:numPr>
      <w:spacing w:after="0" w:line="240" w:lineRule="auto"/>
      <w:ind w:left="360"/>
    </w:pPr>
    <w:rPr>
      <w:rFonts w:eastAsiaTheme="minorHAnsi" w:cstheme="minorBidi"/>
      <w:b/>
    </w:rPr>
  </w:style>
  <w:style w:type="table" w:customStyle="1" w:styleId="TableGrid1">
    <w:name w:val="Table Grid1"/>
    <w:basedOn w:val="TableNormal"/>
    <w:next w:val="TableGrid"/>
    <w:uiPriority w:val="59"/>
    <w:rsid w:val="00C9443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0">
    <w:name w:val="TableText Char"/>
    <w:link w:val="TableText1"/>
    <w:rsid w:val="00C04B03"/>
    <w:rPr>
      <w:rFonts w:ascii="Arial Narrow" w:eastAsia="Times New Roman" w:hAnsi="Arial Narrow" w:cs="Arial Narrow"/>
      <w:sz w:val="20"/>
      <w:szCs w:val="20"/>
    </w:rPr>
  </w:style>
  <w:style w:type="paragraph" w:customStyle="1" w:styleId="TableFigureFootnote">
    <w:name w:val="Table &amp; Figure Footnote"/>
    <w:basedOn w:val="BodyText"/>
    <w:next w:val="BodyText"/>
    <w:qFormat/>
    <w:rsid w:val="00F22A1C"/>
    <w:pPr>
      <w:widowControl/>
      <w:spacing w:before="20" w:after="20"/>
      <w:jc w:val="both"/>
    </w:pPr>
    <w:rPr>
      <w:rFonts w:cs="Times New Roman"/>
      <w:snapToGrid/>
      <w:sz w:val="16"/>
      <w:szCs w:val="24"/>
    </w:rPr>
  </w:style>
  <w:style w:type="paragraph" w:customStyle="1" w:styleId="Abbreviations">
    <w:name w:val="Abbreviations"/>
    <w:basedOn w:val="BodyText"/>
    <w:next w:val="BodyText"/>
    <w:qFormat/>
    <w:rsid w:val="00F22A1C"/>
    <w:pPr>
      <w:widowControl/>
      <w:spacing w:before="20" w:after="20"/>
      <w:jc w:val="both"/>
    </w:pPr>
    <w:rPr>
      <w:rFonts w:cs="Times New Roman"/>
      <w:snapToGrid/>
      <w:sz w:val="16"/>
      <w:szCs w:val="24"/>
    </w:rPr>
  </w:style>
  <w:style w:type="table" w:customStyle="1" w:styleId="TableGrid2">
    <w:name w:val="Table Grid2"/>
    <w:basedOn w:val="TableNormal"/>
    <w:next w:val="TableGrid"/>
    <w:uiPriority w:val="59"/>
    <w:rsid w:val="003E1EB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32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CE"/>
    <w:pPr>
      <w:autoSpaceDE w:val="0"/>
      <w:autoSpaceDN w:val="0"/>
      <w:adjustRightInd w:val="0"/>
      <w:spacing w:after="0" w:line="240" w:lineRule="auto"/>
    </w:pPr>
    <w:rPr>
      <w:rFonts w:ascii="Arial" w:hAnsi="Arial" w:cs="Arial"/>
      <w:color w:val="000000"/>
      <w:sz w:val="24"/>
      <w:szCs w:val="24"/>
      <w:lang w:val="en-US"/>
    </w:rPr>
  </w:style>
  <w:style w:type="character" w:customStyle="1" w:styleId="Mention1">
    <w:name w:val="Mention1"/>
    <w:basedOn w:val="DefaultParagraphFont"/>
    <w:uiPriority w:val="99"/>
    <w:semiHidden/>
    <w:unhideWhenUsed/>
    <w:rsid w:val="00CF15CE"/>
    <w:rPr>
      <w:color w:val="2B579A"/>
      <w:shd w:val="clear" w:color="auto" w:fill="E6E6E6"/>
    </w:rPr>
  </w:style>
  <w:style w:type="character" w:customStyle="1" w:styleId="Mention2">
    <w:name w:val="Mention2"/>
    <w:basedOn w:val="DefaultParagraphFont"/>
    <w:uiPriority w:val="99"/>
    <w:semiHidden/>
    <w:unhideWhenUsed/>
    <w:rsid w:val="00CF15CE"/>
    <w:rPr>
      <w:color w:val="2B579A"/>
      <w:shd w:val="clear" w:color="auto" w:fill="E6E6E6"/>
    </w:rPr>
  </w:style>
  <w:style w:type="paragraph" w:customStyle="1" w:styleId="EndNoteBibliographyTitle">
    <w:name w:val="EndNote Bibliography Title"/>
    <w:basedOn w:val="Normal"/>
    <w:link w:val="EndNoteBibliographyTitleChar"/>
    <w:rsid w:val="00CF15CE"/>
    <w:pPr>
      <w:widowControl w:val="0"/>
      <w:spacing w:after="0" w:line="240" w:lineRule="auto"/>
      <w:jc w:val="center"/>
    </w:pPr>
    <w:rPr>
      <w:rFonts w:eastAsia="Times New Roman" w:cs="Arial"/>
      <w:noProof/>
      <w:snapToGrid w:val="0"/>
      <w:sz w:val="24"/>
      <w:szCs w:val="20"/>
    </w:rPr>
  </w:style>
  <w:style w:type="character" w:customStyle="1" w:styleId="EndNoteBibliographyTitleChar">
    <w:name w:val="EndNote Bibliography Title Char"/>
    <w:basedOn w:val="ListParagraphChar"/>
    <w:link w:val="EndNoteBibliographyTitle"/>
    <w:rsid w:val="00CF15CE"/>
    <w:rPr>
      <w:rFonts w:ascii="Arial" w:eastAsia="Times New Roman" w:hAnsi="Arial" w:cs="Arial"/>
      <w:noProof/>
      <w:snapToGrid w:val="0"/>
      <w:sz w:val="24"/>
      <w:szCs w:val="20"/>
      <w:lang w:val="en-US"/>
    </w:rPr>
  </w:style>
  <w:style w:type="paragraph" w:customStyle="1" w:styleId="EndNoteBibliography">
    <w:name w:val="EndNote Bibliography"/>
    <w:basedOn w:val="Normal"/>
    <w:link w:val="EndNoteBibliographyChar"/>
    <w:rsid w:val="00CF15CE"/>
    <w:pPr>
      <w:widowControl w:val="0"/>
      <w:spacing w:after="0" w:line="240" w:lineRule="auto"/>
      <w:jc w:val="left"/>
    </w:pPr>
    <w:rPr>
      <w:rFonts w:eastAsia="Times New Roman" w:cs="Arial"/>
      <w:noProof/>
      <w:snapToGrid w:val="0"/>
      <w:sz w:val="24"/>
      <w:szCs w:val="20"/>
    </w:rPr>
  </w:style>
  <w:style w:type="character" w:customStyle="1" w:styleId="EndNoteBibliographyChar">
    <w:name w:val="EndNote Bibliography Char"/>
    <w:basedOn w:val="ListParagraphChar"/>
    <w:link w:val="EndNoteBibliography"/>
    <w:rsid w:val="00CF15CE"/>
    <w:rPr>
      <w:rFonts w:ascii="Arial" w:eastAsia="Times New Roman" w:hAnsi="Arial" w:cs="Arial"/>
      <w:noProof/>
      <w:snapToGrid w:val="0"/>
      <w:sz w:val="24"/>
      <w:szCs w:val="20"/>
      <w:lang w:val="en-US"/>
    </w:rPr>
  </w:style>
  <w:style w:type="character" w:customStyle="1" w:styleId="UnresolvedMention1">
    <w:name w:val="Unresolved Mention1"/>
    <w:basedOn w:val="DefaultParagraphFont"/>
    <w:uiPriority w:val="99"/>
    <w:semiHidden/>
    <w:unhideWhenUsed/>
    <w:rsid w:val="00CF15CE"/>
    <w:rPr>
      <w:color w:val="808080"/>
      <w:shd w:val="clear" w:color="auto" w:fill="E6E6E6"/>
    </w:rPr>
  </w:style>
  <w:style w:type="table" w:customStyle="1" w:styleId="newstyle2">
    <w:name w:val="new style2"/>
    <w:basedOn w:val="TableNormal"/>
    <w:next w:val="TableGrid"/>
    <w:uiPriority w:val="59"/>
    <w:rsid w:val="00CF15CE"/>
    <w:pPr>
      <w:spacing w:after="0" w:line="240" w:lineRule="auto"/>
      <w:ind w:left="113" w:right="113"/>
    </w:pPr>
    <w:rPr>
      <w:rFonts w:ascii="Calibri" w:eastAsia="Calibri" w:hAnsi="Calibri" w:cs="Times New Roman"/>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35671597">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19622527">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55149817">
      <w:bodyDiv w:val="1"/>
      <w:marLeft w:val="0"/>
      <w:marRight w:val="0"/>
      <w:marTop w:val="0"/>
      <w:marBottom w:val="0"/>
      <w:divBdr>
        <w:top w:val="none" w:sz="0" w:space="0" w:color="auto"/>
        <w:left w:val="none" w:sz="0" w:space="0" w:color="auto"/>
        <w:bottom w:val="none" w:sz="0" w:space="0" w:color="auto"/>
        <w:right w:val="none" w:sz="0" w:space="0" w:color="auto"/>
      </w:divBdr>
    </w:div>
    <w:div w:id="623190777">
      <w:bodyDiv w:val="1"/>
      <w:marLeft w:val="0"/>
      <w:marRight w:val="0"/>
      <w:marTop w:val="0"/>
      <w:marBottom w:val="0"/>
      <w:divBdr>
        <w:top w:val="none" w:sz="0" w:space="0" w:color="auto"/>
        <w:left w:val="none" w:sz="0" w:space="0" w:color="auto"/>
        <w:bottom w:val="none" w:sz="0" w:space="0" w:color="auto"/>
        <w:right w:val="none" w:sz="0" w:space="0" w:color="auto"/>
      </w:divBdr>
    </w:div>
    <w:div w:id="670528536">
      <w:bodyDiv w:val="1"/>
      <w:marLeft w:val="0"/>
      <w:marRight w:val="0"/>
      <w:marTop w:val="0"/>
      <w:marBottom w:val="0"/>
      <w:divBdr>
        <w:top w:val="none" w:sz="0" w:space="0" w:color="auto"/>
        <w:left w:val="none" w:sz="0" w:space="0" w:color="auto"/>
        <w:bottom w:val="none" w:sz="0" w:space="0" w:color="auto"/>
        <w:right w:val="none" w:sz="0" w:space="0" w:color="auto"/>
      </w:divBdr>
    </w:div>
    <w:div w:id="823591852">
      <w:bodyDiv w:val="1"/>
      <w:marLeft w:val="0"/>
      <w:marRight w:val="0"/>
      <w:marTop w:val="0"/>
      <w:marBottom w:val="0"/>
      <w:divBdr>
        <w:top w:val="none" w:sz="0" w:space="0" w:color="auto"/>
        <w:left w:val="none" w:sz="0" w:space="0" w:color="auto"/>
        <w:bottom w:val="none" w:sz="0" w:space="0" w:color="auto"/>
        <w:right w:val="none" w:sz="0" w:space="0" w:color="auto"/>
      </w:divBdr>
    </w:div>
    <w:div w:id="901872000">
      <w:bodyDiv w:val="1"/>
      <w:marLeft w:val="0"/>
      <w:marRight w:val="0"/>
      <w:marTop w:val="0"/>
      <w:marBottom w:val="0"/>
      <w:divBdr>
        <w:top w:val="none" w:sz="0" w:space="0" w:color="auto"/>
        <w:left w:val="none" w:sz="0" w:space="0" w:color="auto"/>
        <w:bottom w:val="none" w:sz="0" w:space="0" w:color="auto"/>
        <w:right w:val="none" w:sz="0" w:space="0" w:color="auto"/>
      </w:divBdr>
    </w:div>
    <w:div w:id="1016468858">
      <w:bodyDiv w:val="1"/>
      <w:marLeft w:val="0"/>
      <w:marRight w:val="0"/>
      <w:marTop w:val="0"/>
      <w:marBottom w:val="0"/>
      <w:divBdr>
        <w:top w:val="none" w:sz="0" w:space="0" w:color="auto"/>
        <w:left w:val="none" w:sz="0" w:space="0" w:color="auto"/>
        <w:bottom w:val="none" w:sz="0" w:space="0" w:color="auto"/>
        <w:right w:val="none" w:sz="0" w:space="0" w:color="auto"/>
      </w:divBdr>
    </w:div>
    <w:div w:id="1038698017">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9311023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645698253">
      <w:bodyDiv w:val="1"/>
      <w:marLeft w:val="0"/>
      <w:marRight w:val="0"/>
      <w:marTop w:val="0"/>
      <w:marBottom w:val="0"/>
      <w:divBdr>
        <w:top w:val="none" w:sz="0" w:space="0" w:color="auto"/>
        <w:left w:val="none" w:sz="0" w:space="0" w:color="auto"/>
        <w:bottom w:val="none" w:sz="0" w:space="0" w:color="auto"/>
        <w:right w:val="none" w:sz="0" w:space="0" w:color="auto"/>
      </w:divBdr>
    </w:div>
    <w:div w:id="1717003308">
      <w:bodyDiv w:val="1"/>
      <w:marLeft w:val="0"/>
      <w:marRight w:val="0"/>
      <w:marTop w:val="0"/>
      <w:marBottom w:val="0"/>
      <w:divBdr>
        <w:top w:val="none" w:sz="0" w:space="0" w:color="auto"/>
        <w:left w:val="none" w:sz="0" w:space="0" w:color="auto"/>
        <w:bottom w:val="none" w:sz="0" w:space="0" w:color="auto"/>
        <w:right w:val="none" w:sz="0" w:space="0" w:color="auto"/>
      </w:divBdr>
    </w:div>
    <w:div w:id="1717269150">
      <w:bodyDiv w:val="1"/>
      <w:marLeft w:val="0"/>
      <w:marRight w:val="0"/>
      <w:marTop w:val="0"/>
      <w:marBottom w:val="0"/>
      <w:divBdr>
        <w:top w:val="none" w:sz="0" w:space="0" w:color="auto"/>
        <w:left w:val="none" w:sz="0" w:space="0" w:color="auto"/>
        <w:bottom w:val="none" w:sz="0" w:space="0" w:color="auto"/>
        <w:right w:val="none" w:sz="0" w:space="0" w:color="auto"/>
      </w:divBdr>
    </w:div>
    <w:div w:id="1735276778">
      <w:bodyDiv w:val="1"/>
      <w:marLeft w:val="0"/>
      <w:marRight w:val="0"/>
      <w:marTop w:val="0"/>
      <w:marBottom w:val="0"/>
      <w:divBdr>
        <w:top w:val="none" w:sz="0" w:space="0" w:color="auto"/>
        <w:left w:val="none" w:sz="0" w:space="0" w:color="auto"/>
        <w:bottom w:val="none" w:sz="0" w:space="0" w:color="auto"/>
        <w:right w:val="none" w:sz="0" w:space="0" w:color="auto"/>
      </w:divBdr>
    </w:div>
    <w:div w:id="1792745812">
      <w:bodyDiv w:val="1"/>
      <w:marLeft w:val="0"/>
      <w:marRight w:val="0"/>
      <w:marTop w:val="0"/>
      <w:marBottom w:val="0"/>
      <w:divBdr>
        <w:top w:val="none" w:sz="0" w:space="0" w:color="auto"/>
        <w:left w:val="none" w:sz="0" w:space="0" w:color="auto"/>
        <w:bottom w:val="none" w:sz="0" w:space="0" w:color="auto"/>
        <w:right w:val="none" w:sz="0" w:space="0" w:color="auto"/>
      </w:divBdr>
      <w:divsChild>
        <w:div w:id="2137720454">
          <w:marLeft w:val="1166"/>
          <w:marRight w:val="0"/>
          <w:marTop w:val="58"/>
          <w:marBottom w:val="0"/>
          <w:divBdr>
            <w:top w:val="none" w:sz="0" w:space="0" w:color="auto"/>
            <w:left w:val="none" w:sz="0" w:space="0" w:color="auto"/>
            <w:bottom w:val="none" w:sz="0" w:space="0" w:color="auto"/>
            <w:right w:val="none" w:sz="0" w:space="0" w:color="auto"/>
          </w:divBdr>
        </w:div>
        <w:div w:id="644161522">
          <w:marLeft w:val="1166"/>
          <w:marRight w:val="0"/>
          <w:marTop w:val="58"/>
          <w:marBottom w:val="0"/>
          <w:divBdr>
            <w:top w:val="none" w:sz="0" w:space="0" w:color="auto"/>
            <w:left w:val="none" w:sz="0" w:space="0" w:color="auto"/>
            <w:bottom w:val="none" w:sz="0" w:space="0" w:color="auto"/>
            <w:right w:val="none" w:sz="0" w:space="0" w:color="auto"/>
          </w:divBdr>
        </w:div>
        <w:div w:id="1822844214">
          <w:marLeft w:val="1166"/>
          <w:marRight w:val="0"/>
          <w:marTop w:val="58"/>
          <w:marBottom w:val="0"/>
          <w:divBdr>
            <w:top w:val="none" w:sz="0" w:space="0" w:color="auto"/>
            <w:left w:val="none" w:sz="0" w:space="0" w:color="auto"/>
            <w:bottom w:val="none" w:sz="0" w:space="0" w:color="auto"/>
            <w:right w:val="none" w:sz="0" w:space="0" w:color="auto"/>
          </w:divBdr>
        </w:div>
        <w:div w:id="158738507">
          <w:marLeft w:val="1166"/>
          <w:marRight w:val="0"/>
          <w:marTop w:val="58"/>
          <w:marBottom w:val="0"/>
          <w:divBdr>
            <w:top w:val="none" w:sz="0" w:space="0" w:color="auto"/>
            <w:left w:val="none" w:sz="0" w:space="0" w:color="auto"/>
            <w:bottom w:val="none" w:sz="0" w:space="0" w:color="auto"/>
            <w:right w:val="none" w:sz="0" w:space="0" w:color="auto"/>
          </w:divBdr>
        </w:div>
      </w:divsChild>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241C-710D-4E9B-B62C-E665DCEC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13918</Words>
  <Characters>79337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2018-02-14T22:43:00Z</dcterms:created>
  <dcterms:modified xsi:type="dcterms:W3CDTF">2018-02-14T22:43:00Z</dcterms:modified>
</cp:coreProperties>
</file>